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18014" w14:textId="77777777" w:rsidR="00827898" w:rsidRPr="00362517" w:rsidRDefault="00827898" w:rsidP="00BF6BC7">
      <w:pPr>
        <w:jc w:val="center"/>
      </w:pPr>
    </w:p>
    <w:p w14:paraId="5AB18015" w14:textId="77777777" w:rsidR="00827898" w:rsidRPr="00362517" w:rsidRDefault="00827898" w:rsidP="00BF6BC7">
      <w:pPr>
        <w:jc w:val="center"/>
      </w:pPr>
    </w:p>
    <w:p w14:paraId="5AB18016" w14:textId="77777777" w:rsidR="00827898" w:rsidRPr="00362517" w:rsidRDefault="006B4618" w:rsidP="00BF6BC7">
      <w:pPr>
        <w:jc w:val="center"/>
        <w:rPr>
          <w:b/>
          <w:i/>
        </w:rPr>
      </w:pPr>
      <w:r w:rsidRPr="00362517">
        <w:t xml:space="preserve"> </w:t>
      </w:r>
    </w:p>
    <w:p w14:paraId="5AB18017" w14:textId="77777777" w:rsidR="00827898" w:rsidRPr="00362517" w:rsidRDefault="00827898" w:rsidP="00BF6BC7">
      <w:pPr>
        <w:jc w:val="center"/>
      </w:pPr>
    </w:p>
    <w:p w14:paraId="5AB18018" w14:textId="77777777" w:rsidR="00827898" w:rsidRPr="00362517" w:rsidRDefault="00827898" w:rsidP="00BF6BC7">
      <w:pPr>
        <w:jc w:val="center"/>
      </w:pPr>
    </w:p>
    <w:p w14:paraId="5AB18019" w14:textId="77777777" w:rsidR="00827898" w:rsidRPr="00362517" w:rsidRDefault="00827898" w:rsidP="00BF6BC7">
      <w:pPr>
        <w:jc w:val="center"/>
      </w:pPr>
    </w:p>
    <w:p w14:paraId="5AB1801A" w14:textId="77777777" w:rsidR="00827898" w:rsidRPr="00362517" w:rsidRDefault="00827898" w:rsidP="00BF6BC7">
      <w:pPr>
        <w:jc w:val="center"/>
      </w:pPr>
    </w:p>
    <w:p w14:paraId="5AB1801B" w14:textId="77777777" w:rsidR="00827898" w:rsidRPr="00362517" w:rsidRDefault="00827898" w:rsidP="00BF6BC7">
      <w:pPr>
        <w:jc w:val="center"/>
        <w:rPr>
          <w:rFonts w:ascii="Times" w:hAnsi="Times"/>
          <w:caps/>
          <w:sz w:val="40"/>
          <w:szCs w:val="40"/>
        </w:rPr>
      </w:pPr>
      <w:r w:rsidRPr="00362517">
        <w:rPr>
          <w:rFonts w:ascii="Times" w:hAnsi="Times"/>
          <w:caps/>
          <w:sz w:val="40"/>
          <w:szCs w:val="40"/>
        </w:rPr>
        <w:t xml:space="preserve">ECONOMIC ANALYSIS OF </w:t>
      </w:r>
    </w:p>
    <w:p w14:paraId="5AB1801C" w14:textId="77777777" w:rsidR="00827898" w:rsidRPr="00362517" w:rsidRDefault="00F96021" w:rsidP="00BF6BC7">
      <w:pPr>
        <w:jc w:val="center"/>
      </w:pPr>
      <w:r w:rsidRPr="00362517">
        <w:rPr>
          <w:rFonts w:ascii="Times" w:hAnsi="Times"/>
          <w:caps/>
          <w:sz w:val="40"/>
          <w:szCs w:val="40"/>
        </w:rPr>
        <w:t>final</w:t>
      </w:r>
      <w:r w:rsidR="00827898" w:rsidRPr="00362517">
        <w:rPr>
          <w:rFonts w:ascii="Times" w:hAnsi="Times"/>
          <w:caps/>
          <w:sz w:val="40"/>
          <w:szCs w:val="40"/>
        </w:rPr>
        <w:t xml:space="preserve"> AmendmenTs to 40 CFR part 171: Certification of pesticide applicators </w:t>
      </w:r>
    </w:p>
    <w:p w14:paraId="5AB1801D" w14:textId="5B5C447B" w:rsidR="00827898" w:rsidRPr="00362517" w:rsidRDefault="00BF6BC7" w:rsidP="00BF6BC7">
      <w:pPr>
        <w:jc w:val="center"/>
      </w:pPr>
      <w:r>
        <w:t>[RIN 2070-AJ20]</w:t>
      </w:r>
    </w:p>
    <w:p w14:paraId="5AB1801E" w14:textId="77777777" w:rsidR="00827898" w:rsidRPr="00362517" w:rsidRDefault="00827898" w:rsidP="00BF6BC7">
      <w:pPr>
        <w:jc w:val="center"/>
      </w:pPr>
    </w:p>
    <w:p w14:paraId="5AB1801F" w14:textId="77777777" w:rsidR="00827898" w:rsidRPr="00362517" w:rsidRDefault="00827898" w:rsidP="00BF6BC7">
      <w:pPr>
        <w:jc w:val="center"/>
      </w:pPr>
    </w:p>
    <w:p w14:paraId="5AB18020" w14:textId="1EC260A9" w:rsidR="00827898" w:rsidRPr="00362517" w:rsidRDefault="000C0407" w:rsidP="00BF6BC7">
      <w:pPr>
        <w:jc w:val="center"/>
      </w:pPr>
      <w:r>
        <w:t>December</w:t>
      </w:r>
      <w:r w:rsidR="00376CD1" w:rsidRPr="00362517">
        <w:t xml:space="preserve"> </w:t>
      </w:r>
      <w:r w:rsidR="00DE0A13">
        <w:t>0</w:t>
      </w:r>
      <w:r w:rsidR="00D84E84">
        <w:t>7</w:t>
      </w:r>
      <w:r w:rsidR="00855038" w:rsidRPr="00362517">
        <w:t>, 2016</w:t>
      </w:r>
    </w:p>
    <w:p w14:paraId="5AB18021" w14:textId="77777777" w:rsidR="00827898" w:rsidRPr="00362517" w:rsidRDefault="00827898" w:rsidP="00BF6BC7">
      <w:pPr>
        <w:jc w:val="center"/>
      </w:pPr>
    </w:p>
    <w:p w14:paraId="5AB18022" w14:textId="77777777" w:rsidR="00827898" w:rsidRPr="00362517" w:rsidRDefault="00827898" w:rsidP="00BF6BC7">
      <w:pPr>
        <w:jc w:val="center"/>
      </w:pPr>
    </w:p>
    <w:p w14:paraId="5AB18023" w14:textId="77777777" w:rsidR="00827898" w:rsidRPr="00362517" w:rsidRDefault="00827898" w:rsidP="00BF6BC7">
      <w:pPr>
        <w:jc w:val="center"/>
      </w:pPr>
    </w:p>
    <w:p w14:paraId="5AB18024" w14:textId="77777777" w:rsidR="00827898" w:rsidRPr="00362517" w:rsidRDefault="00827898" w:rsidP="00BF6BC7">
      <w:pPr>
        <w:jc w:val="center"/>
      </w:pPr>
    </w:p>
    <w:p w14:paraId="5AB18025" w14:textId="77777777" w:rsidR="00827898" w:rsidRPr="00362517" w:rsidRDefault="00827898" w:rsidP="00BF6BC7">
      <w:pPr>
        <w:jc w:val="center"/>
      </w:pPr>
    </w:p>
    <w:p w14:paraId="5AB18026" w14:textId="77777777" w:rsidR="00827898" w:rsidRPr="00362517" w:rsidRDefault="00827898" w:rsidP="00BF6BC7">
      <w:pPr>
        <w:jc w:val="center"/>
      </w:pPr>
    </w:p>
    <w:p w14:paraId="5AB18027" w14:textId="77777777" w:rsidR="00827898" w:rsidRPr="00362517" w:rsidRDefault="00827898" w:rsidP="00BF6BC7">
      <w:pPr>
        <w:jc w:val="center"/>
      </w:pPr>
    </w:p>
    <w:p w14:paraId="5AB18028" w14:textId="77777777" w:rsidR="00827898" w:rsidRPr="00362517" w:rsidRDefault="00827898" w:rsidP="00BF6BC7">
      <w:pPr>
        <w:jc w:val="center"/>
      </w:pPr>
    </w:p>
    <w:p w14:paraId="5AB18029" w14:textId="77777777" w:rsidR="00827898" w:rsidRPr="00362517" w:rsidRDefault="00827898" w:rsidP="00BF6BC7">
      <w:pPr>
        <w:jc w:val="center"/>
      </w:pPr>
    </w:p>
    <w:p w14:paraId="5AB1802A" w14:textId="77777777" w:rsidR="00827898" w:rsidRPr="00362517" w:rsidRDefault="00827898" w:rsidP="00BF6BC7">
      <w:pPr>
        <w:jc w:val="center"/>
      </w:pPr>
    </w:p>
    <w:p w14:paraId="5AB1802B" w14:textId="77777777" w:rsidR="00827898" w:rsidRPr="00362517" w:rsidRDefault="00827898" w:rsidP="00BF6BC7">
      <w:pPr>
        <w:jc w:val="center"/>
      </w:pPr>
    </w:p>
    <w:p w14:paraId="5AB1802C" w14:textId="77777777" w:rsidR="00827898" w:rsidRPr="00362517" w:rsidRDefault="00827898" w:rsidP="00BF6BC7">
      <w:pPr>
        <w:jc w:val="center"/>
      </w:pPr>
    </w:p>
    <w:p w14:paraId="5AB1802D" w14:textId="77777777" w:rsidR="00827898" w:rsidRPr="00362517" w:rsidRDefault="00827898" w:rsidP="00BF6BC7">
      <w:pPr>
        <w:jc w:val="center"/>
      </w:pPr>
      <w:r w:rsidRPr="00362517">
        <w:t>Prepared by</w:t>
      </w:r>
    </w:p>
    <w:p w14:paraId="5AB1802E" w14:textId="77777777" w:rsidR="00827898" w:rsidRPr="00362517" w:rsidRDefault="00827898" w:rsidP="00BF6BC7">
      <w:pPr>
        <w:jc w:val="center"/>
      </w:pPr>
    </w:p>
    <w:p w14:paraId="5AB1802F" w14:textId="77777777" w:rsidR="00827898" w:rsidRPr="00362517" w:rsidRDefault="00827898" w:rsidP="00BF6BC7">
      <w:pPr>
        <w:jc w:val="center"/>
      </w:pPr>
      <w:r w:rsidRPr="00362517">
        <w:t>BIOLOGICAL AND ECONOMIC ANALYSIS DIVISION</w:t>
      </w:r>
    </w:p>
    <w:p w14:paraId="5AB18030" w14:textId="77777777" w:rsidR="00827898" w:rsidRPr="00362517" w:rsidRDefault="00827898" w:rsidP="00BF6BC7">
      <w:pPr>
        <w:jc w:val="center"/>
      </w:pPr>
      <w:r w:rsidRPr="00362517">
        <w:t>OFFICE OF PESTICIDE PROGRAMS</w:t>
      </w:r>
    </w:p>
    <w:p w14:paraId="5AB18031" w14:textId="77777777" w:rsidR="00827898" w:rsidRPr="00362517" w:rsidRDefault="00827898" w:rsidP="00BF6BC7">
      <w:pPr>
        <w:jc w:val="center"/>
      </w:pPr>
    </w:p>
    <w:p w14:paraId="5AB18032" w14:textId="77777777" w:rsidR="00827898" w:rsidRPr="00362517" w:rsidRDefault="00827898" w:rsidP="00BF6BC7">
      <w:pPr>
        <w:jc w:val="center"/>
      </w:pPr>
    </w:p>
    <w:p w14:paraId="5AB18033" w14:textId="77777777" w:rsidR="00827898" w:rsidRPr="00362517" w:rsidRDefault="00827898" w:rsidP="00BF6BC7">
      <w:pPr>
        <w:jc w:val="center"/>
      </w:pPr>
    </w:p>
    <w:p w14:paraId="5AB18034" w14:textId="77777777" w:rsidR="00827898" w:rsidRPr="00362517" w:rsidRDefault="00827898" w:rsidP="00BF6BC7">
      <w:pPr>
        <w:jc w:val="center"/>
      </w:pPr>
      <w:r w:rsidRPr="00362517">
        <w:t>U.S. Environmental Protection Agency</w:t>
      </w:r>
    </w:p>
    <w:p w14:paraId="5AB18035" w14:textId="77777777" w:rsidR="00827898" w:rsidRPr="00362517" w:rsidRDefault="00827898" w:rsidP="00BF6BC7">
      <w:pPr>
        <w:jc w:val="center"/>
      </w:pPr>
      <w:r w:rsidRPr="00362517">
        <w:t>1200 Pennsylvania Ave., NW</w:t>
      </w:r>
    </w:p>
    <w:p w14:paraId="5AB18036" w14:textId="77777777" w:rsidR="00827898" w:rsidRPr="00362517" w:rsidRDefault="00827898" w:rsidP="00BF6BC7">
      <w:pPr>
        <w:jc w:val="center"/>
      </w:pPr>
      <w:r w:rsidRPr="00362517">
        <w:t>Washington, DC  20460</w:t>
      </w:r>
    </w:p>
    <w:p w14:paraId="5AB18037" w14:textId="77777777" w:rsidR="00827898" w:rsidRPr="00362517" w:rsidRDefault="00827898" w:rsidP="00BF6BC7">
      <w:pPr>
        <w:jc w:val="center"/>
      </w:pPr>
    </w:p>
    <w:p w14:paraId="5AB18038" w14:textId="77777777" w:rsidR="00827898" w:rsidRPr="00362517" w:rsidRDefault="00827898" w:rsidP="00BF6BC7">
      <w:pPr>
        <w:jc w:val="center"/>
      </w:pPr>
    </w:p>
    <w:p w14:paraId="1F399A4F" w14:textId="1C5B26E6" w:rsidR="00D86766" w:rsidRDefault="00D86766" w:rsidP="00BF6BC7">
      <w:pPr>
        <w:jc w:val="center"/>
        <w:sectPr w:rsidR="00D86766" w:rsidSect="00BF6BC7">
          <w:footerReference w:type="even" r:id="rId13"/>
          <w:pgSz w:w="12240" w:h="15840"/>
          <w:pgMar w:top="1440" w:right="1440" w:bottom="1440" w:left="1440" w:header="720" w:footer="720" w:gutter="0"/>
          <w:cols w:space="720"/>
          <w:docGrid w:linePitch="360"/>
        </w:sectPr>
      </w:pPr>
    </w:p>
    <w:p w14:paraId="5AB1803A" w14:textId="77777777" w:rsidR="00827898" w:rsidRPr="00362517" w:rsidRDefault="00827898" w:rsidP="00BF6BC7">
      <w:pPr>
        <w:jc w:val="center"/>
        <w:rPr>
          <w:b/>
          <w:sz w:val="32"/>
          <w:szCs w:val="32"/>
        </w:rPr>
      </w:pPr>
      <w:r w:rsidRPr="00362517">
        <w:rPr>
          <w:b/>
          <w:sz w:val="32"/>
          <w:szCs w:val="32"/>
        </w:rPr>
        <w:lastRenderedPageBreak/>
        <w:t xml:space="preserve">TABLE OF </w:t>
      </w:r>
      <w:bookmarkStart w:id="0" w:name="_GoBack"/>
      <w:bookmarkEnd w:id="0"/>
      <w:r w:rsidRPr="00362517">
        <w:rPr>
          <w:b/>
          <w:sz w:val="32"/>
          <w:szCs w:val="32"/>
        </w:rPr>
        <w:t>CONTENTS</w:t>
      </w:r>
    </w:p>
    <w:sdt>
      <w:sdtPr>
        <w:rPr>
          <w:rFonts w:ascii="Times New Roman" w:eastAsia="Times New Roman" w:hAnsi="Times New Roman" w:cs="Times New Roman"/>
          <w:b w:val="0"/>
          <w:bCs w:val="0"/>
          <w:color w:val="auto"/>
          <w:sz w:val="24"/>
          <w:szCs w:val="24"/>
          <w:lang w:eastAsia="en-US"/>
        </w:rPr>
        <w:id w:val="371117916"/>
        <w:docPartObj>
          <w:docPartGallery w:val="Table of Contents"/>
          <w:docPartUnique/>
        </w:docPartObj>
      </w:sdtPr>
      <w:sdtEndPr>
        <w:rPr>
          <w:noProof/>
        </w:rPr>
      </w:sdtEndPr>
      <w:sdtContent>
        <w:p w14:paraId="5AB1803B" w14:textId="77777777" w:rsidR="00827898" w:rsidRPr="00362517" w:rsidRDefault="00827898" w:rsidP="00BF6BC7">
          <w:pPr>
            <w:pStyle w:val="TOCHeading"/>
            <w:rPr>
              <w:rFonts w:ascii="Times New Roman" w:hAnsi="Times New Roman" w:cs="Times New Roman"/>
              <w:color w:val="auto"/>
            </w:rPr>
          </w:pPr>
        </w:p>
        <w:p w14:paraId="3E883D16" w14:textId="3FE58F66" w:rsidR="003D01CD" w:rsidRDefault="00B5523C">
          <w:pPr>
            <w:pStyle w:val="TOC1"/>
            <w:tabs>
              <w:tab w:val="right" w:leader="dot" w:pos="9350"/>
            </w:tabs>
            <w:rPr>
              <w:rFonts w:eastAsiaTheme="minorEastAsia" w:cstheme="minorBidi"/>
              <w:b w:val="0"/>
              <w:bCs w:val="0"/>
              <w:caps w:val="0"/>
              <w:noProof/>
              <w:sz w:val="22"/>
              <w:szCs w:val="22"/>
            </w:rPr>
          </w:pPr>
          <w:r w:rsidRPr="00362517">
            <w:rPr>
              <w:rFonts w:ascii="Times New Roman" w:hAnsi="Times New Roman" w:cs="Times New Roman"/>
            </w:rPr>
            <w:fldChar w:fldCharType="begin"/>
          </w:r>
          <w:r w:rsidR="00827898" w:rsidRPr="00362517">
            <w:rPr>
              <w:rFonts w:ascii="Times New Roman" w:hAnsi="Times New Roman" w:cs="Times New Roman"/>
            </w:rPr>
            <w:instrText xml:space="preserve"> TOC \o "1-3" \h \z \u </w:instrText>
          </w:r>
          <w:r w:rsidRPr="00362517">
            <w:rPr>
              <w:rFonts w:ascii="Times New Roman" w:hAnsi="Times New Roman" w:cs="Times New Roman"/>
            </w:rPr>
            <w:fldChar w:fldCharType="separate"/>
          </w:r>
          <w:hyperlink w:anchor="_Toc468872053" w:history="1">
            <w:r w:rsidR="003D01CD" w:rsidRPr="0007533C">
              <w:rPr>
                <w:rStyle w:val="Hyperlink"/>
                <w:noProof/>
              </w:rPr>
              <w:t>Executive Summary</w:t>
            </w:r>
            <w:r w:rsidR="003D01CD">
              <w:rPr>
                <w:noProof/>
                <w:webHidden/>
              </w:rPr>
              <w:tab/>
            </w:r>
            <w:r w:rsidR="003D01CD">
              <w:rPr>
                <w:noProof/>
                <w:webHidden/>
              </w:rPr>
              <w:fldChar w:fldCharType="begin"/>
            </w:r>
            <w:r w:rsidR="003D01CD">
              <w:rPr>
                <w:noProof/>
                <w:webHidden/>
              </w:rPr>
              <w:instrText xml:space="preserve"> PAGEREF _Toc468872053 \h </w:instrText>
            </w:r>
            <w:r w:rsidR="003D01CD">
              <w:rPr>
                <w:noProof/>
                <w:webHidden/>
              </w:rPr>
            </w:r>
            <w:r w:rsidR="003D01CD">
              <w:rPr>
                <w:noProof/>
                <w:webHidden/>
              </w:rPr>
              <w:fldChar w:fldCharType="separate"/>
            </w:r>
            <w:r w:rsidR="003D01CD">
              <w:rPr>
                <w:noProof/>
                <w:webHidden/>
              </w:rPr>
              <w:t>2</w:t>
            </w:r>
            <w:r w:rsidR="003D01CD">
              <w:rPr>
                <w:noProof/>
                <w:webHidden/>
              </w:rPr>
              <w:fldChar w:fldCharType="end"/>
            </w:r>
          </w:hyperlink>
        </w:p>
        <w:p w14:paraId="0B9C4EE9" w14:textId="260E770A" w:rsidR="003D01CD" w:rsidRDefault="007B6E49">
          <w:pPr>
            <w:pStyle w:val="TOC1"/>
            <w:tabs>
              <w:tab w:val="right" w:leader="dot" w:pos="9350"/>
            </w:tabs>
            <w:rPr>
              <w:rFonts w:eastAsiaTheme="minorEastAsia" w:cstheme="minorBidi"/>
              <w:b w:val="0"/>
              <w:bCs w:val="0"/>
              <w:caps w:val="0"/>
              <w:noProof/>
              <w:sz w:val="22"/>
              <w:szCs w:val="22"/>
            </w:rPr>
          </w:pPr>
          <w:hyperlink w:anchor="_Toc468872054" w:history="1">
            <w:r w:rsidR="003D01CD" w:rsidRPr="0007533C">
              <w:rPr>
                <w:rStyle w:val="Hyperlink"/>
                <w:noProof/>
              </w:rPr>
              <w:t>Chapter 1.  Introduction</w:t>
            </w:r>
            <w:r w:rsidR="003D01CD">
              <w:rPr>
                <w:noProof/>
                <w:webHidden/>
              </w:rPr>
              <w:tab/>
            </w:r>
            <w:r w:rsidR="003D01CD">
              <w:rPr>
                <w:noProof/>
                <w:webHidden/>
              </w:rPr>
              <w:fldChar w:fldCharType="begin"/>
            </w:r>
            <w:r w:rsidR="003D01CD">
              <w:rPr>
                <w:noProof/>
                <w:webHidden/>
              </w:rPr>
              <w:instrText xml:space="preserve"> PAGEREF _Toc468872054 \h </w:instrText>
            </w:r>
            <w:r w:rsidR="003D01CD">
              <w:rPr>
                <w:noProof/>
                <w:webHidden/>
              </w:rPr>
            </w:r>
            <w:r w:rsidR="003D01CD">
              <w:rPr>
                <w:noProof/>
                <w:webHidden/>
              </w:rPr>
              <w:fldChar w:fldCharType="separate"/>
            </w:r>
            <w:r w:rsidR="003D01CD">
              <w:rPr>
                <w:noProof/>
                <w:webHidden/>
              </w:rPr>
              <w:t>8</w:t>
            </w:r>
            <w:r w:rsidR="003D01CD">
              <w:rPr>
                <w:noProof/>
                <w:webHidden/>
              </w:rPr>
              <w:fldChar w:fldCharType="end"/>
            </w:r>
          </w:hyperlink>
        </w:p>
        <w:p w14:paraId="068BF2ED" w14:textId="4AC953E7" w:rsidR="003D01CD" w:rsidRDefault="007B6E49">
          <w:pPr>
            <w:pStyle w:val="TOC2"/>
            <w:tabs>
              <w:tab w:val="left" w:pos="720"/>
              <w:tab w:val="right" w:leader="dot" w:pos="9350"/>
            </w:tabs>
            <w:rPr>
              <w:rFonts w:eastAsiaTheme="minorEastAsia" w:cstheme="minorBidi"/>
              <w:smallCaps w:val="0"/>
              <w:noProof/>
              <w:sz w:val="22"/>
              <w:szCs w:val="22"/>
            </w:rPr>
          </w:pPr>
          <w:hyperlink w:anchor="_Toc468872055" w:history="1">
            <w:r w:rsidR="003D01CD" w:rsidRPr="0007533C">
              <w:rPr>
                <w:rStyle w:val="Hyperlink"/>
                <w:noProof/>
              </w:rPr>
              <w:t>1.1</w:t>
            </w:r>
            <w:r w:rsidR="003D01CD">
              <w:rPr>
                <w:rFonts w:eastAsiaTheme="minorEastAsia" w:cstheme="minorBidi"/>
                <w:smallCaps w:val="0"/>
                <w:noProof/>
                <w:sz w:val="22"/>
                <w:szCs w:val="22"/>
              </w:rPr>
              <w:tab/>
            </w:r>
            <w:r w:rsidR="003D01CD" w:rsidRPr="0007533C">
              <w:rPr>
                <w:rStyle w:val="Hyperlink"/>
                <w:noProof/>
              </w:rPr>
              <w:t>Background</w:t>
            </w:r>
            <w:r w:rsidR="003D01CD">
              <w:rPr>
                <w:noProof/>
                <w:webHidden/>
              </w:rPr>
              <w:tab/>
            </w:r>
            <w:r w:rsidR="003D01CD">
              <w:rPr>
                <w:noProof/>
                <w:webHidden/>
              </w:rPr>
              <w:fldChar w:fldCharType="begin"/>
            </w:r>
            <w:r w:rsidR="003D01CD">
              <w:rPr>
                <w:noProof/>
                <w:webHidden/>
              </w:rPr>
              <w:instrText xml:space="preserve"> PAGEREF _Toc468872055 \h </w:instrText>
            </w:r>
            <w:r w:rsidR="003D01CD">
              <w:rPr>
                <w:noProof/>
                <w:webHidden/>
              </w:rPr>
            </w:r>
            <w:r w:rsidR="003D01CD">
              <w:rPr>
                <w:noProof/>
                <w:webHidden/>
              </w:rPr>
              <w:fldChar w:fldCharType="separate"/>
            </w:r>
            <w:r w:rsidR="003D01CD">
              <w:rPr>
                <w:noProof/>
                <w:webHidden/>
              </w:rPr>
              <w:t>8</w:t>
            </w:r>
            <w:r w:rsidR="003D01CD">
              <w:rPr>
                <w:noProof/>
                <w:webHidden/>
              </w:rPr>
              <w:fldChar w:fldCharType="end"/>
            </w:r>
          </w:hyperlink>
        </w:p>
        <w:p w14:paraId="41F31D01" w14:textId="5B669F98" w:rsidR="003D01CD" w:rsidRDefault="007B6E49">
          <w:pPr>
            <w:pStyle w:val="TOC2"/>
            <w:tabs>
              <w:tab w:val="left" w:pos="720"/>
              <w:tab w:val="right" w:leader="dot" w:pos="9350"/>
            </w:tabs>
            <w:rPr>
              <w:rFonts w:eastAsiaTheme="minorEastAsia" w:cstheme="minorBidi"/>
              <w:smallCaps w:val="0"/>
              <w:noProof/>
              <w:sz w:val="22"/>
              <w:szCs w:val="22"/>
            </w:rPr>
          </w:pPr>
          <w:hyperlink w:anchor="_Toc468872056" w:history="1">
            <w:r w:rsidR="003D01CD" w:rsidRPr="0007533C">
              <w:rPr>
                <w:rStyle w:val="Hyperlink"/>
                <w:noProof/>
              </w:rPr>
              <w:t>1.2</w:t>
            </w:r>
            <w:r w:rsidR="003D01CD">
              <w:rPr>
                <w:rFonts w:eastAsiaTheme="minorEastAsia" w:cstheme="minorBidi"/>
                <w:smallCaps w:val="0"/>
                <w:noProof/>
                <w:sz w:val="22"/>
                <w:szCs w:val="22"/>
              </w:rPr>
              <w:tab/>
            </w:r>
            <w:r w:rsidR="003D01CD" w:rsidRPr="0007533C">
              <w:rPr>
                <w:rStyle w:val="Hyperlink"/>
                <w:noProof/>
              </w:rPr>
              <w:t>Problem Statement</w:t>
            </w:r>
            <w:r w:rsidR="003D01CD">
              <w:rPr>
                <w:noProof/>
                <w:webHidden/>
              </w:rPr>
              <w:tab/>
            </w:r>
            <w:r w:rsidR="003D01CD">
              <w:rPr>
                <w:noProof/>
                <w:webHidden/>
              </w:rPr>
              <w:fldChar w:fldCharType="begin"/>
            </w:r>
            <w:r w:rsidR="003D01CD">
              <w:rPr>
                <w:noProof/>
                <w:webHidden/>
              </w:rPr>
              <w:instrText xml:space="preserve"> PAGEREF _Toc468872056 \h </w:instrText>
            </w:r>
            <w:r w:rsidR="003D01CD">
              <w:rPr>
                <w:noProof/>
                <w:webHidden/>
              </w:rPr>
            </w:r>
            <w:r w:rsidR="003D01CD">
              <w:rPr>
                <w:noProof/>
                <w:webHidden/>
              </w:rPr>
              <w:fldChar w:fldCharType="separate"/>
            </w:r>
            <w:r w:rsidR="003D01CD">
              <w:rPr>
                <w:noProof/>
                <w:webHidden/>
              </w:rPr>
              <w:t>9</w:t>
            </w:r>
            <w:r w:rsidR="003D01CD">
              <w:rPr>
                <w:noProof/>
                <w:webHidden/>
              </w:rPr>
              <w:fldChar w:fldCharType="end"/>
            </w:r>
          </w:hyperlink>
        </w:p>
        <w:p w14:paraId="26AC7DF7" w14:textId="21D9AA78" w:rsidR="003D01CD" w:rsidRDefault="007B6E49">
          <w:pPr>
            <w:pStyle w:val="TOC2"/>
            <w:tabs>
              <w:tab w:val="left" w:pos="720"/>
              <w:tab w:val="right" w:leader="dot" w:pos="9350"/>
            </w:tabs>
            <w:rPr>
              <w:rFonts w:eastAsiaTheme="minorEastAsia" w:cstheme="minorBidi"/>
              <w:smallCaps w:val="0"/>
              <w:noProof/>
              <w:sz w:val="22"/>
              <w:szCs w:val="22"/>
            </w:rPr>
          </w:pPr>
          <w:hyperlink w:anchor="_Toc468872057" w:history="1">
            <w:r w:rsidR="003D01CD" w:rsidRPr="0007533C">
              <w:rPr>
                <w:rStyle w:val="Hyperlink"/>
                <w:noProof/>
              </w:rPr>
              <w:t>1.3</w:t>
            </w:r>
            <w:r w:rsidR="003D01CD">
              <w:rPr>
                <w:rFonts w:eastAsiaTheme="minorEastAsia" w:cstheme="minorBidi"/>
                <w:smallCaps w:val="0"/>
                <w:noProof/>
                <w:sz w:val="22"/>
                <w:szCs w:val="22"/>
              </w:rPr>
              <w:tab/>
            </w:r>
            <w:r w:rsidR="003D01CD" w:rsidRPr="0007533C">
              <w:rPr>
                <w:rStyle w:val="Hyperlink"/>
                <w:noProof/>
              </w:rPr>
              <w:t>Overview of Final Regulation</w:t>
            </w:r>
            <w:r w:rsidR="003D01CD">
              <w:rPr>
                <w:noProof/>
                <w:webHidden/>
              </w:rPr>
              <w:tab/>
            </w:r>
            <w:r w:rsidR="003D01CD">
              <w:rPr>
                <w:noProof/>
                <w:webHidden/>
              </w:rPr>
              <w:fldChar w:fldCharType="begin"/>
            </w:r>
            <w:r w:rsidR="003D01CD">
              <w:rPr>
                <w:noProof/>
                <w:webHidden/>
              </w:rPr>
              <w:instrText xml:space="preserve"> PAGEREF _Toc468872057 \h </w:instrText>
            </w:r>
            <w:r w:rsidR="003D01CD">
              <w:rPr>
                <w:noProof/>
                <w:webHidden/>
              </w:rPr>
            </w:r>
            <w:r w:rsidR="003D01CD">
              <w:rPr>
                <w:noProof/>
                <w:webHidden/>
              </w:rPr>
              <w:fldChar w:fldCharType="separate"/>
            </w:r>
            <w:r w:rsidR="003D01CD">
              <w:rPr>
                <w:noProof/>
                <w:webHidden/>
              </w:rPr>
              <w:t>11</w:t>
            </w:r>
            <w:r w:rsidR="003D01CD">
              <w:rPr>
                <w:noProof/>
                <w:webHidden/>
              </w:rPr>
              <w:fldChar w:fldCharType="end"/>
            </w:r>
          </w:hyperlink>
        </w:p>
        <w:p w14:paraId="426934F6" w14:textId="629EE619" w:rsidR="003D01CD" w:rsidRDefault="007B6E49">
          <w:pPr>
            <w:pStyle w:val="TOC2"/>
            <w:tabs>
              <w:tab w:val="left" w:pos="720"/>
              <w:tab w:val="right" w:leader="dot" w:pos="9350"/>
            </w:tabs>
            <w:rPr>
              <w:rFonts w:eastAsiaTheme="minorEastAsia" w:cstheme="minorBidi"/>
              <w:smallCaps w:val="0"/>
              <w:noProof/>
              <w:sz w:val="22"/>
              <w:szCs w:val="22"/>
            </w:rPr>
          </w:pPr>
          <w:hyperlink w:anchor="_Toc468872058" w:history="1">
            <w:r w:rsidR="003D01CD" w:rsidRPr="0007533C">
              <w:rPr>
                <w:rStyle w:val="Hyperlink"/>
                <w:noProof/>
              </w:rPr>
              <w:t>1.4</w:t>
            </w:r>
            <w:r w:rsidR="003D01CD">
              <w:rPr>
                <w:rFonts w:eastAsiaTheme="minorEastAsia" w:cstheme="minorBidi"/>
                <w:smallCaps w:val="0"/>
                <w:noProof/>
                <w:sz w:val="22"/>
                <w:szCs w:val="22"/>
              </w:rPr>
              <w:tab/>
            </w:r>
            <w:r w:rsidR="003D01CD" w:rsidRPr="0007533C">
              <w:rPr>
                <w:rStyle w:val="Hyperlink"/>
                <w:noProof/>
              </w:rPr>
              <w:t>Affected Entities</w:t>
            </w:r>
            <w:r w:rsidR="003D01CD">
              <w:rPr>
                <w:noProof/>
                <w:webHidden/>
              </w:rPr>
              <w:tab/>
            </w:r>
            <w:r w:rsidR="003D01CD">
              <w:rPr>
                <w:noProof/>
                <w:webHidden/>
              </w:rPr>
              <w:fldChar w:fldCharType="begin"/>
            </w:r>
            <w:r w:rsidR="003D01CD">
              <w:rPr>
                <w:noProof/>
                <w:webHidden/>
              </w:rPr>
              <w:instrText xml:space="preserve"> PAGEREF _Toc468872058 \h </w:instrText>
            </w:r>
            <w:r w:rsidR="003D01CD">
              <w:rPr>
                <w:noProof/>
                <w:webHidden/>
              </w:rPr>
            </w:r>
            <w:r w:rsidR="003D01CD">
              <w:rPr>
                <w:noProof/>
                <w:webHidden/>
              </w:rPr>
              <w:fldChar w:fldCharType="separate"/>
            </w:r>
            <w:r w:rsidR="003D01CD">
              <w:rPr>
                <w:noProof/>
                <w:webHidden/>
              </w:rPr>
              <w:t>12</w:t>
            </w:r>
            <w:r w:rsidR="003D01CD">
              <w:rPr>
                <w:noProof/>
                <w:webHidden/>
              </w:rPr>
              <w:fldChar w:fldCharType="end"/>
            </w:r>
          </w:hyperlink>
        </w:p>
        <w:p w14:paraId="59219F1A" w14:textId="5AFA1E0E" w:rsidR="003D01CD" w:rsidRDefault="007B6E49">
          <w:pPr>
            <w:pStyle w:val="TOC2"/>
            <w:tabs>
              <w:tab w:val="left" w:pos="720"/>
              <w:tab w:val="right" w:leader="dot" w:pos="9350"/>
            </w:tabs>
            <w:rPr>
              <w:rFonts w:eastAsiaTheme="minorEastAsia" w:cstheme="minorBidi"/>
              <w:smallCaps w:val="0"/>
              <w:noProof/>
              <w:sz w:val="22"/>
              <w:szCs w:val="22"/>
            </w:rPr>
          </w:pPr>
          <w:hyperlink w:anchor="_Toc468872059" w:history="1">
            <w:r w:rsidR="003D01CD" w:rsidRPr="0007533C">
              <w:rPr>
                <w:rStyle w:val="Hyperlink"/>
                <w:noProof/>
              </w:rPr>
              <w:t>1.5</w:t>
            </w:r>
            <w:r w:rsidR="003D01CD">
              <w:rPr>
                <w:rFonts w:eastAsiaTheme="minorEastAsia" w:cstheme="minorBidi"/>
                <w:smallCaps w:val="0"/>
                <w:noProof/>
                <w:sz w:val="22"/>
                <w:szCs w:val="22"/>
              </w:rPr>
              <w:tab/>
            </w:r>
            <w:r w:rsidR="003D01CD" w:rsidRPr="0007533C">
              <w:rPr>
                <w:rStyle w:val="Hyperlink"/>
                <w:noProof/>
              </w:rPr>
              <w:t>Changes from the Analysis of Final Revisions</w:t>
            </w:r>
            <w:r w:rsidR="003D01CD">
              <w:rPr>
                <w:noProof/>
                <w:webHidden/>
              </w:rPr>
              <w:tab/>
            </w:r>
            <w:r w:rsidR="003D01CD">
              <w:rPr>
                <w:noProof/>
                <w:webHidden/>
              </w:rPr>
              <w:fldChar w:fldCharType="begin"/>
            </w:r>
            <w:r w:rsidR="003D01CD">
              <w:rPr>
                <w:noProof/>
                <w:webHidden/>
              </w:rPr>
              <w:instrText xml:space="preserve"> PAGEREF _Toc468872059 \h </w:instrText>
            </w:r>
            <w:r w:rsidR="003D01CD">
              <w:rPr>
                <w:noProof/>
                <w:webHidden/>
              </w:rPr>
            </w:r>
            <w:r w:rsidR="003D01CD">
              <w:rPr>
                <w:noProof/>
                <w:webHidden/>
              </w:rPr>
              <w:fldChar w:fldCharType="separate"/>
            </w:r>
            <w:r w:rsidR="003D01CD">
              <w:rPr>
                <w:noProof/>
                <w:webHidden/>
              </w:rPr>
              <w:t>12</w:t>
            </w:r>
            <w:r w:rsidR="003D01CD">
              <w:rPr>
                <w:noProof/>
                <w:webHidden/>
              </w:rPr>
              <w:fldChar w:fldCharType="end"/>
            </w:r>
          </w:hyperlink>
        </w:p>
        <w:p w14:paraId="79E18B33" w14:textId="115C8A9A" w:rsidR="003D01CD" w:rsidRDefault="007B6E49">
          <w:pPr>
            <w:pStyle w:val="TOC1"/>
            <w:tabs>
              <w:tab w:val="right" w:leader="dot" w:pos="9350"/>
            </w:tabs>
            <w:rPr>
              <w:rFonts w:eastAsiaTheme="minorEastAsia" w:cstheme="minorBidi"/>
              <w:b w:val="0"/>
              <w:bCs w:val="0"/>
              <w:caps w:val="0"/>
              <w:noProof/>
              <w:sz w:val="22"/>
              <w:szCs w:val="22"/>
            </w:rPr>
          </w:pPr>
          <w:hyperlink w:anchor="_Toc468872060" w:history="1">
            <w:r w:rsidR="003D01CD" w:rsidRPr="0007533C">
              <w:rPr>
                <w:rStyle w:val="Hyperlink"/>
                <w:noProof/>
              </w:rPr>
              <w:t>Chapter 2.  Final Revisions to the Rules Governing Certified Pesticide Applicators</w:t>
            </w:r>
            <w:r w:rsidR="003D01CD">
              <w:rPr>
                <w:noProof/>
                <w:webHidden/>
              </w:rPr>
              <w:tab/>
            </w:r>
            <w:r w:rsidR="003D01CD">
              <w:rPr>
                <w:noProof/>
                <w:webHidden/>
              </w:rPr>
              <w:fldChar w:fldCharType="begin"/>
            </w:r>
            <w:r w:rsidR="003D01CD">
              <w:rPr>
                <w:noProof/>
                <w:webHidden/>
              </w:rPr>
              <w:instrText xml:space="preserve"> PAGEREF _Toc468872060 \h </w:instrText>
            </w:r>
            <w:r w:rsidR="003D01CD">
              <w:rPr>
                <w:noProof/>
                <w:webHidden/>
              </w:rPr>
            </w:r>
            <w:r w:rsidR="003D01CD">
              <w:rPr>
                <w:noProof/>
                <w:webHidden/>
              </w:rPr>
              <w:fldChar w:fldCharType="separate"/>
            </w:r>
            <w:r w:rsidR="003D01CD">
              <w:rPr>
                <w:noProof/>
                <w:webHidden/>
              </w:rPr>
              <w:t>15</w:t>
            </w:r>
            <w:r w:rsidR="003D01CD">
              <w:rPr>
                <w:noProof/>
                <w:webHidden/>
              </w:rPr>
              <w:fldChar w:fldCharType="end"/>
            </w:r>
          </w:hyperlink>
        </w:p>
        <w:p w14:paraId="5CA60CCD" w14:textId="7FC37900" w:rsidR="003D01CD" w:rsidRDefault="007B6E49">
          <w:pPr>
            <w:pStyle w:val="TOC2"/>
            <w:tabs>
              <w:tab w:val="left" w:pos="720"/>
              <w:tab w:val="right" w:leader="dot" w:pos="9350"/>
            </w:tabs>
            <w:rPr>
              <w:rFonts w:eastAsiaTheme="minorEastAsia" w:cstheme="minorBidi"/>
              <w:smallCaps w:val="0"/>
              <w:noProof/>
              <w:sz w:val="22"/>
              <w:szCs w:val="22"/>
            </w:rPr>
          </w:pPr>
          <w:hyperlink w:anchor="_Toc468872061" w:history="1">
            <w:r w:rsidR="003D01CD" w:rsidRPr="0007533C">
              <w:rPr>
                <w:rStyle w:val="Hyperlink"/>
                <w:noProof/>
              </w:rPr>
              <w:t>2.1</w:t>
            </w:r>
            <w:r w:rsidR="003D01CD">
              <w:rPr>
                <w:rFonts w:eastAsiaTheme="minorEastAsia" w:cstheme="minorBidi"/>
                <w:smallCaps w:val="0"/>
                <w:noProof/>
                <w:sz w:val="22"/>
                <w:szCs w:val="22"/>
              </w:rPr>
              <w:tab/>
            </w:r>
            <w:r w:rsidR="003D01CD" w:rsidRPr="0007533C">
              <w:rPr>
                <w:rStyle w:val="Hyperlink"/>
                <w:noProof/>
              </w:rPr>
              <w:t>Non-regulatory Approaches to Improve Pesticide Safety</w:t>
            </w:r>
            <w:r w:rsidR="003D01CD">
              <w:rPr>
                <w:noProof/>
                <w:webHidden/>
              </w:rPr>
              <w:tab/>
            </w:r>
            <w:r w:rsidR="003D01CD">
              <w:rPr>
                <w:noProof/>
                <w:webHidden/>
              </w:rPr>
              <w:fldChar w:fldCharType="begin"/>
            </w:r>
            <w:r w:rsidR="003D01CD">
              <w:rPr>
                <w:noProof/>
                <w:webHidden/>
              </w:rPr>
              <w:instrText xml:space="preserve"> PAGEREF _Toc468872061 \h </w:instrText>
            </w:r>
            <w:r w:rsidR="003D01CD">
              <w:rPr>
                <w:noProof/>
                <w:webHidden/>
              </w:rPr>
            </w:r>
            <w:r w:rsidR="003D01CD">
              <w:rPr>
                <w:noProof/>
                <w:webHidden/>
              </w:rPr>
              <w:fldChar w:fldCharType="separate"/>
            </w:r>
            <w:r w:rsidR="003D01CD">
              <w:rPr>
                <w:noProof/>
                <w:webHidden/>
              </w:rPr>
              <w:t>15</w:t>
            </w:r>
            <w:r w:rsidR="003D01CD">
              <w:rPr>
                <w:noProof/>
                <w:webHidden/>
              </w:rPr>
              <w:fldChar w:fldCharType="end"/>
            </w:r>
          </w:hyperlink>
        </w:p>
        <w:p w14:paraId="6945F640" w14:textId="73D11346" w:rsidR="003D01CD" w:rsidRDefault="007B6E49">
          <w:pPr>
            <w:pStyle w:val="TOC2"/>
            <w:tabs>
              <w:tab w:val="left" w:pos="720"/>
              <w:tab w:val="right" w:leader="dot" w:pos="9350"/>
            </w:tabs>
            <w:rPr>
              <w:rFonts w:eastAsiaTheme="minorEastAsia" w:cstheme="minorBidi"/>
              <w:smallCaps w:val="0"/>
              <w:noProof/>
              <w:sz w:val="22"/>
              <w:szCs w:val="22"/>
            </w:rPr>
          </w:pPr>
          <w:hyperlink w:anchor="_Toc468872062" w:history="1">
            <w:r w:rsidR="003D01CD" w:rsidRPr="0007533C">
              <w:rPr>
                <w:rStyle w:val="Hyperlink"/>
                <w:noProof/>
              </w:rPr>
              <w:t>2.2</w:t>
            </w:r>
            <w:r w:rsidR="003D01CD">
              <w:rPr>
                <w:rFonts w:eastAsiaTheme="minorEastAsia" w:cstheme="minorBidi"/>
                <w:smallCaps w:val="0"/>
                <w:noProof/>
                <w:sz w:val="22"/>
                <w:szCs w:val="22"/>
              </w:rPr>
              <w:tab/>
            </w:r>
            <w:r w:rsidR="003D01CD" w:rsidRPr="0007533C">
              <w:rPr>
                <w:rStyle w:val="Hyperlink"/>
                <w:noProof/>
              </w:rPr>
              <w:t>Final Changes to the Certification Standards</w:t>
            </w:r>
            <w:r w:rsidR="003D01CD">
              <w:rPr>
                <w:noProof/>
                <w:webHidden/>
              </w:rPr>
              <w:tab/>
            </w:r>
            <w:r w:rsidR="003D01CD">
              <w:rPr>
                <w:noProof/>
                <w:webHidden/>
              </w:rPr>
              <w:fldChar w:fldCharType="begin"/>
            </w:r>
            <w:r w:rsidR="003D01CD">
              <w:rPr>
                <w:noProof/>
                <w:webHidden/>
              </w:rPr>
              <w:instrText xml:space="preserve"> PAGEREF _Toc468872062 \h </w:instrText>
            </w:r>
            <w:r w:rsidR="003D01CD">
              <w:rPr>
                <w:noProof/>
                <w:webHidden/>
              </w:rPr>
            </w:r>
            <w:r w:rsidR="003D01CD">
              <w:rPr>
                <w:noProof/>
                <w:webHidden/>
              </w:rPr>
              <w:fldChar w:fldCharType="separate"/>
            </w:r>
            <w:r w:rsidR="003D01CD">
              <w:rPr>
                <w:noProof/>
                <w:webHidden/>
              </w:rPr>
              <w:t>18</w:t>
            </w:r>
            <w:r w:rsidR="003D01CD">
              <w:rPr>
                <w:noProof/>
                <w:webHidden/>
              </w:rPr>
              <w:fldChar w:fldCharType="end"/>
            </w:r>
          </w:hyperlink>
        </w:p>
        <w:p w14:paraId="3C04F707" w14:textId="6FBD84B2"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63" w:history="1">
            <w:r w:rsidR="003D01CD" w:rsidRPr="0007533C">
              <w:rPr>
                <w:rStyle w:val="Hyperlink"/>
                <w:noProof/>
              </w:rPr>
              <w:t>2.2.1</w:t>
            </w:r>
            <w:r w:rsidR="003D01CD">
              <w:rPr>
                <w:rFonts w:eastAsiaTheme="minorEastAsia" w:cstheme="minorBidi"/>
                <w:i w:val="0"/>
                <w:iCs w:val="0"/>
                <w:noProof/>
                <w:sz w:val="22"/>
                <w:szCs w:val="22"/>
              </w:rPr>
              <w:tab/>
            </w:r>
            <w:r w:rsidR="003D01CD" w:rsidRPr="0007533C">
              <w:rPr>
                <w:rStyle w:val="Hyperlink"/>
                <w:noProof/>
              </w:rPr>
              <w:t>Enhancement of Private Applicator General Competency Standards</w:t>
            </w:r>
            <w:r w:rsidR="003D01CD">
              <w:rPr>
                <w:noProof/>
                <w:webHidden/>
              </w:rPr>
              <w:tab/>
            </w:r>
            <w:r w:rsidR="003D01CD">
              <w:rPr>
                <w:noProof/>
                <w:webHidden/>
              </w:rPr>
              <w:fldChar w:fldCharType="begin"/>
            </w:r>
            <w:r w:rsidR="003D01CD">
              <w:rPr>
                <w:noProof/>
                <w:webHidden/>
              </w:rPr>
              <w:instrText xml:space="preserve"> PAGEREF _Toc468872063 \h </w:instrText>
            </w:r>
            <w:r w:rsidR="003D01CD">
              <w:rPr>
                <w:noProof/>
                <w:webHidden/>
              </w:rPr>
            </w:r>
            <w:r w:rsidR="003D01CD">
              <w:rPr>
                <w:noProof/>
                <w:webHidden/>
              </w:rPr>
              <w:fldChar w:fldCharType="separate"/>
            </w:r>
            <w:r w:rsidR="003D01CD">
              <w:rPr>
                <w:noProof/>
                <w:webHidden/>
              </w:rPr>
              <w:t>18</w:t>
            </w:r>
            <w:r w:rsidR="003D01CD">
              <w:rPr>
                <w:noProof/>
                <w:webHidden/>
              </w:rPr>
              <w:fldChar w:fldCharType="end"/>
            </w:r>
          </w:hyperlink>
        </w:p>
        <w:p w14:paraId="25859219" w14:textId="04155E15"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64" w:history="1">
            <w:r w:rsidR="003D01CD" w:rsidRPr="0007533C">
              <w:rPr>
                <w:rStyle w:val="Hyperlink"/>
                <w:noProof/>
              </w:rPr>
              <w:t>2.2.2</w:t>
            </w:r>
            <w:r w:rsidR="003D01CD">
              <w:rPr>
                <w:rFonts w:eastAsiaTheme="minorEastAsia" w:cstheme="minorBidi"/>
                <w:i w:val="0"/>
                <w:iCs w:val="0"/>
                <w:noProof/>
                <w:sz w:val="22"/>
                <w:szCs w:val="22"/>
              </w:rPr>
              <w:tab/>
            </w:r>
            <w:r w:rsidR="003D01CD" w:rsidRPr="0007533C">
              <w:rPr>
                <w:rStyle w:val="Hyperlink"/>
                <w:noProof/>
              </w:rPr>
              <w:t>Establish Additional Categories for Commercial and Private Applicators</w:t>
            </w:r>
            <w:r w:rsidR="003D01CD">
              <w:rPr>
                <w:noProof/>
                <w:webHidden/>
              </w:rPr>
              <w:tab/>
            </w:r>
            <w:r w:rsidR="003D01CD">
              <w:rPr>
                <w:noProof/>
                <w:webHidden/>
              </w:rPr>
              <w:fldChar w:fldCharType="begin"/>
            </w:r>
            <w:r w:rsidR="003D01CD">
              <w:rPr>
                <w:noProof/>
                <w:webHidden/>
              </w:rPr>
              <w:instrText xml:space="preserve"> PAGEREF _Toc468872064 \h </w:instrText>
            </w:r>
            <w:r w:rsidR="003D01CD">
              <w:rPr>
                <w:noProof/>
                <w:webHidden/>
              </w:rPr>
            </w:r>
            <w:r w:rsidR="003D01CD">
              <w:rPr>
                <w:noProof/>
                <w:webHidden/>
              </w:rPr>
              <w:fldChar w:fldCharType="separate"/>
            </w:r>
            <w:r w:rsidR="003D01CD">
              <w:rPr>
                <w:noProof/>
                <w:webHidden/>
              </w:rPr>
              <w:t>20</w:t>
            </w:r>
            <w:r w:rsidR="003D01CD">
              <w:rPr>
                <w:noProof/>
                <w:webHidden/>
              </w:rPr>
              <w:fldChar w:fldCharType="end"/>
            </w:r>
          </w:hyperlink>
        </w:p>
        <w:p w14:paraId="104298A9" w14:textId="3AAE88D3"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65" w:history="1">
            <w:r w:rsidR="003D01CD" w:rsidRPr="0007533C">
              <w:rPr>
                <w:rStyle w:val="Hyperlink"/>
                <w:noProof/>
              </w:rPr>
              <w:t xml:space="preserve">2.2.3 </w:t>
            </w:r>
            <w:r w:rsidR="003D01CD">
              <w:rPr>
                <w:rFonts w:eastAsiaTheme="minorEastAsia" w:cstheme="minorBidi"/>
                <w:i w:val="0"/>
                <w:iCs w:val="0"/>
                <w:noProof/>
                <w:sz w:val="22"/>
                <w:szCs w:val="22"/>
              </w:rPr>
              <w:tab/>
            </w:r>
            <w:r w:rsidR="003D01CD" w:rsidRPr="0007533C">
              <w:rPr>
                <w:rStyle w:val="Hyperlink"/>
                <w:noProof/>
              </w:rPr>
              <w:t>Establish Predator Control Categories for Commercial and Private Applicators to Correspond to Existing Label Requirements</w:t>
            </w:r>
            <w:r w:rsidR="003D01CD">
              <w:rPr>
                <w:noProof/>
                <w:webHidden/>
              </w:rPr>
              <w:tab/>
            </w:r>
            <w:r w:rsidR="003D01CD">
              <w:rPr>
                <w:noProof/>
                <w:webHidden/>
              </w:rPr>
              <w:fldChar w:fldCharType="begin"/>
            </w:r>
            <w:r w:rsidR="003D01CD">
              <w:rPr>
                <w:noProof/>
                <w:webHidden/>
              </w:rPr>
              <w:instrText xml:space="preserve"> PAGEREF _Toc468872065 \h </w:instrText>
            </w:r>
            <w:r w:rsidR="003D01CD">
              <w:rPr>
                <w:noProof/>
                <w:webHidden/>
              </w:rPr>
            </w:r>
            <w:r w:rsidR="003D01CD">
              <w:rPr>
                <w:noProof/>
                <w:webHidden/>
              </w:rPr>
              <w:fldChar w:fldCharType="separate"/>
            </w:r>
            <w:r w:rsidR="003D01CD">
              <w:rPr>
                <w:noProof/>
                <w:webHidden/>
              </w:rPr>
              <w:t>21</w:t>
            </w:r>
            <w:r w:rsidR="003D01CD">
              <w:rPr>
                <w:noProof/>
                <w:webHidden/>
              </w:rPr>
              <w:fldChar w:fldCharType="end"/>
            </w:r>
          </w:hyperlink>
        </w:p>
        <w:p w14:paraId="65E73B1F" w14:textId="57156479"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66" w:history="1">
            <w:r w:rsidR="003D01CD" w:rsidRPr="0007533C">
              <w:rPr>
                <w:rStyle w:val="Hyperlink"/>
                <w:noProof/>
              </w:rPr>
              <w:t>2.2.4</w:t>
            </w:r>
            <w:r w:rsidR="003D01CD">
              <w:rPr>
                <w:rFonts w:eastAsiaTheme="minorEastAsia" w:cstheme="minorBidi"/>
                <w:i w:val="0"/>
                <w:iCs w:val="0"/>
                <w:noProof/>
                <w:sz w:val="22"/>
                <w:szCs w:val="22"/>
              </w:rPr>
              <w:tab/>
            </w:r>
            <w:r w:rsidR="003D01CD" w:rsidRPr="0007533C">
              <w:rPr>
                <w:rStyle w:val="Hyperlink"/>
                <w:noProof/>
              </w:rPr>
              <w:t>Security Standards for Certifying or Recertifying Commercial and Private Applicators</w:t>
            </w:r>
            <w:r w:rsidR="003D01CD">
              <w:rPr>
                <w:noProof/>
                <w:webHidden/>
              </w:rPr>
              <w:tab/>
            </w:r>
            <w:r w:rsidR="003D01CD">
              <w:rPr>
                <w:noProof/>
                <w:webHidden/>
              </w:rPr>
              <w:fldChar w:fldCharType="begin"/>
            </w:r>
            <w:r w:rsidR="003D01CD">
              <w:rPr>
                <w:noProof/>
                <w:webHidden/>
              </w:rPr>
              <w:instrText xml:space="preserve"> PAGEREF _Toc468872066 \h </w:instrText>
            </w:r>
            <w:r w:rsidR="003D01CD">
              <w:rPr>
                <w:noProof/>
                <w:webHidden/>
              </w:rPr>
            </w:r>
            <w:r w:rsidR="003D01CD">
              <w:rPr>
                <w:noProof/>
                <w:webHidden/>
              </w:rPr>
              <w:fldChar w:fldCharType="separate"/>
            </w:r>
            <w:r w:rsidR="003D01CD">
              <w:rPr>
                <w:noProof/>
                <w:webHidden/>
              </w:rPr>
              <w:t>22</w:t>
            </w:r>
            <w:r w:rsidR="003D01CD">
              <w:rPr>
                <w:noProof/>
                <w:webHidden/>
              </w:rPr>
              <w:fldChar w:fldCharType="end"/>
            </w:r>
          </w:hyperlink>
        </w:p>
        <w:p w14:paraId="72D40926" w14:textId="29657D83"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67" w:history="1">
            <w:r w:rsidR="003D01CD" w:rsidRPr="0007533C">
              <w:rPr>
                <w:rStyle w:val="Hyperlink"/>
                <w:noProof/>
              </w:rPr>
              <w:t>2.2.5</w:t>
            </w:r>
            <w:r w:rsidR="003D01CD">
              <w:rPr>
                <w:rFonts w:eastAsiaTheme="minorEastAsia" w:cstheme="minorBidi"/>
                <w:i w:val="0"/>
                <w:iCs w:val="0"/>
                <w:noProof/>
                <w:sz w:val="22"/>
                <w:szCs w:val="22"/>
              </w:rPr>
              <w:tab/>
            </w:r>
            <w:r w:rsidR="003D01CD" w:rsidRPr="0007533C">
              <w:rPr>
                <w:rStyle w:val="Hyperlink"/>
                <w:noProof/>
              </w:rPr>
              <w:t>Standards for Supervision of Noncertified Applicators, and Provisions for Commercial Applicator Recordkeeping of Noncertified Applicator Training</w:t>
            </w:r>
            <w:r w:rsidR="003D01CD">
              <w:rPr>
                <w:noProof/>
                <w:webHidden/>
              </w:rPr>
              <w:tab/>
            </w:r>
            <w:r w:rsidR="003D01CD">
              <w:rPr>
                <w:noProof/>
                <w:webHidden/>
              </w:rPr>
              <w:fldChar w:fldCharType="begin"/>
            </w:r>
            <w:r w:rsidR="003D01CD">
              <w:rPr>
                <w:noProof/>
                <w:webHidden/>
              </w:rPr>
              <w:instrText xml:space="preserve"> PAGEREF _Toc468872067 \h </w:instrText>
            </w:r>
            <w:r w:rsidR="003D01CD">
              <w:rPr>
                <w:noProof/>
                <w:webHidden/>
              </w:rPr>
            </w:r>
            <w:r w:rsidR="003D01CD">
              <w:rPr>
                <w:noProof/>
                <w:webHidden/>
              </w:rPr>
              <w:fldChar w:fldCharType="separate"/>
            </w:r>
            <w:r w:rsidR="003D01CD">
              <w:rPr>
                <w:noProof/>
                <w:webHidden/>
              </w:rPr>
              <w:t>23</w:t>
            </w:r>
            <w:r w:rsidR="003D01CD">
              <w:rPr>
                <w:noProof/>
                <w:webHidden/>
              </w:rPr>
              <w:fldChar w:fldCharType="end"/>
            </w:r>
          </w:hyperlink>
        </w:p>
        <w:p w14:paraId="4B6FDE6E" w14:textId="699B8C23"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68" w:history="1">
            <w:r w:rsidR="003D01CD" w:rsidRPr="0007533C">
              <w:rPr>
                <w:rStyle w:val="Hyperlink"/>
                <w:noProof/>
              </w:rPr>
              <w:t>2.2.6</w:t>
            </w:r>
            <w:r w:rsidR="003D01CD">
              <w:rPr>
                <w:rFonts w:eastAsiaTheme="minorEastAsia" w:cstheme="minorBidi"/>
                <w:i w:val="0"/>
                <w:iCs w:val="0"/>
                <w:noProof/>
                <w:sz w:val="22"/>
                <w:szCs w:val="22"/>
              </w:rPr>
              <w:tab/>
            </w:r>
            <w:r w:rsidR="003D01CD" w:rsidRPr="0007533C">
              <w:rPr>
                <w:rStyle w:val="Hyperlink"/>
                <w:noProof/>
              </w:rPr>
              <w:t>Age Requirements for Private and Commercial Applicators</w:t>
            </w:r>
            <w:r w:rsidR="003D01CD">
              <w:rPr>
                <w:noProof/>
                <w:webHidden/>
              </w:rPr>
              <w:tab/>
            </w:r>
            <w:r w:rsidR="003D01CD">
              <w:rPr>
                <w:noProof/>
                <w:webHidden/>
              </w:rPr>
              <w:fldChar w:fldCharType="begin"/>
            </w:r>
            <w:r w:rsidR="003D01CD">
              <w:rPr>
                <w:noProof/>
                <w:webHidden/>
              </w:rPr>
              <w:instrText xml:space="preserve"> PAGEREF _Toc468872068 \h </w:instrText>
            </w:r>
            <w:r w:rsidR="003D01CD">
              <w:rPr>
                <w:noProof/>
                <w:webHidden/>
              </w:rPr>
            </w:r>
            <w:r w:rsidR="003D01CD">
              <w:rPr>
                <w:noProof/>
                <w:webHidden/>
              </w:rPr>
              <w:fldChar w:fldCharType="separate"/>
            </w:r>
            <w:r w:rsidR="003D01CD">
              <w:rPr>
                <w:noProof/>
                <w:webHidden/>
              </w:rPr>
              <w:t>27</w:t>
            </w:r>
            <w:r w:rsidR="003D01CD">
              <w:rPr>
                <w:noProof/>
                <w:webHidden/>
              </w:rPr>
              <w:fldChar w:fldCharType="end"/>
            </w:r>
          </w:hyperlink>
        </w:p>
        <w:p w14:paraId="1DB503E5" w14:textId="34CA49FA"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69" w:history="1">
            <w:r w:rsidR="003D01CD" w:rsidRPr="0007533C">
              <w:rPr>
                <w:rStyle w:val="Hyperlink"/>
                <w:noProof/>
              </w:rPr>
              <w:t>2.2.7</w:t>
            </w:r>
            <w:r w:rsidR="003D01CD">
              <w:rPr>
                <w:rFonts w:eastAsiaTheme="minorEastAsia" w:cstheme="minorBidi"/>
                <w:i w:val="0"/>
                <w:iCs w:val="0"/>
                <w:noProof/>
                <w:sz w:val="22"/>
                <w:szCs w:val="22"/>
              </w:rPr>
              <w:tab/>
            </w:r>
            <w:r w:rsidR="003D01CD" w:rsidRPr="0007533C">
              <w:rPr>
                <w:rStyle w:val="Hyperlink"/>
                <w:noProof/>
              </w:rPr>
              <w:t>Age Requirements for Noncertified Applicators Applying RUPs under the Direct Supervision of Commercial and Private Applicators</w:t>
            </w:r>
            <w:r w:rsidR="003D01CD">
              <w:rPr>
                <w:noProof/>
                <w:webHidden/>
              </w:rPr>
              <w:tab/>
            </w:r>
            <w:r w:rsidR="003D01CD">
              <w:rPr>
                <w:noProof/>
                <w:webHidden/>
              </w:rPr>
              <w:fldChar w:fldCharType="begin"/>
            </w:r>
            <w:r w:rsidR="003D01CD">
              <w:rPr>
                <w:noProof/>
                <w:webHidden/>
              </w:rPr>
              <w:instrText xml:space="preserve"> PAGEREF _Toc468872069 \h </w:instrText>
            </w:r>
            <w:r w:rsidR="003D01CD">
              <w:rPr>
                <w:noProof/>
                <w:webHidden/>
              </w:rPr>
            </w:r>
            <w:r w:rsidR="003D01CD">
              <w:rPr>
                <w:noProof/>
                <w:webHidden/>
              </w:rPr>
              <w:fldChar w:fldCharType="separate"/>
            </w:r>
            <w:r w:rsidR="003D01CD">
              <w:rPr>
                <w:noProof/>
                <w:webHidden/>
              </w:rPr>
              <w:t>28</w:t>
            </w:r>
            <w:r w:rsidR="003D01CD">
              <w:rPr>
                <w:noProof/>
                <w:webHidden/>
              </w:rPr>
              <w:fldChar w:fldCharType="end"/>
            </w:r>
          </w:hyperlink>
        </w:p>
        <w:p w14:paraId="44632B2D" w14:textId="549CDD66"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70" w:history="1">
            <w:r w:rsidR="003D01CD" w:rsidRPr="0007533C">
              <w:rPr>
                <w:rStyle w:val="Hyperlink"/>
                <w:noProof/>
              </w:rPr>
              <w:t>2.2.8</w:t>
            </w:r>
            <w:r w:rsidR="003D01CD">
              <w:rPr>
                <w:rFonts w:eastAsiaTheme="minorEastAsia" w:cstheme="minorBidi"/>
                <w:i w:val="0"/>
                <w:iCs w:val="0"/>
                <w:noProof/>
                <w:sz w:val="22"/>
                <w:szCs w:val="22"/>
              </w:rPr>
              <w:tab/>
            </w:r>
            <w:r w:rsidR="003D01CD" w:rsidRPr="0007533C">
              <w:rPr>
                <w:rStyle w:val="Hyperlink"/>
                <w:noProof/>
              </w:rPr>
              <w:t>Standards for Recertification of Private and Commercial Applicators</w:t>
            </w:r>
            <w:r w:rsidR="003D01CD">
              <w:rPr>
                <w:noProof/>
                <w:webHidden/>
              </w:rPr>
              <w:tab/>
            </w:r>
            <w:r w:rsidR="003D01CD">
              <w:rPr>
                <w:noProof/>
                <w:webHidden/>
              </w:rPr>
              <w:fldChar w:fldCharType="begin"/>
            </w:r>
            <w:r w:rsidR="003D01CD">
              <w:rPr>
                <w:noProof/>
                <w:webHidden/>
              </w:rPr>
              <w:instrText xml:space="preserve"> PAGEREF _Toc468872070 \h </w:instrText>
            </w:r>
            <w:r w:rsidR="003D01CD">
              <w:rPr>
                <w:noProof/>
                <w:webHidden/>
              </w:rPr>
            </w:r>
            <w:r w:rsidR="003D01CD">
              <w:rPr>
                <w:noProof/>
                <w:webHidden/>
              </w:rPr>
              <w:fldChar w:fldCharType="separate"/>
            </w:r>
            <w:r w:rsidR="003D01CD">
              <w:rPr>
                <w:noProof/>
                <w:webHidden/>
              </w:rPr>
              <w:t>28</w:t>
            </w:r>
            <w:r w:rsidR="003D01CD">
              <w:rPr>
                <w:noProof/>
                <w:webHidden/>
              </w:rPr>
              <w:fldChar w:fldCharType="end"/>
            </w:r>
          </w:hyperlink>
        </w:p>
        <w:p w14:paraId="2B7C4606" w14:textId="6604D0B1"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71" w:history="1">
            <w:r w:rsidR="003D01CD" w:rsidRPr="0007533C">
              <w:rPr>
                <w:rStyle w:val="Hyperlink"/>
                <w:noProof/>
              </w:rPr>
              <w:t>2.2.9</w:t>
            </w:r>
            <w:r w:rsidR="003D01CD">
              <w:rPr>
                <w:rFonts w:eastAsiaTheme="minorEastAsia" w:cstheme="minorBidi"/>
                <w:i w:val="0"/>
                <w:iCs w:val="0"/>
                <w:noProof/>
                <w:sz w:val="22"/>
                <w:szCs w:val="22"/>
              </w:rPr>
              <w:tab/>
            </w:r>
            <w:r w:rsidR="003D01CD" w:rsidRPr="0007533C">
              <w:rPr>
                <w:rStyle w:val="Hyperlink"/>
                <w:noProof/>
              </w:rPr>
              <w:t>General Administrative Requirements for RUP Dealers, States, Tribes, and Federal Agencies</w:t>
            </w:r>
            <w:r w:rsidR="003D01CD">
              <w:rPr>
                <w:noProof/>
                <w:webHidden/>
              </w:rPr>
              <w:tab/>
            </w:r>
            <w:r w:rsidR="003D01CD">
              <w:rPr>
                <w:noProof/>
                <w:webHidden/>
              </w:rPr>
              <w:fldChar w:fldCharType="begin"/>
            </w:r>
            <w:r w:rsidR="003D01CD">
              <w:rPr>
                <w:noProof/>
                <w:webHidden/>
              </w:rPr>
              <w:instrText xml:space="preserve"> PAGEREF _Toc468872071 \h </w:instrText>
            </w:r>
            <w:r w:rsidR="003D01CD">
              <w:rPr>
                <w:noProof/>
                <w:webHidden/>
              </w:rPr>
            </w:r>
            <w:r w:rsidR="003D01CD">
              <w:rPr>
                <w:noProof/>
                <w:webHidden/>
              </w:rPr>
              <w:fldChar w:fldCharType="separate"/>
            </w:r>
            <w:r w:rsidR="003D01CD">
              <w:rPr>
                <w:noProof/>
                <w:webHidden/>
              </w:rPr>
              <w:t>30</w:t>
            </w:r>
            <w:r w:rsidR="003D01CD">
              <w:rPr>
                <w:noProof/>
                <w:webHidden/>
              </w:rPr>
              <w:fldChar w:fldCharType="end"/>
            </w:r>
          </w:hyperlink>
        </w:p>
        <w:p w14:paraId="59972480" w14:textId="52196AA8" w:rsidR="003D01CD" w:rsidRDefault="007B6E49">
          <w:pPr>
            <w:pStyle w:val="TOC1"/>
            <w:tabs>
              <w:tab w:val="right" w:leader="dot" w:pos="9350"/>
            </w:tabs>
            <w:rPr>
              <w:rFonts w:eastAsiaTheme="minorEastAsia" w:cstheme="minorBidi"/>
              <w:b w:val="0"/>
              <w:bCs w:val="0"/>
              <w:caps w:val="0"/>
              <w:noProof/>
              <w:sz w:val="22"/>
              <w:szCs w:val="22"/>
            </w:rPr>
          </w:pPr>
          <w:hyperlink w:anchor="_Toc468872072" w:history="1">
            <w:r w:rsidR="003D01CD" w:rsidRPr="0007533C">
              <w:rPr>
                <w:rStyle w:val="Hyperlink"/>
                <w:noProof/>
                <w:kern w:val="32"/>
              </w:rPr>
              <w:t>Chapter 3.  Cost Assessment, Regulatory Options</w:t>
            </w:r>
            <w:r w:rsidR="003D01CD">
              <w:rPr>
                <w:noProof/>
                <w:webHidden/>
              </w:rPr>
              <w:tab/>
            </w:r>
            <w:r w:rsidR="003D01CD">
              <w:rPr>
                <w:noProof/>
                <w:webHidden/>
              </w:rPr>
              <w:fldChar w:fldCharType="begin"/>
            </w:r>
            <w:r w:rsidR="003D01CD">
              <w:rPr>
                <w:noProof/>
                <w:webHidden/>
              </w:rPr>
              <w:instrText xml:space="preserve"> PAGEREF _Toc468872072 \h </w:instrText>
            </w:r>
            <w:r w:rsidR="003D01CD">
              <w:rPr>
                <w:noProof/>
                <w:webHidden/>
              </w:rPr>
            </w:r>
            <w:r w:rsidR="003D01CD">
              <w:rPr>
                <w:noProof/>
                <w:webHidden/>
              </w:rPr>
              <w:fldChar w:fldCharType="separate"/>
            </w:r>
            <w:r w:rsidR="003D01CD">
              <w:rPr>
                <w:noProof/>
                <w:webHidden/>
              </w:rPr>
              <w:t>32</w:t>
            </w:r>
            <w:r w:rsidR="003D01CD">
              <w:rPr>
                <w:noProof/>
                <w:webHidden/>
              </w:rPr>
              <w:fldChar w:fldCharType="end"/>
            </w:r>
          </w:hyperlink>
        </w:p>
        <w:p w14:paraId="166037EA" w14:textId="1134787D" w:rsidR="003D01CD" w:rsidRDefault="007B6E49">
          <w:pPr>
            <w:pStyle w:val="TOC2"/>
            <w:tabs>
              <w:tab w:val="left" w:pos="720"/>
              <w:tab w:val="right" w:leader="dot" w:pos="9350"/>
            </w:tabs>
            <w:rPr>
              <w:rFonts w:eastAsiaTheme="minorEastAsia" w:cstheme="minorBidi"/>
              <w:smallCaps w:val="0"/>
              <w:noProof/>
              <w:sz w:val="22"/>
              <w:szCs w:val="22"/>
            </w:rPr>
          </w:pPr>
          <w:hyperlink w:anchor="_Toc468872073" w:history="1">
            <w:r w:rsidR="003D01CD" w:rsidRPr="0007533C">
              <w:rPr>
                <w:rStyle w:val="Hyperlink"/>
                <w:noProof/>
              </w:rPr>
              <w:t>3.1</w:t>
            </w:r>
            <w:r w:rsidR="003D01CD">
              <w:rPr>
                <w:rFonts w:eastAsiaTheme="minorEastAsia" w:cstheme="minorBidi"/>
                <w:smallCaps w:val="0"/>
                <w:noProof/>
                <w:sz w:val="22"/>
                <w:szCs w:val="22"/>
              </w:rPr>
              <w:tab/>
            </w:r>
            <w:r w:rsidR="003D01CD" w:rsidRPr="0007533C">
              <w:rPr>
                <w:rStyle w:val="Hyperlink"/>
                <w:noProof/>
              </w:rPr>
              <w:t>Overview</w:t>
            </w:r>
            <w:r w:rsidR="003D01CD">
              <w:rPr>
                <w:noProof/>
                <w:webHidden/>
              </w:rPr>
              <w:tab/>
            </w:r>
            <w:r w:rsidR="003D01CD">
              <w:rPr>
                <w:noProof/>
                <w:webHidden/>
              </w:rPr>
              <w:fldChar w:fldCharType="begin"/>
            </w:r>
            <w:r w:rsidR="003D01CD">
              <w:rPr>
                <w:noProof/>
                <w:webHidden/>
              </w:rPr>
              <w:instrText xml:space="preserve"> PAGEREF _Toc468872073 \h </w:instrText>
            </w:r>
            <w:r w:rsidR="003D01CD">
              <w:rPr>
                <w:noProof/>
                <w:webHidden/>
              </w:rPr>
            </w:r>
            <w:r w:rsidR="003D01CD">
              <w:rPr>
                <w:noProof/>
                <w:webHidden/>
              </w:rPr>
              <w:fldChar w:fldCharType="separate"/>
            </w:r>
            <w:r w:rsidR="003D01CD">
              <w:rPr>
                <w:noProof/>
                <w:webHidden/>
              </w:rPr>
              <w:t>32</w:t>
            </w:r>
            <w:r w:rsidR="003D01CD">
              <w:rPr>
                <w:noProof/>
                <w:webHidden/>
              </w:rPr>
              <w:fldChar w:fldCharType="end"/>
            </w:r>
          </w:hyperlink>
        </w:p>
        <w:p w14:paraId="044DD7B0" w14:textId="054CAC39" w:rsidR="003D01CD" w:rsidRDefault="007B6E49">
          <w:pPr>
            <w:pStyle w:val="TOC2"/>
            <w:tabs>
              <w:tab w:val="left" w:pos="720"/>
              <w:tab w:val="right" w:leader="dot" w:pos="9350"/>
            </w:tabs>
            <w:rPr>
              <w:rFonts w:eastAsiaTheme="minorEastAsia" w:cstheme="minorBidi"/>
              <w:smallCaps w:val="0"/>
              <w:noProof/>
              <w:sz w:val="22"/>
              <w:szCs w:val="22"/>
            </w:rPr>
          </w:pPr>
          <w:hyperlink w:anchor="_Toc468872074" w:history="1">
            <w:r w:rsidR="003D01CD" w:rsidRPr="0007533C">
              <w:rPr>
                <w:rStyle w:val="Hyperlink"/>
                <w:noProof/>
              </w:rPr>
              <w:t>3.2</w:t>
            </w:r>
            <w:r w:rsidR="003D01CD">
              <w:rPr>
                <w:rFonts w:eastAsiaTheme="minorEastAsia" w:cstheme="minorBidi"/>
                <w:smallCaps w:val="0"/>
                <w:noProof/>
                <w:sz w:val="22"/>
                <w:szCs w:val="22"/>
              </w:rPr>
              <w:tab/>
            </w:r>
            <w:r w:rsidR="003D01CD" w:rsidRPr="0007533C">
              <w:rPr>
                <w:rStyle w:val="Hyperlink"/>
                <w:noProof/>
              </w:rPr>
              <w:t>Methodology</w:t>
            </w:r>
            <w:r w:rsidR="003D01CD">
              <w:rPr>
                <w:noProof/>
                <w:webHidden/>
              </w:rPr>
              <w:tab/>
            </w:r>
            <w:r w:rsidR="003D01CD">
              <w:rPr>
                <w:noProof/>
                <w:webHidden/>
              </w:rPr>
              <w:fldChar w:fldCharType="begin"/>
            </w:r>
            <w:r w:rsidR="003D01CD">
              <w:rPr>
                <w:noProof/>
                <w:webHidden/>
              </w:rPr>
              <w:instrText xml:space="preserve"> PAGEREF _Toc468872074 \h </w:instrText>
            </w:r>
            <w:r w:rsidR="003D01CD">
              <w:rPr>
                <w:noProof/>
                <w:webHidden/>
              </w:rPr>
            </w:r>
            <w:r w:rsidR="003D01CD">
              <w:rPr>
                <w:noProof/>
                <w:webHidden/>
              </w:rPr>
              <w:fldChar w:fldCharType="separate"/>
            </w:r>
            <w:r w:rsidR="003D01CD">
              <w:rPr>
                <w:noProof/>
                <w:webHidden/>
              </w:rPr>
              <w:t>33</w:t>
            </w:r>
            <w:r w:rsidR="003D01CD">
              <w:rPr>
                <w:noProof/>
                <w:webHidden/>
              </w:rPr>
              <w:fldChar w:fldCharType="end"/>
            </w:r>
          </w:hyperlink>
        </w:p>
        <w:p w14:paraId="39583FF2" w14:textId="6C23D25E"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75" w:history="1">
            <w:r w:rsidR="003D01CD" w:rsidRPr="0007533C">
              <w:rPr>
                <w:rStyle w:val="Hyperlink"/>
                <w:noProof/>
              </w:rPr>
              <w:t>3.2.1</w:t>
            </w:r>
            <w:r w:rsidR="003D01CD">
              <w:rPr>
                <w:rFonts w:eastAsiaTheme="minorEastAsia" w:cstheme="minorBidi"/>
                <w:i w:val="0"/>
                <w:iCs w:val="0"/>
                <w:noProof/>
                <w:sz w:val="22"/>
                <w:szCs w:val="22"/>
              </w:rPr>
              <w:tab/>
            </w:r>
            <w:r w:rsidR="003D01CD" w:rsidRPr="0007533C">
              <w:rPr>
                <w:rStyle w:val="Hyperlink"/>
                <w:noProof/>
              </w:rPr>
              <w:t>General Methodology</w:t>
            </w:r>
            <w:r w:rsidR="003D01CD">
              <w:rPr>
                <w:noProof/>
                <w:webHidden/>
              </w:rPr>
              <w:tab/>
            </w:r>
            <w:r w:rsidR="003D01CD">
              <w:rPr>
                <w:noProof/>
                <w:webHidden/>
              </w:rPr>
              <w:fldChar w:fldCharType="begin"/>
            </w:r>
            <w:r w:rsidR="003D01CD">
              <w:rPr>
                <w:noProof/>
                <w:webHidden/>
              </w:rPr>
              <w:instrText xml:space="preserve"> PAGEREF _Toc468872075 \h </w:instrText>
            </w:r>
            <w:r w:rsidR="003D01CD">
              <w:rPr>
                <w:noProof/>
                <w:webHidden/>
              </w:rPr>
            </w:r>
            <w:r w:rsidR="003D01CD">
              <w:rPr>
                <w:noProof/>
                <w:webHidden/>
              </w:rPr>
              <w:fldChar w:fldCharType="separate"/>
            </w:r>
            <w:r w:rsidR="003D01CD">
              <w:rPr>
                <w:noProof/>
                <w:webHidden/>
              </w:rPr>
              <w:t>33</w:t>
            </w:r>
            <w:r w:rsidR="003D01CD">
              <w:rPr>
                <w:noProof/>
                <w:webHidden/>
              </w:rPr>
              <w:fldChar w:fldCharType="end"/>
            </w:r>
          </w:hyperlink>
        </w:p>
        <w:p w14:paraId="099A0BEC" w14:textId="51CB4C0A"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76" w:history="1">
            <w:r w:rsidR="003D01CD" w:rsidRPr="0007533C">
              <w:rPr>
                <w:rStyle w:val="Hyperlink"/>
                <w:noProof/>
              </w:rPr>
              <w:t>3.2.2</w:t>
            </w:r>
            <w:r w:rsidR="003D01CD">
              <w:rPr>
                <w:rFonts w:eastAsiaTheme="minorEastAsia" w:cstheme="minorBidi"/>
                <w:i w:val="0"/>
                <w:iCs w:val="0"/>
                <w:noProof/>
                <w:sz w:val="22"/>
                <w:szCs w:val="22"/>
              </w:rPr>
              <w:tab/>
            </w:r>
            <w:r w:rsidR="003D01CD" w:rsidRPr="0007533C">
              <w:rPr>
                <w:rStyle w:val="Hyperlink"/>
                <w:noProof/>
              </w:rPr>
              <w:t>Example Methodology</w:t>
            </w:r>
            <w:r w:rsidR="003D01CD">
              <w:rPr>
                <w:noProof/>
                <w:webHidden/>
              </w:rPr>
              <w:tab/>
            </w:r>
            <w:r w:rsidR="003D01CD">
              <w:rPr>
                <w:noProof/>
                <w:webHidden/>
              </w:rPr>
              <w:fldChar w:fldCharType="begin"/>
            </w:r>
            <w:r w:rsidR="003D01CD">
              <w:rPr>
                <w:noProof/>
                <w:webHidden/>
              </w:rPr>
              <w:instrText xml:space="preserve"> PAGEREF _Toc468872076 \h </w:instrText>
            </w:r>
            <w:r w:rsidR="003D01CD">
              <w:rPr>
                <w:noProof/>
                <w:webHidden/>
              </w:rPr>
            </w:r>
            <w:r w:rsidR="003D01CD">
              <w:rPr>
                <w:noProof/>
                <w:webHidden/>
              </w:rPr>
              <w:fldChar w:fldCharType="separate"/>
            </w:r>
            <w:r w:rsidR="003D01CD">
              <w:rPr>
                <w:noProof/>
                <w:webHidden/>
              </w:rPr>
              <w:t>37</w:t>
            </w:r>
            <w:r w:rsidR="003D01CD">
              <w:rPr>
                <w:noProof/>
                <w:webHidden/>
              </w:rPr>
              <w:fldChar w:fldCharType="end"/>
            </w:r>
          </w:hyperlink>
        </w:p>
        <w:p w14:paraId="75C80A83" w14:textId="17389F4F" w:rsidR="003D01CD" w:rsidRDefault="007B6E49">
          <w:pPr>
            <w:pStyle w:val="TOC2"/>
            <w:tabs>
              <w:tab w:val="left" w:pos="720"/>
              <w:tab w:val="right" w:leader="dot" w:pos="9350"/>
            </w:tabs>
            <w:rPr>
              <w:rFonts w:eastAsiaTheme="minorEastAsia" w:cstheme="minorBidi"/>
              <w:smallCaps w:val="0"/>
              <w:noProof/>
              <w:sz w:val="22"/>
              <w:szCs w:val="22"/>
            </w:rPr>
          </w:pPr>
          <w:hyperlink w:anchor="_Toc468872077" w:history="1">
            <w:r w:rsidR="003D01CD" w:rsidRPr="0007533C">
              <w:rPr>
                <w:rStyle w:val="Hyperlink"/>
                <w:noProof/>
              </w:rPr>
              <w:t>3.3</w:t>
            </w:r>
            <w:r w:rsidR="003D01CD">
              <w:rPr>
                <w:rFonts w:eastAsiaTheme="minorEastAsia" w:cstheme="minorBidi"/>
                <w:smallCaps w:val="0"/>
                <w:noProof/>
                <w:sz w:val="22"/>
                <w:szCs w:val="22"/>
              </w:rPr>
              <w:tab/>
            </w:r>
            <w:r w:rsidR="003D01CD" w:rsidRPr="0007533C">
              <w:rPr>
                <w:rStyle w:val="Hyperlink"/>
                <w:noProof/>
              </w:rPr>
              <w:t>Cost Analysis Data</w:t>
            </w:r>
            <w:r w:rsidR="003D01CD">
              <w:rPr>
                <w:noProof/>
                <w:webHidden/>
              </w:rPr>
              <w:tab/>
            </w:r>
            <w:r w:rsidR="003D01CD">
              <w:rPr>
                <w:noProof/>
                <w:webHidden/>
              </w:rPr>
              <w:fldChar w:fldCharType="begin"/>
            </w:r>
            <w:r w:rsidR="003D01CD">
              <w:rPr>
                <w:noProof/>
                <w:webHidden/>
              </w:rPr>
              <w:instrText xml:space="preserve"> PAGEREF _Toc468872077 \h </w:instrText>
            </w:r>
            <w:r w:rsidR="003D01CD">
              <w:rPr>
                <w:noProof/>
                <w:webHidden/>
              </w:rPr>
            </w:r>
            <w:r w:rsidR="003D01CD">
              <w:rPr>
                <w:noProof/>
                <w:webHidden/>
              </w:rPr>
              <w:fldChar w:fldCharType="separate"/>
            </w:r>
            <w:r w:rsidR="003D01CD">
              <w:rPr>
                <w:noProof/>
                <w:webHidden/>
              </w:rPr>
              <w:t>41</w:t>
            </w:r>
            <w:r w:rsidR="003D01CD">
              <w:rPr>
                <w:noProof/>
                <w:webHidden/>
              </w:rPr>
              <w:fldChar w:fldCharType="end"/>
            </w:r>
          </w:hyperlink>
        </w:p>
        <w:p w14:paraId="1648431F" w14:textId="37578BCC"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78" w:history="1">
            <w:r w:rsidR="003D01CD" w:rsidRPr="0007533C">
              <w:rPr>
                <w:rStyle w:val="Hyperlink"/>
                <w:noProof/>
              </w:rPr>
              <w:t>3.3.1</w:t>
            </w:r>
            <w:r w:rsidR="003D01CD">
              <w:rPr>
                <w:rFonts w:eastAsiaTheme="minorEastAsia" w:cstheme="minorBidi"/>
                <w:i w:val="0"/>
                <w:iCs w:val="0"/>
                <w:noProof/>
                <w:sz w:val="22"/>
                <w:szCs w:val="22"/>
              </w:rPr>
              <w:tab/>
            </w:r>
            <w:r w:rsidR="003D01CD" w:rsidRPr="0007533C">
              <w:rPr>
                <w:rStyle w:val="Hyperlink"/>
                <w:noProof/>
              </w:rPr>
              <w:t>Commercial applicators</w:t>
            </w:r>
            <w:r w:rsidR="003D01CD">
              <w:rPr>
                <w:noProof/>
                <w:webHidden/>
              </w:rPr>
              <w:tab/>
            </w:r>
            <w:r w:rsidR="003D01CD">
              <w:rPr>
                <w:noProof/>
                <w:webHidden/>
              </w:rPr>
              <w:fldChar w:fldCharType="begin"/>
            </w:r>
            <w:r w:rsidR="003D01CD">
              <w:rPr>
                <w:noProof/>
                <w:webHidden/>
              </w:rPr>
              <w:instrText xml:space="preserve"> PAGEREF _Toc468872078 \h </w:instrText>
            </w:r>
            <w:r w:rsidR="003D01CD">
              <w:rPr>
                <w:noProof/>
                <w:webHidden/>
              </w:rPr>
            </w:r>
            <w:r w:rsidR="003D01CD">
              <w:rPr>
                <w:noProof/>
                <w:webHidden/>
              </w:rPr>
              <w:fldChar w:fldCharType="separate"/>
            </w:r>
            <w:r w:rsidR="003D01CD">
              <w:rPr>
                <w:noProof/>
                <w:webHidden/>
              </w:rPr>
              <w:t>41</w:t>
            </w:r>
            <w:r w:rsidR="003D01CD">
              <w:rPr>
                <w:noProof/>
                <w:webHidden/>
              </w:rPr>
              <w:fldChar w:fldCharType="end"/>
            </w:r>
          </w:hyperlink>
        </w:p>
        <w:p w14:paraId="6D43B5BB" w14:textId="2C095582"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79" w:history="1">
            <w:r w:rsidR="003D01CD" w:rsidRPr="0007533C">
              <w:rPr>
                <w:rStyle w:val="Hyperlink"/>
                <w:noProof/>
              </w:rPr>
              <w:t>3.3.2</w:t>
            </w:r>
            <w:r w:rsidR="003D01CD">
              <w:rPr>
                <w:rFonts w:eastAsiaTheme="minorEastAsia" w:cstheme="minorBidi"/>
                <w:i w:val="0"/>
                <w:iCs w:val="0"/>
                <w:noProof/>
                <w:sz w:val="22"/>
                <w:szCs w:val="22"/>
              </w:rPr>
              <w:tab/>
            </w:r>
            <w:r w:rsidR="003D01CD" w:rsidRPr="0007533C">
              <w:rPr>
                <w:rStyle w:val="Hyperlink"/>
                <w:noProof/>
              </w:rPr>
              <w:t>Noncertified applicators working under the direct supervision of commercial applicators</w:t>
            </w:r>
            <w:r w:rsidR="003D01CD">
              <w:rPr>
                <w:noProof/>
                <w:webHidden/>
              </w:rPr>
              <w:tab/>
            </w:r>
            <w:r w:rsidR="003D01CD">
              <w:rPr>
                <w:noProof/>
                <w:webHidden/>
              </w:rPr>
              <w:fldChar w:fldCharType="begin"/>
            </w:r>
            <w:r w:rsidR="003D01CD">
              <w:rPr>
                <w:noProof/>
                <w:webHidden/>
              </w:rPr>
              <w:instrText xml:space="preserve"> PAGEREF _Toc468872079 \h </w:instrText>
            </w:r>
            <w:r w:rsidR="003D01CD">
              <w:rPr>
                <w:noProof/>
                <w:webHidden/>
              </w:rPr>
            </w:r>
            <w:r w:rsidR="003D01CD">
              <w:rPr>
                <w:noProof/>
                <w:webHidden/>
              </w:rPr>
              <w:fldChar w:fldCharType="separate"/>
            </w:r>
            <w:r w:rsidR="003D01CD">
              <w:rPr>
                <w:noProof/>
                <w:webHidden/>
              </w:rPr>
              <w:t>47</w:t>
            </w:r>
            <w:r w:rsidR="003D01CD">
              <w:rPr>
                <w:noProof/>
                <w:webHidden/>
              </w:rPr>
              <w:fldChar w:fldCharType="end"/>
            </w:r>
          </w:hyperlink>
        </w:p>
        <w:p w14:paraId="599FACFC" w14:textId="605F79D8"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80" w:history="1">
            <w:r w:rsidR="003D01CD" w:rsidRPr="0007533C">
              <w:rPr>
                <w:rStyle w:val="Hyperlink"/>
                <w:noProof/>
              </w:rPr>
              <w:t>3.3.3</w:t>
            </w:r>
            <w:r w:rsidR="003D01CD">
              <w:rPr>
                <w:rFonts w:eastAsiaTheme="minorEastAsia" w:cstheme="minorBidi"/>
                <w:i w:val="0"/>
                <w:iCs w:val="0"/>
                <w:noProof/>
                <w:sz w:val="22"/>
                <w:szCs w:val="22"/>
              </w:rPr>
              <w:tab/>
            </w:r>
            <w:r w:rsidR="003D01CD" w:rsidRPr="0007533C">
              <w:rPr>
                <w:rStyle w:val="Hyperlink"/>
                <w:noProof/>
              </w:rPr>
              <w:t>Private applicators</w:t>
            </w:r>
            <w:r w:rsidR="003D01CD">
              <w:rPr>
                <w:noProof/>
                <w:webHidden/>
              </w:rPr>
              <w:tab/>
            </w:r>
            <w:r w:rsidR="003D01CD">
              <w:rPr>
                <w:noProof/>
                <w:webHidden/>
              </w:rPr>
              <w:fldChar w:fldCharType="begin"/>
            </w:r>
            <w:r w:rsidR="003D01CD">
              <w:rPr>
                <w:noProof/>
                <w:webHidden/>
              </w:rPr>
              <w:instrText xml:space="preserve"> PAGEREF _Toc468872080 \h </w:instrText>
            </w:r>
            <w:r w:rsidR="003D01CD">
              <w:rPr>
                <w:noProof/>
                <w:webHidden/>
              </w:rPr>
            </w:r>
            <w:r w:rsidR="003D01CD">
              <w:rPr>
                <w:noProof/>
                <w:webHidden/>
              </w:rPr>
              <w:fldChar w:fldCharType="separate"/>
            </w:r>
            <w:r w:rsidR="003D01CD">
              <w:rPr>
                <w:noProof/>
                <w:webHidden/>
              </w:rPr>
              <w:t>50</w:t>
            </w:r>
            <w:r w:rsidR="003D01CD">
              <w:rPr>
                <w:noProof/>
                <w:webHidden/>
              </w:rPr>
              <w:fldChar w:fldCharType="end"/>
            </w:r>
          </w:hyperlink>
        </w:p>
        <w:p w14:paraId="5DBC28AB" w14:textId="199916EC"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81" w:history="1">
            <w:r w:rsidR="003D01CD" w:rsidRPr="0007533C">
              <w:rPr>
                <w:rStyle w:val="Hyperlink"/>
                <w:noProof/>
              </w:rPr>
              <w:t>3.3.4</w:t>
            </w:r>
            <w:r w:rsidR="003D01CD">
              <w:rPr>
                <w:rFonts w:eastAsiaTheme="minorEastAsia" w:cstheme="minorBidi"/>
                <w:i w:val="0"/>
                <w:iCs w:val="0"/>
                <w:noProof/>
                <w:sz w:val="22"/>
                <w:szCs w:val="22"/>
              </w:rPr>
              <w:tab/>
            </w:r>
            <w:r w:rsidR="003D01CD" w:rsidRPr="0007533C">
              <w:rPr>
                <w:rStyle w:val="Hyperlink"/>
                <w:noProof/>
              </w:rPr>
              <w:t>Noncertified applicators under the direct supervision of private applicators</w:t>
            </w:r>
            <w:r w:rsidR="003D01CD">
              <w:rPr>
                <w:noProof/>
                <w:webHidden/>
              </w:rPr>
              <w:tab/>
            </w:r>
            <w:r w:rsidR="003D01CD">
              <w:rPr>
                <w:noProof/>
                <w:webHidden/>
              </w:rPr>
              <w:fldChar w:fldCharType="begin"/>
            </w:r>
            <w:r w:rsidR="003D01CD">
              <w:rPr>
                <w:noProof/>
                <w:webHidden/>
              </w:rPr>
              <w:instrText xml:space="preserve"> PAGEREF _Toc468872081 \h </w:instrText>
            </w:r>
            <w:r w:rsidR="003D01CD">
              <w:rPr>
                <w:noProof/>
                <w:webHidden/>
              </w:rPr>
            </w:r>
            <w:r w:rsidR="003D01CD">
              <w:rPr>
                <w:noProof/>
                <w:webHidden/>
              </w:rPr>
              <w:fldChar w:fldCharType="separate"/>
            </w:r>
            <w:r w:rsidR="003D01CD">
              <w:rPr>
                <w:noProof/>
                <w:webHidden/>
              </w:rPr>
              <w:t>56</w:t>
            </w:r>
            <w:r w:rsidR="003D01CD">
              <w:rPr>
                <w:noProof/>
                <w:webHidden/>
              </w:rPr>
              <w:fldChar w:fldCharType="end"/>
            </w:r>
          </w:hyperlink>
        </w:p>
        <w:p w14:paraId="16712242" w14:textId="4EED99E8"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82" w:history="1">
            <w:r w:rsidR="003D01CD" w:rsidRPr="0007533C">
              <w:rPr>
                <w:rStyle w:val="Hyperlink"/>
                <w:noProof/>
              </w:rPr>
              <w:t>3.3.5</w:t>
            </w:r>
            <w:r w:rsidR="003D01CD">
              <w:rPr>
                <w:rFonts w:eastAsiaTheme="minorEastAsia" w:cstheme="minorBidi"/>
                <w:i w:val="0"/>
                <w:iCs w:val="0"/>
                <w:noProof/>
                <w:sz w:val="22"/>
                <w:szCs w:val="22"/>
              </w:rPr>
              <w:tab/>
            </w:r>
            <w:r w:rsidR="003D01CD" w:rsidRPr="0007533C">
              <w:rPr>
                <w:rStyle w:val="Hyperlink"/>
                <w:noProof/>
              </w:rPr>
              <w:t>Wage Rates</w:t>
            </w:r>
            <w:r w:rsidR="003D01CD">
              <w:rPr>
                <w:noProof/>
                <w:webHidden/>
              </w:rPr>
              <w:tab/>
            </w:r>
            <w:r w:rsidR="003D01CD">
              <w:rPr>
                <w:noProof/>
                <w:webHidden/>
              </w:rPr>
              <w:fldChar w:fldCharType="begin"/>
            </w:r>
            <w:r w:rsidR="003D01CD">
              <w:rPr>
                <w:noProof/>
                <w:webHidden/>
              </w:rPr>
              <w:instrText xml:space="preserve"> PAGEREF _Toc468872082 \h </w:instrText>
            </w:r>
            <w:r w:rsidR="003D01CD">
              <w:rPr>
                <w:noProof/>
                <w:webHidden/>
              </w:rPr>
            </w:r>
            <w:r w:rsidR="003D01CD">
              <w:rPr>
                <w:noProof/>
                <w:webHidden/>
              </w:rPr>
              <w:fldChar w:fldCharType="separate"/>
            </w:r>
            <w:r w:rsidR="003D01CD">
              <w:rPr>
                <w:noProof/>
                <w:webHidden/>
              </w:rPr>
              <w:t>59</w:t>
            </w:r>
            <w:r w:rsidR="003D01CD">
              <w:rPr>
                <w:noProof/>
                <w:webHidden/>
              </w:rPr>
              <w:fldChar w:fldCharType="end"/>
            </w:r>
          </w:hyperlink>
        </w:p>
        <w:p w14:paraId="0D3BF44E" w14:textId="08EDF5AE" w:rsidR="003D01CD" w:rsidRDefault="007B6E49">
          <w:pPr>
            <w:pStyle w:val="TOC2"/>
            <w:tabs>
              <w:tab w:val="left" w:pos="720"/>
              <w:tab w:val="right" w:leader="dot" w:pos="9350"/>
            </w:tabs>
            <w:rPr>
              <w:rFonts w:eastAsiaTheme="minorEastAsia" w:cstheme="minorBidi"/>
              <w:smallCaps w:val="0"/>
              <w:noProof/>
              <w:sz w:val="22"/>
              <w:szCs w:val="22"/>
            </w:rPr>
          </w:pPr>
          <w:hyperlink w:anchor="_Toc468872083" w:history="1">
            <w:r w:rsidR="003D01CD" w:rsidRPr="0007533C">
              <w:rPr>
                <w:rStyle w:val="Hyperlink"/>
                <w:noProof/>
              </w:rPr>
              <w:t>3.4</w:t>
            </w:r>
            <w:r w:rsidR="003D01CD">
              <w:rPr>
                <w:rFonts w:eastAsiaTheme="minorEastAsia" w:cstheme="minorBidi"/>
                <w:smallCaps w:val="0"/>
                <w:noProof/>
                <w:sz w:val="22"/>
                <w:szCs w:val="22"/>
              </w:rPr>
              <w:tab/>
            </w:r>
            <w:r w:rsidR="003D01CD" w:rsidRPr="0007533C">
              <w:rPr>
                <w:rStyle w:val="Hyperlink"/>
                <w:noProof/>
              </w:rPr>
              <w:t>Cost of Final Requirements</w:t>
            </w:r>
            <w:r w:rsidR="003D01CD">
              <w:rPr>
                <w:noProof/>
                <w:webHidden/>
              </w:rPr>
              <w:tab/>
            </w:r>
            <w:r w:rsidR="003D01CD">
              <w:rPr>
                <w:noProof/>
                <w:webHidden/>
              </w:rPr>
              <w:fldChar w:fldCharType="begin"/>
            </w:r>
            <w:r w:rsidR="003D01CD">
              <w:rPr>
                <w:noProof/>
                <w:webHidden/>
              </w:rPr>
              <w:instrText xml:space="preserve"> PAGEREF _Toc468872083 \h </w:instrText>
            </w:r>
            <w:r w:rsidR="003D01CD">
              <w:rPr>
                <w:noProof/>
                <w:webHidden/>
              </w:rPr>
            </w:r>
            <w:r w:rsidR="003D01CD">
              <w:rPr>
                <w:noProof/>
                <w:webHidden/>
              </w:rPr>
              <w:fldChar w:fldCharType="separate"/>
            </w:r>
            <w:r w:rsidR="003D01CD">
              <w:rPr>
                <w:noProof/>
                <w:webHidden/>
              </w:rPr>
              <w:t>61</w:t>
            </w:r>
            <w:r w:rsidR="003D01CD">
              <w:rPr>
                <w:noProof/>
                <w:webHidden/>
              </w:rPr>
              <w:fldChar w:fldCharType="end"/>
            </w:r>
          </w:hyperlink>
        </w:p>
        <w:p w14:paraId="5017FBE6" w14:textId="577A5580"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84" w:history="1">
            <w:r w:rsidR="003D01CD" w:rsidRPr="0007533C">
              <w:rPr>
                <w:rStyle w:val="Hyperlink"/>
                <w:noProof/>
              </w:rPr>
              <w:t>3.4.1</w:t>
            </w:r>
            <w:r w:rsidR="003D01CD">
              <w:rPr>
                <w:rFonts w:eastAsiaTheme="minorEastAsia" w:cstheme="minorBidi"/>
                <w:i w:val="0"/>
                <w:iCs w:val="0"/>
                <w:noProof/>
                <w:sz w:val="22"/>
                <w:szCs w:val="22"/>
              </w:rPr>
              <w:tab/>
            </w:r>
            <w:r w:rsidR="003D01CD" w:rsidRPr="0007533C">
              <w:rPr>
                <w:rStyle w:val="Hyperlink"/>
                <w:noProof/>
              </w:rPr>
              <w:t>Enhancement of Private Applicator General Competency Standards</w:t>
            </w:r>
            <w:r w:rsidR="003D01CD">
              <w:rPr>
                <w:noProof/>
                <w:webHidden/>
              </w:rPr>
              <w:tab/>
            </w:r>
            <w:r w:rsidR="003D01CD">
              <w:rPr>
                <w:noProof/>
                <w:webHidden/>
              </w:rPr>
              <w:fldChar w:fldCharType="begin"/>
            </w:r>
            <w:r w:rsidR="003D01CD">
              <w:rPr>
                <w:noProof/>
                <w:webHidden/>
              </w:rPr>
              <w:instrText xml:space="preserve"> PAGEREF _Toc468872084 \h </w:instrText>
            </w:r>
            <w:r w:rsidR="003D01CD">
              <w:rPr>
                <w:noProof/>
                <w:webHidden/>
              </w:rPr>
            </w:r>
            <w:r w:rsidR="003D01CD">
              <w:rPr>
                <w:noProof/>
                <w:webHidden/>
              </w:rPr>
              <w:fldChar w:fldCharType="separate"/>
            </w:r>
            <w:r w:rsidR="003D01CD">
              <w:rPr>
                <w:noProof/>
                <w:webHidden/>
              </w:rPr>
              <w:t>63</w:t>
            </w:r>
            <w:r w:rsidR="003D01CD">
              <w:rPr>
                <w:noProof/>
                <w:webHidden/>
              </w:rPr>
              <w:fldChar w:fldCharType="end"/>
            </w:r>
          </w:hyperlink>
        </w:p>
        <w:p w14:paraId="43277CCC" w14:textId="18138B2C"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85" w:history="1">
            <w:r w:rsidR="003D01CD" w:rsidRPr="0007533C">
              <w:rPr>
                <w:rStyle w:val="Hyperlink"/>
                <w:noProof/>
              </w:rPr>
              <w:t>3.4.2</w:t>
            </w:r>
            <w:r w:rsidR="003D01CD">
              <w:rPr>
                <w:rFonts w:eastAsiaTheme="minorEastAsia" w:cstheme="minorBidi"/>
                <w:i w:val="0"/>
                <w:iCs w:val="0"/>
                <w:noProof/>
                <w:sz w:val="22"/>
                <w:szCs w:val="22"/>
              </w:rPr>
              <w:tab/>
            </w:r>
            <w:r w:rsidR="003D01CD" w:rsidRPr="0007533C">
              <w:rPr>
                <w:rStyle w:val="Hyperlink"/>
                <w:noProof/>
              </w:rPr>
              <w:t>Additional Categories</w:t>
            </w:r>
            <w:r w:rsidR="003D01CD">
              <w:rPr>
                <w:noProof/>
                <w:webHidden/>
              </w:rPr>
              <w:tab/>
            </w:r>
            <w:r w:rsidR="003D01CD">
              <w:rPr>
                <w:noProof/>
                <w:webHidden/>
              </w:rPr>
              <w:fldChar w:fldCharType="begin"/>
            </w:r>
            <w:r w:rsidR="003D01CD">
              <w:rPr>
                <w:noProof/>
                <w:webHidden/>
              </w:rPr>
              <w:instrText xml:space="preserve"> PAGEREF _Toc468872085 \h </w:instrText>
            </w:r>
            <w:r w:rsidR="003D01CD">
              <w:rPr>
                <w:noProof/>
                <w:webHidden/>
              </w:rPr>
            </w:r>
            <w:r w:rsidR="003D01CD">
              <w:rPr>
                <w:noProof/>
                <w:webHidden/>
              </w:rPr>
              <w:fldChar w:fldCharType="separate"/>
            </w:r>
            <w:r w:rsidR="003D01CD">
              <w:rPr>
                <w:noProof/>
                <w:webHidden/>
              </w:rPr>
              <w:t>64</w:t>
            </w:r>
            <w:r w:rsidR="003D01CD">
              <w:rPr>
                <w:noProof/>
                <w:webHidden/>
              </w:rPr>
              <w:fldChar w:fldCharType="end"/>
            </w:r>
          </w:hyperlink>
        </w:p>
        <w:p w14:paraId="5CEB7A92" w14:textId="2A9BF3DD" w:rsidR="003D01CD" w:rsidRDefault="007B6E49">
          <w:pPr>
            <w:pStyle w:val="TOC3"/>
            <w:tabs>
              <w:tab w:val="right" w:leader="dot" w:pos="9350"/>
            </w:tabs>
            <w:rPr>
              <w:rFonts w:eastAsiaTheme="minorEastAsia" w:cstheme="minorBidi"/>
              <w:i w:val="0"/>
              <w:iCs w:val="0"/>
              <w:noProof/>
              <w:sz w:val="22"/>
              <w:szCs w:val="22"/>
            </w:rPr>
          </w:pPr>
          <w:hyperlink w:anchor="_Toc468872086" w:history="1">
            <w:r w:rsidR="003D01CD" w:rsidRPr="0007533C">
              <w:rPr>
                <w:rStyle w:val="Hyperlink"/>
                <w:noProof/>
              </w:rPr>
              <w:t>3.4.3  Examination and Alternate Certification Method Security Standards for Commercial and Private Applicators</w:t>
            </w:r>
            <w:r w:rsidR="003D01CD">
              <w:rPr>
                <w:noProof/>
                <w:webHidden/>
              </w:rPr>
              <w:tab/>
            </w:r>
            <w:r w:rsidR="003D01CD">
              <w:rPr>
                <w:noProof/>
                <w:webHidden/>
              </w:rPr>
              <w:fldChar w:fldCharType="begin"/>
            </w:r>
            <w:r w:rsidR="003D01CD">
              <w:rPr>
                <w:noProof/>
                <w:webHidden/>
              </w:rPr>
              <w:instrText xml:space="preserve"> PAGEREF _Toc468872086 \h </w:instrText>
            </w:r>
            <w:r w:rsidR="003D01CD">
              <w:rPr>
                <w:noProof/>
                <w:webHidden/>
              </w:rPr>
            </w:r>
            <w:r w:rsidR="003D01CD">
              <w:rPr>
                <w:noProof/>
                <w:webHidden/>
              </w:rPr>
              <w:fldChar w:fldCharType="separate"/>
            </w:r>
            <w:r w:rsidR="003D01CD">
              <w:rPr>
                <w:noProof/>
                <w:webHidden/>
              </w:rPr>
              <w:t>67</w:t>
            </w:r>
            <w:r w:rsidR="003D01CD">
              <w:rPr>
                <w:noProof/>
                <w:webHidden/>
              </w:rPr>
              <w:fldChar w:fldCharType="end"/>
            </w:r>
          </w:hyperlink>
        </w:p>
        <w:p w14:paraId="50CA126C" w14:textId="30A69E69"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87" w:history="1">
            <w:r w:rsidR="003D01CD" w:rsidRPr="0007533C">
              <w:rPr>
                <w:rStyle w:val="Hyperlink"/>
                <w:noProof/>
              </w:rPr>
              <w:t>3.4.4</w:t>
            </w:r>
            <w:r w:rsidR="003D01CD">
              <w:rPr>
                <w:rFonts w:eastAsiaTheme="minorEastAsia" w:cstheme="minorBidi"/>
                <w:i w:val="0"/>
                <w:iCs w:val="0"/>
                <w:noProof/>
                <w:sz w:val="22"/>
                <w:szCs w:val="22"/>
              </w:rPr>
              <w:tab/>
            </w:r>
            <w:r w:rsidR="003D01CD" w:rsidRPr="0007533C">
              <w:rPr>
                <w:rStyle w:val="Hyperlink"/>
                <w:noProof/>
              </w:rPr>
              <w:t>Standards for Supervision of Applicators that Apply RUPs under the Supervision of Certified Applicators, Levels of Supervision, and Provisions for Commercial Applicator Recordkeeping of Applicator Training for Noncertified Applicators</w:t>
            </w:r>
            <w:r w:rsidR="003D01CD">
              <w:rPr>
                <w:noProof/>
                <w:webHidden/>
              </w:rPr>
              <w:tab/>
            </w:r>
            <w:r w:rsidR="003D01CD">
              <w:rPr>
                <w:noProof/>
                <w:webHidden/>
              </w:rPr>
              <w:fldChar w:fldCharType="begin"/>
            </w:r>
            <w:r w:rsidR="003D01CD">
              <w:rPr>
                <w:noProof/>
                <w:webHidden/>
              </w:rPr>
              <w:instrText xml:space="preserve"> PAGEREF _Toc468872087 \h </w:instrText>
            </w:r>
            <w:r w:rsidR="003D01CD">
              <w:rPr>
                <w:noProof/>
                <w:webHidden/>
              </w:rPr>
            </w:r>
            <w:r w:rsidR="003D01CD">
              <w:rPr>
                <w:noProof/>
                <w:webHidden/>
              </w:rPr>
              <w:fldChar w:fldCharType="separate"/>
            </w:r>
            <w:r w:rsidR="003D01CD">
              <w:rPr>
                <w:noProof/>
                <w:webHidden/>
              </w:rPr>
              <w:t>67</w:t>
            </w:r>
            <w:r w:rsidR="003D01CD">
              <w:rPr>
                <w:noProof/>
                <w:webHidden/>
              </w:rPr>
              <w:fldChar w:fldCharType="end"/>
            </w:r>
          </w:hyperlink>
        </w:p>
        <w:p w14:paraId="73319BD6" w14:textId="72AAC216"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88" w:history="1">
            <w:r w:rsidR="003D01CD" w:rsidRPr="0007533C">
              <w:rPr>
                <w:rStyle w:val="Hyperlink"/>
                <w:noProof/>
              </w:rPr>
              <w:t>3.4.5</w:t>
            </w:r>
            <w:r w:rsidR="003D01CD">
              <w:rPr>
                <w:rFonts w:eastAsiaTheme="minorEastAsia" w:cstheme="minorBidi"/>
                <w:i w:val="0"/>
                <w:iCs w:val="0"/>
                <w:noProof/>
                <w:sz w:val="22"/>
                <w:szCs w:val="22"/>
              </w:rPr>
              <w:tab/>
            </w:r>
            <w:r w:rsidR="003D01CD" w:rsidRPr="0007533C">
              <w:rPr>
                <w:rStyle w:val="Hyperlink"/>
                <w:noProof/>
              </w:rPr>
              <w:t>Age Requirements for Certified Applicators and Applicators Applying RUPs under the Supervision of Certified Applicators</w:t>
            </w:r>
            <w:r w:rsidR="003D01CD">
              <w:rPr>
                <w:noProof/>
                <w:webHidden/>
              </w:rPr>
              <w:tab/>
            </w:r>
            <w:r w:rsidR="003D01CD">
              <w:rPr>
                <w:noProof/>
                <w:webHidden/>
              </w:rPr>
              <w:fldChar w:fldCharType="begin"/>
            </w:r>
            <w:r w:rsidR="003D01CD">
              <w:rPr>
                <w:noProof/>
                <w:webHidden/>
              </w:rPr>
              <w:instrText xml:space="preserve"> PAGEREF _Toc468872088 \h </w:instrText>
            </w:r>
            <w:r w:rsidR="003D01CD">
              <w:rPr>
                <w:noProof/>
                <w:webHidden/>
              </w:rPr>
            </w:r>
            <w:r w:rsidR="003D01CD">
              <w:rPr>
                <w:noProof/>
                <w:webHidden/>
              </w:rPr>
              <w:fldChar w:fldCharType="separate"/>
            </w:r>
            <w:r w:rsidR="003D01CD">
              <w:rPr>
                <w:noProof/>
                <w:webHidden/>
              </w:rPr>
              <w:t>70</w:t>
            </w:r>
            <w:r w:rsidR="003D01CD">
              <w:rPr>
                <w:noProof/>
                <w:webHidden/>
              </w:rPr>
              <w:fldChar w:fldCharType="end"/>
            </w:r>
          </w:hyperlink>
        </w:p>
        <w:p w14:paraId="51346271" w14:textId="7A0698BF"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89" w:history="1">
            <w:r w:rsidR="003D01CD" w:rsidRPr="0007533C">
              <w:rPr>
                <w:rStyle w:val="Hyperlink"/>
                <w:noProof/>
              </w:rPr>
              <w:t>3.4.6</w:t>
            </w:r>
            <w:r w:rsidR="003D01CD">
              <w:rPr>
                <w:rFonts w:eastAsiaTheme="minorEastAsia" w:cstheme="minorBidi"/>
                <w:i w:val="0"/>
                <w:iCs w:val="0"/>
                <w:noProof/>
                <w:sz w:val="22"/>
                <w:szCs w:val="22"/>
              </w:rPr>
              <w:tab/>
            </w:r>
            <w:r w:rsidR="003D01CD" w:rsidRPr="0007533C">
              <w:rPr>
                <w:rStyle w:val="Hyperlink"/>
                <w:noProof/>
              </w:rPr>
              <w:t>Standards for Recertification of Certified Applicators</w:t>
            </w:r>
            <w:r w:rsidR="003D01CD">
              <w:rPr>
                <w:noProof/>
                <w:webHidden/>
              </w:rPr>
              <w:tab/>
            </w:r>
            <w:r w:rsidR="003D01CD">
              <w:rPr>
                <w:noProof/>
                <w:webHidden/>
              </w:rPr>
              <w:fldChar w:fldCharType="begin"/>
            </w:r>
            <w:r w:rsidR="003D01CD">
              <w:rPr>
                <w:noProof/>
                <w:webHidden/>
              </w:rPr>
              <w:instrText xml:space="preserve"> PAGEREF _Toc468872089 \h </w:instrText>
            </w:r>
            <w:r w:rsidR="003D01CD">
              <w:rPr>
                <w:noProof/>
                <w:webHidden/>
              </w:rPr>
            </w:r>
            <w:r w:rsidR="003D01CD">
              <w:rPr>
                <w:noProof/>
                <w:webHidden/>
              </w:rPr>
              <w:fldChar w:fldCharType="separate"/>
            </w:r>
            <w:r w:rsidR="003D01CD">
              <w:rPr>
                <w:noProof/>
                <w:webHidden/>
              </w:rPr>
              <w:t>73</w:t>
            </w:r>
            <w:r w:rsidR="003D01CD">
              <w:rPr>
                <w:noProof/>
                <w:webHidden/>
              </w:rPr>
              <w:fldChar w:fldCharType="end"/>
            </w:r>
          </w:hyperlink>
        </w:p>
        <w:p w14:paraId="61B17313" w14:textId="2DCAFB3F"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90" w:history="1">
            <w:r w:rsidR="003D01CD" w:rsidRPr="0007533C">
              <w:rPr>
                <w:rStyle w:val="Hyperlink"/>
                <w:noProof/>
              </w:rPr>
              <w:t>3.4.7</w:t>
            </w:r>
            <w:r w:rsidR="003D01CD">
              <w:rPr>
                <w:rFonts w:eastAsiaTheme="minorEastAsia" w:cstheme="minorBidi"/>
                <w:i w:val="0"/>
                <w:iCs w:val="0"/>
                <w:noProof/>
                <w:sz w:val="22"/>
                <w:szCs w:val="22"/>
              </w:rPr>
              <w:tab/>
            </w:r>
            <w:r w:rsidR="003D01CD" w:rsidRPr="0007533C">
              <w:rPr>
                <w:rStyle w:val="Hyperlink"/>
                <w:noProof/>
              </w:rPr>
              <w:t>Requirements for General Administration</w:t>
            </w:r>
            <w:r w:rsidR="003D01CD">
              <w:rPr>
                <w:noProof/>
                <w:webHidden/>
              </w:rPr>
              <w:tab/>
            </w:r>
            <w:r w:rsidR="003D01CD">
              <w:rPr>
                <w:noProof/>
                <w:webHidden/>
              </w:rPr>
              <w:fldChar w:fldCharType="begin"/>
            </w:r>
            <w:r w:rsidR="003D01CD">
              <w:rPr>
                <w:noProof/>
                <w:webHidden/>
              </w:rPr>
              <w:instrText xml:space="preserve"> PAGEREF _Toc468872090 \h </w:instrText>
            </w:r>
            <w:r w:rsidR="003D01CD">
              <w:rPr>
                <w:noProof/>
                <w:webHidden/>
              </w:rPr>
            </w:r>
            <w:r w:rsidR="003D01CD">
              <w:rPr>
                <w:noProof/>
                <w:webHidden/>
              </w:rPr>
              <w:fldChar w:fldCharType="separate"/>
            </w:r>
            <w:r w:rsidR="003D01CD">
              <w:rPr>
                <w:noProof/>
                <w:webHidden/>
              </w:rPr>
              <w:t>77</w:t>
            </w:r>
            <w:r w:rsidR="003D01CD">
              <w:rPr>
                <w:noProof/>
                <w:webHidden/>
              </w:rPr>
              <w:fldChar w:fldCharType="end"/>
            </w:r>
          </w:hyperlink>
        </w:p>
        <w:p w14:paraId="6F987A90" w14:textId="4BEE63AA" w:rsidR="003D01CD" w:rsidRDefault="007B6E49">
          <w:pPr>
            <w:pStyle w:val="TOC2"/>
            <w:tabs>
              <w:tab w:val="left" w:pos="720"/>
              <w:tab w:val="right" w:leader="dot" w:pos="9350"/>
            </w:tabs>
            <w:rPr>
              <w:rFonts w:eastAsiaTheme="minorEastAsia" w:cstheme="minorBidi"/>
              <w:smallCaps w:val="0"/>
              <w:noProof/>
              <w:sz w:val="22"/>
              <w:szCs w:val="22"/>
            </w:rPr>
          </w:pPr>
          <w:hyperlink w:anchor="_Toc468872091" w:history="1">
            <w:r w:rsidR="003D01CD" w:rsidRPr="0007533C">
              <w:rPr>
                <w:rStyle w:val="Hyperlink"/>
                <w:noProof/>
              </w:rPr>
              <w:t>3.5</w:t>
            </w:r>
            <w:r w:rsidR="003D01CD">
              <w:rPr>
                <w:rFonts w:eastAsiaTheme="minorEastAsia" w:cstheme="minorBidi"/>
                <w:smallCaps w:val="0"/>
                <w:noProof/>
                <w:sz w:val="22"/>
                <w:szCs w:val="22"/>
              </w:rPr>
              <w:tab/>
            </w:r>
            <w:r w:rsidR="003D01CD" w:rsidRPr="0007533C">
              <w:rPr>
                <w:rStyle w:val="Hyperlink"/>
                <w:noProof/>
              </w:rPr>
              <w:t>Total Cost of Final Rule</w:t>
            </w:r>
            <w:r w:rsidR="003D01CD">
              <w:rPr>
                <w:noProof/>
                <w:webHidden/>
              </w:rPr>
              <w:tab/>
            </w:r>
            <w:r w:rsidR="003D01CD">
              <w:rPr>
                <w:noProof/>
                <w:webHidden/>
              </w:rPr>
              <w:fldChar w:fldCharType="begin"/>
            </w:r>
            <w:r w:rsidR="003D01CD">
              <w:rPr>
                <w:noProof/>
                <w:webHidden/>
              </w:rPr>
              <w:instrText xml:space="preserve"> PAGEREF _Toc468872091 \h </w:instrText>
            </w:r>
            <w:r w:rsidR="003D01CD">
              <w:rPr>
                <w:noProof/>
                <w:webHidden/>
              </w:rPr>
            </w:r>
            <w:r w:rsidR="003D01CD">
              <w:rPr>
                <w:noProof/>
                <w:webHidden/>
              </w:rPr>
              <w:fldChar w:fldCharType="separate"/>
            </w:r>
            <w:r w:rsidR="003D01CD">
              <w:rPr>
                <w:noProof/>
                <w:webHidden/>
              </w:rPr>
              <w:t>79</w:t>
            </w:r>
            <w:r w:rsidR="003D01CD">
              <w:rPr>
                <w:noProof/>
                <w:webHidden/>
              </w:rPr>
              <w:fldChar w:fldCharType="end"/>
            </w:r>
          </w:hyperlink>
        </w:p>
        <w:p w14:paraId="47A2DE46" w14:textId="04C6E486"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92" w:history="1">
            <w:r w:rsidR="003D01CD" w:rsidRPr="0007533C">
              <w:rPr>
                <w:rStyle w:val="Hyperlink"/>
                <w:noProof/>
              </w:rPr>
              <w:t>3.5.1</w:t>
            </w:r>
            <w:r w:rsidR="003D01CD">
              <w:rPr>
                <w:rFonts w:eastAsiaTheme="minorEastAsia" w:cstheme="minorBidi"/>
                <w:i w:val="0"/>
                <w:iCs w:val="0"/>
                <w:noProof/>
                <w:sz w:val="22"/>
                <w:szCs w:val="22"/>
              </w:rPr>
              <w:tab/>
            </w:r>
            <w:r w:rsidR="003D01CD" w:rsidRPr="0007533C">
              <w:rPr>
                <w:rStyle w:val="Hyperlink"/>
                <w:noProof/>
              </w:rPr>
              <w:t>Private Applicator Cost of Final Rule</w:t>
            </w:r>
            <w:r w:rsidR="003D01CD">
              <w:rPr>
                <w:noProof/>
                <w:webHidden/>
              </w:rPr>
              <w:tab/>
            </w:r>
            <w:r w:rsidR="003D01CD">
              <w:rPr>
                <w:noProof/>
                <w:webHidden/>
              </w:rPr>
              <w:fldChar w:fldCharType="begin"/>
            </w:r>
            <w:r w:rsidR="003D01CD">
              <w:rPr>
                <w:noProof/>
                <w:webHidden/>
              </w:rPr>
              <w:instrText xml:space="preserve"> PAGEREF _Toc468872092 \h </w:instrText>
            </w:r>
            <w:r w:rsidR="003D01CD">
              <w:rPr>
                <w:noProof/>
                <w:webHidden/>
              </w:rPr>
            </w:r>
            <w:r w:rsidR="003D01CD">
              <w:rPr>
                <w:noProof/>
                <w:webHidden/>
              </w:rPr>
              <w:fldChar w:fldCharType="separate"/>
            </w:r>
            <w:r w:rsidR="003D01CD">
              <w:rPr>
                <w:noProof/>
                <w:webHidden/>
              </w:rPr>
              <w:t>83</w:t>
            </w:r>
            <w:r w:rsidR="003D01CD">
              <w:rPr>
                <w:noProof/>
                <w:webHidden/>
              </w:rPr>
              <w:fldChar w:fldCharType="end"/>
            </w:r>
          </w:hyperlink>
        </w:p>
        <w:p w14:paraId="4E35F5ED" w14:textId="77093131"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93" w:history="1">
            <w:r w:rsidR="003D01CD" w:rsidRPr="0007533C">
              <w:rPr>
                <w:rStyle w:val="Hyperlink"/>
                <w:noProof/>
              </w:rPr>
              <w:t>3.5.2</w:t>
            </w:r>
            <w:r w:rsidR="003D01CD">
              <w:rPr>
                <w:rFonts w:eastAsiaTheme="minorEastAsia" w:cstheme="minorBidi"/>
                <w:i w:val="0"/>
                <w:iCs w:val="0"/>
                <w:noProof/>
                <w:sz w:val="22"/>
                <w:szCs w:val="22"/>
              </w:rPr>
              <w:tab/>
            </w:r>
            <w:r w:rsidR="003D01CD" w:rsidRPr="0007533C">
              <w:rPr>
                <w:rStyle w:val="Hyperlink"/>
                <w:noProof/>
              </w:rPr>
              <w:t>Commercial Applicator Cost of Final Rule</w:t>
            </w:r>
            <w:r w:rsidR="003D01CD">
              <w:rPr>
                <w:noProof/>
                <w:webHidden/>
              </w:rPr>
              <w:tab/>
            </w:r>
            <w:r w:rsidR="003D01CD">
              <w:rPr>
                <w:noProof/>
                <w:webHidden/>
              </w:rPr>
              <w:fldChar w:fldCharType="begin"/>
            </w:r>
            <w:r w:rsidR="003D01CD">
              <w:rPr>
                <w:noProof/>
                <w:webHidden/>
              </w:rPr>
              <w:instrText xml:space="preserve"> PAGEREF _Toc468872093 \h </w:instrText>
            </w:r>
            <w:r w:rsidR="003D01CD">
              <w:rPr>
                <w:noProof/>
                <w:webHidden/>
              </w:rPr>
            </w:r>
            <w:r w:rsidR="003D01CD">
              <w:rPr>
                <w:noProof/>
                <w:webHidden/>
              </w:rPr>
              <w:fldChar w:fldCharType="separate"/>
            </w:r>
            <w:r w:rsidR="003D01CD">
              <w:rPr>
                <w:noProof/>
                <w:webHidden/>
              </w:rPr>
              <w:t>85</w:t>
            </w:r>
            <w:r w:rsidR="003D01CD">
              <w:rPr>
                <w:noProof/>
                <w:webHidden/>
              </w:rPr>
              <w:fldChar w:fldCharType="end"/>
            </w:r>
          </w:hyperlink>
        </w:p>
        <w:p w14:paraId="07285E6A" w14:textId="7A756F80"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94" w:history="1">
            <w:r w:rsidR="003D01CD" w:rsidRPr="0007533C">
              <w:rPr>
                <w:rStyle w:val="Hyperlink"/>
                <w:noProof/>
              </w:rPr>
              <w:t>3.5.3</w:t>
            </w:r>
            <w:r w:rsidR="003D01CD">
              <w:rPr>
                <w:rFonts w:eastAsiaTheme="minorEastAsia" w:cstheme="minorBidi"/>
                <w:i w:val="0"/>
                <w:iCs w:val="0"/>
                <w:noProof/>
                <w:sz w:val="22"/>
                <w:szCs w:val="22"/>
              </w:rPr>
              <w:tab/>
            </w:r>
            <w:r w:rsidR="003D01CD" w:rsidRPr="0007533C">
              <w:rPr>
                <w:rStyle w:val="Hyperlink"/>
                <w:noProof/>
              </w:rPr>
              <w:t>Cost to Certifying Authorities of Final Rule</w:t>
            </w:r>
            <w:r w:rsidR="003D01CD">
              <w:rPr>
                <w:noProof/>
                <w:webHidden/>
              </w:rPr>
              <w:tab/>
            </w:r>
            <w:r w:rsidR="003D01CD">
              <w:rPr>
                <w:noProof/>
                <w:webHidden/>
              </w:rPr>
              <w:fldChar w:fldCharType="begin"/>
            </w:r>
            <w:r w:rsidR="003D01CD">
              <w:rPr>
                <w:noProof/>
                <w:webHidden/>
              </w:rPr>
              <w:instrText xml:space="preserve"> PAGEREF _Toc468872094 \h </w:instrText>
            </w:r>
            <w:r w:rsidR="003D01CD">
              <w:rPr>
                <w:noProof/>
                <w:webHidden/>
              </w:rPr>
            </w:r>
            <w:r w:rsidR="003D01CD">
              <w:rPr>
                <w:noProof/>
                <w:webHidden/>
              </w:rPr>
              <w:fldChar w:fldCharType="separate"/>
            </w:r>
            <w:r w:rsidR="003D01CD">
              <w:rPr>
                <w:noProof/>
                <w:webHidden/>
              </w:rPr>
              <w:t>87</w:t>
            </w:r>
            <w:r w:rsidR="003D01CD">
              <w:rPr>
                <w:noProof/>
                <w:webHidden/>
              </w:rPr>
              <w:fldChar w:fldCharType="end"/>
            </w:r>
          </w:hyperlink>
        </w:p>
        <w:p w14:paraId="32BACFC4" w14:textId="5069B14A" w:rsidR="003D01CD" w:rsidRDefault="007B6E49">
          <w:pPr>
            <w:pStyle w:val="TOC2"/>
            <w:tabs>
              <w:tab w:val="left" w:pos="720"/>
              <w:tab w:val="right" w:leader="dot" w:pos="9350"/>
            </w:tabs>
            <w:rPr>
              <w:rFonts w:eastAsiaTheme="minorEastAsia" w:cstheme="minorBidi"/>
              <w:smallCaps w:val="0"/>
              <w:noProof/>
              <w:sz w:val="22"/>
              <w:szCs w:val="22"/>
            </w:rPr>
          </w:pPr>
          <w:hyperlink w:anchor="_Toc468872095" w:history="1">
            <w:r w:rsidR="003D01CD" w:rsidRPr="0007533C">
              <w:rPr>
                <w:rStyle w:val="Hyperlink"/>
                <w:noProof/>
              </w:rPr>
              <w:t>3.6</w:t>
            </w:r>
            <w:r w:rsidR="003D01CD">
              <w:rPr>
                <w:rFonts w:eastAsiaTheme="minorEastAsia" w:cstheme="minorBidi"/>
                <w:smallCaps w:val="0"/>
                <w:noProof/>
                <w:sz w:val="22"/>
                <w:szCs w:val="22"/>
              </w:rPr>
              <w:tab/>
            </w:r>
            <w:r w:rsidR="003D01CD" w:rsidRPr="0007533C">
              <w:rPr>
                <w:rStyle w:val="Hyperlink"/>
                <w:noProof/>
              </w:rPr>
              <w:t>Impact on Employment</w:t>
            </w:r>
            <w:r w:rsidR="003D01CD">
              <w:rPr>
                <w:noProof/>
                <w:webHidden/>
              </w:rPr>
              <w:tab/>
            </w:r>
            <w:r w:rsidR="003D01CD">
              <w:rPr>
                <w:noProof/>
                <w:webHidden/>
              </w:rPr>
              <w:fldChar w:fldCharType="begin"/>
            </w:r>
            <w:r w:rsidR="003D01CD">
              <w:rPr>
                <w:noProof/>
                <w:webHidden/>
              </w:rPr>
              <w:instrText xml:space="preserve"> PAGEREF _Toc468872095 \h </w:instrText>
            </w:r>
            <w:r w:rsidR="003D01CD">
              <w:rPr>
                <w:noProof/>
                <w:webHidden/>
              </w:rPr>
            </w:r>
            <w:r w:rsidR="003D01CD">
              <w:rPr>
                <w:noProof/>
                <w:webHidden/>
              </w:rPr>
              <w:fldChar w:fldCharType="separate"/>
            </w:r>
            <w:r w:rsidR="003D01CD">
              <w:rPr>
                <w:noProof/>
                <w:webHidden/>
              </w:rPr>
              <w:t>90</w:t>
            </w:r>
            <w:r w:rsidR="003D01CD">
              <w:rPr>
                <w:noProof/>
                <w:webHidden/>
              </w:rPr>
              <w:fldChar w:fldCharType="end"/>
            </w:r>
          </w:hyperlink>
        </w:p>
        <w:p w14:paraId="43C16214" w14:textId="01B24D80" w:rsidR="003D01CD" w:rsidRDefault="007B6E49">
          <w:pPr>
            <w:pStyle w:val="TOC2"/>
            <w:tabs>
              <w:tab w:val="left" w:pos="720"/>
              <w:tab w:val="right" w:leader="dot" w:pos="9350"/>
            </w:tabs>
            <w:rPr>
              <w:rFonts w:eastAsiaTheme="minorEastAsia" w:cstheme="minorBidi"/>
              <w:smallCaps w:val="0"/>
              <w:noProof/>
              <w:sz w:val="22"/>
              <w:szCs w:val="22"/>
            </w:rPr>
          </w:pPr>
          <w:hyperlink w:anchor="_Toc468872096" w:history="1">
            <w:r w:rsidR="003D01CD" w:rsidRPr="0007533C">
              <w:rPr>
                <w:rStyle w:val="Hyperlink"/>
                <w:noProof/>
              </w:rPr>
              <w:t>3.7</w:t>
            </w:r>
            <w:r w:rsidR="003D01CD">
              <w:rPr>
                <w:rFonts w:eastAsiaTheme="minorEastAsia" w:cstheme="minorBidi"/>
                <w:smallCaps w:val="0"/>
                <w:noProof/>
                <w:sz w:val="22"/>
                <w:szCs w:val="22"/>
              </w:rPr>
              <w:tab/>
            </w:r>
            <w:r w:rsidR="003D01CD" w:rsidRPr="0007533C">
              <w:rPr>
                <w:rStyle w:val="Hyperlink"/>
                <w:noProof/>
              </w:rPr>
              <w:t>Potential Impacts on Small Businesses</w:t>
            </w:r>
            <w:r w:rsidR="003D01CD">
              <w:rPr>
                <w:noProof/>
                <w:webHidden/>
              </w:rPr>
              <w:tab/>
            </w:r>
            <w:r w:rsidR="003D01CD">
              <w:rPr>
                <w:noProof/>
                <w:webHidden/>
              </w:rPr>
              <w:fldChar w:fldCharType="begin"/>
            </w:r>
            <w:r w:rsidR="003D01CD">
              <w:rPr>
                <w:noProof/>
                <w:webHidden/>
              </w:rPr>
              <w:instrText xml:space="preserve"> PAGEREF _Toc468872096 \h </w:instrText>
            </w:r>
            <w:r w:rsidR="003D01CD">
              <w:rPr>
                <w:noProof/>
                <w:webHidden/>
              </w:rPr>
            </w:r>
            <w:r w:rsidR="003D01CD">
              <w:rPr>
                <w:noProof/>
                <w:webHidden/>
              </w:rPr>
              <w:fldChar w:fldCharType="separate"/>
            </w:r>
            <w:r w:rsidR="003D01CD">
              <w:rPr>
                <w:noProof/>
                <w:webHidden/>
              </w:rPr>
              <w:t>96</w:t>
            </w:r>
            <w:r w:rsidR="003D01CD">
              <w:rPr>
                <w:noProof/>
                <w:webHidden/>
              </w:rPr>
              <w:fldChar w:fldCharType="end"/>
            </w:r>
          </w:hyperlink>
        </w:p>
        <w:p w14:paraId="6CDC64DE" w14:textId="09CD1DA2"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97" w:history="1">
            <w:r w:rsidR="003D01CD" w:rsidRPr="0007533C">
              <w:rPr>
                <w:rStyle w:val="Hyperlink"/>
                <w:noProof/>
              </w:rPr>
              <w:t>3.7.1</w:t>
            </w:r>
            <w:r w:rsidR="003D01CD">
              <w:rPr>
                <w:rFonts w:eastAsiaTheme="minorEastAsia" w:cstheme="minorBidi"/>
                <w:i w:val="0"/>
                <w:iCs w:val="0"/>
                <w:noProof/>
                <w:sz w:val="22"/>
                <w:szCs w:val="22"/>
              </w:rPr>
              <w:tab/>
            </w:r>
            <w:r w:rsidR="003D01CD" w:rsidRPr="0007533C">
              <w:rPr>
                <w:rStyle w:val="Hyperlink"/>
                <w:noProof/>
              </w:rPr>
              <w:t>Methodology</w:t>
            </w:r>
            <w:r w:rsidR="003D01CD">
              <w:rPr>
                <w:noProof/>
                <w:webHidden/>
              </w:rPr>
              <w:tab/>
            </w:r>
            <w:r w:rsidR="003D01CD">
              <w:rPr>
                <w:noProof/>
                <w:webHidden/>
              </w:rPr>
              <w:fldChar w:fldCharType="begin"/>
            </w:r>
            <w:r w:rsidR="003D01CD">
              <w:rPr>
                <w:noProof/>
                <w:webHidden/>
              </w:rPr>
              <w:instrText xml:space="preserve"> PAGEREF _Toc468872097 \h </w:instrText>
            </w:r>
            <w:r w:rsidR="003D01CD">
              <w:rPr>
                <w:noProof/>
                <w:webHidden/>
              </w:rPr>
            </w:r>
            <w:r w:rsidR="003D01CD">
              <w:rPr>
                <w:noProof/>
                <w:webHidden/>
              </w:rPr>
              <w:fldChar w:fldCharType="separate"/>
            </w:r>
            <w:r w:rsidR="003D01CD">
              <w:rPr>
                <w:noProof/>
                <w:webHidden/>
              </w:rPr>
              <w:t>98</w:t>
            </w:r>
            <w:r w:rsidR="003D01CD">
              <w:rPr>
                <w:noProof/>
                <w:webHidden/>
              </w:rPr>
              <w:fldChar w:fldCharType="end"/>
            </w:r>
          </w:hyperlink>
        </w:p>
        <w:p w14:paraId="5E167D0D" w14:textId="470A7BA6"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98" w:history="1">
            <w:r w:rsidR="003D01CD" w:rsidRPr="0007533C">
              <w:rPr>
                <w:rStyle w:val="Hyperlink"/>
                <w:noProof/>
              </w:rPr>
              <w:t>3.7.2</w:t>
            </w:r>
            <w:r w:rsidR="003D01CD">
              <w:rPr>
                <w:rFonts w:eastAsiaTheme="minorEastAsia" w:cstheme="minorBidi"/>
                <w:i w:val="0"/>
                <w:iCs w:val="0"/>
                <w:noProof/>
                <w:sz w:val="22"/>
                <w:szCs w:val="22"/>
              </w:rPr>
              <w:tab/>
            </w:r>
            <w:r w:rsidR="003D01CD" w:rsidRPr="0007533C">
              <w:rPr>
                <w:rStyle w:val="Hyperlink"/>
                <w:noProof/>
              </w:rPr>
              <w:t>Private Applicator Establishments</w:t>
            </w:r>
            <w:r w:rsidR="003D01CD">
              <w:rPr>
                <w:noProof/>
                <w:webHidden/>
              </w:rPr>
              <w:tab/>
            </w:r>
            <w:r w:rsidR="003D01CD">
              <w:rPr>
                <w:noProof/>
                <w:webHidden/>
              </w:rPr>
              <w:fldChar w:fldCharType="begin"/>
            </w:r>
            <w:r w:rsidR="003D01CD">
              <w:rPr>
                <w:noProof/>
                <w:webHidden/>
              </w:rPr>
              <w:instrText xml:space="preserve"> PAGEREF _Toc468872098 \h </w:instrText>
            </w:r>
            <w:r w:rsidR="003D01CD">
              <w:rPr>
                <w:noProof/>
                <w:webHidden/>
              </w:rPr>
            </w:r>
            <w:r w:rsidR="003D01CD">
              <w:rPr>
                <w:noProof/>
                <w:webHidden/>
              </w:rPr>
              <w:fldChar w:fldCharType="separate"/>
            </w:r>
            <w:r w:rsidR="003D01CD">
              <w:rPr>
                <w:noProof/>
                <w:webHidden/>
              </w:rPr>
              <w:t>98</w:t>
            </w:r>
            <w:r w:rsidR="003D01CD">
              <w:rPr>
                <w:noProof/>
                <w:webHidden/>
              </w:rPr>
              <w:fldChar w:fldCharType="end"/>
            </w:r>
          </w:hyperlink>
        </w:p>
        <w:p w14:paraId="1FC844D9" w14:textId="4BC2E7F5"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099" w:history="1">
            <w:r w:rsidR="003D01CD" w:rsidRPr="0007533C">
              <w:rPr>
                <w:rStyle w:val="Hyperlink"/>
                <w:noProof/>
              </w:rPr>
              <w:t>3.7.3</w:t>
            </w:r>
            <w:r w:rsidR="003D01CD">
              <w:rPr>
                <w:rFonts w:eastAsiaTheme="minorEastAsia" w:cstheme="minorBidi"/>
                <w:i w:val="0"/>
                <w:iCs w:val="0"/>
                <w:noProof/>
                <w:sz w:val="22"/>
                <w:szCs w:val="22"/>
              </w:rPr>
              <w:tab/>
            </w:r>
            <w:r w:rsidR="003D01CD" w:rsidRPr="0007533C">
              <w:rPr>
                <w:rStyle w:val="Hyperlink"/>
                <w:noProof/>
              </w:rPr>
              <w:t>Commercial Applicator Establishments</w:t>
            </w:r>
            <w:r w:rsidR="003D01CD">
              <w:rPr>
                <w:noProof/>
                <w:webHidden/>
              </w:rPr>
              <w:tab/>
            </w:r>
            <w:r w:rsidR="003D01CD">
              <w:rPr>
                <w:noProof/>
                <w:webHidden/>
              </w:rPr>
              <w:fldChar w:fldCharType="begin"/>
            </w:r>
            <w:r w:rsidR="003D01CD">
              <w:rPr>
                <w:noProof/>
                <w:webHidden/>
              </w:rPr>
              <w:instrText xml:space="preserve"> PAGEREF _Toc468872099 \h </w:instrText>
            </w:r>
            <w:r w:rsidR="003D01CD">
              <w:rPr>
                <w:noProof/>
                <w:webHidden/>
              </w:rPr>
            </w:r>
            <w:r w:rsidR="003D01CD">
              <w:rPr>
                <w:noProof/>
                <w:webHidden/>
              </w:rPr>
              <w:fldChar w:fldCharType="separate"/>
            </w:r>
            <w:r w:rsidR="003D01CD">
              <w:rPr>
                <w:noProof/>
                <w:webHidden/>
              </w:rPr>
              <w:t>102</w:t>
            </w:r>
            <w:r w:rsidR="003D01CD">
              <w:rPr>
                <w:noProof/>
                <w:webHidden/>
              </w:rPr>
              <w:fldChar w:fldCharType="end"/>
            </w:r>
          </w:hyperlink>
        </w:p>
        <w:p w14:paraId="61060C9A" w14:textId="5BFB226B"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100" w:history="1">
            <w:r w:rsidR="003D01CD" w:rsidRPr="0007533C">
              <w:rPr>
                <w:rStyle w:val="Hyperlink"/>
                <w:noProof/>
              </w:rPr>
              <w:t>3.7.4</w:t>
            </w:r>
            <w:r w:rsidR="003D01CD">
              <w:rPr>
                <w:rFonts w:eastAsiaTheme="minorEastAsia" w:cstheme="minorBidi"/>
                <w:i w:val="0"/>
                <w:iCs w:val="0"/>
                <w:noProof/>
                <w:sz w:val="22"/>
                <w:szCs w:val="22"/>
              </w:rPr>
              <w:tab/>
            </w:r>
            <w:r w:rsidR="003D01CD" w:rsidRPr="0007533C">
              <w:rPr>
                <w:rStyle w:val="Hyperlink"/>
                <w:noProof/>
              </w:rPr>
              <w:t>Conclusion</w:t>
            </w:r>
            <w:r w:rsidR="003D01CD">
              <w:rPr>
                <w:noProof/>
                <w:webHidden/>
              </w:rPr>
              <w:tab/>
            </w:r>
            <w:r w:rsidR="003D01CD">
              <w:rPr>
                <w:noProof/>
                <w:webHidden/>
              </w:rPr>
              <w:fldChar w:fldCharType="begin"/>
            </w:r>
            <w:r w:rsidR="003D01CD">
              <w:rPr>
                <w:noProof/>
                <w:webHidden/>
              </w:rPr>
              <w:instrText xml:space="preserve"> PAGEREF _Toc468872100 \h </w:instrText>
            </w:r>
            <w:r w:rsidR="003D01CD">
              <w:rPr>
                <w:noProof/>
                <w:webHidden/>
              </w:rPr>
            </w:r>
            <w:r w:rsidR="003D01CD">
              <w:rPr>
                <w:noProof/>
                <w:webHidden/>
              </w:rPr>
              <w:fldChar w:fldCharType="separate"/>
            </w:r>
            <w:r w:rsidR="003D01CD">
              <w:rPr>
                <w:noProof/>
                <w:webHidden/>
              </w:rPr>
              <w:t>105</w:t>
            </w:r>
            <w:r w:rsidR="003D01CD">
              <w:rPr>
                <w:noProof/>
                <w:webHidden/>
              </w:rPr>
              <w:fldChar w:fldCharType="end"/>
            </w:r>
          </w:hyperlink>
        </w:p>
        <w:p w14:paraId="401E4CA2" w14:textId="62EB2A3A" w:rsidR="003D01CD" w:rsidRDefault="007B6E49">
          <w:pPr>
            <w:pStyle w:val="TOC1"/>
            <w:tabs>
              <w:tab w:val="right" w:leader="dot" w:pos="9350"/>
            </w:tabs>
            <w:rPr>
              <w:rFonts w:eastAsiaTheme="minorEastAsia" w:cstheme="minorBidi"/>
              <w:b w:val="0"/>
              <w:bCs w:val="0"/>
              <w:caps w:val="0"/>
              <w:noProof/>
              <w:sz w:val="22"/>
              <w:szCs w:val="22"/>
            </w:rPr>
          </w:pPr>
          <w:hyperlink w:anchor="_Toc468872101" w:history="1">
            <w:r w:rsidR="003D01CD" w:rsidRPr="0007533C">
              <w:rPr>
                <w:rStyle w:val="Hyperlink"/>
                <w:noProof/>
              </w:rPr>
              <w:t>Chapter 4.  Benefits of the Rule</w:t>
            </w:r>
            <w:r w:rsidR="003D01CD">
              <w:rPr>
                <w:noProof/>
                <w:webHidden/>
              </w:rPr>
              <w:tab/>
            </w:r>
            <w:r w:rsidR="003D01CD">
              <w:rPr>
                <w:noProof/>
                <w:webHidden/>
              </w:rPr>
              <w:fldChar w:fldCharType="begin"/>
            </w:r>
            <w:r w:rsidR="003D01CD">
              <w:rPr>
                <w:noProof/>
                <w:webHidden/>
              </w:rPr>
              <w:instrText xml:space="preserve"> PAGEREF _Toc468872101 \h </w:instrText>
            </w:r>
            <w:r w:rsidR="003D01CD">
              <w:rPr>
                <w:noProof/>
                <w:webHidden/>
              </w:rPr>
            </w:r>
            <w:r w:rsidR="003D01CD">
              <w:rPr>
                <w:noProof/>
                <w:webHidden/>
              </w:rPr>
              <w:fldChar w:fldCharType="separate"/>
            </w:r>
            <w:r w:rsidR="003D01CD">
              <w:rPr>
                <w:noProof/>
                <w:webHidden/>
              </w:rPr>
              <w:t>106</w:t>
            </w:r>
            <w:r w:rsidR="003D01CD">
              <w:rPr>
                <w:noProof/>
                <w:webHidden/>
              </w:rPr>
              <w:fldChar w:fldCharType="end"/>
            </w:r>
          </w:hyperlink>
        </w:p>
        <w:p w14:paraId="656EB0C6" w14:textId="33B8485E" w:rsidR="003D01CD" w:rsidRDefault="007B6E49">
          <w:pPr>
            <w:pStyle w:val="TOC2"/>
            <w:tabs>
              <w:tab w:val="left" w:pos="720"/>
              <w:tab w:val="right" w:leader="dot" w:pos="9350"/>
            </w:tabs>
            <w:rPr>
              <w:rFonts w:eastAsiaTheme="minorEastAsia" w:cstheme="minorBidi"/>
              <w:smallCaps w:val="0"/>
              <w:noProof/>
              <w:sz w:val="22"/>
              <w:szCs w:val="22"/>
            </w:rPr>
          </w:pPr>
          <w:hyperlink w:anchor="_Toc468872102" w:history="1">
            <w:r w:rsidR="003D01CD" w:rsidRPr="0007533C">
              <w:rPr>
                <w:rStyle w:val="Hyperlink"/>
                <w:noProof/>
              </w:rPr>
              <w:t>4.1</w:t>
            </w:r>
            <w:r w:rsidR="003D01CD">
              <w:rPr>
                <w:rFonts w:eastAsiaTheme="minorEastAsia" w:cstheme="minorBidi"/>
                <w:smallCaps w:val="0"/>
                <w:noProof/>
                <w:sz w:val="22"/>
                <w:szCs w:val="22"/>
              </w:rPr>
              <w:tab/>
            </w:r>
            <w:r w:rsidR="003D01CD" w:rsidRPr="0007533C">
              <w:rPr>
                <w:rStyle w:val="Hyperlink"/>
                <w:noProof/>
              </w:rPr>
              <w:t>Who is at Risk?</w:t>
            </w:r>
            <w:r w:rsidR="003D01CD">
              <w:rPr>
                <w:noProof/>
                <w:webHidden/>
              </w:rPr>
              <w:tab/>
            </w:r>
            <w:r w:rsidR="003D01CD">
              <w:rPr>
                <w:noProof/>
                <w:webHidden/>
              </w:rPr>
              <w:fldChar w:fldCharType="begin"/>
            </w:r>
            <w:r w:rsidR="003D01CD">
              <w:rPr>
                <w:noProof/>
                <w:webHidden/>
              </w:rPr>
              <w:instrText xml:space="preserve"> PAGEREF _Toc468872102 \h </w:instrText>
            </w:r>
            <w:r w:rsidR="003D01CD">
              <w:rPr>
                <w:noProof/>
                <w:webHidden/>
              </w:rPr>
            </w:r>
            <w:r w:rsidR="003D01CD">
              <w:rPr>
                <w:noProof/>
                <w:webHidden/>
              </w:rPr>
              <w:fldChar w:fldCharType="separate"/>
            </w:r>
            <w:r w:rsidR="003D01CD">
              <w:rPr>
                <w:noProof/>
                <w:webHidden/>
              </w:rPr>
              <w:t>106</w:t>
            </w:r>
            <w:r w:rsidR="003D01CD">
              <w:rPr>
                <w:noProof/>
                <w:webHidden/>
              </w:rPr>
              <w:fldChar w:fldCharType="end"/>
            </w:r>
          </w:hyperlink>
        </w:p>
        <w:p w14:paraId="62809889" w14:textId="6A07A648"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103" w:history="1">
            <w:r w:rsidR="003D01CD" w:rsidRPr="0007533C">
              <w:rPr>
                <w:rStyle w:val="Hyperlink"/>
                <w:noProof/>
              </w:rPr>
              <w:t>4.1.1</w:t>
            </w:r>
            <w:r w:rsidR="003D01CD">
              <w:rPr>
                <w:rFonts w:eastAsiaTheme="minorEastAsia" w:cstheme="minorBidi"/>
                <w:i w:val="0"/>
                <w:iCs w:val="0"/>
                <w:noProof/>
                <w:sz w:val="22"/>
                <w:szCs w:val="22"/>
              </w:rPr>
              <w:tab/>
            </w:r>
            <w:r w:rsidR="003D01CD" w:rsidRPr="0007533C">
              <w:rPr>
                <w:rStyle w:val="Hyperlink"/>
                <w:noProof/>
              </w:rPr>
              <w:t>Occupational Exposure</w:t>
            </w:r>
            <w:r w:rsidR="003D01CD">
              <w:rPr>
                <w:noProof/>
                <w:webHidden/>
              </w:rPr>
              <w:tab/>
            </w:r>
            <w:r w:rsidR="003D01CD">
              <w:rPr>
                <w:noProof/>
                <w:webHidden/>
              </w:rPr>
              <w:fldChar w:fldCharType="begin"/>
            </w:r>
            <w:r w:rsidR="003D01CD">
              <w:rPr>
                <w:noProof/>
                <w:webHidden/>
              </w:rPr>
              <w:instrText xml:space="preserve"> PAGEREF _Toc468872103 \h </w:instrText>
            </w:r>
            <w:r w:rsidR="003D01CD">
              <w:rPr>
                <w:noProof/>
                <w:webHidden/>
              </w:rPr>
            </w:r>
            <w:r w:rsidR="003D01CD">
              <w:rPr>
                <w:noProof/>
                <w:webHidden/>
              </w:rPr>
              <w:fldChar w:fldCharType="separate"/>
            </w:r>
            <w:r w:rsidR="003D01CD">
              <w:rPr>
                <w:noProof/>
                <w:webHidden/>
              </w:rPr>
              <w:t>106</w:t>
            </w:r>
            <w:r w:rsidR="003D01CD">
              <w:rPr>
                <w:noProof/>
                <w:webHidden/>
              </w:rPr>
              <w:fldChar w:fldCharType="end"/>
            </w:r>
          </w:hyperlink>
        </w:p>
        <w:p w14:paraId="7A689C3A" w14:textId="74935578"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104" w:history="1">
            <w:r w:rsidR="003D01CD" w:rsidRPr="0007533C">
              <w:rPr>
                <w:rStyle w:val="Hyperlink"/>
                <w:noProof/>
              </w:rPr>
              <w:t>4.1.2</w:t>
            </w:r>
            <w:r w:rsidR="003D01CD">
              <w:rPr>
                <w:rFonts w:eastAsiaTheme="minorEastAsia" w:cstheme="minorBidi"/>
                <w:i w:val="0"/>
                <w:iCs w:val="0"/>
                <w:noProof/>
                <w:sz w:val="22"/>
                <w:szCs w:val="22"/>
              </w:rPr>
              <w:tab/>
            </w:r>
            <w:r w:rsidR="003D01CD" w:rsidRPr="0007533C">
              <w:rPr>
                <w:rStyle w:val="Hyperlink"/>
                <w:noProof/>
              </w:rPr>
              <w:t>Children and Families</w:t>
            </w:r>
            <w:r w:rsidR="003D01CD">
              <w:rPr>
                <w:noProof/>
                <w:webHidden/>
              </w:rPr>
              <w:tab/>
            </w:r>
            <w:r w:rsidR="003D01CD">
              <w:rPr>
                <w:noProof/>
                <w:webHidden/>
              </w:rPr>
              <w:fldChar w:fldCharType="begin"/>
            </w:r>
            <w:r w:rsidR="003D01CD">
              <w:rPr>
                <w:noProof/>
                <w:webHidden/>
              </w:rPr>
              <w:instrText xml:space="preserve"> PAGEREF _Toc468872104 \h </w:instrText>
            </w:r>
            <w:r w:rsidR="003D01CD">
              <w:rPr>
                <w:noProof/>
                <w:webHidden/>
              </w:rPr>
            </w:r>
            <w:r w:rsidR="003D01CD">
              <w:rPr>
                <w:noProof/>
                <w:webHidden/>
              </w:rPr>
              <w:fldChar w:fldCharType="separate"/>
            </w:r>
            <w:r w:rsidR="003D01CD">
              <w:rPr>
                <w:noProof/>
                <w:webHidden/>
              </w:rPr>
              <w:t>107</w:t>
            </w:r>
            <w:r w:rsidR="003D01CD">
              <w:rPr>
                <w:noProof/>
                <w:webHidden/>
              </w:rPr>
              <w:fldChar w:fldCharType="end"/>
            </w:r>
          </w:hyperlink>
        </w:p>
        <w:p w14:paraId="1A3E62D2" w14:textId="313F6F97"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105" w:history="1">
            <w:r w:rsidR="003D01CD" w:rsidRPr="0007533C">
              <w:rPr>
                <w:rStyle w:val="Hyperlink"/>
                <w:noProof/>
              </w:rPr>
              <w:t>4.1.3</w:t>
            </w:r>
            <w:r w:rsidR="003D01CD">
              <w:rPr>
                <w:rFonts w:eastAsiaTheme="minorEastAsia" w:cstheme="minorBidi"/>
                <w:i w:val="0"/>
                <w:iCs w:val="0"/>
                <w:noProof/>
                <w:sz w:val="22"/>
                <w:szCs w:val="22"/>
              </w:rPr>
              <w:tab/>
            </w:r>
            <w:r w:rsidR="003D01CD" w:rsidRPr="0007533C">
              <w:rPr>
                <w:rStyle w:val="Hyperlink"/>
                <w:noProof/>
              </w:rPr>
              <w:t>Ecological Risks</w:t>
            </w:r>
            <w:r w:rsidR="003D01CD">
              <w:rPr>
                <w:noProof/>
                <w:webHidden/>
              </w:rPr>
              <w:tab/>
            </w:r>
            <w:r w:rsidR="003D01CD">
              <w:rPr>
                <w:noProof/>
                <w:webHidden/>
              </w:rPr>
              <w:fldChar w:fldCharType="begin"/>
            </w:r>
            <w:r w:rsidR="003D01CD">
              <w:rPr>
                <w:noProof/>
                <w:webHidden/>
              </w:rPr>
              <w:instrText xml:space="preserve"> PAGEREF _Toc468872105 \h </w:instrText>
            </w:r>
            <w:r w:rsidR="003D01CD">
              <w:rPr>
                <w:noProof/>
                <w:webHidden/>
              </w:rPr>
            </w:r>
            <w:r w:rsidR="003D01CD">
              <w:rPr>
                <w:noProof/>
                <w:webHidden/>
              </w:rPr>
              <w:fldChar w:fldCharType="separate"/>
            </w:r>
            <w:r w:rsidR="003D01CD">
              <w:rPr>
                <w:noProof/>
                <w:webHidden/>
              </w:rPr>
              <w:t>109</w:t>
            </w:r>
            <w:r w:rsidR="003D01CD">
              <w:rPr>
                <w:noProof/>
                <w:webHidden/>
              </w:rPr>
              <w:fldChar w:fldCharType="end"/>
            </w:r>
          </w:hyperlink>
        </w:p>
        <w:p w14:paraId="6661CE9B" w14:textId="0A82169C" w:rsidR="003D01CD" w:rsidRDefault="007B6E49">
          <w:pPr>
            <w:pStyle w:val="TOC2"/>
            <w:tabs>
              <w:tab w:val="left" w:pos="720"/>
              <w:tab w:val="right" w:leader="dot" w:pos="9350"/>
            </w:tabs>
            <w:rPr>
              <w:rFonts w:eastAsiaTheme="minorEastAsia" w:cstheme="minorBidi"/>
              <w:smallCaps w:val="0"/>
              <w:noProof/>
              <w:sz w:val="22"/>
              <w:szCs w:val="22"/>
            </w:rPr>
          </w:pPr>
          <w:hyperlink w:anchor="_Toc468872106" w:history="1">
            <w:r w:rsidR="003D01CD" w:rsidRPr="0007533C">
              <w:rPr>
                <w:rStyle w:val="Hyperlink"/>
                <w:noProof/>
              </w:rPr>
              <w:t>4.2</w:t>
            </w:r>
            <w:r w:rsidR="003D01CD">
              <w:rPr>
                <w:rFonts w:eastAsiaTheme="minorEastAsia" w:cstheme="minorBidi"/>
                <w:smallCaps w:val="0"/>
                <w:noProof/>
                <w:sz w:val="22"/>
                <w:szCs w:val="22"/>
              </w:rPr>
              <w:tab/>
            </w:r>
            <w:r w:rsidR="003D01CD" w:rsidRPr="0007533C">
              <w:rPr>
                <w:rStyle w:val="Hyperlink"/>
                <w:noProof/>
              </w:rPr>
              <w:t>What are the Risks?</w:t>
            </w:r>
            <w:r w:rsidR="003D01CD">
              <w:rPr>
                <w:noProof/>
                <w:webHidden/>
              </w:rPr>
              <w:tab/>
            </w:r>
            <w:r w:rsidR="003D01CD">
              <w:rPr>
                <w:noProof/>
                <w:webHidden/>
              </w:rPr>
              <w:fldChar w:fldCharType="begin"/>
            </w:r>
            <w:r w:rsidR="003D01CD">
              <w:rPr>
                <w:noProof/>
                <w:webHidden/>
              </w:rPr>
              <w:instrText xml:space="preserve"> PAGEREF _Toc468872106 \h </w:instrText>
            </w:r>
            <w:r w:rsidR="003D01CD">
              <w:rPr>
                <w:noProof/>
                <w:webHidden/>
              </w:rPr>
            </w:r>
            <w:r w:rsidR="003D01CD">
              <w:rPr>
                <w:noProof/>
                <w:webHidden/>
              </w:rPr>
              <w:fldChar w:fldCharType="separate"/>
            </w:r>
            <w:r w:rsidR="003D01CD">
              <w:rPr>
                <w:noProof/>
                <w:webHidden/>
              </w:rPr>
              <w:t>110</w:t>
            </w:r>
            <w:r w:rsidR="003D01CD">
              <w:rPr>
                <w:noProof/>
                <w:webHidden/>
              </w:rPr>
              <w:fldChar w:fldCharType="end"/>
            </w:r>
          </w:hyperlink>
        </w:p>
        <w:p w14:paraId="513FF29D" w14:textId="7F087F38"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107" w:history="1">
            <w:r w:rsidR="003D01CD" w:rsidRPr="0007533C">
              <w:rPr>
                <w:rStyle w:val="Hyperlink"/>
                <w:noProof/>
              </w:rPr>
              <w:t>4.2.1</w:t>
            </w:r>
            <w:r w:rsidR="003D01CD">
              <w:rPr>
                <w:rFonts w:eastAsiaTheme="minorEastAsia" w:cstheme="minorBidi"/>
                <w:i w:val="0"/>
                <w:iCs w:val="0"/>
                <w:noProof/>
                <w:sz w:val="22"/>
                <w:szCs w:val="22"/>
              </w:rPr>
              <w:tab/>
            </w:r>
            <w:r w:rsidR="003D01CD" w:rsidRPr="0007533C">
              <w:rPr>
                <w:rStyle w:val="Hyperlink"/>
                <w:noProof/>
              </w:rPr>
              <w:t>Acute Exposures and Human Health Effects</w:t>
            </w:r>
            <w:r w:rsidR="003D01CD">
              <w:rPr>
                <w:noProof/>
                <w:webHidden/>
              </w:rPr>
              <w:tab/>
            </w:r>
            <w:r w:rsidR="003D01CD">
              <w:rPr>
                <w:noProof/>
                <w:webHidden/>
              </w:rPr>
              <w:fldChar w:fldCharType="begin"/>
            </w:r>
            <w:r w:rsidR="003D01CD">
              <w:rPr>
                <w:noProof/>
                <w:webHidden/>
              </w:rPr>
              <w:instrText xml:space="preserve"> PAGEREF _Toc468872107 \h </w:instrText>
            </w:r>
            <w:r w:rsidR="003D01CD">
              <w:rPr>
                <w:noProof/>
                <w:webHidden/>
              </w:rPr>
            </w:r>
            <w:r w:rsidR="003D01CD">
              <w:rPr>
                <w:noProof/>
                <w:webHidden/>
              </w:rPr>
              <w:fldChar w:fldCharType="separate"/>
            </w:r>
            <w:r w:rsidR="003D01CD">
              <w:rPr>
                <w:noProof/>
                <w:webHidden/>
              </w:rPr>
              <w:t>110</w:t>
            </w:r>
            <w:r w:rsidR="003D01CD">
              <w:rPr>
                <w:noProof/>
                <w:webHidden/>
              </w:rPr>
              <w:fldChar w:fldCharType="end"/>
            </w:r>
          </w:hyperlink>
        </w:p>
        <w:p w14:paraId="1D4B56DD" w14:textId="180BAF16"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108" w:history="1">
            <w:r w:rsidR="003D01CD" w:rsidRPr="0007533C">
              <w:rPr>
                <w:rStyle w:val="Hyperlink"/>
                <w:noProof/>
              </w:rPr>
              <w:t>4.2.2</w:t>
            </w:r>
            <w:r w:rsidR="003D01CD">
              <w:rPr>
                <w:rFonts w:eastAsiaTheme="minorEastAsia" w:cstheme="minorBidi"/>
                <w:i w:val="0"/>
                <w:iCs w:val="0"/>
                <w:noProof/>
                <w:sz w:val="22"/>
                <w:szCs w:val="22"/>
              </w:rPr>
              <w:tab/>
            </w:r>
            <w:r w:rsidR="003D01CD" w:rsidRPr="0007533C">
              <w:rPr>
                <w:rStyle w:val="Hyperlink"/>
                <w:noProof/>
              </w:rPr>
              <w:t>Acute and Chronic Exposures and Effects on Children and Families</w:t>
            </w:r>
            <w:r w:rsidR="003D01CD">
              <w:rPr>
                <w:noProof/>
                <w:webHidden/>
              </w:rPr>
              <w:tab/>
            </w:r>
            <w:r w:rsidR="003D01CD">
              <w:rPr>
                <w:noProof/>
                <w:webHidden/>
              </w:rPr>
              <w:fldChar w:fldCharType="begin"/>
            </w:r>
            <w:r w:rsidR="003D01CD">
              <w:rPr>
                <w:noProof/>
                <w:webHidden/>
              </w:rPr>
              <w:instrText xml:space="preserve"> PAGEREF _Toc468872108 \h </w:instrText>
            </w:r>
            <w:r w:rsidR="003D01CD">
              <w:rPr>
                <w:noProof/>
                <w:webHidden/>
              </w:rPr>
            </w:r>
            <w:r w:rsidR="003D01CD">
              <w:rPr>
                <w:noProof/>
                <w:webHidden/>
              </w:rPr>
              <w:fldChar w:fldCharType="separate"/>
            </w:r>
            <w:r w:rsidR="003D01CD">
              <w:rPr>
                <w:noProof/>
                <w:webHidden/>
              </w:rPr>
              <w:t>111</w:t>
            </w:r>
            <w:r w:rsidR="003D01CD">
              <w:rPr>
                <w:noProof/>
                <w:webHidden/>
              </w:rPr>
              <w:fldChar w:fldCharType="end"/>
            </w:r>
          </w:hyperlink>
        </w:p>
        <w:p w14:paraId="6E50305A" w14:textId="3F31276B"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109" w:history="1">
            <w:r w:rsidR="003D01CD" w:rsidRPr="0007533C">
              <w:rPr>
                <w:rStyle w:val="Hyperlink"/>
                <w:rFonts w:eastAsia="Calibri"/>
                <w:noProof/>
              </w:rPr>
              <w:t>4.2.3</w:t>
            </w:r>
            <w:r w:rsidR="003D01CD">
              <w:rPr>
                <w:rFonts w:eastAsiaTheme="minorEastAsia" w:cstheme="minorBidi"/>
                <w:i w:val="0"/>
                <w:iCs w:val="0"/>
                <w:noProof/>
                <w:sz w:val="22"/>
                <w:szCs w:val="22"/>
              </w:rPr>
              <w:tab/>
            </w:r>
            <w:r w:rsidR="003D01CD" w:rsidRPr="0007533C">
              <w:rPr>
                <w:rStyle w:val="Hyperlink"/>
                <w:rFonts w:eastAsia="Calibri"/>
                <w:noProof/>
              </w:rPr>
              <w:t>RUP exposure and Ecological Effects</w:t>
            </w:r>
            <w:r w:rsidR="003D01CD">
              <w:rPr>
                <w:noProof/>
                <w:webHidden/>
              </w:rPr>
              <w:tab/>
            </w:r>
            <w:r w:rsidR="003D01CD">
              <w:rPr>
                <w:noProof/>
                <w:webHidden/>
              </w:rPr>
              <w:fldChar w:fldCharType="begin"/>
            </w:r>
            <w:r w:rsidR="003D01CD">
              <w:rPr>
                <w:noProof/>
                <w:webHidden/>
              </w:rPr>
              <w:instrText xml:space="preserve"> PAGEREF _Toc468872109 \h </w:instrText>
            </w:r>
            <w:r w:rsidR="003D01CD">
              <w:rPr>
                <w:noProof/>
                <w:webHidden/>
              </w:rPr>
            </w:r>
            <w:r w:rsidR="003D01CD">
              <w:rPr>
                <w:noProof/>
                <w:webHidden/>
              </w:rPr>
              <w:fldChar w:fldCharType="separate"/>
            </w:r>
            <w:r w:rsidR="003D01CD">
              <w:rPr>
                <w:noProof/>
                <w:webHidden/>
              </w:rPr>
              <w:t>114</w:t>
            </w:r>
            <w:r w:rsidR="003D01CD">
              <w:rPr>
                <w:noProof/>
                <w:webHidden/>
              </w:rPr>
              <w:fldChar w:fldCharType="end"/>
            </w:r>
          </w:hyperlink>
        </w:p>
        <w:p w14:paraId="155BE542" w14:textId="35E41386" w:rsidR="003D01CD" w:rsidRDefault="007B6E49">
          <w:pPr>
            <w:pStyle w:val="TOC2"/>
            <w:tabs>
              <w:tab w:val="left" w:pos="720"/>
              <w:tab w:val="right" w:leader="dot" w:pos="9350"/>
            </w:tabs>
            <w:rPr>
              <w:rFonts w:eastAsiaTheme="minorEastAsia" w:cstheme="minorBidi"/>
              <w:smallCaps w:val="0"/>
              <w:noProof/>
              <w:sz w:val="22"/>
              <w:szCs w:val="22"/>
            </w:rPr>
          </w:pPr>
          <w:hyperlink w:anchor="_Toc468872110" w:history="1">
            <w:r w:rsidR="003D01CD" w:rsidRPr="0007533C">
              <w:rPr>
                <w:rStyle w:val="Hyperlink"/>
                <w:rFonts w:eastAsia="Calibri"/>
                <w:noProof/>
              </w:rPr>
              <w:t>4.3</w:t>
            </w:r>
            <w:r w:rsidR="003D01CD">
              <w:rPr>
                <w:rFonts w:eastAsiaTheme="minorEastAsia" w:cstheme="minorBidi"/>
                <w:smallCaps w:val="0"/>
                <w:noProof/>
                <w:sz w:val="22"/>
                <w:szCs w:val="22"/>
              </w:rPr>
              <w:tab/>
            </w:r>
            <w:r w:rsidR="003D01CD" w:rsidRPr="0007533C">
              <w:rPr>
                <w:rStyle w:val="Hyperlink"/>
                <w:rFonts w:eastAsia="Calibri"/>
                <w:noProof/>
              </w:rPr>
              <w:t>Which Benefits Can Be Quantified?</w:t>
            </w:r>
            <w:r w:rsidR="003D01CD">
              <w:rPr>
                <w:noProof/>
                <w:webHidden/>
              </w:rPr>
              <w:tab/>
            </w:r>
            <w:r w:rsidR="003D01CD">
              <w:rPr>
                <w:noProof/>
                <w:webHidden/>
              </w:rPr>
              <w:fldChar w:fldCharType="begin"/>
            </w:r>
            <w:r w:rsidR="003D01CD">
              <w:rPr>
                <w:noProof/>
                <w:webHidden/>
              </w:rPr>
              <w:instrText xml:space="preserve"> PAGEREF _Toc468872110 \h </w:instrText>
            </w:r>
            <w:r w:rsidR="003D01CD">
              <w:rPr>
                <w:noProof/>
                <w:webHidden/>
              </w:rPr>
            </w:r>
            <w:r w:rsidR="003D01CD">
              <w:rPr>
                <w:noProof/>
                <w:webHidden/>
              </w:rPr>
              <w:fldChar w:fldCharType="separate"/>
            </w:r>
            <w:r w:rsidR="003D01CD">
              <w:rPr>
                <w:noProof/>
                <w:webHidden/>
              </w:rPr>
              <w:t>114</w:t>
            </w:r>
            <w:r w:rsidR="003D01CD">
              <w:rPr>
                <w:noProof/>
                <w:webHidden/>
              </w:rPr>
              <w:fldChar w:fldCharType="end"/>
            </w:r>
          </w:hyperlink>
        </w:p>
        <w:p w14:paraId="0176D27F" w14:textId="7EFD2386" w:rsidR="003D01CD" w:rsidRDefault="007B6E49">
          <w:pPr>
            <w:pStyle w:val="TOC2"/>
            <w:tabs>
              <w:tab w:val="left" w:pos="720"/>
              <w:tab w:val="right" w:leader="dot" w:pos="9350"/>
            </w:tabs>
            <w:rPr>
              <w:rFonts w:eastAsiaTheme="minorEastAsia" w:cstheme="minorBidi"/>
              <w:smallCaps w:val="0"/>
              <w:noProof/>
              <w:sz w:val="22"/>
              <w:szCs w:val="22"/>
            </w:rPr>
          </w:pPr>
          <w:hyperlink w:anchor="_Toc468872111" w:history="1">
            <w:r w:rsidR="003D01CD" w:rsidRPr="0007533C">
              <w:rPr>
                <w:rStyle w:val="Hyperlink"/>
                <w:noProof/>
              </w:rPr>
              <w:t>4.4</w:t>
            </w:r>
            <w:r w:rsidR="003D01CD">
              <w:rPr>
                <w:rFonts w:eastAsiaTheme="minorEastAsia" w:cstheme="minorBidi"/>
                <w:smallCaps w:val="0"/>
                <w:noProof/>
                <w:sz w:val="22"/>
                <w:szCs w:val="22"/>
              </w:rPr>
              <w:tab/>
            </w:r>
            <w:r w:rsidR="003D01CD" w:rsidRPr="0007533C">
              <w:rPr>
                <w:rStyle w:val="Hyperlink"/>
                <w:noProof/>
              </w:rPr>
              <w:t>Quantified Human Health Benefits of Reduced Acute Illness from Restricted Use Pesticides</w:t>
            </w:r>
            <w:r w:rsidR="003D01CD">
              <w:rPr>
                <w:noProof/>
                <w:webHidden/>
              </w:rPr>
              <w:tab/>
            </w:r>
            <w:r w:rsidR="003D01CD">
              <w:rPr>
                <w:noProof/>
                <w:webHidden/>
              </w:rPr>
              <w:fldChar w:fldCharType="begin"/>
            </w:r>
            <w:r w:rsidR="003D01CD">
              <w:rPr>
                <w:noProof/>
                <w:webHidden/>
              </w:rPr>
              <w:instrText xml:space="preserve"> PAGEREF _Toc468872111 \h </w:instrText>
            </w:r>
            <w:r w:rsidR="003D01CD">
              <w:rPr>
                <w:noProof/>
                <w:webHidden/>
              </w:rPr>
            </w:r>
            <w:r w:rsidR="003D01CD">
              <w:rPr>
                <w:noProof/>
                <w:webHidden/>
              </w:rPr>
              <w:fldChar w:fldCharType="separate"/>
            </w:r>
            <w:r w:rsidR="003D01CD">
              <w:rPr>
                <w:noProof/>
                <w:webHidden/>
              </w:rPr>
              <w:t>115</w:t>
            </w:r>
            <w:r w:rsidR="003D01CD">
              <w:rPr>
                <w:noProof/>
                <w:webHidden/>
              </w:rPr>
              <w:fldChar w:fldCharType="end"/>
            </w:r>
          </w:hyperlink>
        </w:p>
        <w:p w14:paraId="46760A7C" w14:textId="724130C5"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112" w:history="1">
            <w:r w:rsidR="003D01CD" w:rsidRPr="0007533C">
              <w:rPr>
                <w:rStyle w:val="Hyperlink"/>
                <w:noProof/>
              </w:rPr>
              <w:t>4.4.1</w:t>
            </w:r>
            <w:r w:rsidR="003D01CD">
              <w:rPr>
                <w:rFonts w:eastAsiaTheme="minorEastAsia" w:cstheme="minorBidi"/>
                <w:i w:val="0"/>
                <w:iCs w:val="0"/>
                <w:noProof/>
                <w:sz w:val="22"/>
                <w:szCs w:val="22"/>
              </w:rPr>
              <w:tab/>
            </w:r>
            <w:r w:rsidR="003D01CD" w:rsidRPr="0007533C">
              <w:rPr>
                <w:rStyle w:val="Hyperlink"/>
                <w:noProof/>
              </w:rPr>
              <w:t>Method and Data</w:t>
            </w:r>
            <w:r w:rsidR="003D01CD">
              <w:rPr>
                <w:noProof/>
                <w:webHidden/>
              </w:rPr>
              <w:tab/>
            </w:r>
            <w:r w:rsidR="003D01CD">
              <w:rPr>
                <w:noProof/>
                <w:webHidden/>
              </w:rPr>
              <w:fldChar w:fldCharType="begin"/>
            </w:r>
            <w:r w:rsidR="003D01CD">
              <w:rPr>
                <w:noProof/>
                <w:webHidden/>
              </w:rPr>
              <w:instrText xml:space="preserve"> PAGEREF _Toc468872112 \h </w:instrText>
            </w:r>
            <w:r w:rsidR="003D01CD">
              <w:rPr>
                <w:noProof/>
                <w:webHidden/>
              </w:rPr>
            </w:r>
            <w:r w:rsidR="003D01CD">
              <w:rPr>
                <w:noProof/>
                <w:webHidden/>
              </w:rPr>
              <w:fldChar w:fldCharType="separate"/>
            </w:r>
            <w:r w:rsidR="003D01CD">
              <w:rPr>
                <w:noProof/>
                <w:webHidden/>
              </w:rPr>
              <w:t>115</w:t>
            </w:r>
            <w:r w:rsidR="003D01CD">
              <w:rPr>
                <w:noProof/>
                <w:webHidden/>
              </w:rPr>
              <w:fldChar w:fldCharType="end"/>
            </w:r>
          </w:hyperlink>
        </w:p>
        <w:p w14:paraId="397D014D" w14:textId="6B03CF89"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113" w:history="1">
            <w:r w:rsidR="003D01CD" w:rsidRPr="0007533C">
              <w:rPr>
                <w:rStyle w:val="Hyperlink"/>
                <w:noProof/>
              </w:rPr>
              <w:t>4.4.2</w:t>
            </w:r>
            <w:r w:rsidR="003D01CD">
              <w:rPr>
                <w:rFonts w:eastAsiaTheme="minorEastAsia" w:cstheme="minorBidi"/>
                <w:i w:val="0"/>
                <w:iCs w:val="0"/>
                <w:noProof/>
                <w:sz w:val="22"/>
                <w:szCs w:val="22"/>
              </w:rPr>
              <w:tab/>
            </w:r>
            <w:r w:rsidR="003D01CD" w:rsidRPr="0007533C">
              <w:rPr>
                <w:rStyle w:val="Hyperlink"/>
                <w:noProof/>
              </w:rPr>
              <w:t>Pesticide Incidents Avoided</w:t>
            </w:r>
            <w:r w:rsidR="003D01CD">
              <w:rPr>
                <w:noProof/>
                <w:webHidden/>
              </w:rPr>
              <w:tab/>
            </w:r>
            <w:r w:rsidR="003D01CD">
              <w:rPr>
                <w:noProof/>
                <w:webHidden/>
              </w:rPr>
              <w:fldChar w:fldCharType="begin"/>
            </w:r>
            <w:r w:rsidR="003D01CD">
              <w:rPr>
                <w:noProof/>
                <w:webHidden/>
              </w:rPr>
              <w:instrText xml:space="preserve"> PAGEREF _Toc468872113 \h </w:instrText>
            </w:r>
            <w:r w:rsidR="003D01CD">
              <w:rPr>
                <w:noProof/>
                <w:webHidden/>
              </w:rPr>
            </w:r>
            <w:r w:rsidR="003D01CD">
              <w:rPr>
                <w:noProof/>
                <w:webHidden/>
              </w:rPr>
              <w:fldChar w:fldCharType="separate"/>
            </w:r>
            <w:r w:rsidR="003D01CD">
              <w:rPr>
                <w:noProof/>
                <w:webHidden/>
              </w:rPr>
              <w:t>116</w:t>
            </w:r>
            <w:r w:rsidR="003D01CD">
              <w:rPr>
                <w:noProof/>
                <w:webHidden/>
              </w:rPr>
              <w:fldChar w:fldCharType="end"/>
            </w:r>
          </w:hyperlink>
        </w:p>
        <w:p w14:paraId="0BA7CC81" w14:textId="12D85948"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114" w:history="1">
            <w:r w:rsidR="003D01CD" w:rsidRPr="0007533C">
              <w:rPr>
                <w:rStyle w:val="Hyperlink"/>
                <w:noProof/>
              </w:rPr>
              <w:t>4.4.3</w:t>
            </w:r>
            <w:r w:rsidR="003D01CD">
              <w:rPr>
                <w:rFonts w:eastAsiaTheme="minorEastAsia" w:cstheme="minorBidi"/>
                <w:i w:val="0"/>
                <w:iCs w:val="0"/>
                <w:noProof/>
                <w:sz w:val="22"/>
                <w:szCs w:val="22"/>
              </w:rPr>
              <w:tab/>
            </w:r>
            <w:r w:rsidR="003D01CD" w:rsidRPr="0007533C">
              <w:rPr>
                <w:rStyle w:val="Hyperlink"/>
                <w:noProof/>
              </w:rPr>
              <w:t>The Severity Distribution of Avoided Incidents</w:t>
            </w:r>
            <w:r w:rsidR="003D01CD">
              <w:rPr>
                <w:noProof/>
                <w:webHidden/>
              </w:rPr>
              <w:tab/>
            </w:r>
            <w:r w:rsidR="003D01CD">
              <w:rPr>
                <w:noProof/>
                <w:webHidden/>
              </w:rPr>
              <w:fldChar w:fldCharType="begin"/>
            </w:r>
            <w:r w:rsidR="003D01CD">
              <w:rPr>
                <w:noProof/>
                <w:webHidden/>
              </w:rPr>
              <w:instrText xml:space="preserve"> PAGEREF _Toc468872114 \h </w:instrText>
            </w:r>
            <w:r w:rsidR="003D01CD">
              <w:rPr>
                <w:noProof/>
                <w:webHidden/>
              </w:rPr>
            </w:r>
            <w:r w:rsidR="003D01CD">
              <w:rPr>
                <w:noProof/>
                <w:webHidden/>
              </w:rPr>
              <w:fldChar w:fldCharType="separate"/>
            </w:r>
            <w:r w:rsidR="003D01CD">
              <w:rPr>
                <w:noProof/>
                <w:webHidden/>
              </w:rPr>
              <w:t>130</w:t>
            </w:r>
            <w:r w:rsidR="003D01CD">
              <w:rPr>
                <w:noProof/>
                <w:webHidden/>
              </w:rPr>
              <w:fldChar w:fldCharType="end"/>
            </w:r>
          </w:hyperlink>
        </w:p>
        <w:p w14:paraId="3F5D290F" w14:textId="087E8B63"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115" w:history="1">
            <w:r w:rsidR="003D01CD" w:rsidRPr="0007533C">
              <w:rPr>
                <w:rStyle w:val="Hyperlink"/>
                <w:noProof/>
              </w:rPr>
              <w:t>4.4.4</w:t>
            </w:r>
            <w:r w:rsidR="003D01CD">
              <w:rPr>
                <w:rFonts w:eastAsiaTheme="minorEastAsia" w:cstheme="minorBidi"/>
                <w:i w:val="0"/>
                <w:iCs w:val="0"/>
                <w:noProof/>
                <w:sz w:val="22"/>
                <w:szCs w:val="22"/>
              </w:rPr>
              <w:tab/>
            </w:r>
            <w:r w:rsidR="003D01CD" w:rsidRPr="0007533C">
              <w:rPr>
                <w:rStyle w:val="Hyperlink"/>
                <w:noProof/>
              </w:rPr>
              <w:t>Value of Avoided Incidents</w:t>
            </w:r>
            <w:r w:rsidR="003D01CD">
              <w:rPr>
                <w:noProof/>
                <w:webHidden/>
              </w:rPr>
              <w:tab/>
            </w:r>
            <w:r w:rsidR="003D01CD">
              <w:rPr>
                <w:noProof/>
                <w:webHidden/>
              </w:rPr>
              <w:fldChar w:fldCharType="begin"/>
            </w:r>
            <w:r w:rsidR="003D01CD">
              <w:rPr>
                <w:noProof/>
                <w:webHidden/>
              </w:rPr>
              <w:instrText xml:space="preserve"> PAGEREF _Toc468872115 \h </w:instrText>
            </w:r>
            <w:r w:rsidR="003D01CD">
              <w:rPr>
                <w:noProof/>
                <w:webHidden/>
              </w:rPr>
            </w:r>
            <w:r w:rsidR="003D01CD">
              <w:rPr>
                <w:noProof/>
                <w:webHidden/>
              </w:rPr>
              <w:fldChar w:fldCharType="separate"/>
            </w:r>
            <w:r w:rsidR="003D01CD">
              <w:rPr>
                <w:noProof/>
                <w:webHidden/>
              </w:rPr>
              <w:t>137</w:t>
            </w:r>
            <w:r w:rsidR="003D01CD">
              <w:rPr>
                <w:noProof/>
                <w:webHidden/>
              </w:rPr>
              <w:fldChar w:fldCharType="end"/>
            </w:r>
          </w:hyperlink>
        </w:p>
        <w:p w14:paraId="73FD0720" w14:textId="18705D60"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116" w:history="1">
            <w:r w:rsidR="003D01CD" w:rsidRPr="0007533C">
              <w:rPr>
                <w:rStyle w:val="Hyperlink"/>
                <w:noProof/>
              </w:rPr>
              <w:t>4.4.5</w:t>
            </w:r>
            <w:r w:rsidR="003D01CD">
              <w:rPr>
                <w:rFonts w:eastAsiaTheme="minorEastAsia" w:cstheme="minorBidi"/>
                <w:i w:val="0"/>
                <w:iCs w:val="0"/>
                <w:noProof/>
                <w:sz w:val="22"/>
                <w:szCs w:val="22"/>
              </w:rPr>
              <w:tab/>
            </w:r>
            <w:r w:rsidR="003D01CD" w:rsidRPr="0007533C">
              <w:rPr>
                <w:rStyle w:val="Hyperlink"/>
                <w:noProof/>
              </w:rPr>
              <w:t>Estimated Benefits from Avoided Incidents</w:t>
            </w:r>
            <w:r w:rsidR="003D01CD">
              <w:rPr>
                <w:noProof/>
                <w:webHidden/>
              </w:rPr>
              <w:tab/>
            </w:r>
            <w:r w:rsidR="003D01CD">
              <w:rPr>
                <w:noProof/>
                <w:webHidden/>
              </w:rPr>
              <w:fldChar w:fldCharType="begin"/>
            </w:r>
            <w:r w:rsidR="003D01CD">
              <w:rPr>
                <w:noProof/>
                <w:webHidden/>
              </w:rPr>
              <w:instrText xml:space="preserve"> PAGEREF _Toc468872116 \h </w:instrText>
            </w:r>
            <w:r w:rsidR="003D01CD">
              <w:rPr>
                <w:noProof/>
                <w:webHidden/>
              </w:rPr>
            </w:r>
            <w:r w:rsidR="003D01CD">
              <w:rPr>
                <w:noProof/>
                <w:webHidden/>
              </w:rPr>
              <w:fldChar w:fldCharType="separate"/>
            </w:r>
            <w:r w:rsidR="003D01CD">
              <w:rPr>
                <w:noProof/>
                <w:webHidden/>
              </w:rPr>
              <w:t>142</w:t>
            </w:r>
            <w:r w:rsidR="003D01CD">
              <w:rPr>
                <w:noProof/>
                <w:webHidden/>
              </w:rPr>
              <w:fldChar w:fldCharType="end"/>
            </w:r>
          </w:hyperlink>
        </w:p>
        <w:p w14:paraId="4D075F4B" w14:textId="3B4F2336" w:rsidR="003D01CD" w:rsidRDefault="007B6E49">
          <w:pPr>
            <w:pStyle w:val="TOC2"/>
            <w:tabs>
              <w:tab w:val="left" w:pos="720"/>
              <w:tab w:val="right" w:leader="dot" w:pos="9350"/>
            </w:tabs>
            <w:rPr>
              <w:rFonts w:eastAsiaTheme="minorEastAsia" w:cstheme="minorBidi"/>
              <w:smallCaps w:val="0"/>
              <w:noProof/>
              <w:sz w:val="22"/>
              <w:szCs w:val="22"/>
            </w:rPr>
          </w:pPr>
          <w:hyperlink w:anchor="_Toc468872117" w:history="1">
            <w:r w:rsidR="003D01CD" w:rsidRPr="0007533C">
              <w:rPr>
                <w:rStyle w:val="Hyperlink"/>
                <w:noProof/>
              </w:rPr>
              <w:t>4.5</w:t>
            </w:r>
            <w:r w:rsidR="003D01CD">
              <w:rPr>
                <w:rFonts w:eastAsiaTheme="minorEastAsia" w:cstheme="minorBidi"/>
                <w:smallCaps w:val="0"/>
                <w:noProof/>
                <w:sz w:val="22"/>
                <w:szCs w:val="22"/>
              </w:rPr>
              <w:tab/>
            </w:r>
            <w:r w:rsidR="003D01CD" w:rsidRPr="0007533C">
              <w:rPr>
                <w:rStyle w:val="Hyperlink"/>
                <w:noProof/>
              </w:rPr>
              <w:t>Risks to Human Health from Chronic RUP Exposure</w:t>
            </w:r>
            <w:r w:rsidR="003D01CD">
              <w:rPr>
                <w:noProof/>
                <w:webHidden/>
              </w:rPr>
              <w:tab/>
            </w:r>
            <w:r w:rsidR="003D01CD">
              <w:rPr>
                <w:noProof/>
                <w:webHidden/>
              </w:rPr>
              <w:fldChar w:fldCharType="begin"/>
            </w:r>
            <w:r w:rsidR="003D01CD">
              <w:rPr>
                <w:noProof/>
                <w:webHidden/>
              </w:rPr>
              <w:instrText xml:space="preserve"> PAGEREF _Toc468872117 \h </w:instrText>
            </w:r>
            <w:r w:rsidR="003D01CD">
              <w:rPr>
                <w:noProof/>
                <w:webHidden/>
              </w:rPr>
            </w:r>
            <w:r w:rsidR="003D01CD">
              <w:rPr>
                <w:noProof/>
                <w:webHidden/>
              </w:rPr>
              <w:fldChar w:fldCharType="separate"/>
            </w:r>
            <w:r w:rsidR="003D01CD">
              <w:rPr>
                <w:noProof/>
                <w:webHidden/>
              </w:rPr>
              <w:t>147</w:t>
            </w:r>
            <w:r w:rsidR="003D01CD">
              <w:rPr>
                <w:noProof/>
                <w:webHidden/>
              </w:rPr>
              <w:fldChar w:fldCharType="end"/>
            </w:r>
          </w:hyperlink>
        </w:p>
        <w:p w14:paraId="2EDFA613" w14:textId="56D7B79F"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118" w:history="1">
            <w:r w:rsidR="003D01CD" w:rsidRPr="0007533C">
              <w:rPr>
                <w:rStyle w:val="Hyperlink"/>
                <w:noProof/>
              </w:rPr>
              <w:t>4.5.1</w:t>
            </w:r>
            <w:r w:rsidR="003D01CD">
              <w:rPr>
                <w:rFonts w:eastAsiaTheme="minorEastAsia" w:cstheme="minorBidi"/>
                <w:i w:val="0"/>
                <w:iCs w:val="0"/>
                <w:noProof/>
                <w:sz w:val="22"/>
                <w:szCs w:val="22"/>
              </w:rPr>
              <w:tab/>
            </w:r>
            <w:r w:rsidR="003D01CD" w:rsidRPr="0007533C">
              <w:rPr>
                <w:rStyle w:val="Hyperlink"/>
                <w:noProof/>
              </w:rPr>
              <w:t>Cancer Risks</w:t>
            </w:r>
            <w:r w:rsidR="003D01CD">
              <w:rPr>
                <w:noProof/>
                <w:webHidden/>
              </w:rPr>
              <w:tab/>
            </w:r>
            <w:r w:rsidR="003D01CD">
              <w:rPr>
                <w:noProof/>
                <w:webHidden/>
              </w:rPr>
              <w:fldChar w:fldCharType="begin"/>
            </w:r>
            <w:r w:rsidR="003D01CD">
              <w:rPr>
                <w:noProof/>
                <w:webHidden/>
              </w:rPr>
              <w:instrText xml:space="preserve"> PAGEREF _Toc468872118 \h </w:instrText>
            </w:r>
            <w:r w:rsidR="003D01CD">
              <w:rPr>
                <w:noProof/>
                <w:webHidden/>
              </w:rPr>
            </w:r>
            <w:r w:rsidR="003D01CD">
              <w:rPr>
                <w:noProof/>
                <w:webHidden/>
              </w:rPr>
              <w:fldChar w:fldCharType="separate"/>
            </w:r>
            <w:r w:rsidR="003D01CD">
              <w:rPr>
                <w:noProof/>
                <w:webHidden/>
              </w:rPr>
              <w:t>149</w:t>
            </w:r>
            <w:r w:rsidR="003D01CD">
              <w:rPr>
                <w:noProof/>
                <w:webHidden/>
              </w:rPr>
              <w:fldChar w:fldCharType="end"/>
            </w:r>
          </w:hyperlink>
        </w:p>
        <w:p w14:paraId="54F2FAF9" w14:textId="3F49EC8B"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119" w:history="1">
            <w:r w:rsidR="003D01CD" w:rsidRPr="0007533C">
              <w:rPr>
                <w:rStyle w:val="Hyperlink"/>
                <w:noProof/>
              </w:rPr>
              <w:t>4.5.2</w:t>
            </w:r>
            <w:r w:rsidR="003D01CD">
              <w:rPr>
                <w:rFonts w:eastAsiaTheme="minorEastAsia" w:cstheme="minorBidi"/>
                <w:i w:val="0"/>
                <w:iCs w:val="0"/>
                <w:noProof/>
                <w:sz w:val="22"/>
                <w:szCs w:val="22"/>
              </w:rPr>
              <w:tab/>
            </w:r>
            <w:r w:rsidR="003D01CD" w:rsidRPr="0007533C">
              <w:rPr>
                <w:rStyle w:val="Hyperlink"/>
                <w:noProof/>
              </w:rPr>
              <w:t>Non-Cancer Health Effects</w:t>
            </w:r>
            <w:r w:rsidR="003D01CD">
              <w:rPr>
                <w:noProof/>
                <w:webHidden/>
              </w:rPr>
              <w:tab/>
            </w:r>
            <w:r w:rsidR="003D01CD">
              <w:rPr>
                <w:noProof/>
                <w:webHidden/>
              </w:rPr>
              <w:fldChar w:fldCharType="begin"/>
            </w:r>
            <w:r w:rsidR="003D01CD">
              <w:rPr>
                <w:noProof/>
                <w:webHidden/>
              </w:rPr>
              <w:instrText xml:space="preserve"> PAGEREF _Toc468872119 \h </w:instrText>
            </w:r>
            <w:r w:rsidR="003D01CD">
              <w:rPr>
                <w:noProof/>
                <w:webHidden/>
              </w:rPr>
            </w:r>
            <w:r w:rsidR="003D01CD">
              <w:rPr>
                <w:noProof/>
                <w:webHidden/>
              </w:rPr>
              <w:fldChar w:fldCharType="separate"/>
            </w:r>
            <w:r w:rsidR="003D01CD">
              <w:rPr>
                <w:noProof/>
                <w:webHidden/>
              </w:rPr>
              <w:t>152</w:t>
            </w:r>
            <w:r w:rsidR="003D01CD">
              <w:rPr>
                <w:noProof/>
                <w:webHidden/>
              </w:rPr>
              <w:fldChar w:fldCharType="end"/>
            </w:r>
          </w:hyperlink>
        </w:p>
        <w:p w14:paraId="0892F4A8" w14:textId="474B2A54" w:rsidR="003D01CD" w:rsidRDefault="007B6E49">
          <w:pPr>
            <w:pStyle w:val="TOC3"/>
            <w:tabs>
              <w:tab w:val="left" w:pos="1200"/>
              <w:tab w:val="right" w:leader="dot" w:pos="9350"/>
            </w:tabs>
            <w:rPr>
              <w:rFonts w:eastAsiaTheme="minorEastAsia" w:cstheme="minorBidi"/>
              <w:i w:val="0"/>
              <w:iCs w:val="0"/>
              <w:noProof/>
              <w:sz w:val="22"/>
              <w:szCs w:val="22"/>
            </w:rPr>
          </w:pPr>
          <w:hyperlink w:anchor="_Toc468872120" w:history="1">
            <w:r w:rsidR="003D01CD" w:rsidRPr="0007533C">
              <w:rPr>
                <w:rStyle w:val="Hyperlink"/>
                <w:noProof/>
              </w:rPr>
              <w:t>4.5.3</w:t>
            </w:r>
            <w:r w:rsidR="003D01CD">
              <w:rPr>
                <w:rFonts w:eastAsiaTheme="minorEastAsia" w:cstheme="minorBidi"/>
                <w:i w:val="0"/>
                <w:iCs w:val="0"/>
                <w:noProof/>
                <w:sz w:val="22"/>
                <w:szCs w:val="22"/>
              </w:rPr>
              <w:tab/>
            </w:r>
            <w:r w:rsidR="003D01CD" w:rsidRPr="0007533C">
              <w:rPr>
                <w:rStyle w:val="Hyperlink"/>
                <w:noProof/>
              </w:rPr>
              <w:t>Summary of Risks from Chronic Exposure and the Benefits of Reduced Exposure</w:t>
            </w:r>
            <w:r w:rsidR="003D01CD">
              <w:rPr>
                <w:noProof/>
                <w:webHidden/>
              </w:rPr>
              <w:tab/>
            </w:r>
            <w:r w:rsidR="003D01CD">
              <w:rPr>
                <w:noProof/>
                <w:webHidden/>
              </w:rPr>
              <w:fldChar w:fldCharType="begin"/>
            </w:r>
            <w:r w:rsidR="003D01CD">
              <w:rPr>
                <w:noProof/>
                <w:webHidden/>
              </w:rPr>
              <w:instrText xml:space="preserve"> PAGEREF _Toc468872120 \h </w:instrText>
            </w:r>
            <w:r w:rsidR="003D01CD">
              <w:rPr>
                <w:noProof/>
                <w:webHidden/>
              </w:rPr>
            </w:r>
            <w:r w:rsidR="003D01CD">
              <w:rPr>
                <w:noProof/>
                <w:webHidden/>
              </w:rPr>
              <w:fldChar w:fldCharType="separate"/>
            </w:r>
            <w:r w:rsidR="003D01CD">
              <w:rPr>
                <w:noProof/>
                <w:webHidden/>
              </w:rPr>
              <w:t>153</w:t>
            </w:r>
            <w:r w:rsidR="003D01CD">
              <w:rPr>
                <w:noProof/>
                <w:webHidden/>
              </w:rPr>
              <w:fldChar w:fldCharType="end"/>
            </w:r>
          </w:hyperlink>
        </w:p>
        <w:p w14:paraId="08C08E7A" w14:textId="5279A168" w:rsidR="003D01CD" w:rsidRDefault="007B6E49">
          <w:pPr>
            <w:pStyle w:val="TOC2"/>
            <w:tabs>
              <w:tab w:val="left" w:pos="720"/>
              <w:tab w:val="right" w:leader="dot" w:pos="9350"/>
            </w:tabs>
            <w:rPr>
              <w:rFonts w:eastAsiaTheme="minorEastAsia" w:cstheme="minorBidi"/>
              <w:smallCaps w:val="0"/>
              <w:noProof/>
              <w:sz w:val="22"/>
              <w:szCs w:val="22"/>
            </w:rPr>
          </w:pPr>
          <w:hyperlink w:anchor="_Toc468872121" w:history="1">
            <w:r w:rsidR="003D01CD" w:rsidRPr="0007533C">
              <w:rPr>
                <w:rStyle w:val="Hyperlink"/>
                <w:noProof/>
              </w:rPr>
              <w:t>4.6</w:t>
            </w:r>
            <w:r w:rsidR="003D01CD">
              <w:rPr>
                <w:rFonts w:eastAsiaTheme="minorEastAsia" w:cstheme="minorBidi"/>
                <w:smallCaps w:val="0"/>
                <w:noProof/>
                <w:sz w:val="22"/>
                <w:szCs w:val="22"/>
              </w:rPr>
              <w:tab/>
            </w:r>
            <w:r w:rsidR="003D01CD" w:rsidRPr="0007533C">
              <w:rPr>
                <w:rStyle w:val="Hyperlink"/>
                <w:noProof/>
              </w:rPr>
              <w:t>Non-Quantified Benefits of Avoiding Ecological RUP Incidents</w:t>
            </w:r>
            <w:r w:rsidR="003D01CD">
              <w:rPr>
                <w:noProof/>
                <w:webHidden/>
              </w:rPr>
              <w:tab/>
            </w:r>
            <w:r w:rsidR="003D01CD">
              <w:rPr>
                <w:noProof/>
                <w:webHidden/>
              </w:rPr>
              <w:fldChar w:fldCharType="begin"/>
            </w:r>
            <w:r w:rsidR="003D01CD">
              <w:rPr>
                <w:noProof/>
                <w:webHidden/>
              </w:rPr>
              <w:instrText xml:space="preserve"> PAGEREF _Toc468872121 \h </w:instrText>
            </w:r>
            <w:r w:rsidR="003D01CD">
              <w:rPr>
                <w:noProof/>
                <w:webHidden/>
              </w:rPr>
            </w:r>
            <w:r w:rsidR="003D01CD">
              <w:rPr>
                <w:noProof/>
                <w:webHidden/>
              </w:rPr>
              <w:fldChar w:fldCharType="separate"/>
            </w:r>
            <w:r w:rsidR="003D01CD">
              <w:rPr>
                <w:noProof/>
                <w:webHidden/>
              </w:rPr>
              <w:t>155</w:t>
            </w:r>
            <w:r w:rsidR="003D01CD">
              <w:rPr>
                <w:noProof/>
                <w:webHidden/>
              </w:rPr>
              <w:fldChar w:fldCharType="end"/>
            </w:r>
          </w:hyperlink>
        </w:p>
        <w:p w14:paraId="5E268FB2" w14:textId="60C650B1" w:rsidR="003D01CD" w:rsidRDefault="007B6E49">
          <w:pPr>
            <w:pStyle w:val="TOC1"/>
            <w:tabs>
              <w:tab w:val="right" w:leader="dot" w:pos="9350"/>
            </w:tabs>
            <w:rPr>
              <w:rFonts w:eastAsiaTheme="minorEastAsia" w:cstheme="minorBidi"/>
              <w:b w:val="0"/>
              <w:bCs w:val="0"/>
              <w:caps w:val="0"/>
              <w:noProof/>
              <w:sz w:val="22"/>
              <w:szCs w:val="22"/>
            </w:rPr>
          </w:pPr>
          <w:hyperlink w:anchor="_Toc468872122" w:history="1">
            <w:r w:rsidR="003D01CD" w:rsidRPr="0007533C">
              <w:rPr>
                <w:rStyle w:val="Hyperlink"/>
                <w:noProof/>
              </w:rPr>
              <w:t>Chapter 5.  Paperwork Burden Requirements</w:t>
            </w:r>
            <w:r w:rsidR="003D01CD">
              <w:rPr>
                <w:noProof/>
                <w:webHidden/>
              </w:rPr>
              <w:tab/>
            </w:r>
            <w:r w:rsidR="003D01CD">
              <w:rPr>
                <w:noProof/>
                <w:webHidden/>
              </w:rPr>
              <w:fldChar w:fldCharType="begin"/>
            </w:r>
            <w:r w:rsidR="003D01CD">
              <w:rPr>
                <w:noProof/>
                <w:webHidden/>
              </w:rPr>
              <w:instrText xml:space="preserve"> PAGEREF _Toc468872122 \h </w:instrText>
            </w:r>
            <w:r w:rsidR="003D01CD">
              <w:rPr>
                <w:noProof/>
                <w:webHidden/>
              </w:rPr>
            </w:r>
            <w:r w:rsidR="003D01CD">
              <w:rPr>
                <w:noProof/>
                <w:webHidden/>
              </w:rPr>
              <w:fldChar w:fldCharType="separate"/>
            </w:r>
            <w:r w:rsidR="003D01CD">
              <w:rPr>
                <w:noProof/>
                <w:webHidden/>
              </w:rPr>
              <w:t>166</w:t>
            </w:r>
            <w:r w:rsidR="003D01CD">
              <w:rPr>
                <w:noProof/>
                <w:webHidden/>
              </w:rPr>
              <w:fldChar w:fldCharType="end"/>
            </w:r>
          </w:hyperlink>
        </w:p>
        <w:p w14:paraId="08639468" w14:textId="06ECD6B7" w:rsidR="003D01CD" w:rsidRDefault="007B6E49">
          <w:pPr>
            <w:pStyle w:val="TOC1"/>
            <w:tabs>
              <w:tab w:val="right" w:leader="dot" w:pos="9350"/>
            </w:tabs>
            <w:rPr>
              <w:rFonts w:eastAsiaTheme="minorEastAsia" w:cstheme="minorBidi"/>
              <w:b w:val="0"/>
              <w:bCs w:val="0"/>
              <w:caps w:val="0"/>
              <w:noProof/>
              <w:sz w:val="22"/>
              <w:szCs w:val="22"/>
            </w:rPr>
          </w:pPr>
          <w:hyperlink w:anchor="_Toc468872123" w:history="1">
            <w:r w:rsidR="003D01CD" w:rsidRPr="0007533C">
              <w:rPr>
                <w:rStyle w:val="Hyperlink"/>
                <w:noProof/>
              </w:rPr>
              <w:t>References</w:t>
            </w:r>
            <w:r w:rsidR="003D01CD">
              <w:rPr>
                <w:noProof/>
                <w:webHidden/>
              </w:rPr>
              <w:tab/>
            </w:r>
            <w:r w:rsidR="003D01CD">
              <w:rPr>
                <w:noProof/>
                <w:webHidden/>
              </w:rPr>
              <w:fldChar w:fldCharType="begin"/>
            </w:r>
            <w:r w:rsidR="003D01CD">
              <w:rPr>
                <w:noProof/>
                <w:webHidden/>
              </w:rPr>
              <w:instrText xml:space="preserve"> PAGEREF _Toc468872123 \h </w:instrText>
            </w:r>
            <w:r w:rsidR="003D01CD">
              <w:rPr>
                <w:noProof/>
                <w:webHidden/>
              </w:rPr>
            </w:r>
            <w:r w:rsidR="003D01CD">
              <w:rPr>
                <w:noProof/>
                <w:webHidden/>
              </w:rPr>
              <w:fldChar w:fldCharType="separate"/>
            </w:r>
            <w:r w:rsidR="003D01CD">
              <w:rPr>
                <w:noProof/>
                <w:webHidden/>
              </w:rPr>
              <w:t>168</w:t>
            </w:r>
            <w:r w:rsidR="003D01CD">
              <w:rPr>
                <w:noProof/>
                <w:webHidden/>
              </w:rPr>
              <w:fldChar w:fldCharType="end"/>
            </w:r>
          </w:hyperlink>
        </w:p>
        <w:p w14:paraId="5AB18083" w14:textId="3D27E4FB" w:rsidR="006456FB" w:rsidRPr="00362517" w:rsidRDefault="00B5523C" w:rsidP="00BF6BC7">
          <w:pPr>
            <w:pStyle w:val="TOC1"/>
            <w:tabs>
              <w:tab w:val="right" w:leader="dot" w:pos="9350"/>
            </w:tabs>
            <w:rPr>
              <w:b w:val="0"/>
              <w:bCs w:val="0"/>
              <w:noProof/>
            </w:rPr>
            <w:sectPr w:rsidR="006456FB" w:rsidRPr="00362517" w:rsidSect="00BF6BC7">
              <w:headerReference w:type="default" r:id="rId14"/>
              <w:pgSz w:w="12240" w:h="15840"/>
              <w:pgMar w:top="1440" w:right="1440" w:bottom="1440" w:left="1440" w:header="720" w:footer="720" w:gutter="0"/>
              <w:cols w:space="720"/>
              <w:docGrid w:linePitch="360"/>
            </w:sectPr>
          </w:pPr>
          <w:r w:rsidRPr="00362517">
            <w:rPr>
              <w:b w:val="0"/>
              <w:bCs w:val="0"/>
              <w:noProof/>
            </w:rPr>
            <w:fldChar w:fldCharType="end"/>
          </w:r>
        </w:p>
        <w:p w14:paraId="5AB18084" w14:textId="77777777" w:rsidR="00827898" w:rsidRPr="00362517" w:rsidRDefault="007B6E49" w:rsidP="00BF6BC7"/>
      </w:sdtContent>
    </w:sdt>
    <w:p w14:paraId="5AB18085" w14:textId="77777777" w:rsidR="00BF3FC8" w:rsidRPr="00362517" w:rsidRDefault="00BF3FC8" w:rsidP="00BF6BC7">
      <w:pPr>
        <w:spacing w:after="160" w:line="259" w:lineRule="auto"/>
        <w:rPr>
          <w:b/>
          <w:bCs/>
          <w:kern w:val="32"/>
          <w:sz w:val="32"/>
          <w:szCs w:val="32"/>
        </w:rPr>
      </w:pPr>
      <w:r w:rsidRPr="00362517">
        <w:br w:type="page"/>
      </w:r>
    </w:p>
    <w:p w14:paraId="5AB18086" w14:textId="77777777" w:rsidR="006456FB" w:rsidRPr="00362517" w:rsidRDefault="006456FB" w:rsidP="00BF6BC7">
      <w:pPr>
        <w:pStyle w:val="Heading1"/>
        <w:sectPr w:rsidR="006456FB" w:rsidRPr="00362517" w:rsidSect="00BF6BC7">
          <w:footerReference w:type="default" r:id="rId15"/>
          <w:type w:val="continuous"/>
          <w:pgSz w:w="12240" w:h="15840" w:code="1"/>
          <w:pgMar w:top="1440" w:right="1440" w:bottom="1440" w:left="1440" w:header="720" w:footer="720" w:gutter="0"/>
          <w:pgNumType w:fmt="lowerRoman" w:start="1"/>
          <w:cols w:space="720"/>
          <w:docGrid w:linePitch="360"/>
        </w:sectPr>
      </w:pPr>
    </w:p>
    <w:p w14:paraId="5AB18087" w14:textId="77777777" w:rsidR="00827898" w:rsidRPr="00362517" w:rsidRDefault="00827898" w:rsidP="00BF6BC7">
      <w:pPr>
        <w:pStyle w:val="Heading1"/>
      </w:pPr>
      <w:bookmarkStart w:id="1" w:name="_Toc468872053"/>
      <w:r w:rsidRPr="00362517">
        <w:lastRenderedPageBreak/>
        <w:t>Executive Summary</w:t>
      </w:r>
      <w:bookmarkEnd w:id="1"/>
    </w:p>
    <w:p w14:paraId="5AB18088" w14:textId="77777777" w:rsidR="00827898" w:rsidRPr="00362517" w:rsidRDefault="00827898" w:rsidP="00BF6BC7">
      <w:pPr>
        <w:tabs>
          <w:tab w:val="left" w:pos="540"/>
          <w:tab w:val="left" w:pos="1080"/>
          <w:tab w:val="left" w:pos="1620"/>
          <w:tab w:val="left" w:pos="2160"/>
        </w:tabs>
      </w:pPr>
    </w:p>
    <w:p w14:paraId="5AB18089" w14:textId="295AD487" w:rsidR="00827898" w:rsidRPr="00362517" w:rsidRDefault="00827898" w:rsidP="00BF6BC7">
      <w:pPr>
        <w:spacing w:after="240"/>
      </w:pPr>
      <w:r w:rsidRPr="00362517">
        <w:t xml:space="preserve">This document provides an analysis of the costs and the benefits of the </w:t>
      </w:r>
      <w:r w:rsidR="00672CAB" w:rsidRPr="00362517">
        <w:t>final</w:t>
      </w:r>
      <w:r w:rsidRPr="00362517">
        <w:t xml:space="preserve"> changes in the Certification of Pesticide Applicators </w:t>
      </w:r>
      <w:r w:rsidR="00BF6BC7">
        <w:t xml:space="preserve">rule </w:t>
      </w:r>
      <w:r w:rsidRPr="00362517">
        <w:t xml:space="preserve">to meet the requirements of Executive Order 12866 on Regulatory Planning and Review, the Regulatory Flexibility Act as amended by the Small Businesses Regulatory Enforcement Fairness Act, and the Unfunded Mandates Reform Act.  The Certification of Pesticide Applicators </w:t>
      </w:r>
      <w:r w:rsidR="00410514" w:rsidRPr="00362517">
        <w:t xml:space="preserve">rule </w:t>
      </w:r>
      <w:r w:rsidRPr="00362517">
        <w:t>establishes r</w:t>
      </w:r>
      <w:r w:rsidR="00410514" w:rsidRPr="00362517">
        <w:t>equirements for applicators of r</w:t>
      </w:r>
      <w:r w:rsidRPr="00362517">
        <w:t xml:space="preserve">estricted </w:t>
      </w:r>
      <w:r w:rsidR="00410514" w:rsidRPr="00362517">
        <w:t>u</w:t>
      </w:r>
      <w:r w:rsidRPr="00362517">
        <w:t xml:space="preserve">se </w:t>
      </w:r>
      <w:r w:rsidR="00410514" w:rsidRPr="00362517">
        <w:t>p</w:t>
      </w:r>
      <w:r w:rsidRPr="00362517">
        <w:t xml:space="preserve">esticides.  Pesticides that EPA has classified as restricted use may pose unreasonable adverse effects to human health </w:t>
      </w:r>
      <w:r w:rsidR="009372F0" w:rsidRPr="00362517">
        <w:t>and/</w:t>
      </w:r>
      <w:r w:rsidRPr="00362517">
        <w:t xml:space="preserve">or the environment without strict adherence to precise and often complex </w:t>
      </w:r>
      <w:r w:rsidR="00410514" w:rsidRPr="00362517">
        <w:t>labeling provisions</w:t>
      </w:r>
      <w:r w:rsidRPr="00362517">
        <w:t xml:space="preserve">.  To </w:t>
      </w:r>
      <w:r w:rsidR="009372F0" w:rsidRPr="00362517">
        <w:t>e</w:t>
      </w:r>
      <w:r w:rsidRPr="00362517">
        <w:t xml:space="preserve">nsure these </w:t>
      </w:r>
      <w:r w:rsidR="0053716B" w:rsidRPr="00362517">
        <w:t>labeling provisions</w:t>
      </w:r>
      <w:r w:rsidRPr="00362517">
        <w:t xml:space="preserve"> are followed, EPA requires that </w:t>
      </w:r>
      <w:r w:rsidR="0053716B" w:rsidRPr="00362517">
        <w:t>restricted use pesticides</w:t>
      </w:r>
      <w:r w:rsidRPr="00362517">
        <w:t xml:space="preserve"> be applied only by applicators who have demonstrated a sufficient level of competency</w:t>
      </w:r>
      <w:r w:rsidR="0053716B" w:rsidRPr="00362517">
        <w:t xml:space="preserve"> or by individuals under their direct supervision</w:t>
      </w:r>
      <w:r w:rsidRPr="00362517">
        <w:t xml:space="preserve">.  </w:t>
      </w:r>
    </w:p>
    <w:p w14:paraId="5AB1808A" w14:textId="77777777" w:rsidR="00827898" w:rsidRPr="00362517" w:rsidRDefault="00827898" w:rsidP="00BF6BC7">
      <w:pPr>
        <w:spacing w:after="240"/>
      </w:pPr>
      <w:r w:rsidRPr="00362517">
        <w:t xml:space="preserve">EPA is </w:t>
      </w:r>
      <w:r w:rsidR="002E58DB" w:rsidRPr="00362517">
        <w:t xml:space="preserve">finalizing </w:t>
      </w:r>
      <w:r w:rsidRPr="00362517">
        <w:t xml:space="preserve">changes to the rule that </w:t>
      </w:r>
      <w:r w:rsidR="003305FE" w:rsidRPr="00362517">
        <w:t xml:space="preserve">will enhance </w:t>
      </w:r>
      <w:r w:rsidR="00FF64BC" w:rsidRPr="00362517">
        <w:t>p</w:t>
      </w:r>
      <w:r w:rsidR="003305FE" w:rsidRPr="00362517">
        <w:t xml:space="preserve">rivate applicator competency standards, exam and training security standards, standards for noncertified applicators working under the direct supervision of a certified applicator, </w:t>
      </w:r>
      <w:r w:rsidR="00FF64BC" w:rsidRPr="00362517">
        <w:t>t</w:t>
      </w:r>
      <w:r w:rsidR="003305FE" w:rsidRPr="00362517">
        <w:t xml:space="preserve">ribal applicator certification, and </w:t>
      </w:r>
      <w:r w:rsidR="00FF64BC" w:rsidRPr="00362517">
        <w:t>s</w:t>
      </w:r>
      <w:r w:rsidR="003305FE" w:rsidRPr="00362517">
        <w:t xml:space="preserve">tate, </w:t>
      </w:r>
      <w:r w:rsidR="00565327" w:rsidRPr="00362517">
        <w:t>tribal, territories, and federal agency certification plans. The final rule revises the existing regulation to add categories of certification for private and commercial applicators, predator control certification categories for private and commercial applicators and a recertification interval and criteria for recertification programs administered by certifying authorities (States, Tribes, territories, and federal agencies).  The final rule sets a minimum age for certified applicators and noncertified applicators working under direct supervision.</w:t>
      </w:r>
      <w:r w:rsidR="003305FE" w:rsidRPr="00362517">
        <w:t xml:space="preserve">  </w:t>
      </w:r>
    </w:p>
    <w:p w14:paraId="5AB1808B" w14:textId="77777777" w:rsidR="00DA4056" w:rsidRPr="00362517" w:rsidRDefault="00E953DB" w:rsidP="00BF6BC7">
      <w:pPr>
        <w:spacing w:after="240"/>
      </w:pPr>
      <w:r w:rsidRPr="00362517">
        <w:t xml:space="preserve">The final rule has been modified from the proposed revisions as a result of information received during the public comment period on the proposal.  </w:t>
      </w:r>
      <w:r w:rsidR="00D540DC" w:rsidRPr="00362517">
        <w:t xml:space="preserve">The biggest change has been in the recertification requirements, which have been revised to allow </w:t>
      </w:r>
      <w:r w:rsidR="000D3D7C" w:rsidRPr="00362517">
        <w:t xml:space="preserve">certifying authorities </w:t>
      </w:r>
      <w:r w:rsidR="00D540DC" w:rsidRPr="00362517">
        <w:t>much more flexibility to determine the standards for recertification of certified applicators.  Also</w:t>
      </w:r>
      <w:r w:rsidR="00565327" w:rsidRPr="00362517">
        <w:t>,</w:t>
      </w:r>
      <w:r w:rsidR="00D540DC" w:rsidRPr="00362517">
        <w:t xml:space="preserve"> the final rule allows an </w:t>
      </w:r>
      <w:r w:rsidR="00565327" w:rsidRPr="00362517">
        <w:t xml:space="preserve">exemption </w:t>
      </w:r>
      <w:r w:rsidR="00D540DC" w:rsidRPr="00362517">
        <w:t xml:space="preserve">to the minimum age requirement </w:t>
      </w:r>
      <w:r w:rsidR="00565327" w:rsidRPr="00362517">
        <w:t>for noncertified applicators under the supervision of a certified private applicator who is an immediate family member.</w:t>
      </w:r>
      <w:r w:rsidR="00D540DC" w:rsidRPr="00362517">
        <w:t xml:space="preserve">  </w:t>
      </w:r>
      <w:r w:rsidR="00AF2D67" w:rsidRPr="00362517">
        <w:t xml:space="preserve">EPA </w:t>
      </w:r>
      <w:r w:rsidR="00565327" w:rsidRPr="00362517">
        <w:t xml:space="preserve">proposed </w:t>
      </w:r>
      <w:r w:rsidR="00AF2D67" w:rsidRPr="00362517">
        <w:t>requiring separate categories for soil fumigation and non-soil fumigation, but the final rule allows</w:t>
      </w:r>
      <w:r w:rsidR="00565327" w:rsidRPr="00362517">
        <w:t xml:space="preserve"> certifying authorities </w:t>
      </w:r>
      <w:r w:rsidR="00AF2D67" w:rsidRPr="00362517">
        <w:t xml:space="preserve">to combine those categories, or to create separate categories.  The final rule allows the </w:t>
      </w:r>
      <w:r w:rsidR="000D3D7C" w:rsidRPr="00362517">
        <w:t>certifying authorities</w:t>
      </w:r>
      <w:r w:rsidR="00AF2D67" w:rsidRPr="00362517">
        <w:t xml:space="preserve"> to determine the standards for identity verification for training and exams, and clarified what materials were restricted in a certification exam by the proposed rule.  The final rule gives the </w:t>
      </w:r>
      <w:r w:rsidR="000D3D7C" w:rsidRPr="00362517">
        <w:t>certifying authorities</w:t>
      </w:r>
      <w:r w:rsidR="00AF2D67" w:rsidRPr="00362517">
        <w:t xml:space="preserve"> more flexibility than the proposed rule for determining competency for noncertified applicators working under the supervision of a certified applicator.  The proposed rule </w:t>
      </w:r>
      <w:r w:rsidR="00565327" w:rsidRPr="00362517">
        <w:t xml:space="preserve">would have </w:t>
      </w:r>
      <w:r w:rsidR="00AF2D67" w:rsidRPr="00362517">
        <w:t xml:space="preserve">required the label to be provided for noncertified applicators, and the final rule requires </w:t>
      </w:r>
      <w:r w:rsidR="00565327" w:rsidRPr="00362517">
        <w:t xml:space="preserve">certified applicators to provide the </w:t>
      </w:r>
      <w:r w:rsidR="00DA4056" w:rsidRPr="00362517">
        <w:t xml:space="preserve">noncertified applicators access to the label, but not </w:t>
      </w:r>
      <w:r w:rsidR="00565327" w:rsidRPr="00362517">
        <w:t xml:space="preserve">to provide </w:t>
      </w:r>
      <w:r w:rsidR="00DA4056" w:rsidRPr="00362517">
        <w:t xml:space="preserve">the label for each application.  </w:t>
      </w:r>
    </w:p>
    <w:p w14:paraId="5AB1808C" w14:textId="77777777" w:rsidR="00B32E7A" w:rsidRPr="00362517" w:rsidRDefault="00BD078B" w:rsidP="00BF6BC7">
      <w:pPr>
        <w:spacing w:after="240"/>
        <w:rPr>
          <w:i/>
        </w:rPr>
      </w:pPr>
      <w:r w:rsidRPr="00362517">
        <w:rPr>
          <w:i/>
        </w:rPr>
        <w:t>Costs</w:t>
      </w:r>
    </w:p>
    <w:p w14:paraId="5AB1808D" w14:textId="7F0716B8" w:rsidR="00827898" w:rsidRPr="00362517" w:rsidRDefault="00592726" w:rsidP="00BF6BC7">
      <w:pPr>
        <w:spacing w:after="240"/>
      </w:pPr>
      <w:r w:rsidRPr="00362517">
        <w:t>The total annualized cost of the final rule is estimated to be $31.</w:t>
      </w:r>
      <w:r w:rsidR="00DF752D" w:rsidRPr="00362517">
        <w:t>3</w:t>
      </w:r>
      <w:r w:rsidR="0070464D" w:rsidRPr="00362517">
        <w:t xml:space="preserve"> </w:t>
      </w:r>
      <w:r w:rsidRPr="00362517">
        <w:t xml:space="preserve">million.  </w:t>
      </w:r>
      <w:r w:rsidR="00300E4A" w:rsidRPr="00300E4A">
        <w:t xml:space="preserve">EPA’s cost analysis is generally based on a conservative methodology that tends to overestimate the cost of the rule, as explained in </w:t>
      </w:r>
      <w:r w:rsidR="00A05E14">
        <w:t>Chapter 3</w:t>
      </w:r>
      <w:r w:rsidR="00300E4A" w:rsidRPr="00300E4A">
        <w:t xml:space="preserve">.  However, because of uncertainties in the estimation, some costs estimated in </w:t>
      </w:r>
      <w:r w:rsidR="00D705E7">
        <w:t>this</w:t>
      </w:r>
      <w:r w:rsidR="00300E4A" w:rsidRPr="00300E4A">
        <w:t xml:space="preserve"> </w:t>
      </w:r>
      <w:r w:rsidR="00D705E7">
        <w:t>E</w:t>
      </w:r>
      <w:r w:rsidR="00300E4A" w:rsidRPr="00300E4A">
        <w:t xml:space="preserve">conomic </w:t>
      </w:r>
      <w:r w:rsidR="00D705E7">
        <w:t>A</w:t>
      </w:r>
      <w:r w:rsidR="00300E4A" w:rsidRPr="00300E4A">
        <w:t>nalysis may represent underestimates.</w:t>
      </w:r>
      <w:r w:rsidR="00300E4A">
        <w:t xml:space="preserve">  </w:t>
      </w:r>
      <w:r w:rsidR="00827898" w:rsidRPr="00362517">
        <w:t>EPA estimate</w:t>
      </w:r>
      <w:r w:rsidR="00CB301F">
        <w:tab/>
      </w:r>
      <w:r w:rsidR="00827898" w:rsidRPr="00362517">
        <w:t>s that affected industries w</w:t>
      </w:r>
      <w:r w:rsidR="0053716B" w:rsidRPr="00362517">
        <w:t>ould</w:t>
      </w:r>
      <w:r w:rsidR="00827898" w:rsidRPr="00362517">
        <w:t xml:space="preserve"> face incremental costs of about $</w:t>
      </w:r>
      <w:r w:rsidR="009352A4" w:rsidRPr="00362517">
        <w:t>24</w:t>
      </w:r>
      <w:r w:rsidR="000A5DF9" w:rsidRPr="00362517">
        <w:t>.</w:t>
      </w:r>
      <w:r w:rsidR="00DF752D" w:rsidRPr="00362517">
        <w:t>8</w:t>
      </w:r>
      <w:r w:rsidR="00F71865" w:rsidRPr="00362517">
        <w:t xml:space="preserve"> </w:t>
      </w:r>
      <w:r w:rsidR="00827898" w:rsidRPr="00362517">
        <w:t xml:space="preserve">million annually from </w:t>
      </w:r>
      <w:r w:rsidR="002E58DB" w:rsidRPr="00362517">
        <w:t>final</w:t>
      </w:r>
      <w:r w:rsidR="00827898" w:rsidRPr="00362517">
        <w:t xml:space="preserve"> revisions, </w:t>
      </w:r>
      <w:r w:rsidR="00827898" w:rsidRPr="00362517">
        <w:lastRenderedPageBreak/>
        <w:t>including costs of $</w:t>
      </w:r>
      <w:r w:rsidR="009352A4" w:rsidRPr="00362517">
        <w:t>8</w:t>
      </w:r>
      <w:r w:rsidR="000A5DF9" w:rsidRPr="00362517">
        <w:t>.</w:t>
      </w:r>
      <w:r w:rsidR="00DF752D" w:rsidRPr="00362517">
        <w:t xml:space="preserve">6 </w:t>
      </w:r>
      <w:r w:rsidR="00827898" w:rsidRPr="00362517">
        <w:t xml:space="preserve">million to private applicators (about </w:t>
      </w:r>
      <w:r w:rsidR="009352A4" w:rsidRPr="00362517">
        <w:t>2</w:t>
      </w:r>
      <w:r w:rsidR="005C0624" w:rsidRPr="00362517">
        <w:t>7</w:t>
      </w:r>
      <w:r w:rsidR="00827898" w:rsidRPr="00362517">
        <w:t>% of the total</w:t>
      </w:r>
      <w:r w:rsidR="00C053E0" w:rsidRPr="00362517">
        <w:t xml:space="preserve"> cost of </w:t>
      </w:r>
      <w:r w:rsidR="002E58DB" w:rsidRPr="00362517">
        <w:t>final</w:t>
      </w:r>
      <w:r w:rsidR="00C053E0" w:rsidRPr="00362517">
        <w:t xml:space="preserve"> revisions</w:t>
      </w:r>
      <w:r w:rsidR="00827898" w:rsidRPr="00362517">
        <w:t>) and $</w:t>
      </w:r>
      <w:r w:rsidR="009352A4" w:rsidRPr="00362517">
        <w:t>16</w:t>
      </w:r>
      <w:r w:rsidR="000A5DF9" w:rsidRPr="00362517">
        <w:t>.</w:t>
      </w:r>
      <w:r w:rsidR="00DF752D" w:rsidRPr="00362517">
        <w:t xml:space="preserve">2 </w:t>
      </w:r>
      <w:r w:rsidR="00827898" w:rsidRPr="00362517">
        <w:t>million to commercial applicators</w:t>
      </w:r>
      <w:r w:rsidR="009352A4" w:rsidRPr="00362517">
        <w:t xml:space="preserve"> (about 5</w:t>
      </w:r>
      <w:r w:rsidR="005C0624" w:rsidRPr="00362517">
        <w:t>2</w:t>
      </w:r>
      <w:r w:rsidR="009352A4" w:rsidRPr="00362517">
        <w:t>% of the total cost of final revisions)</w:t>
      </w:r>
      <w:r w:rsidR="00827898" w:rsidRPr="00362517">
        <w:t xml:space="preserve">. </w:t>
      </w:r>
      <w:r w:rsidR="009352A4" w:rsidRPr="00362517">
        <w:t xml:space="preserve"> </w:t>
      </w:r>
      <w:r w:rsidR="00CE7516" w:rsidRPr="00362517">
        <w:t>The u</w:t>
      </w:r>
      <w:r w:rsidR="00AE1210" w:rsidRPr="00362517">
        <w:t>p-front costs of r</w:t>
      </w:r>
      <w:r w:rsidR="00FD60D8" w:rsidRPr="00362517">
        <w:t xml:space="preserve">evisions to state plans and certification programs, including development of new </w:t>
      </w:r>
      <w:r w:rsidR="00D23F9E" w:rsidRPr="00362517">
        <w:t xml:space="preserve">categories, </w:t>
      </w:r>
      <w:r w:rsidR="00AE1210" w:rsidRPr="00362517">
        <w:t xml:space="preserve">and updating tracking databases, </w:t>
      </w:r>
      <w:r w:rsidR="00D23F9E" w:rsidRPr="00362517">
        <w:t>are</w:t>
      </w:r>
      <w:r w:rsidR="00FD60D8" w:rsidRPr="00362517">
        <w:t xml:space="preserve"> </w:t>
      </w:r>
      <w:r w:rsidR="00AE1210" w:rsidRPr="00362517">
        <w:t xml:space="preserve">estimated </w:t>
      </w:r>
      <w:r w:rsidR="00FD60D8" w:rsidRPr="00362517">
        <w:t xml:space="preserve">to </w:t>
      </w:r>
      <w:r w:rsidR="00AE1210" w:rsidRPr="00362517">
        <w:t>be</w:t>
      </w:r>
      <w:r w:rsidR="00FD60D8" w:rsidRPr="00362517">
        <w:t xml:space="preserve"> about $</w:t>
      </w:r>
      <w:r w:rsidR="009352A4" w:rsidRPr="00362517">
        <w:t>3</w:t>
      </w:r>
      <w:r w:rsidR="00FD60D8" w:rsidRPr="00362517">
        <w:t>.</w:t>
      </w:r>
      <w:r w:rsidR="009352A4" w:rsidRPr="00362517">
        <w:t>8</w:t>
      </w:r>
      <w:r w:rsidR="00FD60D8" w:rsidRPr="00362517">
        <w:t xml:space="preserve"> million</w:t>
      </w:r>
      <w:r w:rsidR="00AE1210" w:rsidRPr="00362517">
        <w:t>;</w:t>
      </w:r>
      <w:r w:rsidR="009352A4" w:rsidRPr="00362517">
        <w:t xml:space="preserve"> and ongoing</w:t>
      </w:r>
      <w:r w:rsidR="00FD60D8" w:rsidRPr="00362517">
        <w:t xml:space="preserve"> administration of exams or trainings for the new certification and recertification requirements would cost </w:t>
      </w:r>
      <w:r w:rsidR="00AE1210" w:rsidRPr="00362517">
        <w:t xml:space="preserve">an estimated </w:t>
      </w:r>
      <w:r w:rsidR="00FD60D8" w:rsidRPr="00362517">
        <w:t>$</w:t>
      </w:r>
      <w:r w:rsidR="009352A4" w:rsidRPr="00362517">
        <w:t>2.</w:t>
      </w:r>
      <w:r w:rsidR="005C0624" w:rsidRPr="00362517">
        <w:t>7</w:t>
      </w:r>
      <w:r w:rsidR="009352A4" w:rsidRPr="00362517">
        <w:t xml:space="preserve"> million</w:t>
      </w:r>
      <w:r w:rsidR="00FD60D8" w:rsidRPr="00362517">
        <w:t xml:space="preserve"> annually.  These two components together, annualized over a 10-year time horizon, would cost $</w:t>
      </w:r>
      <w:r w:rsidR="00AE1210" w:rsidRPr="00362517">
        <w:t>6.</w:t>
      </w:r>
      <w:r w:rsidR="005C0624" w:rsidRPr="00362517">
        <w:t>5</w:t>
      </w:r>
      <w:r w:rsidR="00AE1210" w:rsidRPr="00362517">
        <w:t xml:space="preserve"> million</w:t>
      </w:r>
      <w:r w:rsidR="00FD60D8" w:rsidRPr="00362517">
        <w:t xml:space="preserve"> annually. </w:t>
      </w:r>
      <w:r w:rsidR="00827898" w:rsidRPr="00362517">
        <w:t xml:space="preserve"> Many of the firms in the affected sectors are small businesses, particularly in the agricultural sector.  The average cost per private applicator</w:t>
      </w:r>
      <w:r w:rsidR="002E0EC6" w:rsidRPr="00362517">
        <w:t>, typically a farm owner or operator</w:t>
      </w:r>
      <w:r w:rsidR="00702737" w:rsidRPr="00362517">
        <w:t>,</w:t>
      </w:r>
      <w:r w:rsidR="00827898" w:rsidRPr="00362517">
        <w:t xml:space="preserve"> is estimated to be $</w:t>
      </w:r>
      <w:r w:rsidR="00702737" w:rsidRPr="00362517">
        <w:t>2</w:t>
      </w:r>
      <w:r w:rsidR="005C0624" w:rsidRPr="00362517">
        <w:t>5</w:t>
      </w:r>
      <w:r w:rsidR="00827898" w:rsidRPr="00362517">
        <w:t xml:space="preserve"> per year.  The estimated average cost per commercial applicator </w:t>
      </w:r>
      <w:r w:rsidR="00946DBA" w:rsidRPr="00362517">
        <w:t>would be</w:t>
      </w:r>
      <w:r w:rsidR="00827898" w:rsidRPr="00362517">
        <w:t xml:space="preserve"> about $</w:t>
      </w:r>
      <w:r w:rsidR="00702737" w:rsidRPr="00362517">
        <w:t>46</w:t>
      </w:r>
      <w:r w:rsidR="00827898" w:rsidRPr="00362517">
        <w:t xml:space="preserve"> per year.  The impact to the average small farm is anticipated to be less than one percent of annual sales while the impacts to small commercial pest control services are expected to be around 0.1 percent of annual gross revenue. </w:t>
      </w:r>
      <w:r w:rsidR="00FC08FA" w:rsidRPr="00362517">
        <w:t xml:space="preserve"> </w:t>
      </w:r>
      <w:r w:rsidR="00427251" w:rsidRPr="00362517">
        <w:t>Therefore,</w:t>
      </w:r>
      <w:r w:rsidR="00827898" w:rsidRPr="00362517">
        <w:t xml:space="preserve"> </w:t>
      </w:r>
      <w:r w:rsidR="00427251" w:rsidRPr="00362517">
        <w:t>EPA concludes that there w</w:t>
      </w:r>
      <w:r w:rsidR="00946DBA" w:rsidRPr="00362517">
        <w:t>ould</w:t>
      </w:r>
      <w:r w:rsidR="00427251" w:rsidRPr="00362517">
        <w:t xml:space="preserve"> not be a significant impact on a substantial number of small entities.  </w:t>
      </w:r>
      <w:r w:rsidR="00827898" w:rsidRPr="00362517">
        <w:t>Given these modest increases in per-applicator costs, EPA also concl</w:t>
      </w:r>
      <w:r w:rsidR="00946DBA" w:rsidRPr="00362517">
        <w:t xml:space="preserve">udes that the </w:t>
      </w:r>
      <w:r w:rsidR="002E58DB" w:rsidRPr="00362517">
        <w:t>final</w:t>
      </w:r>
      <w:r w:rsidR="00946DBA" w:rsidRPr="00362517">
        <w:t xml:space="preserve"> rule would</w:t>
      </w:r>
      <w:r w:rsidR="00827898" w:rsidRPr="00362517">
        <w:t xml:space="preserve"> not have a substantial effect on employment</w:t>
      </w:r>
      <w:r w:rsidRPr="00362517">
        <w:t xml:space="preserve"> in the industries affected by the rule</w:t>
      </w:r>
      <w:r w:rsidR="00827898" w:rsidRPr="00362517">
        <w:t xml:space="preserve">. </w:t>
      </w:r>
      <w:r w:rsidR="00540783" w:rsidRPr="00362517">
        <w:t xml:space="preserve"> Table 1 summarizes the results of the cost analysis.</w:t>
      </w:r>
    </w:p>
    <w:p w14:paraId="5AB1808E" w14:textId="77777777" w:rsidR="007132A0" w:rsidRPr="00362517" w:rsidRDefault="007132A0" w:rsidP="00BF6BC7"/>
    <w:p w14:paraId="5AB1808F" w14:textId="77777777" w:rsidR="007132A0" w:rsidRPr="00362517" w:rsidRDefault="007132A0" w:rsidP="00BF6BC7">
      <w:pPr>
        <w:keepNext/>
        <w:rPr>
          <w:b/>
        </w:rPr>
      </w:pPr>
      <w:r w:rsidRPr="00362517">
        <w:rPr>
          <w:b/>
        </w:rPr>
        <w:t xml:space="preserve">Table 1.  Costs from </w:t>
      </w:r>
      <w:r w:rsidR="002E58DB" w:rsidRPr="00362517">
        <w:rPr>
          <w:b/>
        </w:rPr>
        <w:t xml:space="preserve">Final </w:t>
      </w:r>
      <w:r w:rsidRPr="00362517">
        <w:rPr>
          <w:b/>
        </w:rPr>
        <w:t>Revisions to the Requirements for Certification of Pesticide Applicators</w:t>
      </w:r>
    </w:p>
    <w:tbl>
      <w:tblPr>
        <w:tblStyle w:val="TableGrid"/>
        <w:tblW w:w="0" w:type="auto"/>
        <w:tblLook w:val="04A0" w:firstRow="1" w:lastRow="0" w:firstColumn="1" w:lastColumn="0" w:noHBand="0" w:noVBand="1"/>
      </w:tblPr>
      <w:tblGrid>
        <w:gridCol w:w="2333"/>
        <w:gridCol w:w="2702"/>
        <w:gridCol w:w="2700"/>
        <w:gridCol w:w="1615"/>
      </w:tblGrid>
      <w:tr w:rsidR="00362517" w:rsidRPr="00362517" w14:paraId="5AB18094" w14:textId="77777777" w:rsidTr="00AD3069">
        <w:tc>
          <w:tcPr>
            <w:tcW w:w="2333" w:type="dxa"/>
          </w:tcPr>
          <w:p w14:paraId="5AB18090" w14:textId="77777777" w:rsidR="007132A0" w:rsidRPr="00362517" w:rsidRDefault="007132A0" w:rsidP="00BF6BC7">
            <w:pPr>
              <w:keepNext/>
              <w:ind w:firstLine="720"/>
            </w:pPr>
          </w:p>
        </w:tc>
        <w:tc>
          <w:tcPr>
            <w:tcW w:w="2702" w:type="dxa"/>
          </w:tcPr>
          <w:p w14:paraId="5AB18091" w14:textId="77777777" w:rsidR="007132A0" w:rsidRPr="00362517" w:rsidRDefault="007132A0" w:rsidP="00BF6BC7">
            <w:pPr>
              <w:keepNext/>
              <w:jc w:val="center"/>
            </w:pPr>
            <w:r w:rsidRPr="00362517">
              <w:t>Private Applicators</w:t>
            </w:r>
          </w:p>
        </w:tc>
        <w:tc>
          <w:tcPr>
            <w:tcW w:w="2700" w:type="dxa"/>
          </w:tcPr>
          <w:p w14:paraId="5AB18092" w14:textId="77777777" w:rsidR="007132A0" w:rsidRPr="00362517" w:rsidRDefault="007132A0" w:rsidP="00BF6BC7">
            <w:pPr>
              <w:keepNext/>
              <w:jc w:val="center"/>
            </w:pPr>
            <w:r w:rsidRPr="00362517">
              <w:t>Commercial Applicators</w:t>
            </w:r>
          </w:p>
        </w:tc>
        <w:tc>
          <w:tcPr>
            <w:tcW w:w="1615" w:type="dxa"/>
          </w:tcPr>
          <w:p w14:paraId="5AB18093" w14:textId="77777777" w:rsidR="007132A0" w:rsidRPr="00362517" w:rsidRDefault="000D3D7C" w:rsidP="00BF6BC7">
            <w:pPr>
              <w:keepNext/>
              <w:jc w:val="center"/>
            </w:pPr>
            <w:r w:rsidRPr="00362517">
              <w:t>Certifying Authorities</w:t>
            </w:r>
          </w:p>
        </w:tc>
      </w:tr>
      <w:tr w:rsidR="00362517" w:rsidRPr="00362517" w14:paraId="5AB18099" w14:textId="77777777" w:rsidTr="00AD3069">
        <w:tc>
          <w:tcPr>
            <w:tcW w:w="2333" w:type="dxa"/>
          </w:tcPr>
          <w:p w14:paraId="5AB18095" w14:textId="77777777" w:rsidR="007132A0" w:rsidRPr="00362517" w:rsidRDefault="007132A0" w:rsidP="00BF6BC7">
            <w:pPr>
              <w:keepNext/>
            </w:pPr>
            <w:r w:rsidRPr="00362517">
              <w:t>Number Impacted</w:t>
            </w:r>
          </w:p>
        </w:tc>
        <w:tc>
          <w:tcPr>
            <w:tcW w:w="2702" w:type="dxa"/>
          </w:tcPr>
          <w:p w14:paraId="5AB18096" w14:textId="77777777" w:rsidR="007132A0" w:rsidRPr="00362517" w:rsidRDefault="007132A0" w:rsidP="00BF6BC7">
            <w:pPr>
              <w:keepNext/>
              <w:jc w:val="center"/>
            </w:pPr>
            <w:r w:rsidRPr="00362517">
              <w:t>4</w:t>
            </w:r>
            <w:r w:rsidR="00C92DAB" w:rsidRPr="00362517">
              <w:t>83</w:t>
            </w:r>
            <w:r w:rsidRPr="00362517">
              <w:t>,000</w:t>
            </w:r>
          </w:p>
        </w:tc>
        <w:tc>
          <w:tcPr>
            <w:tcW w:w="2700" w:type="dxa"/>
          </w:tcPr>
          <w:p w14:paraId="5AB18097" w14:textId="0F312149" w:rsidR="007132A0" w:rsidRPr="00362517" w:rsidRDefault="00F71865" w:rsidP="00BF6BC7">
            <w:pPr>
              <w:keepNext/>
              <w:jc w:val="center"/>
            </w:pPr>
            <w:r w:rsidRPr="00362517">
              <w:t>421</w:t>
            </w:r>
            <w:r w:rsidR="007132A0" w:rsidRPr="00362517">
              <w:t>,000</w:t>
            </w:r>
          </w:p>
        </w:tc>
        <w:tc>
          <w:tcPr>
            <w:tcW w:w="1615" w:type="dxa"/>
          </w:tcPr>
          <w:p w14:paraId="5AB18098" w14:textId="6AD6B6F2" w:rsidR="007132A0" w:rsidRPr="00362517" w:rsidRDefault="00F71865" w:rsidP="00BF6BC7">
            <w:pPr>
              <w:keepNext/>
              <w:jc w:val="center"/>
            </w:pPr>
            <w:r w:rsidRPr="00362517">
              <w:t>68</w:t>
            </w:r>
          </w:p>
        </w:tc>
      </w:tr>
      <w:tr w:rsidR="00362517" w:rsidRPr="00362517" w14:paraId="5AB1809E" w14:textId="77777777" w:rsidTr="00AD3069">
        <w:tc>
          <w:tcPr>
            <w:tcW w:w="2333" w:type="dxa"/>
            <w:tcBorders>
              <w:bottom w:val="single" w:sz="4" w:space="0" w:color="auto"/>
            </w:tcBorders>
          </w:tcPr>
          <w:p w14:paraId="5AB1809A" w14:textId="77777777" w:rsidR="007132A0" w:rsidRPr="00362517" w:rsidRDefault="007132A0" w:rsidP="00BF6BC7">
            <w:pPr>
              <w:keepNext/>
            </w:pPr>
            <w:r w:rsidRPr="00362517">
              <w:t>Annualized Cost</w:t>
            </w:r>
          </w:p>
        </w:tc>
        <w:tc>
          <w:tcPr>
            <w:tcW w:w="2702" w:type="dxa"/>
            <w:tcBorders>
              <w:bottom w:val="single" w:sz="4" w:space="0" w:color="auto"/>
            </w:tcBorders>
          </w:tcPr>
          <w:p w14:paraId="5AB1809B" w14:textId="7D0D6A20" w:rsidR="007132A0" w:rsidRPr="00362517" w:rsidRDefault="007132A0" w:rsidP="00BF6BC7">
            <w:pPr>
              <w:keepNext/>
              <w:jc w:val="center"/>
            </w:pPr>
            <w:r w:rsidRPr="00362517">
              <w:t xml:space="preserve">$ </w:t>
            </w:r>
            <w:r w:rsidR="00C92DAB" w:rsidRPr="00362517">
              <w:t>8</w:t>
            </w:r>
            <w:r w:rsidR="00991246" w:rsidRPr="00362517">
              <w:t>.</w:t>
            </w:r>
            <w:r w:rsidR="00DF752D" w:rsidRPr="00362517">
              <w:t xml:space="preserve">6 </w:t>
            </w:r>
            <w:r w:rsidRPr="00362517">
              <w:t>million</w:t>
            </w:r>
          </w:p>
        </w:tc>
        <w:tc>
          <w:tcPr>
            <w:tcW w:w="2700" w:type="dxa"/>
            <w:tcBorders>
              <w:bottom w:val="single" w:sz="4" w:space="0" w:color="auto"/>
            </w:tcBorders>
          </w:tcPr>
          <w:p w14:paraId="5AB1809C" w14:textId="4011410A" w:rsidR="007132A0" w:rsidRPr="00362517" w:rsidRDefault="007132A0" w:rsidP="00BF6BC7">
            <w:pPr>
              <w:keepNext/>
              <w:jc w:val="center"/>
            </w:pPr>
            <w:r w:rsidRPr="00362517">
              <w:t>$</w:t>
            </w:r>
            <w:r w:rsidR="00C92DAB" w:rsidRPr="00362517">
              <w:t>16</w:t>
            </w:r>
            <w:r w:rsidR="008B1119" w:rsidRPr="00362517">
              <w:t>.</w:t>
            </w:r>
            <w:r w:rsidR="00F71865" w:rsidRPr="00362517">
              <w:t xml:space="preserve">2 </w:t>
            </w:r>
            <w:r w:rsidRPr="00362517">
              <w:t>million</w:t>
            </w:r>
          </w:p>
        </w:tc>
        <w:tc>
          <w:tcPr>
            <w:tcW w:w="1615" w:type="dxa"/>
            <w:tcBorders>
              <w:bottom w:val="single" w:sz="4" w:space="0" w:color="auto"/>
            </w:tcBorders>
          </w:tcPr>
          <w:p w14:paraId="5AB1809D" w14:textId="77777777" w:rsidR="007132A0" w:rsidRPr="00362517" w:rsidRDefault="007132A0" w:rsidP="00BF6BC7">
            <w:pPr>
              <w:keepNext/>
              <w:jc w:val="center"/>
            </w:pPr>
            <w:r w:rsidRPr="00362517">
              <w:t>$</w:t>
            </w:r>
            <w:r w:rsidR="00C92DAB" w:rsidRPr="00362517">
              <w:t>6.</w:t>
            </w:r>
            <w:r w:rsidR="00131817" w:rsidRPr="00362517">
              <w:t>5</w:t>
            </w:r>
            <w:r w:rsidR="00C92DAB" w:rsidRPr="00362517">
              <w:t xml:space="preserve"> million</w:t>
            </w:r>
          </w:p>
        </w:tc>
      </w:tr>
      <w:tr w:rsidR="00362517" w:rsidRPr="00362517" w14:paraId="5AB180A5" w14:textId="77777777" w:rsidTr="003E2068">
        <w:tc>
          <w:tcPr>
            <w:tcW w:w="2333" w:type="dxa"/>
            <w:tcBorders>
              <w:bottom w:val="single" w:sz="12" w:space="0" w:color="auto"/>
            </w:tcBorders>
            <w:vAlign w:val="center"/>
          </w:tcPr>
          <w:p w14:paraId="5AB1809F" w14:textId="4B6DB273" w:rsidR="007132A0" w:rsidRPr="00362517" w:rsidRDefault="0002607D" w:rsidP="00BF6BC7">
            <w:pPr>
              <w:keepNext/>
              <w:jc w:val="center"/>
            </w:pPr>
            <w:r w:rsidRPr="00362517">
              <w:t xml:space="preserve">Annual </w:t>
            </w:r>
            <w:r w:rsidR="007132A0" w:rsidRPr="00362517">
              <w:t>Per-Applicator</w:t>
            </w:r>
            <w:r w:rsidR="00CE4C36" w:rsidRPr="00362517">
              <w:t xml:space="preserve"> Costs</w:t>
            </w:r>
          </w:p>
        </w:tc>
        <w:tc>
          <w:tcPr>
            <w:tcW w:w="2702" w:type="dxa"/>
            <w:tcBorders>
              <w:bottom w:val="single" w:sz="12" w:space="0" w:color="auto"/>
            </w:tcBorders>
            <w:vAlign w:val="center"/>
          </w:tcPr>
          <w:p w14:paraId="5AB180A0" w14:textId="77777777" w:rsidR="007132A0" w:rsidRPr="00362517" w:rsidRDefault="000D1E2B" w:rsidP="00BF6BC7">
            <w:pPr>
              <w:pStyle w:val="ListParagraph"/>
              <w:keepNext/>
              <w:numPr>
                <w:ilvl w:val="0"/>
                <w:numId w:val="8"/>
              </w:numPr>
            </w:pPr>
            <w:r w:rsidRPr="00362517">
              <w:t xml:space="preserve">Average:  </w:t>
            </w:r>
            <w:r w:rsidR="007132A0" w:rsidRPr="00362517">
              <w:t>$</w:t>
            </w:r>
            <w:r w:rsidR="00C92DAB" w:rsidRPr="00362517">
              <w:t>2</w:t>
            </w:r>
            <w:r w:rsidR="00131817" w:rsidRPr="00362517">
              <w:t>5</w:t>
            </w:r>
          </w:p>
          <w:p w14:paraId="5AB180A1" w14:textId="70F8E89C" w:rsidR="007132A0" w:rsidRPr="00362517" w:rsidRDefault="000D1E2B" w:rsidP="00BF6BC7">
            <w:pPr>
              <w:pStyle w:val="ListParagraph"/>
              <w:keepNext/>
              <w:numPr>
                <w:ilvl w:val="0"/>
                <w:numId w:val="8"/>
              </w:numPr>
            </w:pPr>
            <w:r w:rsidRPr="00362517">
              <w:t xml:space="preserve">Range:  </w:t>
            </w:r>
            <w:r w:rsidR="007132A0" w:rsidRPr="00362517">
              <w:t>$</w:t>
            </w:r>
            <w:r w:rsidR="00C92DAB" w:rsidRPr="00362517">
              <w:t>3</w:t>
            </w:r>
            <w:r w:rsidRPr="00362517">
              <w:t xml:space="preserve"> </w:t>
            </w:r>
            <w:r w:rsidR="007132A0" w:rsidRPr="00362517">
              <w:t>-</w:t>
            </w:r>
            <w:r w:rsidRPr="00362517">
              <w:t xml:space="preserve"> $</w:t>
            </w:r>
            <w:r w:rsidR="00F71865" w:rsidRPr="00362517">
              <w:t>127</w:t>
            </w:r>
            <w:r w:rsidR="003F63FC" w:rsidRPr="00362517">
              <w:t>, depending on current state requirements and the number of applicators in the state</w:t>
            </w:r>
          </w:p>
        </w:tc>
        <w:tc>
          <w:tcPr>
            <w:tcW w:w="2700" w:type="dxa"/>
            <w:tcBorders>
              <w:bottom w:val="single" w:sz="12" w:space="0" w:color="auto"/>
            </w:tcBorders>
            <w:vAlign w:val="center"/>
          </w:tcPr>
          <w:p w14:paraId="5AB180A2" w14:textId="77777777" w:rsidR="007132A0" w:rsidRPr="00362517" w:rsidRDefault="000D1E2B" w:rsidP="00BF6BC7">
            <w:pPr>
              <w:pStyle w:val="ListParagraph"/>
              <w:keepNext/>
              <w:numPr>
                <w:ilvl w:val="0"/>
                <w:numId w:val="8"/>
              </w:numPr>
            </w:pPr>
            <w:r w:rsidRPr="00362517">
              <w:t>Average:  $</w:t>
            </w:r>
            <w:r w:rsidR="00C92DAB" w:rsidRPr="00362517">
              <w:t>4</w:t>
            </w:r>
            <w:r w:rsidR="00A04669" w:rsidRPr="00362517">
              <w:t>6</w:t>
            </w:r>
          </w:p>
          <w:p w14:paraId="5AB180A3" w14:textId="7B307E52" w:rsidR="000D1E2B" w:rsidRPr="00362517" w:rsidRDefault="000D1E2B" w:rsidP="00BF6BC7">
            <w:pPr>
              <w:pStyle w:val="ListParagraph"/>
              <w:keepNext/>
              <w:numPr>
                <w:ilvl w:val="0"/>
                <w:numId w:val="8"/>
              </w:numPr>
            </w:pPr>
            <w:r w:rsidRPr="00362517">
              <w:t>Range:  $</w:t>
            </w:r>
            <w:r w:rsidR="00C92DAB" w:rsidRPr="00362517">
              <w:t>6</w:t>
            </w:r>
            <w:r w:rsidRPr="00362517">
              <w:t xml:space="preserve"> - $</w:t>
            </w:r>
            <w:r w:rsidR="00F71865" w:rsidRPr="00362517">
              <w:t>234</w:t>
            </w:r>
            <w:r w:rsidR="003F63FC" w:rsidRPr="00362517">
              <w:t xml:space="preserve">, depending on current state requirements and the number of applicators in the state  </w:t>
            </w:r>
          </w:p>
        </w:tc>
        <w:tc>
          <w:tcPr>
            <w:tcW w:w="1615" w:type="dxa"/>
            <w:tcBorders>
              <w:bottom w:val="single" w:sz="12" w:space="0" w:color="auto"/>
            </w:tcBorders>
            <w:vAlign w:val="center"/>
          </w:tcPr>
          <w:p w14:paraId="5AB180A4" w14:textId="77777777" w:rsidR="007132A0" w:rsidRPr="00362517" w:rsidRDefault="009A2B84" w:rsidP="00BF6BC7">
            <w:pPr>
              <w:keepNext/>
              <w:jc w:val="center"/>
            </w:pPr>
            <w:r w:rsidRPr="00362517">
              <w:t>n/a</w:t>
            </w:r>
          </w:p>
        </w:tc>
      </w:tr>
      <w:tr w:rsidR="00362517" w:rsidRPr="00362517" w14:paraId="5AB180AA" w14:textId="77777777" w:rsidTr="00C148BE">
        <w:tc>
          <w:tcPr>
            <w:tcW w:w="2333" w:type="dxa"/>
            <w:tcBorders>
              <w:top w:val="single" w:sz="12" w:space="0" w:color="auto"/>
            </w:tcBorders>
            <w:vAlign w:val="center"/>
          </w:tcPr>
          <w:p w14:paraId="5AB180A6" w14:textId="77777777" w:rsidR="007132A0" w:rsidRPr="00362517" w:rsidRDefault="007132A0" w:rsidP="00BF6BC7">
            <w:pPr>
              <w:keepNext/>
            </w:pPr>
            <w:r w:rsidRPr="00362517">
              <w:t>Small Business Impacts</w:t>
            </w:r>
          </w:p>
        </w:tc>
        <w:tc>
          <w:tcPr>
            <w:tcW w:w="7017" w:type="dxa"/>
            <w:gridSpan w:val="3"/>
            <w:tcBorders>
              <w:top w:val="single" w:sz="12" w:space="0" w:color="auto"/>
            </w:tcBorders>
            <w:vAlign w:val="center"/>
          </w:tcPr>
          <w:p w14:paraId="5AB180A7" w14:textId="77777777" w:rsidR="007132A0" w:rsidRPr="00362517" w:rsidRDefault="007132A0" w:rsidP="00BF6BC7">
            <w:pPr>
              <w:keepNext/>
            </w:pPr>
            <w:r w:rsidRPr="00362517">
              <w:t>No significant impact on a substantial number of small entities.</w:t>
            </w:r>
          </w:p>
          <w:p w14:paraId="5AB180A8" w14:textId="77777777" w:rsidR="007132A0" w:rsidRPr="00362517" w:rsidRDefault="007132A0" w:rsidP="00BF6BC7">
            <w:pPr>
              <w:pStyle w:val="ListParagraph"/>
              <w:keepNext/>
              <w:numPr>
                <w:ilvl w:val="0"/>
                <w:numId w:val="2"/>
              </w:numPr>
              <w:ind w:left="252" w:hanging="180"/>
            </w:pPr>
            <w:r w:rsidRPr="00362517">
              <w:t xml:space="preserve">The rule </w:t>
            </w:r>
            <w:r w:rsidR="000D1E2B" w:rsidRPr="00362517">
              <w:t>may</w:t>
            </w:r>
            <w:r w:rsidRPr="00362517">
              <w:t xml:space="preserve"> affect over </w:t>
            </w:r>
            <w:r w:rsidR="000D1E2B" w:rsidRPr="00362517">
              <w:t>8</w:t>
            </w:r>
            <w:r w:rsidRPr="00362517">
              <w:t>00,000 small farms</w:t>
            </w:r>
            <w:r w:rsidR="000D1E2B" w:rsidRPr="00362517">
              <w:t xml:space="preserve"> that use pesticides</w:t>
            </w:r>
            <w:r w:rsidRPr="00362517">
              <w:t xml:space="preserve">, </w:t>
            </w:r>
            <w:r w:rsidR="000D1E2B" w:rsidRPr="00362517">
              <w:t xml:space="preserve">although </w:t>
            </w:r>
            <w:r w:rsidR="008301FA" w:rsidRPr="00362517">
              <w:t>about half</w:t>
            </w:r>
            <w:r w:rsidR="000D1E2B" w:rsidRPr="00362517">
              <w:t xml:space="preserve"> are unlikely to apply restricted use pesticides</w:t>
            </w:r>
            <w:r w:rsidRPr="00362517">
              <w:t>.</w:t>
            </w:r>
          </w:p>
          <w:p w14:paraId="5AB180A9" w14:textId="77777777" w:rsidR="007132A0" w:rsidRPr="00362517" w:rsidRDefault="007132A0" w:rsidP="00BF6BC7">
            <w:pPr>
              <w:pStyle w:val="ListParagraph"/>
              <w:keepNext/>
              <w:numPr>
                <w:ilvl w:val="0"/>
                <w:numId w:val="2"/>
              </w:numPr>
              <w:ind w:left="252" w:hanging="180"/>
            </w:pPr>
            <w:r w:rsidRPr="00362517">
              <w:t>Impact less than 1% of the annual revenues for the average small entity.</w:t>
            </w:r>
          </w:p>
        </w:tc>
      </w:tr>
      <w:tr w:rsidR="007132A0" w:rsidRPr="00362517" w14:paraId="5AB180AF" w14:textId="77777777" w:rsidTr="00C148BE">
        <w:tc>
          <w:tcPr>
            <w:tcW w:w="2333" w:type="dxa"/>
            <w:vAlign w:val="center"/>
          </w:tcPr>
          <w:p w14:paraId="5AB180AB" w14:textId="77777777" w:rsidR="007132A0" w:rsidRPr="00362517" w:rsidRDefault="007132A0" w:rsidP="00BF6BC7">
            <w:pPr>
              <w:keepNext/>
            </w:pPr>
            <w:r w:rsidRPr="00362517">
              <w:t>Impact on Jobs</w:t>
            </w:r>
          </w:p>
        </w:tc>
        <w:tc>
          <w:tcPr>
            <w:tcW w:w="7017" w:type="dxa"/>
            <w:gridSpan w:val="3"/>
            <w:vAlign w:val="center"/>
          </w:tcPr>
          <w:p w14:paraId="5AB180AC" w14:textId="77777777" w:rsidR="007132A0" w:rsidRPr="00362517" w:rsidRDefault="007132A0" w:rsidP="00BF6BC7">
            <w:pPr>
              <w:keepNext/>
            </w:pPr>
            <w:r w:rsidRPr="00362517">
              <w:t>The rule will have a negligible effect on jobs and employment.</w:t>
            </w:r>
          </w:p>
          <w:p w14:paraId="5AB180AD" w14:textId="77777777" w:rsidR="007132A0" w:rsidRPr="00362517" w:rsidRDefault="000D1E2B" w:rsidP="00BF6BC7">
            <w:pPr>
              <w:pStyle w:val="ListParagraph"/>
              <w:keepNext/>
              <w:numPr>
                <w:ilvl w:val="0"/>
                <w:numId w:val="3"/>
              </w:numPr>
              <w:ind w:left="252" w:hanging="180"/>
            </w:pPr>
            <w:r w:rsidRPr="00362517">
              <w:t xml:space="preserve">Most private </w:t>
            </w:r>
            <w:r w:rsidR="003A7140" w:rsidRPr="00362517">
              <w:t xml:space="preserve">and </w:t>
            </w:r>
            <w:r w:rsidRPr="00362517">
              <w:t>commercial applicators are self-employed</w:t>
            </w:r>
            <w:r w:rsidR="007132A0" w:rsidRPr="00362517">
              <w:t>.</w:t>
            </w:r>
          </w:p>
          <w:p w14:paraId="5AB180AE" w14:textId="287892ED" w:rsidR="007132A0" w:rsidRPr="00362517" w:rsidRDefault="007B225A" w:rsidP="00BF6BC7">
            <w:pPr>
              <w:pStyle w:val="ListParagraph"/>
              <w:keepNext/>
              <w:numPr>
                <w:ilvl w:val="0"/>
                <w:numId w:val="3"/>
              </w:numPr>
              <w:ind w:left="252" w:hanging="180"/>
            </w:pPr>
            <w:r w:rsidRPr="00362517">
              <w:t xml:space="preserve">Average annual </w:t>
            </w:r>
            <w:r w:rsidR="000D1E2B" w:rsidRPr="00362517">
              <w:t xml:space="preserve">cost per applicator represents from </w:t>
            </w:r>
            <w:r w:rsidR="007132A0" w:rsidRPr="00362517">
              <w:t>0.</w:t>
            </w:r>
            <w:r w:rsidR="00FF2BEB" w:rsidRPr="00362517">
              <w:t>2</w:t>
            </w:r>
            <w:r w:rsidR="007132A0" w:rsidRPr="00362517">
              <w:t xml:space="preserve"> </w:t>
            </w:r>
            <w:r w:rsidR="000D1E2B" w:rsidRPr="00362517">
              <w:t>to 0.</w:t>
            </w:r>
            <w:r w:rsidR="006078B9" w:rsidRPr="00362517">
              <w:t>5</w:t>
            </w:r>
            <w:r w:rsidR="000D1E2B" w:rsidRPr="00362517">
              <w:t xml:space="preserve"> </w:t>
            </w:r>
            <w:r w:rsidR="007132A0" w:rsidRPr="00362517">
              <w:t>percent of the cost of a part-time employee.</w:t>
            </w:r>
          </w:p>
        </w:tc>
      </w:tr>
    </w:tbl>
    <w:p w14:paraId="5AB180B0" w14:textId="77777777" w:rsidR="00827898" w:rsidRPr="00362517" w:rsidRDefault="00827898" w:rsidP="00BF6BC7">
      <w:pPr>
        <w:rPr>
          <w:bCs/>
        </w:rPr>
      </w:pPr>
    </w:p>
    <w:p w14:paraId="5AB180B1" w14:textId="77777777" w:rsidR="00827898" w:rsidRPr="00362517" w:rsidRDefault="00827898" w:rsidP="00BF6BC7">
      <w:pPr>
        <w:spacing w:after="240"/>
      </w:pPr>
      <w:r w:rsidRPr="00362517">
        <w:t xml:space="preserve">The rule changes </w:t>
      </w:r>
      <w:r w:rsidR="002E58DB" w:rsidRPr="00362517">
        <w:t>finalized</w:t>
      </w:r>
      <w:r w:rsidRPr="00362517">
        <w:t xml:space="preserve"> by EPA </w:t>
      </w:r>
      <w:r w:rsidR="003F6914" w:rsidRPr="00362517">
        <w:t xml:space="preserve">will </w:t>
      </w:r>
      <w:r w:rsidRPr="00362517">
        <w:t xml:space="preserve">improve the pesticide applicator certification and training program substantially.  Trained and competent applicators </w:t>
      </w:r>
      <w:r w:rsidR="003F6914" w:rsidRPr="00362517">
        <w:t>are</w:t>
      </w:r>
      <w:r w:rsidR="00946DBA" w:rsidRPr="00362517">
        <w:t xml:space="preserve"> </w:t>
      </w:r>
      <w:r w:rsidRPr="00362517">
        <w:t xml:space="preserve">more likely to apply pesticide products without unreasonable adverse effects and use them properly to achieve the intended results than applicators </w:t>
      </w:r>
      <w:r w:rsidR="003F6914" w:rsidRPr="00362517">
        <w:t xml:space="preserve">who </w:t>
      </w:r>
      <w:r w:rsidRPr="00362517">
        <w:t xml:space="preserve">have not received training or been certified.  In addition to </w:t>
      </w:r>
      <w:r w:rsidRPr="00362517">
        <w:lastRenderedPageBreak/>
        <w:t xml:space="preserve">core pesticide safety and practical use concepts, certification and training </w:t>
      </w:r>
      <w:r w:rsidR="0077007E" w:rsidRPr="00362517">
        <w:t>en</w:t>
      </w:r>
      <w:r w:rsidRPr="00362517">
        <w:t xml:space="preserve">sures that certified applicators possess critical information on a wide range of environmental issues such as endangered species, water quality, worker protection and protecting non-target organisms such as pollinators.  Pesticide safety education helps applicators improve their abilities to avoid pesticide misuse, spills and harm to non-target organisms. </w:t>
      </w:r>
    </w:p>
    <w:p w14:paraId="5AB180B2" w14:textId="77777777" w:rsidR="002D0DD3" w:rsidRPr="00362517" w:rsidRDefault="002D0DD3" w:rsidP="00BF6BC7">
      <w:pPr>
        <w:spacing w:after="240"/>
        <w:rPr>
          <w:i/>
        </w:rPr>
      </w:pPr>
      <w:r w:rsidRPr="00362517">
        <w:rPr>
          <w:i/>
        </w:rPr>
        <w:t>Benefits</w:t>
      </w:r>
    </w:p>
    <w:p w14:paraId="5AB180B3" w14:textId="04C4BA06" w:rsidR="002D0DD3" w:rsidRPr="00362517" w:rsidRDefault="002D0DD3" w:rsidP="00BF6BC7">
      <w:pPr>
        <w:spacing w:after="240"/>
      </w:pPr>
      <w:r w:rsidRPr="00362517">
        <w:t xml:space="preserve">The benefits of the final rule accrue primarily to </w:t>
      </w:r>
      <w:r w:rsidRPr="00362517">
        <w:rPr>
          <w:bCs/>
        </w:rPr>
        <w:t>certified applicators, and the noncertified applicators they supervise.  Other beneficiaries include the public, who can be exposed to RUPs, and the environment, including plants and animals that are not the intended target of RUPs.  For certified applicators, and the noncertified applicators they supervise</w:t>
      </w:r>
      <w:r w:rsidR="00EB49AF" w:rsidRPr="00362517">
        <w:rPr>
          <w:bCs/>
        </w:rPr>
        <w:t>,</w:t>
      </w:r>
      <w:r w:rsidR="00EB49AF" w:rsidRPr="00362517">
        <w:t xml:space="preserve"> </w:t>
      </w:r>
      <w:r w:rsidR="00EB49AF" w:rsidRPr="00362517">
        <w:rPr>
          <w:bCs/>
        </w:rPr>
        <w:t xml:space="preserve">the final rule is expected to substantially reduce the potential for adverse health effects (both acute and chronic) from occupational exposures to pesticides. </w:t>
      </w:r>
      <w:r w:rsidR="0088743E">
        <w:rPr>
          <w:bCs/>
        </w:rPr>
        <w:t xml:space="preserve">  </w:t>
      </w:r>
    </w:p>
    <w:p w14:paraId="5AB180B4" w14:textId="338EEC34" w:rsidR="00E91968" w:rsidRPr="00362517" w:rsidRDefault="00827898" w:rsidP="00BF6BC7">
      <w:r w:rsidRPr="00362517">
        <w:t>It is difficult to quantify a specific level of risk and project the human</w:t>
      </w:r>
      <w:r w:rsidR="00946DBA" w:rsidRPr="00362517">
        <w:t xml:space="preserve"> health risk reduction that </w:t>
      </w:r>
      <w:r w:rsidR="00EB49AF" w:rsidRPr="00362517">
        <w:t xml:space="preserve">will </w:t>
      </w:r>
      <w:r w:rsidRPr="00362517">
        <w:t xml:space="preserve">result from this rule, because people are potentially exposed to such a wide variety of pesticides, </w:t>
      </w:r>
      <w:r w:rsidR="000C5BCD" w:rsidRPr="00362517">
        <w:t>and</w:t>
      </w:r>
      <w:r w:rsidRPr="00362517">
        <w:t xml:space="preserve"> few of these incidents are reported.  </w:t>
      </w:r>
      <w:r w:rsidR="00E92A9E" w:rsidRPr="00362517">
        <w:t xml:space="preserve">The </w:t>
      </w:r>
      <w:r w:rsidR="002E58DB" w:rsidRPr="00362517">
        <w:t>final</w:t>
      </w:r>
      <w:r w:rsidR="00E92A9E" w:rsidRPr="00362517">
        <w:t xml:space="preserve"> changes, however, are designed to reduce human and environmental exposure to </w:t>
      </w:r>
      <w:r w:rsidR="003F6914" w:rsidRPr="00362517">
        <w:t>RUPs</w:t>
      </w:r>
      <w:r w:rsidR="009F30C1" w:rsidRPr="00362517">
        <w:t>.</w:t>
      </w:r>
      <w:r w:rsidR="00E92A9E" w:rsidRPr="00362517">
        <w:t xml:space="preserve"> </w:t>
      </w:r>
      <w:r w:rsidR="009F30C1" w:rsidRPr="00362517">
        <w:t xml:space="preserve"> T</w:t>
      </w:r>
      <w:r w:rsidR="00E92A9E" w:rsidRPr="00362517">
        <w:t>here is sufficient evidence in the peer-reviewed literature to suggest reducing such exposure would result in a benefit to public health through reduced acute and chronic illness</w:t>
      </w:r>
      <w:r w:rsidRPr="00362517">
        <w:t xml:space="preserve">.   </w:t>
      </w:r>
    </w:p>
    <w:p w14:paraId="5AB180B5" w14:textId="77777777" w:rsidR="00E91968" w:rsidRPr="00362517" w:rsidRDefault="00E91968" w:rsidP="00BF6BC7"/>
    <w:p w14:paraId="5AB180B6" w14:textId="77777777" w:rsidR="00EB49AF" w:rsidRPr="00362517" w:rsidRDefault="00EB49AF" w:rsidP="00BF6BC7">
      <w:pPr>
        <w:rPr>
          <w:bCs/>
          <w:u w:val="single"/>
        </w:rPr>
      </w:pPr>
      <w:r w:rsidRPr="00362517">
        <w:rPr>
          <w:bCs/>
          <w:u w:val="single"/>
        </w:rPr>
        <w:t>Benefits from Avoiding Acute Incidents</w:t>
      </w:r>
    </w:p>
    <w:p w14:paraId="5AB180B7" w14:textId="77777777" w:rsidR="00EB49AF" w:rsidRPr="00362517" w:rsidRDefault="00EB49AF" w:rsidP="00BF6BC7">
      <w:pPr>
        <w:rPr>
          <w:bCs/>
        </w:rPr>
      </w:pPr>
    </w:p>
    <w:p w14:paraId="5AB180B8" w14:textId="2B9F73A5" w:rsidR="0077007E" w:rsidRPr="00362517" w:rsidRDefault="00DA2DE6" w:rsidP="00BF6BC7">
      <w:pPr>
        <w:rPr>
          <w:bCs/>
        </w:rPr>
      </w:pPr>
      <w:r w:rsidRPr="00362517">
        <w:rPr>
          <w:bCs/>
        </w:rPr>
        <w:t xml:space="preserve">EPA cannot provide quantitative estimates for all benefits of the rule, </w:t>
      </w:r>
      <w:r w:rsidR="00EB49AF" w:rsidRPr="00362517">
        <w:rPr>
          <w:bCs/>
        </w:rPr>
        <w:t xml:space="preserve">but </w:t>
      </w:r>
      <w:r w:rsidRPr="00362517">
        <w:rPr>
          <w:bCs/>
        </w:rPr>
        <w:t>we do estimate the benefit of reduced acute illness from exposure</w:t>
      </w:r>
      <w:r w:rsidR="003F6914" w:rsidRPr="00362517">
        <w:rPr>
          <w:bCs/>
        </w:rPr>
        <w:t xml:space="preserve"> to RUPs</w:t>
      </w:r>
      <w:r w:rsidRPr="00362517">
        <w:rPr>
          <w:bCs/>
        </w:rPr>
        <w:t xml:space="preserve">.  </w:t>
      </w:r>
      <w:r w:rsidR="00262E11" w:rsidRPr="00362517">
        <w:rPr>
          <w:bCs/>
        </w:rPr>
        <w:t>We estimate that this rule will result in quantifiable annual benefits of between $</w:t>
      </w:r>
      <w:r w:rsidR="00EB49AF" w:rsidRPr="00362517">
        <w:rPr>
          <w:bCs/>
        </w:rPr>
        <w:t>13.</w:t>
      </w:r>
      <w:r w:rsidR="00E6414B" w:rsidRPr="00362517">
        <w:rPr>
          <w:bCs/>
        </w:rPr>
        <w:t>2</w:t>
      </w:r>
      <w:r w:rsidR="00262E11" w:rsidRPr="00362517">
        <w:rPr>
          <w:bCs/>
        </w:rPr>
        <w:t xml:space="preserve"> and $</w:t>
      </w:r>
      <w:r w:rsidR="00C83F77" w:rsidRPr="00362517">
        <w:rPr>
          <w:bCs/>
        </w:rPr>
        <w:t>2</w:t>
      </w:r>
      <w:r w:rsidR="00C83F77">
        <w:rPr>
          <w:bCs/>
        </w:rPr>
        <w:t>4</w:t>
      </w:r>
      <w:r w:rsidR="00E6414B" w:rsidRPr="00362517">
        <w:rPr>
          <w:bCs/>
        </w:rPr>
        <w:t>.</w:t>
      </w:r>
      <w:r w:rsidR="00B93EF8" w:rsidRPr="00362517">
        <w:rPr>
          <w:bCs/>
        </w:rPr>
        <w:t xml:space="preserve">3 </w:t>
      </w:r>
      <w:r w:rsidR="00262E11" w:rsidRPr="00362517">
        <w:rPr>
          <w:bCs/>
        </w:rPr>
        <w:t>million dollars through reduced acute illnesses from RUPs.  Over a ten</w:t>
      </w:r>
      <w:r w:rsidR="00CA28EA">
        <w:rPr>
          <w:bCs/>
        </w:rPr>
        <w:t>-</w:t>
      </w:r>
      <w:r w:rsidR="00262E11" w:rsidRPr="00362517">
        <w:rPr>
          <w:bCs/>
        </w:rPr>
        <w:t>year horizon, the present value of these estimates is between $</w:t>
      </w:r>
      <w:r w:rsidR="00EB49AF" w:rsidRPr="00362517">
        <w:rPr>
          <w:bCs/>
        </w:rPr>
        <w:t>11</w:t>
      </w:r>
      <w:r w:rsidR="00E6414B" w:rsidRPr="00362517">
        <w:rPr>
          <w:bCs/>
        </w:rPr>
        <w:t>2</w:t>
      </w:r>
      <w:r w:rsidR="00262E11" w:rsidRPr="00362517">
        <w:rPr>
          <w:bCs/>
        </w:rPr>
        <w:t>.</w:t>
      </w:r>
      <w:r w:rsidR="00E6414B" w:rsidRPr="00362517">
        <w:rPr>
          <w:bCs/>
        </w:rPr>
        <w:t>4</w:t>
      </w:r>
      <w:r w:rsidR="00EB49AF" w:rsidRPr="00362517">
        <w:rPr>
          <w:bCs/>
        </w:rPr>
        <w:t xml:space="preserve"> </w:t>
      </w:r>
      <w:r w:rsidR="00262E11" w:rsidRPr="00362517">
        <w:rPr>
          <w:bCs/>
        </w:rPr>
        <w:t>and $</w:t>
      </w:r>
      <w:r w:rsidR="00C83F77" w:rsidRPr="00362517">
        <w:rPr>
          <w:bCs/>
        </w:rPr>
        <w:t>2</w:t>
      </w:r>
      <w:r w:rsidR="00C83F77">
        <w:rPr>
          <w:bCs/>
        </w:rPr>
        <w:t>07</w:t>
      </w:r>
      <w:r w:rsidR="00E6414B" w:rsidRPr="00362517">
        <w:rPr>
          <w:bCs/>
        </w:rPr>
        <w:t>.</w:t>
      </w:r>
      <w:r w:rsidR="00C83F77">
        <w:rPr>
          <w:bCs/>
        </w:rPr>
        <w:t>8</w:t>
      </w:r>
      <w:r w:rsidR="00B93EF8" w:rsidRPr="00362517">
        <w:rPr>
          <w:bCs/>
        </w:rPr>
        <w:t xml:space="preserve"> </w:t>
      </w:r>
      <w:r w:rsidR="00262E11" w:rsidRPr="00362517">
        <w:rPr>
          <w:bCs/>
        </w:rPr>
        <w:t>million with a 3% discount rate, and $</w:t>
      </w:r>
      <w:r w:rsidR="00BE71DF" w:rsidRPr="00362517">
        <w:rPr>
          <w:bCs/>
        </w:rPr>
        <w:t>9</w:t>
      </w:r>
      <w:r w:rsidR="00E6414B" w:rsidRPr="00362517">
        <w:rPr>
          <w:bCs/>
        </w:rPr>
        <w:t>2</w:t>
      </w:r>
      <w:r w:rsidR="00BE71DF" w:rsidRPr="00362517">
        <w:rPr>
          <w:bCs/>
        </w:rPr>
        <w:t>.</w:t>
      </w:r>
      <w:r w:rsidR="00B93EF8" w:rsidRPr="00362517">
        <w:rPr>
          <w:bCs/>
        </w:rPr>
        <w:t xml:space="preserve">5 </w:t>
      </w:r>
      <w:r w:rsidR="00262E11" w:rsidRPr="00362517">
        <w:rPr>
          <w:bCs/>
        </w:rPr>
        <w:t>and $</w:t>
      </w:r>
      <w:r w:rsidR="00C83F77" w:rsidRPr="00362517">
        <w:rPr>
          <w:bCs/>
        </w:rPr>
        <w:t>1</w:t>
      </w:r>
      <w:r w:rsidR="00C83F77">
        <w:rPr>
          <w:bCs/>
        </w:rPr>
        <w:t>71.0</w:t>
      </w:r>
      <w:r w:rsidR="00262E11" w:rsidRPr="00362517">
        <w:rPr>
          <w:bCs/>
        </w:rPr>
        <w:t xml:space="preserve"> million with a 7% discount rate</w:t>
      </w:r>
      <w:r w:rsidR="00DB1BBD" w:rsidRPr="00362517">
        <w:rPr>
          <w:bCs/>
        </w:rPr>
        <w:t xml:space="preserve"> (see Table 2).</w:t>
      </w:r>
      <w:r w:rsidR="00262E11" w:rsidRPr="00362517">
        <w:rPr>
          <w:bCs/>
        </w:rPr>
        <w:t xml:space="preserve">  </w:t>
      </w:r>
      <w:r w:rsidR="00262E11" w:rsidRPr="00362517">
        <w:t xml:space="preserve">However, these estimates are biased downward by an unknown degree.  Pesticide incidents, like many illnesses and accidents, are underreported because sufferers may not seek medical care, cases may not be correctly diagnosed, and correctly diagnosed cases may not be filed to the central reporting database.  The effect of </w:t>
      </w:r>
      <w:r w:rsidR="00DB322C" w:rsidRPr="00362517">
        <w:t>under-reporting</w:t>
      </w:r>
      <w:r w:rsidR="00262E11" w:rsidRPr="00362517">
        <w:t xml:space="preserve"> can be significant.  If only 2</w:t>
      </w:r>
      <w:r w:rsidR="00E6414B" w:rsidRPr="00362517">
        <w:t>0</w:t>
      </w:r>
      <w:r w:rsidR="00262E11" w:rsidRPr="00362517">
        <w:t>% of poisonings are reported (</w:t>
      </w:r>
      <w:r w:rsidR="00E6414B" w:rsidRPr="00362517">
        <w:t xml:space="preserve">a plausible estimate based on the available literature </w:t>
      </w:r>
      <w:r w:rsidR="00C91D61" w:rsidRPr="00C91D61">
        <w:t xml:space="preserve">regarding occupational injuries or chemical poisoning incidents </w:t>
      </w:r>
      <w:r w:rsidR="00E6414B" w:rsidRPr="00362517">
        <w:t>and EPA analysis</w:t>
      </w:r>
      <w:r w:rsidR="00262E11" w:rsidRPr="00362517">
        <w:t xml:space="preserve">), the quantified estimated benefits of the rule would be </w:t>
      </w:r>
      <w:r w:rsidR="00E6414B" w:rsidRPr="00362517">
        <w:t xml:space="preserve">between </w:t>
      </w:r>
      <w:r w:rsidR="00262E11" w:rsidRPr="00362517">
        <w:t>$</w:t>
      </w:r>
      <w:r w:rsidR="00E6414B" w:rsidRPr="00362517">
        <w:t>6</w:t>
      </w:r>
      <w:r w:rsidR="00BE71DF" w:rsidRPr="00362517">
        <w:t>5.</w:t>
      </w:r>
      <w:r w:rsidR="00E6414B" w:rsidRPr="00362517">
        <w:t>9 and $</w:t>
      </w:r>
      <w:r w:rsidR="00C83F77" w:rsidRPr="00362517">
        <w:t>1</w:t>
      </w:r>
      <w:r w:rsidR="00C83F77">
        <w:t>2</w:t>
      </w:r>
      <w:r w:rsidR="00C83F77" w:rsidRPr="00362517">
        <w:t>1</w:t>
      </w:r>
      <w:r w:rsidR="00E6414B" w:rsidRPr="00362517">
        <w:t>.</w:t>
      </w:r>
      <w:r w:rsidR="00C83F77">
        <w:t>7</w:t>
      </w:r>
      <w:r w:rsidR="00C83F77" w:rsidRPr="00362517">
        <w:t xml:space="preserve"> </w:t>
      </w:r>
      <w:r w:rsidR="00262E11" w:rsidRPr="00362517">
        <w:t>million annually</w:t>
      </w:r>
      <w:r w:rsidR="009B0358">
        <w:t xml:space="preserve">; </w:t>
      </w:r>
      <w:r w:rsidR="00B2607A">
        <w:t>i</w:t>
      </w:r>
      <w:r w:rsidR="009B0358">
        <w:t xml:space="preserve">f 50% of poisonings are reported, then the quantified </w:t>
      </w:r>
      <w:r w:rsidR="00C91D61">
        <w:t xml:space="preserve">benefit </w:t>
      </w:r>
      <w:r w:rsidR="009B0358">
        <w:t xml:space="preserve">estimates of the rule would be between $26.3 and $48.7 million </w:t>
      </w:r>
      <w:r w:rsidR="0088743E">
        <w:t>annually.</w:t>
      </w:r>
      <w:r w:rsidR="00262E11" w:rsidRPr="00362517">
        <w:t xml:space="preserve">  Moreover, the approach here only measures avoided medical costs and lost wages, not the willingness to pay to avoid possible symptoms due to pesticide exposure, which could be substantially higher.</w:t>
      </w:r>
      <w:r w:rsidR="00827898" w:rsidRPr="00362517">
        <w:t xml:space="preserve">  </w:t>
      </w:r>
      <w:r w:rsidR="002477D3" w:rsidRPr="00362517">
        <w:rPr>
          <w:bCs/>
        </w:rPr>
        <w:t>The benefits shown in Table 2 are annual benefits after the rule is in force.  Because there is a period of time before state plans are revised, there may be no benefits until after the first few years.</w:t>
      </w:r>
      <w:r w:rsidR="00E91968" w:rsidRPr="00362517">
        <w:rPr>
          <w:bCs/>
        </w:rPr>
        <w:t xml:space="preserve">  </w:t>
      </w:r>
      <w:r w:rsidR="00E91968" w:rsidRPr="00362517">
        <w:t>If the stream of benefits begin</w:t>
      </w:r>
      <w:r w:rsidR="009B0358">
        <w:t>s</w:t>
      </w:r>
      <w:r w:rsidR="00E91968" w:rsidRPr="00362517">
        <w:t xml:space="preserve"> in year three to match the implementation schedule from the cost estimates, the annualized benefits based on the low estimated reported in Tables 4.4-11 are estimated to be about $10.2 million annually when using a 3% discount rate, and about $9.8 million annually when using a 7% discount rate.  The high estimate, based on Table 4.4-12 yields annualized benefits of $</w:t>
      </w:r>
      <w:r w:rsidR="00C83F77">
        <w:t>18</w:t>
      </w:r>
      <w:r w:rsidR="00E91968" w:rsidRPr="00362517">
        <w:t>.</w:t>
      </w:r>
      <w:r w:rsidR="00C83F77">
        <w:t>9</w:t>
      </w:r>
      <w:r w:rsidR="00B93EF8" w:rsidRPr="00362517">
        <w:t xml:space="preserve"> </w:t>
      </w:r>
      <w:r w:rsidR="00E91968" w:rsidRPr="00362517">
        <w:t>million with a 3% discount rate and $</w:t>
      </w:r>
      <w:r w:rsidR="00C83F77" w:rsidRPr="00362517">
        <w:t>1</w:t>
      </w:r>
      <w:r w:rsidR="00C83F77">
        <w:t>8</w:t>
      </w:r>
      <w:r w:rsidR="00E91968" w:rsidRPr="00362517">
        <w:t>.</w:t>
      </w:r>
      <w:r w:rsidR="00C83F77">
        <w:t>1</w:t>
      </w:r>
      <w:r w:rsidR="00C83F77" w:rsidRPr="00362517">
        <w:t xml:space="preserve"> </w:t>
      </w:r>
      <w:r w:rsidR="00E91968" w:rsidRPr="00362517">
        <w:t xml:space="preserve">million with a 7% </w:t>
      </w:r>
      <w:r w:rsidR="00E91968" w:rsidRPr="00065FF4">
        <w:t xml:space="preserve">discount rate.  </w:t>
      </w:r>
      <w:r w:rsidR="00E91968" w:rsidRPr="009B107A">
        <w:lastRenderedPageBreak/>
        <w:t>These estimates do not account for underreporting, however.  Based on the estimates in Table 4.4-13 with 20%</w:t>
      </w:r>
      <w:r w:rsidR="00E91968" w:rsidRPr="00313D20">
        <w:t xml:space="preserve"> reporting, the annualized benefits based on the low estimate would be about $51.1 million with a 3% discount rate, and about $48.9 million with </w:t>
      </w:r>
      <w:r w:rsidR="00413DE9" w:rsidRPr="00313D20">
        <w:t xml:space="preserve">a </w:t>
      </w:r>
      <w:r w:rsidR="00E91968" w:rsidRPr="00065FF4">
        <w:t>7%</w:t>
      </w:r>
      <w:r w:rsidR="00413DE9" w:rsidRPr="00065FF4">
        <w:t xml:space="preserve"> discount rate</w:t>
      </w:r>
      <w:r w:rsidR="00E91968" w:rsidRPr="00065FF4">
        <w:t>.  The annualized high end estimate would be about $</w:t>
      </w:r>
      <w:r w:rsidR="00C83F77" w:rsidRPr="00065FF4">
        <w:t>94</w:t>
      </w:r>
      <w:r w:rsidR="00E91968" w:rsidRPr="00065FF4">
        <w:t>.</w:t>
      </w:r>
      <w:r w:rsidR="00C83F77" w:rsidRPr="00065FF4">
        <w:t xml:space="preserve">4 </w:t>
      </w:r>
      <w:r w:rsidR="00E91968" w:rsidRPr="009B107A">
        <w:t>million with a discount rate of 3%, and $</w:t>
      </w:r>
      <w:r w:rsidR="00C83F77" w:rsidRPr="00313D20">
        <w:t>90</w:t>
      </w:r>
      <w:r w:rsidR="00B93EF8" w:rsidRPr="00313D20">
        <w:t>.</w:t>
      </w:r>
      <w:r w:rsidR="00C83F77" w:rsidRPr="00313D20">
        <w:t xml:space="preserve">4 </w:t>
      </w:r>
      <w:r w:rsidR="00E91968" w:rsidRPr="00313D20">
        <w:t xml:space="preserve">million with </w:t>
      </w:r>
      <w:r w:rsidR="00413DE9" w:rsidRPr="00313D20">
        <w:t xml:space="preserve">a </w:t>
      </w:r>
      <w:r w:rsidR="00E91968" w:rsidRPr="00313D20">
        <w:t>7%</w:t>
      </w:r>
      <w:r w:rsidR="00413DE9" w:rsidRPr="00313D20">
        <w:t xml:space="preserve"> discount rate</w:t>
      </w:r>
      <w:r w:rsidR="00E91968" w:rsidRPr="00313D20">
        <w:t xml:space="preserve">.  </w:t>
      </w:r>
      <w:r w:rsidR="004F017B" w:rsidRPr="00313D20">
        <w:t>Estimates</w:t>
      </w:r>
      <w:r w:rsidR="004F017B">
        <w:t xml:space="preserve"> based on reporting rates of 50% are lower, the low estimates would be $20.4 million and $19.6 million with 3% and 7% discount rates, respectively, and the high estimates would be $37.8 million and $36.2 million with 3% and 7% discount rates, respectively. </w:t>
      </w:r>
      <w:r w:rsidR="002477D3" w:rsidRPr="00362517">
        <w:rPr>
          <w:bCs/>
        </w:rPr>
        <w:t xml:space="preserve"> </w:t>
      </w:r>
      <w:r w:rsidR="00E91968" w:rsidRPr="00362517">
        <w:rPr>
          <w:bCs/>
        </w:rPr>
        <w:t xml:space="preserve"> </w:t>
      </w:r>
    </w:p>
    <w:p w14:paraId="5AB180B9" w14:textId="77777777" w:rsidR="002477D3" w:rsidRPr="00362517" w:rsidRDefault="002477D3" w:rsidP="00BF6BC7">
      <w:pPr>
        <w:keepNext/>
        <w:rPr>
          <w:bCs/>
        </w:rPr>
      </w:pPr>
    </w:p>
    <w:p w14:paraId="5AB180BA" w14:textId="77777777" w:rsidR="00DB1BBD" w:rsidRPr="00362517" w:rsidRDefault="00DB1BBD" w:rsidP="00BF6BC7">
      <w:pPr>
        <w:tabs>
          <w:tab w:val="left" w:pos="540"/>
          <w:tab w:val="left" w:pos="1080"/>
          <w:tab w:val="left" w:pos="1620"/>
          <w:tab w:val="left" w:pos="2160"/>
        </w:tabs>
        <w:rPr>
          <w:bCs/>
        </w:rPr>
      </w:pPr>
    </w:p>
    <w:tbl>
      <w:tblPr>
        <w:tblStyle w:val="TableGrid"/>
        <w:tblW w:w="0" w:type="auto"/>
        <w:tblInd w:w="108" w:type="dxa"/>
        <w:tblLook w:val="04A0" w:firstRow="1" w:lastRow="0" w:firstColumn="1" w:lastColumn="0" w:noHBand="0" w:noVBand="1"/>
      </w:tblPr>
      <w:tblGrid>
        <w:gridCol w:w="3127"/>
        <w:gridCol w:w="3780"/>
        <w:gridCol w:w="2335"/>
      </w:tblGrid>
      <w:tr w:rsidR="00362517" w:rsidRPr="00362517" w14:paraId="5AB180BC" w14:textId="77777777" w:rsidTr="00EE521D">
        <w:tc>
          <w:tcPr>
            <w:tcW w:w="9242" w:type="dxa"/>
            <w:gridSpan w:val="3"/>
            <w:tcBorders>
              <w:top w:val="nil"/>
              <w:left w:val="nil"/>
              <w:right w:val="nil"/>
            </w:tcBorders>
            <w:vAlign w:val="bottom"/>
          </w:tcPr>
          <w:p w14:paraId="5AB180BB" w14:textId="77777777" w:rsidR="00E91FA9" w:rsidRPr="00362517" w:rsidRDefault="00E91FA9" w:rsidP="00BF6BC7">
            <w:pPr>
              <w:keepNext/>
              <w:rPr>
                <w:b/>
              </w:rPr>
            </w:pPr>
            <w:r w:rsidRPr="00362517">
              <w:rPr>
                <w:b/>
              </w:rPr>
              <w:t xml:space="preserve">Table 2.  Acute Benefits from Final Revisions to the Requirements for Certification of Pesticide Applicators </w:t>
            </w:r>
          </w:p>
        </w:tc>
      </w:tr>
      <w:tr w:rsidR="00362517" w:rsidRPr="00362517" w14:paraId="5AB180C0" w14:textId="77777777" w:rsidTr="00EE521D">
        <w:tc>
          <w:tcPr>
            <w:tcW w:w="3127" w:type="dxa"/>
            <w:tcBorders>
              <w:bottom w:val="single" w:sz="12" w:space="0" w:color="auto"/>
            </w:tcBorders>
          </w:tcPr>
          <w:p w14:paraId="5AB180BD" w14:textId="77777777" w:rsidR="00E91FA9" w:rsidRPr="00362517" w:rsidRDefault="00E91FA9" w:rsidP="00BF6BC7">
            <w:pPr>
              <w:keepNext/>
              <w:jc w:val="center"/>
              <w:rPr>
                <w:i/>
              </w:rPr>
            </w:pPr>
            <w:r w:rsidRPr="00362517">
              <w:rPr>
                <w:i/>
              </w:rPr>
              <w:t>Category</w:t>
            </w:r>
          </w:p>
        </w:tc>
        <w:tc>
          <w:tcPr>
            <w:tcW w:w="3780" w:type="dxa"/>
            <w:tcBorders>
              <w:bottom w:val="single" w:sz="12" w:space="0" w:color="auto"/>
            </w:tcBorders>
          </w:tcPr>
          <w:p w14:paraId="5AB180BE" w14:textId="77777777" w:rsidR="00E91FA9" w:rsidRPr="00362517" w:rsidRDefault="00E91FA9" w:rsidP="00BF6BC7">
            <w:pPr>
              <w:keepNext/>
              <w:jc w:val="center"/>
              <w:rPr>
                <w:i/>
              </w:rPr>
            </w:pPr>
            <w:r w:rsidRPr="00362517">
              <w:rPr>
                <w:i/>
              </w:rPr>
              <w:t>Description</w:t>
            </w:r>
          </w:p>
        </w:tc>
        <w:tc>
          <w:tcPr>
            <w:tcW w:w="2335" w:type="dxa"/>
            <w:tcBorders>
              <w:bottom w:val="single" w:sz="12" w:space="0" w:color="auto"/>
            </w:tcBorders>
            <w:vAlign w:val="center"/>
          </w:tcPr>
          <w:p w14:paraId="5AB180BF" w14:textId="77777777" w:rsidR="00E91FA9" w:rsidRPr="00362517" w:rsidRDefault="00E91FA9" w:rsidP="00BF6BC7">
            <w:pPr>
              <w:keepNext/>
              <w:jc w:val="center"/>
              <w:rPr>
                <w:i/>
              </w:rPr>
            </w:pPr>
            <w:r w:rsidRPr="00362517">
              <w:rPr>
                <w:i/>
              </w:rPr>
              <w:t>Comment</w:t>
            </w:r>
          </w:p>
        </w:tc>
      </w:tr>
      <w:tr w:rsidR="00362517" w:rsidRPr="00362517" w14:paraId="5AB180C6" w14:textId="77777777" w:rsidTr="00E268E3">
        <w:tc>
          <w:tcPr>
            <w:tcW w:w="3127" w:type="dxa"/>
            <w:tcBorders>
              <w:top w:val="single" w:sz="12" w:space="0" w:color="auto"/>
              <w:bottom w:val="single" w:sz="4" w:space="0" w:color="auto"/>
            </w:tcBorders>
            <w:vAlign w:val="center"/>
          </w:tcPr>
          <w:p w14:paraId="5AB180C1" w14:textId="42A69F71" w:rsidR="00E91FA9" w:rsidRPr="00362517" w:rsidRDefault="00E91FA9" w:rsidP="00BF6BC7">
            <w:pPr>
              <w:keepNext/>
            </w:pPr>
            <w:r w:rsidRPr="00362517">
              <w:rPr>
                <w:rFonts w:eastAsiaTheme="minorHAnsi"/>
              </w:rPr>
              <w:t>Avoided acute pesticide incidents</w:t>
            </w:r>
          </w:p>
        </w:tc>
        <w:tc>
          <w:tcPr>
            <w:tcW w:w="3780" w:type="dxa"/>
            <w:tcBorders>
              <w:top w:val="single" w:sz="12" w:space="0" w:color="auto"/>
              <w:bottom w:val="single" w:sz="4" w:space="0" w:color="auto"/>
            </w:tcBorders>
            <w:vAlign w:val="center"/>
          </w:tcPr>
          <w:p w14:paraId="5AB180C2" w14:textId="1F245B9B" w:rsidR="00A9717B" w:rsidRPr="00362517" w:rsidRDefault="00A9717B" w:rsidP="00710C23">
            <w:pPr>
              <w:pStyle w:val="Default"/>
              <w:numPr>
                <w:ilvl w:val="0"/>
                <w:numId w:val="6"/>
              </w:numPr>
              <w:ind w:left="166" w:hanging="166"/>
              <w:rPr>
                <w:rFonts w:ascii="Times New Roman" w:hAnsi="Times New Roman" w:cs="Times New Roman"/>
                <w:color w:val="auto"/>
              </w:rPr>
            </w:pPr>
            <w:r w:rsidRPr="00362517">
              <w:rPr>
                <w:rFonts w:ascii="Times New Roman" w:hAnsi="Times New Roman" w:cs="Times New Roman"/>
                <w:color w:val="auto"/>
              </w:rPr>
              <w:t>$13.</w:t>
            </w:r>
            <w:r w:rsidR="00E6414B" w:rsidRPr="00362517">
              <w:rPr>
                <w:rFonts w:ascii="Times New Roman" w:hAnsi="Times New Roman" w:cs="Times New Roman"/>
                <w:color w:val="auto"/>
              </w:rPr>
              <w:t>2</w:t>
            </w:r>
            <w:r w:rsidRPr="00362517">
              <w:rPr>
                <w:rFonts w:ascii="Times New Roman" w:hAnsi="Times New Roman" w:cs="Times New Roman"/>
                <w:color w:val="auto"/>
              </w:rPr>
              <w:t xml:space="preserve"> – </w:t>
            </w:r>
            <w:r w:rsidR="00C83F77" w:rsidRPr="00362517">
              <w:rPr>
                <w:rFonts w:ascii="Times New Roman" w:hAnsi="Times New Roman" w:cs="Times New Roman"/>
                <w:color w:val="auto"/>
              </w:rPr>
              <w:t>2</w:t>
            </w:r>
            <w:r w:rsidR="00C83F77">
              <w:rPr>
                <w:rFonts w:ascii="Times New Roman" w:hAnsi="Times New Roman" w:cs="Times New Roman"/>
                <w:color w:val="auto"/>
              </w:rPr>
              <w:t>4</w:t>
            </w:r>
            <w:r w:rsidR="00E6414B" w:rsidRPr="00362517">
              <w:rPr>
                <w:rFonts w:ascii="Times New Roman" w:hAnsi="Times New Roman" w:cs="Times New Roman"/>
                <w:color w:val="auto"/>
              </w:rPr>
              <w:t>.</w:t>
            </w:r>
            <w:r w:rsidR="00B93EF8" w:rsidRPr="00362517">
              <w:rPr>
                <w:rFonts w:ascii="Times New Roman" w:hAnsi="Times New Roman" w:cs="Times New Roman"/>
                <w:color w:val="auto"/>
              </w:rPr>
              <w:t xml:space="preserve">3 </w:t>
            </w:r>
            <w:r w:rsidRPr="00362517">
              <w:rPr>
                <w:rFonts w:ascii="Times New Roman" w:hAnsi="Times New Roman" w:cs="Times New Roman"/>
                <w:color w:val="auto"/>
              </w:rPr>
              <w:t>million per year without adjustmen</w:t>
            </w:r>
            <w:r w:rsidR="001D30EE" w:rsidRPr="00362517">
              <w:rPr>
                <w:rFonts w:ascii="Times New Roman" w:hAnsi="Times New Roman" w:cs="Times New Roman"/>
                <w:color w:val="auto"/>
              </w:rPr>
              <w:t>t</w:t>
            </w:r>
          </w:p>
          <w:p w14:paraId="4FB91D4D" w14:textId="73722509" w:rsidR="00A9717B" w:rsidRDefault="00A9717B" w:rsidP="00710C23">
            <w:pPr>
              <w:pStyle w:val="Default"/>
              <w:numPr>
                <w:ilvl w:val="0"/>
                <w:numId w:val="6"/>
              </w:numPr>
              <w:ind w:left="166" w:hanging="166"/>
              <w:rPr>
                <w:rFonts w:ascii="Times New Roman" w:hAnsi="Times New Roman" w:cs="Times New Roman"/>
                <w:color w:val="auto"/>
              </w:rPr>
            </w:pPr>
            <w:r w:rsidRPr="00362517">
              <w:rPr>
                <w:rFonts w:ascii="Times New Roman" w:hAnsi="Times New Roman" w:cs="Times New Roman"/>
                <w:color w:val="auto"/>
              </w:rPr>
              <w:t>$</w:t>
            </w:r>
            <w:r w:rsidR="00E6414B" w:rsidRPr="00362517">
              <w:rPr>
                <w:rFonts w:ascii="Times New Roman" w:hAnsi="Times New Roman" w:cs="Times New Roman"/>
                <w:color w:val="auto"/>
              </w:rPr>
              <w:t>65</w:t>
            </w:r>
            <w:r w:rsidRPr="00362517">
              <w:rPr>
                <w:rFonts w:ascii="Times New Roman" w:hAnsi="Times New Roman" w:cs="Times New Roman"/>
                <w:color w:val="auto"/>
              </w:rPr>
              <w:t>.</w:t>
            </w:r>
            <w:r w:rsidR="00E6414B" w:rsidRPr="00362517">
              <w:rPr>
                <w:rFonts w:ascii="Times New Roman" w:hAnsi="Times New Roman" w:cs="Times New Roman"/>
                <w:color w:val="auto"/>
              </w:rPr>
              <w:t>9</w:t>
            </w:r>
            <w:r w:rsidRPr="00362517">
              <w:rPr>
                <w:rFonts w:ascii="Times New Roman" w:hAnsi="Times New Roman" w:cs="Times New Roman"/>
                <w:color w:val="auto"/>
              </w:rPr>
              <w:t xml:space="preserve"> – </w:t>
            </w:r>
            <w:r w:rsidR="00C83F77" w:rsidRPr="00362517">
              <w:rPr>
                <w:rFonts w:ascii="Times New Roman" w:hAnsi="Times New Roman" w:cs="Times New Roman"/>
                <w:color w:val="auto"/>
              </w:rPr>
              <w:t>1</w:t>
            </w:r>
            <w:r w:rsidR="00C83F77">
              <w:rPr>
                <w:rFonts w:ascii="Times New Roman" w:hAnsi="Times New Roman" w:cs="Times New Roman"/>
                <w:color w:val="auto"/>
              </w:rPr>
              <w:t>2</w:t>
            </w:r>
            <w:r w:rsidR="00C83F77" w:rsidRPr="00362517">
              <w:rPr>
                <w:rFonts w:ascii="Times New Roman" w:hAnsi="Times New Roman" w:cs="Times New Roman"/>
                <w:color w:val="auto"/>
              </w:rPr>
              <w:t>1</w:t>
            </w:r>
            <w:r w:rsidR="00E6414B" w:rsidRPr="00362517">
              <w:rPr>
                <w:rFonts w:ascii="Times New Roman" w:hAnsi="Times New Roman" w:cs="Times New Roman"/>
                <w:color w:val="auto"/>
              </w:rPr>
              <w:t>.</w:t>
            </w:r>
            <w:r w:rsidR="00C83F77">
              <w:rPr>
                <w:rFonts w:ascii="Times New Roman" w:hAnsi="Times New Roman" w:cs="Times New Roman"/>
                <w:color w:val="auto"/>
              </w:rPr>
              <w:t>7</w:t>
            </w:r>
            <w:r w:rsidR="00C83F77" w:rsidRPr="00362517">
              <w:rPr>
                <w:rFonts w:ascii="Times New Roman" w:hAnsi="Times New Roman" w:cs="Times New Roman"/>
                <w:color w:val="auto"/>
              </w:rPr>
              <w:t xml:space="preserve"> </w:t>
            </w:r>
            <w:r w:rsidRPr="00362517">
              <w:rPr>
                <w:rFonts w:ascii="Times New Roman" w:hAnsi="Times New Roman" w:cs="Times New Roman"/>
                <w:color w:val="auto"/>
              </w:rPr>
              <w:t>million per year after adjustment for underreporting of pesticide incidents</w:t>
            </w:r>
            <w:r w:rsidR="004F017B">
              <w:rPr>
                <w:rFonts w:ascii="Times New Roman" w:hAnsi="Times New Roman" w:cs="Times New Roman"/>
                <w:color w:val="auto"/>
              </w:rPr>
              <w:t xml:space="preserve">: </w:t>
            </w:r>
            <w:r w:rsidR="00B07430">
              <w:rPr>
                <w:rFonts w:ascii="Times New Roman" w:hAnsi="Times New Roman" w:cs="Times New Roman"/>
                <w:color w:val="auto"/>
              </w:rPr>
              <w:t>20% reporting</w:t>
            </w:r>
          </w:p>
          <w:p w14:paraId="5AB180C3" w14:textId="7D03CBA1" w:rsidR="00B07430" w:rsidRPr="00B07430" w:rsidRDefault="00B07430" w:rsidP="00710C23">
            <w:pPr>
              <w:pStyle w:val="Default"/>
              <w:numPr>
                <w:ilvl w:val="0"/>
                <w:numId w:val="6"/>
              </w:numPr>
              <w:ind w:left="166" w:hanging="166"/>
              <w:rPr>
                <w:rFonts w:ascii="Times New Roman" w:hAnsi="Times New Roman" w:cs="Times New Roman"/>
                <w:color w:val="auto"/>
              </w:rPr>
            </w:pPr>
            <w:r w:rsidRPr="00362517">
              <w:rPr>
                <w:rFonts w:ascii="Times New Roman" w:hAnsi="Times New Roman" w:cs="Times New Roman"/>
                <w:color w:val="auto"/>
              </w:rPr>
              <w:t>$</w:t>
            </w:r>
            <w:r>
              <w:rPr>
                <w:rFonts w:ascii="Times New Roman" w:hAnsi="Times New Roman" w:cs="Times New Roman"/>
                <w:color w:val="auto"/>
              </w:rPr>
              <w:t>26.3</w:t>
            </w:r>
            <w:r w:rsidRPr="00362517">
              <w:rPr>
                <w:rFonts w:ascii="Times New Roman" w:hAnsi="Times New Roman" w:cs="Times New Roman"/>
                <w:color w:val="auto"/>
              </w:rPr>
              <w:t xml:space="preserve"> – </w:t>
            </w:r>
            <w:r>
              <w:rPr>
                <w:rFonts w:ascii="Times New Roman" w:hAnsi="Times New Roman" w:cs="Times New Roman"/>
                <w:color w:val="auto"/>
              </w:rPr>
              <w:t>48.7</w:t>
            </w:r>
            <w:r w:rsidRPr="00362517">
              <w:rPr>
                <w:rFonts w:ascii="Times New Roman" w:hAnsi="Times New Roman" w:cs="Times New Roman"/>
                <w:color w:val="auto"/>
              </w:rPr>
              <w:t xml:space="preserve"> million per year after adjustment for underreporting of pesticide incidents</w:t>
            </w:r>
            <w:r w:rsidR="004F017B">
              <w:rPr>
                <w:rFonts w:ascii="Times New Roman" w:hAnsi="Times New Roman" w:cs="Times New Roman"/>
                <w:color w:val="auto"/>
              </w:rPr>
              <w:t>:</w:t>
            </w:r>
            <w:r>
              <w:rPr>
                <w:rFonts w:ascii="Times New Roman" w:hAnsi="Times New Roman" w:cs="Times New Roman"/>
                <w:color w:val="auto"/>
              </w:rPr>
              <w:t xml:space="preserve"> 50% reporting</w:t>
            </w:r>
          </w:p>
        </w:tc>
        <w:tc>
          <w:tcPr>
            <w:tcW w:w="2335" w:type="dxa"/>
            <w:tcBorders>
              <w:top w:val="single" w:sz="12" w:space="0" w:color="auto"/>
              <w:bottom w:val="single" w:sz="4" w:space="0" w:color="auto"/>
            </w:tcBorders>
          </w:tcPr>
          <w:p w14:paraId="5AB180C4" w14:textId="33D4EA76" w:rsidR="00A9717B" w:rsidRPr="00362517" w:rsidRDefault="00A9717B" w:rsidP="00710C23">
            <w:pPr>
              <w:pStyle w:val="Default"/>
              <w:numPr>
                <w:ilvl w:val="0"/>
                <w:numId w:val="5"/>
              </w:numPr>
              <w:ind w:left="166" w:right="-209" w:hanging="166"/>
              <w:rPr>
                <w:rFonts w:ascii="Times New Roman" w:hAnsi="Times New Roman" w:cs="Times New Roman"/>
                <w:color w:val="auto"/>
              </w:rPr>
            </w:pPr>
            <w:r w:rsidRPr="00362517">
              <w:rPr>
                <w:rFonts w:ascii="Times New Roman" w:hAnsi="Times New Roman" w:cs="Times New Roman"/>
                <w:color w:val="auto"/>
              </w:rPr>
              <w:t>Cost of illness and reduced productivity</w:t>
            </w:r>
          </w:p>
          <w:p w14:paraId="0768D05E" w14:textId="14A4EB1E" w:rsidR="00B07430" w:rsidRDefault="00A9717B" w:rsidP="00710C23">
            <w:pPr>
              <w:pStyle w:val="Default"/>
              <w:numPr>
                <w:ilvl w:val="0"/>
                <w:numId w:val="5"/>
              </w:numPr>
              <w:ind w:left="166" w:hanging="166"/>
              <w:rPr>
                <w:rFonts w:ascii="Times New Roman" w:hAnsi="Times New Roman" w:cs="Times New Roman"/>
                <w:color w:val="auto"/>
              </w:rPr>
            </w:pPr>
            <w:r w:rsidRPr="00362517">
              <w:rPr>
                <w:rFonts w:ascii="Times New Roman" w:hAnsi="Times New Roman" w:cs="Times New Roman"/>
                <w:color w:val="auto"/>
              </w:rPr>
              <w:t>Accounts for underreporting</w:t>
            </w:r>
          </w:p>
          <w:p w14:paraId="15DCA143" w14:textId="25AB7458" w:rsidR="00794207" w:rsidRDefault="00794207" w:rsidP="00794207">
            <w:pPr>
              <w:pStyle w:val="Default"/>
              <w:ind w:left="360"/>
              <w:rPr>
                <w:rFonts w:ascii="Times New Roman" w:hAnsi="Times New Roman" w:cs="Times New Roman"/>
                <w:color w:val="auto"/>
              </w:rPr>
            </w:pPr>
          </w:p>
          <w:p w14:paraId="3D9B0CD7" w14:textId="77777777" w:rsidR="00A530C7" w:rsidRDefault="00A530C7" w:rsidP="00794207">
            <w:pPr>
              <w:pStyle w:val="Default"/>
              <w:ind w:left="360"/>
              <w:rPr>
                <w:rFonts w:ascii="Times New Roman" w:hAnsi="Times New Roman" w:cs="Times New Roman"/>
                <w:color w:val="auto"/>
              </w:rPr>
            </w:pPr>
          </w:p>
          <w:p w14:paraId="5AB180C5" w14:textId="1553E876" w:rsidR="00E91FA9" w:rsidRPr="00362517" w:rsidRDefault="00B07430" w:rsidP="00710C23">
            <w:pPr>
              <w:pStyle w:val="Default"/>
              <w:numPr>
                <w:ilvl w:val="0"/>
                <w:numId w:val="5"/>
              </w:numPr>
              <w:ind w:left="166" w:hanging="166"/>
              <w:rPr>
                <w:rFonts w:ascii="Times New Roman" w:hAnsi="Times New Roman" w:cs="Times New Roman"/>
                <w:color w:val="auto"/>
              </w:rPr>
            </w:pPr>
            <w:r w:rsidRPr="00362517">
              <w:rPr>
                <w:rFonts w:ascii="Times New Roman" w:hAnsi="Times New Roman" w:cs="Times New Roman"/>
                <w:color w:val="auto"/>
              </w:rPr>
              <w:t>Accounts for underreporting</w:t>
            </w:r>
          </w:p>
        </w:tc>
      </w:tr>
      <w:tr w:rsidR="0093283A" w:rsidRPr="00362517" w14:paraId="5AB180CA" w14:textId="77777777" w:rsidTr="00EE521D">
        <w:tc>
          <w:tcPr>
            <w:tcW w:w="3127" w:type="dxa"/>
            <w:tcBorders>
              <w:top w:val="single" w:sz="4" w:space="0" w:color="auto"/>
              <w:bottom w:val="single" w:sz="4" w:space="0" w:color="auto"/>
            </w:tcBorders>
            <w:vAlign w:val="center"/>
          </w:tcPr>
          <w:p w14:paraId="5AB180C7" w14:textId="77777777" w:rsidR="0093283A" w:rsidRPr="00362517" w:rsidRDefault="0093283A" w:rsidP="00BF6BC7">
            <w:pPr>
              <w:keepNext/>
              <w:rPr>
                <w:rFonts w:eastAsiaTheme="minorHAnsi"/>
              </w:rPr>
            </w:pPr>
            <w:r w:rsidRPr="00362517">
              <w:rPr>
                <w:rFonts w:eastAsiaTheme="minorHAnsi"/>
              </w:rPr>
              <w:t>Qualitative Benefits</w:t>
            </w:r>
          </w:p>
        </w:tc>
        <w:tc>
          <w:tcPr>
            <w:tcW w:w="6115" w:type="dxa"/>
            <w:gridSpan w:val="2"/>
            <w:tcBorders>
              <w:top w:val="single" w:sz="4" w:space="0" w:color="auto"/>
              <w:bottom w:val="single" w:sz="4" w:space="0" w:color="auto"/>
            </w:tcBorders>
            <w:vAlign w:val="center"/>
          </w:tcPr>
          <w:p w14:paraId="5AB180C8" w14:textId="77777777" w:rsidR="0093283A" w:rsidRPr="00362517" w:rsidRDefault="0093283A" w:rsidP="00710C23">
            <w:pPr>
              <w:pStyle w:val="ListParagraph"/>
              <w:keepNext/>
              <w:numPr>
                <w:ilvl w:val="0"/>
                <w:numId w:val="7"/>
              </w:numPr>
              <w:ind w:left="166" w:hanging="166"/>
            </w:pPr>
            <w:r w:rsidRPr="00362517">
              <w:t>Willingness to pay to avoid acute effects of pesticide exposure beyond cost of treatment and loss of productivity</w:t>
            </w:r>
          </w:p>
          <w:p w14:paraId="71FB7210" w14:textId="77777777" w:rsidR="0093283A" w:rsidRDefault="0093283A" w:rsidP="00710C23">
            <w:pPr>
              <w:pStyle w:val="ListParagraph"/>
              <w:keepNext/>
              <w:numPr>
                <w:ilvl w:val="0"/>
                <w:numId w:val="7"/>
              </w:numPr>
              <w:ind w:left="166" w:hanging="166"/>
            </w:pPr>
            <w:r w:rsidRPr="00362517">
              <w:t>Reduced latent effect of avoided acute pesticide exposure</w:t>
            </w:r>
          </w:p>
          <w:p w14:paraId="5AB180C9" w14:textId="12C84200" w:rsidR="00B07430" w:rsidRPr="00362517" w:rsidRDefault="00B07430" w:rsidP="00710C23">
            <w:pPr>
              <w:pStyle w:val="ListParagraph"/>
              <w:keepNext/>
              <w:numPr>
                <w:ilvl w:val="0"/>
                <w:numId w:val="7"/>
              </w:numPr>
              <w:ind w:left="166" w:hanging="166"/>
            </w:pPr>
            <w:r>
              <w:t>Reduced harm to wildlife and non-target crops</w:t>
            </w:r>
          </w:p>
        </w:tc>
      </w:tr>
    </w:tbl>
    <w:p w14:paraId="5AB180CB" w14:textId="77777777" w:rsidR="00DB1BBD" w:rsidRPr="00362517" w:rsidRDefault="00DB1BBD" w:rsidP="00BF6BC7">
      <w:pPr>
        <w:tabs>
          <w:tab w:val="left" w:pos="540"/>
          <w:tab w:val="left" w:pos="1080"/>
          <w:tab w:val="left" w:pos="1620"/>
          <w:tab w:val="left" w:pos="2160"/>
        </w:tabs>
        <w:rPr>
          <w:bCs/>
        </w:rPr>
      </w:pPr>
    </w:p>
    <w:p w14:paraId="5AB180CC" w14:textId="63B511D0" w:rsidR="00827898" w:rsidRPr="00362517" w:rsidRDefault="00D53E6C" w:rsidP="00BF6BC7">
      <w:pPr>
        <w:tabs>
          <w:tab w:val="left" w:pos="540"/>
          <w:tab w:val="left" w:pos="1080"/>
          <w:tab w:val="left" w:pos="1620"/>
          <w:tab w:val="left" w:pos="2160"/>
        </w:tabs>
      </w:pPr>
      <w:r w:rsidRPr="00362517">
        <w:rPr>
          <w:bCs/>
        </w:rPr>
        <w:t>M</w:t>
      </w:r>
      <w:r w:rsidR="00262E11" w:rsidRPr="00362517">
        <w:rPr>
          <w:bCs/>
        </w:rPr>
        <w:t xml:space="preserve">isapplication and misuse of RUPs have resulted in a range of damages to human health, up to and including death.  The </w:t>
      </w:r>
      <w:r w:rsidR="002E58DB" w:rsidRPr="00362517">
        <w:rPr>
          <w:bCs/>
        </w:rPr>
        <w:t>final</w:t>
      </w:r>
      <w:r w:rsidR="00262E11" w:rsidRPr="00362517">
        <w:rPr>
          <w:bCs/>
        </w:rPr>
        <w:t xml:space="preserve"> changes to the rule would result in an estimated reduction of </w:t>
      </w:r>
      <w:r w:rsidR="00B93EF8" w:rsidRPr="00362517">
        <w:rPr>
          <w:bCs/>
        </w:rPr>
        <w:t>15</w:t>
      </w:r>
      <w:r w:rsidR="00470060" w:rsidRPr="00362517">
        <w:rPr>
          <w:bCs/>
        </w:rPr>
        <w:t>7</w:t>
      </w:r>
      <w:r w:rsidR="00B93EF8" w:rsidRPr="00362517">
        <w:rPr>
          <w:bCs/>
        </w:rPr>
        <w:t xml:space="preserve"> to 198 acute poisonings per year</w:t>
      </w:r>
      <w:r w:rsidR="00635789" w:rsidRPr="00362517">
        <w:rPr>
          <w:bCs/>
        </w:rPr>
        <w:t>.  Underreporting would affect this estimate.  If only 20% of incidents were reported the estimated reduction in incidents would</w:t>
      </w:r>
      <w:r w:rsidR="00FF05E4">
        <w:rPr>
          <w:bCs/>
        </w:rPr>
        <w:t xml:space="preserve"> range</w:t>
      </w:r>
      <w:r w:rsidR="00635789" w:rsidRPr="00362517">
        <w:rPr>
          <w:bCs/>
        </w:rPr>
        <w:t xml:space="preserve"> from</w:t>
      </w:r>
      <w:r w:rsidR="00FC7247">
        <w:rPr>
          <w:bCs/>
        </w:rPr>
        <w:t xml:space="preserve"> </w:t>
      </w:r>
      <w:r w:rsidR="00B93EF8" w:rsidRPr="00362517">
        <w:rPr>
          <w:bCs/>
        </w:rPr>
        <w:t>78</w:t>
      </w:r>
      <w:r w:rsidR="00470060" w:rsidRPr="00362517">
        <w:rPr>
          <w:bCs/>
        </w:rPr>
        <w:t>3</w:t>
      </w:r>
      <w:r w:rsidR="00B93EF8" w:rsidRPr="00362517">
        <w:rPr>
          <w:bCs/>
        </w:rPr>
        <w:t xml:space="preserve"> </w:t>
      </w:r>
      <w:r w:rsidR="00262E11" w:rsidRPr="00362517">
        <w:rPr>
          <w:bCs/>
        </w:rPr>
        <w:t xml:space="preserve">to </w:t>
      </w:r>
      <w:r w:rsidR="00C83F77" w:rsidRPr="00362517">
        <w:rPr>
          <w:bCs/>
        </w:rPr>
        <w:t>99</w:t>
      </w:r>
      <w:r w:rsidR="00C83F77">
        <w:rPr>
          <w:bCs/>
        </w:rPr>
        <w:t>0</w:t>
      </w:r>
      <w:r w:rsidR="00B07430">
        <w:rPr>
          <w:bCs/>
        </w:rPr>
        <w:t>; if 50% were reported, the estimated reduction in incidents would range from 313 to 396</w:t>
      </w:r>
      <w:r w:rsidR="00B93EF8" w:rsidRPr="00362517">
        <w:rPr>
          <w:bCs/>
        </w:rPr>
        <w:t xml:space="preserve">.  </w:t>
      </w:r>
      <w:r w:rsidR="00827898" w:rsidRPr="00362517">
        <w:rPr>
          <w:bCs/>
        </w:rPr>
        <w:t xml:space="preserve">  </w:t>
      </w:r>
    </w:p>
    <w:p w14:paraId="5AB180CD" w14:textId="77777777" w:rsidR="00E16B5E" w:rsidRPr="00362517" w:rsidRDefault="00827898" w:rsidP="00BF6BC7">
      <w:pPr>
        <w:tabs>
          <w:tab w:val="left" w:pos="540"/>
          <w:tab w:val="left" w:pos="1080"/>
          <w:tab w:val="left" w:pos="1620"/>
          <w:tab w:val="left" w:pos="2160"/>
        </w:tabs>
        <w:rPr>
          <w:bCs/>
        </w:rPr>
      </w:pPr>
      <w:r w:rsidRPr="00362517">
        <w:rPr>
          <w:bCs/>
        </w:rPr>
        <w:t xml:space="preserve"> </w:t>
      </w:r>
    </w:p>
    <w:p w14:paraId="5AB180CE" w14:textId="77777777" w:rsidR="00DB1BBD" w:rsidRPr="00362517" w:rsidRDefault="00DB1BBD" w:rsidP="00BF6BC7">
      <w:pPr>
        <w:tabs>
          <w:tab w:val="left" w:pos="540"/>
          <w:tab w:val="left" w:pos="1080"/>
          <w:tab w:val="left" w:pos="1620"/>
          <w:tab w:val="left" w:pos="2160"/>
        </w:tabs>
      </w:pPr>
    </w:p>
    <w:p w14:paraId="5AB180CF" w14:textId="347936E6" w:rsidR="00DB1BBD" w:rsidRPr="00362517" w:rsidRDefault="005201B8" w:rsidP="00BF6BC7">
      <w:pPr>
        <w:keepNext/>
        <w:tabs>
          <w:tab w:val="left" w:pos="540"/>
          <w:tab w:val="left" w:pos="1080"/>
          <w:tab w:val="left" w:pos="1620"/>
          <w:tab w:val="left" w:pos="2160"/>
        </w:tabs>
        <w:rPr>
          <w:u w:val="single"/>
        </w:rPr>
      </w:pPr>
      <w:r>
        <w:rPr>
          <w:u w:val="single"/>
        </w:rPr>
        <w:t xml:space="preserve">Unquantified </w:t>
      </w:r>
      <w:r w:rsidR="00DB1BBD" w:rsidRPr="00362517">
        <w:rPr>
          <w:u w:val="single"/>
        </w:rPr>
        <w:t xml:space="preserve">Benefits </w:t>
      </w:r>
    </w:p>
    <w:p w14:paraId="5AB180D0" w14:textId="77777777" w:rsidR="00DB1BBD" w:rsidRPr="00362517" w:rsidRDefault="00DB1BBD" w:rsidP="00BF6BC7">
      <w:pPr>
        <w:keepNext/>
        <w:tabs>
          <w:tab w:val="left" w:pos="540"/>
          <w:tab w:val="left" w:pos="1080"/>
          <w:tab w:val="left" w:pos="1620"/>
          <w:tab w:val="left" w:pos="2160"/>
        </w:tabs>
      </w:pPr>
    </w:p>
    <w:p w14:paraId="5AB180D1" w14:textId="30B37BC7" w:rsidR="00DB1BBD" w:rsidRPr="00362517" w:rsidRDefault="005201B8" w:rsidP="00BF6BC7">
      <w:pPr>
        <w:keepNext/>
        <w:tabs>
          <w:tab w:val="left" w:pos="540"/>
          <w:tab w:val="left" w:pos="1080"/>
          <w:tab w:val="left" w:pos="1620"/>
          <w:tab w:val="left" w:pos="2160"/>
        </w:tabs>
      </w:pPr>
      <w:r w:rsidRPr="00362517">
        <w:rPr>
          <w:bCs/>
        </w:rPr>
        <w:t>In addition</w:t>
      </w:r>
      <w:r>
        <w:rPr>
          <w:bCs/>
        </w:rPr>
        <w:t xml:space="preserve"> to the quantified benefits from reduced acute exposure</w:t>
      </w:r>
      <w:r w:rsidRPr="00362517">
        <w:rPr>
          <w:bCs/>
        </w:rPr>
        <w:t>, we expect there would be benefits for which quantifiable benefits cannot be estimated.  These benefits would include reduced chronic illness to applicators from repeated RUP exposure and benefits to the public from better protections from RUP exposure when occupying treated buildings or outdoor spaces, consuming treated food products, and when near areas where RUPs have been applied.  The environment would also be better protected from misapplication, which will reduce the impact on water and non-target plants and animals.</w:t>
      </w:r>
      <w:r>
        <w:rPr>
          <w:bCs/>
        </w:rPr>
        <w:t xml:space="preserve">  </w:t>
      </w:r>
      <w:r w:rsidR="00DB1BBD" w:rsidRPr="00362517">
        <w:t xml:space="preserve">There are a range of health effects associated with chronic, generalized pesticide exposure, and benefits would accrue to agricultural workers from reduced chronic health effects. Although there have been relatively few proven cause and effect associations between real world pesticide exposure and long-term health effects in human </w:t>
      </w:r>
      <w:r w:rsidR="00DB1BBD" w:rsidRPr="00362517">
        <w:lastRenderedPageBreak/>
        <w:t xml:space="preserve">populations, </w:t>
      </w:r>
      <w:r>
        <w:t xml:space="preserve">there are </w:t>
      </w:r>
      <w:r w:rsidR="00DB1BBD" w:rsidRPr="00362517">
        <w:t xml:space="preserve">many </w:t>
      </w:r>
      <w:r>
        <w:t xml:space="preserve">well-documented </w:t>
      </w:r>
      <w:r w:rsidR="00E16B67" w:rsidRPr="00362517">
        <w:t xml:space="preserve">associations between </w:t>
      </w:r>
      <w:r w:rsidR="00B22D44" w:rsidRPr="00362517">
        <w:t xml:space="preserve">pesticide </w:t>
      </w:r>
      <w:r w:rsidR="00DB1BBD" w:rsidRPr="00362517">
        <w:t>exposure</w:t>
      </w:r>
      <w:r w:rsidR="00E16B67" w:rsidRPr="00362517">
        <w:t xml:space="preserve"> and </w:t>
      </w:r>
      <w:r w:rsidR="00DB1BBD" w:rsidRPr="00362517">
        <w:t xml:space="preserve">chronic disease </w:t>
      </w:r>
      <w:r w:rsidR="00E16B67" w:rsidRPr="00362517">
        <w:t>reported</w:t>
      </w:r>
      <w:r w:rsidR="00DB1BBD" w:rsidRPr="00362517">
        <w:t xml:space="preserve"> in observational studies and </w:t>
      </w:r>
      <w:r w:rsidR="00E16B67" w:rsidRPr="00362517">
        <w:t xml:space="preserve">the scientific peer reviewed </w:t>
      </w:r>
      <w:r w:rsidR="00DB1BBD" w:rsidRPr="00362517">
        <w:t xml:space="preserve">literature. </w:t>
      </w:r>
      <w:r w:rsidRPr="005201B8">
        <w:t>The health effects potentially caused by occupational pesticide exposure can have dramatic effects on the health and welfare of those who suffer these diseases. These illnesses do not only affect those who become ill, but they also may require extensive caregiving by family members or others</w:t>
      </w:r>
      <w:r>
        <w:t xml:space="preserve">.  </w:t>
      </w:r>
      <w:r w:rsidRPr="005201B8">
        <w:t>Because of the uncertainties in the number of chronic illnesses that may be caused by, and therefore prevented by reduced pesticide exposure, it is impossible to derive quantified estimates of pesticide-specific benefits from illness reduction.</w:t>
      </w:r>
      <w:r>
        <w:t xml:space="preserve">  </w:t>
      </w:r>
      <w:r w:rsidR="00DB1BBD" w:rsidRPr="00362517">
        <w:t xml:space="preserve">Therefore, </w:t>
      </w:r>
      <w:r w:rsidR="003F6914" w:rsidRPr="00362517">
        <w:t xml:space="preserve">reductions in </w:t>
      </w:r>
      <w:r w:rsidR="00E16B67" w:rsidRPr="00362517">
        <w:t xml:space="preserve">RUP </w:t>
      </w:r>
      <w:r w:rsidR="00DB1BBD" w:rsidRPr="00362517">
        <w:t>exposure through</w:t>
      </w:r>
      <w:r w:rsidR="00E16B67" w:rsidRPr="00362517">
        <w:t xml:space="preserve"> changes to the certification </w:t>
      </w:r>
      <w:r w:rsidR="003F6914" w:rsidRPr="00362517">
        <w:t xml:space="preserve">rule </w:t>
      </w:r>
      <w:r w:rsidR="00DB1BBD" w:rsidRPr="00362517">
        <w:t xml:space="preserve">may have substantial benefits that cannot be quantified at this time. </w:t>
      </w:r>
    </w:p>
    <w:p w14:paraId="5AB180D2" w14:textId="77777777" w:rsidR="00E16B67" w:rsidRPr="00362517" w:rsidRDefault="00E16B67" w:rsidP="00BF6BC7">
      <w:pPr>
        <w:tabs>
          <w:tab w:val="left" w:pos="540"/>
          <w:tab w:val="left" w:pos="1080"/>
          <w:tab w:val="left" w:pos="1620"/>
          <w:tab w:val="left" w:pos="2160"/>
        </w:tabs>
      </w:pPr>
    </w:p>
    <w:p w14:paraId="5AB180D3" w14:textId="538CF0BF" w:rsidR="00DA2DE6" w:rsidRPr="00362517" w:rsidRDefault="00DA2DE6" w:rsidP="00BF6BC7">
      <w:pPr>
        <w:tabs>
          <w:tab w:val="left" w:pos="540"/>
          <w:tab w:val="left" w:pos="1080"/>
          <w:tab w:val="left" w:pos="1620"/>
          <w:tab w:val="left" w:pos="2160"/>
        </w:tabs>
      </w:pPr>
      <w:r w:rsidRPr="00362517">
        <w:t xml:space="preserve">Overall, the weight of evidence suggests that the </w:t>
      </w:r>
      <w:r w:rsidR="002E58DB" w:rsidRPr="00362517">
        <w:t>final</w:t>
      </w:r>
      <w:r w:rsidRPr="00362517">
        <w:t xml:space="preserve"> requirements would result in long term health benefits to certified applicators, the noncertified applicators they supervise, and their families.  These benefits arise from reducing their daily risk of pesticide exposures but also reduced risk of chronic illness, resulting in a lower cost of healthcare, a healthier society and better quality of life.</w:t>
      </w:r>
    </w:p>
    <w:p w14:paraId="5AB180D4" w14:textId="77777777" w:rsidR="008F7750" w:rsidRPr="00362517" w:rsidRDefault="008F7750" w:rsidP="00BF6BC7">
      <w:pPr>
        <w:tabs>
          <w:tab w:val="left" w:pos="540"/>
          <w:tab w:val="left" w:pos="1080"/>
          <w:tab w:val="left" w:pos="1620"/>
          <w:tab w:val="left" w:pos="2160"/>
        </w:tabs>
      </w:pPr>
    </w:p>
    <w:tbl>
      <w:tblPr>
        <w:tblStyle w:val="TableGrid"/>
        <w:tblW w:w="0" w:type="auto"/>
        <w:tblLook w:val="04A0" w:firstRow="1" w:lastRow="0" w:firstColumn="1" w:lastColumn="0" w:noHBand="0" w:noVBand="1"/>
      </w:tblPr>
      <w:tblGrid>
        <w:gridCol w:w="3235"/>
        <w:gridCol w:w="3780"/>
        <w:gridCol w:w="2335"/>
      </w:tblGrid>
      <w:tr w:rsidR="00362517" w:rsidRPr="00362517" w14:paraId="5AB180D6" w14:textId="77777777" w:rsidTr="00AD3069">
        <w:tc>
          <w:tcPr>
            <w:tcW w:w="9350" w:type="dxa"/>
            <w:gridSpan w:val="3"/>
            <w:tcBorders>
              <w:top w:val="nil"/>
              <w:left w:val="nil"/>
              <w:right w:val="nil"/>
            </w:tcBorders>
            <w:vAlign w:val="bottom"/>
          </w:tcPr>
          <w:p w14:paraId="5AB180D5" w14:textId="77777777" w:rsidR="00B22D44" w:rsidRPr="00362517" w:rsidRDefault="00B22D44" w:rsidP="00BF6BC7">
            <w:pPr>
              <w:keepNext/>
              <w:rPr>
                <w:b/>
              </w:rPr>
            </w:pPr>
            <w:r w:rsidRPr="00362517">
              <w:rPr>
                <w:b/>
              </w:rPr>
              <w:t xml:space="preserve">Table 3.  Chronic Benefits from Final Revisions to the Requirements for Certification of Pesticide Applicators </w:t>
            </w:r>
          </w:p>
        </w:tc>
      </w:tr>
      <w:tr w:rsidR="00362517" w:rsidRPr="00362517" w14:paraId="5AB180DA" w14:textId="77777777" w:rsidTr="00AD3069">
        <w:tc>
          <w:tcPr>
            <w:tcW w:w="3235" w:type="dxa"/>
            <w:tcBorders>
              <w:bottom w:val="single" w:sz="12" w:space="0" w:color="auto"/>
            </w:tcBorders>
          </w:tcPr>
          <w:p w14:paraId="5AB180D7" w14:textId="77777777" w:rsidR="00B22D44" w:rsidRPr="00362517" w:rsidRDefault="00C66071" w:rsidP="00BF6BC7">
            <w:pPr>
              <w:keepNext/>
              <w:jc w:val="center"/>
              <w:rPr>
                <w:i/>
              </w:rPr>
            </w:pPr>
            <w:r w:rsidRPr="00362517">
              <w:rPr>
                <w:i/>
              </w:rPr>
              <w:t>Category</w:t>
            </w:r>
          </w:p>
        </w:tc>
        <w:tc>
          <w:tcPr>
            <w:tcW w:w="3780" w:type="dxa"/>
            <w:tcBorders>
              <w:bottom w:val="single" w:sz="12" w:space="0" w:color="auto"/>
            </w:tcBorders>
          </w:tcPr>
          <w:p w14:paraId="5AB180D8" w14:textId="77777777" w:rsidR="00B22D44" w:rsidRPr="00362517" w:rsidRDefault="00B22D44" w:rsidP="00BF6BC7">
            <w:pPr>
              <w:keepNext/>
              <w:jc w:val="center"/>
              <w:rPr>
                <w:i/>
              </w:rPr>
            </w:pPr>
            <w:r w:rsidRPr="00362517">
              <w:rPr>
                <w:i/>
              </w:rPr>
              <w:t>Description</w:t>
            </w:r>
          </w:p>
        </w:tc>
        <w:tc>
          <w:tcPr>
            <w:tcW w:w="2335" w:type="dxa"/>
            <w:tcBorders>
              <w:bottom w:val="single" w:sz="12" w:space="0" w:color="auto"/>
            </w:tcBorders>
            <w:vAlign w:val="center"/>
          </w:tcPr>
          <w:p w14:paraId="5AB180D9" w14:textId="77777777" w:rsidR="00B22D44" w:rsidRPr="00362517" w:rsidRDefault="00B22D44" w:rsidP="00BF6BC7">
            <w:pPr>
              <w:keepNext/>
              <w:jc w:val="center"/>
              <w:rPr>
                <w:i/>
              </w:rPr>
            </w:pPr>
            <w:r w:rsidRPr="00362517">
              <w:rPr>
                <w:i/>
              </w:rPr>
              <w:t>Comment</w:t>
            </w:r>
          </w:p>
        </w:tc>
      </w:tr>
      <w:tr w:rsidR="00B22D44" w:rsidRPr="00362517" w14:paraId="5AB180E4" w14:textId="77777777" w:rsidTr="00AD3069">
        <w:tc>
          <w:tcPr>
            <w:tcW w:w="3235" w:type="dxa"/>
            <w:tcBorders>
              <w:top w:val="single" w:sz="12" w:space="0" w:color="auto"/>
            </w:tcBorders>
            <w:vAlign w:val="center"/>
          </w:tcPr>
          <w:p w14:paraId="5AB180DB" w14:textId="77777777" w:rsidR="00B22D44" w:rsidRPr="00362517" w:rsidRDefault="00B22D44" w:rsidP="00BF6BC7">
            <w:pPr>
              <w:keepNext/>
            </w:pPr>
            <w:r w:rsidRPr="00362517">
              <w:t>Qualitative benefits from reduced effects of chronic pesticide exposure to certified applicators, noncertified applicators working under the supervision of certified applicators, and their families</w:t>
            </w:r>
          </w:p>
        </w:tc>
        <w:tc>
          <w:tcPr>
            <w:tcW w:w="3780" w:type="dxa"/>
            <w:tcBorders>
              <w:top w:val="single" w:sz="12" w:space="0" w:color="auto"/>
            </w:tcBorders>
            <w:vAlign w:val="center"/>
          </w:tcPr>
          <w:p w14:paraId="5AB180DC" w14:textId="77777777" w:rsidR="00C66071" w:rsidRPr="00362517" w:rsidRDefault="00C66071" w:rsidP="00BF6BC7">
            <w:pPr>
              <w:keepNext/>
            </w:pPr>
            <w:r w:rsidRPr="00362517">
              <w:t>A range of illnesses are associated with chronic pesticide exposure, including</w:t>
            </w:r>
          </w:p>
          <w:p w14:paraId="5AB180DD" w14:textId="77777777" w:rsidR="00C66071" w:rsidRPr="00362517" w:rsidRDefault="00C66071" w:rsidP="00BF6BC7">
            <w:pPr>
              <w:pStyle w:val="ListParagraph"/>
              <w:keepNext/>
              <w:numPr>
                <w:ilvl w:val="0"/>
                <w:numId w:val="4"/>
              </w:numPr>
            </w:pPr>
            <w:r w:rsidRPr="00362517">
              <w:t>Non-Hodgkins lymphoma</w:t>
            </w:r>
          </w:p>
          <w:p w14:paraId="5AB180DE" w14:textId="77777777" w:rsidR="00C66071" w:rsidRPr="00362517" w:rsidRDefault="00C66071" w:rsidP="00BF6BC7">
            <w:pPr>
              <w:pStyle w:val="ListParagraph"/>
              <w:keepNext/>
              <w:numPr>
                <w:ilvl w:val="0"/>
                <w:numId w:val="4"/>
              </w:numPr>
            </w:pPr>
            <w:r w:rsidRPr="00362517">
              <w:t>Prostate Cancer</w:t>
            </w:r>
          </w:p>
          <w:p w14:paraId="5AB180DF" w14:textId="77777777" w:rsidR="00C66071" w:rsidRPr="00362517" w:rsidRDefault="00C66071" w:rsidP="00BF6BC7">
            <w:pPr>
              <w:pStyle w:val="ListParagraph"/>
              <w:keepNext/>
              <w:numPr>
                <w:ilvl w:val="0"/>
                <w:numId w:val="4"/>
              </w:numPr>
            </w:pPr>
            <w:r w:rsidRPr="00362517">
              <w:t>Parkinson’s Disease</w:t>
            </w:r>
          </w:p>
          <w:p w14:paraId="5AB180E0" w14:textId="77777777" w:rsidR="00C66071" w:rsidRPr="00362517" w:rsidRDefault="00C66071" w:rsidP="00BF6BC7">
            <w:pPr>
              <w:pStyle w:val="ListParagraph"/>
              <w:keepNext/>
              <w:numPr>
                <w:ilvl w:val="0"/>
                <w:numId w:val="4"/>
              </w:numPr>
            </w:pPr>
            <w:r w:rsidRPr="00362517">
              <w:t>Lung Cancer</w:t>
            </w:r>
          </w:p>
          <w:p w14:paraId="5AB180E1" w14:textId="77777777" w:rsidR="00C66071" w:rsidRPr="00362517" w:rsidRDefault="00C66071" w:rsidP="00BF6BC7">
            <w:pPr>
              <w:pStyle w:val="ListParagraph"/>
              <w:keepNext/>
              <w:numPr>
                <w:ilvl w:val="0"/>
                <w:numId w:val="4"/>
              </w:numPr>
            </w:pPr>
            <w:r w:rsidRPr="00362517">
              <w:t>Chronic Bronchitis</w:t>
            </w:r>
          </w:p>
          <w:p w14:paraId="5AB180E2" w14:textId="77777777" w:rsidR="00B22D44" w:rsidRPr="00362517" w:rsidRDefault="00C66071" w:rsidP="00BF6BC7">
            <w:pPr>
              <w:pStyle w:val="ListParagraph"/>
              <w:keepNext/>
              <w:numPr>
                <w:ilvl w:val="0"/>
                <w:numId w:val="4"/>
              </w:numPr>
            </w:pPr>
            <w:r w:rsidRPr="00362517">
              <w:t>Asthma</w:t>
            </w:r>
          </w:p>
        </w:tc>
        <w:tc>
          <w:tcPr>
            <w:tcW w:w="2335" w:type="dxa"/>
            <w:vAlign w:val="center"/>
          </w:tcPr>
          <w:p w14:paraId="5AB180E3" w14:textId="77777777" w:rsidR="00B22D44" w:rsidRPr="00362517" w:rsidRDefault="00C66071" w:rsidP="00BF6BC7">
            <w:pPr>
              <w:keepNext/>
            </w:pPr>
            <w:r w:rsidRPr="00362517">
              <w:t>Although the value of presenting instances of these diseases is not estimated</w:t>
            </w:r>
            <w:r w:rsidR="00CA4E89" w:rsidRPr="00362517">
              <w:t xml:space="preserve">, these are </w:t>
            </w:r>
            <w:r w:rsidR="00F13F52" w:rsidRPr="00362517">
              <w:t>very serious</w:t>
            </w:r>
            <w:r w:rsidR="00CA4E89" w:rsidRPr="00362517">
              <w:t xml:space="preserve"> illnesses</w:t>
            </w:r>
            <w:r w:rsidR="00F13F52" w:rsidRPr="00362517">
              <w:t>; prevention would have substantial value</w:t>
            </w:r>
            <w:r w:rsidR="00CA4E89" w:rsidRPr="00362517">
              <w:t>.</w:t>
            </w:r>
          </w:p>
        </w:tc>
      </w:tr>
    </w:tbl>
    <w:p w14:paraId="5AB180E5" w14:textId="77777777" w:rsidR="008F7750" w:rsidRPr="00362517" w:rsidRDefault="008F7750" w:rsidP="00BF6BC7">
      <w:pPr>
        <w:tabs>
          <w:tab w:val="left" w:pos="540"/>
          <w:tab w:val="left" w:pos="1080"/>
          <w:tab w:val="left" w:pos="1620"/>
          <w:tab w:val="left" w:pos="2160"/>
        </w:tabs>
      </w:pPr>
    </w:p>
    <w:p w14:paraId="5AB180E6" w14:textId="77777777" w:rsidR="009A4A45" w:rsidRPr="00362517" w:rsidRDefault="009A4A45" w:rsidP="00BF6BC7">
      <w:pPr>
        <w:tabs>
          <w:tab w:val="left" w:pos="540"/>
          <w:tab w:val="left" w:pos="1080"/>
          <w:tab w:val="left" w:pos="1620"/>
          <w:tab w:val="left" w:pos="2160"/>
        </w:tabs>
      </w:pPr>
    </w:p>
    <w:p w14:paraId="5AB180E7" w14:textId="77777777" w:rsidR="00880EA3" w:rsidRPr="00362517" w:rsidRDefault="00BD078B" w:rsidP="00BF6BC7">
      <w:pPr>
        <w:tabs>
          <w:tab w:val="left" w:pos="540"/>
          <w:tab w:val="left" w:pos="1080"/>
          <w:tab w:val="left" w:pos="1620"/>
          <w:tab w:val="left" w:pos="2160"/>
        </w:tabs>
        <w:rPr>
          <w:i/>
        </w:rPr>
      </w:pPr>
      <w:r w:rsidRPr="00362517">
        <w:rPr>
          <w:i/>
        </w:rPr>
        <w:t>Changes since the Proposal</w:t>
      </w:r>
    </w:p>
    <w:p w14:paraId="5AB180E8" w14:textId="77777777" w:rsidR="00AE72A1" w:rsidRPr="00362517" w:rsidRDefault="00AE72A1" w:rsidP="00BF6BC7">
      <w:pPr>
        <w:tabs>
          <w:tab w:val="left" w:pos="540"/>
          <w:tab w:val="left" w:pos="1080"/>
          <w:tab w:val="left" w:pos="1620"/>
          <w:tab w:val="left" w:pos="2160"/>
        </w:tabs>
        <w:rPr>
          <w:i/>
        </w:rPr>
      </w:pPr>
    </w:p>
    <w:p w14:paraId="5AB180E9" w14:textId="593627D5" w:rsidR="00AE72A1" w:rsidRPr="00362517" w:rsidRDefault="00DC1F26" w:rsidP="00BF6BC7">
      <w:r w:rsidRPr="00362517">
        <w:t>C</w:t>
      </w:r>
      <w:r w:rsidR="00880EA3" w:rsidRPr="00362517">
        <w:t xml:space="preserve">hanges in </w:t>
      </w:r>
      <w:r w:rsidRPr="00362517">
        <w:t xml:space="preserve">the requirements and the </w:t>
      </w:r>
      <w:r w:rsidR="00880EA3" w:rsidRPr="00362517">
        <w:t xml:space="preserve">analysis between the proposed and </w:t>
      </w:r>
      <w:r w:rsidR="00352E58" w:rsidRPr="00362517">
        <w:t>f</w:t>
      </w:r>
      <w:r w:rsidR="001A02C0" w:rsidRPr="00362517">
        <w:t>inal</w:t>
      </w:r>
      <w:r w:rsidRPr="00362517">
        <w:t xml:space="preserve"> rule</w:t>
      </w:r>
      <w:r w:rsidR="001A02C0" w:rsidRPr="00362517">
        <w:t xml:space="preserve"> resulted in changes to cost and benefit estimates.  </w:t>
      </w:r>
      <w:r w:rsidR="00880EA3" w:rsidRPr="00362517">
        <w:t xml:space="preserve">The cost analysis has been updated to reflect the current wage information and number of affected entities.  The public comments received on the proposed rule also resulted in the revision to the industry costs and costs to </w:t>
      </w:r>
      <w:r w:rsidR="000D3D7C" w:rsidRPr="00362517">
        <w:t>certifying authorities</w:t>
      </w:r>
      <w:r w:rsidR="00880EA3" w:rsidRPr="00362517">
        <w:t xml:space="preserve"> in complying with the final rule changes.</w:t>
      </w:r>
      <w:r w:rsidRPr="00362517">
        <w:t xml:space="preserve">  </w:t>
      </w:r>
      <w:r w:rsidR="00880EA3" w:rsidRPr="00362517">
        <w:t>The reduction in estimated costs to the industry come from two sources.  First, the estimated costs of age requirements decreased from $14 million to $7 million annually.  This reduction is largely attributed to lower estimates of the number of adolescent noncertified applicators affected by the rule</w:t>
      </w:r>
      <w:r w:rsidR="00A4125D" w:rsidRPr="00362517">
        <w:t>, primarily because of recent changes to the Worker Protection Standard which prohibit adolescents, other than immediate family members, from mixing, loading, and applying pesticides on a crop farm.  This greatly reduced the number of adolescents impacted by the final Certification rule.</w:t>
      </w:r>
      <w:r w:rsidR="00880EA3" w:rsidRPr="00362517">
        <w:t xml:space="preserve">  Another source of cost reduction is the revision to the proposed recertification standards, with the estimated costs decreasing to $6 million from $20 million annually for the proposed rule.  Also reflecting the </w:t>
      </w:r>
      <w:r w:rsidR="00880EA3" w:rsidRPr="00362517">
        <w:lastRenderedPageBreak/>
        <w:t xml:space="preserve">public comments received on the proposed rule, the estimated costs to </w:t>
      </w:r>
      <w:r w:rsidR="000D3D7C" w:rsidRPr="00362517">
        <w:t>certifying authorities</w:t>
      </w:r>
      <w:r w:rsidR="00880EA3" w:rsidRPr="00362517">
        <w:t xml:space="preserve"> increased significantly</w:t>
      </w:r>
      <w:r w:rsidR="00687239" w:rsidRPr="00362517">
        <w:t>.  T</w:t>
      </w:r>
      <w:r w:rsidR="00880EA3" w:rsidRPr="00362517">
        <w:t xml:space="preserve">he largest increase </w:t>
      </w:r>
      <w:r w:rsidR="00687239" w:rsidRPr="00362517">
        <w:t>is</w:t>
      </w:r>
      <w:r w:rsidR="00880EA3" w:rsidRPr="00362517">
        <w:t xml:space="preserve"> from the revision to the estimated costs of changing state laws and regulations in order to update certification plans to implement the final </w:t>
      </w:r>
      <w:r w:rsidR="00A46203" w:rsidRPr="00362517">
        <w:t>rule</w:t>
      </w:r>
      <w:r w:rsidR="00880EA3" w:rsidRPr="00362517">
        <w:t xml:space="preserve">.  </w:t>
      </w:r>
      <w:r w:rsidR="004C5263" w:rsidRPr="004C5263">
        <w:t xml:space="preserve">Many commenters, including the Small Business Administration Office of Advocacy, noted that EPA did not adequately consider travel costs associated with complying with the revised rule. </w:t>
      </w:r>
      <w:r w:rsidR="004C5263">
        <w:t xml:space="preserve"> </w:t>
      </w:r>
      <w:r w:rsidR="00880EA3" w:rsidRPr="00362517">
        <w:t>Revised travel costs to training and/or exam sites add significantly to the cost estimates of administering certification and recertification training and exams.  The add</w:t>
      </w:r>
      <w:r w:rsidR="00687239" w:rsidRPr="00362517">
        <w:t>ed</w:t>
      </w:r>
      <w:r w:rsidR="00880EA3" w:rsidRPr="00362517">
        <w:t xml:space="preserve"> costs of updating state tracking databases to implement the final rule changes also increased the state costs.  These changes resulted in the estimated total cost of the final rule to be $31.3 million, down from $47.3 million for the proposed rule.  </w:t>
      </w:r>
      <w:r w:rsidR="003C4331">
        <w:t xml:space="preserve">  </w:t>
      </w:r>
    </w:p>
    <w:p w14:paraId="5AB180EA" w14:textId="77777777" w:rsidR="00AE72A1" w:rsidRPr="00362517" w:rsidRDefault="00AE72A1" w:rsidP="00BF6BC7"/>
    <w:p w14:paraId="5AB180EB" w14:textId="38A34731" w:rsidR="00B32E7A" w:rsidRPr="00362517" w:rsidRDefault="00880EA3" w:rsidP="00BF6BC7">
      <w:r w:rsidRPr="00362517">
        <w:t xml:space="preserve">The analysis of acute benefits has been revised using more recent incident data, as well as additional information from pesticide incident surveillance programs.  </w:t>
      </w:r>
      <w:r w:rsidR="00C56508" w:rsidRPr="00362517">
        <w:t xml:space="preserve">The quantified estimate of benefits from reduced acute RUP exposure is </w:t>
      </w:r>
      <w:r w:rsidR="00C56508" w:rsidRPr="00362517">
        <w:rPr>
          <w:bCs/>
        </w:rPr>
        <w:t>between $13.2 and $</w:t>
      </w:r>
      <w:r w:rsidR="00C83F77" w:rsidRPr="00362517">
        <w:rPr>
          <w:bCs/>
        </w:rPr>
        <w:t>2</w:t>
      </w:r>
      <w:r w:rsidR="00C83F77">
        <w:rPr>
          <w:bCs/>
        </w:rPr>
        <w:t>4</w:t>
      </w:r>
      <w:r w:rsidR="00C56508" w:rsidRPr="00362517">
        <w:rPr>
          <w:bCs/>
        </w:rPr>
        <w:t xml:space="preserve">.3 million dollars through reduced acute illnesses from RUPs.  </w:t>
      </w:r>
      <w:r w:rsidR="00362517" w:rsidRPr="00362517">
        <w:rPr>
          <w:bCs/>
        </w:rPr>
        <w:t xml:space="preserve">Underreporting would affect this estimate.  </w:t>
      </w:r>
      <w:r w:rsidR="00B2607A">
        <w:rPr>
          <w:bCs/>
        </w:rPr>
        <w:t xml:space="preserve">The discussion of under-reporting in the analysis for the proposed rule used 20% reporting rate as a baseline for discussion of underreporting.  </w:t>
      </w:r>
      <w:r w:rsidR="00362517" w:rsidRPr="00362517">
        <w:rPr>
          <w:bCs/>
        </w:rPr>
        <w:t xml:space="preserve">If only 20% of incidents were reported the </w:t>
      </w:r>
      <w:r w:rsidR="00C56508" w:rsidRPr="00362517">
        <w:t>benefits are between $65.9 million and $</w:t>
      </w:r>
      <w:r w:rsidR="00C83F77" w:rsidRPr="00362517">
        <w:t>1</w:t>
      </w:r>
      <w:r w:rsidR="00C83F77">
        <w:t>2</w:t>
      </w:r>
      <w:r w:rsidR="00C83F77" w:rsidRPr="00362517">
        <w:t>1</w:t>
      </w:r>
      <w:r w:rsidR="00C56508" w:rsidRPr="00362517">
        <w:t>.</w:t>
      </w:r>
      <w:r w:rsidR="00C83F77">
        <w:t>7</w:t>
      </w:r>
      <w:r w:rsidR="00C83F77" w:rsidRPr="00362517">
        <w:t xml:space="preserve"> </w:t>
      </w:r>
      <w:r w:rsidR="00C56508" w:rsidRPr="00362517">
        <w:t xml:space="preserve">million, assuming that only 20% of pesticide incidents are reported (see Section 4.5).  </w:t>
      </w:r>
      <w:r w:rsidRPr="00362517">
        <w:t>This estimate is wider than the $80.4 million to $81.8 million for the proposed rule because we used additional data</w:t>
      </w:r>
      <w:r w:rsidR="00A46203" w:rsidRPr="00362517">
        <w:t xml:space="preserve"> on pesticide poisoning incidents</w:t>
      </w:r>
      <w:r w:rsidRPr="00362517">
        <w:t xml:space="preserve">, which reduced the low end estimate of prevented deaths per year while increasing the high end estimate.  At the same time, the inflation adjustment for the value of a statistical life caused it to be higher than in the </w:t>
      </w:r>
      <w:r w:rsidR="000C0407">
        <w:t>E</w:t>
      </w:r>
      <w:r w:rsidRPr="00362517">
        <w:t xml:space="preserve">conomic </w:t>
      </w:r>
      <w:r w:rsidR="000C0407">
        <w:t>A</w:t>
      </w:r>
      <w:r w:rsidRPr="00362517">
        <w:t xml:space="preserve">nalysis for the proposed </w:t>
      </w:r>
      <w:r w:rsidR="00771176" w:rsidRPr="00362517">
        <w:t>rule</w:t>
      </w:r>
      <w:r w:rsidRPr="00362517">
        <w:t>.</w:t>
      </w:r>
      <w:r w:rsidR="00B2607A">
        <w:t xml:space="preserve">  In this analysis for the final rule, we are also using 50% reporting rates as a point for discussion to show how the estimates change based on different assumptions of under-reporting rates.  I</w:t>
      </w:r>
      <w:r w:rsidR="00B2607A" w:rsidRPr="00B2607A">
        <w:t>f 50% of poisonings are reported, then the quantified estimates of the rule would be between $</w:t>
      </w:r>
      <w:r w:rsidR="00B2607A">
        <w:t xml:space="preserve">26.3 and $48.7 million annually.  Estimates with 50% reporting were provided in the analysis for the proposed rule, but not discussed in detail.  The relationships between the estimates for the proposed and final rules </w:t>
      </w:r>
      <w:r w:rsidR="00C0056B">
        <w:t>are</w:t>
      </w:r>
      <w:r w:rsidR="00B2607A">
        <w:t xml:space="preserve"> the same, </w:t>
      </w:r>
      <w:r w:rsidR="007B0AF4">
        <w:t>regardless of</w:t>
      </w:r>
      <w:r w:rsidR="00B2607A">
        <w:t xml:space="preserve"> the under-reporting rate chosen.  </w:t>
      </w:r>
      <w:r w:rsidR="00B2607A" w:rsidRPr="00B2607A">
        <w:t xml:space="preserve">  </w:t>
      </w:r>
    </w:p>
    <w:p w14:paraId="5AB180EC" w14:textId="77777777" w:rsidR="00B32E7A" w:rsidRPr="00362517" w:rsidRDefault="00B32E7A" w:rsidP="00BF6BC7"/>
    <w:p w14:paraId="5AB180ED" w14:textId="77777777" w:rsidR="002A62C2" w:rsidRPr="00362517" w:rsidRDefault="00545FE6" w:rsidP="00BF6BC7">
      <w:r w:rsidRPr="00362517">
        <w:t xml:space="preserve">The final rule allows jurisdictions a longer period (three years) to revise their certification programs than was proposed (two years).  The rule further allows states to delay implementing any changes for up to two years after EPA has approved the new programs.  As a result, full implementation could take three to seven years and vary considerably by state.  </w:t>
      </w:r>
      <w:r w:rsidRPr="00362517">
        <w:rPr>
          <w:iCs/>
        </w:rPr>
        <w:t xml:space="preserve">However, for the purpose of estimating the costs of the final revisions, EPA retains a two-year implementation period as in the analysis for the proposed rule.  Delaying the implementation has the apparent effect of reducing the cost to applicators due to discounting of costs borne in the future.  However, this seeming reduction is misleading in terms of truly reflecting the impact on applicators and small firms.  Estimating the impacts using a short implementation period better </w:t>
      </w:r>
      <w:r w:rsidRPr="00362517">
        <w:t>reflects the costs firms will bear, not the costs discounted in the future</w:t>
      </w:r>
      <w:r w:rsidRPr="00362517">
        <w:rPr>
          <w:iCs/>
        </w:rPr>
        <w:t xml:space="preserve">.  Using a two-year implementation period results in a slight overestimation of jurisdictions’ annualized implementation costs because EPA assumes that jurisdictions expend a given amount of resources to revise their certification programs and are likely to utilize the time period allowed by the final rule, which is at least three years. </w:t>
      </w:r>
      <w:r w:rsidR="0089339A" w:rsidRPr="00362517">
        <w:rPr>
          <w:iCs/>
        </w:rPr>
        <w:t xml:space="preserve"> </w:t>
      </w:r>
      <w:r w:rsidR="002A62C2" w:rsidRPr="00362517">
        <w:br w:type="page"/>
      </w:r>
    </w:p>
    <w:p w14:paraId="5AB180EE" w14:textId="77777777" w:rsidR="002A62C2" w:rsidRPr="00362517" w:rsidRDefault="002A62C2" w:rsidP="00BF6BC7">
      <w:pPr>
        <w:pStyle w:val="Heading1"/>
      </w:pPr>
      <w:bookmarkStart w:id="2" w:name="_Toc468872054"/>
      <w:r w:rsidRPr="00362517">
        <w:lastRenderedPageBreak/>
        <w:t>Chapter 1.  Introduction</w:t>
      </w:r>
      <w:bookmarkEnd w:id="2"/>
    </w:p>
    <w:p w14:paraId="5AB180EF" w14:textId="77777777" w:rsidR="002A62C2" w:rsidRPr="00362517" w:rsidRDefault="002A62C2" w:rsidP="00BF6BC7"/>
    <w:p w14:paraId="5AB180F0" w14:textId="77777777" w:rsidR="002A62C2" w:rsidRPr="00362517" w:rsidRDefault="002A62C2" w:rsidP="00BF6BC7">
      <w:pPr>
        <w:rPr>
          <w:bCs/>
        </w:rPr>
      </w:pPr>
      <w:r w:rsidRPr="00362517">
        <w:rPr>
          <w:bCs/>
        </w:rPr>
        <w:t>EPA is finalizing modifications to</w:t>
      </w:r>
      <w:r w:rsidRPr="00362517">
        <w:t xml:space="preserve"> 40 CFR part 171 governing the certification of applicators of RUPs.</w:t>
      </w:r>
      <w:r w:rsidRPr="00362517">
        <w:rPr>
          <w:bCs/>
        </w:rPr>
        <w:t xml:space="preserve">  Broadly speaking, the modifications are meant to ensure that RUPs are used in accordance with the label to protect the health and safety of applicators, workers, the general public, and the environment.    </w:t>
      </w:r>
    </w:p>
    <w:p w14:paraId="5AB180F1" w14:textId="77777777" w:rsidR="002A62C2" w:rsidRPr="00362517" w:rsidRDefault="002A62C2" w:rsidP="00BF6BC7">
      <w:pPr>
        <w:rPr>
          <w:bCs/>
        </w:rPr>
      </w:pPr>
      <w:r w:rsidRPr="00362517">
        <w:rPr>
          <w:bCs/>
        </w:rPr>
        <w:t xml:space="preserve">  </w:t>
      </w:r>
    </w:p>
    <w:p w14:paraId="5AB180F2" w14:textId="77777777" w:rsidR="002A62C2" w:rsidRPr="00362517" w:rsidRDefault="002A62C2" w:rsidP="00BF6BC7">
      <w:r w:rsidRPr="00362517">
        <w:t>This document provides an analysis of the costs and the benefits of the final changes to the regulations governing the certification of pesticide applicators.  This chapter provides a brief background to the certification requirements, describes the reasons for EPA’s changes and the statutory authority for the rule, and identifies entities that may be affected by the rule.  Chapter 2 explains the final changes to the Certification rule and discusses qualitatively the expected benefits of the different components of the regulations.  Chapter 3 presents the cost estimates for the final revisions</w:t>
      </w:r>
      <w:r w:rsidRPr="00362517">
        <w:rPr>
          <w:bCs/>
        </w:rPr>
        <w:t xml:space="preserve">.  It also estimates the impact of the final changes on employment and small business.  Chapter 4 presents quantitative estimates of the benefits of the rule from reduced acute pesticide poisoning events.  Also presented are qualitative assessments of the benefits to human health from reduced chronic exposure to RUPs as well as reduced environmental exposure.  The benefits of the rule accrue primarily to certified applicators and noncertified applicators under the direct supervision of certified applicators, as well as their families, the public and the environment.  </w:t>
      </w:r>
    </w:p>
    <w:p w14:paraId="5AB180F3" w14:textId="77777777" w:rsidR="002A62C2" w:rsidRPr="00362517" w:rsidRDefault="002A62C2" w:rsidP="00BF6BC7">
      <w:pPr>
        <w:tabs>
          <w:tab w:val="left" w:pos="540"/>
          <w:tab w:val="left" w:pos="1080"/>
          <w:tab w:val="left" w:pos="1620"/>
          <w:tab w:val="left" w:pos="2160"/>
        </w:tabs>
      </w:pPr>
    </w:p>
    <w:p w14:paraId="5AB180F4" w14:textId="75D41FAD" w:rsidR="002A62C2" w:rsidRPr="00362517" w:rsidRDefault="002A62C2" w:rsidP="00BF6BC7">
      <w:pPr>
        <w:tabs>
          <w:tab w:val="left" w:pos="540"/>
          <w:tab w:val="left" w:pos="1080"/>
          <w:tab w:val="left" w:pos="1620"/>
          <w:tab w:val="left" w:pos="2160"/>
        </w:tabs>
      </w:pPr>
      <w:r w:rsidRPr="00362517">
        <w:t>This report is intended to meet the requirements of Executive Order 12866 on Regulatory Planning and Review, the Regulatory Flexibility Act as amended by the Small Business Regulatory Enforcement Fairness Act, and the Unfunded Mandates Reform Act.  The remaining regulatory requirements are addressed in the Preamble for this rule.  This document also serves as input in preparing any analysis required under the Paperwork Reduction Act (44 U.S.C. § 3501-21), which is summarized in Chapter 5.</w:t>
      </w:r>
      <w:r w:rsidR="00ED5AC8">
        <w:t xml:space="preserve">  The</w:t>
      </w:r>
      <w:r w:rsidR="00ED5AC8" w:rsidRPr="00ED5AC8">
        <w:t xml:space="preserve"> analysis for the revisions to the Certification rule </w:t>
      </w:r>
      <w:r w:rsidR="00ED5AC8">
        <w:t>is</w:t>
      </w:r>
      <w:r w:rsidR="00ED5AC8" w:rsidRPr="00ED5AC8">
        <w:t xml:space="preserve"> based on the best and most appropriate data available and meets the Agency’s quality guidelines.</w:t>
      </w:r>
    </w:p>
    <w:p w14:paraId="5AB180F5" w14:textId="77777777" w:rsidR="002A62C2" w:rsidRPr="00362517" w:rsidRDefault="002A62C2" w:rsidP="00BF6BC7">
      <w:pPr>
        <w:tabs>
          <w:tab w:val="left" w:pos="540"/>
          <w:tab w:val="left" w:pos="1080"/>
          <w:tab w:val="left" w:pos="1620"/>
          <w:tab w:val="left" w:pos="2160"/>
        </w:tabs>
      </w:pPr>
    </w:p>
    <w:p w14:paraId="5AB180F6" w14:textId="77777777" w:rsidR="002A62C2" w:rsidRPr="00362517" w:rsidRDefault="002A62C2" w:rsidP="00BF6BC7">
      <w:pPr>
        <w:tabs>
          <w:tab w:val="left" w:pos="540"/>
          <w:tab w:val="left" w:pos="1080"/>
          <w:tab w:val="left" w:pos="1620"/>
          <w:tab w:val="left" w:pos="2160"/>
        </w:tabs>
      </w:pPr>
    </w:p>
    <w:p w14:paraId="5AB180F7" w14:textId="77777777" w:rsidR="002A62C2" w:rsidRPr="00362517" w:rsidRDefault="002A62C2" w:rsidP="00BF6BC7">
      <w:pPr>
        <w:pStyle w:val="Heading2"/>
      </w:pPr>
      <w:bookmarkStart w:id="3" w:name="_Toc468872055"/>
      <w:r w:rsidRPr="00362517">
        <w:t>1.1</w:t>
      </w:r>
      <w:r w:rsidRPr="00362517">
        <w:tab/>
        <w:t>Background</w:t>
      </w:r>
      <w:bookmarkEnd w:id="3"/>
    </w:p>
    <w:p w14:paraId="5AB180F8" w14:textId="77777777" w:rsidR="002A62C2" w:rsidRPr="00362517" w:rsidRDefault="002A62C2" w:rsidP="00BF6BC7"/>
    <w:p w14:paraId="5AB180F9" w14:textId="69FDB82D" w:rsidR="002A62C2" w:rsidRPr="00362517" w:rsidRDefault="00374F50" w:rsidP="00BF6BC7">
      <w:r w:rsidRPr="00362517">
        <w:t>EPA’s</w:t>
      </w:r>
      <w:r w:rsidR="002A62C2" w:rsidRPr="00362517">
        <w:t xml:space="preserve"> pesticide worker safety program includes two primary regulations, the Certification of Pesticide Applicators and the Worker Protection Standard.  The Certification of Pesticide Applicators regulation, </w:t>
      </w:r>
      <w:r w:rsidRPr="00362517">
        <w:t xml:space="preserve">in </w:t>
      </w:r>
      <w:r w:rsidR="002A62C2" w:rsidRPr="00362517">
        <w:t>40 CFR Part 171, establishes national standards for the certification of applicators of RUPs and the requirements for submission and approval of state plans for the certification of applicators.  Pr</w:t>
      </w:r>
      <w:r w:rsidR="002A62C2" w:rsidRPr="00362517">
        <w:rPr>
          <w:bCs/>
        </w:rPr>
        <w:t>ograms for the certification of applicators of RUPs are implemented by all 50 states,</w:t>
      </w:r>
      <w:r w:rsidR="002A62C2" w:rsidRPr="00362517">
        <w:t xml:space="preserve"> four territories (the District of Columbia, the Commonwealth of Puerto Rico, the U.S. Virgin Islands, and the Trust Territory of the Pacific Islands), and four tribes in accordance with their state or tribal certification plans.  Additionally, there are five federal agency certification programs for the Departments of Agriculture (with two programs), Defense, Energy and the Interior.  All plans are approved by the </w:t>
      </w:r>
      <w:r w:rsidRPr="00362517">
        <w:t xml:space="preserve">EPA </w:t>
      </w:r>
      <w:r w:rsidR="002A62C2" w:rsidRPr="00362517">
        <w:t xml:space="preserve">Administrator and are on file with the Agency.  This </w:t>
      </w:r>
      <w:r w:rsidR="000C0407">
        <w:t>E</w:t>
      </w:r>
      <w:r w:rsidR="002A62C2" w:rsidRPr="00362517">
        <w:t xml:space="preserve">conomic </w:t>
      </w:r>
      <w:r w:rsidR="000C0407">
        <w:t>A</w:t>
      </w:r>
      <w:r w:rsidR="002A62C2" w:rsidRPr="00362517">
        <w:t>nalysis focuses on the revisions to the rules regarding the certification of pesticide applicators.</w:t>
      </w:r>
    </w:p>
    <w:p w14:paraId="5AB180FA" w14:textId="77777777" w:rsidR="002A62C2" w:rsidRPr="00362517" w:rsidRDefault="002A62C2" w:rsidP="00BF6BC7"/>
    <w:p w14:paraId="5AB180FB" w14:textId="6125C2FD" w:rsidR="002A62C2" w:rsidRPr="00362517" w:rsidRDefault="002A62C2" w:rsidP="00BF6BC7">
      <w:r w:rsidRPr="00362517">
        <w:lastRenderedPageBreak/>
        <w:t xml:space="preserve">The Worker Protection Standard (WPS), </w:t>
      </w:r>
      <w:r w:rsidR="00374F50" w:rsidRPr="00362517">
        <w:t xml:space="preserve">in </w:t>
      </w:r>
      <w:r w:rsidRPr="00362517">
        <w:t xml:space="preserve">40 CFR part 170, protects employees of agricultural establishments and commercial pesticide application establishments from exposure to pesticides on farms, forests, nurseries and greenhouses.  Specifically, the WPS covers farm workers, who engage in hand labor activities in crop production and who may be exposed to pesticide residues in treated fields, and handlers, who mix, load, and apply both general use pesticides and RUPs.  The </w:t>
      </w:r>
      <w:r w:rsidR="00771176" w:rsidRPr="00362517">
        <w:t xml:space="preserve">revised </w:t>
      </w:r>
      <w:r w:rsidRPr="00362517">
        <w:t xml:space="preserve">Worker Protection Standard final rule </w:t>
      </w:r>
      <w:r w:rsidR="00771176" w:rsidRPr="00362517">
        <w:t>was</w:t>
      </w:r>
      <w:r w:rsidRPr="00362517">
        <w:t xml:space="preserve"> published </w:t>
      </w:r>
      <w:r w:rsidR="00771176" w:rsidRPr="00362517">
        <w:t xml:space="preserve">in November 2015 </w:t>
      </w:r>
      <w:r w:rsidRPr="00362517">
        <w:t>(EPA, 2015a).</w:t>
      </w:r>
    </w:p>
    <w:p w14:paraId="5AB180FC" w14:textId="77777777" w:rsidR="002A62C2" w:rsidRPr="00362517" w:rsidRDefault="002A62C2" w:rsidP="00BF6BC7"/>
    <w:p w14:paraId="5AB180FD" w14:textId="77777777" w:rsidR="002A62C2" w:rsidRPr="00362517" w:rsidRDefault="002A62C2" w:rsidP="00BF6BC7">
      <w:r w:rsidRPr="00362517">
        <w:t xml:space="preserve">These two regulations, along with the other components of the Agency’s pesticide worker safety program, are intended to reduce and prevent potential exposures to pesticides among pesticide applicators, employees, the general public, including vulnerable populations such as children, and to the environment.  </w:t>
      </w:r>
    </w:p>
    <w:p w14:paraId="5AB180FE" w14:textId="77777777" w:rsidR="002A62C2" w:rsidRPr="00362517" w:rsidRDefault="002A62C2" w:rsidP="00BF6BC7"/>
    <w:p w14:paraId="5AB180FF" w14:textId="77777777" w:rsidR="002A62C2" w:rsidRPr="00362517" w:rsidRDefault="002A62C2" w:rsidP="00BF6BC7">
      <w:r w:rsidRPr="00362517">
        <w:t>The certification regulation or rule is a means to ensure the competency of people who apply RUPs.  EPA classifies certain products as RUPs because of their toxicity characteristics and/or their potential to cause unreasonable adverse effects to human health or the environment without strict adherence to often complex label restrictions. The designation of products as RUP restricts their use to certified applicators or persons working under their direct supervision. The designation, however, is product specific; thus, some active ingredients may also be formulated in products that are not RUPs.  Most of the designated products are applied in agricultural and industrial settings although some are used in urban, recreational, and residential areas by certified commercial applicators.  Applicator certification enables the registration of pesticides that otherwise would not meet EPA safety standards under widespread and commonly recognized practice [FIFRA 3(</w:t>
      </w:r>
      <w:r w:rsidR="00771176" w:rsidRPr="00362517">
        <w:t>c</w:t>
      </w:r>
      <w:r w:rsidRPr="00362517">
        <w:t>)</w:t>
      </w:r>
      <w:r w:rsidR="00771176" w:rsidRPr="00362517">
        <w:t>5</w:t>
      </w:r>
      <w:r w:rsidRPr="00362517">
        <w:t xml:space="preserve">], allowing the use of RUPs for pest management in agricultural production, building and other structural pest management, turf and landscape management, forestry, public health, aquatic systems, food processing, stored grain, and other areas. </w:t>
      </w:r>
    </w:p>
    <w:p w14:paraId="5AB18100" w14:textId="77777777" w:rsidR="002A62C2" w:rsidRPr="00362517" w:rsidRDefault="002A62C2" w:rsidP="00BF6BC7"/>
    <w:p w14:paraId="5AB18101" w14:textId="77777777" w:rsidR="002A62C2" w:rsidRPr="00362517" w:rsidRDefault="002A62C2" w:rsidP="00BF6BC7">
      <w:r w:rsidRPr="00362517">
        <w:t xml:space="preserve">Changes to the certification regulation will largely impact certified applicators, both commercial applicators (who apply RUPs for hire) and private applicators.  Certified private applicators apply RUPs </w:t>
      </w:r>
      <w:r w:rsidRPr="00362517">
        <w:rPr>
          <w:bCs/>
        </w:rPr>
        <w:t>for purposes of producing an agricultural commodity</w:t>
      </w:r>
      <w:r w:rsidRPr="00362517">
        <w:t xml:space="preserve"> on property owned or rented by themselves or their employers or on the property of another without compensation (trading of personal services is permitted).  Certain final revisions may also affect commercial agricultural services, including pesticide dealers, certifying agencies, such as states or tribes, and noncertified applicators working under the direct supervision of certified applicators.</w:t>
      </w:r>
    </w:p>
    <w:p w14:paraId="5AB18102" w14:textId="77777777" w:rsidR="002A62C2" w:rsidRPr="00362517" w:rsidRDefault="002A62C2" w:rsidP="00BF6BC7"/>
    <w:p w14:paraId="5AB18103" w14:textId="77777777" w:rsidR="002A62C2" w:rsidRPr="00362517" w:rsidRDefault="002A62C2" w:rsidP="00BF6BC7"/>
    <w:p w14:paraId="5AB18104" w14:textId="77777777" w:rsidR="002A62C2" w:rsidRPr="00362517" w:rsidRDefault="002A62C2" w:rsidP="00BF6BC7">
      <w:pPr>
        <w:pStyle w:val="Heading2"/>
      </w:pPr>
      <w:bookmarkStart w:id="4" w:name="_Toc468872056"/>
      <w:r w:rsidRPr="00362517">
        <w:t>1.2</w:t>
      </w:r>
      <w:r w:rsidRPr="00362517">
        <w:tab/>
        <w:t>Problem Statement</w:t>
      </w:r>
      <w:bookmarkEnd w:id="4"/>
    </w:p>
    <w:p w14:paraId="5AB18105" w14:textId="77777777" w:rsidR="002A62C2" w:rsidRPr="00362517" w:rsidRDefault="002A62C2" w:rsidP="00BF6BC7"/>
    <w:p w14:paraId="5AB18106" w14:textId="77777777" w:rsidR="002A62C2" w:rsidRPr="00362517" w:rsidRDefault="002A62C2" w:rsidP="00BF6BC7">
      <w:r w:rsidRPr="00362517">
        <w:t xml:space="preserve">Pesticides, although useful to control pests, can present health risks to people and harm the environment.  Pesticides that EPA has classified as restricted use may pose unreasonable adverse effects to human health or the environment without strict adherence to precise and often complex use directions and mitigation measures specified on the pesticide labeling.  To ensure these measures are followed, EPA requires that these pesticides be applied only by applicators who are certified, or by applicators working under the direct supervision of a certified applicator.  Certification serves to ensure competency and, therefore, to protect the applicator, persons </w:t>
      </w:r>
      <w:r w:rsidRPr="00362517">
        <w:lastRenderedPageBreak/>
        <w:t>working under the direct supervision of the applicator, the general public, and the environment through proper use of RUPs.</w:t>
      </w:r>
    </w:p>
    <w:p w14:paraId="5AB18107" w14:textId="77777777" w:rsidR="002A62C2" w:rsidRPr="00362517" w:rsidRDefault="002A62C2" w:rsidP="00BF6BC7"/>
    <w:p w14:paraId="5AB18108" w14:textId="77777777" w:rsidR="002A62C2" w:rsidRPr="00362517" w:rsidRDefault="002A62C2" w:rsidP="00BF6BC7">
      <w:r w:rsidRPr="00362517">
        <w:t>Since the last major revision of the certification regulation in 1978, poisonings involving RUPs indicate that the requirements are not adequate.  In one of the most significant cases from the mid-1990s, there was widespread misuse of the restricted use pesticide methyl parathion, an insecticide used primarily on cotton and other outdoor agricultural crops (Blondell and Spann, 1998).  The improper use of methyl parathion by a number of applicators across several states led to the widespread contamination of hundreds of homes, significant pesticide exposures and human health effects for hundreds of homeowners and children, and a clean-up cost of millions of dollars (Karpf, 1997).  The</w:t>
      </w:r>
      <w:r w:rsidR="00352E58" w:rsidRPr="00362517">
        <w:t>se</w:t>
      </w:r>
      <w:r w:rsidRPr="00362517">
        <w:t xml:space="preserve"> incident</w:t>
      </w:r>
      <w:r w:rsidR="00352E58" w:rsidRPr="00362517">
        <w:t>s</w:t>
      </w:r>
      <w:r w:rsidRPr="00362517">
        <w:t xml:space="preserve"> resulted in one of the most significant and widespread pesticide exposure cases in EPA’s history, and highlighted the potential problems that can result from the misuse of RUPs.  </w:t>
      </w:r>
      <w:r w:rsidR="00352E58" w:rsidRPr="00362517">
        <w:t>In a</w:t>
      </w:r>
      <w:r w:rsidR="00F72FF6" w:rsidRPr="00362517">
        <w:t xml:space="preserve"> 2010 Utah </w:t>
      </w:r>
      <w:r w:rsidR="00352E58" w:rsidRPr="00362517">
        <w:t>incident, an applicator using the RUP aluminum phosphide caused the death of 2 young girls and made the rest of the family ill</w:t>
      </w:r>
      <w:r w:rsidR="00F72FF6" w:rsidRPr="00362517">
        <w:rPr>
          <w:rStyle w:val="FootnoteReference"/>
        </w:rPr>
        <w:footnoteReference w:id="2"/>
      </w:r>
      <w:r w:rsidR="00F72FF6" w:rsidRPr="00362517">
        <w:t xml:space="preserve">. </w:t>
      </w:r>
      <w:r w:rsidR="00352E58" w:rsidRPr="00362517">
        <w:t xml:space="preserve"> In 2015, improper use of methyl bromide in the Virgin Islands caused serious injury and long-term hospitalization of four people</w:t>
      </w:r>
      <w:r w:rsidR="00F72FF6" w:rsidRPr="00362517">
        <w:rPr>
          <w:rStyle w:val="FootnoteReference"/>
        </w:rPr>
        <w:footnoteReference w:id="3"/>
      </w:r>
      <w:r w:rsidR="00F72FF6" w:rsidRPr="00362517">
        <w:t xml:space="preserve">.  </w:t>
      </w:r>
      <w:r w:rsidR="00352E58" w:rsidRPr="00362517">
        <w:t>Also in 2015, fumigation with sulfuryl fluoride that did not follow proper procedures caused serious injury to a young boy</w:t>
      </w:r>
      <w:r w:rsidR="00F72FF6" w:rsidRPr="00362517">
        <w:rPr>
          <w:rStyle w:val="FootnoteReference"/>
        </w:rPr>
        <w:footnoteReference w:id="4"/>
      </w:r>
      <w:r w:rsidR="00352E58" w:rsidRPr="00362517">
        <w:t>.</w:t>
      </w:r>
      <w:r w:rsidR="00F72FF6" w:rsidRPr="00362517">
        <w:t xml:space="preserve"> </w:t>
      </w:r>
      <w:r w:rsidR="00352E58" w:rsidRPr="00362517">
        <w:t xml:space="preserve"> Finally, several severe health incidents have resulted from the public getting access to RUPs that have been put into different containers, e.g., transferred to a soda bottle or a sandwich bag, that do not have the necessary labeling (</w:t>
      </w:r>
      <w:r w:rsidR="00F7034A" w:rsidRPr="00362517">
        <w:t xml:space="preserve">Fortenberry </w:t>
      </w:r>
      <w:r w:rsidR="00F7034A" w:rsidRPr="00362517">
        <w:rPr>
          <w:i/>
        </w:rPr>
        <w:t>et al,</w:t>
      </w:r>
      <w:r w:rsidR="00F7034A" w:rsidRPr="00362517">
        <w:t>, 2016</w:t>
      </w:r>
      <w:r w:rsidR="00352E58" w:rsidRPr="00362517">
        <w:t xml:space="preserve">). These incidents highlight the potential problems that can result from the misuse of RUPs.  </w:t>
      </w:r>
    </w:p>
    <w:p w14:paraId="5AB18109" w14:textId="77777777" w:rsidR="002A62C2" w:rsidRPr="00362517" w:rsidRDefault="002A62C2" w:rsidP="00BF6BC7"/>
    <w:p w14:paraId="5AB1810A" w14:textId="77777777" w:rsidR="002A62C2" w:rsidRPr="00362517" w:rsidRDefault="002A62C2" w:rsidP="00BF6BC7">
      <w:r w:rsidRPr="00362517">
        <w:t xml:space="preserve">Many states have taken significant steps to improve regulatory controls of RUPs and changed their enforcement authorities to address the problems identified by the incident.  EPA’s own certification standards, however, have not been substantially amended to address the evolving risk concerns.  Because no major revision has been made to the federal regulation in almost 40 years, many state programs have taken the lead in revising and updating standards for certification and recertification.  As a result, the state requirements for certification of applicators are highly varied, and most </w:t>
      </w:r>
      <w:r w:rsidR="000D3D7C" w:rsidRPr="00362517">
        <w:t>certifying authorities</w:t>
      </w:r>
      <w:r w:rsidRPr="00362517">
        <w:t xml:space="preserve"> go beyond federal requirements for applicator certification.  However, some </w:t>
      </w:r>
      <w:r w:rsidR="000D3D7C" w:rsidRPr="00362517">
        <w:t>certifying authorities</w:t>
      </w:r>
      <w:r w:rsidRPr="00362517">
        <w:t xml:space="preserve"> support only the federal minimum for applicator certification. This has created an uneven regulatory landscape, so that people face different risks based on where they live, as well as problems in program consistency.</w:t>
      </w:r>
    </w:p>
    <w:p w14:paraId="5AB1810B" w14:textId="77777777" w:rsidR="002A62C2" w:rsidRPr="00362517" w:rsidRDefault="002A62C2" w:rsidP="00BF6BC7"/>
    <w:p w14:paraId="5AB1810C" w14:textId="77777777" w:rsidR="002A62C2" w:rsidRPr="00362517" w:rsidRDefault="002A62C2" w:rsidP="00BF6BC7">
      <w:r w:rsidRPr="00362517">
        <w:t xml:space="preserve">Two kinds of ‘market’ failure may give rise to improper use of RUPs and undesirable effects on humans and the environment: incomplete information and externalities.  The former implies that full information about proper use and the consequences of pesticide use is not available to the people who need it.  The latter implies that some of the consequences of pesticide use do not fall on the person making use decisions and that, therefore, RUPs may be used in a socially undesirable way.  </w:t>
      </w:r>
    </w:p>
    <w:p w14:paraId="5AB1810D" w14:textId="77777777" w:rsidR="002A62C2" w:rsidRPr="00362517" w:rsidRDefault="002A62C2" w:rsidP="00BF6BC7"/>
    <w:p w14:paraId="5AB1810E" w14:textId="77777777" w:rsidR="002A62C2" w:rsidRPr="00362517" w:rsidRDefault="002A62C2" w:rsidP="00BF6BC7">
      <w:r w:rsidRPr="00362517">
        <w:lastRenderedPageBreak/>
        <w:t xml:space="preserve">Applicators may not have full information about the negative consequences of pesticides or the possible measures that can be taken to avoid such negative outcomes.  This may be particularly true when the adverse effects are not readily observable, but occur due to chronic exposure.  Symptoms of acute pesticide poisoning may be confused with general fatigue, heat stress, or other factors.  Long-term or chronic effects of pesticide exposure do not manifest themselves immediately and applicators may not be fully aware the risks they face.    </w:t>
      </w:r>
    </w:p>
    <w:p w14:paraId="5AB1810F" w14:textId="77777777" w:rsidR="002A62C2" w:rsidRPr="00362517" w:rsidRDefault="002A62C2" w:rsidP="00BF6BC7"/>
    <w:p w14:paraId="5AB18110" w14:textId="77777777" w:rsidR="002A62C2" w:rsidRPr="00362517" w:rsidRDefault="002A62C2" w:rsidP="00BF6BC7">
      <w:r w:rsidRPr="00362517">
        <w:t xml:space="preserve">Another factor that contributes to pesticide exposure is that the party making the application decision may not incur the negative effects of an incorrect pesticide application.  When someone other than an applicator or decision maker is potentially affected by the use of an RUP, a classic externality can result in a divergence between the social and private costs in the use of a pesticide.  An externality of this type means that applications of RUPs may pose greater risk than is socially desirable.  In this case, the greater than optimal risk would not typically be faced by an applicator deciding to apply, but could be faced by those they supervise, the general public, and the environment that can be affected by the RUP application.  Although EPA addresses negative externalities from pesticide use when it makes registration decisions and label restrictions, pesticides designated as RUPs generally pose higher risks than ordinary pesticides.  The result of improper use can be more severe, as well, in terms of acute and chronic illness and damage to terrestrial and aquatic ecosystems that are not the target of the application.  The higher risk requires additional safeguards to ensure safe applications to protect both human health and the environment and these additional measures require a higher level of skill than is otherwise required of a pesticide applicator making applications of non-RUPs. </w:t>
      </w:r>
    </w:p>
    <w:p w14:paraId="5AB18111" w14:textId="77777777" w:rsidR="002A62C2" w:rsidRPr="00362517" w:rsidRDefault="002A62C2" w:rsidP="00BF6BC7"/>
    <w:p w14:paraId="5AB18112" w14:textId="77777777" w:rsidR="002A62C2" w:rsidRPr="00362517" w:rsidRDefault="002A62C2" w:rsidP="00BF6BC7"/>
    <w:p w14:paraId="5AB18113" w14:textId="77777777" w:rsidR="002A62C2" w:rsidRPr="00362517" w:rsidRDefault="002A62C2" w:rsidP="00BF6BC7">
      <w:pPr>
        <w:pStyle w:val="Heading2"/>
      </w:pPr>
      <w:bookmarkStart w:id="5" w:name="_Toc468872057"/>
      <w:r w:rsidRPr="00362517">
        <w:t>1.3</w:t>
      </w:r>
      <w:r w:rsidRPr="00362517">
        <w:tab/>
        <w:t>Overview of Final Regulation</w:t>
      </w:r>
      <w:bookmarkEnd w:id="5"/>
    </w:p>
    <w:p w14:paraId="5AB18114" w14:textId="77777777" w:rsidR="002A62C2" w:rsidRPr="00362517" w:rsidRDefault="002A62C2" w:rsidP="00BF6BC7"/>
    <w:p w14:paraId="5AB18115" w14:textId="77777777" w:rsidR="002A62C2" w:rsidRPr="00362517" w:rsidRDefault="002A62C2" w:rsidP="00BF6BC7">
      <w:r w:rsidRPr="00362517">
        <w:t>Most of the changes EPA is finalizing are designed to improve the competence of certified applicators.  The final revisions jointly address the issues of inadequate information and externalities.  The revisions address the problem of inadequate information by defining new certification categories and subcategories that include training or testing on the hazards specific to some application methods.  To make sure the information used by applicators to make application decisions is current and complete, EPA is finalizing more rigorous certification standards and recertification requirements.  EPA is also establishing new requirements on the supervision of noncertified applicators working under the supervision of a certified applicator to make sure they have enough information to safely apply RUPs, and immediate access to support from a certified applicator when needed.  New categories for fumigants and aerial applications will help ensure that important information about these specialized applications is up to date.  EPA is also finalizing the establishment of a minimum age for certified applicators and those working under their supervision.  Age restrictions are meant to protect adolescents, who may be more susceptible to pesticide effects.  Adolescents may also be less able to judge the potential risks of exposure, especially the long-term effects, and take greater risks, which may result in excess exposure to themselves and others.  More detail</w:t>
      </w:r>
      <w:r w:rsidR="00771176" w:rsidRPr="00362517">
        <w:t>s</w:t>
      </w:r>
      <w:r w:rsidRPr="00362517">
        <w:t xml:space="preserve"> on the final changes are available in Chapter 2, or in the preamble. </w:t>
      </w:r>
    </w:p>
    <w:p w14:paraId="5AB18116" w14:textId="77777777" w:rsidR="002A62C2" w:rsidRPr="00362517" w:rsidRDefault="002A62C2" w:rsidP="00BF6BC7"/>
    <w:p w14:paraId="5AB18117" w14:textId="77777777" w:rsidR="002A62C2" w:rsidRPr="00362517" w:rsidRDefault="002A62C2" w:rsidP="00BF6BC7"/>
    <w:p w14:paraId="5AB18118" w14:textId="77777777" w:rsidR="002A62C2" w:rsidRPr="00362517" w:rsidRDefault="002A62C2" w:rsidP="00BF6BC7">
      <w:pPr>
        <w:pStyle w:val="Heading2"/>
      </w:pPr>
      <w:bookmarkStart w:id="6" w:name="_Toc468872058"/>
      <w:r w:rsidRPr="00362517">
        <w:lastRenderedPageBreak/>
        <w:t>1.4</w:t>
      </w:r>
      <w:r w:rsidRPr="00362517">
        <w:tab/>
        <w:t>Affected Entities</w:t>
      </w:r>
      <w:bookmarkEnd w:id="6"/>
    </w:p>
    <w:p w14:paraId="5AB18119" w14:textId="77777777" w:rsidR="002A62C2" w:rsidRPr="00362517" w:rsidRDefault="002A62C2" w:rsidP="00BF6BC7"/>
    <w:p w14:paraId="5AB1811A" w14:textId="77777777" w:rsidR="002A62C2" w:rsidRPr="00362517" w:rsidRDefault="002A62C2" w:rsidP="00BF6BC7">
      <w:pPr>
        <w:rPr>
          <w:bCs/>
        </w:rPr>
      </w:pPr>
      <w:r w:rsidRPr="00362517">
        <w:rPr>
          <w:bCs/>
        </w:rPr>
        <w:t xml:space="preserve">The entities that will be affected by the final changes include commercial and private certified applicators, people who work under the direct supervision of certified applicators, and states and other entities that certify pesticide applicators.  Manufacturers of pesticides and pesticide dealers of RUPs may also be affected.  </w:t>
      </w:r>
    </w:p>
    <w:p w14:paraId="5AB1811B" w14:textId="77777777" w:rsidR="002A62C2" w:rsidRPr="00362517" w:rsidRDefault="002A62C2" w:rsidP="00BF6BC7">
      <w:pPr>
        <w:rPr>
          <w:bCs/>
        </w:rPr>
      </w:pPr>
    </w:p>
    <w:p w14:paraId="5AB1811C" w14:textId="77777777" w:rsidR="002A62C2" w:rsidRPr="00362517" w:rsidRDefault="002A62C2" w:rsidP="00BF6BC7">
      <w:pPr>
        <w:rPr>
          <w:bCs/>
        </w:rPr>
      </w:pPr>
      <w:r w:rsidRPr="00362517">
        <w:rPr>
          <w:bCs/>
        </w:rPr>
        <w:t xml:space="preserve">Based on the </w:t>
      </w:r>
      <w:r w:rsidRPr="00362517">
        <w:t>Certification and Training Plan and Annual Reporting Database (CPARD, 201</w:t>
      </w:r>
      <w:r w:rsidR="00464C33" w:rsidRPr="00362517">
        <w:t>5</w:t>
      </w:r>
      <w:r w:rsidRPr="00362517">
        <w:t>), t</w:t>
      </w:r>
      <w:r w:rsidRPr="00362517">
        <w:rPr>
          <w:bCs/>
        </w:rPr>
        <w:t xml:space="preserve">here are nearly one million pesticide applicators certified to apply RUPs.  About 489,000 are private applicators, who apply RUPs for purposes of producing an agricultural commodity on property owned or rented by him/her or his/her employer, and about 414,000 are commercial pesticide applicators, who apply RUPs for hire.  </w:t>
      </w:r>
    </w:p>
    <w:p w14:paraId="5AB1811D" w14:textId="77777777" w:rsidR="002A62C2" w:rsidRPr="00362517" w:rsidRDefault="002A62C2" w:rsidP="00BF6BC7">
      <w:pPr>
        <w:rPr>
          <w:bCs/>
        </w:rPr>
      </w:pPr>
    </w:p>
    <w:p w14:paraId="5AB1811E" w14:textId="77777777" w:rsidR="002A62C2" w:rsidRPr="00362517" w:rsidRDefault="002A62C2" w:rsidP="00BF6BC7">
      <w:pPr>
        <w:rPr>
          <w:bCs/>
        </w:rPr>
      </w:pPr>
      <w:r w:rsidRPr="00362517">
        <w:rPr>
          <w:bCs/>
        </w:rPr>
        <w:t xml:space="preserve">States and other </w:t>
      </w:r>
      <w:r w:rsidR="000D3D7C" w:rsidRPr="00362517">
        <w:rPr>
          <w:bCs/>
        </w:rPr>
        <w:t>certifying authorities</w:t>
      </w:r>
      <w:r w:rsidRPr="00362517">
        <w:rPr>
          <w:bCs/>
        </w:rPr>
        <w:t xml:space="preserve"> will be affected by the final changes.  FIFRA requires that </w:t>
      </w:r>
      <w:r w:rsidR="000D3D7C" w:rsidRPr="00362517">
        <w:rPr>
          <w:bCs/>
        </w:rPr>
        <w:t>certifying authorities</w:t>
      </w:r>
      <w:r w:rsidRPr="00362517">
        <w:rPr>
          <w:bCs/>
        </w:rPr>
        <w:t xml:space="preserve"> submit plans for the certification of commercial and private applicators of RUPs to EPA for approval.  The final revisions will necessitate changes to state plans and jurisdictions will have to implement the required changes.   </w:t>
      </w:r>
    </w:p>
    <w:p w14:paraId="5AB1811F" w14:textId="77777777" w:rsidR="002A62C2" w:rsidRPr="00362517" w:rsidRDefault="002A62C2" w:rsidP="00BF6BC7">
      <w:pPr>
        <w:rPr>
          <w:bCs/>
        </w:rPr>
      </w:pPr>
    </w:p>
    <w:p w14:paraId="5AB18120" w14:textId="2E1E779A" w:rsidR="002A62C2" w:rsidRPr="00362517" w:rsidRDefault="002A62C2" w:rsidP="00BF6BC7">
      <w:pPr>
        <w:rPr>
          <w:bCs/>
        </w:rPr>
      </w:pPr>
      <w:r w:rsidRPr="00362517">
        <w:rPr>
          <w:bCs/>
        </w:rPr>
        <w:t xml:space="preserve">The affected entities are part of a wide range of industries.  Because agriculture is a heavy user of pesticides, several subsectors under NAICS code 110000 (agriculture) are likely to be affected.  These include oilseed, soybean and grain farming (NAICS 111100), nut, fruit and vegetable farming (NAICS 111210 and 111300) greenhouses and nurseries (NAICS 1111400), and other crops (NAICS 111900), which includes crops like cotton and tobacco.  Animal production firms will also be affected, which includes cattle production (NAICS 112100), pig and hog production (NAICS 112200), poultry and egg production (NAICS 112300) and aquaculture (NAICS 112400).  Other industries classified under agriculture include forestry pest control (NAICS 115000 and 113300), agricultural pest control for plants (NAICS 115100) and animals (NAICS 115200), demonstration and research pest control (NAICS 115100 and 611300), soil preparation planting and cultivating (NAICS 115112), and support activities for animal production (NAICS 115210).  </w:t>
      </w:r>
    </w:p>
    <w:p w14:paraId="5AB18121" w14:textId="77777777" w:rsidR="002A62C2" w:rsidRPr="00362517" w:rsidRDefault="002A62C2" w:rsidP="00BF6BC7">
      <w:pPr>
        <w:rPr>
          <w:bCs/>
        </w:rPr>
      </w:pPr>
    </w:p>
    <w:p w14:paraId="5AB18122" w14:textId="77777777" w:rsidR="002A62C2" w:rsidRPr="00362517" w:rsidRDefault="002A62C2" w:rsidP="00BF6BC7">
      <w:pPr>
        <w:rPr>
          <w:bCs/>
        </w:rPr>
      </w:pPr>
      <w:r w:rsidRPr="00362517">
        <w:rPr>
          <w:bCs/>
        </w:rPr>
        <w:t>Firms in the manufacturing and service sectors will also be affected by various provisions of the final changes.  These include firms providing pest control services, such as exterminating and pest control services (NAICS 561710), industrial, institutional, structural and health related pest control (also NAICS 561710), and landscaping services and ornamental and turf pest control (both NAICS 561730).  In addition, firms in many other industries may employ certified applicators, if they need to apply pesticides on a regular basis.  Firms that sell RUPs to applicators will also be affected (NAICS 424910, farm supplies merchant wholesalers).  Among the manufacturing sectors, industries that manufacture pesticides, like NAICS 325320 (pesticide and other agricultural chemical manufacturing), NAICS 3339900 (seed treatment), and NAICS 321114 (wood preservation) will be affected.</w:t>
      </w:r>
    </w:p>
    <w:p w14:paraId="5AB18123" w14:textId="77777777" w:rsidR="002A62C2" w:rsidRPr="00362517" w:rsidRDefault="002A62C2" w:rsidP="00BF6BC7">
      <w:pPr>
        <w:rPr>
          <w:bCs/>
        </w:rPr>
      </w:pPr>
    </w:p>
    <w:p w14:paraId="5AB18124" w14:textId="77777777" w:rsidR="002A62C2" w:rsidRPr="00362517" w:rsidRDefault="002A62C2" w:rsidP="00BF6BC7">
      <w:pPr>
        <w:pStyle w:val="Heading2"/>
      </w:pPr>
      <w:bookmarkStart w:id="7" w:name="_Toc425855681"/>
      <w:bookmarkStart w:id="8" w:name="_Toc468872059"/>
      <w:r w:rsidRPr="00362517">
        <w:t>1.5</w:t>
      </w:r>
      <w:r w:rsidRPr="00362517">
        <w:tab/>
        <w:t>Changes from the Analysis of Final Revisions</w:t>
      </w:r>
      <w:bookmarkEnd w:id="7"/>
      <w:bookmarkEnd w:id="8"/>
    </w:p>
    <w:p w14:paraId="5AB18125" w14:textId="77777777" w:rsidR="002A62C2" w:rsidRPr="00362517" w:rsidRDefault="002A62C2" w:rsidP="00BF6BC7"/>
    <w:p w14:paraId="5AB18126" w14:textId="77777777" w:rsidR="002A62C2" w:rsidRPr="00362517" w:rsidRDefault="002A62C2" w:rsidP="00BF6BC7">
      <w:r w:rsidRPr="00362517">
        <w:t xml:space="preserve">EPA previously assessed the costs and benefits of the proposed revisions to the Certification rule (BEAD, 2015b).  The analysis of the final revisions follows the same methodology; however, </w:t>
      </w:r>
      <w:r w:rsidRPr="00362517">
        <w:lastRenderedPageBreak/>
        <w:t>there are other important changes.  First and foremost, the final rule has been modified somewhat from the proposed revisions as a result of information received during the public comment period on the proposal.  A complete discussion of these changes is provided in the preamble to the final rule.</w:t>
      </w:r>
    </w:p>
    <w:p w14:paraId="5AB18127" w14:textId="77777777" w:rsidR="002A62C2" w:rsidRPr="00362517" w:rsidRDefault="002A62C2" w:rsidP="00BF6BC7"/>
    <w:p w14:paraId="5AB18128" w14:textId="77777777" w:rsidR="002A62C2" w:rsidRPr="00362517" w:rsidRDefault="002A62C2" w:rsidP="00BF6BC7">
      <w:r w:rsidRPr="00362517">
        <w:t xml:space="preserve">The cost analysis has been updated to reflect current wage information that has become available since the time of the proposal.  The number of affected entities, including both private and commercial applicators, private applicator establishments (farms) and commercial pesticide service firms, has been updated with more recent data.  Finally, based on comments received on the proposal, a few of the scenarios, notably those pertaining to the age requirements and recertification requirements, were revised.  Also, the comments received led to changes in the estimates of costs to </w:t>
      </w:r>
      <w:r w:rsidR="000D3D7C" w:rsidRPr="00362517">
        <w:t>certifying authorities</w:t>
      </w:r>
      <w:r w:rsidRPr="00362517">
        <w:t xml:space="preserve"> in complying with the final rule changes.</w:t>
      </w:r>
    </w:p>
    <w:p w14:paraId="5AB18129" w14:textId="77777777" w:rsidR="002A62C2" w:rsidRPr="00362517" w:rsidRDefault="002A62C2" w:rsidP="00BF6BC7"/>
    <w:p w14:paraId="5AB1812A" w14:textId="77777777" w:rsidR="002A62C2" w:rsidRPr="00362517" w:rsidRDefault="002A62C2" w:rsidP="00BF6BC7">
      <w:r w:rsidRPr="00362517">
        <w:t>The total cost of the final rule is estimated at $31.3 million annually.  The industry cost (cost to private and commercial applicators) decreased from $46.9 million to $24.8 million, but the costs to governmental entities increased by $6 million.  The overall cost of the</w:t>
      </w:r>
      <w:r w:rsidR="00771176" w:rsidRPr="00362517">
        <w:t xml:space="preserve"> final</w:t>
      </w:r>
      <w:r w:rsidRPr="00362517">
        <w:t xml:space="preserve"> rule is 34% lower than the $47.3 million annual cost for the proposed rule.</w:t>
      </w:r>
    </w:p>
    <w:p w14:paraId="5AB1812B" w14:textId="77777777" w:rsidR="002A62C2" w:rsidRPr="00362517" w:rsidRDefault="002A62C2" w:rsidP="00BF6BC7"/>
    <w:p w14:paraId="5AB1812C" w14:textId="7140E979" w:rsidR="002A62C2" w:rsidRPr="00362517" w:rsidRDefault="009D63A6" w:rsidP="00BF6BC7">
      <w:r w:rsidRPr="00362517">
        <w:t>There are two major sources for the reduction in the industry cost</w:t>
      </w:r>
      <w:r w:rsidR="00137000" w:rsidRPr="00362517">
        <w:t xml:space="preserve"> estimates for the proposed and final rules</w:t>
      </w:r>
      <w:r w:rsidRPr="00362517">
        <w:t>.  First, the estimated cost of age requirements for private applicators decreased to $240,000 per year from the proposal cost of $1.3 million annually.  The reduction in cost in comparison to the estimate for the proposal is primarily due to revised estimates regarding the number of adolescents impacted by the rule.  The final Worker Protection Standard (WPS) rule, which became effective after the publication of the proposed revisions to the Certification rule, prohibits adolescents, other than immediate family members, from mixing, loading, and applying all pesticides on a crop farm.  The WPS change, estimated to cost $2.4 million annually, greatly reduced the number of adolescents impacted by the final Certification rule, resulting in a large reduction in the total cost.  Costs of age requirements for commercial applicators also decreased significantly from the proposal due to more recent estimates of the number of adolescent non-certified applicators, decreasing the cost from $13</w:t>
      </w:r>
      <w:r w:rsidR="00C56508" w:rsidRPr="00362517">
        <w:t>.0</w:t>
      </w:r>
      <w:r w:rsidRPr="00362517">
        <w:t xml:space="preserve"> million to $6.4 million.  </w:t>
      </w:r>
      <w:r w:rsidR="002A62C2" w:rsidRPr="00362517">
        <w:t xml:space="preserve"> </w:t>
      </w:r>
    </w:p>
    <w:p w14:paraId="5AB1812D" w14:textId="77777777" w:rsidR="002A62C2" w:rsidRPr="00362517" w:rsidRDefault="002A62C2" w:rsidP="00BF6BC7"/>
    <w:p w14:paraId="5AB1812E" w14:textId="77777777" w:rsidR="009D63A6" w:rsidRPr="00362517" w:rsidRDefault="009D63A6" w:rsidP="00BF6BC7">
      <w:r w:rsidRPr="00362517">
        <w:t xml:space="preserve">Another major source of cost reduction is the revision to the proposed recertification standards (see Section 3.4.6 for details).  However, revised travel costs to training and/or exam sites to obtain necessary credentials for certification and recertification added substantially to the industry costs.  Overall, all of these revisions decreased the cost of the rule to the industry from $47 million for the proposal to $25 million for the final requirements.  </w:t>
      </w:r>
    </w:p>
    <w:p w14:paraId="5AB1812F" w14:textId="77777777" w:rsidR="009D63A6" w:rsidRPr="00362517" w:rsidRDefault="009D63A6" w:rsidP="00BF6BC7"/>
    <w:p w14:paraId="5AB18130" w14:textId="77777777" w:rsidR="002A62C2" w:rsidRPr="00362517" w:rsidRDefault="002A62C2" w:rsidP="00BF6BC7">
      <w:r w:rsidRPr="00362517">
        <w:t xml:space="preserve">Also reflecting the public comments received on the proposed rule changes, estimated costs to </w:t>
      </w:r>
      <w:r w:rsidR="000D3D7C" w:rsidRPr="00362517">
        <w:t>certifying authorities</w:t>
      </w:r>
      <w:r w:rsidRPr="00362517">
        <w:t xml:space="preserve"> increased significantly.  The largest increase comes from the revision to the costs of changing state laws and regulations to implement the final revisions.  Revised travel costs to training and/or exam sites add significantly to the ongoing costs of administering certification and recertification trainings and exams.  Costs of updating tracking database to implement the final rule changes are also included to the state costs.   </w:t>
      </w:r>
    </w:p>
    <w:p w14:paraId="5AB18131" w14:textId="77777777" w:rsidR="002A62C2" w:rsidRPr="00362517" w:rsidRDefault="002A62C2" w:rsidP="00BF6BC7"/>
    <w:p w14:paraId="23CBC68D" w14:textId="0AE97FD8" w:rsidR="00B2607A" w:rsidRPr="00362517" w:rsidRDefault="002A62C2" w:rsidP="00B2607A">
      <w:r w:rsidRPr="00362517">
        <w:t xml:space="preserve">The analysis of acute benefits has also been revised.  The analysis is based </w:t>
      </w:r>
      <w:r w:rsidR="00EB1560" w:rsidRPr="00362517">
        <w:t xml:space="preserve">on </w:t>
      </w:r>
      <w:r w:rsidRPr="00362517">
        <w:t xml:space="preserve">reported incidents of RUP poisonings, and more years of data are used compared to the </w:t>
      </w:r>
      <w:r w:rsidR="000C0407">
        <w:t>E</w:t>
      </w:r>
      <w:r w:rsidRPr="00362517">
        <w:t xml:space="preserve">conomic </w:t>
      </w:r>
      <w:r w:rsidR="000C0407">
        <w:t>A</w:t>
      </w:r>
      <w:r w:rsidRPr="00362517">
        <w:t xml:space="preserve">nalysis of the </w:t>
      </w:r>
      <w:r w:rsidRPr="00362517">
        <w:lastRenderedPageBreak/>
        <w:t>proposed rule.</w:t>
      </w:r>
      <w:r w:rsidR="00633E14" w:rsidRPr="00362517">
        <w:t xml:space="preserve">  The quantified estimate of benefits from reduced acute RUP </w:t>
      </w:r>
      <w:r w:rsidR="006A619C" w:rsidRPr="00362517">
        <w:t xml:space="preserve">exposure </w:t>
      </w:r>
      <w:r w:rsidR="00633E14" w:rsidRPr="00362517">
        <w:t xml:space="preserve">is </w:t>
      </w:r>
      <w:r w:rsidR="00633E14" w:rsidRPr="00362517">
        <w:rPr>
          <w:bCs/>
        </w:rPr>
        <w:t>between $13.2 and $</w:t>
      </w:r>
      <w:r w:rsidR="00E440D8">
        <w:rPr>
          <w:bCs/>
        </w:rPr>
        <w:t>24.</w:t>
      </w:r>
      <w:r w:rsidR="00C56508" w:rsidRPr="00362517">
        <w:rPr>
          <w:bCs/>
        </w:rPr>
        <w:t>3</w:t>
      </w:r>
      <w:r w:rsidR="00633E14" w:rsidRPr="00362517">
        <w:rPr>
          <w:bCs/>
        </w:rPr>
        <w:t xml:space="preserve"> million dollars through reduced acute illnesses from RUPs.  </w:t>
      </w:r>
      <w:r w:rsidR="00362517" w:rsidRPr="00362517">
        <w:rPr>
          <w:bCs/>
        </w:rPr>
        <w:t>If only 20% of incidents were reported</w:t>
      </w:r>
      <w:r w:rsidR="00EE23AA" w:rsidRPr="00362517">
        <w:rPr>
          <w:bCs/>
        </w:rPr>
        <w:t xml:space="preserve">, </w:t>
      </w:r>
      <w:r w:rsidR="00EE23AA" w:rsidRPr="00362517">
        <w:t>t</w:t>
      </w:r>
      <w:r w:rsidRPr="00362517">
        <w:t>he estimated benefits are between $</w:t>
      </w:r>
      <w:r w:rsidR="00965B15" w:rsidRPr="00362517">
        <w:t>65</w:t>
      </w:r>
      <w:r w:rsidRPr="00362517">
        <w:t>.</w:t>
      </w:r>
      <w:r w:rsidR="00965B15" w:rsidRPr="00362517">
        <w:t xml:space="preserve">9 </w:t>
      </w:r>
      <w:r w:rsidRPr="00362517">
        <w:t>million and $</w:t>
      </w:r>
      <w:r w:rsidR="00E440D8" w:rsidRPr="00362517">
        <w:t>1</w:t>
      </w:r>
      <w:r w:rsidR="00E440D8">
        <w:t>2</w:t>
      </w:r>
      <w:r w:rsidR="00E440D8" w:rsidRPr="00362517">
        <w:t>1</w:t>
      </w:r>
      <w:r w:rsidRPr="00362517">
        <w:t>.</w:t>
      </w:r>
      <w:r w:rsidR="00E440D8">
        <w:t>7</w:t>
      </w:r>
      <w:r w:rsidR="00E440D8" w:rsidRPr="00362517">
        <w:t xml:space="preserve"> </w:t>
      </w:r>
      <w:r w:rsidRPr="00362517">
        <w:t xml:space="preserve">million, (see Section 4.5).  This estimate is </w:t>
      </w:r>
      <w:r w:rsidR="00560D22" w:rsidRPr="00362517">
        <w:t>wide</w:t>
      </w:r>
      <w:r w:rsidR="00965B15" w:rsidRPr="00362517">
        <w:t xml:space="preserve">r </w:t>
      </w:r>
      <w:r w:rsidRPr="00362517">
        <w:t>than the $80.4 million to $81.8 million</w:t>
      </w:r>
      <w:r w:rsidR="00DB216D" w:rsidRPr="00362517">
        <w:t xml:space="preserve"> </w:t>
      </w:r>
      <w:r w:rsidRPr="00362517">
        <w:t xml:space="preserve">for the proposed rule because we used additional data, which </w:t>
      </w:r>
      <w:r w:rsidR="00965B15" w:rsidRPr="00362517">
        <w:t xml:space="preserve">reduced the low end </w:t>
      </w:r>
      <w:r w:rsidRPr="00362517">
        <w:t>estimate of prevented deaths per year</w:t>
      </w:r>
      <w:r w:rsidR="00965B15" w:rsidRPr="00362517">
        <w:t xml:space="preserve"> while increasing the high end estimate</w:t>
      </w:r>
      <w:r w:rsidRPr="00362517">
        <w:t xml:space="preserve">.  </w:t>
      </w:r>
      <w:r w:rsidR="00965B15" w:rsidRPr="00362517">
        <w:t xml:space="preserve">At the same time, the inflation adjustment for the value of a statistical life caused it to be higher than in the </w:t>
      </w:r>
      <w:r w:rsidR="000C0407">
        <w:t>E</w:t>
      </w:r>
      <w:r w:rsidR="00965B15" w:rsidRPr="00362517">
        <w:t xml:space="preserve">conomic </w:t>
      </w:r>
      <w:r w:rsidR="000C0407">
        <w:t>A</w:t>
      </w:r>
      <w:r w:rsidR="00965B15" w:rsidRPr="00362517">
        <w:t xml:space="preserve">nalysis for the proposed </w:t>
      </w:r>
      <w:r w:rsidR="00010E1B">
        <w:t>rule</w:t>
      </w:r>
      <w:r w:rsidR="00965B15" w:rsidRPr="00362517">
        <w:t xml:space="preserve">. </w:t>
      </w:r>
      <w:r w:rsidRPr="00362517">
        <w:t>We also excluded information from incidents involving paraquat and soil fumigants, because other EPA actions are specifically targeting pesticides with additional risk mitigation proposals.</w:t>
      </w:r>
      <w:r w:rsidR="00B2607A">
        <w:t xml:space="preserve">  In this analysis for the final rule, we are also using 50% reporting rates as a point for discussion to show how the estimates change based on different assumptions of under-reporting rates.  I</w:t>
      </w:r>
      <w:r w:rsidR="00B2607A" w:rsidRPr="00B2607A">
        <w:t>f 50% of poisonings are reported, then the quantified estimates of the rule would be between $</w:t>
      </w:r>
      <w:r w:rsidR="00B2607A">
        <w:t xml:space="preserve">26.3 and $48.7 million annually.  Estimates with 50% reporting were provided in the analysis for the proposed rule, but not discussed in detail.    </w:t>
      </w:r>
      <w:r w:rsidR="00B2607A" w:rsidRPr="00B2607A">
        <w:t xml:space="preserve">  </w:t>
      </w:r>
    </w:p>
    <w:p w14:paraId="5AB18132" w14:textId="4BC56E96" w:rsidR="002A62C2" w:rsidRPr="00362517" w:rsidRDefault="002A62C2" w:rsidP="00BF6BC7"/>
    <w:p w14:paraId="5AB18134" w14:textId="50CA75B1" w:rsidR="00B0023E" w:rsidRPr="00362517" w:rsidRDefault="00545FE6" w:rsidP="00BF6BC7">
      <w:pPr>
        <w:spacing w:after="160" w:line="259" w:lineRule="auto"/>
      </w:pPr>
      <w:r w:rsidRPr="00362517">
        <w:t xml:space="preserve">One important aspect of the analysis has not been changed: the timing over which changes to the certification program impact the affected entities.  The final rule allows jurisdictions a longer period (three years) to revise their certification programs than was proposed (two years).  The rule further allows states to delay implementing any changes for up to two years after EPA has approved the new programs.  As a result, full implementation could take three to seven years and vary considerably by state.  </w:t>
      </w:r>
      <w:r w:rsidRPr="00362517">
        <w:rPr>
          <w:iCs/>
        </w:rPr>
        <w:t xml:space="preserve">However, for the purpose of estimating the costs of the final revisions, EPA retains a two-year implementation period as in the analysis for the proposed rule, after which applicators are assumed to be in compliance with the new requirements.  Delaying the implementation has the apparent effect of reducing the cost to applicators due to discounting of costs borne in the future.  However, this seeming reduction is misleading in terms of truly reflecting the impact on applicators and small firms.  Estimating the impacts using a short implementation period better </w:t>
      </w:r>
      <w:r w:rsidRPr="00362517">
        <w:t>reflects the costs firms will bear, not the costs discounted in the future</w:t>
      </w:r>
      <w:r w:rsidRPr="00362517">
        <w:rPr>
          <w:iCs/>
        </w:rPr>
        <w:t xml:space="preserve">.  Using a two-year implementation period results in a slight overestimation of jurisdictions’ annualized implementation costs because EPA assumes that jurisdictions expend a given amount of resources to revise their certification programs and are likely to utilize the time period allowed by the final rule, which is at least three years.  Overall, the present value of the total cost of the rule is overestimated because some costs will occur later in time than is modeled.  </w:t>
      </w:r>
    </w:p>
    <w:p w14:paraId="5AB18135" w14:textId="77777777" w:rsidR="00FA01FB" w:rsidRPr="00362517" w:rsidRDefault="00FA01FB" w:rsidP="00BF6BC7">
      <w:pPr>
        <w:spacing w:after="160" w:line="259" w:lineRule="auto"/>
      </w:pPr>
      <w:r w:rsidRPr="00362517">
        <w:br w:type="page"/>
      </w:r>
    </w:p>
    <w:p w14:paraId="5AB18136" w14:textId="77777777" w:rsidR="00FA01FB" w:rsidRPr="00362517" w:rsidRDefault="00FA01FB" w:rsidP="00BF6BC7">
      <w:pPr>
        <w:pStyle w:val="Heading1"/>
        <w:rPr>
          <w:sz w:val="28"/>
        </w:rPr>
      </w:pPr>
      <w:bookmarkStart w:id="9" w:name="_Toc269111153"/>
      <w:bookmarkStart w:id="10" w:name="_Toc283974923"/>
      <w:bookmarkStart w:id="11" w:name="_Toc310953788"/>
      <w:bookmarkStart w:id="12" w:name="_Toc395177694"/>
      <w:bookmarkStart w:id="13" w:name="_Toc442965738"/>
      <w:bookmarkStart w:id="14" w:name="_Toc468872060"/>
      <w:r w:rsidRPr="00362517">
        <w:lastRenderedPageBreak/>
        <w:t>Chapter 2.  Final Revisions to the Rules Governing Certified Pesticide Applicator</w:t>
      </w:r>
      <w:bookmarkEnd w:id="9"/>
      <w:bookmarkEnd w:id="10"/>
      <w:r w:rsidRPr="00362517">
        <w:t>s</w:t>
      </w:r>
      <w:bookmarkEnd w:id="11"/>
      <w:bookmarkEnd w:id="12"/>
      <w:bookmarkEnd w:id="13"/>
      <w:bookmarkEnd w:id="14"/>
      <w:r w:rsidRPr="00362517">
        <w:rPr>
          <w:sz w:val="28"/>
        </w:rPr>
        <w:t xml:space="preserve"> </w:t>
      </w:r>
    </w:p>
    <w:p w14:paraId="5AB18137" w14:textId="77777777" w:rsidR="00FA01FB" w:rsidRPr="00362517" w:rsidRDefault="00FA01FB" w:rsidP="00BF6BC7">
      <w:pPr>
        <w:pStyle w:val="BodyText"/>
      </w:pPr>
    </w:p>
    <w:p w14:paraId="5AB18138" w14:textId="1D6DE868" w:rsidR="00FA01FB" w:rsidRPr="00362517" w:rsidRDefault="00FA01FB" w:rsidP="00BF6BC7">
      <w:pPr>
        <w:pStyle w:val="BodyText"/>
      </w:pPr>
      <w:r w:rsidRPr="00362517">
        <w:t>EPA is finalizing the standards for certification of applicators of RUPs.  RUPs are typically higher toxicity pesticides that pose higher environmental or health risks than other pesticides.  Only certified applicators or noncertified applicators working under the direct supervision of a certified applicator can legally apply RUPs.  Applicator certification enables the registration of pesticides that would not otherwise meet EPA’s safety standards, because such pesticides would, without specific and often complex use restrictions, cause unreasonable adverse effects on human health or the environment.  Certified applicators must demonstrate a level of competency to ensure that a</w:t>
      </w:r>
      <w:r w:rsidR="00CA28EA">
        <w:t>n</w:t>
      </w:r>
      <w:r w:rsidRPr="00362517">
        <w:t xml:space="preserve"> RUP can be used without causing these unreasonable adverse effects. </w:t>
      </w:r>
    </w:p>
    <w:p w14:paraId="5AB18139" w14:textId="77777777" w:rsidR="00FA01FB" w:rsidRPr="00362517" w:rsidRDefault="00FA01FB" w:rsidP="00BF6BC7">
      <w:pPr>
        <w:pStyle w:val="BodyText"/>
      </w:pPr>
    </w:p>
    <w:p w14:paraId="5AB1813A" w14:textId="77777777" w:rsidR="00FA01FB" w:rsidRPr="00362517" w:rsidRDefault="00FA01FB" w:rsidP="00BF6BC7">
      <w:pPr>
        <w:pStyle w:val="BodyText"/>
      </w:pPr>
      <w:r w:rsidRPr="00362517">
        <w:t>This chapter provides a summary of the final changes to the certification requirements and describes how they will increase pesticide safety by certified applicators and noncertified applicators working under their direct supervision; the preamble to the final rule presents additional details.  Chapter 3 estimates the costs of the revisions and Chapter 4 discusses the benefits of the revisions and provides quantitative estimates of the benefits from reduce acute exposure to RUPs.</w:t>
      </w:r>
    </w:p>
    <w:p w14:paraId="5AB1813B" w14:textId="77777777" w:rsidR="00FA01FB" w:rsidRPr="00362517" w:rsidRDefault="00FA01FB" w:rsidP="00BF6BC7">
      <w:pPr>
        <w:pStyle w:val="BodyText"/>
      </w:pPr>
    </w:p>
    <w:p w14:paraId="5AB1813C" w14:textId="77777777" w:rsidR="00FA01FB" w:rsidRPr="00362517" w:rsidRDefault="00FA01FB" w:rsidP="00BF6BC7">
      <w:pPr>
        <w:pStyle w:val="BodyText"/>
      </w:pPr>
      <w:r w:rsidRPr="00362517">
        <w:t xml:space="preserve">The final rule changes are designed to ensure the improved competence of certified applicators through imposing more rigorous certification standards, improving recertification standards, adding categories for certification </w:t>
      </w:r>
      <w:r w:rsidR="00184551" w:rsidRPr="00362517">
        <w:t xml:space="preserve">for </w:t>
      </w:r>
      <w:r w:rsidRPr="00362517">
        <w:t xml:space="preserve">specific application types, and minimum age requirements.  Under the final rule, noncertified applicators working under the direct supervision of certified applicators </w:t>
      </w:r>
      <w:r w:rsidR="002921EB" w:rsidRPr="00362517">
        <w:t>will</w:t>
      </w:r>
      <w:r w:rsidRPr="00362517">
        <w:t xml:space="preserve"> be provided additional training and protections that should increase their competence and safety and the safety of those around them.  In addition, there are administrative changes that are necessary to support the goals of the revised regulation, such as requirements to proctor certification exams and establish the identity of test-takers, recordkeeping, updates to state regulatory programs, and other tasks.  </w:t>
      </w:r>
    </w:p>
    <w:p w14:paraId="5AB1813D" w14:textId="77777777" w:rsidR="00FA01FB" w:rsidRPr="00362517" w:rsidRDefault="00FA01FB" w:rsidP="00BF6BC7">
      <w:pPr>
        <w:pStyle w:val="BodyText"/>
      </w:pPr>
    </w:p>
    <w:p w14:paraId="5AB1813E" w14:textId="77777777" w:rsidR="00FA01FB" w:rsidRPr="00362517" w:rsidRDefault="00FA01FB" w:rsidP="00BF6BC7">
      <w:pPr>
        <w:pStyle w:val="BodyText"/>
      </w:pPr>
      <w:r w:rsidRPr="00362517">
        <w:t>The next section of this chapter describes EPA’s non-regulatory programs that have been established to improve safety in the use of RUPs.  In Section 2.2, the individual line items that make up the regulatory changes are described, and differences between the proposed options and final rule are discussed.  Please refer to the preamble for the final Certification of Pesticide Applicators Rule Revisions for a complete discussion of the changes and the rationale for the Agency’s decisions.</w:t>
      </w:r>
    </w:p>
    <w:p w14:paraId="5AB1813F" w14:textId="77777777" w:rsidR="00FA01FB" w:rsidRPr="00362517" w:rsidRDefault="00FA01FB" w:rsidP="00BF6BC7">
      <w:pPr>
        <w:pStyle w:val="BodyText"/>
      </w:pPr>
    </w:p>
    <w:p w14:paraId="5AB18140" w14:textId="77777777" w:rsidR="00FA01FB" w:rsidRPr="00362517" w:rsidRDefault="00FA01FB" w:rsidP="00BF6BC7">
      <w:pPr>
        <w:pStyle w:val="BodyText"/>
      </w:pPr>
    </w:p>
    <w:p w14:paraId="5AB18141" w14:textId="497E01F3" w:rsidR="00FA01FB" w:rsidRPr="00362517" w:rsidRDefault="00FA01FB" w:rsidP="00BF6BC7">
      <w:pPr>
        <w:pStyle w:val="Heading2"/>
      </w:pPr>
      <w:bookmarkStart w:id="15" w:name="_Toc283974924"/>
      <w:bookmarkStart w:id="16" w:name="_Toc310953789"/>
      <w:bookmarkStart w:id="17" w:name="_Toc395177695"/>
      <w:bookmarkStart w:id="18" w:name="_Toc395788085"/>
      <w:bookmarkStart w:id="19" w:name="_Toc442965739"/>
      <w:bookmarkStart w:id="20" w:name="_Toc468872061"/>
      <w:r w:rsidRPr="00362517">
        <w:t>2.1</w:t>
      </w:r>
      <w:r w:rsidRPr="00362517">
        <w:tab/>
        <w:t>Non-regulatory Approaches to Improve Pesticide Safety</w:t>
      </w:r>
      <w:bookmarkEnd w:id="15"/>
      <w:bookmarkEnd w:id="16"/>
      <w:bookmarkEnd w:id="17"/>
      <w:bookmarkEnd w:id="18"/>
      <w:bookmarkEnd w:id="19"/>
      <w:bookmarkEnd w:id="20"/>
    </w:p>
    <w:p w14:paraId="5AB18142" w14:textId="77777777" w:rsidR="00FA01FB" w:rsidRPr="00362517" w:rsidRDefault="00FA01FB" w:rsidP="00BF6BC7"/>
    <w:p w14:paraId="5AB18143" w14:textId="77777777" w:rsidR="00FA01FB" w:rsidRPr="00362517" w:rsidRDefault="00FA01FB" w:rsidP="00BF6BC7">
      <w:pPr>
        <w:rPr>
          <w:bCs/>
        </w:rPr>
      </w:pPr>
      <w:r w:rsidRPr="00362517">
        <w:t xml:space="preserve">In addition to the regulatory changes EPA is finalizing, the Agency has and continues to pursue non-regulatory approaches to improve the competency of persons certified to use RUPs and those noncertified applicators working under their direct supervision, thereby protecting the applicators, the public, and the environment from pesticide exposure.  </w:t>
      </w:r>
      <w:r w:rsidRPr="00362517">
        <w:rPr>
          <w:bCs/>
        </w:rPr>
        <w:t xml:space="preserve">Since the mid-1990s, EPA has continually engaged stakeholders to evaluate the effectiveness of the rule and to determine </w:t>
      </w:r>
      <w:r w:rsidRPr="00362517">
        <w:rPr>
          <w:bCs/>
        </w:rPr>
        <w:lastRenderedPageBreak/>
        <w:t xml:space="preserve">what improvements, if any, are necessary to maintain an effective program that ensure RUPs are used safely.  </w:t>
      </w:r>
    </w:p>
    <w:p w14:paraId="5AB18144" w14:textId="77777777" w:rsidR="00FA01FB" w:rsidRPr="00362517" w:rsidRDefault="00FA01FB" w:rsidP="00BF6BC7">
      <w:pPr>
        <w:rPr>
          <w:bCs/>
        </w:rPr>
      </w:pPr>
    </w:p>
    <w:p w14:paraId="5AB18145" w14:textId="77777777" w:rsidR="00FA01FB" w:rsidRPr="00362517" w:rsidRDefault="00FA01FB" w:rsidP="00BF6BC7">
      <w:pPr>
        <w:rPr>
          <w:bCs/>
        </w:rPr>
      </w:pPr>
      <w:r w:rsidRPr="00362517">
        <w:rPr>
          <w:bCs/>
        </w:rPr>
        <w:t xml:space="preserve">EPA partners with stakeholders to pursue ways to improve certification programs across the United States.  The Certification and Training Assessment Group (CTAG), composed of representatives from state lead agencies, EPA, USDA, and cooperative extension services, was formed in 1996. The purpose of CTAG is to evaluate the current state of the certification programs across states, tribes, and federal agencies, and proposes improvements at both the state and federal level.  </w:t>
      </w:r>
      <w:r w:rsidRPr="00362517">
        <w:t xml:space="preserve">In 1999, CTAG issued a comprehensive report, </w:t>
      </w:r>
      <w:r w:rsidRPr="00362517">
        <w:rPr>
          <w:i/>
        </w:rPr>
        <w:t>Pesticide Safety in the 21</w:t>
      </w:r>
      <w:r w:rsidRPr="00362517">
        <w:rPr>
          <w:i/>
          <w:vertAlign w:val="superscript"/>
        </w:rPr>
        <w:t>st</w:t>
      </w:r>
      <w:r w:rsidRPr="00362517">
        <w:rPr>
          <w:i/>
        </w:rPr>
        <w:t xml:space="preserve"> Century </w:t>
      </w:r>
      <w:r w:rsidRPr="00362517">
        <w:t xml:space="preserve">(CTAG, 1999), which recommended improvements for state and federal pesticide applicator certification programs, including specific proposals on how to strengthen the certification regulation.  EPA has worked with CTAG and other program stakeholders continually since issuance of the 1999 CTAG report to implement many of the non-regulatory measures identified in the report to improve the applicator certification program.  EPA has undertaken several non-regulatory efforts such as supporting national workshops and professional development programs for state and tribal personnel involved in carrying out certification programs, supporting development of national training manuals and exams, and developing key guidance documents for certifying agencies.  These non-regulatory activities are discussed in more detail below. </w:t>
      </w:r>
    </w:p>
    <w:p w14:paraId="5AB18146" w14:textId="77777777" w:rsidR="00FA01FB" w:rsidRPr="00362517" w:rsidRDefault="00FA01FB" w:rsidP="00BF6BC7">
      <w:pPr>
        <w:rPr>
          <w:bCs/>
        </w:rPr>
      </w:pPr>
    </w:p>
    <w:p w14:paraId="5AB18147" w14:textId="77777777" w:rsidR="00FA01FB" w:rsidRPr="00362517" w:rsidRDefault="00FA01FB" w:rsidP="00BF6BC7">
      <w:r w:rsidRPr="00362517">
        <w:rPr>
          <w:bCs/>
        </w:rPr>
        <w:t>In addition to CTAG, EPA has met with groups including, state regulators, professional pesticide applicator organizations, pesticide manufacturers, farmers, and organizations representing commodity producers to discuss potential improvements to the rule.  Through public meetings and federal advisory committees, and as individuals and small groups, a broad spectrum of stakeholders provided recommendations to EPA.  Some of the recommendations were not related to the regulation, for example, developing national training materials for pesticide applicators, promoting better cooperation between trainers and state regulatory agencies, and re-evaluating the formula used by EPA to distribute funds to agencies certifying pesticide applicators.  Other recommendations, such as strengthening the initial certification requirements, establishing a recertification period and standards, and improving protections for persons working under the direct supervision of a certified applicator, could only be accomplished by changing the regulation.</w:t>
      </w:r>
      <w:r w:rsidRPr="00362517">
        <w:t xml:space="preserve">  </w:t>
      </w:r>
      <w:r w:rsidRPr="00362517">
        <w:rPr>
          <w:bCs/>
        </w:rPr>
        <w:t xml:space="preserve">From these inputs, EPA prepared a report (EPA, 2014c), the National Assessment of the Pesticide Worker Safety Program, in which </w:t>
      </w:r>
      <w:r w:rsidRPr="00362517">
        <w:t xml:space="preserve">EPA identified activities that it could take to improve applicator competency and to better protect human health and the environment from exposure to RUPs. </w:t>
      </w:r>
    </w:p>
    <w:p w14:paraId="5AB18148" w14:textId="77777777" w:rsidR="00FA01FB" w:rsidRPr="00362517" w:rsidRDefault="00FA01FB" w:rsidP="00BF6BC7"/>
    <w:p w14:paraId="5AB18149" w14:textId="77777777" w:rsidR="00FA01FB" w:rsidRPr="00362517" w:rsidRDefault="00FA01FB" w:rsidP="00BF6BC7">
      <w:r w:rsidRPr="00362517">
        <w:t xml:space="preserve">As noted above, EPA has undertaken several non-regulatory efforts to improve the program and applicator competency including a variety of outreach activities designed to strengthen state applicator certification and recertification programs.  EPA works with stakeholders and under cooperative agreements to develop best practices and model programs for state regulatory and training organizations such as criteria for secure exam administration, standards for online recertification training programs, and how to audit applicator training programs for effectiveness.    </w:t>
      </w:r>
    </w:p>
    <w:p w14:paraId="5AB1814A" w14:textId="77777777" w:rsidR="00FA01FB" w:rsidRPr="00362517" w:rsidRDefault="00FA01FB" w:rsidP="00BF6BC7"/>
    <w:p w14:paraId="5AB1814B" w14:textId="77777777" w:rsidR="00FA01FB" w:rsidRPr="00362517" w:rsidRDefault="00FA01FB" w:rsidP="00BF6BC7">
      <w:r w:rsidRPr="00362517">
        <w:t xml:space="preserve">EPA developed the </w:t>
      </w:r>
      <w:r w:rsidRPr="00362517">
        <w:rPr>
          <w:i/>
        </w:rPr>
        <w:t xml:space="preserve">Interim National Program Guidance for EPA Regional Offices on EPA’s Pesticide Applicator Certification Program </w:t>
      </w:r>
      <w:r w:rsidRPr="00362517">
        <w:t xml:space="preserve">(EPA, 2006) to clarify provisions in the current rule.  The guidance covers administrative requirements for written examinations, legal authorities for </w:t>
      </w:r>
      <w:r w:rsidRPr="00362517">
        <w:lastRenderedPageBreak/>
        <w:t>certification plans, how modifications to certification plans are to be made and reviewed, requirements for state-tribal agreements for certification, and issues related to tribal certification plans and federal plans for certification of applicators in Indian Country.  While this document does clarify EPA’s interpretation of the regulation, it is solely guidance and does not carry the weight of regulation.</w:t>
      </w:r>
    </w:p>
    <w:p w14:paraId="5AB1814C" w14:textId="77777777" w:rsidR="00FA01FB" w:rsidRPr="00362517" w:rsidRDefault="00FA01FB" w:rsidP="00BF6BC7"/>
    <w:p w14:paraId="5AB1814D" w14:textId="77777777" w:rsidR="00FA01FB" w:rsidRPr="00362517" w:rsidRDefault="00FA01FB" w:rsidP="00BF6BC7">
      <w:r w:rsidRPr="00362517">
        <w:t xml:space="preserve">EPA also developed an online tool, the Certification Plan and Reporting Database (CPARD) (http://cpard.wsu.edu/), which allows states, tribes, and federal agencies to efficiently maintain their certification plans electronically.  The CPARD system also provides an easy web-based reporting system to submit required annual program certification and recertification reports to EPA electronically, thereby reducing administrative burden and paperwork.  </w:t>
      </w:r>
    </w:p>
    <w:p w14:paraId="5AB1814E" w14:textId="77777777" w:rsidR="00FA01FB" w:rsidRPr="00362517" w:rsidRDefault="00FA01FB" w:rsidP="00BF6BC7"/>
    <w:p w14:paraId="5AB1814F" w14:textId="77777777" w:rsidR="00FA01FB" w:rsidRPr="00362517" w:rsidRDefault="00FA01FB" w:rsidP="00BF6BC7">
      <w:r w:rsidRPr="00362517">
        <w:t>EPA has taken a number of other non-regulatory steps to improve coordination with stakeholders in the program, including meeting regularly with stakeholders to review progress on key projects, supporting a biennial national meeting of regulatory program managers and pesticide safety educators, meeting biannually with CTAG, and providing updates to the Pesticide Program Dialogue Committee</w:t>
      </w:r>
      <w:r w:rsidRPr="00362517">
        <w:rPr>
          <w:vertAlign w:val="superscript"/>
        </w:rPr>
        <w:footnoteReference w:id="5"/>
      </w:r>
      <w:r w:rsidRPr="00362517">
        <w:t xml:space="preserve"> (PPDC) on pesticide applicator certification and training issues. The National Assessment process developed a network of interested and engaged stakeholders that has strengthened the program and produced new opportunities for collaboration.</w:t>
      </w:r>
    </w:p>
    <w:p w14:paraId="5AB18150" w14:textId="77777777" w:rsidR="00FA01FB" w:rsidRPr="00362517" w:rsidRDefault="00FA01FB" w:rsidP="00BF6BC7"/>
    <w:p w14:paraId="5AB18151" w14:textId="77777777" w:rsidR="00FA01FB" w:rsidRPr="00362517" w:rsidRDefault="00FA01FB" w:rsidP="00BF6BC7">
      <w:r w:rsidRPr="00362517">
        <w:t xml:space="preserve">In cooperation with stakeholders, EPA supported the development of a national core manual and exam for pesticide applicator certification (National Association of State Departments of Agriculture Research Foundation, 2012a).  This core manual and exam cover the general competencies a commercial applicator must possess in order to use RUPs safely and to protect himself, the public, and the environment from exposure to RUPs.  In addition, EPA has collaborated with </w:t>
      </w:r>
      <w:r w:rsidR="000D3D7C" w:rsidRPr="00362517">
        <w:t>certifying authorities</w:t>
      </w:r>
      <w:r w:rsidRPr="00362517">
        <w:t>, applicators, and industry to develop and make available national training materials and exams for aerial (National Association of State Departments of Agriculture Research Foundation, 2011a), rights-of-way ((National Association of State Departments of Agriculture Research Foundation, 2011b), and soil fumigation (National Association of State Departments of Agriculture Research Foundation, 2012a) pesticide applications. The regulatory changes that EPA is finalizing are designed to complement these activities to improve national consistency in pesticide applicator certification and to raise the level of RUP applicator competency to better protect the public and the environment.  In many cases, the individual final revisions came out of the process of consulting with stakeholders and industry participants.</w:t>
      </w:r>
    </w:p>
    <w:p w14:paraId="5AB18152" w14:textId="77777777" w:rsidR="00FA01FB" w:rsidRPr="00362517" w:rsidRDefault="00FA01FB" w:rsidP="00BF6BC7"/>
    <w:p w14:paraId="5AB18153" w14:textId="77777777" w:rsidR="00FA01FB" w:rsidRPr="00362517" w:rsidRDefault="00FA01FB" w:rsidP="00BF6BC7">
      <w:r w:rsidRPr="00362517">
        <w:t>Despite this constant activity by EPA and industry stakeholders, the need for revised regulatory standards remains.  Even with the support these non-regulatory activities provide, there continue to be serious incidents of misapplication of RUPs and other products by certified applicators, resulting in effects on human health and the environment</w:t>
      </w:r>
      <w:r w:rsidRPr="00362517">
        <w:rPr>
          <w:rStyle w:val="FootnoteReference"/>
        </w:rPr>
        <w:footnoteReference w:id="6"/>
      </w:r>
      <w:r w:rsidRPr="00362517">
        <w:t xml:space="preserve">. Certain protective changes essential to reducing incidents and improving the safe use of RUPs, such as a minimum age for applicators, certification in specific use categories, and establishing training requirements for </w:t>
      </w:r>
      <w:r w:rsidRPr="00362517">
        <w:lastRenderedPageBreak/>
        <w:t xml:space="preserve">noncertified applicators applying RUPs under the direct supervision of a certified applicator can only be brought about at a national level by regulation change.  </w:t>
      </w:r>
    </w:p>
    <w:p w14:paraId="5AB18154" w14:textId="77777777" w:rsidR="00FA01FB" w:rsidRPr="00362517" w:rsidRDefault="00FA01FB" w:rsidP="00BF6BC7"/>
    <w:p w14:paraId="5AB18155" w14:textId="77777777" w:rsidR="00FA01FB" w:rsidRPr="00362517" w:rsidRDefault="00FA01FB" w:rsidP="00BF6BC7"/>
    <w:p w14:paraId="5AB18156" w14:textId="77777777" w:rsidR="00FA01FB" w:rsidRPr="00362517" w:rsidRDefault="00FA01FB" w:rsidP="00BF6BC7">
      <w:pPr>
        <w:pStyle w:val="Heading2"/>
      </w:pPr>
      <w:bookmarkStart w:id="21" w:name="_Toc310953790"/>
      <w:bookmarkStart w:id="22" w:name="_Toc395177696"/>
      <w:bookmarkStart w:id="23" w:name="_Toc395788086"/>
      <w:bookmarkStart w:id="24" w:name="_Toc442965740"/>
      <w:bookmarkStart w:id="25" w:name="_Toc468872062"/>
      <w:r w:rsidRPr="00362517">
        <w:t>2.2</w:t>
      </w:r>
      <w:r w:rsidRPr="00362517">
        <w:tab/>
        <w:t>Final Changes to the Certification Standards</w:t>
      </w:r>
      <w:bookmarkEnd w:id="21"/>
      <w:bookmarkEnd w:id="22"/>
      <w:bookmarkEnd w:id="23"/>
      <w:bookmarkEnd w:id="24"/>
      <w:bookmarkEnd w:id="25"/>
    </w:p>
    <w:p w14:paraId="5AB18157" w14:textId="77777777" w:rsidR="00FA01FB" w:rsidRPr="00362517" w:rsidRDefault="00FA01FB" w:rsidP="00BF6BC7"/>
    <w:p w14:paraId="5AB18158" w14:textId="77777777" w:rsidR="00FA01FB" w:rsidRPr="00362517" w:rsidRDefault="00FA01FB" w:rsidP="00BF6BC7">
      <w:pPr>
        <w:pStyle w:val="BodyText"/>
      </w:pPr>
      <w:r w:rsidRPr="00362517">
        <w:t xml:space="preserve">In the final regulation, EPA is revising the requirements for: </w:t>
      </w:r>
    </w:p>
    <w:p w14:paraId="5AB18159" w14:textId="77777777" w:rsidR="00FA01FB" w:rsidRPr="00362517" w:rsidRDefault="00FA01FB" w:rsidP="00BF6BC7">
      <w:pPr>
        <w:pStyle w:val="BodyText"/>
        <w:numPr>
          <w:ilvl w:val="0"/>
          <w:numId w:val="22"/>
        </w:numPr>
        <w:tabs>
          <w:tab w:val="right" w:pos="8640"/>
        </w:tabs>
      </w:pPr>
      <w:r w:rsidRPr="00362517">
        <w:t>Private Applicator General Competency Standards (Section 2.2.1)</w:t>
      </w:r>
    </w:p>
    <w:p w14:paraId="5AB1815A" w14:textId="77777777" w:rsidR="00FA01FB" w:rsidRPr="00362517" w:rsidRDefault="00FA01FB" w:rsidP="00BF6BC7">
      <w:pPr>
        <w:pStyle w:val="BodyText"/>
        <w:numPr>
          <w:ilvl w:val="0"/>
          <w:numId w:val="22"/>
        </w:numPr>
        <w:tabs>
          <w:tab w:val="right" w:pos="8640"/>
        </w:tabs>
      </w:pPr>
      <w:r w:rsidRPr="00362517">
        <w:t xml:space="preserve">Establish </w:t>
      </w:r>
      <w:r w:rsidR="00184551" w:rsidRPr="00362517">
        <w:t xml:space="preserve">Additional </w:t>
      </w:r>
      <w:r w:rsidRPr="00362517">
        <w:t>Categories for Commercial and Private Applicators (Section 2.2.2)</w:t>
      </w:r>
    </w:p>
    <w:p w14:paraId="5AB1815B" w14:textId="77777777" w:rsidR="00FA01FB" w:rsidRPr="00362517" w:rsidRDefault="00FA01FB" w:rsidP="00BF6BC7">
      <w:pPr>
        <w:pStyle w:val="BodyText"/>
        <w:numPr>
          <w:ilvl w:val="0"/>
          <w:numId w:val="22"/>
        </w:numPr>
        <w:tabs>
          <w:tab w:val="right" w:pos="8640"/>
        </w:tabs>
      </w:pPr>
      <w:r w:rsidRPr="00362517">
        <w:t>Establish Predator Control Categories for Commercial and Private Applicators to Correspond to Existing Label Requirements (Section 2.2.3)</w:t>
      </w:r>
    </w:p>
    <w:p w14:paraId="5AB1815C" w14:textId="77777777" w:rsidR="00FA01FB" w:rsidRPr="00362517" w:rsidRDefault="00FA01FB" w:rsidP="00BF6BC7">
      <w:pPr>
        <w:pStyle w:val="BodyText"/>
        <w:numPr>
          <w:ilvl w:val="0"/>
          <w:numId w:val="22"/>
        </w:numPr>
      </w:pPr>
      <w:r w:rsidRPr="00362517">
        <w:t>Security Standards for Certifying or Recertifying Commercial and Private Applicators (Section 2.2.4)</w:t>
      </w:r>
    </w:p>
    <w:p w14:paraId="5AB1815D" w14:textId="77777777" w:rsidR="00FA01FB" w:rsidRPr="00362517" w:rsidRDefault="00FA01FB" w:rsidP="00BF6BC7">
      <w:pPr>
        <w:pStyle w:val="BodyText"/>
        <w:numPr>
          <w:ilvl w:val="0"/>
          <w:numId w:val="22"/>
        </w:numPr>
        <w:tabs>
          <w:tab w:val="right" w:pos="8640"/>
        </w:tabs>
      </w:pPr>
      <w:r w:rsidRPr="00362517">
        <w:t>Standards for Supervision of Noncertified Applicators, and Provisions for Commercial Applicator Recordkeeping of Noncertified Applicator Training (Section 2.2.5)</w:t>
      </w:r>
    </w:p>
    <w:p w14:paraId="5AB1815E" w14:textId="77777777" w:rsidR="00FA01FB" w:rsidRPr="00362517" w:rsidRDefault="00FA01FB" w:rsidP="00BF6BC7">
      <w:pPr>
        <w:pStyle w:val="BodyText"/>
        <w:numPr>
          <w:ilvl w:val="0"/>
          <w:numId w:val="22"/>
        </w:numPr>
        <w:tabs>
          <w:tab w:val="right" w:pos="8640"/>
        </w:tabs>
      </w:pPr>
      <w:r w:rsidRPr="00362517">
        <w:t>Age Requirements for Private and Commercial Applicators (Section 2.2.6)</w:t>
      </w:r>
    </w:p>
    <w:p w14:paraId="5AB1815F" w14:textId="77777777" w:rsidR="00FA01FB" w:rsidRPr="00362517" w:rsidRDefault="00FA01FB" w:rsidP="00BF6BC7">
      <w:pPr>
        <w:pStyle w:val="BodyText"/>
        <w:numPr>
          <w:ilvl w:val="0"/>
          <w:numId w:val="22"/>
        </w:numPr>
        <w:tabs>
          <w:tab w:val="right" w:pos="8640"/>
        </w:tabs>
      </w:pPr>
      <w:r w:rsidRPr="00362517">
        <w:t>Age Requirements for Noncertified Applicators Applying RUPs under the Direct Supervision of Commercial and Private Applicators (Section 2.2.7)</w:t>
      </w:r>
    </w:p>
    <w:p w14:paraId="5AB18160" w14:textId="77777777" w:rsidR="00FA01FB" w:rsidRPr="00362517" w:rsidRDefault="00FA01FB" w:rsidP="00BF6BC7">
      <w:pPr>
        <w:pStyle w:val="BodyText"/>
        <w:numPr>
          <w:ilvl w:val="0"/>
          <w:numId w:val="22"/>
        </w:numPr>
        <w:tabs>
          <w:tab w:val="right" w:pos="8640"/>
        </w:tabs>
      </w:pPr>
      <w:r w:rsidRPr="00362517">
        <w:t>Standards for Recertification of Private and Commercial Applicators (Section 2.2.8)</w:t>
      </w:r>
    </w:p>
    <w:p w14:paraId="5AB18161" w14:textId="77777777" w:rsidR="00FA01FB" w:rsidRPr="00362517" w:rsidRDefault="00FA01FB" w:rsidP="00BF6BC7">
      <w:pPr>
        <w:pStyle w:val="BodyText"/>
        <w:numPr>
          <w:ilvl w:val="0"/>
          <w:numId w:val="22"/>
        </w:numPr>
        <w:tabs>
          <w:tab w:val="right" w:pos="8640"/>
        </w:tabs>
      </w:pPr>
      <w:r w:rsidRPr="00362517">
        <w:t>General Administrative Requirements for RUP Dealers, States, Tribes, and Federal Agencies (Section 2.2.9).</w:t>
      </w:r>
    </w:p>
    <w:p w14:paraId="5AB18162" w14:textId="77777777" w:rsidR="00FA01FB" w:rsidRPr="00362517" w:rsidRDefault="00FA01FB" w:rsidP="00BF6BC7">
      <w:pPr>
        <w:pStyle w:val="BodyText"/>
      </w:pPr>
    </w:p>
    <w:p w14:paraId="5AB18163" w14:textId="77777777" w:rsidR="00FA01FB" w:rsidRPr="00362517" w:rsidRDefault="00FA01FB" w:rsidP="00BF6BC7">
      <w:pPr>
        <w:pStyle w:val="BodyText"/>
      </w:pPr>
      <w:r w:rsidRPr="00362517">
        <w:t>These changes are designed to enhance the competency of applicators, to provide more practical options for establishing certification programs, and to improve the overall clarity and organization of the rule.  These measures work together to help prevent unreasonable adverse effects to human health and the environment.  For each of these areas, a summary table of the existing, proposed, and final requirements is presented.  We discuss the intent of the requirements and provide a discussion of expected benefits.</w:t>
      </w:r>
    </w:p>
    <w:p w14:paraId="5AB18164" w14:textId="77777777" w:rsidR="00FA01FB" w:rsidRPr="00362517" w:rsidRDefault="00FA01FB" w:rsidP="00BF6BC7">
      <w:pPr>
        <w:pStyle w:val="BodyText"/>
      </w:pPr>
    </w:p>
    <w:p w14:paraId="5AB18165" w14:textId="77777777" w:rsidR="00FA01FB" w:rsidRPr="00362517" w:rsidRDefault="00FA01FB" w:rsidP="00BF6BC7">
      <w:pPr>
        <w:pStyle w:val="BodyText"/>
      </w:pPr>
    </w:p>
    <w:p w14:paraId="5AB18166" w14:textId="0FCFC88D" w:rsidR="00FA01FB" w:rsidRPr="00362517" w:rsidRDefault="00FA01FB" w:rsidP="00BF6BC7">
      <w:pPr>
        <w:pStyle w:val="Heading3"/>
        <w:rPr>
          <w:b/>
        </w:rPr>
      </w:pPr>
      <w:bookmarkStart w:id="26" w:name="_Toc310953791"/>
      <w:bookmarkStart w:id="27" w:name="_Toc395177697"/>
      <w:bookmarkStart w:id="28" w:name="_Toc395788087"/>
      <w:bookmarkStart w:id="29" w:name="_Toc442965741"/>
      <w:bookmarkStart w:id="30" w:name="_Toc468872063"/>
      <w:r w:rsidRPr="00362517">
        <w:t>2.2.1</w:t>
      </w:r>
      <w:r w:rsidRPr="00362517">
        <w:tab/>
        <w:t>Enhancement of Private Applicator General Competency Standards</w:t>
      </w:r>
      <w:bookmarkEnd w:id="26"/>
      <w:bookmarkEnd w:id="27"/>
      <w:bookmarkEnd w:id="28"/>
      <w:bookmarkEnd w:id="29"/>
      <w:bookmarkEnd w:id="30"/>
      <w:r w:rsidRPr="00362517">
        <w:rPr>
          <w:b/>
        </w:rPr>
        <w:t xml:space="preserve"> </w:t>
      </w:r>
    </w:p>
    <w:p w14:paraId="5AB18167" w14:textId="77777777" w:rsidR="00FA01FB" w:rsidRPr="00362517" w:rsidRDefault="00FA01FB" w:rsidP="00BF6BC7"/>
    <w:p w14:paraId="5AB18168" w14:textId="77777777" w:rsidR="00FA01FB" w:rsidRPr="00362517" w:rsidRDefault="00FA01FB" w:rsidP="00BF6BC7">
      <w:pPr>
        <w:rPr>
          <w:i/>
        </w:rPr>
      </w:pPr>
      <w:r w:rsidRPr="00362517">
        <w:rPr>
          <w:i/>
        </w:rPr>
        <w:t xml:space="preserve">Initial Certification for Private Applicators </w:t>
      </w:r>
    </w:p>
    <w:p w14:paraId="5AB18169" w14:textId="77777777" w:rsidR="00FA01FB" w:rsidRPr="00362517" w:rsidRDefault="00FA01FB" w:rsidP="00BF6BC7"/>
    <w:p w14:paraId="5AB1816A" w14:textId="77777777" w:rsidR="00FA01FB" w:rsidRPr="00362517" w:rsidRDefault="00FA01FB" w:rsidP="00BF6BC7">
      <w:pPr>
        <w:spacing w:after="240"/>
      </w:pPr>
      <w:r w:rsidRPr="00362517">
        <w:t>The final changes to the standards for initial certification are designed to more clearly reflect the knowledge and skills needed by private applicators to apply RUPs safely.  These changes are summarized in Table 2.2-1.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tblGrid>
      <w:tr w:rsidR="00362517" w:rsidRPr="00362517" w14:paraId="5AB1816C" w14:textId="77777777" w:rsidTr="0034043F">
        <w:trPr>
          <w:tblHeader/>
        </w:trPr>
        <w:tc>
          <w:tcPr>
            <w:tcW w:w="9360" w:type="dxa"/>
            <w:gridSpan w:val="4"/>
            <w:vAlign w:val="bottom"/>
          </w:tcPr>
          <w:p w14:paraId="5AB1816B" w14:textId="77777777" w:rsidR="00FA01FB" w:rsidRPr="00362517" w:rsidRDefault="00FA01FB" w:rsidP="00BF6BC7">
            <w:pPr>
              <w:keepNext/>
              <w:rPr>
                <w:b/>
                <w:bCs/>
                <w:sz w:val="20"/>
                <w:szCs w:val="20"/>
              </w:rPr>
            </w:pPr>
            <w:r w:rsidRPr="00362517">
              <w:rPr>
                <w:b/>
                <w:bCs/>
                <w:sz w:val="20"/>
                <w:szCs w:val="20"/>
              </w:rPr>
              <w:lastRenderedPageBreak/>
              <w:t>Table 2.2-1.  Current,  Proposed, and Final Competency Standards for Initial Private Applicator Certification</w:t>
            </w:r>
          </w:p>
        </w:tc>
      </w:tr>
      <w:tr w:rsidR="00362517" w:rsidRPr="00362517" w14:paraId="5AB18171" w14:textId="77777777" w:rsidTr="0034043F">
        <w:trPr>
          <w:tblHeader/>
        </w:trPr>
        <w:tc>
          <w:tcPr>
            <w:tcW w:w="2340" w:type="dxa"/>
            <w:vAlign w:val="center"/>
          </w:tcPr>
          <w:p w14:paraId="5AB1816D" w14:textId="77777777" w:rsidR="00FA01FB" w:rsidRPr="00362517" w:rsidRDefault="00FA01FB" w:rsidP="00BF6BC7">
            <w:pPr>
              <w:keepNext/>
              <w:jc w:val="center"/>
              <w:rPr>
                <w:b/>
                <w:bCs/>
                <w:sz w:val="20"/>
                <w:szCs w:val="20"/>
              </w:rPr>
            </w:pPr>
            <w:r w:rsidRPr="00362517">
              <w:rPr>
                <w:b/>
                <w:bCs/>
                <w:sz w:val="20"/>
                <w:szCs w:val="20"/>
              </w:rPr>
              <w:t xml:space="preserve">Regulatory Element </w:t>
            </w:r>
          </w:p>
        </w:tc>
        <w:tc>
          <w:tcPr>
            <w:tcW w:w="2340" w:type="dxa"/>
            <w:vAlign w:val="center"/>
          </w:tcPr>
          <w:p w14:paraId="5AB1816E" w14:textId="77777777" w:rsidR="00FA01FB" w:rsidRPr="00362517" w:rsidRDefault="00FA01FB" w:rsidP="00BF6BC7">
            <w:pPr>
              <w:keepNext/>
              <w:jc w:val="center"/>
              <w:rPr>
                <w:b/>
                <w:bCs/>
                <w:sz w:val="20"/>
                <w:szCs w:val="20"/>
              </w:rPr>
            </w:pPr>
            <w:r w:rsidRPr="00362517">
              <w:rPr>
                <w:b/>
                <w:bCs/>
                <w:sz w:val="20"/>
                <w:szCs w:val="20"/>
              </w:rPr>
              <w:t>Current Regulatory Status</w:t>
            </w:r>
          </w:p>
        </w:tc>
        <w:tc>
          <w:tcPr>
            <w:tcW w:w="2340" w:type="dxa"/>
            <w:vAlign w:val="center"/>
          </w:tcPr>
          <w:p w14:paraId="5AB1816F" w14:textId="77777777" w:rsidR="00FA01FB" w:rsidRPr="00362517" w:rsidRDefault="00FA01FB" w:rsidP="00BF6BC7">
            <w:pPr>
              <w:keepNext/>
              <w:jc w:val="center"/>
              <w:rPr>
                <w:b/>
                <w:bCs/>
                <w:sz w:val="20"/>
                <w:szCs w:val="20"/>
              </w:rPr>
            </w:pPr>
            <w:r w:rsidRPr="00362517">
              <w:rPr>
                <w:b/>
                <w:bCs/>
                <w:sz w:val="20"/>
                <w:szCs w:val="20"/>
              </w:rPr>
              <w:t>Proposed Option</w:t>
            </w:r>
          </w:p>
        </w:tc>
        <w:tc>
          <w:tcPr>
            <w:tcW w:w="2340" w:type="dxa"/>
            <w:vAlign w:val="center"/>
          </w:tcPr>
          <w:p w14:paraId="5AB18170" w14:textId="77777777" w:rsidR="00FA01FB" w:rsidRPr="00362517" w:rsidRDefault="00FA01FB" w:rsidP="00BF6BC7">
            <w:pPr>
              <w:keepNext/>
              <w:jc w:val="center"/>
              <w:rPr>
                <w:b/>
                <w:bCs/>
                <w:sz w:val="20"/>
                <w:szCs w:val="20"/>
              </w:rPr>
            </w:pPr>
            <w:r w:rsidRPr="00362517">
              <w:rPr>
                <w:b/>
                <w:bCs/>
                <w:sz w:val="20"/>
                <w:szCs w:val="20"/>
              </w:rPr>
              <w:t>Final Requirement</w:t>
            </w:r>
          </w:p>
        </w:tc>
      </w:tr>
      <w:tr w:rsidR="00362517" w:rsidRPr="00362517" w14:paraId="5AB18173" w14:textId="77777777" w:rsidTr="0034043F">
        <w:tc>
          <w:tcPr>
            <w:tcW w:w="9360" w:type="dxa"/>
            <w:gridSpan w:val="4"/>
            <w:vAlign w:val="center"/>
          </w:tcPr>
          <w:p w14:paraId="5AB18172" w14:textId="77777777" w:rsidR="00FA01FB" w:rsidRPr="00362517" w:rsidRDefault="00FA01FB" w:rsidP="00BF6BC7">
            <w:pPr>
              <w:keepNext/>
              <w:jc w:val="center"/>
              <w:rPr>
                <w:sz w:val="20"/>
                <w:szCs w:val="20"/>
              </w:rPr>
            </w:pPr>
            <w:r w:rsidRPr="00362517">
              <w:rPr>
                <w:sz w:val="20"/>
                <w:szCs w:val="20"/>
              </w:rPr>
              <w:t>Private Applicators</w:t>
            </w:r>
          </w:p>
        </w:tc>
      </w:tr>
      <w:tr w:rsidR="00362517" w:rsidRPr="00362517" w14:paraId="5AB18178" w14:textId="77777777" w:rsidTr="0034043F">
        <w:trPr>
          <w:trHeight w:val="1151"/>
        </w:trPr>
        <w:tc>
          <w:tcPr>
            <w:tcW w:w="2340" w:type="dxa"/>
            <w:vAlign w:val="center"/>
          </w:tcPr>
          <w:p w14:paraId="5AB18174" w14:textId="77777777" w:rsidR="00FA01FB" w:rsidRPr="00362517" w:rsidRDefault="00FA01FB" w:rsidP="00BF6BC7">
            <w:pPr>
              <w:keepNext/>
              <w:jc w:val="center"/>
              <w:rPr>
                <w:sz w:val="20"/>
                <w:szCs w:val="20"/>
              </w:rPr>
            </w:pPr>
            <w:r w:rsidRPr="00362517">
              <w:rPr>
                <w:sz w:val="20"/>
                <w:szCs w:val="20"/>
              </w:rPr>
              <w:t>Initial certification</w:t>
            </w:r>
          </w:p>
        </w:tc>
        <w:tc>
          <w:tcPr>
            <w:tcW w:w="2340" w:type="dxa"/>
            <w:vAlign w:val="center"/>
          </w:tcPr>
          <w:p w14:paraId="5AB18175" w14:textId="77777777" w:rsidR="00FA01FB" w:rsidRPr="00362517" w:rsidRDefault="00FA01FB" w:rsidP="00BF6BC7">
            <w:pPr>
              <w:keepNext/>
              <w:jc w:val="center"/>
              <w:rPr>
                <w:sz w:val="20"/>
                <w:szCs w:val="20"/>
              </w:rPr>
            </w:pPr>
            <w:r w:rsidRPr="00362517">
              <w:rPr>
                <w:sz w:val="20"/>
                <w:szCs w:val="20"/>
              </w:rPr>
              <w:t>Exam and/or Training options on five topics; varies by state</w:t>
            </w:r>
          </w:p>
        </w:tc>
        <w:tc>
          <w:tcPr>
            <w:tcW w:w="2340" w:type="dxa"/>
            <w:vAlign w:val="center"/>
          </w:tcPr>
          <w:p w14:paraId="5AB18176" w14:textId="77777777" w:rsidR="00FA01FB" w:rsidRPr="00362517" w:rsidRDefault="00FA01FB" w:rsidP="00BF6BC7">
            <w:pPr>
              <w:keepNext/>
              <w:jc w:val="center"/>
              <w:rPr>
                <w:sz w:val="20"/>
                <w:szCs w:val="20"/>
              </w:rPr>
            </w:pPr>
            <w:r w:rsidRPr="00362517">
              <w:rPr>
                <w:sz w:val="20"/>
                <w:szCs w:val="20"/>
              </w:rPr>
              <w:t>Initial Certification through exam or training with additional topics</w:t>
            </w:r>
          </w:p>
        </w:tc>
        <w:tc>
          <w:tcPr>
            <w:tcW w:w="2340" w:type="dxa"/>
            <w:vAlign w:val="center"/>
          </w:tcPr>
          <w:p w14:paraId="5AB18177" w14:textId="77777777" w:rsidR="00FA01FB" w:rsidRPr="00362517" w:rsidRDefault="00FA01FB" w:rsidP="00BF6BC7">
            <w:pPr>
              <w:keepNext/>
              <w:jc w:val="center"/>
              <w:rPr>
                <w:sz w:val="20"/>
                <w:szCs w:val="20"/>
              </w:rPr>
            </w:pPr>
            <w:r w:rsidRPr="00362517">
              <w:rPr>
                <w:sz w:val="20"/>
                <w:szCs w:val="20"/>
              </w:rPr>
              <w:t>Initial Certification through exam or training with additional topics</w:t>
            </w:r>
          </w:p>
        </w:tc>
      </w:tr>
      <w:tr w:rsidR="00FA01FB" w:rsidRPr="00362517" w14:paraId="5AB1817D" w14:textId="77777777" w:rsidTr="0034043F">
        <w:tc>
          <w:tcPr>
            <w:tcW w:w="2340" w:type="dxa"/>
            <w:vAlign w:val="center"/>
          </w:tcPr>
          <w:p w14:paraId="5AB18179" w14:textId="77777777" w:rsidR="00FA01FB" w:rsidRPr="00362517" w:rsidRDefault="00FA01FB" w:rsidP="00BF6BC7">
            <w:pPr>
              <w:keepNext/>
              <w:jc w:val="center"/>
              <w:rPr>
                <w:sz w:val="20"/>
                <w:szCs w:val="20"/>
              </w:rPr>
            </w:pPr>
            <w:r w:rsidRPr="00362517">
              <w:rPr>
                <w:sz w:val="20"/>
                <w:szCs w:val="20"/>
              </w:rPr>
              <w:t>Non-reader certification</w:t>
            </w:r>
          </w:p>
        </w:tc>
        <w:tc>
          <w:tcPr>
            <w:tcW w:w="2340" w:type="dxa"/>
            <w:vAlign w:val="center"/>
          </w:tcPr>
          <w:p w14:paraId="5AB1817A" w14:textId="77777777" w:rsidR="00FA01FB" w:rsidRPr="00362517" w:rsidRDefault="00FA01FB" w:rsidP="00BF6BC7">
            <w:pPr>
              <w:keepNext/>
              <w:jc w:val="center"/>
              <w:rPr>
                <w:sz w:val="20"/>
                <w:szCs w:val="20"/>
              </w:rPr>
            </w:pPr>
            <w:r w:rsidRPr="00362517">
              <w:rPr>
                <w:sz w:val="20"/>
                <w:szCs w:val="20"/>
              </w:rPr>
              <w:t>Non-readers can receive product-specific certification</w:t>
            </w:r>
          </w:p>
        </w:tc>
        <w:tc>
          <w:tcPr>
            <w:tcW w:w="2340" w:type="dxa"/>
            <w:vAlign w:val="center"/>
          </w:tcPr>
          <w:p w14:paraId="5AB1817B" w14:textId="77777777" w:rsidR="00FA01FB" w:rsidRPr="00362517" w:rsidRDefault="00FA01FB" w:rsidP="00BF6BC7">
            <w:pPr>
              <w:keepNext/>
              <w:jc w:val="center"/>
              <w:rPr>
                <w:sz w:val="20"/>
                <w:szCs w:val="20"/>
              </w:rPr>
            </w:pPr>
            <w:r w:rsidRPr="00362517">
              <w:rPr>
                <w:sz w:val="20"/>
                <w:szCs w:val="20"/>
              </w:rPr>
              <w:t>Eliminate non-reader provision</w:t>
            </w:r>
          </w:p>
        </w:tc>
        <w:tc>
          <w:tcPr>
            <w:tcW w:w="2340" w:type="dxa"/>
            <w:vAlign w:val="center"/>
          </w:tcPr>
          <w:p w14:paraId="5AB1817C" w14:textId="77777777" w:rsidR="00FA01FB" w:rsidRPr="00362517" w:rsidRDefault="00FA01FB" w:rsidP="00BF6BC7">
            <w:pPr>
              <w:keepNext/>
              <w:jc w:val="center"/>
              <w:rPr>
                <w:sz w:val="20"/>
                <w:szCs w:val="20"/>
              </w:rPr>
            </w:pPr>
            <w:r w:rsidRPr="00362517">
              <w:rPr>
                <w:sz w:val="20"/>
                <w:szCs w:val="20"/>
              </w:rPr>
              <w:t>Eliminate non-reader provision</w:t>
            </w:r>
          </w:p>
        </w:tc>
      </w:tr>
    </w:tbl>
    <w:p w14:paraId="5AB1817E" w14:textId="77777777" w:rsidR="00FA01FB" w:rsidRPr="00362517" w:rsidRDefault="00FA01FB" w:rsidP="00BF6BC7">
      <w:pPr>
        <w:spacing w:after="240"/>
      </w:pPr>
    </w:p>
    <w:p w14:paraId="5AB1817F" w14:textId="77777777" w:rsidR="00FA01FB" w:rsidRPr="00362517" w:rsidRDefault="00FA01FB" w:rsidP="00BF6BC7">
      <w:r w:rsidRPr="00362517">
        <w:t>The current regulation contains five topics for private applicators to be covered in training: 1) recognize common pests to be controlled and damage caused by them, 2) read and understand the label and labeling information, 3) apply pesticides in accordance with label instructions and warnings, 4) recognize local environmental situations that must be considered during application to avoid contamination, and 5) recognize poisoning symptoms and procedures to follow in case of a pesticide accident.  In contrast, the core standards of competency for commercial certification have nine major areas of focus with more specific sub-points listed under each.</w:t>
      </w:r>
    </w:p>
    <w:p w14:paraId="5AB18180" w14:textId="77777777" w:rsidR="00FA01FB" w:rsidRPr="00362517" w:rsidRDefault="00FA01FB" w:rsidP="00BF6BC7"/>
    <w:p w14:paraId="5AB18181" w14:textId="77777777" w:rsidR="00FA01FB" w:rsidRPr="00362517" w:rsidRDefault="00FA01FB" w:rsidP="00BF6BC7">
      <w:r w:rsidRPr="00362517">
        <w:t>The final private applicator general competency standards will cover the following topics 1) label and labeling comprehension, 2) safety, 3) environment, 4) pests, 5) pesticides, 6) equipment, 7) application methods, 8) laws and regulations, 9) responsibilities for supervisors of noncertified applicators, 10) professionalism, and 11) agricultural pest control.  These competency standards substantially parallel the core standards for commercial applicators.  Private and commercial applicators have access to the same set of RUPs, and these requirements w</w:t>
      </w:r>
      <w:r w:rsidR="002921EB" w:rsidRPr="00362517">
        <w:t>ill</w:t>
      </w:r>
      <w:r w:rsidRPr="00362517">
        <w:t xml:space="preserve"> ensure a similar level of competency between private and commercial applicators. </w:t>
      </w:r>
    </w:p>
    <w:p w14:paraId="5AB18182" w14:textId="77777777" w:rsidR="00FA01FB" w:rsidRPr="00362517" w:rsidRDefault="00FA01FB" w:rsidP="00BF6BC7"/>
    <w:p w14:paraId="5AB18183" w14:textId="77777777" w:rsidR="00FA01FB" w:rsidRPr="00362517" w:rsidRDefault="00FA01FB" w:rsidP="00BF6BC7">
      <w:r w:rsidRPr="00362517">
        <w:t xml:space="preserve">The final rule will clarify and expand the requirements for initial certification for private applicators.  The current rule allows private applicators to be certified through a “written or oral testing procedure, or such other equivalent system as may be approved as part of a State plan.” The final requirement will enhance the competency standards for private applicators by specifying minimum standards and require private applicators either to pass a written exam or to complete training that covers the private applicator general standards described in Unit VII.A of the preamble.  These more rigorous standards will ensure sufficient understanding of all of the required competency standards, so that certified applicators will have the information they need in order to prevent unreasonable adverse effects to human health and the environment.  </w:t>
      </w:r>
    </w:p>
    <w:p w14:paraId="5AB18184" w14:textId="77777777" w:rsidR="00FA01FB" w:rsidRPr="00362517" w:rsidRDefault="00FA01FB" w:rsidP="00BF6BC7"/>
    <w:p w14:paraId="5AB18185" w14:textId="77777777" w:rsidR="00FA01FB" w:rsidRPr="00362517" w:rsidRDefault="00FA01FB" w:rsidP="00BF6BC7">
      <w:r w:rsidRPr="00362517">
        <w:t>Another revision w</w:t>
      </w:r>
      <w:r w:rsidR="002921EB" w:rsidRPr="00362517">
        <w:t>ill</w:t>
      </w:r>
      <w:r w:rsidRPr="00362517">
        <w:t xml:space="preserve"> eliminate certification for private applicators who cannot read.  Currently, non-readers can receive certification as private applicators for specific products using </w:t>
      </w:r>
      <w:r w:rsidR="00184551" w:rsidRPr="00362517">
        <w:t>oral exams</w:t>
      </w:r>
      <w:r w:rsidRPr="00362517">
        <w:t xml:space="preserve"> designed for non-readers.  The final requirement eliminate</w:t>
      </w:r>
      <w:r w:rsidR="00184551" w:rsidRPr="00362517">
        <w:t>s</w:t>
      </w:r>
      <w:r w:rsidRPr="00362517">
        <w:t xml:space="preserve"> this </w:t>
      </w:r>
      <w:r w:rsidR="00184551" w:rsidRPr="00362517">
        <w:t>option</w:t>
      </w:r>
      <w:r w:rsidRPr="00362517">
        <w:t xml:space="preserve">.  This is important because critical information on pesticide safety and use restrictions </w:t>
      </w:r>
      <w:r w:rsidR="00184551" w:rsidRPr="00362517">
        <w:t xml:space="preserve">is </w:t>
      </w:r>
      <w:r w:rsidRPr="00362517">
        <w:t>transmitted through written material, such as the pesticide label.  A certified applicator unable to read is not able to understand this critical information, unless informed by a third party.</w:t>
      </w:r>
      <w:r w:rsidRPr="00362517" w:rsidDel="0039595F">
        <w:t xml:space="preserve"> </w:t>
      </w:r>
      <w:r w:rsidRPr="00362517">
        <w:t xml:space="preserve"> Pesticide labeling changes frequently and non-readers may not be able to understand important changes to the labeling for </w:t>
      </w:r>
      <w:r w:rsidRPr="00362517">
        <w:lastRenderedPageBreak/>
        <w:t xml:space="preserve">the product(s) they are certified to use, putting the applicators, the environment, and public health at risk.    </w:t>
      </w:r>
    </w:p>
    <w:p w14:paraId="5AB18186" w14:textId="77777777" w:rsidR="00FA01FB" w:rsidRPr="00362517" w:rsidRDefault="00FA01FB" w:rsidP="00BF6BC7"/>
    <w:p w14:paraId="5AB18187" w14:textId="77777777" w:rsidR="00FA01FB" w:rsidRPr="00362517" w:rsidRDefault="00FA01FB" w:rsidP="00BF6BC7">
      <w:pPr>
        <w:pStyle w:val="Heading3"/>
      </w:pPr>
      <w:bookmarkStart w:id="31" w:name="_Toc310953792"/>
      <w:bookmarkStart w:id="32" w:name="_Toc395177698"/>
      <w:bookmarkStart w:id="33" w:name="_Toc395788088"/>
      <w:bookmarkStart w:id="34" w:name="_Toc442965742"/>
      <w:bookmarkStart w:id="35" w:name="_Toc468872064"/>
      <w:r w:rsidRPr="00362517">
        <w:t>2.2.2</w:t>
      </w:r>
      <w:r w:rsidRPr="00362517">
        <w:tab/>
        <w:t xml:space="preserve">Establish </w:t>
      </w:r>
      <w:bookmarkEnd w:id="31"/>
      <w:r w:rsidR="00184551" w:rsidRPr="00362517">
        <w:t>Additional</w:t>
      </w:r>
      <w:r w:rsidRPr="00362517">
        <w:t xml:space="preserve"> Categories for Commercial and Private Applicators</w:t>
      </w:r>
      <w:bookmarkEnd w:id="32"/>
      <w:bookmarkEnd w:id="33"/>
      <w:bookmarkEnd w:id="34"/>
      <w:bookmarkEnd w:id="35"/>
      <w:r w:rsidRPr="00362517">
        <w:t xml:space="preserve">  </w:t>
      </w:r>
    </w:p>
    <w:p w14:paraId="5AB18188" w14:textId="77777777" w:rsidR="00FA01FB" w:rsidRPr="00362517" w:rsidRDefault="00FA01FB" w:rsidP="00BF6BC7">
      <w:pPr>
        <w:keepNext/>
      </w:pPr>
    </w:p>
    <w:p w14:paraId="5AB18189" w14:textId="77777777" w:rsidR="00FA01FB" w:rsidRPr="00362517" w:rsidRDefault="00FA01FB" w:rsidP="00BF6BC7">
      <w:pPr>
        <w:keepNext/>
        <w:spacing w:after="240"/>
      </w:pPr>
      <w:r w:rsidRPr="00362517">
        <w:t>For commercial applicators to be certified, the current rule requires them to pass at least two written exams – a core exam, which ensures general knowledge of pesticide safety, as well as an exam in at least one category of RUP use, such as agricultural pest control or ornamental and turf pest control. The existing rule does not establish categories of certification for private applicators.  Pesticide application and agriculture both are becoming increasingly specialized, and improper application may lead to increased risks to the health of the applicator, workers, the environment, and the public. Certain categories of pesticides and methods of application, pose an inherently higher risk of acute injury or death if the applicator does not understand and follow the labeling and apply the pesticide properly.  These increased risks can be mitigated by requiring applicators to demonstrate a specific set of competencies related to the type of pesticide and application method being used.</w:t>
      </w:r>
    </w:p>
    <w:p w14:paraId="5AB1818A" w14:textId="77777777" w:rsidR="00FA01FB" w:rsidRPr="00362517" w:rsidRDefault="00FA01FB" w:rsidP="00BF6BC7">
      <w:pPr>
        <w:spacing w:after="240"/>
      </w:pPr>
      <w:r w:rsidRPr="00362517">
        <w:t xml:space="preserve">Some states have addressed these elevated risks related to applicators by requiring applicators to be certified in specialized categories related to specific application methods.  In the final regulations, EPA will add three new federal categories of certification for commercial and private applicators specific to the method of application used: aerial, soil fumigation, and non-soil fumigation.  These changes are discussed in more detail in Unit VIII.A of the preamble.  The final categories are shown in Table 2.2-2.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2027"/>
        <w:gridCol w:w="2627"/>
        <w:gridCol w:w="2697"/>
      </w:tblGrid>
      <w:tr w:rsidR="00362517" w:rsidRPr="00362517" w14:paraId="5AB1818C" w14:textId="77777777" w:rsidTr="0034043F">
        <w:trPr>
          <w:tblHeader/>
        </w:trPr>
        <w:tc>
          <w:tcPr>
            <w:tcW w:w="5000" w:type="pct"/>
            <w:gridSpan w:val="4"/>
            <w:vAlign w:val="center"/>
          </w:tcPr>
          <w:p w14:paraId="5AB1818B" w14:textId="1DAE9096" w:rsidR="00FA01FB" w:rsidRPr="00362517" w:rsidRDefault="00FA01FB" w:rsidP="00BF6BC7">
            <w:pPr>
              <w:rPr>
                <w:b/>
                <w:bCs/>
                <w:sz w:val="20"/>
                <w:szCs w:val="20"/>
              </w:rPr>
            </w:pPr>
            <w:r w:rsidRPr="00362517">
              <w:rPr>
                <w:b/>
                <w:bCs/>
                <w:sz w:val="20"/>
                <w:szCs w:val="20"/>
              </w:rPr>
              <w:t xml:space="preserve">Table 2.2-2.  Current,  Proposed, and </w:t>
            </w:r>
            <w:r w:rsidR="00814D4F" w:rsidRPr="00362517">
              <w:rPr>
                <w:b/>
                <w:bCs/>
                <w:sz w:val="20"/>
                <w:szCs w:val="20"/>
              </w:rPr>
              <w:t>Final</w:t>
            </w:r>
            <w:r w:rsidRPr="00362517">
              <w:rPr>
                <w:b/>
                <w:bCs/>
                <w:sz w:val="20"/>
                <w:szCs w:val="20"/>
              </w:rPr>
              <w:t xml:space="preserve"> </w:t>
            </w:r>
            <w:r w:rsidR="00814D4F" w:rsidRPr="00362517">
              <w:rPr>
                <w:b/>
                <w:bCs/>
                <w:sz w:val="20"/>
                <w:szCs w:val="20"/>
              </w:rPr>
              <w:t xml:space="preserve">Requirements for </w:t>
            </w:r>
            <w:r w:rsidRPr="00362517">
              <w:rPr>
                <w:b/>
                <w:bCs/>
                <w:sz w:val="20"/>
                <w:szCs w:val="20"/>
              </w:rPr>
              <w:t>A</w:t>
            </w:r>
            <w:r w:rsidR="00814D4F" w:rsidRPr="00362517">
              <w:rPr>
                <w:b/>
                <w:bCs/>
                <w:sz w:val="20"/>
                <w:szCs w:val="20"/>
              </w:rPr>
              <w:t>dditional</w:t>
            </w:r>
            <w:r w:rsidRPr="00362517">
              <w:rPr>
                <w:b/>
                <w:bCs/>
                <w:sz w:val="20"/>
                <w:szCs w:val="20"/>
              </w:rPr>
              <w:t xml:space="preserve"> Certification Categories for Commercial and Private Applicators</w:t>
            </w:r>
          </w:p>
        </w:tc>
      </w:tr>
      <w:tr w:rsidR="00362517" w:rsidRPr="00362517" w14:paraId="5AB18191" w14:textId="77777777" w:rsidTr="0034043F">
        <w:trPr>
          <w:tblHeader/>
        </w:trPr>
        <w:tc>
          <w:tcPr>
            <w:tcW w:w="1069" w:type="pct"/>
            <w:vAlign w:val="center"/>
          </w:tcPr>
          <w:p w14:paraId="5AB1818D" w14:textId="77777777" w:rsidR="00FA01FB" w:rsidRPr="00362517" w:rsidRDefault="00FA01FB" w:rsidP="00BF6BC7">
            <w:pPr>
              <w:keepNext/>
              <w:jc w:val="center"/>
              <w:rPr>
                <w:b/>
                <w:bCs/>
                <w:sz w:val="20"/>
                <w:szCs w:val="20"/>
              </w:rPr>
            </w:pPr>
            <w:r w:rsidRPr="00362517">
              <w:rPr>
                <w:b/>
                <w:bCs/>
                <w:sz w:val="20"/>
                <w:szCs w:val="20"/>
              </w:rPr>
              <w:t xml:space="preserve">Regulatory Element </w:t>
            </w:r>
          </w:p>
        </w:tc>
        <w:tc>
          <w:tcPr>
            <w:tcW w:w="1084" w:type="pct"/>
            <w:vAlign w:val="center"/>
          </w:tcPr>
          <w:p w14:paraId="5AB1818E" w14:textId="77777777" w:rsidR="00FA01FB" w:rsidRPr="00362517" w:rsidRDefault="00FA01FB" w:rsidP="00BF6BC7">
            <w:pPr>
              <w:keepNext/>
              <w:jc w:val="center"/>
              <w:rPr>
                <w:b/>
                <w:bCs/>
                <w:sz w:val="20"/>
                <w:szCs w:val="20"/>
              </w:rPr>
            </w:pPr>
            <w:r w:rsidRPr="00362517">
              <w:rPr>
                <w:b/>
                <w:bCs/>
                <w:sz w:val="20"/>
                <w:szCs w:val="20"/>
              </w:rPr>
              <w:t>Current Regulatory Status</w:t>
            </w:r>
          </w:p>
        </w:tc>
        <w:tc>
          <w:tcPr>
            <w:tcW w:w="1405" w:type="pct"/>
            <w:vAlign w:val="center"/>
          </w:tcPr>
          <w:p w14:paraId="5AB1818F" w14:textId="77777777" w:rsidR="00FA01FB" w:rsidRPr="00362517" w:rsidRDefault="00FA01FB" w:rsidP="00BF6BC7">
            <w:pPr>
              <w:keepNext/>
              <w:jc w:val="center"/>
              <w:rPr>
                <w:b/>
                <w:bCs/>
                <w:sz w:val="20"/>
                <w:szCs w:val="20"/>
              </w:rPr>
            </w:pPr>
            <w:r w:rsidRPr="00362517">
              <w:rPr>
                <w:b/>
                <w:bCs/>
                <w:sz w:val="20"/>
                <w:szCs w:val="20"/>
              </w:rPr>
              <w:t>Proposed Option</w:t>
            </w:r>
          </w:p>
        </w:tc>
        <w:tc>
          <w:tcPr>
            <w:tcW w:w="1442" w:type="pct"/>
            <w:vAlign w:val="center"/>
          </w:tcPr>
          <w:p w14:paraId="5AB18190" w14:textId="77777777" w:rsidR="00FA01FB" w:rsidRPr="00362517" w:rsidRDefault="00FA01FB" w:rsidP="00BF6BC7">
            <w:pPr>
              <w:keepNext/>
              <w:jc w:val="center"/>
              <w:rPr>
                <w:b/>
                <w:bCs/>
                <w:sz w:val="20"/>
                <w:szCs w:val="20"/>
              </w:rPr>
            </w:pPr>
            <w:r w:rsidRPr="00362517">
              <w:rPr>
                <w:b/>
                <w:bCs/>
                <w:sz w:val="20"/>
                <w:szCs w:val="20"/>
              </w:rPr>
              <w:t>Final Requirement</w:t>
            </w:r>
          </w:p>
        </w:tc>
      </w:tr>
      <w:tr w:rsidR="00362517" w:rsidRPr="00362517" w14:paraId="5AB18193" w14:textId="77777777" w:rsidTr="0034043F">
        <w:tc>
          <w:tcPr>
            <w:tcW w:w="5000" w:type="pct"/>
            <w:gridSpan w:val="4"/>
            <w:vAlign w:val="center"/>
          </w:tcPr>
          <w:p w14:paraId="5AB18192" w14:textId="77777777" w:rsidR="00FA01FB" w:rsidRPr="00362517" w:rsidRDefault="00FA01FB" w:rsidP="00BF6BC7">
            <w:pPr>
              <w:jc w:val="center"/>
              <w:rPr>
                <w:sz w:val="20"/>
                <w:szCs w:val="20"/>
              </w:rPr>
            </w:pPr>
            <w:r w:rsidRPr="00362517">
              <w:rPr>
                <w:sz w:val="20"/>
                <w:szCs w:val="20"/>
              </w:rPr>
              <w:t>Commercial Applicators</w:t>
            </w:r>
          </w:p>
        </w:tc>
      </w:tr>
      <w:tr w:rsidR="00362517" w:rsidRPr="00362517" w14:paraId="5AB1819F" w14:textId="77777777" w:rsidTr="0034043F">
        <w:trPr>
          <w:trHeight w:val="1565"/>
        </w:trPr>
        <w:tc>
          <w:tcPr>
            <w:tcW w:w="1069" w:type="pct"/>
            <w:vAlign w:val="center"/>
          </w:tcPr>
          <w:p w14:paraId="5AB18194" w14:textId="77777777" w:rsidR="00FA01FB" w:rsidRPr="00362517" w:rsidRDefault="00FA01FB" w:rsidP="00BF6BC7">
            <w:pPr>
              <w:jc w:val="center"/>
              <w:rPr>
                <w:sz w:val="20"/>
                <w:szCs w:val="20"/>
              </w:rPr>
            </w:pPr>
            <w:r w:rsidRPr="00362517">
              <w:rPr>
                <w:sz w:val="20"/>
                <w:szCs w:val="20"/>
              </w:rPr>
              <w:t>Certification Categories</w:t>
            </w:r>
          </w:p>
        </w:tc>
        <w:tc>
          <w:tcPr>
            <w:tcW w:w="1084" w:type="pct"/>
            <w:vAlign w:val="center"/>
          </w:tcPr>
          <w:p w14:paraId="5AB18195" w14:textId="77777777" w:rsidR="00FA01FB" w:rsidRPr="00362517" w:rsidRDefault="00FA01FB" w:rsidP="00BF6BC7">
            <w:pPr>
              <w:jc w:val="center"/>
              <w:rPr>
                <w:sz w:val="20"/>
                <w:szCs w:val="20"/>
              </w:rPr>
            </w:pPr>
            <w:r w:rsidRPr="00362517">
              <w:rPr>
                <w:sz w:val="20"/>
                <w:szCs w:val="20"/>
              </w:rPr>
              <w:t>10 commercial applicator categories of certification*</w:t>
            </w:r>
          </w:p>
        </w:tc>
        <w:tc>
          <w:tcPr>
            <w:tcW w:w="1405" w:type="pct"/>
            <w:vAlign w:val="center"/>
          </w:tcPr>
          <w:p w14:paraId="5AB18196" w14:textId="77777777" w:rsidR="00C57C54" w:rsidRPr="00362517" w:rsidRDefault="00C57C54" w:rsidP="00BF6BC7">
            <w:pPr>
              <w:rPr>
                <w:sz w:val="20"/>
                <w:szCs w:val="20"/>
              </w:rPr>
            </w:pPr>
            <w:r w:rsidRPr="00362517">
              <w:rPr>
                <w:sz w:val="20"/>
                <w:szCs w:val="20"/>
              </w:rPr>
              <w:t>Existing 10 categories and</w:t>
            </w:r>
          </w:p>
          <w:p w14:paraId="5AB18197" w14:textId="77777777" w:rsidR="00FA01FB" w:rsidRPr="00362517" w:rsidRDefault="00C57C54" w:rsidP="00BF6BC7">
            <w:pPr>
              <w:rPr>
                <w:sz w:val="20"/>
                <w:szCs w:val="20"/>
              </w:rPr>
            </w:pPr>
            <w:r w:rsidRPr="00362517">
              <w:rPr>
                <w:sz w:val="20"/>
                <w:szCs w:val="20"/>
              </w:rPr>
              <w:t>additional categories</w:t>
            </w:r>
            <w:r w:rsidR="00FA01FB" w:rsidRPr="00362517">
              <w:rPr>
                <w:sz w:val="20"/>
                <w:szCs w:val="20"/>
              </w:rPr>
              <w:t>:</w:t>
            </w:r>
          </w:p>
          <w:p w14:paraId="5AB18198" w14:textId="77777777" w:rsidR="00FA01FB" w:rsidRPr="00362517" w:rsidRDefault="00FA01FB" w:rsidP="00BF6BC7">
            <w:pPr>
              <w:numPr>
                <w:ilvl w:val="0"/>
                <w:numId w:val="9"/>
              </w:numPr>
              <w:rPr>
                <w:sz w:val="20"/>
                <w:szCs w:val="20"/>
              </w:rPr>
            </w:pPr>
            <w:r w:rsidRPr="00362517">
              <w:rPr>
                <w:sz w:val="20"/>
                <w:szCs w:val="20"/>
              </w:rPr>
              <w:t>Soil fumigation</w:t>
            </w:r>
          </w:p>
          <w:p w14:paraId="5AB18199" w14:textId="77777777" w:rsidR="00FA01FB" w:rsidRPr="00362517" w:rsidRDefault="00FA01FB" w:rsidP="00BF6BC7">
            <w:pPr>
              <w:numPr>
                <w:ilvl w:val="0"/>
                <w:numId w:val="9"/>
              </w:numPr>
              <w:rPr>
                <w:sz w:val="20"/>
                <w:szCs w:val="20"/>
              </w:rPr>
            </w:pPr>
            <w:r w:rsidRPr="00362517">
              <w:rPr>
                <w:sz w:val="20"/>
                <w:szCs w:val="20"/>
              </w:rPr>
              <w:t>Non-soil fumigation</w:t>
            </w:r>
          </w:p>
          <w:p w14:paraId="5AB1819A" w14:textId="77777777" w:rsidR="00FA01FB" w:rsidRPr="00362517" w:rsidRDefault="00FA01FB" w:rsidP="00BF6BC7">
            <w:pPr>
              <w:numPr>
                <w:ilvl w:val="0"/>
                <w:numId w:val="9"/>
              </w:numPr>
              <w:rPr>
                <w:sz w:val="20"/>
                <w:szCs w:val="20"/>
              </w:rPr>
            </w:pPr>
            <w:r w:rsidRPr="00362517">
              <w:rPr>
                <w:sz w:val="20"/>
                <w:szCs w:val="20"/>
              </w:rPr>
              <w:t>Aerial</w:t>
            </w:r>
          </w:p>
        </w:tc>
        <w:tc>
          <w:tcPr>
            <w:tcW w:w="1442" w:type="pct"/>
            <w:vAlign w:val="center"/>
          </w:tcPr>
          <w:p w14:paraId="5AB1819B" w14:textId="77777777" w:rsidR="00C57C54" w:rsidRPr="00362517" w:rsidRDefault="00C57C54" w:rsidP="00BF6BC7">
            <w:pPr>
              <w:rPr>
                <w:sz w:val="20"/>
                <w:szCs w:val="20"/>
              </w:rPr>
            </w:pPr>
            <w:r w:rsidRPr="00362517">
              <w:rPr>
                <w:sz w:val="20"/>
                <w:szCs w:val="20"/>
              </w:rPr>
              <w:t>Existing 10 categories and</w:t>
            </w:r>
          </w:p>
          <w:p w14:paraId="5AB1819C" w14:textId="77777777" w:rsidR="00FA01FB" w:rsidRPr="00362517" w:rsidRDefault="00C57C54" w:rsidP="00BF6BC7">
            <w:pPr>
              <w:rPr>
                <w:sz w:val="20"/>
                <w:szCs w:val="20"/>
              </w:rPr>
            </w:pPr>
            <w:r w:rsidRPr="00362517">
              <w:rPr>
                <w:sz w:val="20"/>
                <w:szCs w:val="20"/>
              </w:rPr>
              <w:t>additional categories</w:t>
            </w:r>
            <w:r w:rsidR="00FA01FB" w:rsidRPr="00362517">
              <w:rPr>
                <w:sz w:val="20"/>
                <w:szCs w:val="20"/>
              </w:rPr>
              <w:t>:</w:t>
            </w:r>
          </w:p>
          <w:p w14:paraId="5AB1819D" w14:textId="77777777" w:rsidR="00FA01FB" w:rsidRPr="00362517" w:rsidRDefault="00FA01FB" w:rsidP="00BF6BC7">
            <w:pPr>
              <w:numPr>
                <w:ilvl w:val="0"/>
                <w:numId w:val="9"/>
              </w:numPr>
              <w:rPr>
                <w:sz w:val="20"/>
                <w:szCs w:val="20"/>
              </w:rPr>
            </w:pPr>
            <w:r w:rsidRPr="00362517">
              <w:rPr>
                <w:sz w:val="20"/>
                <w:szCs w:val="20"/>
              </w:rPr>
              <w:t>Soil fumigation, non-soil fumigation or a combined category</w:t>
            </w:r>
          </w:p>
          <w:p w14:paraId="5AB1819E" w14:textId="77777777" w:rsidR="00FA01FB" w:rsidRPr="00362517" w:rsidRDefault="00FA01FB" w:rsidP="00BF6BC7">
            <w:pPr>
              <w:numPr>
                <w:ilvl w:val="0"/>
                <w:numId w:val="9"/>
              </w:numPr>
              <w:rPr>
                <w:sz w:val="20"/>
                <w:szCs w:val="20"/>
              </w:rPr>
            </w:pPr>
            <w:r w:rsidRPr="00362517">
              <w:rPr>
                <w:sz w:val="20"/>
                <w:szCs w:val="20"/>
              </w:rPr>
              <w:t>Aerial</w:t>
            </w:r>
          </w:p>
        </w:tc>
      </w:tr>
      <w:tr w:rsidR="00362517" w:rsidRPr="00362517" w14:paraId="5AB181A1" w14:textId="77777777" w:rsidTr="0034043F">
        <w:tc>
          <w:tcPr>
            <w:tcW w:w="5000" w:type="pct"/>
            <w:gridSpan w:val="4"/>
            <w:vAlign w:val="center"/>
          </w:tcPr>
          <w:p w14:paraId="5AB181A0" w14:textId="77777777" w:rsidR="00FA01FB" w:rsidRPr="00362517" w:rsidRDefault="00FA01FB" w:rsidP="00BF6BC7">
            <w:pPr>
              <w:jc w:val="center"/>
              <w:rPr>
                <w:sz w:val="20"/>
                <w:szCs w:val="20"/>
              </w:rPr>
            </w:pPr>
            <w:r w:rsidRPr="00362517">
              <w:rPr>
                <w:sz w:val="20"/>
                <w:szCs w:val="20"/>
              </w:rPr>
              <w:t>Private Applicators</w:t>
            </w:r>
          </w:p>
        </w:tc>
      </w:tr>
      <w:tr w:rsidR="00362517" w:rsidRPr="00362517" w14:paraId="5AB181AB" w14:textId="77777777" w:rsidTr="0034043F">
        <w:trPr>
          <w:trHeight w:val="1646"/>
        </w:trPr>
        <w:tc>
          <w:tcPr>
            <w:tcW w:w="1069" w:type="pct"/>
            <w:vAlign w:val="center"/>
          </w:tcPr>
          <w:p w14:paraId="5AB181A2" w14:textId="77777777" w:rsidR="00FA01FB" w:rsidRPr="00362517" w:rsidRDefault="00FA01FB" w:rsidP="00BF6BC7">
            <w:pPr>
              <w:jc w:val="center"/>
              <w:rPr>
                <w:sz w:val="20"/>
                <w:szCs w:val="20"/>
              </w:rPr>
            </w:pPr>
            <w:r w:rsidRPr="00362517">
              <w:rPr>
                <w:sz w:val="20"/>
                <w:szCs w:val="20"/>
              </w:rPr>
              <w:t>Certification Categories</w:t>
            </w:r>
          </w:p>
        </w:tc>
        <w:tc>
          <w:tcPr>
            <w:tcW w:w="1084" w:type="pct"/>
            <w:vAlign w:val="center"/>
          </w:tcPr>
          <w:p w14:paraId="5AB181A3" w14:textId="77777777" w:rsidR="00FA01FB" w:rsidRPr="00362517" w:rsidRDefault="00FA01FB" w:rsidP="00BF6BC7">
            <w:pPr>
              <w:jc w:val="center"/>
              <w:rPr>
                <w:sz w:val="20"/>
                <w:szCs w:val="20"/>
              </w:rPr>
            </w:pPr>
            <w:r w:rsidRPr="00362517">
              <w:rPr>
                <w:sz w:val="20"/>
                <w:szCs w:val="20"/>
              </w:rPr>
              <w:t>No categories of certification for private applicators</w:t>
            </w:r>
          </w:p>
        </w:tc>
        <w:tc>
          <w:tcPr>
            <w:tcW w:w="1405" w:type="pct"/>
            <w:vAlign w:val="center"/>
          </w:tcPr>
          <w:p w14:paraId="5AB181A4" w14:textId="77777777" w:rsidR="00FA01FB" w:rsidRPr="00362517" w:rsidRDefault="00FA01FB" w:rsidP="00BF6BC7">
            <w:pPr>
              <w:tabs>
                <w:tab w:val="left" w:pos="176"/>
              </w:tabs>
              <w:rPr>
                <w:sz w:val="20"/>
                <w:szCs w:val="20"/>
              </w:rPr>
            </w:pPr>
            <w:r w:rsidRPr="00362517">
              <w:rPr>
                <w:sz w:val="20"/>
                <w:szCs w:val="20"/>
              </w:rPr>
              <w:t>New categories:</w:t>
            </w:r>
          </w:p>
          <w:p w14:paraId="5AB181A5" w14:textId="77777777" w:rsidR="00FA01FB" w:rsidRPr="00362517" w:rsidRDefault="00FA01FB" w:rsidP="00BF6BC7">
            <w:pPr>
              <w:numPr>
                <w:ilvl w:val="0"/>
                <w:numId w:val="9"/>
              </w:numPr>
              <w:rPr>
                <w:sz w:val="20"/>
                <w:szCs w:val="20"/>
              </w:rPr>
            </w:pPr>
            <w:r w:rsidRPr="00362517">
              <w:rPr>
                <w:sz w:val="20"/>
                <w:szCs w:val="20"/>
              </w:rPr>
              <w:t>Soil fumigation</w:t>
            </w:r>
          </w:p>
          <w:p w14:paraId="5AB181A6" w14:textId="77777777" w:rsidR="00FA01FB" w:rsidRPr="00362517" w:rsidRDefault="00FA01FB" w:rsidP="00BF6BC7">
            <w:pPr>
              <w:numPr>
                <w:ilvl w:val="0"/>
                <w:numId w:val="9"/>
              </w:numPr>
              <w:rPr>
                <w:sz w:val="20"/>
                <w:szCs w:val="20"/>
              </w:rPr>
            </w:pPr>
            <w:r w:rsidRPr="00362517">
              <w:rPr>
                <w:sz w:val="20"/>
                <w:szCs w:val="20"/>
              </w:rPr>
              <w:t>Non-soil fumigation</w:t>
            </w:r>
          </w:p>
          <w:p w14:paraId="5AB181A7" w14:textId="77777777" w:rsidR="00FA01FB" w:rsidRPr="00362517" w:rsidRDefault="00FA01FB" w:rsidP="00BF6BC7">
            <w:pPr>
              <w:numPr>
                <w:ilvl w:val="0"/>
                <w:numId w:val="9"/>
              </w:numPr>
              <w:rPr>
                <w:sz w:val="20"/>
                <w:szCs w:val="20"/>
              </w:rPr>
            </w:pPr>
            <w:r w:rsidRPr="00362517">
              <w:rPr>
                <w:sz w:val="20"/>
                <w:szCs w:val="20"/>
              </w:rPr>
              <w:t>Aerial</w:t>
            </w:r>
            <w:r w:rsidRPr="00362517" w:rsidDel="007D0CD6">
              <w:rPr>
                <w:sz w:val="20"/>
                <w:szCs w:val="20"/>
              </w:rPr>
              <w:t xml:space="preserve"> </w:t>
            </w:r>
          </w:p>
        </w:tc>
        <w:tc>
          <w:tcPr>
            <w:tcW w:w="1442" w:type="pct"/>
            <w:vAlign w:val="center"/>
          </w:tcPr>
          <w:p w14:paraId="5AB181A8" w14:textId="77777777" w:rsidR="00FA01FB" w:rsidRPr="00362517" w:rsidRDefault="00FA01FB" w:rsidP="00BF6BC7">
            <w:pPr>
              <w:rPr>
                <w:sz w:val="20"/>
                <w:szCs w:val="20"/>
              </w:rPr>
            </w:pPr>
            <w:r w:rsidRPr="00362517">
              <w:rPr>
                <w:sz w:val="20"/>
                <w:szCs w:val="20"/>
              </w:rPr>
              <w:t>New categories:</w:t>
            </w:r>
          </w:p>
          <w:p w14:paraId="5AB181A9" w14:textId="77777777" w:rsidR="00FA01FB" w:rsidRPr="00362517" w:rsidRDefault="00FA01FB" w:rsidP="00BF6BC7">
            <w:pPr>
              <w:pStyle w:val="ListParagraph"/>
              <w:numPr>
                <w:ilvl w:val="0"/>
                <w:numId w:val="15"/>
              </w:numPr>
              <w:tabs>
                <w:tab w:val="left" w:pos="176"/>
              </w:tabs>
              <w:ind w:left="0" w:firstLine="0"/>
              <w:rPr>
                <w:sz w:val="20"/>
                <w:szCs w:val="20"/>
              </w:rPr>
            </w:pPr>
            <w:r w:rsidRPr="00362517">
              <w:rPr>
                <w:sz w:val="20"/>
                <w:szCs w:val="20"/>
              </w:rPr>
              <w:t xml:space="preserve">Soil fumigation, non-soil fumigation or a combined category </w:t>
            </w:r>
          </w:p>
          <w:p w14:paraId="5AB181AA" w14:textId="77777777" w:rsidR="00FA01FB" w:rsidRPr="00362517" w:rsidRDefault="00FA01FB" w:rsidP="00BF6BC7">
            <w:pPr>
              <w:pStyle w:val="ListParagraph"/>
              <w:numPr>
                <w:ilvl w:val="0"/>
                <w:numId w:val="15"/>
              </w:numPr>
              <w:tabs>
                <w:tab w:val="left" w:pos="176"/>
              </w:tabs>
              <w:rPr>
                <w:sz w:val="20"/>
                <w:szCs w:val="20"/>
              </w:rPr>
            </w:pPr>
            <w:r w:rsidRPr="00362517">
              <w:rPr>
                <w:sz w:val="20"/>
                <w:szCs w:val="20"/>
              </w:rPr>
              <w:t>Aerial</w:t>
            </w:r>
          </w:p>
        </w:tc>
      </w:tr>
      <w:tr w:rsidR="00FA01FB" w:rsidRPr="00362517" w14:paraId="5AB181AD" w14:textId="77777777" w:rsidTr="0034043F">
        <w:tc>
          <w:tcPr>
            <w:tcW w:w="5000" w:type="pct"/>
            <w:gridSpan w:val="4"/>
            <w:vAlign w:val="center"/>
          </w:tcPr>
          <w:p w14:paraId="5AB181AC" w14:textId="77777777" w:rsidR="00FA01FB" w:rsidRPr="00362517" w:rsidRDefault="00FA01FB" w:rsidP="00BF6BC7">
            <w:pPr>
              <w:rPr>
                <w:sz w:val="20"/>
                <w:szCs w:val="20"/>
              </w:rPr>
            </w:pPr>
            <w:r w:rsidRPr="00362517">
              <w:rPr>
                <w:sz w:val="20"/>
                <w:szCs w:val="20"/>
              </w:rPr>
              <w:t>*(1) Agricultural pest control (plant or animal), (2) Forest pest control, (3) Ornamental &amp; turf pest control, (4) Seed treatment, (5) Aquatic pest control, (6) Right-of-Way pest control, (7) Industrial, institutional, structural and health related pest control, (8) Public health pest control,  (9) Regulatory pest control, (10) Demonstration and research pest control</w:t>
            </w:r>
          </w:p>
        </w:tc>
      </w:tr>
    </w:tbl>
    <w:p w14:paraId="5AB181AE" w14:textId="77777777" w:rsidR="00FA01FB" w:rsidRPr="00362517" w:rsidRDefault="00FA01FB" w:rsidP="00BF6BC7"/>
    <w:p w14:paraId="5AB181AF" w14:textId="77777777" w:rsidR="00FA01FB" w:rsidRPr="00362517" w:rsidRDefault="00FA01FB" w:rsidP="00BF6BC7">
      <w:pPr>
        <w:spacing w:after="240"/>
      </w:pPr>
      <w:r w:rsidRPr="00362517">
        <w:lastRenderedPageBreak/>
        <w:t>Soil fumigation uses a pesticide to control pests or plant pathogens in the soil using a pesticide that either is or becomes a gas.  Non-soil fumigation uses similar pesticides, but for control of pests in other places, such as structural treatment to buildings or to stored commodities.  EPA is finalizing categories for soil and non-soil fumigation, under which commercial applicators w</w:t>
      </w:r>
      <w:r w:rsidR="002921EB" w:rsidRPr="00362517">
        <w:t>ill</w:t>
      </w:r>
      <w:r w:rsidRPr="00362517">
        <w:t xml:space="preserve"> be certified by passing a written exam administered by the </w:t>
      </w:r>
      <w:r w:rsidR="0044554B" w:rsidRPr="00362517">
        <w:t>certifying authorities</w:t>
      </w:r>
      <w:r w:rsidRPr="00362517">
        <w:t>.  Private applicators w</w:t>
      </w:r>
      <w:r w:rsidR="002921EB" w:rsidRPr="00362517">
        <w:t>ill</w:t>
      </w:r>
      <w:r w:rsidRPr="00362517">
        <w:t xml:space="preserve"> demonstrate competency in these categories by either passing a written exam (similar to that for commercial applicators) administered by the states or completing a training program developed and administered by the states.  The final soil fumigation category w</w:t>
      </w:r>
      <w:r w:rsidR="002921EB" w:rsidRPr="00362517">
        <w:t>ill</w:t>
      </w:r>
      <w:r w:rsidRPr="00362517">
        <w:t xml:space="preserve"> ensure that certification in the category met all existing soil fumigant labeling requirements for applicators to have specific training.  In the proposed rule, EPA proposed two separate categories, one for soil fumigation and one for non-soil fumigation, because although both involve the use of fumigants, the methods of application are quite different.  In the final rule, </w:t>
      </w:r>
      <w:r w:rsidR="0044554B" w:rsidRPr="00362517">
        <w:t>certifying authorities</w:t>
      </w:r>
      <w:r w:rsidRPr="00362517">
        <w:t xml:space="preserve"> can create both soil and non-soil fumigation categories, either soil or non-soil, as needed by the certified applicators in the state, or one combined category for both soil and non-soil fumigation.  This allows the </w:t>
      </w:r>
      <w:r w:rsidR="0044554B" w:rsidRPr="00362517">
        <w:t>certifying authorities</w:t>
      </w:r>
      <w:r w:rsidRPr="00362517">
        <w:t xml:space="preserve"> more flexibility to establish categories that meet the needs of applicators, which may vary by geography, while still providing specialized knowledge specific to fumigant use, although a combined category may not be as closely targeted as individual categories.  </w:t>
      </w:r>
    </w:p>
    <w:p w14:paraId="5AB181B0" w14:textId="77777777" w:rsidR="00FA01FB" w:rsidRPr="00362517" w:rsidRDefault="00FA01FB" w:rsidP="00BF6BC7">
      <w:pPr>
        <w:spacing w:after="240"/>
      </w:pPr>
      <w:r w:rsidRPr="00362517">
        <w:t xml:space="preserve">Aerial application refers to applying pesticides by aircraft.  In the final rule, EPA will add a category for aerial application, under which commercial applicators will be certified by passing a written exam administered by the </w:t>
      </w:r>
      <w:r w:rsidR="0044554B" w:rsidRPr="00362517">
        <w:t>certifying authorities</w:t>
      </w:r>
      <w:r w:rsidRPr="00362517">
        <w:t xml:space="preserve">.  Private applicators will be certified by either passing a written exam (similar to that for commercial applicators) administered by the </w:t>
      </w:r>
      <w:r w:rsidR="0044554B" w:rsidRPr="00362517">
        <w:t>certifying authorities</w:t>
      </w:r>
      <w:r w:rsidRPr="00362517">
        <w:t xml:space="preserve"> or completing a training program developed and administered by the </w:t>
      </w:r>
      <w:r w:rsidR="0044554B" w:rsidRPr="00362517">
        <w:t>certifying authorities</w:t>
      </w:r>
      <w:r w:rsidRPr="00362517">
        <w:t xml:space="preserve">.  Aerial certification </w:t>
      </w:r>
      <w:r w:rsidR="00710988" w:rsidRPr="00362517">
        <w:t>will</w:t>
      </w:r>
      <w:r w:rsidRPr="00362517">
        <w:t xml:space="preserve"> ensure that applicators applying pesticides by aircraft are able to apply products safely and in a manner to manage drift and potential exposure to adjacent areas and bystanders.  EPA has already developed a certification manual and exam for aerial application that covers the standards being finalized.  These materials are available to </w:t>
      </w:r>
      <w:r w:rsidR="0044554B" w:rsidRPr="00362517">
        <w:t>certifying authorities</w:t>
      </w:r>
      <w:r w:rsidRPr="00362517">
        <w:t xml:space="preserve">. </w:t>
      </w:r>
    </w:p>
    <w:p w14:paraId="5AB181B1" w14:textId="77777777" w:rsidR="00FA01FB" w:rsidRPr="00362517" w:rsidRDefault="00FA01FB" w:rsidP="00BF6BC7"/>
    <w:p w14:paraId="5AB181B2" w14:textId="77777777" w:rsidR="00FA01FB" w:rsidRPr="00362517" w:rsidRDefault="00FA01FB" w:rsidP="00BF6BC7">
      <w:pPr>
        <w:pStyle w:val="Heading3"/>
      </w:pPr>
      <w:bookmarkStart w:id="36" w:name="_Toc395177699"/>
      <w:bookmarkStart w:id="37" w:name="_Toc395788089"/>
      <w:bookmarkStart w:id="38" w:name="_Toc442965743"/>
      <w:bookmarkStart w:id="39" w:name="_Toc468872065"/>
      <w:r w:rsidRPr="00362517">
        <w:t xml:space="preserve">2.2.3 </w:t>
      </w:r>
      <w:r w:rsidRPr="00362517">
        <w:tab/>
        <w:t>Establish Predator Control Categories for Commercial and Private Applicators to Correspond to Existing Label Requirements</w:t>
      </w:r>
      <w:bookmarkEnd w:id="36"/>
      <w:bookmarkEnd w:id="37"/>
      <w:bookmarkEnd w:id="38"/>
      <w:bookmarkEnd w:id="39"/>
      <w:r w:rsidRPr="00362517">
        <w:t xml:space="preserve">  </w:t>
      </w:r>
    </w:p>
    <w:p w14:paraId="5AB181B3" w14:textId="77777777" w:rsidR="00FA01FB" w:rsidRPr="00362517" w:rsidRDefault="00FA01FB" w:rsidP="00BF6BC7"/>
    <w:p w14:paraId="5AB181B4" w14:textId="77777777" w:rsidR="00FA01FB" w:rsidRPr="00362517" w:rsidRDefault="00FA01FB" w:rsidP="00BF6BC7">
      <w:r w:rsidRPr="00362517">
        <w:t xml:space="preserve">In addition to the </w:t>
      </w:r>
      <w:r w:rsidR="00C57C54" w:rsidRPr="00362517">
        <w:t xml:space="preserve">additional </w:t>
      </w:r>
      <w:r w:rsidRPr="00362517">
        <w:t>categories, in the final rule,</w:t>
      </w:r>
      <w:r w:rsidR="00C57C54" w:rsidRPr="00362517">
        <w:t xml:space="preserve"> EPA has added</w:t>
      </w:r>
      <w:r w:rsidRPr="00362517">
        <w:t xml:space="preserve"> specific categories for the use of the predacides compound 1080 (sodium fluoroacetate) and sodium cyanide dispensed through an M-44 device.  The categories for both commercial and private applicators w</w:t>
      </w:r>
      <w:r w:rsidR="00710988" w:rsidRPr="00362517">
        <w:t>ill</w:t>
      </w:r>
      <w:r w:rsidRPr="00362517">
        <w:t xml:space="preserve"> cover the use of these two specific pesticides which target predators of livestock and are highly dangerous to humans and non-target species.  States and federal agencies that allow the use of these products already have a certification program in place for applicators using the products. The pesticide labeling for each of these products imposes specific requirements for the certification of applicators by any state or federal agency that allows their use.  Thus, this requirement simply codifies the existing labeling requirements.  These changes are discussed in more detail in Unit </w:t>
      </w:r>
      <w:r w:rsidR="00C57C54" w:rsidRPr="00362517">
        <w:t xml:space="preserve">VIII </w:t>
      </w:r>
      <w:r w:rsidRPr="00362517">
        <w:t>of the preamble.</w:t>
      </w:r>
    </w:p>
    <w:p w14:paraId="5AB181B5" w14:textId="77777777" w:rsidR="00FA01FB" w:rsidRPr="00362517" w:rsidRDefault="00FA01FB" w:rsidP="00BF6BC7"/>
    <w:p w14:paraId="5AB181B6" w14:textId="77777777" w:rsidR="00FA01FB" w:rsidRPr="00362517" w:rsidRDefault="00FA01FB" w:rsidP="00BF6BC7"/>
    <w:p w14:paraId="5AB181B7" w14:textId="77777777" w:rsidR="00FA01FB" w:rsidRPr="00362517" w:rsidRDefault="00FA01FB" w:rsidP="00BF6BC7">
      <w:pPr>
        <w:pStyle w:val="Heading3"/>
      </w:pPr>
      <w:bookmarkStart w:id="40" w:name="OLE_LINK5"/>
      <w:bookmarkStart w:id="41" w:name="OLE_LINK6"/>
      <w:bookmarkStart w:id="42" w:name="_Toc310953794"/>
      <w:bookmarkStart w:id="43" w:name="_Toc395177700"/>
      <w:bookmarkStart w:id="44" w:name="_Toc395788090"/>
      <w:bookmarkStart w:id="45" w:name="_Toc442965744"/>
      <w:bookmarkStart w:id="46" w:name="_Toc468872066"/>
      <w:r w:rsidRPr="00362517">
        <w:lastRenderedPageBreak/>
        <w:t>2.2.4</w:t>
      </w:r>
      <w:r w:rsidRPr="00362517">
        <w:tab/>
        <w:t xml:space="preserve">Security Standards </w:t>
      </w:r>
      <w:bookmarkEnd w:id="40"/>
      <w:bookmarkEnd w:id="41"/>
      <w:r w:rsidRPr="00362517">
        <w:t>for Certifying or Recertifying Commercial and Private Applicators</w:t>
      </w:r>
      <w:bookmarkEnd w:id="42"/>
      <w:bookmarkEnd w:id="43"/>
      <w:bookmarkEnd w:id="44"/>
      <w:bookmarkEnd w:id="45"/>
      <w:bookmarkEnd w:id="46"/>
      <w:r w:rsidRPr="00362517">
        <w:t xml:space="preserve"> </w:t>
      </w:r>
    </w:p>
    <w:p w14:paraId="5AB181B8" w14:textId="77777777" w:rsidR="00FA01FB" w:rsidRPr="00362517" w:rsidRDefault="00FA01FB" w:rsidP="00BF6BC7"/>
    <w:p w14:paraId="5AB181B9" w14:textId="77777777" w:rsidR="00FA01FB" w:rsidRPr="00362517" w:rsidRDefault="00FA01FB" w:rsidP="00BF6BC7">
      <w:pPr>
        <w:spacing w:after="240"/>
      </w:pPr>
      <w:r w:rsidRPr="00362517">
        <w:t xml:space="preserve">Under the current federal requirements, persons seeking to become certified as commercial applicators must demonstrate their competence by passing a written exam. Persons seeking certification as private applicators may pass a written exam or by completing an equivalent program administered by the state.  Recertification requirements for </w:t>
      </w:r>
      <w:r w:rsidR="00C57C54" w:rsidRPr="00362517">
        <w:t xml:space="preserve">commercial and </w:t>
      </w:r>
      <w:r w:rsidRPr="00362517">
        <w:t xml:space="preserve">private applicators may include options for exams or training.  The requirements of the current, proposed, and final regulations for holding the exam and conducting training are summarized in Table 2.2-3, and discussed in detail in Unit X of the preamble.  </w:t>
      </w:r>
    </w:p>
    <w:p w14:paraId="5AB181BA" w14:textId="77777777" w:rsidR="00FA01FB" w:rsidRPr="00362517" w:rsidRDefault="00FA01FB" w:rsidP="00BF6BC7">
      <w:pPr>
        <w:rPr>
          <w:b/>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1679"/>
        <w:gridCol w:w="2818"/>
        <w:gridCol w:w="2725"/>
      </w:tblGrid>
      <w:tr w:rsidR="00362517" w:rsidRPr="00362517" w14:paraId="5AB181BC" w14:textId="77777777" w:rsidTr="0034043F">
        <w:trPr>
          <w:tblHeader/>
        </w:trPr>
        <w:tc>
          <w:tcPr>
            <w:tcW w:w="5000" w:type="pct"/>
            <w:gridSpan w:val="4"/>
            <w:vAlign w:val="center"/>
          </w:tcPr>
          <w:p w14:paraId="5AB181BB" w14:textId="77777777" w:rsidR="00FA01FB" w:rsidRPr="00362517" w:rsidRDefault="00FA01FB" w:rsidP="00BF6BC7">
            <w:pPr>
              <w:rPr>
                <w:b/>
                <w:bCs/>
                <w:sz w:val="20"/>
                <w:szCs w:val="20"/>
              </w:rPr>
            </w:pPr>
            <w:r w:rsidRPr="00362517">
              <w:rPr>
                <w:b/>
                <w:bCs/>
                <w:sz w:val="20"/>
                <w:szCs w:val="20"/>
              </w:rPr>
              <w:t xml:space="preserve">Table 2.2-3.  Current,  Proposed, and </w:t>
            </w:r>
            <w:r w:rsidR="00C57C54" w:rsidRPr="00362517">
              <w:rPr>
                <w:b/>
                <w:bCs/>
                <w:sz w:val="20"/>
                <w:szCs w:val="20"/>
              </w:rPr>
              <w:t xml:space="preserve">Final </w:t>
            </w:r>
            <w:r w:rsidRPr="00362517">
              <w:rPr>
                <w:b/>
                <w:bCs/>
                <w:sz w:val="20"/>
                <w:szCs w:val="20"/>
              </w:rPr>
              <w:t>Requirements for Administering Exams and Training Courses</w:t>
            </w:r>
          </w:p>
        </w:tc>
      </w:tr>
      <w:tr w:rsidR="00362517" w:rsidRPr="00362517" w14:paraId="5AB181C1" w14:textId="77777777" w:rsidTr="0034043F">
        <w:trPr>
          <w:tblHeader/>
        </w:trPr>
        <w:tc>
          <w:tcPr>
            <w:tcW w:w="1094" w:type="pct"/>
            <w:vAlign w:val="center"/>
          </w:tcPr>
          <w:p w14:paraId="5AB181BD" w14:textId="77777777" w:rsidR="00FA01FB" w:rsidRPr="00362517" w:rsidRDefault="00FA01FB" w:rsidP="00BF6BC7">
            <w:pPr>
              <w:keepNext/>
              <w:jc w:val="center"/>
              <w:rPr>
                <w:b/>
                <w:bCs/>
                <w:sz w:val="20"/>
                <w:szCs w:val="20"/>
              </w:rPr>
            </w:pPr>
            <w:r w:rsidRPr="00362517">
              <w:rPr>
                <w:b/>
                <w:bCs/>
                <w:sz w:val="20"/>
                <w:szCs w:val="20"/>
              </w:rPr>
              <w:t xml:space="preserve">Regulatory Element </w:t>
            </w:r>
          </w:p>
        </w:tc>
        <w:tc>
          <w:tcPr>
            <w:tcW w:w="908" w:type="pct"/>
            <w:vAlign w:val="center"/>
          </w:tcPr>
          <w:p w14:paraId="5AB181BE" w14:textId="77777777" w:rsidR="00FA01FB" w:rsidRPr="00362517" w:rsidRDefault="00FA01FB" w:rsidP="00BF6BC7">
            <w:pPr>
              <w:keepNext/>
              <w:jc w:val="center"/>
              <w:rPr>
                <w:b/>
                <w:bCs/>
                <w:sz w:val="20"/>
                <w:szCs w:val="20"/>
              </w:rPr>
            </w:pPr>
            <w:r w:rsidRPr="00362517">
              <w:rPr>
                <w:b/>
                <w:bCs/>
                <w:sz w:val="20"/>
                <w:szCs w:val="20"/>
              </w:rPr>
              <w:t>Current Regulatory Status</w:t>
            </w:r>
          </w:p>
        </w:tc>
        <w:tc>
          <w:tcPr>
            <w:tcW w:w="1524" w:type="pct"/>
            <w:vAlign w:val="center"/>
          </w:tcPr>
          <w:p w14:paraId="5AB181BF" w14:textId="77777777" w:rsidR="00FA01FB" w:rsidRPr="00362517" w:rsidRDefault="00FA01FB" w:rsidP="00BF6BC7">
            <w:pPr>
              <w:keepNext/>
              <w:jc w:val="center"/>
              <w:rPr>
                <w:b/>
                <w:bCs/>
                <w:sz w:val="20"/>
                <w:szCs w:val="20"/>
              </w:rPr>
            </w:pPr>
            <w:r w:rsidRPr="00362517">
              <w:rPr>
                <w:b/>
                <w:bCs/>
                <w:sz w:val="20"/>
                <w:szCs w:val="20"/>
              </w:rPr>
              <w:t>Proposed Option</w:t>
            </w:r>
          </w:p>
        </w:tc>
        <w:tc>
          <w:tcPr>
            <w:tcW w:w="1474" w:type="pct"/>
            <w:vAlign w:val="center"/>
          </w:tcPr>
          <w:p w14:paraId="5AB181C0" w14:textId="77777777" w:rsidR="00FA01FB" w:rsidRPr="00362517" w:rsidRDefault="00FA01FB" w:rsidP="00BF6BC7">
            <w:pPr>
              <w:keepNext/>
              <w:jc w:val="center"/>
              <w:rPr>
                <w:b/>
                <w:bCs/>
                <w:sz w:val="20"/>
                <w:szCs w:val="20"/>
              </w:rPr>
            </w:pPr>
            <w:r w:rsidRPr="00362517">
              <w:rPr>
                <w:b/>
                <w:bCs/>
                <w:sz w:val="20"/>
                <w:szCs w:val="20"/>
              </w:rPr>
              <w:t>Final Requirement</w:t>
            </w:r>
          </w:p>
        </w:tc>
      </w:tr>
      <w:tr w:rsidR="00362517" w:rsidRPr="00362517" w14:paraId="5AB181C3" w14:textId="77777777" w:rsidTr="0034043F">
        <w:tc>
          <w:tcPr>
            <w:tcW w:w="5000" w:type="pct"/>
            <w:gridSpan w:val="4"/>
            <w:vAlign w:val="center"/>
          </w:tcPr>
          <w:p w14:paraId="5AB181C2" w14:textId="77777777" w:rsidR="00FA01FB" w:rsidRPr="00362517" w:rsidRDefault="00FA01FB" w:rsidP="00BF6BC7">
            <w:pPr>
              <w:jc w:val="center"/>
              <w:rPr>
                <w:sz w:val="20"/>
                <w:szCs w:val="20"/>
              </w:rPr>
            </w:pPr>
            <w:r w:rsidRPr="00362517">
              <w:rPr>
                <w:sz w:val="20"/>
                <w:szCs w:val="20"/>
              </w:rPr>
              <w:t>Private and Commercial Applicators</w:t>
            </w:r>
          </w:p>
        </w:tc>
      </w:tr>
      <w:tr w:rsidR="00FA01FB" w:rsidRPr="00362517" w14:paraId="5AB181CD" w14:textId="77777777" w:rsidTr="0034043F">
        <w:trPr>
          <w:trHeight w:val="2501"/>
        </w:trPr>
        <w:tc>
          <w:tcPr>
            <w:tcW w:w="1094" w:type="pct"/>
            <w:vAlign w:val="center"/>
          </w:tcPr>
          <w:p w14:paraId="5AB181C4" w14:textId="77777777" w:rsidR="00FA01FB" w:rsidRPr="00362517" w:rsidRDefault="00FA01FB" w:rsidP="00BF6BC7">
            <w:pPr>
              <w:rPr>
                <w:sz w:val="20"/>
                <w:szCs w:val="20"/>
              </w:rPr>
            </w:pPr>
            <w:r w:rsidRPr="00362517">
              <w:rPr>
                <w:sz w:val="20"/>
                <w:szCs w:val="20"/>
              </w:rPr>
              <w:t>Require candidates to present identification for exams and training, and proctor exams</w:t>
            </w:r>
          </w:p>
        </w:tc>
        <w:tc>
          <w:tcPr>
            <w:tcW w:w="908" w:type="pct"/>
            <w:vAlign w:val="center"/>
          </w:tcPr>
          <w:p w14:paraId="5AB181C5" w14:textId="77777777" w:rsidR="00FA01FB" w:rsidRPr="00362517" w:rsidRDefault="00FA01FB" w:rsidP="00BF6BC7">
            <w:pPr>
              <w:rPr>
                <w:sz w:val="20"/>
                <w:szCs w:val="20"/>
              </w:rPr>
            </w:pPr>
            <w:r w:rsidRPr="00362517">
              <w:rPr>
                <w:sz w:val="20"/>
                <w:szCs w:val="20"/>
              </w:rPr>
              <w:t xml:space="preserve">Some </w:t>
            </w:r>
            <w:r w:rsidR="0044554B" w:rsidRPr="00362517">
              <w:rPr>
                <w:sz w:val="20"/>
                <w:szCs w:val="20"/>
              </w:rPr>
              <w:t>certifying authorities</w:t>
            </w:r>
            <w:r w:rsidRPr="00362517">
              <w:rPr>
                <w:sz w:val="20"/>
                <w:szCs w:val="20"/>
              </w:rPr>
              <w:t xml:space="preserve"> require identification and others do not</w:t>
            </w:r>
          </w:p>
          <w:p w14:paraId="5AB181C6" w14:textId="77777777" w:rsidR="00FA01FB" w:rsidRPr="00362517" w:rsidRDefault="00FA01FB" w:rsidP="00BF6BC7">
            <w:pPr>
              <w:rPr>
                <w:sz w:val="20"/>
                <w:szCs w:val="20"/>
              </w:rPr>
            </w:pPr>
          </w:p>
          <w:p w14:paraId="5AB181C7" w14:textId="77777777" w:rsidR="00FA01FB" w:rsidRPr="00362517" w:rsidRDefault="00FA01FB" w:rsidP="00BF6BC7">
            <w:pPr>
              <w:rPr>
                <w:sz w:val="20"/>
                <w:szCs w:val="20"/>
              </w:rPr>
            </w:pPr>
            <w:r w:rsidRPr="00362517">
              <w:rPr>
                <w:sz w:val="20"/>
                <w:szCs w:val="20"/>
              </w:rPr>
              <w:t>Depending on the state, exams may be written, proctored, and closed book</w:t>
            </w:r>
          </w:p>
        </w:tc>
        <w:tc>
          <w:tcPr>
            <w:tcW w:w="1524" w:type="pct"/>
            <w:vAlign w:val="center"/>
          </w:tcPr>
          <w:p w14:paraId="5AB181C8" w14:textId="77777777" w:rsidR="00FA01FB" w:rsidRPr="00362517" w:rsidRDefault="00FA01FB" w:rsidP="00BF6BC7">
            <w:pPr>
              <w:pStyle w:val="ListParagraph"/>
              <w:numPr>
                <w:ilvl w:val="0"/>
                <w:numId w:val="15"/>
              </w:numPr>
              <w:rPr>
                <w:sz w:val="20"/>
                <w:szCs w:val="20"/>
              </w:rPr>
            </w:pPr>
            <w:r w:rsidRPr="00362517">
              <w:rPr>
                <w:sz w:val="20"/>
                <w:szCs w:val="20"/>
              </w:rPr>
              <w:t>Identity verification required for exams and training</w:t>
            </w:r>
          </w:p>
          <w:p w14:paraId="5AB181C9" w14:textId="77777777" w:rsidR="00FA01FB" w:rsidRPr="00362517" w:rsidRDefault="00FA01FB" w:rsidP="00BF6BC7">
            <w:pPr>
              <w:pStyle w:val="ListParagraph"/>
              <w:numPr>
                <w:ilvl w:val="0"/>
                <w:numId w:val="15"/>
              </w:numPr>
              <w:rPr>
                <w:sz w:val="20"/>
                <w:szCs w:val="20"/>
              </w:rPr>
            </w:pPr>
            <w:r w:rsidRPr="00362517">
              <w:rPr>
                <w:sz w:val="20"/>
                <w:szCs w:val="20"/>
              </w:rPr>
              <w:t xml:space="preserve">Exams </w:t>
            </w:r>
            <w:r w:rsidR="00710988" w:rsidRPr="00362517">
              <w:rPr>
                <w:sz w:val="20"/>
                <w:szCs w:val="20"/>
              </w:rPr>
              <w:t>will</w:t>
            </w:r>
            <w:r w:rsidRPr="00362517">
              <w:rPr>
                <w:sz w:val="20"/>
                <w:szCs w:val="20"/>
              </w:rPr>
              <w:t xml:space="preserve"> be proctored and “closed book” </w:t>
            </w:r>
          </w:p>
          <w:p w14:paraId="5AB181CA" w14:textId="77777777" w:rsidR="00FA01FB" w:rsidRPr="00362517" w:rsidRDefault="00FA01FB" w:rsidP="00BF6BC7">
            <w:pPr>
              <w:rPr>
                <w:sz w:val="20"/>
                <w:szCs w:val="20"/>
              </w:rPr>
            </w:pPr>
          </w:p>
        </w:tc>
        <w:tc>
          <w:tcPr>
            <w:tcW w:w="1474" w:type="pct"/>
            <w:vAlign w:val="center"/>
          </w:tcPr>
          <w:p w14:paraId="5AB181CB" w14:textId="77777777" w:rsidR="00FA01FB" w:rsidRPr="00362517" w:rsidRDefault="00FA01FB" w:rsidP="00BF6BC7">
            <w:pPr>
              <w:pStyle w:val="ListParagraph"/>
              <w:numPr>
                <w:ilvl w:val="0"/>
                <w:numId w:val="15"/>
              </w:numPr>
              <w:rPr>
                <w:sz w:val="20"/>
                <w:szCs w:val="20"/>
              </w:rPr>
            </w:pPr>
            <w:r w:rsidRPr="00362517">
              <w:rPr>
                <w:sz w:val="20"/>
                <w:szCs w:val="20"/>
              </w:rPr>
              <w:t xml:space="preserve">Identity verification required for exams and training; </w:t>
            </w:r>
            <w:r w:rsidR="0044554B" w:rsidRPr="00362517">
              <w:rPr>
                <w:sz w:val="20"/>
                <w:szCs w:val="20"/>
              </w:rPr>
              <w:t>certifying authorities</w:t>
            </w:r>
            <w:r w:rsidRPr="00362517">
              <w:rPr>
                <w:sz w:val="20"/>
                <w:szCs w:val="20"/>
              </w:rPr>
              <w:t xml:space="preserve"> determine standards for identification and any exemptions</w:t>
            </w:r>
          </w:p>
          <w:p w14:paraId="5AB181CC" w14:textId="77777777" w:rsidR="00FA01FB" w:rsidRPr="00362517" w:rsidRDefault="00FA01FB" w:rsidP="00BF6BC7">
            <w:pPr>
              <w:pStyle w:val="ListParagraph"/>
              <w:numPr>
                <w:ilvl w:val="0"/>
                <w:numId w:val="15"/>
              </w:numPr>
              <w:rPr>
                <w:sz w:val="20"/>
                <w:szCs w:val="20"/>
              </w:rPr>
            </w:pPr>
            <w:r w:rsidRPr="00362517">
              <w:rPr>
                <w:sz w:val="20"/>
                <w:szCs w:val="20"/>
              </w:rPr>
              <w:t xml:space="preserve">Exams </w:t>
            </w:r>
            <w:r w:rsidR="00710988" w:rsidRPr="00362517">
              <w:rPr>
                <w:sz w:val="20"/>
                <w:szCs w:val="20"/>
              </w:rPr>
              <w:t>will</w:t>
            </w:r>
            <w:r w:rsidRPr="00362517">
              <w:rPr>
                <w:sz w:val="20"/>
                <w:szCs w:val="20"/>
              </w:rPr>
              <w:t xml:space="preserve"> be proctored</w:t>
            </w:r>
            <w:r w:rsidRPr="00362517">
              <w:t xml:space="preserve"> </w:t>
            </w:r>
            <w:r w:rsidRPr="00362517">
              <w:rPr>
                <w:sz w:val="20"/>
                <w:szCs w:val="20"/>
              </w:rPr>
              <w:t>without any outside materials allowed</w:t>
            </w:r>
          </w:p>
        </w:tc>
      </w:tr>
    </w:tbl>
    <w:p w14:paraId="5AB181CE" w14:textId="77777777" w:rsidR="00FA01FB" w:rsidRPr="00362517" w:rsidRDefault="00FA01FB" w:rsidP="00BF6BC7">
      <w:pPr>
        <w:spacing w:after="240"/>
        <w:rPr>
          <w:b/>
        </w:rPr>
      </w:pPr>
    </w:p>
    <w:p w14:paraId="5AB181CF" w14:textId="77777777" w:rsidR="00FA01FB" w:rsidRPr="00362517" w:rsidRDefault="00FA01FB" w:rsidP="00BF6BC7">
      <w:r w:rsidRPr="00362517">
        <w:t xml:space="preserve">The proposed rule </w:t>
      </w:r>
      <w:r w:rsidR="00BF25CF" w:rsidRPr="00362517">
        <w:t xml:space="preserve">would have </w:t>
      </w:r>
      <w:r w:rsidRPr="00362517">
        <w:t xml:space="preserve">required that candidates seeking certification or recertification as a private or commercial applicator, whether by training or exam, to provide proof of their identity.  In the final regulation, EPA retains this requirement, but makes clear that the </w:t>
      </w:r>
      <w:r w:rsidR="0044554B" w:rsidRPr="00362517">
        <w:t>certifying authorities</w:t>
      </w:r>
      <w:r w:rsidRPr="00362517">
        <w:t xml:space="preserve"> will determine what identification is acceptable, and any exemptions that they will allow.  EPA will also codify EPA’s existing guidance that exams must be written, proctored, and closed book.  </w:t>
      </w:r>
      <w:r w:rsidR="00BF25CF" w:rsidRPr="00362517">
        <w:t>The final rule also codifies EPA’s guidance that exams must be written, proctored, and closed book.  The requirement for the closed book permits the use of reference materials in the exam, but only those materials provided by the proctor are allowed.  No materials may be brought to the exam by persons seeking certification or recertification.</w:t>
      </w:r>
    </w:p>
    <w:p w14:paraId="5AB181D0" w14:textId="77777777" w:rsidR="00FA01FB" w:rsidRPr="00362517" w:rsidRDefault="00FA01FB" w:rsidP="00BF6BC7"/>
    <w:p w14:paraId="5AB181D1" w14:textId="77777777" w:rsidR="00FA01FB" w:rsidRPr="00362517" w:rsidRDefault="00FA01FB" w:rsidP="00BF6BC7">
      <w:pPr>
        <w:spacing w:after="240"/>
      </w:pPr>
      <w:r w:rsidRPr="00362517">
        <w:t xml:space="preserve">The value of setting federal standards for examination practices is that </w:t>
      </w:r>
      <w:r w:rsidR="0044554B" w:rsidRPr="00362517">
        <w:t>certifying authorities</w:t>
      </w:r>
      <w:r w:rsidRPr="00362517">
        <w:t xml:space="preserve">, employers, and the public could be confident that all certified applicators will have met a consistent standard.  Confirming the identity of the test takers </w:t>
      </w:r>
      <w:r w:rsidR="00710988" w:rsidRPr="00362517">
        <w:t>will</w:t>
      </w:r>
      <w:r w:rsidRPr="00362517">
        <w:t xml:space="preserve"> ensure that applicants satisfy the minimum age requirements.  It </w:t>
      </w:r>
      <w:r w:rsidR="00710988" w:rsidRPr="00362517">
        <w:t>will</w:t>
      </w:r>
      <w:r w:rsidRPr="00362517">
        <w:t xml:space="preserve"> also help prevent persons from taking a certification exam or training or attending a recertification training session in the place of the actual candidate, thereby limiting certification to the candidates who are qualified.</w:t>
      </w:r>
    </w:p>
    <w:p w14:paraId="5AB181D2" w14:textId="77777777" w:rsidR="00FA01FB" w:rsidRPr="00362517" w:rsidRDefault="00FA01FB" w:rsidP="00BF6BC7">
      <w:pPr>
        <w:spacing w:after="240"/>
      </w:pPr>
      <w:r w:rsidRPr="00362517">
        <w:lastRenderedPageBreak/>
        <w:t xml:space="preserve">In addition to verifying the identity of test takers, in the final rule, the Agency will codify existing policy related to the security of the exam process.  These standards include requiring that the exam be proctored to prevent cheating and requiring closed-book exams to ensure that no outside materials </w:t>
      </w:r>
      <w:r w:rsidR="00710988" w:rsidRPr="00362517">
        <w:t>will</w:t>
      </w:r>
      <w:r w:rsidRPr="00362517">
        <w:t xml:space="preserve"> be used in the exam.  These changes </w:t>
      </w:r>
      <w:r w:rsidR="00710988" w:rsidRPr="00362517">
        <w:t>will</w:t>
      </w:r>
      <w:r w:rsidRPr="00362517">
        <w:t xml:space="preserve"> also ensure that only competent applicators become certified.  The </w:t>
      </w:r>
      <w:r w:rsidR="0044554B" w:rsidRPr="00362517">
        <w:t>certifying authorities</w:t>
      </w:r>
      <w:r w:rsidRPr="00362517">
        <w:t xml:space="preserve"> </w:t>
      </w:r>
      <w:r w:rsidR="00710988" w:rsidRPr="00362517">
        <w:t>will</w:t>
      </w:r>
      <w:r w:rsidRPr="00362517">
        <w:t xml:space="preserve"> have to ensure that these standards are met.  </w:t>
      </w:r>
    </w:p>
    <w:p w14:paraId="5AB181D3" w14:textId="77777777" w:rsidR="00FA01FB" w:rsidRPr="00362517" w:rsidRDefault="00FA01FB" w:rsidP="00BF6BC7"/>
    <w:p w14:paraId="5AB181D4" w14:textId="77777777" w:rsidR="00FA01FB" w:rsidRPr="00362517" w:rsidRDefault="00FA01FB" w:rsidP="00BF6BC7">
      <w:pPr>
        <w:pStyle w:val="Heading3"/>
      </w:pPr>
      <w:bookmarkStart w:id="47" w:name="_Toc310953795"/>
      <w:bookmarkStart w:id="48" w:name="_Toc395177701"/>
      <w:bookmarkStart w:id="49" w:name="_Toc395788091"/>
      <w:bookmarkStart w:id="50" w:name="_Toc442965745"/>
      <w:bookmarkStart w:id="51" w:name="_Toc468872067"/>
      <w:bookmarkStart w:id="52" w:name="OLE_LINK101"/>
      <w:bookmarkStart w:id="53" w:name="OLE_LINK102"/>
      <w:r w:rsidRPr="00362517">
        <w:t>2.2.5</w:t>
      </w:r>
      <w:r w:rsidRPr="00362517">
        <w:tab/>
        <w:t>Standards for Supervision of Noncertified Applicators, and Provisions for Commercial Applicator Recordkeeping of Noncertified Applicator Training</w:t>
      </w:r>
      <w:bookmarkEnd w:id="47"/>
      <w:bookmarkEnd w:id="48"/>
      <w:bookmarkEnd w:id="49"/>
      <w:bookmarkEnd w:id="50"/>
      <w:bookmarkEnd w:id="51"/>
    </w:p>
    <w:p w14:paraId="5AB181D5" w14:textId="77777777" w:rsidR="00FA01FB" w:rsidRPr="00362517" w:rsidRDefault="00FA01FB" w:rsidP="00BF6BC7"/>
    <w:p w14:paraId="5AB181D6" w14:textId="77777777" w:rsidR="00FA01FB" w:rsidRPr="00362517" w:rsidRDefault="00FA01FB" w:rsidP="00BF6BC7">
      <w:pPr>
        <w:spacing w:after="240"/>
      </w:pPr>
      <w:r w:rsidRPr="00362517">
        <w:t xml:space="preserve">Noncertified applicators using RUPs under the direct supervision of a certified applicator currently have minimal requirements for training or competency.  In addition, noncertified applicators also have a high potential for exposure and, if </w:t>
      </w:r>
      <w:r w:rsidR="00BF25CF" w:rsidRPr="00362517">
        <w:t>RUPs</w:t>
      </w:r>
      <w:r w:rsidRPr="00362517">
        <w:t xml:space="preserve"> are misapplied, they may pose a risk to the public health and the environment.  To address these risks, the Agency is revising the training requirement of the noncertified person and clarification on the communication requirements when under the direct supervision of a certified applicator.  These changes are summarized in Table 2.2-4, and discussed in more detail in Unit X of the preamble.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800"/>
        <w:gridCol w:w="2970"/>
        <w:gridCol w:w="2970"/>
      </w:tblGrid>
      <w:tr w:rsidR="00362517" w:rsidRPr="00362517" w14:paraId="5AB181D8" w14:textId="77777777" w:rsidTr="0034043F">
        <w:trPr>
          <w:tblHeader/>
        </w:trPr>
        <w:tc>
          <w:tcPr>
            <w:tcW w:w="9648" w:type="dxa"/>
            <w:gridSpan w:val="4"/>
            <w:vAlign w:val="center"/>
          </w:tcPr>
          <w:p w14:paraId="5AB181D7" w14:textId="77777777" w:rsidR="00FA01FB" w:rsidRPr="00362517" w:rsidRDefault="00FA01FB" w:rsidP="00BF6BC7">
            <w:pPr>
              <w:keepNext/>
              <w:rPr>
                <w:b/>
                <w:bCs/>
                <w:sz w:val="20"/>
                <w:szCs w:val="20"/>
              </w:rPr>
            </w:pPr>
            <w:r w:rsidRPr="00362517">
              <w:rPr>
                <w:b/>
                <w:bCs/>
                <w:sz w:val="20"/>
                <w:szCs w:val="20"/>
              </w:rPr>
              <w:lastRenderedPageBreak/>
              <w:t xml:space="preserve">Table 2.2-4.  Current, Proposed, and </w:t>
            </w:r>
            <w:r w:rsidR="00F46954" w:rsidRPr="00362517">
              <w:rPr>
                <w:b/>
                <w:bCs/>
                <w:sz w:val="20"/>
                <w:szCs w:val="20"/>
              </w:rPr>
              <w:t xml:space="preserve">Final Requirements </w:t>
            </w:r>
            <w:r w:rsidRPr="00362517">
              <w:rPr>
                <w:b/>
                <w:bCs/>
                <w:sz w:val="20"/>
                <w:szCs w:val="20"/>
              </w:rPr>
              <w:t>to Ensure the Competency of Noncertified Applicators Under the Direct Supervision of a Certified Applicator</w:t>
            </w:r>
          </w:p>
        </w:tc>
      </w:tr>
      <w:tr w:rsidR="00362517" w:rsidRPr="00362517" w14:paraId="5AB181DD" w14:textId="77777777" w:rsidTr="0034043F">
        <w:trPr>
          <w:tblHeader/>
        </w:trPr>
        <w:tc>
          <w:tcPr>
            <w:tcW w:w="1908" w:type="dxa"/>
            <w:vAlign w:val="center"/>
          </w:tcPr>
          <w:p w14:paraId="5AB181D9" w14:textId="77777777" w:rsidR="00FA01FB" w:rsidRPr="00362517" w:rsidRDefault="00FA01FB" w:rsidP="00BF6BC7">
            <w:pPr>
              <w:keepNext/>
              <w:jc w:val="center"/>
              <w:rPr>
                <w:b/>
                <w:bCs/>
                <w:sz w:val="20"/>
                <w:szCs w:val="20"/>
              </w:rPr>
            </w:pPr>
            <w:r w:rsidRPr="00362517">
              <w:rPr>
                <w:b/>
                <w:bCs/>
                <w:sz w:val="20"/>
                <w:szCs w:val="20"/>
              </w:rPr>
              <w:t xml:space="preserve">Regulatory Element </w:t>
            </w:r>
          </w:p>
        </w:tc>
        <w:tc>
          <w:tcPr>
            <w:tcW w:w="1800" w:type="dxa"/>
            <w:vAlign w:val="center"/>
          </w:tcPr>
          <w:p w14:paraId="5AB181DA" w14:textId="77777777" w:rsidR="00FA01FB" w:rsidRPr="00362517" w:rsidRDefault="00FA01FB" w:rsidP="00BF6BC7">
            <w:pPr>
              <w:keepNext/>
              <w:jc w:val="center"/>
              <w:rPr>
                <w:b/>
                <w:bCs/>
                <w:sz w:val="20"/>
                <w:szCs w:val="20"/>
              </w:rPr>
            </w:pPr>
            <w:r w:rsidRPr="00362517">
              <w:rPr>
                <w:b/>
                <w:bCs/>
                <w:sz w:val="20"/>
                <w:szCs w:val="20"/>
              </w:rPr>
              <w:t>Current Regulatory Status</w:t>
            </w:r>
          </w:p>
        </w:tc>
        <w:tc>
          <w:tcPr>
            <w:tcW w:w="2970" w:type="dxa"/>
            <w:vAlign w:val="center"/>
          </w:tcPr>
          <w:p w14:paraId="5AB181DB" w14:textId="77777777" w:rsidR="00FA01FB" w:rsidRPr="00362517" w:rsidRDefault="00FA01FB" w:rsidP="00BF6BC7">
            <w:pPr>
              <w:keepNext/>
              <w:jc w:val="center"/>
              <w:rPr>
                <w:b/>
                <w:bCs/>
                <w:sz w:val="20"/>
                <w:szCs w:val="20"/>
              </w:rPr>
            </w:pPr>
            <w:r w:rsidRPr="00362517">
              <w:rPr>
                <w:b/>
                <w:bCs/>
                <w:sz w:val="20"/>
                <w:szCs w:val="20"/>
              </w:rPr>
              <w:t>Proposed Option</w:t>
            </w:r>
          </w:p>
        </w:tc>
        <w:tc>
          <w:tcPr>
            <w:tcW w:w="2970" w:type="dxa"/>
            <w:vAlign w:val="center"/>
          </w:tcPr>
          <w:p w14:paraId="5AB181DC" w14:textId="77777777" w:rsidR="00FA01FB" w:rsidRPr="00362517" w:rsidRDefault="00FA01FB" w:rsidP="00BF6BC7">
            <w:pPr>
              <w:keepNext/>
              <w:jc w:val="center"/>
              <w:rPr>
                <w:b/>
                <w:bCs/>
                <w:sz w:val="20"/>
                <w:szCs w:val="20"/>
              </w:rPr>
            </w:pPr>
            <w:r w:rsidRPr="00362517">
              <w:rPr>
                <w:b/>
                <w:bCs/>
                <w:sz w:val="20"/>
                <w:szCs w:val="20"/>
              </w:rPr>
              <w:t>Final Requirement</w:t>
            </w:r>
          </w:p>
        </w:tc>
      </w:tr>
      <w:tr w:rsidR="00362517" w:rsidRPr="00362517" w14:paraId="5AB181F4" w14:textId="77777777" w:rsidTr="0034043F">
        <w:trPr>
          <w:trHeight w:val="7181"/>
        </w:trPr>
        <w:tc>
          <w:tcPr>
            <w:tcW w:w="1908" w:type="dxa"/>
            <w:vAlign w:val="center"/>
          </w:tcPr>
          <w:p w14:paraId="5AB181E0" w14:textId="77777777" w:rsidR="00FA01FB" w:rsidRPr="00362517" w:rsidRDefault="00FA01FB" w:rsidP="00BF6BC7">
            <w:pPr>
              <w:keepNext/>
              <w:rPr>
                <w:sz w:val="20"/>
                <w:szCs w:val="20"/>
              </w:rPr>
            </w:pPr>
          </w:p>
          <w:p w14:paraId="5AB181E1" w14:textId="645D1060" w:rsidR="00FA01FB" w:rsidRPr="00362517" w:rsidRDefault="00FA01FB" w:rsidP="00BF6BC7">
            <w:pPr>
              <w:keepNext/>
              <w:rPr>
                <w:sz w:val="20"/>
                <w:szCs w:val="20"/>
              </w:rPr>
            </w:pPr>
            <w:r w:rsidRPr="00362517">
              <w:rPr>
                <w:sz w:val="20"/>
                <w:szCs w:val="20"/>
              </w:rPr>
              <w:t>Competence of noncertified applicators working under the direct supervision of a c</w:t>
            </w:r>
            <w:r w:rsidR="00E312C5" w:rsidRPr="00362517">
              <w:rPr>
                <w:sz w:val="20"/>
                <w:szCs w:val="20"/>
              </w:rPr>
              <w:t>ertified</w:t>
            </w:r>
            <w:r w:rsidRPr="00362517">
              <w:rPr>
                <w:sz w:val="20"/>
                <w:szCs w:val="20"/>
              </w:rPr>
              <w:t xml:space="preserve"> applicator</w:t>
            </w:r>
          </w:p>
        </w:tc>
        <w:tc>
          <w:tcPr>
            <w:tcW w:w="1800" w:type="dxa"/>
            <w:vAlign w:val="center"/>
          </w:tcPr>
          <w:p w14:paraId="5AB181E2" w14:textId="77777777" w:rsidR="00FA01FB" w:rsidRPr="00362517" w:rsidRDefault="00FA01FB" w:rsidP="00BF6BC7">
            <w:pPr>
              <w:keepNext/>
              <w:jc w:val="center"/>
              <w:rPr>
                <w:sz w:val="20"/>
                <w:szCs w:val="20"/>
              </w:rPr>
            </w:pPr>
            <w:r w:rsidRPr="00362517">
              <w:rPr>
                <w:sz w:val="20"/>
                <w:szCs w:val="20"/>
              </w:rPr>
              <w:t>Noncertified applicators must receive basic information but no formal training on safe pesticide use and protecting themselves and their families from pesticide exposure</w:t>
            </w:r>
          </w:p>
        </w:tc>
        <w:tc>
          <w:tcPr>
            <w:tcW w:w="2970" w:type="dxa"/>
            <w:vAlign w:val="center"/>
          </w:tcPr>
          <w:p w14:paraId="5AB181E3" w14:textId="77777777" w:rsidR="00FA01FB" w:rsidRPr="00362517" w:rsidRDefault="00FA01FB" w:rsidP="00BF6BC7">
            <w:pPr>
              <w:keepNext/>
              <w:rPr>
                <w:sz w:val="20"/>
                <w:szCs w:val="20"/>
              </w:rPr>
            </w:pPr>
            <w:r w:rsidRPr="00362517">
              <w:rPr>
                <w:sz w:val="20"/>
                <w:szCs w:val="20"/>
              </w:rPr>
              <w:t>Competency could be demonstrated one of three ways:</w:t>
            </w:r>
          </w:p>
          <w:p w14:paraId="5AB181E4" w14:textId="77777777" w:rsidR="00FA01FB" w:rsidRPr="00362517" w:rsidRDefault="00FA01FB" w:rsidP="00BF6BC7">
            <w:pPr>
              <w:keepNext/>
              <w:numPr>
                <w:ilvl w:val="0"/>
                <w:numId w:val="10"/>
              </w:numPr>
              <w:rPr>
                <w:sz w:val="20"/>
                <w:szCs w:val="20"/>
              </w:rPr>
            </w:pPr>
            <w:r w:rsidRPr="00362517">
              <w:rPr>
                <w:sz w:val="20"/>
                <w:szCs w:val="20"/>
              </w:rPr>
              <w:t xml:space="preserve">complete required training (repeat annually), which would include: </w:t>
            </w:r>
          </w:p>
          <w:p w14:paraId="5AB181E5" w14:textId="77777777" w:rsidR="00FA01FB" w:rsidRPr="00362517" w:rsidRDefault="00FA01FB" w:rsidP="00BF6BC7">
            <w:pPr>
              <w:keepNext/>
              <w:numPr>
                <w:ilvl w:val="1"/>
                <w:numId w:val="10"/>
              </w:numPr>
              <w:rPr>
                <w:sz w:val="20"/>
                <w:szCs w:val="20"/>
              </w:rPr>
            </w:pPr>
            <w:r w:rsidRPr="00362517">
              <w:rPr>
                <w:sz w:val="20"/>
                <w:szCs w:val="20"/>
              </w:rPr>
              <w:t>Training on pesticide information, application techniques, and how to protect themselves, other people, and the environment before, during, and after making a pesticide application</w:t>
            </w:r>
          </w:p>
          <w:p w14:paraId="5AB181E6" w14:textId="77777777" w:rsidR="00FA01FB" w:rsidRPr="00362517" w:rsidRDefault="00FA01FB" w:rsidP="00BF6BC7">
            <w:pPr>
              <w:keepNext/>
              <w:numPr>
                <w:ilvl w:val="1"/>
                <w:numId w:val="10"/>
              </w:numPr>
              <w:rPr>
                <w:sz w:val="20"/>
                <w:szCs w:val="20"/>
              </w:rPr>
            </w:pPr>
            <w:r w:rsidRPr="00362517">
              <w:rPr>
                <w:sz w:val="20"/>
                <w:szCs w:val="20"/>
              </w:rPr>
              <w:t xml:space="preserve">Training on protecting the family </w:t>
            </w:r>
          </w:p>
          <w:p w14:paraId="5AB181E7" w14:textId="77777777" w:rsidR="00FA01FB" w:rsidRPr="00362517" w:rsidRDefault="00FA01FB" w:rsidP="00BF6BC7">
            <w:pPr>
              <w:keepNext/>
              <w:numPr>
                <w:ilvl w:val="0"/>
                <w:numId w:val="10"/>
              </w:numPr>
              <w:rPr>
                <w:sz w:val="20"/>
                <w:szCs w:val="20"/>
              </w:rPr>
            </w:pPr>
            <w:r w:rsidRPr="00362517">
              <w:rPr>
                <w:sz w:val="20"/>
                <w:szCs w:val="20"/>
              </w:rPr>
              <w:t>take Worker Protection Standard (WPS) training for pesticide handler (repeat annually)</w:t>
            </w:r>
          </w:p>
          <w:p w14:paraId="5AB181E8" w14:textId="77777777" w:rsidR="00FA01FB" w:rsidRPr="00362517" w:rsidRDefault="00FA01FB" w:rsidP="00BF6BC7">
            <w:pPr>
              <w:keepNext/>
              <w:numPr>
                <w:ilvl w:val="0"/>
                <w:numId w:val="10"/>
              </w:numPr>
              <w:rPr>
                <w:sz w:val="20"/>
                <w:szCs w:val="20"/>
              </w:rPr>
            </w:pPr>
            <w:r w:rsidRPr="00362517">
              <w:rPr>
                <w:sz w:val="20"/>
                <w:szCs w:val="20"/>
              </w:rPr>
              <w:t xml:space="preserve"> pass the commercial applicator core  exam (every three years)</w:t>
            </w:r>
          </w:p>
          <w:p w14:paraId="5AB181E9" w14:textId="77777777" w:rsidR="00FA01FB" w:rsidRPr="00362517" w:rsidRDefault="00FA01FB" w:rsidP="00BF6BC7">
            <w:pPr>
              <w:keepNext/>
              <w:jc w:val="center"/>
              <w:rPr>
                <w:sz w:val="20"/>
                <w:szCs w:val="20"/>
              </w:rPr>
            </w:pPr>
          </w:p>
          <w:p w14:paraId="5AB181EA" w14:textId="77777777" w:rsidR="00FA01FB" w:rsidRPr="00362517" w:rsidRDefault="00EB1560" w:rsidP="00BF6BC7">
            <w:pPr>
              <w:keepNext/>
              <w:rPr>
                <w:sz w:val="20"/>
                <w:szCs w:val="20"/>
              </w:rPr>
            </w:pPr>
            <w:r w:rsidRPr="00362517">
              <w:rPr>
                <w:sz w:val="20"/>
                <w:szCs w:val="20"/>
              </w:rPr>
              <w:t>Training records for noncertified applicators under the direct supervision of commercial applicators must be retained for 2 years; no requirement for records for private applicators</w:t>
            </w:r>
          </w:p>
        </w:tc>
        <w:tc>
          <w:tcPr>
            <w:tcW w:w="2970" w:type="dxa"/>
            <w:vAlign w:val="center"/>
          </w:tcPr>
          <w:p w14:paraId="5AB181EB" w14:textId="08C9BD22" w:rsidR="00FA01FB" w:rsidRPr="00362517" w:rsidRDefault="00FA01FB" w:rsidP="00BF6BC7">
            <w:pPr>
              <w:keepNext/>
              <w:rPr>
                <w:sz w:val="20"/>
                <w:szCs w:val="20"/>
              </w:rPr>
            </w:pPr>
            <w:r w:rsidRPr="00362517">
              <w:rPr>
                <w:sz w:val="20"/>
                <w:szCs w:val="20"/>
              </w:rPr>
              <w:t>Competency</w:t>
            </w:r>
            <w:r w:rsidR="00F46954" w:rsidRPr="00362517">
              <w:rPr>
                <w:sz w:val="20"/>
                <w:szCs w:val="20"/>
              </w:rPr>
              <w:t xml:space="preserve"> must be</w:t>
            </w:r>
            <w:r w:rsidRPr="00362517">
              <w:rPr>
                <w:sz w:val="20"/>
                <w:szCs w:val="20"/>
              </w:rPr>
              <w:t xml:space="preserve"> demonstrated </w:t>
            </w:r>
            <w:r w:rsidR="00F46954" w:rsidRPr="00362517">
              <w:rPr>
                <w:sz w:val="20"/>
                <w:szCs w:val="20"/>
              </w:rPr>
              <w:t xml:space="preserve">in </w:t>
            </w:r>
            <w:r w:rsidRPr="00362517">
              <w:rPr>
                <w:sz w:val="20"/>
                <w:szCs w:val="20"/>
              </w:rPr>
              <w:t xml:space="preserve">one of </w:t>
            </w:r>
            <w:r w:rsidR="00F46954" w:rsidRPr="00362517">
              <w:rPr>
                <w:sz w:val="20"/>
                <w:szCs w:val="20"/>
              </w:rPr>
              <w:t xml:space="preserve">the following </w:t>
            </w:r>
            <w:r w:rsidRPr="00362517">
              <w:rPr>
                <w:sz w:val="20"/>
                <w:szCs w:val="20"/>
              </w:rPr>
              <w:t>ways:</w:t>
            </w:r>
          </w:p>
          <w:p w14:paraId="5AB181EC" w14:textId="77777777" w:rsidR="00FA01FB" w:rsidRPr="00362517" w:rsidRDefault="00FA01FB" w:rsidP="00BF6BC7">
            <w:pPr>
              <w:keepNext/>
              <w:numPr>
                <w:ilvl w:val="0"/>
                <w:numId w:val="10"/>
              </w:numPr>
              <w:rPr>
                <w:sz w:val="20"/>
                <w:szCs w:val="20"/>
              </w:rPr>
            </w:pPr>
            <w:r w:rsidRPr="00362517">
              <w:rPr>
                <w:sz w:val="20"/>
                <w:szCs w:val="20"/>
              </w:rPr>
              <w:t xml:space="preserve">complete required training (repeat annually), which </w:t>
            </w:r>
            <w:r w:rsidR="00710988" w:rsidRPr="00362517">
              <w:rPr>
                <w:sz w:val="20"/>
                <w:szCs w:val="20"/>
              </w:rPr>
              <w:t>will</w:t>
            </w:r>
            <w:r w:rsidRPr="00362517">
              <w:rPr>
                <w:sz w:val="20"/>
                <w:szCs w:val="20"/>
              </w:rPr>
              <w:t xml:space="preserve"> include: </w:t>
            </w:r>
          </w:p>
          <w:p w14:paraId="5AB181ED" w14:textId="77777777" w:rsidR="00FA01FB" w:rsidRPr="00362517" w:rsidRDefault="00FA01FB" w:rsidP="00BF6BC7">
            <w:pPr>
              <w:keepNext/>
              <w:numPr>
                <w:ilvl w:val="1"/>
                <w:numId w:val="10"/>
              </w:numPr>
              <w:rPr>
                <w:sz w:val="20"/>
                <w:szCs w:val="20"/>
              </w:rPr>
            </w:pPr>
            <w:r w:rsidRPr="00362517">
              <w:rPr>
                <w:sz w:val="20"/>
                <w:szCs w:val="20"/>
              </w:rPr>
              <w:t>Training on pesticide information, application techniques, and how to protect themselves, other people, and the environment before, during, and after making a pesticide application</w:t>
            </w:r>
          </w:p>
          <w:p w14:paraId="5AB181EE" w14:textId="77777777" w:rsidR="00FA01FB" w:rsidRPr="00362517" w:rsidRDefault="00FA01FB" w:rsidP="00BF6BC7">
            <w:pPr>
              <w:keepNext/>
              <w:numPr>
                <w:ilvl w:val="1"/>
                <w:numId w:val="10"/>
              </w:numPr>
              <w:rPr>
                <w:sz w:val="20"/>
                <w:szCs w:val="20"/>
              </w:rPr>
            </w:pPr>
            <w:r w:rsidRPr="00362517">
              <w:rPr>
                <w:sz w:val="20"/>
                <w:szCs w:val="20"/>
              </w:rPr>
              <w:t xml:space="preserve">Training on protecting the family </w:t>
            </w:r>
          </w:p>
          <w:p w14:paraId="5AB181EF" w14:textId="77777777" w:rsidR="00FA01FB" w:rsidRPr="00362517" w:rsidRDefault="00FA01FB" w:rsidP="00BF6BC7">
            <w:pPr>
              <w:keepNext/>
              <w:numPr>
                <w:ilvl w:val="0"/>
                <w:numId w:val="10"/>
              </w:numPr>
              <w:rPr>
                <w:sz w:val="20"/>
                <w:szCs w:val="20"/>
              </w:rPr>
            </w:pPr>
            <w:r w:rsidRPr="00362517">
              <w:rPr>
                <w:sz w:val="20"/>
                <w:szCs w:val="20"/>
              </w:rPr>
              <w:t>take Worker Protection Standard (WPS) training for pesticide handler (repeat annually)</w:t>
            </w:r>
          </w:p>
          <w:p w14:paraId="5AB181F0" w14:textId="77777777" w:rsidR="00FA01FB" w:rsidRPr="00362517" w:rsidRDefault="0044554B" w:rsidP="00BF6BC7">
            <w:pPr>
              <w:keepNext/>
              <w:numPr>
                <w:ilvl w:val="0"/>
                <w:numId w:val="10"/>
              </w:numPr>
              <w:rPr>
                <w:sz w:val="20"/>
                <w:szCs w:val="20"/>
              </w:rPr>
            </w:pPr>
            <w:r w:rsidRPr="00362517">
              <w:rPr>
                <w:sz w:val="20"/>
                <w:szCs w:val="20"/>
              </w:rPr>
              <w:t>certifying authorities</w:t>
            </w:r>
            <w:r w:rsidR="00FA01FB" w:rsidRPr="00362517">
              <w:rPr>
                <w:sz w:val="20"/>
                <w:szCs w:val="20"/>
              </w:rPr>
              <w:t xml:space="preserve"> can also require demonstration of knowledge through an equivalent program that EPA does not specify </w:t>
            </w:r>
          </w:p>
          <w:p w14:paraId="5AB181F1" w14:textId="77777777" w:rsidR="00F46954" w:rsidRPr="00362517" w:rsidRDefault="00F46954" w:rsidP="00BF6BC7">
            <w:pPr>
              <w:keepNext/>
              <w:numPr>
                <w:ilvl w:val="0"/>
                <w:numId w:val="10"/>
              </w:numPr>
              <w:rPr>
                <w:sz w:val="20"/>
                <w:szCs w:val="20"/>
              </w:rPr>
            </w:pPr>
            <w:r w:rsidRPr="00362517">
              <w:rPr>
                <w:sz w:val="20"/>
                <w:szCs w:val="20"/>
              </w:rPr>
              <w:t>certification in a category not related to the application</w:t>
            </w:r>
          </w:p>
          <w:p w14:paraId="5AB181F2" w14:textId="77777777" w:rsidR="00FA01FB" w:rsidRPr="00362517" w:rsidRDefault="00FA01FB" w:rsidP="00BF6BC7">
            <w:pPr>
              <w:keepNext/>
              <w:jc w:val="center"/>
              <w:rPr>
                <w:sz w:val="20"/>
                <w:szCs w:val="20"/>
              </w:rPr>
            </w:pPr>
          </w:p>
          <w:p w14:paraId="5AB181F3" w14:textId="77777777" w:rsidR="00FA01FB" w:rsidRPr="00362517" w:rsidRDefault="00EB1560" w:rsidP="00BF6BC7">
            <w:pPr>
              <w:keepNext/>
              <w:rPr>
                <w:sz w:val="20"/>
                <w:szCs w:val="20"/>
              </w:rPr>
            </w:pPr>
            <w:r w:rsidRPr="00362517">
              <w:rPr>
                <w:sz w:val="20"/>
                <w:szCs w:val="20"/>
              </w:rPr>
              <w:t>Training records for noncertified applicators under the direct supervision of commercial applicators must be retained for 2 years; no requirement for records for private applicators</w:t>
            </w:r>
          </w:p>
        </w:tc>
      </w:tr>
      <w:tr w:rsidR="00362517" w:rsidRPr="00362517" w14:paraId="5AB181FF" w14:textId="77777777" w:rsidTr="0034043F">
        <w:trPr>
          <w:trHeight w:val="2330"/>
        </w:trPr>
        <w:tc>
          <w:tcPr>
            <w:tcW w:w="1908" w:type="dxa"/>
            <w:vAlign w:val="center"/>
          </w:tcPr>
          <w:p w14:paraId="5AB181F5" w14:textId="5B8B8BCA" w:rsidR="00FA01FB" w:rsidRPr="00362517" w:rsidRDefault="00FA01FB" w:rsidP="00BF6BC7">
            <w:pPr>
              <w:keepNext/>
              <w:rPr>
                <w:sz w:val="20"/>
                <w:szCs w:val="20"/>
              </w:rPr>
            </w:pPr>
            <w:r w:rsidRPr="00362517">
              <w:rPr>
                <w:sz w:val="20"/>
                <w:szCs w:val="20"/>
              </w:rPr>
              <w:t>Guidance pr</w:t>
            </w:r>
            <w:r w:rsidR="00970BA3" w:rsidRPr="00362517">
              <w:rPr>
                <w:sz w:val="20"/>
                <w:szCs w:val="20"/>
              </w:rPr>
              <w:t>ovided by supervising certified</w:t>
            </w:r>
            <w:r w:rsidRPr="00362517">
              <w:rPr>
                <w:sz w:val="20"/>
                <w:szCs w:val="20"/>
              </w:rPr>
              <w:t xml:space="preserve"> applicator to noncertified applicator</w:t>
            </w:r>
          </w:p>
        </w:tc>
        <w:tc>
          <w:tcPr>
            <w:tcW w:w="1800" w:type="dxa"/>
            <w:vAlign w:val="center"/>
          </w:tcPr>
          <w:p w14:paraId="5AB181F6" w14:textId="77777777" w:rsidR="00FA01FB" w:rsidRPr="00362517" w:rsidRDefault="00FA01FB" w:rsidP="00BF6BC7">
            <w:pPr>
              <w:keepNext/>
              <w:jc w:val="center"/>
              <w:rPr>
                <w:sz w:val="20"/>
                <w:szCs w:val="20"/>
              </w:rPr>
            </w:pPr>
            <w:r w:rsidRPr="00362517">
              <w:rPr>
                <w:sz w:val="20"/>
                <w:szCs w:val="20"/>
              </w:rPr>
              <w:t>Supervising certified applicator must provide noncertified applicator guidance on correct application and how to contact certified supervisor</w:t>
            </w:r>
          </w:p>
        </w:tc>
        <w:tc>
          <w:tcPr>
            <w:tcW w:w="2970" w:type="dxa"/>
            <w:vAlign w:val="center"/>
          </w:tcPr>
          <w:p w14:paraId="5AB181F7" w14:textId="77777777" w:rsidR="00FA01FB" w:rsidRPr="00362517" w:rsidRDefault="00FA01FB" w:rsidP="00BF6BC7">
            <w:pPr>
              <w:keepNext/>
              <w:tabs>
                <w:tab w:val="left" w:pos="0"/>
              </w:tabs>
              <w:rPr>
                <w:bCs/>
                <w:sz w:val="20"/>
                <w:szCs w:val="20"/>
              </w:rPr>
            </w:pPr>
            <w:r w:rsidRPr="00362517">
              <w:rPr>
                <w:bCs/>
                <w:sz w:val="20"/>
                <w:szCs w:val="20"/>
              </w:rPr>
              <w:t>In addition to the current requirements, the supervising certified applicator would:</w:t>
            </w:r>
          </w:p>
          <w:p w14:paraId="5AB181F8" w14:textId="77777777" w:rsidR="00FA01FB" w:rsidRPr="00362517" w:rsidRDefault="00FA01FB" w:rsidP="00BF6BC7">
            <w:pPr>
              <w:keepNext/>
              <w:numPr>
                <w:ilvl w:val="0"/>
                <w:numId w:val="11"/>
              </w:numPr>
              <w:rPr>
                <w:bCs/>
                <w:sz w:val="20"/>
                <w:szCs w:val="20"/>
              </w:rPr>
            </w:pPr>
            <w:r w:rsidRPr="00362517">
              <w:rPr>
                <w:bCs/>
                <w:sz w:val="20"/>
                <w:szCs w:val="20"/>
              </w:rPr>
              <w:t>Provide the pesticide labeling for each application</w:t>
            </w:r>
          </w:p>
          <w:p w14:paraId="5AB181F9" w14:textId="77777777" w:rsidR="00FA01FB" w:rsidRPr="00362517" w:rsidRDefault="00FA01FB" w:rsidP="00BF6BC7">
            <w:pPr>
              <w:keepNext/>
              <w:numPr>
                <w:ilvl w:val="0"/>
                <w:numId w:val="11"/>
              </w:numPr>
              <w:rPr>
                <w:bCs/>
                <w:sz w:val="20"/>
                <w:szCs w:val="20"/>
              </w:rPr>
            </w:pPr>
            <w:r w:rsidRPr="00362517">
              <w:rPr>
                <w:bCs/>
                <w:sz w:val="20"/>
                <w:szCs w:val="20"/>
              </w:rPr>
              <w:t>Provide instructions related to each application</w:t>
            </w:r>
          </w:p>
          <w:p w14:paraId="5AB181FA" w14:textId="77777777" w:rsidR="00FA01FB" w:rsidRPr="00362517" w:rsidRDefault="00FA01FB" w:rsidP="00BF6BC7">
            <w:pPr>
              <w:keepNext/>
              <w:numPr>
                <w:ilvl w:val="0"/>
                <w:numId w:val="11"/>
              </w:numPr>
              <w:rPr>
                <w:sz w:val="20"/>
                <w:szCs w:val="20"/>
              </w:rPr>
            </w:pPr>
            <w:r w:rsidRPr="00362517">
              <w:rPr>
                <w:bCs/>
                <w:sz w:val="20"/>
                <w:szCs w:val="20"/>
              </w:rPr>
              <w:t>Explain all labeling restrictions</w:t>
            </w:r>
          </w:p>
        </w:tc>
        <w:tc>
          <w:tcPr>
            <w:tcW w:w="2970" w:type="dxa"/>
            <w:vAlign w:val="center"/>
          </w:tcPr>
          <w:p w14:paraId="5AB181FB" w14:textId="77777777" w:rsidR="00FA01FB" w:rsidRPr="00362517" w:rsidRDefault="00FA01FB" w:rsidP="00BF6BC7">
            <w:pPr>
              <w:keepNext/>
              <w:tabs>
                <w:tab w:val="left" w:pos="0"/>
              </w:tabs>
              <w:rPr>
                <w:bCs/>
                <w:sz w:val="20"/>
                <w:szCs w:val="20"/>
              </w:rPr>
            </w:pPr>
            <w:r w:rsidRPr="00362517">
              <w:rPr>
                <w:bCs/>
                <w:sz w:val="20"/>
                <w:szCs w:val="20"/>
              </w:rPr>
              <w:t xml:space="preserve">In addition to the current requirements, the supervising certified applicator </w:t>
            </w:r>
            <w:r w:rsidR="00F46954" w:rsidRPr="00362517">
              <w:rPr>
                <w:bCs/>
                <w:sz w:val="20"/>
                <w:szCs w:val="20"/>
              </w:rPr>
              <w:t>must</w:t>
            </w:r>
            <w:r w:rsidRPr="00362517">
              <w:rPr>
                <w:bCs/>
                <w:sz w:val="20"/>
                <w:szCs w:val="20"/>
              </w:rPr>
              <w:t>:</w:t>
            </w:r>
          </w:p>
          <w:p w14:paraId="5AB181FC" w14:textId="77777777" w:rsidR="00FA01FB" w:rsidRPr="00362517" w:rsidRDefault="00FA01FB" w:rsidP="00BF6BC7">
            <w:pPr>
              <w:keepNext/>
              <w:numPr>
                <w:ilvl w:val="0"/>
                <w:numId w:val="11"/>
              </w:numPr>
              <w:rPr>
                <w:bCs/>
                <w:sz w:val="20"/>
                <w:szCs w:val="20"/>
              </w:rPr>
            </w:pPr>
            <w:r w:rsidRPr="00362517">
              <w:rPr>
                <w:bCs/>
                <w:sz w:val="20"/>
                <w:szCs w:val="20"/>
              </w:rPr>
              <w:t>Provide access to the pesticide labeling for each application</w:t>
            </w:r>
          </w:p>
          <w:p w14:paraId="5AB181FD" w14:textId="77777777" w:rsidR="00FA01FB" w:rsidRPr="00362517" w:rsidRDefault="00FA01FB" w:rsidP="00BF6BC7">
            <w:pPr>
              <w:keepNext/>
              <w:numPr>
                <w:ilvl w:val="0"/>
                <w:numId w:val="11"/>
              </w:numPr>
              <w:rPr>
                <w:bCs/>
                <w:sz w:val="20"/>
                <w:szCs w:val="20"/>
              </w:rPr>
            </w:pPr>
            <w:r w:rsidRPr="00362517">
              <w:rPr>
                <w:bCs/>
                <w:sz w:val="20"/>
                <w:szCs w:val="20"/>
              </w:rPr>
              <w:t>Provide instructions related to each application</w:t>
            </w:r>
          </w:p>
          <w:p w14:paraId="5AB181FE" w14:textId="77777777" w:rsidR="00FA01FB" w:rsidRPr="00362517" w:rsidRDefault="00FA01FB" w:rsidP="00BF6BC7">
            <w:pPr>
              <w:keepNext/>
              <w:numPr>
                <w:ilvl w:val="0"/>
                <w:numId w:val="11"/>
              </w:numPr>
              <w:rPr>
                <w:sz w:val="20"/>
                <w:szCs w:val="20"/>
              </w:rPr>
            </w:pPr>
            <w:r w:rsidRPr="00362517">
              <w:rPr>
                <w:bCs/>
                <w:sz w:val="20"/>
                <w:szCs w:val="20"/>
              </w:rPr>
              <w:t>Explain all labeling restrictions</w:t>
            </w:r>
          </w:p>
        </w:tc>
      </w:tr>
      <w:tr w:rsidR="00FA01FB" w:rsidRPr="00362517" w14:paraId="5AB18204" w14:textId="77777777" w:rsidTr="0034043F">
        <w:trPr>
          <w:trHeight w:val="1790"/>
        </w:trPr>
        <w:tc>
          <w:tcPr>
            <w:tcW w:w="1908" w:type="dxa"/>
            <w:vAlign w:val="center"/>
          </w:tcPr>
          <w:p w14:paraId="5AB18200" w14:textId="2CF9198F" w:rsidR="00FA01FB" w:rsidRPr="00362517" w:rsidRDefault="00FA01FB" w:rsidP="00BF6BC7">
            <w:pPr>
              <w:keepNext/>
              <w:rPr>
                <w:sz w:val="20"/>
                <w:szCs w:val="20"/>
              </w:rPr>
            </w:pPr>
            <w:r w:rsidRPr="00362517">
              <w:rPr>
                <w:sz w:val="20"/>
                <w:szCs w:val="20"/>
              </w:rPr>
              <w:lastRenderedPageBreak/>
              <w:t>Communication between supervising</w:t>
            </w:r>
            <w:r w:rsidR="00BA0E4C" w:rsidRPr="00362517">
              <w:rPr>
                <w:sz w:val="20"/>
                <w:szCs w:val="20"/>
              </w:rPr>
              <w:t xml:space="preserve"> certified </w:t>
            </w:r>
            <w:r w:rsidRPr="00362517">
              <w:rPr>
                <w:sz w:val="20"/>
                <w:szCs w:val="20"/>
              </w:rPr>
              <w:t>applicator and noncertified applicator</w:t>
            </w:r>
          </w:p>
        </w:tc>
        <w:tc>
          <w:tcPr>
            <w:tcW w:w="1800" w:type="dxa"/>
            <w:vAlign w:val="center"/>
          </w:tcPr>
          <w:p w14:paraId="5AB18201" w14:textId="77777777" w:rsidR="00FA01FB" w:rsidRPr="00362517" w:rsidRDefault="00FA01FB" w:rsidP="00BF6BC7">
            <w:pPr>
              <w:keepNext/>
              <w:jc w:val="center"/>
              <w:rPr>
                <w:sz w:val="20"/>
                <w:szCs w:val="20"/>
              </w:rPr>
            </w:pPr>
            <w:r w:rsidRPr="00362517">
              <w:rPr>
                <w:sz w:val="20"/>
                <w:szCs w:val="20"/>
              </w:rPr>
              <w:t>Supervising certified applicator must explain how noncertified applicator can contact him/her if needed</w:t>
            </w:r>
          </w:p>
        </w:tc>
        <w:tc>
          <w:tcPr>
            <w:tcW w:w="2970" w:type="dxa"/>
            <w:vAlign w:val="center"/>
          </w:tcPr>
          <w:p w14:paraId="5AB18202" w14:textId="77777777" w:rsidR="00FA01FB" w:rsidRPr="00362517" w:rsidRDefault="00FA01FB" w:rsidP="00BF6BC7">
            <w:pPr>
              <w:keepNext/>
              <w:jc w:val="center"/>
              <w:rPr>
                <w:bCs/>
                <w:sz w:val="20"/>
                <w:szCs w:val="20"/>
              </w:rPr>
            </w:pPr>
            <w:r w:rsidRPr="00362517">
              <w:rPr>
                <w:bCs/>
                <w:sz w:val="20"/>
                <w:szCs w:val="20"/>
              </w:rPr>
              <w:t>Supervising certified applicator would ensure noncertified applicator has equipment available for immediate 2-way communication with supervisor</w:t>
            </w:r>
          </w:p>
        </w:tc>
        <w:tc>
          <w:tcPr>
            <w:tcW w:w="2970" w:type="dxa"/>
            <w:vAlign w:val="center"/>
          </w:tcPr>
          <w:p w14:paraId="5AB18203" w14:textId="77777777" w:rsidR="00FA01FB" w:rsidRPr="00362517" w:rsidRDefault="00FA01FB" w:rsidP="00BF6BC7">
            <w:pPr>
              <w:keepNext/>
              <w:jc w:val="center"/>
              <w:rPr>
                <w:sz w:val="20"/>
                <w:szCs w:val="20"/>
              </w:rPr>
            </w:pPr>
            <w:r w:rsidRPr="00362517">
              <w:rPr>
                <w:bCs/>
                <w:sz w:val="20"/>
                <w:szCs w:val="20"/>
              </w:rPr>
              <w:t>Supervising certified applicator w</w:t>
            </w:r>
            <w:r w:rsidR="00710988" w:rsidRPr="00362517">
              <w:rPr>
                <w:bCs/>
                <w:sz w:val="20"/>
                <w:szCs w:val="20"/>
              </w:rPr>
              <w:t>ill</w:t>
            </w:r>
            <w:r w:rsidRPr="00362517">
              <w:rPr>
                <w:bCs/>
                <w:sz w:val="20"/>
                <w:szCs w:val="20"/>
              </w:rPr>
              <w:t xml:space="preserve"> ensure noncertified applicator has equipment available for immediate 2-way communication with supervisor</w:t>
            </w:r>
          </w:p>
        </w:tc>
      </w:tr>
    </w:tbl>
    <w:p w14:paraId="5AB18205" w14:textId="30878F53" w:rsidR="00FA01FB" w:rsidRPr="00362517" w:rsidRDefault="00FA01FB" w:rsidP="00BF6BC7">
      <w:pPr>
        <w:spacing w:after="240"/>
      </w:pPr>
    </w:p>
    <w:p w14:paraId="5AB18206" w14:textId="77777777" w:rsidR="00FA01FB" w:rsidRPr="00362517" w:rsidRDefault="00FA01FB" w:rsidP="00BF6BC7">
      <w:pPr>
        <w:spacing w:after="240"/>
      </w:pPr>
      <w:r w:rsidRPr="00362517">
        <w:t xml:space="preserve">Existing regulations require that a noncertified applicator using RUPs under the direct supervision of a certified applicator must be competent, but the rule does not specify how to determine the competency of the noncertified applicator.  Currently, the rule does not require any training or exam to gauge noncertified applicator competency or ensure an initial level of training/competency. The current rule also does not specify any interval for retraining or instruction for ensuring the ongoing competency of noncertified applicators.  </w:t>
      </w:r>
    </w:p>
    <w:p w14:paraId="5AB18207" w14:textId="77777777" w:rsidR="00FA01FB" w:rsidRPr="00362517" w:rsidRDefault="00FA01FB" w:rsidP="00BF6BC7">
      <w:pPr>
        <w:keepNext/>
        <w:spacing w:after="240"/>
        <w:rPr>
          <w:i/>
        </w:rPr>
      </w:pPr>
      <w:r w:rsidRPr="00362517">
        <w:rPr>
          <w:i/>
        </w:rPr>
        <w:t>Competence of Noncertified Applicators Working Under the Direct Supervision of a Commercial Applicator</w:t>
      </w:r>
    </w:p>
    <w:p w14:paraId="5AB18208" w14:textId="77777777" w:rsidR="00EB1560" w:rsidRPr="00362517" w:rsidRDefault="00553EB0" w:rsidP="00BF6BC7">
      <w:pPr>
        <w:keepNext/>
        <w:spacing w:after="240"/>
      </w:pPr>
      <w:r w:rsidRPr="00362517">
        <w:t>The Agency is finalizing the ways that noncertified applicators working under the direct supervision of commercial applicators must demonstrate competence. First, the noncertified applicator may complete training specified in the final rule for noncertified applicators, which includes a range of information about the hazards of pesticides, what to do in the case of pesticide poisonings, safety requirements, proper application techniques, how to protect oneself and one’s family from pesticide exposure, and other topics related to the safe use of RUPs.  Second, they could complete the WPS handler training (specified under 40 CFR 170).  These final training requirements must be repeated annually.  Applicators who hold certification in a category not related to the application being made will meet the minimum requirements for training. Records of the noncertified applicator training must be maintained for 2 years, and be accessible for the supervising commercial applicator.  Records are a key component of an effective enforcement program.  These records can help ensure that noncertified applicators under the direct supervision of a certified commercial applicator have met the minimum training requirements.  In addition to the options for demonstrating competence specified in the rule, the rule allows the certifying authorities to determine an alternative approach to require demonstration of knowledge through an equivalent program, which allows flexibility for the certifying authorities while protecting noncertified applicators working under the direct supervision of a commercial applicator.</w:t>
      </w:r>
      <w:r w:rsidR="00EB1560" w:rsidRPr="00362517">
        <w:t xml:space="preserve">     </w:t>
      </w:r>
    </w:p>
    <w:p w14:paraId="5AB18209" w14:textId="77777777" w:rsidR="00FA01FB" w:rsidRPr="00362517" w:rsidRDefault="00FA01FB" w:rsidP="00BF6BC7">
      <w:pPr>
        <w:keepNext/>
        <w:spacing w:after="240"/>
      </w:pPr>
      <w:r w:rsidRPr="00362517">
        <w:t xml:space="preserve">   </w:t>
      </w:r>
    </w:p>
    <w:p w14:paraId="5AB1820A" w14:textId="77777777" w:rsidR="00FA01FB" w:rsidRPr="00362517" w:rsidRDefault="00FA01FB" w:rsidP="00BF6BC7">
      <w:pPr>
        <w:spacing w:after="240"/>
        <w:rPr>
          <w:i/>
        </w:rPr>
      </w:pPr>
      <w:r w:rsidRPr="00362517">
        <w:rPr>
          <w:i/>
        </w:rPr>
        <w:t>Competence of Noncertified Applicators Working Under the Direct Supervision of a Private Applicator</w:t>
      </w:r>
    </w:p>
    <w:p w14:paraId="5AB1820B" w14:textId="20226532" w:rsidR="00FA01FB" w:rsidRPr="00362517" w:rsidRDefault="008F2FA3" w:rsidP="00BF6BC7">
      <w:pPr>
        <w:spacing w:after="240"/>
      </w:pPr>
      <w:r w:rsidRPr="00362517">
        <w:lastRenderedPageBreak/>
        <w:t xml:space="preserve">The Agency is finalizing the options that noncertified applicators working under the direct supervision of private applicators must demonstrate competence.  First, the noncertified applicator may complete training specified in the final rule for noncertified applicators, which will include a range of information about the hazards of pesticides, what to do in the case of pesticide poisonings, safety requirements, proper application techniques, how to protect oneself and one’s family from pesticide exposure, and other topics related to the safe use of RUPs.  Second, they can complete the WPS handler training (specified under 40 CFR 170).  The final training requirements must be repeated annually.  Applicators who hold certification in a category not related to the application being made will meet the minimum requirements for training. EPA cannot require private applicators to keep records due to constraints in FIFRA, so EPA is not </w:t>
      </w:r>
      <w:r w:rsidR="009A2F1D" w:rsidRPr="00362517">
        <w:t>requiring</w:t>
      </w:r>
      <w:r w:rsidRPr="00362517">
        <w:t xml:space="preserve"> any recordkeeping by private applicators to verify that the noncertified applicators working under their direct supervision have qualified under the requirements of the final rule.  In addition to the options for demonstrating competence specified in the rule, the rule allows the certifying authorities to determine an alternative approach for demonstration of knowledge through an equivalent program, which allows flexibility for the certifying authorities while protecting noncertified applicators working under the direct supervision of a private applicator.</w:t>
      </w:r>
    </w:p>
    <w:p w14:paraId="5AB1820C" w14:textId="77777777" w:rsidR="00FA01FB" w:rsidRPr="00362517" w:rsidRDefault="00FA01FB" w:rsidP="00BF6BC7">
      <w:pPr>
        <w:spacing w:after="240"/>
        <w:rPr>
          <w:i/>
        </w:rPr>
      </w:pPr>
      <w:r w:rsidRPr="00362517">
        <w:rPr>
          <w:i/>
        </w:rPr>
        <w:t>Guidance Given To Noncertified Applicators Working under the Direct Supervision of Commercial and Private Applicators</w:t>
      </w:r>
    </w:p>
    <w:p w14:paraId="5AB1820D" w14:textId="516A70D5" w:rsidR="00FA01FB" w:rsidRPr="00362517" w:rsidRDefault="00FA01FB" w:rsidP="00BF6BC7">
      <w:pPr>
        <w:spacing w:after="240"/>
      </w:pPr>
      <w:r w:rsidRPr="00362517">
        <w:t xml:space="preserve">In addition to the general requirement to demonstrate competence through training or examination, the Agency is finalizing the instructions that must be given to noncertified applicators working under the direct supervision of commercial and private applicators.  Currently the supervising commercial or private applicator must provide guidance on the labeling requirements and application restrictions and information on how to contact the supervisor.  The final revision </w:t>
      </w:r>
      <w:r w:rsidR="00710988" w:rsidRPr="00362517">
        <w:t>will</w:t>
      </w:r>
      <w:r w:rsidRPr="00362517">
        <w:t xml:space="preserve"> require that, in addition to the above, the supervising commercial or private applicator provide access to all applicable labeling to each noncertified applicator for each supervised application; provide specific instructions related to each application, including the site-specific precautions and how to use the equipment; and explain how to comply with all labeling restrictions.  In a change from the proposed rule, the final rule allows noncertified applicators working under the supervision of a certified applicator to have access to the pesticide labelling, but does not </w:t>
      </w:r>
      <w:r w:rsidR="00413DE9" w:rsidRPr="00362517">
        <w:t xml:space="preserve">require </w:t>
      </w:r>
      <w:r w:rsidRPr="00362517">
        <w:t xml:space="preserve">the certified applicator to provide </w:t>
      </w:r>
      <w:r w:rsidR="008F2FA3" w:rsidRPr="00362517">
        <w:t>a copy for each application</w:t>
      </w:r>
      <w:r w:rsidRPr="00362517">
        <w:t xml:space="preserve">.    </w:t>
      </w:r>
    </w:p>
    <w:p w14:paraId="5AB1820E" w14:textId="77777777" w:rsidR="00FA01FB" w:rsidRPr="00362517" w:rsidRDefault="00FA01FB" w:rsidP="00BF6BC7">
      <w:pPr>
        <w:keepNext/>
        <w:spacing w:after="240"/>
        <w:rPr>
          <w:i/>
        </w:rPr>
      </w:pPr>
      <w:r w:rsidRPr="00362517">
        <w:rPr>
          <w:i/>
        </w:rPr>
        <w:t>Communication between the Supervising Commercial or Private Applicator and the Noncertified Applicator</w:t>
      </w:r>
    </w:p>
    <w:p w14:paraId="5AB1820F" w14:textId="77777777" w:rsidR="00FA01FB" w:rsidRPr="00362517" w:rsidRDefault="00FA01FB" w:rsidP="00BF6BC7">
      <w:pPr>
        <w:keepNext/>
      </w:pPr>
      <w:r w:rsidRPr="00362517">
        <w:t xml:space="preserve">EPA is replacing the current requirement for the supervising commercial or private applicator to provide noncertified applicators with directions on how to contact the supervisor (such as directions to a pay phone and a phone number).  The final rule requires the supervising commercial or private applicator to ensure the noncertified applicator has the ability to communicate immediately with the supervising applicator.  Immediate communication between the supervising commercial or private applicators and the noncertified applicators working under their direct supervision may be important if the noncertified applicator has questions about the </w:t>
      </w:r>
      <w:r w:rsidRPr="00362517">
        <w:lastRenderedPageBreak/>
        <w:t xml:space="preserve">pesticide application or encounters an emergency situation.  This immediate communication standard could be satisfied by, for example, cell phones or two-way radios.  </w:t>
      </w:r>
      <w:bookmarkEnd w:id="52"/>
      <w:bookmarkEnd w:id="53"/>
    </w:p>
    <w:p w14:paraId="5AB18210" w14:textId="77777777" w:rsidR="00FA01FB" w:rsidRPr="00362517" w:rsidRDefault="00FA01FB" w:rsidP="00BF6BC7"/>
    <w:p w14:paraId="5AB18211" w14:textId="77777777" w:rsidR="00FA01FB" w:rsidRPr="00362517" w:rsidRDefault="00FA01FB" w:rsidP="00BF6BC7"/>
    <w:p w14:paraId="5AB18212" w14:textId="77777777" w:rsidR="00FA01FB" w:rsidRPr="00362517" w:rsidRDefault="00FA01FB" w:rsidP="00BF6BC7">
      <w:pPr>
        <w:pStyle w:val="Heading3"/>
      </w:pPr>
      <w:bookmarkStart w:id="54" w:name="_Toc395177702"/>
      <w:bookmarkStart w:id="55" w:name="_Toc395788092"/>
      <w:bookmarkStart w:id="56" w:name="_Toc442965746"/>
      <w:bookmarkStart w:id="57" w:name="_Toc468872068"/>
      <w:bookmarkStart w:id="58" w:name="_Toc310953796"/>
      <w:bookmarkStart w:id="59" w:name="OLE_LINK98"/>
      <w:r w:rsidRPr="00362517">
        <w:t>2.2.6</w:t>
      </w:r>
      <w:r w:rsidRPr="00362517">
        <w:tab/>
        <w:t>Age Requirements for Private and Commercial Applicators</w:t>
      </w:r>
      <w:bookmarkEnd w:id="54"/>
      <w:bookmarkEnd w:id="55"/>
      <w:bookmarkEnd w:id="56"/>
      <w:bookmarkEnd w:id="57"/>
    </w:p>
    <w:bookmarkEnd w:id="58"/>
    <w:bookmarkEnd w:id="59"/>
    <w:p w14:paraId="5AB18213" w14:textId="77777777" w:rsidR="00FA01FB" w:rsidRPr="00362517" w:rsidRDefault="00FA01FB" w:rsidP="00BF6BC7"/>
    <w:p w14:paraId="5AB18214" w14:textId="77777777" w:rsidR="00FA01FB" w:rsidRPr="00362517" w:rsidRDefault="00FA01FB" w:rsidP="00BF6BC7">
      <w:pPr>
        <w:spacing w:after="240"/>
      </w:pPr>
      <w:r w:rsidRPr="00362517">
        <w:t xml:space="preserve">A summary of the age restrictions considered by EPA is shown in Table 2.2-5.  These changes are a result of the need to protect adolescents from RUP exposure and to ensure that RUPs are applied by competent adults.  These changes are discussed in more detail in Unit XII of the preamble.  </w:t>
      </w:r>
    </w:p>
    <w:tbl>
      <w:tblPr>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1672"/>
        <w:gridCol w:w="2663"/>
        <w:gridCol w:w="2559"/>
      </w:tblGrid>
      <w:tr w:rsidR="00362517" w:rsidRPr="00362517" w14:paraId="5AB18216" w14:textId="77777777" w:rsidTr="0034043F">
        <w:trPr>
          <w:tblHeader/>
        </w:trPr>
        <w:tc>
          <w:tcPr>
            <w:tcW w:w="5000" w:type="pct"/>
            <w:gridSpan w:val="4"/>
            <w:vAlign w:val="center"/>
          </w:tcPr>
          <w:p w14:paraId="5AB18215" w14:textId="77777777" w:rsidR="00FA01FB" w:rsidRPr="00362517" w:rsidRDefault="00FA01FB" w:rsidP="00BF6BC7">
            <w:pPr>
              <w:keepNext/>
              <w:rPr>
                <w:b/>
                <w:bCs/>
                <w:sz w:val="20"/>
                <w:szCs w:val="20"/>
              </w:rPr>
            </w:pPr>
            <w:r w:rsidRPr="00362517">
              <w:rPr>
                <w:b/>
                <w:bCs/>
                <w:sz w:val="20"/>
                <w:szCs w:val="20"/>
              </w:rPr>
              <w:t xml:space="preserve">Table 2.2-5.  Current,  Proposed, and </w:t>
            </w:r>
            <w:r w:rsidR="008F2FA3" w:rsidRPr="00362517">
              <w:rPr>
                <w:b/>
                <w:bCs/>
                <w:sz w:val="20"/>
                <w:szCs w:val="20"/>
              </w:rPr>
              <w:t xml:space="preserve">Final Minimum </w:t>
            </w:r>
            <w:r w:rsidRPr="00362517">
              <w:rPr>
                <w:b/>
                <w:bCs/>
                <w:sz w:val="20"/>
                <w:szCs w:val="20"/>
              </w:rPr>
              <w:t>Age Requirements for Certified Applicators</w:t>
            </w:r>
          </w:p>
        </w:tc>
      </w:tr>
      <w:tr w:rsidR="00362517" w:rsidRPr="00362517" w14:paraId="5AB1821B" w14:textId="77777777" w:rsidTr="0034043F">
        <w:trPr>
          <w:tblHeader/>
        </w:trPr>
        <w:tc>
          <w:tcPr>
            <w:tcW w:w="1129" w:type="pct"/>
            <w:vAlign w:val="center"/>
          </w:tcPr>
          <w:p w14:paraId="5AB18217" w14:textId="77777777" w:rsidR="00FA01FB" w:rsidRPr="00362517" w:rsidRDefault="00FA01FB" w:rsidP="00BF6BC7">
            <w:pPr>
              <w:keepNext/>
              <w:jc w:val="center"/>
              <w:rPr>
                <w:b/>
                <w:bCs/>
                <w:sz w:val="20"/>
                <w:szCs w:val="20"/>
              </w:rPr>
            </w:pPr>
            <w:r w:rsidRPr="00362517">
              <w:rPr>
                <w:b/>
                <w:bCs/>
                <w:sz w:val="20"/>
                <w:szCs w:val="20"/>
              </w:rPr>
              <w:t xml:space="preserve">Regulatory Element </w:t>
            </w:r>
          </w:p>
        </w:tc>
        <w:tc>
          <w:tcPr>
            <w:tcW w:w="939" w:type="pct"/>
            <w:vAlign w:val="center"/>
          </w:tcPr>
          <w:p w14:paraId="5AB18218" w14:textId="77777777" w:rsidR="00FA01FB" w:rsidRPr="00362517" w:rsidRDefault="00FA01FB" w:rsidP="00BF6BC7">
            <w:pPr>
              <w:keepNext/>
              <w:jc w:val="center"/>
              <w:rPr>
                <w:b/>
                <w:bCs/>
                <w:sz w:val="20"/>
                <w:szCs w:val="20"/>
              </w:rPr>
            </w:pPr>
            <w:r w:rsidRPr="00362517">
              <w:rPr>
                <w:b/>
                <w:bCs/>
                <w:sz w:val="20"/>
                <w:szCs w:val="20"/>
              </w:rPr>
              <w:t>Current Regulatory Status</w:t>
            </w:r>
          </w:p>
        </w:tc>
        <w:tc>
          <w:tcPr>
            <w:tcW w:w="1495" w:type="pct"/>
            <w:vAlign w:val="center"/>
          </w:tcPr>
          <w:p w14:paraId="5AB18219" w14:textId="77777777" w:rsidR="00FA01FB" w:rsidRPr="00362517" w:rsidRDefault="00FA01FB" w:rsidP="00BF6BC7">
            <w:pPr>
              <w:keepNext/>
              <w:jc w:val="center"/>
              <w:rPr>
                <w:b/>
                <w:bCs/>
                <w:sz w:val="20"/>
                <w:szCs w:val="20"/>
              </w:rPr>
            </w:pPr>
            <w:r w:rsidRPr="00362517">
              <w:rPr>
                <w:b/>
                <w:bCs/>
                <w:sz w:val="20"/>
                <w:szCs w:val="20"/>
              </w:rPr>
              <w:t>Proposed Option</w:t>
            </w:r>
          </w:p>
        </w:tc>
        <w:tc>
          <w:tcPr>
            <w:tcW w:w="1437" w:type="pct"/>
            <w:vAlign w:val="center"/>
          </w:tcPr>
          <w:p w14:paraId="5AB1821A" w14:textId="77777777" w:rsidR="00FA01FB" w:rsidRPr="00362517" w:rsidRDefault="00FA01FB" w:rsidP="00BF6BC7">
            <w:pPr>
              <w:keepNext/>
              <w:jc w:val="center"/>
              <w:rPr>
                <w:b/>
                <w:bCs/>
                <w:sz w:val="20"/>
                <w:szCs w:val="20"/>
              </w:rPr>
            </w:pPr>
            <w:r w:rsidRPr="00362517">
              <w:rPr>
                <w:b/>
                <w:bCs/>
                <w:sz w:val="20"/>
                <w:szCs w:val="20"/>
              </w:rPr>
              <w:t>Final Requirement</w:t>
            </w:r>
          </w:p>
        </w:tc>
      </w:tr>
      <w:tr w:rsidR="00362517" w:rsidRPr="00362517" w14:paraId="5AB1821D" w14:textId="77777777" w:rsidTr="0034043F">
        <w:tc>
          <w:tcPr>
            <w:tcW w:w="5000" w:type="pct"/>
            <w:gridSpan w:val="4"/>
            <w:vAlign w:val="center"/>
          </w:tcPr>
          <w:p w14:paraId="5AB1821C" w14:textId="77777777" w:rsidR="00FA01FB" w:rsidRPr="00362517" w:rsidRDefault="00FA01FB" w:rsidP="00BF6BC7">
            <w:pPr>
              <w:keepNext/>
              <w:jc w:val="center"/>
              <w:rPr>
                <w:sz w:val="20"/>
                <w:szCs w:val="20"/>
              </w:rPr>
            </w:pPr>
            <w:r w:rsidRPr="00362517">
              <w:rPr>
                <w:sz w:val="20"/>
                <w:szCs w:val="20"/>
              </w:rPr>
              <w:t>Commercial Applicators</w:t>
            </w:r>
          </w:p>
        </w:tc>
      </w:tr>
      <w:tr w:rsidR="00362517" w:rsidRPr="00362517" w14:paraId="5AB18222" w14:textId="77777777" w:rsidTr="0034043F">
        <w:trPr>
          <w:trHeight w:val="881"/>
        </w:trPr>
        <w:tc>
          <w:tcPr>
            <w:tcW w:w="1129" w:type="pct"/>
            <w:vAlign w:val="center"/>
          </w:tcPr>
          <w:p w14:paraId="5AB1821E" w14:textId="77777777" w:rsidR="00FA01FB" w:rsidRPr="00362517" w:rsidRDefault="00FA01FB" w:rsidP="00BF6BC7">
            <w:pPr>
              <w:keepNext/>
              <w:rPr>
                <w:sz w:val="20"/>
                <w:szCs w:val="20"/>
              </w:rPr>
            </w:pPr>
            <w:r w:rsidRPr="00362517">
              <w:rPr>
                <w:sz w:val="20"/>
                <w:szCs w:val="20"/>
              </w:rPr>
              <w:t>Minimum Age for Commercial Applicators</w:t>
            </w:r>
          </w:p>
        </w:tc>
        <w:tc>
          <w:tcPr>
            <w:tcW w:w="939" w:type="pct"/>
            <w:vAlign w:val="center"/>
          </w:tcPr>
          <w:p w14:paraId="5AB1821F" w14:textId="77777777" w:rsidR="00FA01FB" w:rsidRPr="00362517" w:rsidRDefault="00FA01FB" w:rsidP="00BF6BC7">
            <w:pPr>
              <w:keepNext/>
              <w:jc w:val="center"/>
              <w:rPr>
                <w:sz w:val="20"/>
                <w:szCs w:val="20"/>
              </w:rPr>
            </w:pPr>
            <w:r w:rsidRPr="00362517">
              <w:rPr>
                <w:sz w:val="20"/>
                <w:szCs w:val="20"/>
              </w:rPr>
              <w:t>None</w:t>
            </w:r>
          </w:p>
        </w:tc>
        <w:tc>
          <w:tcPr>
            <w:tcW w:w="1495" w:type="pct"/>
            <w:vAlign w:val="center"/>
          </w:tcPr>
          <w:p w14:paraId="5AB18220" w14:textId="77777777" w:rsidR="00FA01FB" w:rsidRPr="00362517" w:rsidRDefault="00FA01FB" w:rsidP="00BF6BC7">
            <w:pPr>
              <w:keepNext/>
              <w:jc w:val="center"/>
              <w:rPr>
                <w:sz w:val="20"/>
                <w:szCs w:val="20"/>
              </w:rPr>
            </w:pPr>
            <w:r w:rsidRPr="00362517">
              <w:rPr>
                <w:sz w:val="20"/>
                <w:szCs w:val="20"/>
              </w:rPr>
              <w:t xml:space="preserve">Commercial applicators </w:t>
            </w:r>
            <w:r w:rsidR="00EB1560" w:rsidRPr="00362517">
              <w:rPr>
                <w:sz w:val="20"/>
                <w:szCs w:val="20"/>
              </w:rPr>
              <w:t>must</w:t>
            </w:r>
            <w:r w:rsidRPr="00362517">
              <w:rPr>
                <w:sz w:val="20"/>
                <w:szCs w:val="20"/>
              </w:rPr>
              <w:t xml:space="preserve"> be at least 18 years old</w:t>
            </w:r>
          </w:p>
        </w:tc>
        <w:tc>
          <w:tcPr>
            <w:tcW w:w="1437" w:type="pct"/>
            <w:vAlign w:val="center"/>
          </w:tcPr>
          <w:p w14:paraId="5AB18221" w14:textId="77777777" w:rsidR="00FA01FB" w:rsidRPr="00362517" w:rsidRDefault="00FA01FB" w:rsidP="00BF6BC7">
            <w:pPr>
              <w:keepNext/>
              <w:jc w:val="center"/>
              <w:rPr>
                <w:sz w:val="20"/>
                <w:szCs w:val="20"/>
              </w:rPr>
            </w:pPr>
            <w:r w:rsidRPr="00362517">
              <w:rPr>
                <w:sz w:val="20"/>
                <w:szCs w:val="20"/>
              </w:rPr>
              <w:t xml:space="preserve">Commercial applicators </w:t>
            </w:r>
            <w:r w:rsidR="00EB1560" w:rsidRPr="00362517">
              <w:rPr>
                <w:sz w:val="20"/>
                <w:szCs w:val="20"/>
              </w:rPr>
              <w:t xml:space="preserve">must </w:t>
            </w:r>
            <w:r w:rsidRPr="00362517">
              <w:rPr>
                <w:sz w:val="20"/>
                <w:szCs w:val="20"/>
              </w:rPr>
              <w:t>be at least 18 years old</w:t>
            </w:r>
          </w:p>
        </w:tc>
      </w:tr>
      <w:tr w:rsidR="00362517" w:rsidRPr="00362517" w14:paraId="5AB18224" w14:textId="77777777" w:rsidTr="0034043F">
        <w:tc>
          <w:tcPr>
            <w:tcW w:w="5000" w:type="pct"/>
            <w:gridSpan w:val="4"/>
            <w:vAlign w:val="center"/>
          </w:tcPr>
          <w:p w14:paraId="5AB18223" w14:textId="77777777" w:rsidR="00FA01FB" w:rsidRPr="00362517" w:rsidRDefault="00FA01FB" w:rsidP="00BF6BC7">
            <w:pPr>
              <w:keepNext/>
              <w:jc w:val="center"/>
              <w:rPr>
                <w:sz w:val="20"/>
                <w:szCs w:val="20"/>
              </w:rPr>
            </w:pPr>
            <w:r w:rsidRPr="00362517">
              <w:rPr>
                <w:sz w:val="20"/>
                <w:szCs w:val="20"/>
              </w:rPr>
              <w:t>Private Applicators</w:t>
            </w:r>
          </w:p>
        </w:tc>
      </w:tr>
      <w:tr w:rsidR="00FA01FB" w:rsidRPr="00362517" w14:paraId="5AB18229" w14:textId="77777777" w:rsidTr="0034043F">
        <w:trPr>
          <w:trHeight w:val="1016"/>
        </w:trPr>
        <w:tc>
          <w:tcPr>
            <w:tcW w:w="1129" w:type="pct"/>
            <w:vAlign w:val="center"/>
          </w:tcPr>
          <w:p w14:paraId="5AB18225" w14:textId="77777777" w:rsidR="00FA01FB" w:rsidRPr="00362517" w:rsidRDefault="00FA01FB" w:rsidP="00BF6BC7">
            <w:pPr>
              <w:keepNext/>
              <w:rPr>
                <w:sz w:val="20"/>
                <w:szCs w:val="20"/>
              </w:rPr>
            </w:pPr>
            <w:r w:rsidRPr="00362517">
              <w:rPr>
                <w:sz w:val="20"/>
                <w:szCs w:val="20"/>
              </w:rPr>
              <w:t>Minimum Age for Private Applicators</w:t>
            </w:r>
          </w:p>
        </w:tc>
        <w:tc>
          <w:tcPr>
            <w:tcW w:w="939" w:type="pct"/>
            <w:vAlign w:val="center"/>
          </w:tcPr>
          <w:p w14:paraId="5AB18226" w14:textId="77777777" w:rsidR="00FA01FB" w:rsidRPr="00362517" w:rsidRDefault="00FA01FB" w:rsidP="00BF6BC7">
            <w:pPr>
              <w:keepNext/>
              <w:jc w:val="center"/>
              <w:rPr>
                <w:sz w:val="20"/>
                <w:szCs w:val="20"/>
              </w:rPr>
            </w:pPr>
            <w:r w:rsidRPr="00362517">
              <w:rPr>
                <w:sz w:val="20"/>
                <w:szCs w:val="20"/>
              </w:rPr>
              <w:t>None</w:t>
            </w:r>
          </w:p>
        </w:tc>
        <w:tc>
          <w:tcPr>
            <w:tcW w:w="1495" w:type="pct"/>
            <w:vAlign w:val="center"/>
          </w:tcPr>
          <w:p w14:paraId="5AB18227" w14:textId="77777777" w:rsidR="00FA01FB" w:rsidRPr="00362517" w:rsidRDefault="00FA01FB" w:rsidP="00BF6BC7">
            <w:pPr>
              <w:keepNext/>
              <w:jc w:val="center"/>
              <w:rPr>
                <w:sz w:val="20"/>
                <w:szCs w:val="20"/>
              </w:rPr>
            </w:pPr>
            <w:r w:rsidRPr="00362517">
              <w:rPr>
                <w:sz w:val="20"/>
                <w:szCs w:val="20"/>
              </w:rPr>
              <w:t xml:space="preserve">Private applicators </w:t>
            </w:r>
            <w:r w:rsidR="00EB1560" w:rsidRPr="00362517">
              <w:rPr>
                <w:sz w:val="20"/>
                <w:szCs w:val="20"/>
              </w:rPr>
              <w:t>must be</w:t>
            </w:r>
            <w:r w:rsidRPr="00362517">
              <w:rPr>
                <w:sz w:val="20"/>
                <w:szCs w:val="20"/>
              </w:rPr>
              <w:t xml:space="preserve"> at least 18 years old</w:t>
            </w:r>
          </w:p>
        </w:tc>
        <w:tc>
          <w:tcPr>
            <w:tcW w:w="1437" w:type="pct"/>
            <w:vAlign w:val="center"/>
          </w:tcPr>
          <w:p w14:paraId="5AB18228" w14:textId="77777777" w:rsidR="00FA01FB" w:rsidRPr="00362517" w:rsidRDefault="00FA01FB" w:rsidP="00BF6BC7">
            <w:pPr>
              <w:keepNext/>
              <w:jc w:val="center"/>
              <w:rPr>
                <w:sz w:val="20"/>
                <w:szCs w:val="20"/>
              </w:rPr>
            </w:pPr>
            <w:r w:rsidRPr="00362517">
              <w:rPr>
                <w:sz w:val="20"/>
                <w:szCs w:val="20"/>
              </w:rPr>
              <w:t xml:space="preserve">Private applicators </w:t>
            </w:r>
            <w:r w:rsidR="00EB1560" w:rsidRPr="00362517">
              <w:rPr>
                <w:sz w:val="20"/>
                <w:szCs w:val="20"/>
              </w:rPr>
              <w:t>must</w:t>
            </w:r>
            <w:r w:rsidRPr="00362517">
              <w:rPr>
                <w:sz w:val="20"/>
                <w:szCs w:val="20"/>
              </w:rPr>
              <w:t xml:space="preserve"> be at least 18 years old</w:t>
            </w:r>
          </w:p>
        </w:tc>
      </w:tr>
    </w:tbl>
    <w:p w14:paraId="5AB1822A" w14:textId="77777777" w:rsidR="00FA01FB" w:rsidRPr="00362517" w:rsidRDefault="00FA01FB" w:rsidP="00BF6BC7">
      <w:pPr>
        <w:spacing w:after="240"/>
      </w:pPr>
    </w:p>
    <w:p w14:paraId="5AB1822B" w14:textId="77777777" w:rsidR="00FA01FB" w:rsidRPr="00362517" w:rsidRDefault="00FA01FB" w:rsidP="00BF6BC7">
      <w:r w:rsidRPr="00362517">
        <w:t>There is currently no minimum age for certified applicators, so it is possible for adolescents to handle some of the highest risk pesticides and to supervise noncertified applicators using RUPs.  As explained in more detail in Chapter 4, studies have suggested that the adverse effects of pesticides may be greater on children and adolescents than for mature individuals because developing systems are more sensitive (EPA, 2002; EPA 2008</w:t>
      </w:r>
      <w:r w:rsidR="007F7FA3" w:rsidRPr="00362517">
        <w:t>b</w:t>
      </w:r>
      <w:r w:rsidRPr="00362517">
        <w:t xml:space="preserve">; Golub, 2000). Thus, there can be substantial benefits to the health of adolescents by precluding them from engaging in tasks with the highest potential levels of </w:t>
      </w:r>
      <w:r w:rsidR="00EB1560" w:rsidRPr="00362517">
        <w:t>risk</w:t>
      </w:r>
      <w:r w:rsidRPr="00362517">
        <w:t>. Further, young adults may take more risks than older workers because they may be less capable of evaluating the consequences of their decisions (Young and Risch</w:t>
      </w:r>
      <w:r w:rsidR="008F2FA3" w:rsidRPr="00362517">
        <w:t>i</w:t>
      </w:r>
      <w:r w:rsidRPr="00362517">
        <w:t xml:space="preserve">telli, 2006). Thus, they may be less likely to follow directions and use PPE properly and in appropriate situations. In the case of handlers, adolescents may not follow all label restrictions because they do not fully comprehend the potential impacts to themselves, others, and the environment. The heightened potential for immature decision making places the applicator and others at significant risk if </w:t>
      </w:r>
      <w:r w:rsidR="008F2FA3" w:rsidRPr="00362517">
        <w:t>RUPs</w:t>
      </w:r>
      <w:r w:rsidRPr="00362517">
        <w:t xml:space="preserve"> are mishandled.  In the final regulation, Agency is requiring a minimum age of 18 for a person to become certified as a commercial or private applicator.  It should be noted that under the final regulation, currently certified applicators </w:t>
      </w:r>
      <w:r w:rsidR="00710988" w:rsidRPr="00362517">
        <w:t>will</w:t>
      </w:r>
      <w:r w:rsidRPr="00362517">
        <w:t xml:space="preserve"> be able to maintain their certification, but those who do not meet the minimum age </w:t>
      </w:r>
      <w:r w:rsidR="00710988" w:rsidRPr="00362517">
        <w:t>will</w:t>
      </w:r>
      <w:r w:rsidRPr="00362517">
        <w:t xml:space="preserve"> not be allowed to obtain a certification.  </w:t>
      </w:r>
    </w:p>
    <w:p w14:paraId="5AB1822C" w14:textId="77777777" w:rsidR="00FA01FB" w:rsidRPr="00362517" w:rsidRDefault="00FA01FB" w:rsidP="00BF6BC7"/>
    <w:p w14:paraId="5AB1822D" w14:textId="77777777" w:rsidR="00FA01FB" w:rsidRPr="00362517" w:rsidRDefault="00FA01FB" w:rsidP="00BF6BC7"/>
    <w:p w14:paraId="5AB1822E" w14:textId="77777777" w:rsidR="00FA01FB" w:rsidRPr="00362517" w:rsidRDefault="00FA01FB" w:rsidP="00BF6BC7">
      <w:pPr>
        <w:pStyle w:val="Heading3"/>
        <w:keepLines w:val="0"/>
      </w:pPr>
      <w:bookmarkStart w:id="60" w:name="_Toc395177703"/>
      <w:bookmarkStart w:id="61" w:name="_Toc395788093"/>
      <w:bookmarkStart w:id="62" w:name="_Toc442965747"/>
      <w:bookmarkStart w:id="63" w:name="_Toc468872069"/>
      <w:r w:rsidRPr="00362517">
        <w:lastRenderedPageBreak/>
        <w:t>2.2.7</w:t>
      </w:r>
      <w:r w:rsidRPr="00362517">
        <w:tab/>
        <w:t>Age Requirements for Noncertified Applicators Applying RUPs under the Direct Supervision of Commercial and Private Applicators</w:t>
      </w:r>
      <w:bookmarkEnd w:id="60"/>
      <w:bookmarkEnd w:id="61"/>
      <w:bookmarkEnd w:id="62"/>
      <w:bookmarkEnd w:id="63"/>
    </w:p>
    <w:p w14:paraId="5AB1822F" w14:textId="77777777" w:rsidR="00FA01FB" w:rsidRPr="00362517" w:rsidRDefault="00FA01FB" w:rsidP="00BF6BC7">
      <w:pPr>
        <w:keepNext/>
      </w:pPr>
    </w:p>
    <w:p w14:paraId="5AB18230" w14:textId="77777777" w:rsidR="00FA01FB" w:rsidRPr="00362517" w:rsidRDefault="00FA01FB" w:rsidP="00BF6BC7">
      <w:pPr>
        <w:keepNext/>
        <w:spacing w:after="240"/>
      </w:pPr>
      <w:r w:rsidRPr="00362517">
        <w:t>To protect noncertified applicators working under the direct supervision of commercial and private applicators as well as to protect the health of others and the environment, EPA is revising the minimum age requirement for noncertified applicators.  The current, proposed, and final regulations for age requirements for noncertified applicators under the direct supervision of commercial and private applicators are shown in Table 2.2-6.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1666"/>
        <w:gridCol w:w="2833"/>
        <w:gridCol w:w="2852"/>
      </w:tblGrid>
      <w:tr w:rsidR="00362517" w:rsidRPr="00362517" w14:paraId="5AB18232" w14:textId="77777777" w:rsidTr="0034043F">
        <w:trPr>
          <w:tblHeader/>
        </w:trPr>
        <w:tc>
          <w:tcPr>
            <w:tcW w:w="9350" w:type="dxa"/>
            <w:gridSpan w:val="4"/>
            <w:vAlign w:val="center"/>
          </w:tcPr>
          <w:p w14:paraId="5AB18231" w14:textId="77777777" w:rsidR="00FA01FB" w:rsidRPr="00362517" w:rsidRDefault="00FA01FB" w:rsidP="00BF6BC7">
            <w:pPr>
              <w:keepNext/>
              <w:rPr>
                <w:b/>
                <w:bCs/>
                <w:sz w:val="20"/>
                <w:szCs w:val="20"/>
              </w:rPr>
            </w:pPr>
            <w:r w:rsidRPr="00362517">
              <w:rPr>
                <w:b/>
                <w:bCs/>
                <w:sz w:val="20"/>
                <w:szCs w:val="20"/>
              </w:rPr>
              <w:t xml:space="preserve">Table 2.2-6.  Current,  Proposed, and </w:t>
            </w:r>
            <w:r w:rsidR="008F2FA3" w:rsidRPr="00362517">
              <w:rPr>
                <w:b/>
                <w:bCs/>
                <w:sz w:val="20"/>
                <w:szCs w:val="20"/>
              </w:rPr>
              <w:t xml:space="preserve">Final Minimum </w:t>
            </w:r>
            <w:r w:rsidRPr="00362517">
              <w:rPr>
                <w:b/>
                <w:bCs/>
                <w:sz w:val="20"/>
                <w:szCs w:val="20"/>
              </w:rPr>
              <w:t>Age Requirements for Noncertified Applicators Working Under the Direct Supervision of Commercial and Private Applicators</w:t>
            </w:r>
          </w:p>
        </w:tc>
      </w:tr>
      <w:tr w:rsidR="00362517" w:rsidRPr="00362517" w14:paraId="5AB18237" w14:textId="77777777" w:rsidTr="0034043F">
        <w:trPr>
          <w:tblHeader/>
        </w:trPr>
        <w:tc>
          <w:tcPr>
            <w:tcW w:w="1999" w:type="dxa"/>
            <w:vAlign w:val="center"/>
          </w:tcPr>
          <w:p w14:paraId="5AB18233" w14:textId="77777777" w:rsidR="00FA01FB" w:rsidRPr="00362517" w:rsidRDefault="00FA01FB" w:rsidP="00BF6BC7">
            <w:pPr>
              <w:keepNext/>
              <w:jc w:val="center"/>
              <w:rPr>
                <w:b/>
                <w:bCs/>
                <w:sz w:val="20"/>
                <w:szCs w:val="20"/>
              </w:rPr>
            </w:pPr>
            <w:r w:rsidRPr="00362517">
              <w:rPr>
                <w:b/>
                <w:bCs/>
                <w:sz w:val="20"/>
                <w:szCs w:val="20"/>
              </w:rPr>
              <w:t xml:space="preserve">Regulatory Element </w:t>
            </w:r>
          </w:p>
        </w:tc>
        <w:tc>
          <w:tcPr>
            <w:tcW w:w="1666" w:type="dxa"/>
            <w:vAlign w:val="center"/>
          </w:tcPr>
          <w:p w14:paraId="5AB18234" w14:textId="77777777" w:rsidR="00FA01FB" w:rsidRPr="00362517" w:rsidRDefault="00FA01FB" w:rsidP="00BF6BC7">
            <w:pPr>
              <w:keepNext/>
              <w:jc w:val="center"/>
              <w:rPr>
                <w:b/>
                <w:bCs/>
                <w:sz w:val="20"/>
                <w:szCs w:val="20"/>
              </w:rPr>
            </w:pPr>
            <w:r w:rsidRPr="00362517">
              <w:rPr>
                <w:b/>
                <w:bCs/>
                <w:sz w:val="20"/>
                <w:szCs w:val="20"/>
              </w:rPr>
              <w:t>Current Regulatory Status</w:t>
            </w:r>
          </w:p>
        </w:tc>
        <w:tc>
          <w:tcPr>
            <w:tcW w:w="2833" w:type="dxa"/>
            <w:vAlign w:val="center"/>
          </w:tcPr>
          <w:p w14:paraId="5AB18235" w14:textId="77777777" w:rsidR="00FA01FB" w:rsidRPr="00362517" w:rsidRDefault="00FA01FB" w:rsidP="00BF6BC7">
            <w:pPr>
              <w:keepNext/>
              <w:jc w:val="center"/>
              <w:rPr>
                <w:b/>
                <w:bCs/>
                <w:sz w:val="20"/>
                <w:szCs w:val="20"/>
              </w:rPr>
            </w:pPr>
            <w:r w:rsidRPr="00362517">
              <w:rPr>
                <w:b/>
                <w:bCs/>
                <w:sz w:val="20"/>
                <w:szCs w:val="20"/>
              </w:rPr>
              <w:t>Proposed Option</w:t>
            </w:r>
          </w:p>
        </w:tc>
        <w:tc>
          <w:tcPr>
            <w:tcW w:w="2852" w:type="dxa"/>
            <w:vAlign w:val="center"/>
          </w:tcPr>
          <w:p w14:paraId="5AB18236" w14:textId="77777777" w:rsidR="00FA01FB" w:rsidRPr="00362517" w:rsidRDefault="00FA01FB" w:rsidP="00BF6BC7">
            <w:pPr>
              <w:keepNext/>
              <w:jc w:val="center"/>
              <w:rPr>
                <w:b/>
                <w:bCs/>
                <w:sz w:val="20"/>
                <w:szCs w:val="20"/>
              </w:rPr>
            </w:pPr>
            <w:r w:rsidRPr="00362517">
              <w:rPr>
                <w:b/>
                <w:bCs/>
                <w:sz w:val="20"/>
                <w:szCs w:val="20"/>
              </w:rPr>
              <w:t>Final Requirement</w:t>
            </w:r>
          </w:p>
        </w:tc>
      </w:tr>
      <w:tr w:rsidR="00362517" w:rsidRPr="00362517" w14:paraId="5AB18239" w14:textId="77777777" w:rsidTr="0034043F">
        <w:tc>
          <w:tcPr>
            <w:tcW w:w="9350" w:type="dxa"/>
            <w:gridSpan w:val="4"/>
            <w:vAlign w:val="center"/>
          </w:tcPr>
          <w:p w14:paraId="5AB18238" w14:textId="77777777" w:rsidR="00FA01FB" w:rsidRPr="00362517" w:rsidRDefault="00FA01FB" w:rsidP="00BF6BC7">
            <w:pPr>
              <w:keepNext/>
              <w:jc w:val="center"/>
              <w:rPr>
                <w:sz w:val="20"/>
                <w:szCs w:val="20"/>
              </w:rPr>
            </w:pPr>
            <w:r w:rsidRPr="00362517">
              <w:rPr>
                <w:sz w:val="20"/>
                <w:szCs w:val="20"/>
              </w:rPr>
              <w:t>Noncertified Applicators Working under the Direct Supervision of Commercial Applicators</w:t>
            </w:r>
          </w:p>
        </w:tc>
      </w:tr>
      <w:tr w:rsidR="00362517" w:rsidRPr="00362517" w14:paraId="5AB1823E" w14:textId="77777777" w:rsidTr="0034043F">
        <w:trPr>
          <w:trHeight w:val="1925"/>
        </w:trPr>
        <w:tc>
          <w:tcPr>
            <w:tcW w:w="1999" w:type="dxa"/>
            <w:vAlign w:val="center"/>
          </w:tcPr>
          <w:p w14:paraId="5AB1823A" w14:textId="77777777" w:rsidR="00FA01FB" w:rsidRPr="00362517" w:rsidRDefault="00FA01FB" w:rsidP="00BF6BC7">
            <w:pPr>
              <w:keepNext/>
              <w:rPr>
                <w:sz w:val="20"/>
                <w:szCs w:val="20"/>
              </w:rPr>
            </w:pPr>
            <w:r w:rsidRPr="00362517">
              <w:rPr>
                <w:sz w:val="20"/>
                <w:szCs w:val="20"/>
              </w:rPr>
              <w:t>Minimum age of noncertified applicators under the direct supervision of a commercial applicator</w:t>
            </w:r>
          </w:p>
        </w:tc>
        <w:tc>
          <w:tcPr>
            <w:tcW w:w="1666" w:type="dxa"/>
            <w:vAlign w:val="center"/>
          </w:tcPr>
          <w:p w14:paraId="5AB1823B" w14:textId="77777777" w:rsidR="00FA01FB" w:rsidRPr="00362517" w:rsidRDefault="00FA01FB" w:rsidP="00BF6BC7">
            <w:pPr>
              <w:keepNext/>
              <w:jc w:val="center"/>
              <w:rPr>
                <w:sz w:val="20"/>
                <w:szCs w:val="20"/>
              </w:rPr>
            </w:pPr>
            <w:r w:rsidRPr="00362517">
              <w:rPr>
                <w:sz w:val="20"/>
                <w:szCs w:val="20"/>
              </w:rPr>
              <w:t>None</w:t>
            </w:r>
          </w:p>
        </w:tc>
        <w:tc>
          <w:tcPr>
            <w:tcW w:w="2833" w:type="dxa"/>
            <w:vAlign w:val="center"/>
          </w:tcPr>
          <w:p w14:paraId="5AB1823C" w14:textId="77777777" w:rsidR="00FA01FB" w:rsidRPr="00362517" w:rsidRDefault="00FA01FB" w:rsidP="00BF6BC7">
            <w:pPr>
              <w:keepNext/>
              <w:jc w:val="center"/>
              <w:rPr>
                <w:sz w:val="20"/>
                <w:szCs w:val="20"/>
              </w:rPr>
            </w:pPr>
            <w:r w:rsidRPr="00362517">
              <w:rPr>
                <w:sz w:val="20"/>
                <w:szCs w:val="20"/>
              </w:rPr>
              <w:t>Noncertified applicators working under the direct supervision of commercial applicators must be at least 18 years old</w:t>
            </w:r>
          </w:p>
        </w:tc>
        <w:tc>
          <w:tcPr>
            <w:tcW w:w="2852" w:type="dxa"/>
            <w:vAlign w:val="center"/>
          </w:tcPr>
          <w:p w14:paraId="5AB1823D" w14:textId="77777777" w:rsidR="00FA01FB" w:rsidRPr="00362517" w:rsidRDefault="00FA01FB" w:rsidP="00BF6BC7">
            <w:pPr>
              <w:keepNext/>
              <w:jc w:val="center"/>
              <w:rPr>
                <w:sz w:val="20"/>
                <w:szCs w:val="20"/>
              </w:rPr>
            </w:pPr>
            <w:r w:rsidRPr="00362517">
              <w:rPr>
                <w:sz w:val="20"/>
                <w:szCs w:val="20"/>
              </w:rPr>
              <w:t>Noncertified applicators working under the direct supervision of commercial applicators must be at least 18 years old</w:t>
            </w:r>
          </w:p>
        </w:tc>
      </w:tr>
      <w:tr w:rsidR="00362517" w:rsidRPr="00362517" w14:paraId="5AB18240" w14:textId="77777777" w:rsidTr="0034043F">
        <w:tc>
          <w:tcPr>
            <w:tcW w:w="9350" w:type="dxa"/>
            <w:gridSpan w:val="4"/>
            <w:vAlign w:val="center"/>
          </w:tcPr>
          <w:p w14:paraId="5AB1823F" w14:textId="77777777" w:rsidR="00FA01FB" w:rsidRPr="00362517" w:rsidRDefault="00FA01FB" w:rsidP="00BF6BC7">
            <w:pPr>
              <w:keepNext/>
              <w:jc w:val="center"/>
              <w:rPr>
                <w:sz w:val="20"/>
                <w:szCs w:val="20"/>
              </w:rPr>
            </w:pPr>
            <w:r w:rsidRPr="00362517">
              <w:rPr>
                <w:sz w:val="20"/>
                <w:szCs w:val="20"/>
              </w:rPr>
              <w:t xml:space="preserve"> Noncertified Applicators Working under the Direct Supervision of Private Applicators</w:t>
            </w:r>
          </w:p>
        </w:tc>
      </w:tr>
      <w:tr w:rsidR="00FA01FB" w:rsidRPr="00362517" w14:paraId="5AB18248" w14:textId="77777777" w:rsidTr="0034043F">
        <w:trPr>
          <w:trHeight w:val="2276"/>
        </w:trPr>
        <w:tc>
          <w:tcPr>
            <w:tcW w:w="1999" w:type="dxa"/>
            <w:vAlign w:val="center"/>
          </w:tcPr>
          <w:p w14:paraId="5AB18241" w14:textId="77777777" w:rsidR="00FA01FB" w:rsidRPr="00362517" w:rsidRDefault="00FA01FB" w:rsidP="00BF6BC7">
            <w:pPr>
              <w:keepNext/>
              <w:rPr>
                <w:sz w:val="20"/>
                <w:szCs w:val="20"/>
              </w:rPr>
            </w:pPr>
            <w:r w:rsidRPr="00362517">
              <w:rPr>
                <w:sz w:val="20"/>
                <w:szCs w:val="20"/>
              </w:rPr>
              <w:t>Minimum age of noncertified applicators under the direct supervision of a private applicator</w:t>
            </w:r>
          </w:p>
        </w:tc>
        <w:tc>
          <w:tcPr>
            <w:tcW w:w="1666" w:type="dxa"/>
            <w:vAlign w:val="center"/>
          </w:tcPr>
          <w:p w14:paraId="5AB18242" w14:textId="77777777" w:rsidR="00FA01FB" w:rsidRPr="00362517" w:rsidRDefault="00FA01FB" w:rsidP="00BF6BC7">
            <w:pPr>
              <w:keepNext/>
              <w:jc w:val="center"/>
              <w:rPr>
                <w:sz w:val="20"/>
                <w:szCs w:val="20"/>
              </w:rPr>
            </w:pPr>
            <w:r w:rsidRPr="00362517">
              <w:rPr>
                <w:sz w:val="20"/>
                <w:szCs w:val="20"/>
              </w:rPr>
              <w:t>None</w:t>
            </w:r>
          </w:p>
        </w:tc>
        <w:tc>
          <w:tcPr>
            <w:tcW w:w="2833" w:type="dxa"/>
            <w:vAlign w:val="center"/>
          </w:tcPr>
          <w:p w14:paraId="5AB18243" w14:textId="77777777" w:rsidR="00FA01FB" w:rsidRPr="00362517" w:rsidRDefault="00FA01FB" w:rsidP="00BF6BC7">
            <w:pPr>
              <w:keepNext/>
              <w:jc w:val="center"/>
              <w:rPr>
                <w:sz w:val="20"/>
                <w:szCs w:val="20"/>
              </w:rPr>
            </w:pPr>
            <w:r w:rsidRPr="00362517">
              <w:rPr>
                <w:sz w:val="20"/>
                <w:szCs w:val="20"/>
              </w:rPr>
              <w:t>Noncertified applicators working under the direct supervision of private applicators must be at least 18 years old</w:t>
            </w:r>
          </w:p>
          <w:p w14:paraId="5AB18244" w14:textId="77777777" w:rsidR="00FA01FB" w:rsidRPr="00362517" w:rsidRDefault="00FA01FB" w:rsidP="00BF6BC7">
            <w:pPr>
              <w:keepNext/>
              <w:jc w:val="center"/>
              <w:rPr>
                <w:sz w:val="20"/>
                <w:szCs w:val="20"/>
              </w:rPr>
            </w:pPr>
          </w:p>
        </w:tc>
        <w:tc>
          <w:tcPr>
            <w:tcW w:w="2852" w:type="dxa"/>
            <w:vAlign w:val="center"/>
          </w:tcPr>
          <w:p w14:paraId="5AB18245" w14:textId="77777777" w:rsidR="00FA01FB" w:rsidRPr="00362517" w:rsidRDefault="00FA01FB" w:rsidP="00BF6BC7">
            <w:pPr>
              <w:keepNext/>
              <w:jc w:val="center"/>
              <w:rPr>
                <w:sz w:val="20"/>
                <w:szCs w:val="20"/>
              </w:rPr>
            </w:pPr>
            <w:r w:rsidRPr="00362517">
              <w:rPr>
                <w:sz w:val="20"/>
                <w:szCs w:val="20"/>
              </w:rPr>
              <w:t>Noncertified applicators working under the direct supervision of private applicators must be at least 18 years old</w:t>
            </w:r>
          </w:p>
          <w:p w14:paraId="5AB18246" w14:textId="77777777" w:rsidR="00FA01FB" w:rsidRPr="00362517" w:rsidRDefault="00FA01FB" w:rsidP="00BF6BC7">
            <w:pPr>
              <w:keepNext/>
              <w:jc w:val="center"/>
              <w:rPr>
                <w:sz w:val="20"/>
                <w:szCs w:val="20"/>
              </w:rPr>
            </w:pPr>
          </w:p>
          <w:p w14:paraId="5AB18247" w14:textId="77777777" w:rsidR="00FA01FB" w:rsidRPr="00362517" w:rsidRDefault="008F2FA3" w:rsidP="00BF6BC7">
            <w:pPr>
              <w:keepNext/>
              <w:jc w:val="center"/>
              <w:rPr>
                <w:sz w:val="20"/>
                <w:szCs w:val="20"/>
              </w:rPr>
            </w:pPr>
            <w:r w:rsidRPr="00362517">
              <w:rPr>
                <w:sz w:val="20"/>
                <w:szCs w:val="20"/>
              </w:rPr>
              <w:t xml:space="preserve">Exception </w:t>
            </w:r>
            <w:r w:rsidR="00FA01FB" w:rsidRPr="00362517">
              <w:rPr>
                <w:sz w:val="20"/>
                <w:szCs w:val="20"/>
              </w:rPr>
              <w:t>for immediate family members over 16</w:t>
            </w:r>
          </w:p>
        </w:tc>
      </w:tr>
    </w:tbl>
    <w:p w14:paraId="5AB18249" w14:textId="77777777" w:rsidR="00FA01FB" w:rsidRPr="00362517" w:rsidRDefault="00FA01FB" w:rsidP="00BF6BC7">
      <w:pPr>
        <w:spacing w:after="240"/>
      </w:pPr>
    </w:p>
    <w:p w14:paraId="5AB1824A" w14:textId="04B05A23" w:rsidR="00FA01FB" w:rsidRPr="00362517" w:rsidRDefault="00A348FE" w:rsidP="00BF6BC7">
      <w:r w:rsidRPr="00362517">
        <w:t xml:space="preserve">In the final regulation, the minimum age for persons to apply RUPs under the direct supervision of private and commercial applicators is 18.  </w:t>
      </w:r>
      <w:r w:rsidR="008F2FA3" w:rsidRPr="00362517">
        <w:t>In a change from the proposed rule, the final rule provides an exception for noncertified applicators working under the supervision of private applicators who are also immediate family member</w:t>
      </w:r>
      <w:r w:rsidR="00413DE9" w:rsidRPr="00362517">
        <w:t>s</w:t>
      </w:r>
      <w:r w:rsidR="008F2FA3" w:rsidRPr="00362517">
        <w:t xml:space="preserve">; these noncertified applicators must be at least 16 years old.  </w:t>
      </w:r>
      <w:r w:rsidRPr="00362517">
        <w:t>Allowing</w:t>
      </w:r>
      <w:r w:rsidR="00413DE9" w:rsidRPr="00362517">
        <w:t xml:space="preserve"> noncertified applicators that are at least 16 </w:t>
      </w:r>
      <w:r w:rsidRPr="00362517">
        <w:t xml:space="preserve">make applications minimizes the impact on smaller farms which likely do not use a high number of RUPs, but </w:t>
      </w:r>
      <w:r w:rsidR="00413DE9" w:rsidRPr="00362517">
        <w:t xml:space="preserve">relies </w:t>
      </w:r>
      <w:r w:rsidRPr="00362517">
        <w:t xml:space="preserve">on immediate family members to ensure the safety of </w:t>
      </w:r>
      <w:r w:rsidR="00413DE9" w:rsidRPr="00362517">
        <w:t xml:space="preserve">the </w:t>
      </w:r>
      <w:r w:rsidRPr="00362517">
        <w:t>noncertified applicators, and to ensure they apply RUPs in a safe manner.</w:t>
      </w:r>
    </w:p>
    <w:p w14:paraId="5AB1824B" w14:textId="77777777" w:rsidR="00FA01FB" w:rsidRPr="00362517" w:rsidRDefault="00FA01FB" w:rsidP="00BF6BC7">
      <w:r w:rsidRPr="00362517">
        <w:t xml:space="preserve">    </w:t>
      </w:r>
    </w:p>
    <w:p w14:paraId="5AB1824C" w14:textId="77777777" w:rsidR="00FA01FB" w:rsidRPr="00362517" w:rsidRDefault="00FA01FB" w:rsidP="00BF6BC7"/>
    <w:p w14:paraId="5AB1824D" w14:textId="77777777" w:rsidR="00FA01FB" w:rsidRPr="00362517" w:rsidRDefault="00FA01FB" w:rsidP="00BF6BC7">
      <w:pPr>
        <w:pStyle w:val="Heading3"/>
      </w:pPr>
      <w:bookmarkStart w:id="64" w:name="OLE_LINK135"/>
      <w:bookmarkStart w:id="65" w:name="_Toc310953797"/>
      <w:bookmarkStart w:id="66" w:name="_Toc395177704"/>
      <w:bookmarkStart w:id="67" w:name="_Toc395788094"/>
      <w:bookmarkStart w:id="68" w:name="OLE_LINK86"/>
      <w:bookmarkStart w:id="69" w:name="_Toc442965748"/>
      <w:bookmarkStart w:id="70" w:name="_Toc468872070"/>
      <w:bookmarkStart w:id="71" w:name="OLE_LINK137"/>
      <w:r w:rsidRPr="00362517">
        <w:t>2.2.8</w:t>
      </w:r>
      <w:r w:rsidRPr="00362517">
        <w:tab/>
        <w:t xml:space="preserve">Standards for Recertification </w:t>
      </w:r>
      <w:bookmarkEnd w:id="64"/>
      <w:r w:rsidRPr="00362517">
        <w:t>of Private and Commercial Applicators</w:t>
      </w:r>
      <w:bookmarkEnd w:id="65"/>
      <w:bookmarkEnd w:id="66"/>
      <w:bookmarkEnd w:id="67"/>
      <w:bookmarkEnd w:id="68"/>
      <w:bookmarkEnd w:id="69"/>
      <w:bookmarkEnd w:id="70"/>
      <w:r w:rsidRPr="00362517">
        <w:t xml:space="preserve"> </w:t>
      </w:r>
      <w:r w:rsidRPr="00362517" w:rsidDel="00367CD9">
        <w:t xml:space="preserve"> </w:t>
      </w:r>
    </w:p>
    <w:p w14:paraId="5AB1824E" w14:textId="77777777" w:rsidR="00FA01FB" w:rsidRPr="00362517" w:rsidRDefault="00FA01FB" w:rsidP="00BF6BC7">
      <w:pPr>
        <w:keepNext/>
      </w:pPr>
    </w:p>
    <w:p w14:paraId="5AB1824F" w14:textId="5C138E26" w:rsidR="00FA01FB" w:rsidRPr="00362517" w:rsidRDefault="00FA01FB" w:rsidP="00BF6BC7">
      <w:pPr>
        <w:keepNext/>
        <w:spacing w:after="240"/>
      </w:pPr>
      <w:r w:rsidRPr="00362517">
        <w:t xml:space="preserve">The current recertification standards only require </w:t>
      </w:r>
      <w:r w:rsidR="0044554B" w:rsidRPr="00362517">
        <w:t>certifying authorities</w:t>
      </w:r>
      <w:r w:rsidRPr="00362517">
        <w:t xml:space="preserve"> to have “provisions to ensure that certified applicators continue to meet the requirements of changing technology and to </w:t>
      </w:r>
      <w:r w:rsidRPr="00362517">
        <w:lastRenderedPageBreak/>
        <w:t xml:space="preserve">assure a continuing level of competency and ability to apply pesticides safely and properly” as part of their state plans (40 CFR 171.8(a)(2)).  Currently, the rule specifies no requirements for the timing, content, or manner to evaluate ongoing competency, undermining the integrity of the applicator certification program.  </w:t>
      </w:r>
      <w:r w:rsidR="008F2FA3" w:rsidRPr="00362517">
        <w:t>The lack of a national standard has resulted in the development of varying state programs that do not uniformly ensure that applicators have maintained their competency in core functions and the changing technology of pesticide application.  The final recertification requirements establish a maximum duration for certifications, set minimum standards for continuing education programs, and require states to verify that applicants successfully complete the program, including verifying the identification of candidates for recertification.  The specific proposals are summarized in Table 2.2-7, with a more complete discussion available in Unit XIV of the preamble.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1438"/>
        <w:gridCol w:w="2692"/>
        <w:gridCol w:w="3515"/>
      </w:tblGrid>
      <w:tr w:rsidR="00362517" w:rsidRPr="00362517" w14:paraId="5AB18251" w14:textId="77777777" w:rsidTr="0034043F">
        <w:trPr>
          <w:tblHeader/>
        </w:trPr>
        <w:tc>
          <w:tcPr>
            <w:tcW w:w="9360" w:type="dxa"/>
            <w:gridSpan w:val="4"/>
            <w:vAlign w:val="center"/>
          </w:tcPr>
          <w:p w14:paraId="5AB18250" w14:textId="77777777" w:rsidR="00FA01FB" w:rsidRPr="00362517" w:rsidRDefault="00FA01FB" w:rsidP="00BF6BC7">
            <w:pPr>
              <w:rPr>
                <w:b/>
                <w:bCs/>
                <w:sz w:val="20"/>
                <w:szCs w:val="20"/>
              </w:rPr>
            </w:pPr>
            <w:r w:rsidRPr="00362517">
              <w:rPr>
                <w:b/>
                <w:bCs/>
                <w:sz w:val="20"/>
                <w:szCs w:val="20"/>
              </w:rPr>
              <w:t>Table 2.2-7.  Current,  Proposed, and</w:t>
            </w:r>
            <w:r w:rsidR="008F2FA3" w:rsidRPr="00362517">
              <w:rPr>
                <w:b/>
                <w:bCs/>
                <w:sz w:val="20"/>
                <w:szCs w:val="20"/>
              </w:rPr>
              <w:t xml:space="preserve"> Final</w:t>
            </w:r>
            <w:r w:rsidRPr="00362517">
              <w:rPr>
                <w:b/>
                <w:bCs/>
                <w:sz w:val="20"/>
                <w:szCs w:val="20"/>
              </w:rPr>
              <w:t xml:space="preserve"> Recertification Requirements</w:t>
            </w:r>
          </w:p>
        </w:tc>
      </w:tr>
      <w:tr w:rsidR="00362517" w:rsidRPr="00362517" w14:paraId="5AB18256" w14:textId="77777777" w:rsidTr="0034043F">
        <w:trPr>
          <w:tblHeader/>
        </w:trPr>
        <w:tc>
          <w:tcPr>
            <w:tcW w:w="1715" w:type="dxa"/>
            <w:vAlign w:val="center"/>
          </w:tcPr>
          <w:p w14:paraId="5AB18252" w14:textId="77777777" w:rsidR="00FA01FB" w:rsidRPr="00362517" w:rsidRDefault="00FA01FB" w:rsidP="00BF6BC7">
            <w:pPr>
              <w:keepNext/>
              <w:jc w:val="center"/>
              <w:rPr>
                <w:b/>
                <w:bCs/>
                <w:sz w:val="20"/>
                <w:szCs w:val="20"/>
              </w:rPr>
            </w:pPr>
            <w:r w:rsidRPr="00362517">
              <w:rPr>
                <w:b/>
                <w:bCs/>
                <w:sz w:val="20"/>
                <w:szCs w:val="20"/>
              </w:rPr>
              <w:t xml:space="preserve">Regulatory Element </w:t>
            </w:r>
          </w:p>
        </w:tc>
        <w:tc>
          <w:tcPr>
            <w:tcW w:w="1438" w:type="dxa"/>
            <w:vAlign w:val="center"/>
          </w:tcPr>
          <w:p w14:paraId="5AB18253" w14:textId="77777777" w:rsidR="00FA01FB" w:rsidRPr="00362517" w:rsidRDefault="00FA01FB" w:rsidP="00BF6BC7">
            <w:pPr>
              <w:keepNext/>
              <w:jc w:val="center"/>
              <w:rPr>
                <w:b/>
                <w:bCs/>
                <w:sz w:val="20"/>
                <w:szCs w:val="20"/>
              </w:rPr>
            </w:pPr>
            <w:r w:rsidRPr="00362517">
              <w:rPr>
                <w:b/>
                <w:bCs/>
                <w:sz w:val="20"/>
                <w:szCs w:val="20"/>
              </w:rPr>
              <w:t>Current Regulatory Status</w:t>
            </w:r>
          </w:p>
        </w:tc>
        <w:tc>
          <w:tcPr>
            <w:tcW w:w="2692" w:type="dxa"/>
            <w:vAlign w:val="center"/>
          </w:tcPr>
          <w:p w14:paraId="5AB18254" w14:textId="77777777" w:rsidR="00FA01FB" w:rsidRPr="00362517" w:rsidRDefault="00FA01FB" w:rsidP="00BF6BC7">
            <w:pPr>
              <w:keepNext/>
              <w:jc w:val="center"/>
              <w:rPr>
                <w:b/>
                <w:bCs/>
                <w:sz w:val="20"/>
                <w:szCs w:val="20"/>
              </w:rPr>
            </w:pPr>
            <w:r w:rsidRPr="00362517">
              <w:rPr>
                <w:b/>
                <w:bCs/>
                <w:sz w:val="20"/>
                <w:szCs w:val="20"/>
              </w:rPr>
              <w:t>Proposed Option</w:t>
            </w:r>
          </w:p>
        </w:tc>
        <w:tc>
          <w:tcPr>
            <w:tcW w:w="3515" w:type="dxa"/>
            <w:vAlign w:val="center"/>
          </w:tcPr>
          <w:p w14:paraId="5AB18255" w14:textId="77777777" w:rsidR="00FA01FB" w:rsidRPr="00362517" w:rsidRDefault="00FA01FB" w:rsidP="00BF6BC7">
            <w:pPr>
              <w:keepNext/>
              <w:jc w:val="center"/>
              <w:rPr>
                <w:b/>
                <w:bCs/>
                <w:sz w:val="20"/>
                <w:szCs w:val="20"/>
              </w:rPr>
            </w:pPr>
            <w:r w:rsidRPr="00362517">
              <w:rPr>
                <w:b/>
                <w:bCs/>
                <w:sz w:val="20"/>
                <w:szCs w:val="20"/>
              </w:rPr>
              <w:t>Final Requirement</w:t>
            </w:r>
          </w:p>
        </w:tc>
      </w:tr>
      <w:tr w:rsidR="00362517" w:rsidRPr="00362517" w14:paraId="5AB18258" w14:textId="77777777" w:rsidTr="0034043F">
        <w:tc>
          <w:tcPr>
            <w:tcW w:w="9360" w:type="dxa"/>
            <w:gridSpan w:val="4"/>
            <w:vAlign w:val="center"/>
          </w:tcPr>
          <w:p w14:paraId="5AB18257" w14:textId="77777777" w:rsidR="00FA01FB" w:rsidRPr="00362517" w:rsidRDefault="00FA01FB" w:rsidP="00BF6BC7">
            <w:pPr>
              <w:jc w:val="center"/>
              <w:rPr>
                <w:sz w:val="20"/>
                <w:szCs w:val="20"/>
              </w:rPr>
            </w:pPr>
            <w:r w:rsidRPr="00362517">
              <w:rPr>
                <w:sz w:val="20"/>
                <w:szCs w:val="20"/>
              </w:rPr>
              <w:t>Commercial Applicators</w:t>
            </w:r>
          </w:p>
        </w:tc>
      </w:tr>
      <w:tr w:rsidR="00362517" w:rsidRPr="00362517" w14:paraId="5AB1825E" w14:textId="77777777" w:rsidTr="0034043F">
        <w:trPr>
          <w:trHeight w:val="2870"/>
        </w:trPr>
        <w:tc>
          <w:tcPr>
            <w:tcW w:w="1715" w:type="dxa"/>
            <w:vAlign w:val="center"/>
          </w:tcPr>
          <w:p w14:paraId="5AB18259" w14:textId="77777777" w:rsidR="00FA01FB" w:rsidRPr="00362517" w:rsidRDefault="00FA01FB" w:rsidP="00BF6BC7">
            <w:pPr>
              <w:rPr>
                <w:sz w:val="20"/>
                <w:szCs w:val="20"/>
              </w:rPr>
            </w:pPr>
            <w:r w:rsidRPr="00362517">
              <w:rPr>
                <w:sz w:val="20"/>
                <w:szCs w:val="20"/>
              </w:rPr>
              <w:t>Maximum time before recertification</w:t>
            </w:r>
          </w:p>
        </w:tc>
        <w:tc>
          <w:tcPr>
            <w:tcW w:w="1438" w:type="dxa"/>
            <w:vAlign w:val="center"/>
          </w:tcPr>
          <w:p w14:paraId="5AB1825A" w14:textId="77777777" w:rsidR="00FA01FB" w:rsidRPr="00362517" w:rsidRDefault="00FA01FB" w:rsidP="00BF6BC7">
            <w:pPr>
              <w:jc w:val="center"/>
              <w:rPr>
                <w:sz w:val="20"/>
                <w:szCs w:val="20"/>
              </w:rPr>
            </w:pPr>
            <w:r w:rsidRPr="00362517">
              <w:rPr>
                <w:sz w:val="20"/>
                <w:szCs w:val="20"/>
              </w:rPr>
              <w:t>None</w:t>
            </w:r>
          </w:p>
        </w:tc>
        <w:tc>
          <w:tcPr>
            <w:tcW w:w="2692" w:type="dxa"/>
            <w:vAlign w:val="center"/>
          </w:tcPr>
          <w:p w14:paraId="5AB1825B" w14:textId="77777777" w:rsidR="00FA01FB" w:rsidRPr="00362517" w:rsidRDefault="00FA01FB" w:rsidP="00BF6BC7">
            <w:pPr>
              <w:rPr>
                <w:sz w:val="20"/>
                <w:szCs w:val="20"/>
              </w:rPr>
            </w:pPr>
            <w:r w:rsidRPr="00362517">
              <w:rPr>
                <w:sz w:val="20"/>
                <w:szCs w:val="20"/>
              </w:rPr>
              <w:t>Recertification required every 3 years</w:t>
            </w:r>
          </w:p>
          <w:p w14:paraId="5AB1825C" w14:textId="77777777" w:rsidR="00FA01FB" w:rsidRPr="00362517" w:rsidRDefault="00FA01FB" w:rsidP="00BF6BC7">
            <w:pPr>
              <w:rPr>
                <w:sz w:val="20"/>
                <w:szCs w:val="20"/>
              </w:rPr>
            </w:pPr>
            <w:r w:rsidRPr="00362517">
              <w:rPr>
                <w:sz w:val="20"/>
                <w:szCs w:val="20"/>
              </w:rPr>
              <w:t xml:space="preserve">Requirements: exams for core and each category of certification </w:t>
            </w:r>
            <w:r w:rsidRPr="00362517">
              <w:rPr>
                <w:sz w:val="20"/>
                <w:szCs w:val="20"/>
                <w:u w:val="single"/>
              </w:rPr>
              <w:t>OR</w:t>
            </w:r>
            <w:r w:rsidRPr="00362517">
              <w:rPr>
                <w:sz w:val="20"/>
                <w:szCs w:val="20"/>
              </w:rPr>
              <w:t xml:space="preserve"> 6 Continuing Education Units (CEUs) for core recertification and  6 CEUs for each category of certification </w:t>
            </w:r>
          </w:p>
        </w:tc>
        <w:tc>
          <w:tcPr>
            <w:tcW w:w="3515" w:type="dxa"/>
            <w:vAlign w:val="center"/>
          </w:tcPr>
          <w:p w14:paraId="5AB1825D" w14:textId="77777777" w:rsidR="00FA01FB" w:rsidRPr="00362517" w:rsidRDefault="00007AF9" w:rsidP="00BF6BC7">
            <w:pPr>
              <w:rPr>
                <w:sz w:val="20"/>
                <w:szCs w:val="20"/>
              </w:rPr>
            </w:pPr>
            <w:r w:rsidRPr="00362517">
              <w:rPr>
                <w:sz w:val="20"/>
                <w:szCs w:val="20"/>
              </w:rPr>
              <w:t>Maximum recertification interval is 5 years. Applicator must meet the recertification requirements of their certifying authorities’ approved plan.</w:t>
            </w:r>
          </w:p>
        </w:tc>
      </w:tr>
      <w:tr w:rsidR="00362517" w:rsidRPr="00362517" w14:paraId="5AB18260" w14:textId="77777777" w:rsidTr="0034043F">
        <w:tc>
          <w:tcPr>
            <w:tcW w:w="9360" w:type="dxa"/>
            <w:gridSpan w:val="4"/>
            <w:vAlign w:val="center"/>
          </w:tcPr>
          <w:p w14:paraId="5AB1825F" w14:textId="77777777" w:rsidR="00FA01FB" w:rsidRPr="00362517" w:rsidRDefault="00FA01FB" w:rsidP="00BF6BC7">
            <w:pPr>
              <w:jc w:val="center"/>
              <w:rPr>
                <w:sz w:val="20"/>
                <w:szCs w:val="20"/>
              </w:rPr>
            </w:pPr>
            <w:r w:rsidRPr="00362517">
              <w:rPr>
                <w:sz w:val="20"/>
                <w:szCs w:val="20"/>
              </w:rPr>
              <w:t>Private Applicators</w:t>
            </w:r>
          </w:p>
        </w:tc>
      </w:tr>
      <w:tr w:rsidR="00FA01FB" w:rsidRPr="00362517" w14:paraId="5AB18266" w14:textId="77777777" w:rsidTr="0034043F">
        <w:trPr>
          <w:trHeight w:val="3257"/>
        </w:trPr>
        <w:tc>
          <w:tcPr>
            <w:tcW w:w="1715" w:type="dxa"/>
            <w:vAlign w:val="center"/>
          </w:tcPr>
          <w:p w14:paraId="5AB18261" w14:textId="77777777" w:rsidR="00FA01FB" w:rsidRPr="00362517" w:rsidRDefault="00FA01FB" w:rsidP="00BF6BC7">
            <w:pPr>
              <w:rPr>
                <w:sz w:val="20"/>
                <w:szCs w:val="20"/>
              </w:rPr>
            </w:pPr>
            <w:r w:rsidRPr="00362517">
              <w:rPr>
                <w:sz w:val="20"/>
                <w:szCs w:val="20"/>
              </w:rPr>
              <w:t>Maximum time before recertification</w:t>
            </w:r>
          </w:p>
        </w:tc>
        <w:tc>
          <w:tcPr>
            <w:tcW w:w="1438" w:type="dxa"/>
            <w:vAlign w:val="center"/>
          </w:tcPr>
          <w:p w14:paraId="5AB18262" w14:textId="77777777" w:rsidR="00FA01FB" w:rsidRPr="00362517" w:rsidRDefault="00FA01FB" w:rsidP="00BF6BC7">
            <w:pPr>
              <w:jc w:val="center"/>
              <w:rPr>
                <w:sz w:val="20"/>
                <w:szCs w:val="20"/>
              </w:rPr>
            </w:pPr>
            <w:r w:rsidRPr="00362517">
              <w:rPr>
                <w:sz w:val="20"/>
                <w:szCs w:val="20"/>
              </w:rPr>
              <w:t>None</w:t>
            </w:r>
          </w:p>
        </w:tc>
        <w:tc>
          <w:tcPr>
            <w:tcW w:w="2692" w:type="dxa"/>
            <w:vAlign w:val="center"/>
          </w:tcPr>
          <w:p w14:paraId="5AB18263" w14:textId="77777777" w:rsidR="00FA01FB" w:rsidRPr="00362517" w:rsidRDefault="00FA01FB" w:rsidP="00BF6BC7">
            <w:pPr>
              <w:rPr>
                <w:sz w:val="20"/>
                <w:szCs w:val="20"/>
              </w:rPr>
            </w:pPr>
            <w:r w:rsidRPr="00362517">
              <w:rPr>
                <w:sz w:val="20"/>
                <w:szCs w:val="20"/>
              </w:rPr>
              <w:t>Recertification required every 3 years</w:t>
            </w:r>
          </w:p>
          <w:p w14:paraId="5AB18264" w14:textId="77777777" w:rsidR="00FA01FB" w:rsidRPr="00362517" w:rsidRDefault="00FA01FB" w:rsidP="00BF6BC7">
            <w:pPr>
              <w:rPr>
                <w:sz w:val="20"/>
                <w:szCs w:val="20"/>
              </w:rPr>
            </w:pPr>
            <w:r w:rsidRPr="00362517">
              <w:rPr>
                <w:sz w:val="20"/>
                <w:szCs w:val="20"/>
              </w:rPr>
              <w:t xml:space="preserve">Requirements: exams for general private applicator certification and each category of certification </w:t>
            </w:r>
            <w:r w:rsidRPr="00362517">
              <w:rPr>
                <w:sz w:val="20"/>
                <w:szCs w:val="20"/>
                <w:u w:val="single"/>
              </w:rPr>
              <w:t>OR</w:t>
            </w:r>
            <w:r w:rsidRPr="00362517">
              <w:rPr>
                <w:sz w:val="20"/>
                <w:szCs w:val="20"/>
              </w:rPr>
              <w:t xml:space="preserve"> 6 CEUs for general private applicator recertification and 3 CEUs for each category of certification</w:t>
            </w:r>
          </w:p>
        </w:tc>
        <w:tc>
          <w:tcPr>
            <w:tcW w:w="3515" w:type="dxa"/>
            <w:vAlign w:val="center"/>
          </w:tcPr>
          <w:p w14:paraId="5AB18265" w14:textId="77777777" w:rsidR="00FA01FB" w:rsidRPr="00362517" w:rsidRDefault="00007AF9" w:rsidP="00BF6BC7">
            <w:pPr>
              <w:rPr>
                <w:sz w:val="20"/>
                <w:szCs w:val="20"/>
              </w:rPr>
            </w:pPr>
            <w:r w:rsidRPr="00362517">
              <w:rPr>
                <w:sz w:val="20"/>
                <w:szCs w:val="20"/>
              </w:rPr>
              <w:t>Maximum recertification interval is 5 years.  Applicator must meet the recertification requirements of their certifying authorities’ approved plan.</w:t>
            </w:r>
            <w:r w:rsidR="00FA01FB" w:rsidRPr="00362517">
              <w:rPr>
                <w:sz w:val="20"/>
                <w:szCs w:val="20"/>
              </w:rPr>
              <w:t xml:space="preserve">  </w:t>
            </w:r>
            <w:r w:rsidR="00FA01FB" w:rsidRPr="00362517" w:rsidDel="00FF42CE">
              <w:rPr>
                <w:sz w:val="20"/>
                <w:szCs w:val="20"/>
              </w:rPr>
              <w:t xml:space="preserve"> </w:t>
            </w:r>
          </w:p>
        </w:tc>
      </w:tr>
    </w:tbl>
    <w:p w14:paraId="5AB18267" w14:textId="77777777" w:rsidR="00FA01FB" w:rsidRPr="00362517" w:rsidRDefault="00FA01FB" w:rsidP="00BF6BC7">
      <w:pPr>
        <w:spacing w:after="240"/>
        <w:rPr>
          <w:b/>
        </w:rPr>
      </w:pPr>
    </w:p>
    <w:p w14:paraId="5AB18268" w14:textId="482B589E" w:rsidR="00D43384" w:rsidRPr="00362517" w:rsidRDefault="00D43384" w:rsidP="00BF6BC7">
      <w:pPr>
        <w:spacing w:after="240"/>
      </w:pPr>
      <w:r w:rsidRPr="00362517">
        <w:t xml:space="preserve">The final rule establishes a maximum recertification period of five years.  In addition to the maximum time frame, the final rule allows recertification by either </w:t>
      </w:r>
      <w:r w:rsidR="00413DE9" w:rsidRPr="00362517">
        <w:t xml:space="preserve">written </w:t>
      </w:r>
      <w:r w:rsidRPr="00362517">
        <w:t xml:space="preserve">examination or continuing education, and allows certifying authorities to determine many of the key features of their continuing education programs.  Unlike the proposal, the final rule allows certifying authorities substantially more flexibility when they choose to allow recertification with a </w:t>
      </w:r>
      <w:r w:rsidRPr="00362517">
        <w:lastRenderedPageBreak/>
        <w:t>continuing education program.  A continuing education program designed for applicator recertification must be approved by the certifying authority as being capable of ensuring continued competency.  The certifying authority must comply with the following requirements of the continuing education program:</w:t>
      </w:r>
    </w:p>
    <w:p w14:paraId="5AB18269" w14:textId="28B4DC40" w:rsidR="00D43384" w:rsidRPr="00362517" w:rsidRDefault="00D43384" w:rsidP="00BF6BC7">
      <w:pPr>
        <w:pStyle w:val="NoSpacing"/>
        <w:numPr>
          <w:ilvl w:val="0"/>
          <w:numId w:val="21"/>
        </w:numPr>
      </w:pPr>
      <w:r w:rsidRPr="00362517">
        <w:t>Ensure that the quantity, content, and quality of the continuing education program is sufficient to ensure the applicator continues to demonstrate the level of competency required by the rule</w:t>
      </w:r>
      <w:r w:rsidR="00413DE9" w:rsidRPr="00362517">
        <w:t>.</w:t>
      </w:r>
    </w:p>
    <w:p w14:paraId="5AB1826A" w14:textId="77777777" w:rsidR="00D43384" w:rsidRPr="00362517" w:rsidRDefault="00D43384" w:rsidP="00BF6BC7">
      <w:pPr>
        <w:pStyle w:val="NoSpacing"/>
        <w:numPr>
          <w:ilvl w:val="0"/>
          <w:numId w:val="21"/>
        </w:numPr>
      </w:pPr>
      <w:r w:rsidRPr="00362517">
        <w:t xml:space="preserve">The certifying authority must approve any continuing education course or event as suitable for its purpose in the certifying authority’s recertification process. </w:t>
      </w:r>
    </w:p>
    <w:p w14:paraId="5AB1826B" w14:textId="77777777" w:rsidR="00D43384" w:rsidRPr="00362517" w:rsidRDefault="00D43384" w:rsidP="00BF6BC7">
      <w:pPr>
        <w:pStyle w:val="NoSpacing"/>
        <w:numPr>
          <w:ilvl w:val="0"/>
          <w:numId w:val="21"/>
        </w:numPr>
      </w:pPr>
      <w:r w:rsidRPr="00362517">
        <w:t xml:space="preserve">The certifying authority must ensure that any continuing education course or event, including an online or other distance education course or event, relied upon for recertification includes a process to verify the applicator’s successful completion of the course or event. </w:t>
      </w:r>
    </w:p>
    <w:p w14:paraId="5AB1826C" w14:textId="77777777" w:rsidR="00D43384" w:rsidRPr="00362517" w:rsidRDefault="00D43384" w:rsidP="00BF6BC7">
      <w:pPr>
        <w:pStyle w:val="BodyText"/>
      </w:pPr>
    </w:p>
    <w:p w14:paraId="5AB1826D" w14:textId="77777777" w:rsidR="00D43384" w:rsidRPr="00362517" w:rsidRDefault="00D43384" w:rsidP="00BF6BC7">
      <w:pPr>
        <w:pStyle w:val="BodyText"/>
      </w:pPr>
      <w:r w:rsidRPr="00362517">
        <w:t xml:space="preserve">The advantage of the option chosen for the final rule is that it provides much more flexibility for the certifying authorities in ensuring competency for certified applicators than the options considered in the proposed rule, while minimizing the implementation impact on certifying authorities and EPA.  The final rule acknowledges that there are different ways to accomplish the goals of ensuring the continued competency of pesticide applicators, and flexibility for the state programs combined with oversight by EPA of state plans will allow low cost implementation of requirements for recertification of pesticide applicators.  The more flexible approach in the final rule reduces the cost of compliance for the certifying authorities by recognizing the value of different approaches that the certifying authorities have developed.  </w:t>
      </w:r>
    </w:p>
    <w:p w14:paraId="5AB1826E" w14:textId="77777777" w:rsidR="00FA01FB" w:rsidRPr="00362517" w:rsidRDefault="00FA01FB" w:rsidP="00BF6BC7">
      <w:pPr>
        <w:pStyle w:val="BodyText"/>
      </w:pPr>
    </w:p>
    <w:p w14:paraId="5AB1826F" w14:textId="48654D38" w:rsidR="00FA01FB" w:rsidRPr="00362517" w:rsidRDefault="00FA01FB" w:rsidP="00BF6BC7">
      <w:pPr>
        <w:pStyle w:val="Heading3"/>
      </w:pPr>
      <w:bookmarkStart w:id="72" w:name="_Toc442965749"/>
      <w:bookmarkStart w:id="73" w:name="_Toc468872071"/>
      <w:bookmarkStart w:id="74" w:name="_Toc310953798"/>
      <w:bookmarkStart w:id="75" w:name="_Toc395177705"/>
      <w:bookmarkStart w:id="76" w:name="_Toc395788095"/>
      <w:bookmarkEnd w:id="71"/>
      <w:r w:rsidRPr="00362517">
        <w:t>2</w:t>
      </w:r>
      <w:bookmarkStart w:id="77" w:name="OLE_LINK53"/>
      <w:bookmarkStart w:id="78" w:name="OLE_LINK54"/>
      <w:r w:rsidRPr="00362517">
        <w:t>.2.9</w:t>
      </w:r>
      <w:r w:rsidRPr="00362517">
        <w:tab/>
        <w:t>General Administrative Requirements for RUP Dealers, States, Tribes, and Federal Agencies</w:t>
      </w:r>
      <w:bookmarkEnd w:id="72"/>
      <w:bookmarkEnd w:id="73"/>
      <w:r w:rsidRPr="00362517">
        <w:t xml:space="preserve"> </w:t>
      </w:r>
      <w:bookmarkEnd w:id="74"/>
      <w:bookmarkEnd w:id="75"/>
      <w:bookmarkEnd w:id="76"/>
      <w:bookmarkEnd w:id="77"/>
      <w:bookmarkEnd w:id="78"/>
    </w:p>
    <w:p w14:paraId="5AB18270" w14:textId="77777777" w:rsidR="00FA01FB" w:rsidRPr="00362517" w:rsidRDefault="00FA01FB" w:rsidP="00BF6BC7">
      <w:pPr>
        <w:pStyle w:val="BodyText"/>
      </w:pPr>
    </w:p>
    <w:p w14:paraId="5AB18271" w14:textId="77777777" w:rsidR="00FA01FB" w:rsidRPr="00362517" w:rsidRDefault="00FA01FB" w:rsidP="00BF6BC7">
      <w:pPr>
        <w:pStyle w:val="BodyText"/>
      </w:pPr>
      <w:r w:rsidRPr="00362517">
        <w:t xml:space="preserve">There are several requirements in the final rule that are administrative in nature: new recordkeeping requirements for industry and requirements for </w:t>
      </w:r>
      <w:r w:rsidR="0044554B" w:rsidRPr="00362517">
        <w:t>certifying authorities</w:t>
      </w:r>
      <w:r w:rsidRPr="00362517">
        <w:t xml:space="preserve"> to implement the changes in the rule.  The final regulations require new recordkeeping requirements for dealers of RUPs, shown in Table 2.2-8.  A more detailed discussion is available in Unit XV of the preamble. </w:t>
      </w:r>
    </w:p>
    <w:p w14:paraId="5AB18272" w14:textId="77777777" w:rsidR="00FA01FB" w:rsidRPr="00362517" w:rsidRDefault="00FA01FB" w:rsidP="00BF6BC7">
      <w:pPr>
        <w:pStyle w:val="BodyText"/>
      </w:pPr>
    </w:p>
    <w:p w14:paraId="5AB18273" w14:textId="77777777" w:rsidR="00FA01FB" w:rsidRPr="00362517" w:rsidRDefault="00FA01FB" w:rsidP="00BF6BC7">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1680"/>
        <w:gridCol w:w="2672"/>
        <w:gridCol w:w="2942"/>
      </w:tblGrid>
      <w:tr w:rsidR="00362517" w:rsidRPr="00362517" w14:paraId="5AB18275" w14:textId="77777777" w:rsidTr="0034043F">
        <w:trPr>
          <w:tblHeader/>
        </w:trPr>
        <w:tc>
          <w:tcPr>
            <w:tcW w:w="9350" w:type="dxa"/>
            <w:gridSpan w:val="4"/>
            <w:vAlign w:val="center"/>
          </w:tcPr>
          <w:p w14:paraId="5AB18274" w14:textId="77777777" w:rsidR="00FA01FB" w:rsidRPr="00362517" w:rsidRDefault="00FA01FB" w:rsidP="00BF6BC7">
            <w:pPr>
              <w:rPr>
                <w:b/>
                <w:bCs/>
                <w:sz w:val="20"/>
                <w:szCs w:val="20"/>
              </w:rPr>
            </w:pPr>
            <w:r w:rsidRPr="00362517">
              <w:rPr>
                <w:b/>
                <w:bCs/>
                <w:sz w:val="20"/>
                <w:szCs w:val="20"/>
              </w:rPr>
              <w:t xml:space="preserve">Table 2.2-8.  Current,  Proposed, and </w:t>
            </w:r>
            <w:r w:rsidR="00A21245" w:rsidRPr="00362517">
              <w:rPr>
                <w:b/>
                <w:bCs/>
                <w:sz w:val="20"/>
                <w:szCs w:val="20"/>
              </w:rPr>
              <w:t>Final</w:t>
            </w:r>
            <w:r w:rsidRPr="00362517">
              <w:rPr>
                <w:b/>
                <w:bCs/>
                <w:sz w:val="20"/>
                <w:szCs w:val="20"/>
              </w:rPr>
              <w:t xml:space="preserve"> Recordkeeping </w:t>
            </w:r>
            <w:r w:rsidR="00A21245" w:rsidRPr="00362517">
              <w:rPr>
                <w:b/>
                <w:bCs/>
                <w:sz w:val="20"/>
                <w:szCs w:val="20"/>
              </w:rPr>
              <w:t xml:space="preserve">Requirements </w:t>
            </w:r>
            <w:r w:rsidRPr="00362517">
              <w:rPr>
                <w:b/>
                <w:bCs/>
                <w:sz w:val="20"/>
                <w:szCs w:val="20"/>
              </w:rPr>
              <w:t xml:space="preserve">for RUP Dealers </w:t>
            </w:r>
          </w:p>
        </w:tc>
      </w:tr>
      <w:tr w:rsidR="00362517" w:rsidRPr="00362517" w14:paraId="5AB1827A" w14:textId="77777777" w:rsidTr="0034043F">
        <w:trPr>
          <w:tblHeader/>
        </w:trPr>
        <w:tc>
          <w:tcPr>
            <w:tcW w:w="2056" w:type="dxa"/>
            <w:vAlign w:val="center"/>
          </w:tcPr>
          <w:p w14:paraId="5AB18276" w14:textId="77777777" w:rsidR="00FA01FB" w:rsidRPr="00362517" w:rsidRDefault="00FA01FB" w:rsidP="00BF6BC7">
            <w:pPr>
              <w:keepNext/>
              <w:jc w:val="center"/>
              <w:rPr>
                <w:b/>
                <w:bCs/>
                <w:sz w:val="20"/>
                <w:szCs w:val="20"/>
              </w:rPr>
            </w:pPr>
            <w:r w:rsidRPr="00362517">
              <w:rPr>
                <w:b/>
                <w:bCs/>
                <w:sz w:val="20"/>
                <w:szCs w:val="20"/>
              </w:rPr>
              <w:t xml:space="preserve">Regulatory Element </w:t>
            </w:r>
          </w:p>
        </w:tc>
        <w:tc>
          <w:tcPr>
            <w:tcW w:w="1680" w:type="dxa"/>
            <w:vAlign w:val="center"/>
          </w:tcPr>
          <w:p w14:paraId="5AB18277" w14:textId="77777777" w:rsidR="00FA01FB" w:rsidRPr="00362517" w:rsidRDefault="00FA01FB" w:rsidP="00BF6BC7">
            <w:pPr>
              <w:keepNext/>
              <w:jc w:val="center"/>
              <w:rPr>
                <w:b/>
                <w:bCs/>
                <w:sz w:val="20"/>
                <w:szCs w:val="20"/>
              </w:rPr>
            </w:pPr>
            <w:r w:rsidRPr="00362517">
              <w:rPr>
                <w:b/>
                <w:bCs/>
                <w:sz w:val="20"/>
                <w:szCs w:val="20"/>
              </w:rPr>
              <w:t>Current Regulatory Status</w:t>
            </w:r>
          </w:p>
        </w:tc>
        <w:tc>
          <w:tcPr>
            <w:tcW w:w="2672" w:type="dxa"/>
            <w:vAlign w:val="center"/>
          </w:tcPr>
          <w:p w14:paraId="5AB18278" w14:textId="77777777" w:rsidR="00FA01FB" w:rsidRPr="00362517" w:rsidRDefault="00FA01FB" w:rsidP="00BF6BC7">
            <w:pPr>
              <w:keepNext/>
              <w:jc w:val="center"/>
              <w:rPr>
                <w:b/>
                <w:bCs/>
                <w:sz w:val="20"/>
                <w:szCs w:val="20"/>
              </w:rPr>
            </w:pPr>
            <w:r w:rsidRPr="00362517">
              <w:rPr>
                <w:b/>
                <w:bCs/>
                <w:sz w:val="20"/>
                <w:szCs w:val="20"/>
              </w:rPr>
              <w:t>Proposed Option</w:t>
            </w:r>
          </w:p>
        </w:tc>
        <w:tc>
          <w:tcPr>
            <w:tcW w:w="2942" w:type="dxa"/>
            <w:vAlign w:val="center"/>
          </w:tcPr>
          <w:p w14:paraId="5AB18279" w14:textId="77777777" w:rsidR="00FA01FB" w:rsidRPr="00362517" w:rsidRDefault="00FA01FB" w:rsidP="00BF6BC7">
            <w:pPr>
              <w:keepNext/>
              <w:jc w:val="center"/>
              <w:rPr>
                <w:b/>
                <w:bCs/>
                <w:sz w:val="20"/>
                <w:szCs w:val="20"/>
              </w:rPr>
            </w:pPr>
            <w:r w:rsidRPr="00362517">
              <w:rPr>
                <w:b/>
                <w:bCs/>
                <w:sz w:val="20"/>
                <w:szCs w:val="20"/>
              </w:rPr>
              <w:t>Final Requirement</w:t>
            </w:r>
          </w:p>
        </w:tc>
      </w:tr>
      <w:tr w:rsidR="00FA01FB" w:rsidRPr="00362517" w14:paraId="5AB18288" w14:textId="77777777" w:rsidTr="0034043F">
        <w:trPr>
          <w:trHeight w:val="2294"/>
        </w:trPr>
        <w:tc>
          <w:tcPr>
            <w:tcW w:w="2056" w:type="dxa"/>
            <w:vAlign w:val="center"/>
          </w:tcPr>
          <w:p w14:paraId="5AB1827B" w14:textId="77777777" w:rsidR="00FA01FB" w:rsidRPr="00362517" w:rsidRDefault="00FA01FB" w:rsidP="00BF6BC7">
            <w:pPr>
              <w:rPr>
                <w:sz w:val="20"/>
                <w:szCs w:val="20"/>
              </w:rPr>
            </w:pPr>
            <w:r w:rsidRPr="00362517">
              <w:rPr>
                <w:sz w:val="20"/>
                <w:szCs w:val="20"/>
              </w:rPr>
              <w:t>Dealer recordkeeping of RUP sales</w:t>
            </w:r>
          </w:p>
        </w:tc>
        <w:tc>
          <w:tcPr>
            <w:tcW w:w="1680" w:type="dxa"/>
            <w:vAlign w:val="center"/>
          </w:tcPr>
          <w:p w14:paraId="5AB1827C" w14:textId="77777777" w:rsidR="00FA01FB" w:rsidRPr="00362517" w:rsidRDefault="00FA01FB" w:rsidP="00BF6BC7">
            <w:pPr>
              <w:jc w:val="center"/>
              <w:rPr>
                <w:sz w:val="20"/>
                <w:szCs w:val="20"/>
              </w:rPr>
            </w:pPr>
            <w:r w:rsidRPr="00362517">
              <w:rPr>
                <w:sz w:val="20"/>
                <w:szCs w:val="20"/>
              </w:rPr>
              <w:t>Not required</w:t>
            </w:r>
          </w:p>
        </w:tc>
        <w:tc>
          <w:tcPr>
            <w:tcW w:w="2672" w:type="dxa"/>
            <w:vAlign w:val="center"/>
          </w:tcPr>
          <w:p w14:paraId="5AB1827D" w14:textId="77777777" w:rsidR="00FA01FB" w:rsidRPr="00362517" w:rsidRDefault="00FA01FB" w:rsidP="00BF6BC7">
            <w:pPr>
              <w:rPr>
                <w:sz w:val="20"/>
                <w:szCs w:val="20"/>
              </w:rPr>
            </w:pPr>
            <w:r w:rsidRPr="00362517">
              <w:rPr>
                <w:sz w:val="20"/>
                <w:szCs w:val="20"/>
              </w:rPr>
              <w:t>Dealers would be required to keep records of RUP sales, including:</w:t>
            </w:r>
          </w:p>
          <w:p w14:paraId="5AB1827E" w14:textId="77777777" w:rsidR="00FA01FB" w:rsidRPr="00362517" w:rsidRDefault="00FA01FB" w:rsidP="00BF6BC7">
            <w:pPr>
              <w:numPr>
                <w:ilvl w:val="0"/>
                <w:numId w:val="12"/>
              </w:numPr>
              <w:rPr>
                <w:sz w:val="20"/>
                <w:szCs w:val="20"/>
              </w:rPr>
            </w:pPr>
            <w:r w:rsidRPr="00362517">
              <w:rPr>
                <w:sz w:val="20"/>
                <w:szCs w:val="20"/>
              </w:rPr>
              <w:t>product purchased</w:t>
            </w:r>
          </w:p>
          <w:p w14:paraId="5AB1827F" w14:textId="77777777" w:rsidR="00FA01FB" w:rsidRPr="00362517" w:rsidRDefault="00FA01FB" w:rsidP="00BF6BC7">
            <w:pPr>
              <w:numPr>
                <w:ilvl w:val="0"/>
                <w:numId w:val="12"/>
              </w:numPr>
              <w:rPr>
                <w:sz w:val="20"/>
                <w:szCs w:val="20"/>
              </w:rPr>
            </w:pPr>
            <w:r w:rsidRPr="00362517">
              <w:rPr>
                <w:sz w:val="20"/>
                <w:szCs w:val="20"/>
              </w:rPr>
              <w:t>who purchased</w:t>
            </w:r>
          </w:p>
          <w:p w14:paraId="5AB18280" w14:textId="77777777" w:rsidR="00FA01FB" w:rsidRPr="00362517" w:rsidRDefault="00FA01FB" w:rsidP="00BF6BC7">
            <w:pPr>
              <w:numPr>
                <w:ilvl w:val="0"/>
                <w:numId w:val="12"/>
              </w:numPr>
              <w:rPr>
                <w:sz w:val="20"/>
                <w:szCs w:val="20"/>
              </w:rPr>
            </w:pPr>
            <w:r w:rsidRPr="00362517">
              <w:rPr>
                <w:sz w:val="20"/>
                <w:szCs w:val="20"/>
              </w:rPr>
              <w:t>date of purchase</w:t>
            </w:r>
          </w:p>
          <w:p w14:paraId="5AB18281" w14:textId="77777777" w:rsidR="00FA01FB" w:rsidRPr="00362517" w:rsidRDefault="00FA01FB" w:rsidP="00BF6BC7">
            <w:pPr>
              <w:numPr>
                <w:ilvl w:val="0"/>
                <w:numId w:val="12"/>
              </w:numPr>
              <w:rPr>
                <w:sz w:val="20"/>
                <w:szCs w:val="20"/>
              </w:rPr>
            </w:pPr>
            <w:r w:rsidRPr="00362517">
              <w:rPr>
                <w:sz w:val="20"/>
                <w:szCs w:val="20"/>
              </w:rPr>
              <w:t>applicator’s certification   information</w:t>
            </w:r>
          </w:p>
        </w:tc>
        <w:tc>
          <w:tcPr>
            <w:tcW w:w="2942" w:type="dxa"/>
            <w:vAlign w:val="center"/>
          </w:tcPr>
          <w:p w14:paraId="5AB18282" w14:textId="77777777" w:rsidR="00A348FE" w:rsidRPr="00362517" w:rsidRDefault="00A348FE" w:rsidP="00BF6BC7">
            <w:pPr>
              <w:rPr>
                <w:sz w:val="20"/>
                <w:szCs w:val="20"/>
              </w:rPr>
            </w:pPr>
            <w:r w:rsidRPr="00362517">
              <w:rPr>
                <w:sz w:val="20"/>
                <w:szCs w:val="20"/>
              </w:rPr>
              <w:t>Dealers will be required to keep records of RUP sales, including:</w:t>
            </w:r>
          </w:p>
          <w:p w14:paraId="5AB18283" w14:textId="77777777" w:rsidR="00A348FE" w:rsidRPr="00362517" w:rsidRDefault="00A348FE" w:rsidP="00BF6BC7">
            <w:pPr>
              <w:numPr>
                <w:ilvl w:val="0"/>
                <w:numId w:val="12"/>
              </w:numPr>
              <w:rPr>
                <w:sz w:val="20"/>
                <w:szCs w:val="20"/>
              </w:rPr>
            </w:pPr>
            <w:r w:rsidRPr="00362517">
              <w:rPr>
                <w:sz w:val="20"/>
                <w:szCs w:val="20"/>
              </w:rPr>
              <w:t>product name and EPA registration number of purchase</w:t>
            </w:r>
          </w:p>
          <w:p w14:paraId="5AB18284" w14:textId="77777777" w:rsidR="00A348FE" w:rsidRPr="00362517" w:rsidRDefault="00A348FE" w:rsidP="00BF6BC7">
            <w:pPr>
              <w:numPr>
                <w:ilvl w:val="0"/>
                <w:numId w:val="12"/>
              </w:numPr>
              <w:rPr>
                <w:sz w:val="20"/>
                <w:szCs w:val="20"/>
              </w:rPr>
            </w:pPr>
            <w:r w:rsidRPr="00362517">
              <w:rPr>
                <w:sz w:val="20"/>
                <w:szCs w:val="20"/>
              </w:rPr>
              <w:t xml:space="preserve"> quantity purchased</w:t>
            </w:r>
          </w:p>
          <w:p w14:paraId="5AB18285" w14:textId="77777777" w:rsidR="00A348FE" w:rsidRPr="00362517" w:rsidRDefault="00A348FE" w:rsidP="00BF6BC7">
            <w:pPr>
              <w:numPr>
                <w:ilvl w:val="0"/>
                <w:numId w:val="12"/>
              </w:numPr>
              <w:rPr>
                <w:sz w:val="20"/>
                <w:szCs w:val="20"/>
              </w:rPr>
            </w:pPr>
            <w:r w:rsidRPr="00362517">
              <w:rPr>
                <w:sz w:val="20"/>
                <w:szCs w:val="20"/>
              </w:rPr>
              <w:t>date of purchase</w:t>
            </w:r>
          </w:p>
          <w:p w14:paraId="5AB18286" w14:textId="77777777" w:rsidR="00A348FE" w:rsidRPr="00362517" w:rsidRDefault="00A348FE" w:rsidP="00BF6BC7">
            <w:pPr>
              <w:numPr>
                <w:ilvl w:val="0"/>
                <w:numId w:val="12"/>
              </w:numPr>
              <w:rPr>
                <w:sz w:val="20"/>
                <w:szCs w:val="20"/>
              </w:rPr>
            </w:pPr>
            <w:r w:rsidRPr="00362517">
              <w:rPr>
                <w:sz w:val="20"/>
                <w:szCs w:val="20"/>
              </w:rPr>
              <w:t xml:space="preserve">name and address of the certified applicator </w:t>
            </w:r>
          </w:p>
          <w:p w14:paraId="5AB18287" w14:textId="77777777" w:rsidR="00FA01FB" w:rsidRPr="00362517" w:rsidRDefault="00A348FE" w:rsidP="00BF6BC7">
            <w:pPr>
              <w:numPr>
                <w:ilvl w:val="0"/>
                <w:numId w:val="12"/>
              </w:numPr>
              <w:rPr>
                <w:sz w:val="20"/>
                <w:szCs w:val="20"/>
              </w:rPr>
            </w:pPr>
            <w:r w:rsidRPr="00362517">
              <w:rPr>
                <w:sz w:val="20"/>
                <w:szCs w:val="20"/>
              </w:rPr>
              <w:t>applicator’s certification information</w:t>
            </w:r>
          </w:p>
        </w:tc>
      </w:tr>
    </w:tbl>
    <w:p w14:paraId="5AB18289" w14:textId="77777777" w:rsidR="00FA01FB" w:rsidRPr="00362517" w:rsidRDefault="00FA01FB" w:rsidP="00BF6BC7">
      <w:pPr>
        <w:pStyle w:val="BodyText"/>
      </w:pPr>
    </w:p>
    <w:p w14:paraId="5AB1828A" w14:textId="77777777" w:rsidR="00FA01FB" w:rsidRPr="00362517" w:rsidRDefault="00FA01FB" w:rsidP="00BF6BC7">
      <w:pPr>
        <w:pStyle w:val="BodyText"/>
      </w:pPr>
      <w:r w:rsidRPr="00362517">
        <w:t xml:space="preserve">Under the final rule, all dealers of RUPs to both private and commercial applicators </w:t>
      </w:r>
      <w:r w:rsidR="00710988" w:rsidRPr="00362517">
        <w:t>will</w:t>
      </w:r>
      <w:r w:rsidRPr="00362517">
        <w:t xml:space="preserve"> be required by the </w:t>
      </w:r>
      <w:r w:rsidR="0044554B" w:rsidRPr="00362517">
        <w:t>certifying authorities</w:t>
      </w:r>
      <w:r w:rsidRPr="00362517">
        <w:t xml:space="preserve"> to keep records of RUP sales, including information on what RUP was </w:t>
      </w:r>
      <w:r w:rsidR="00A348FE" w:rsidRPr="00362517">
        <w:t>purchased, the date of purchase, the identity of the purchaser, as well as information verifying the applicator’s certification is appropriate to purchase the RUP.  All 50 states currently have recordkeeping requirements, but the rule will clarify the required content of the records.  These records must be retained for 2 years and made available for authorized officials for inspection and investigation in the case of incidents involving RUPs.</w:t>
      </w:r>
    </w:p>
    <w:p w14:paraId="5AB1828B" w14:textId="77777777" w:rsidR="00FA01FB" w:rsidRPr="00362517" w:rsidRDefault="00FA01FB" w:rsidP="00BF6BC7">
      <w:pPr>
        <w:pStyle w:val="BodyText"/>
      </w:pPr>
    </w:p>
    <w:p w14:paraId="5AB1828C" w14:textId="77777777" w:rsidR="00FA01FB" w:rsidRPr="00362517" w:rsidRDefault="00FA01FB" w:rsidP="00BF6BC7">
      <w:pPr>
        <w:pStyle w:val="BodyText"/>
      </w:pPr>
      <w:r w:rsidRPr="00362517">
        <w:t xml:space="preserve">Implementation of the rule means that States, Tribes, Territories and Federal agencies will engage in several activities to comply with changes elsewhere in the rule.  These </w:t>
      </w:r>
      <w:r w:rsidR="00710988" w:rsidRPr="00362517">
        <w:t>will</w:t>
      </w:r>
      <w:r w:rsidRPr="00362517">
        <w:t xml:space="preserve"> include the certifying </w:t>
      </w:r>
      <w:r w:rsidR="00A348FE" w:rsidRPr="00362517">
        <w:t xml:space="preserve">authorities </w:t>
      </w:r>
      <w:r w:rsidRPr="00362517">
        <w:t xml:space="preserve">revising regulations and making any required enabling legislative changes that </w:t>
      </w:r>
      <w:r w:rsidR="00710988" w:rsidRPr="00362517">
        <w:t>will</w:t>
      </w:r>
      <w:r w:rsidRPr="00362517">
        <w:t xml:space="preserve"> be necessary to bring their certification programs into compliance with final requirements as a consequence of the rule changes.  They </w:t>
      </w:r>
      <w:r w:rsidR="00710988" w:rsidRPr="00362517">
        <w:t>will</w:t>
      </w:r>
      <w:r w:rsidRPr="00362517">
        <w:t xml:space="preserve"> also include the process of updating their required certification plans that must be revised and submitted to the EPA as a consequence of the rule changes.  The Federal agencies and EPA </w:t>
      </w:r>
      <w:r w:rsidR="00710988" w:rsidRPr="00362517">
        <w:t>will</w:t>
      </w:r>
      <w:r w:rsidRPr="00362517">
        <w:t xml:space="preserve"> need to revise their plans and programs as a consequence of the rule changes.  EPA </w:t>
      </w:r>
      <w:r w:rsidR="00710988" w:rsidRPr="00362517">
        <w:t>will</w:t>
      </w:r>
      <w:r w:rsidRPr="00362517">
        <w:t xml:space="preserve"> also need to review and approve all of the revised certification plans that </w:t>
      </w:r>
      <w:r w:rsidR="00710988" w:rsidRPr="00362517">
        <w:t>will</w:t>
      </w:r>
      <w:r w:rsidRPr="00362517">
        <w:t xml:space="preserve"> be submitted to the Agency as a result of the final rule changes.  More information on all of these administrative requirements that </w:t>
      </w:r>
      <w:r w:rsidR="00710988" w:rsidRPr="00362517">
        <w:t>will</w:t>
      </w:r>
      <w:r w:rsidRPr="00362517">
        <w:t xml:space="preserve"> be necessary can be found in the preamble to the final rule (Units XV, XVI, and X</w:t>
      </w:r>
      <w:r w:rsidR="00A21245" w:rsidRPr="00362517">
        <w:t>VII</w:t>
      </w:r>
      <w:r w:rsidRPr="00362517">
        <w:t>, respectively).</w:t>
      </w:r>
    </w:p>
    <w:p w14:paraId="5AB1828D" w14:textId="77777777" w:rsidR="00FA01FB" w:rsidRPr="00362517" w:rsidRDefault="00FA01FB" w:rsidP="00BF6BC7">
      <w:pPr>
        <w:pStyle w:val="BodyText"/>
      </w:pPr>
    </w:p>
    <w:p w14:paraId="5AB1828E" w14:textId="77777777" w:rsidR="00FA01FB" w:rsidRPr="00362517" w:rsidRDefault="00FA01FB" w:rsidP="00BF6BC7">
      <w:pPr>
        <w:pStyle w:val="BodyText"/>
      </w:pPr>
      <w:r w:rsidRPr="00362517">
        <w:t xml:space="preserve">There are other administrative requirements that </w:t>
      </w:r>
      <w:r w:rsidR="00710988" w:rsidRPr="00362517">
        <w:t>will</w:t>
      </w:r>
      <w:r w:rsidRPr="00362517">
        <w:t xml:space="preserve"> be imposed by the final rule that </w:t>
      </w:r>
      <w:r w:rsidR="00710988" w:rsidRPr="00362517">
        <w:t>will</w:t>
      </w:r>
      <w:r w:rsidRPr="00362517">
        <w:t xml:space="preserve"> be required to implement the rule changes that will not be discussed in detail here.  These include definitional changes that </w:t>
      </w:r>
      <w:r w:rsidR="00710988" w:rsidRPr="00362517">
        <w:t>will</w:t>
      </w:r>
      <w:r w:rsidRPr="00362517">
        <w:t xml:space="preserve"> clarify terms used in the regulation, and revisions that </w:t>
      </w:r>
      <w:r w:rsidR="00710988" w:rsidRPr="00362517">
        <w:t>will</w:t>
      </w:r>
      <w:r w:rsidRPr="00362517">
        <w:t xml:space="preserve"> clarify requirements for the content, submission and approval of certification plans by states, tribes, and federal agencies. Information on these requirements can also be found in the preamble to the final rule (Units X</w:t>
      </w:r>
      <w:r w:rsidR="00A21245" w:rsidRPr="00362517">
        <w:t>I</w:t>
      </w:r>
      <w:r w:rsidRPr="00362517">
        <w:t>X, XV, and XVII, respectively).</w:t>
      </w:r>
    </w:p>
    <w:p w14:paraId="5AB1828F" w14:textId="77777777" w:rsidR="00FA01FB" w:rsidRPr="00362517" w:rsidRDefault="00FA01FB" w:rsidP="00BF6BC7">
      <w:pPr>
        <w:spacing w:after="160" w:line="259" w:lineRule="auto"/>
      </w:pPr>
    </w:p>
    <w:p w14:paraId="5AB18290" w14:textId="77777777" w:rsidR="00FA01FB" w:rsidRPr="00362517" w:rsidRDefault="00FA01FB" w:rsidP="00BF6BC7">
      <w:pPr>
        <w:spacing w:after="160" w:line="259" w:lineRule="auto"/>
      </w:pPr>
    </w:p>
    <w:p w14:paraId="5AB18291" w14:textId="77777777" w:rsidR="00FA01FB" w:rsidRPr="00362517" w:rsidRDefault="00FA01FB" w:rsidP="00BF6BC7">
      <w:pPr>
        <w:spacing w:after="160" w:line="259" w:lineRule="auto"/>
      </w:pPr>
    </w:p>
    <w:p w14:paraId="5AB18292" w14:textId="77777777" w:rsidR="00FA01FB" w:rsidRPr="00362517" w:rsidRDefault="00FA01FB" w:rsidP="00BF6BC7">
      <w:pPr>
        <w:spacing w:after="160" w:line="259" w:lineRule="auto"/>
      </w:pPr>
      <w:r w:rsidRPr="00362517">
        <w:br w:type="page"/>
      </w:r>
    </w:p>
    <w:p w14:paraId="5AB18293" w14:textId="77777777" w:rsidR="00146D8E" w:rsidRPr="00362517" w:rsidRDefault="00146D8E" w:rsidP="00BF6BC7">
      <w:pPr>
        <w:keepNext/>
        <w:spacing w:before="240" w:after="60"/>
        <w:outlineLvl w:val="0"/>
        <w:rPr>
          <w:b/>
          <w:bCs/>
          <w:kern w:val="32"/>
          <w:sz w:val="32"/>
          <w:szCs w:val="32"/>
        </w:rPr>
      </w:pPr>
      <w:bookmarkStart w:id="79" w:name="_Toc395177706"/>
      <w:bookmarkStart w:id="80" w:name="_Toc452020133"/>
      <w:bookmarkStart w:id="81" w:name="_Toc468872072"/>
      <w:r w:rsidRPr="00362517">
        <w:rPr>
          <w:b/>
          <w:bCs/>
          <w:kern w:val="32"/>
          <w:sz w:val="32"/>
          <w:szCs w:val="32"/>
        </w:rPr>
        <w:lastRenderedPageBreak/>
        <w:t>Chapter 3.  Cost Assessment, Regulatory Options</w:t>
      </w:r>
      <w:bookmarkEnd w:id="79"/>
      <w:bookmarkEnd w:id="80"/>
      <w:bookmarkEnd w:id="81"/>
    </w:p>
    <w:p w14:paraId="5AB18294" w14:textId="77777777" w:rsidR="00146D8E" w:rsidRPr="00362517" w:rsidRDefault="00146D8E" w:rsidP="00BF6BC7"/>
    <w:p w14:paraId="5AB18295" w14:textId="77777777" w:rsidR="00146D8E" w:rsidRPr="00362517" w:rsidRDefault="00146D8E" w:rsidP="00BF6BC7"/>
    <w:p w14:paraId="54E08E36" w14:textId="77777777" w:rsidR="00D8365A" w:rsidRPr="00362517" w:rsidRDefault="00D8365A" w:rsidP="00BF6BC7">
      <w:bookmarkStart w:id="82" w:name="_Toc393400036"/>
      <w:bookmarkStart w:id="83" w:name="_Toc395177733"/>
      <w:bookmarkStart w:id="84" w:name="_Toc410807812"/>
      <w:r w:rsidRPr="00362517">
        <w:t xml:space="preserve">This chapter presents EPA’s estimates of the cost of changes to Certification of Pesticide Applicators rule (C&amp;T) requirements in 40 CFR 171.  We estimate the compliance cost of the final requirements and compare it to the cost of the current requirements.  The difference between the two sets of costs is the incremental cost attributable to the individual requirement.  </w:t>
      </w:r>
    </w:p>
    <w:p w14:paraId="45BC8C8D" w14:textId="77777777" w:rsidR="00D8365A" w:rsidRPr="00362517" w:rsidRDefault="00D8365A" w:rsidP="00BF6BC7">
      <w:pPr>
        <w:rPr>
          <w:sz w:val="22"/>
          <w:szCs w:val="22"/>
        </w:rPr>
      </w:pPr>
    </w:p>
    <w:p w14:paraId="6D68DC61" w14:textId="77777777" w:rsidR="00D8365A" w:rsidRPr="00362517" w:rsidRDefault="00D8365A" w:rsidP="00BF6BC7">
      <w:pPr>
        <w:pStyle w:val="Heading2"/>
      </w:pPr>
      <w:bookmarkStart w:id="85" w:name="_Toc395177707"/>
      <w:bookmarkStart w:id="86" w:name="_Toc395788097"/>
      <w:bookmarkStart w:id="87" w:name="_Toc396483153"/>
      <w:bookmarkStart w:id="88" w:name="_Toc452020134"/>
      <w:bookmarkStart w:id="89" w:name="_Toc456270157"/>
      <w:bookmarkStart w:id="90" w:name="_Toc468872073"/>
      <w:r w:rsidRPr="00362517">
        <w:t>3.1</w:t>
      </w:r>
      <w:r w:rsidRPr="00362517">
        <w:tab/>
        <w:t>Overview</w:t>
      </w:r>
      <w:bookmarkEnd w:id="85"/>
      <w:bookmarkEnd w:id="86"/>
      <w:bookmarkEnd w:id="87"/>
      <w:bookmarkEnd w:id="88"/>
      <w:bookmarkEnd w:id="89"/>
      <w:bookmarkEnd w:id="90"/>
    </w:p>
    <w:p w14:paraId="6ADB694D" w14:textId="77777777" w:rsidR="00D8365A" w:rsidRPr="00362517" w:rsidRDefault="00D8365A" w:rsidP="00BF6BC7"/>
    <w:p w14:paraId="7E6396BF" w14:textId="77777777" w:rsidR="00D8365A" w:rsidRPr="00362517" w:rsidRDefault="00D8365A" w:rsidP="00BF6BC7">
      <w:r w:rsidRPr="00362517">
        <w:t>The final rule will impose costs on certified applicators, noncertified applicators working under the direct supervision of certified applicators, pesticide dealers, and pesticide manufacturers.  Certifying authorities will also be impacted by individual requirements as they employ certified applicators and will be required to incorporate any new requirements into state law and carry out the certification and training requirements of the final rule.</w:t>
      </w:r>
    </w:p>
    <w:p w14:paraId="4D9B0D41" w14:textId="77777777" w:rsidR="00D8365A" w:rsidRPr="00362517" w:rsidRDefault="00D8365A" w:rsidP="00BF6BC7"/>
    <w:p w14:paraId="505857CB" w14:textId="3FC5B11B" w:rsidR="00D8365A" w:rsidRPr="00362517" w:rsidRDefault="00D8365A" w:rsidP="00BF6BC7">
      <w:r w:rsidRPr="00362517">
        <w:t xml:space="preserve">The final revisions to the rule will require employers of certified applicators and individuals certified as applicators to devote time and resources to the certification and training of using RUPs, as well as time and resources to the training of noncertified applicators applying RUPs under their direct supervision.  In analyzing the cost of these requirements, EPA values the </w:t>
      </w:r>
      <w:r w:rsidR="00DC73A6">
        <w:t xml:space="preserve">average </w:t>
      </w:r>
      <w:r w:rsidRPr="00362517">
        <w:t>time spent in required activities at the wage rate of the individual(s) involved in the task because the requirements implicitly take time from the productive activities of the operation or individual.  Some requirements will also require expenditures on travel and materials.</w:t>
      </w:r>
    </w:p>
    <w:p w14:paraId="682CF723" w14:textId="77777777" w:rsidR="00D8365A" w:rsidRPr="00362517" w:rsidRDefault="00D8365A" w:rsidP="00BF6BC7"/>
    <w:p w14:paraId="2011E53D" w14:textId="3B14DF44" w:rsidR="00D8365A" w:rsidRDefault="00D8365A" w:rsidP="00BF6BC7">
      <w:r w:rsidRPr="00362517">
        <w:t xml:space="preserve">Section 3.2 describes the general methodology of cost estimation.  Estimations are conducted at the level of the certifying authority, or jurisdiction, to account for variation in existing certification programs.  In section 3.3, the jurisdiction-level data are presented.  Section 3.4 presents the results of cost analysis.  The section is further divided into subsections, in which costs of different components of the final rule are assessed: 3.4.1 private applicator general competency requirements; 3.4.2 addition of categories for commercial and private applicators; 3.4.3 exam or training requirements; 3.4.4 standard for the supervision of noncertified applicators; 3.4.5 minimum age requirements for certified applicators and noncertified applicators under the direct supervision of certified applicators; 3.4.6 recertification requirements for certified applicators; 3.4.7 general administration requirements.  Section 3.5 sums the various costs to private and commercial applicators and to state/jurisdictions to estimate the total cost of final rule.  In section 3.6, impacts on jobs and employment are discussed, and in section 3.7, small business impacts are assessed.  </w:t>
      </w:r>
    </w:p>
    <w:p w14:paraId="2AC5F617" w14:textId="77777777" w:rsidR="00B453FE" w:rsidRPr="00362517" w:rsidRDefault="00B453FE" w:rsidP="00BF6BC7"/>
    <w:p w14:paraId="699421BC" w14:textId="229A85EC" w:rsidR="00D8365A" w:rsidRDefault="00B453FE" w:rsidP="00BF6BC7">
      <w:r w:rsidRPr="00B453FE">
        <w:t>EPA’s cost analysis is generally based on a conservative methodology that tends to overestimate the cost of the rule</w:t>
      </w:r>
      <w:r>
        <w:t>, as explained in this chapter</w:t>
      </w:r>
      <w:r w:rsidRPr="00B453FE">
        <w:t xml:space="preserve">.  However, </w:t>
      </w:r>
      <w:r>
        <w:t xml:space="preserve">because of </w:t>
      </w:r>
      <w:r w:rsidRPr="00B453FE">
        <w:t xml:space="preserve">uncertainties </w:t>
      </w:r>
      <w:r>
        <w:t xml:space="preserve">in the estimation, </w:t>
      </w:r>
      <w:r w:rsidRPr="00B453FE">
        <w:t xml:space="preserve">some costs estimated in its </w:t>
      </w:r>
      <w:r w:rsidR="000C0407">
        <w:t>E</w:t>
      </w:r>
      <w:r w:rsidRPr="00B453FE">
        <w:t xml:space="preserve">conomic </w:t>
      </w:r>
      <w:r w:rsidR="000C0407">
        <w:t>A</w:t>
      </w:r>
      <w:r w:rsidRPr="00B453FE">
        <w:t>nalysis may represent underestimates</w:t>
      </w:r>
      <w:r w:rsidR="00DA0641">
        <w:t>.</w:t>
      </w:r>
      <w:r w:rsidR="00C71268">
        <w:t xml:space="preserve"> </w:t>
      </w:r>
      <w:r w:rsidR="00C71268" w:rsidRPr="00C71268">
        <w:t xml:space="preserve">Actions attributed to this rule could also be provided by state programs in the absence of federal action.  If more states – in addition to those that have already adopted requirements comparable to those in this rule </w:t>
      </w:r>
      <w:r w:rsidR="008168CD" w:rsidRPr="00C71268">
        <w:t>–</w:t>
      </w:r>
      <w:r w:rsidR="008168CD">
        <w:t xml:space="preserve"> </w:t>
      </w:r>
      <w:r w:rsidR="00C71268" w:rsidRPr="00C71268">
        <w:t xml:space="preserve">were to pursue improvements in certification standards on their own without the rule, then the benefits and costs attributed to this rulemaking may be overestimated.  However, as is standard practice for the evaluation of federal regulations, the Economic Analysis </w:t>
      </w:r>
      <w:r w:rsidR="00C71268" w:rsidRPr="00C71268">
        <w:lastRenderedPageBreak/>
        <w:t xml:space="preserve">reflects the anticipated impacts of the federal requirements irrespective of whether individual states might adopt similar requirements on their own initiative.  </w:t>
      </w:r>
      <w:r w:rsidR="00DA0641" w:rsidRPr="00DA0641">
        <w:t xml:space="preserve">EPA received comments on several areas in the analysis where cost estimates may be underestimated, including combining several jurisdictions into one “Other” category, the cost of updating tracking databases, failure rates for exam takers, the time spent studying while in training programs that do not have exams, the cost of travel time, and the time spent by government employees preparing for training or examination sections.  In some cases, EPA was provided with information from States about costs, for example the cost of updating and maintaining tracking databases, travel time, and the amount of time people study during training programs.  The information from States was based on the requirements in the proposed rule, but was consistent with EPA estimates based on the requirements in the final rule.  Further discussion of these costs is provide in Appendix A.       </w:t>
      </w:r>
    </w:p>
    <w:p w14:paraId="6E886F2A" w14:textId="3BAB7589" w:rsidR="006D7B3A" w:rsidRDefault="006D7B3A" w:rsidP="00BF6BC7"/>
    <w:p w14:paraId="72DF1B8F" w14:textId="77777777" w:rsidR="00D8365A" w:rsidRPr="00362517" w:rsidRDefault="00D8365A" w:rsidP="00BF6BC7"/>
    <w:p w14:paraId="74313D39" w14:textId="77777777" w:rsidR="00D8365A" w:rsidRPr="00362517" w:rsidRDefault="00D8365A" w:rsidP="00BF6BC7">
      <w:pPr>
        <w:pStyle w:val="Heading2"/>
      </w:pPr>
      <w:bookmarkStart w:id="91" w:name="_Toc395177708"/>
      <w:bookmarkStart w:id="92" w:name="_Toc395788098"/>
      <w:bookmarkStart w:id="93" w:name="_Toc396483154"/>
      <w:bookmarkStart w:id="94" w:name="_Toc452020135"/>
      <w:bookmarkStart w:id="95" w:name="_Toc456270158"/>
      <w:bookmarkStart w:id="96" w:name="_Toc468872074"/>
      <w:r w:rsidRPr="00362517">
        <w:t>3.2</w:t>
      </w:r>
      <w:r w:rsidRPr="00362517">
        <w:tab/>
        <w:t>Methodology</w:t>
      </w:r>
      <w:bookmarkEnd w:id="91"/>
      <w:bookmarkEnd w:id="92"/>
      <w:bookmarkEnd w:id="93"/>
      <w:bookmarkEnd w:id="94"/>
      <w:bookmarkEnd w:id="95"/>
      <w:bookmarkEnd w:id="96"/>
    </w:p>
    <w:p w14:paraId="2006B2B6" w14:textId="77777777" w:rsidR="00D8365A" w:rsidRPr="00362517" w:rsidRDefault="00D8365A" w:rsidP="00BF6BC7"/>
    <w:p w14:paraId="3C02C576" w14:textId="77777777" w:rsidR="00D8365A" w:rsidRPr="00362517" w:rsidRDefault="00D8365A" w:rsidP="00BF6BC7">
      <w:r w:rsidRPr="00362517">
        <w:t>This section of the cost analysis presents the methodology used to evaluate the expected impacts of the revised certification and training requirements at the actor level (typically a certified applicator, a noncertified applicator working under the direct supervision of a certified applicator, or a state government employee) and extrapolates to the jurisdiction (state, tribe, or territory) and national levels.  Note that this unit of analysis is not equivalent to who bears the burden of the cost.  In particular, a certified applicator may be an employer, an employee, or self-employed.  A self-employed applicator bears the cost him or herself, while an employee may pass some or all costs on to the employer.</w:t>
      </w:r>
    </w:p>
    <w:p w14:paraId="515E156F" w14:textId="77777777" w:rsidR="00D8365A" w:rsidRPr="00362517" w:rsidRDefault="00D8365A" w:rsidP="00BF6BC7"/>
    <w:p w14:paraId="21692DCD" w14:textId="77777777" w:rsidR="00D8365A" w:rsidRPr="00362517" w:rsidRDefault="00D8365A" w:rsidP="00BF6BC7">
      <w:pPr>
        <w:pStyle w:val="Heading3"/>
      </w:pPr>
      <w:bookmarkStart w:id="97" w:name="_Toc395788099"/>
      <w:bookmarkStart w:id="98" w:name="_Toc396483155"/>
      <w:bookmarkStart w:id="99" w:name="_Toc452020136"/>
      <w:bookmarkStart w:id="100" w:name="_Toc456270159"/>
      <w:bookmarkStart w:id="101" w:name="_Toc468872075"/>
      <w:r w:rsidRPr="00362517">
        <w:t>3.2.1</w:t>
      </w:r>
      <w:r w:rsidRPr="00362517">
        <w:tab/>
        <w:t>General Methodology</w:t>
      </w:r>
      <w:bookmarkEnd w:id="97"/>
      <w:bookmarkEnd w:id="98"/>
      <w:bookmarkEnd w:id="99"/>
      <w:bookmarkEnd w:id="100"/>
      <w:bookmarkEnd w:id="101"/>
    </w:p>
    <w:p w14:paraId="5B0EC938" w14:textId="77777777" w:rsidR="00D8365A" w:rsidRPr="00362517" w:rsidRDefault="00D8365A" w:rsidP="00BF6BC7"/>
    <w:p w14:paraId="614A4893" w14:textId="1F3A935F" w:rsidR="00D8365A" w:rsidRPr="00362517" w:rsidRDefault="00D8365A" w:rsidP="00BF6BC7">
      <w:r w:rsidRPr="00362517">
        <w:t>EPA’s approach consists of six steps.  The first two steps calculate the baseline cost and the associated cost per actor or ‘unit costs’ of each change in certification requirements.  These costs are estimated by actor, where actors are typically certified applicators, either commercial or private, noncertified applicators working under the direct supervision of a certified applicator, and state governments, depending on who will be implicated by a requirement or aspect of a requirement.  These costs are a function of the labor costs to conduct an activity and any required material costs.  As noted above, costs are generally a function of the</w:t>
      </w:r>
      <w:r w:rsidR="00DC73A6">
        <w:t xml:space="preserve"> average</w:t>
      </w:r>
      <w:r w:rsidRPr="00362517">
        <w:t xml:space="preserve"> time necessary to meet the requirement and the frequency at which it occurs.  Baseline requirements differ across the jurisdictions implementing certification programs where the jurisdictions consist of states, territories, tribes, and federal agencies, including EPA.</w:t>
      </w:r>
    </w:p>
    <w:p w14:paraId="79CF2A6E" w14:textId="77777777" w:rsidR="00D8365A" w:rsidRPr="00362517" w:rsidRDefault="00D8365A" w:rsidP="00BF6BC7"/>
    <w:p w14:paraId="1B9BC7E8" w14:textId="77777777" w:rsidR="00D8365A" w:rsidRPr="00362517" w:rsidRDefault="00D8365A" w:rsidP="00BF6BC7">
      <w:r w:rsidRPr="00362517">
        <w:t xml:space="preserve">The third step multiplies the unit costs by the number of actors in each jurisdiction and sums across the categories of actors to arrive at the jurisdiction-level cost of each requirement and the associated baseline regulatory costs.  In step four, we calculate the present value of each cost stream, and then in step five, we determine the incremental cost of the regulatory changes by taking the difference between the costs for the final requirements and the baselines at the jurisdiction level.  In step six, we then sum across jurisdictions to obtain an estimate of the national costs and determine the annualized value.    </w:t>
      </w:r>
    </w:p>
    <w:p w14:paraId="4250D231" w14:textId="77777777" w:rsidR="00D8365A" w:rsidRPr="00362517" w:rsidRDefault="00D8365A" w:rsidP="00BF6BC7"/>
    <w:p w14:paraId="319C8382" w14:textId="77777777" w:rsidR="00D8365A" w:rsidRPr="00362517" w:rsidRDefault="00D8365A" w:rsidP="00BF6BC7">
      <w:r w:rsidRPr="00362517">
        <w:t xml:space="preserve">To better compare the impacts across the various requirements and the flow of expected benefits, in step 4, EPA calculates the present value (PV) of jurisdiction and national costs over a ten-year time horizon.  The timing of the requirements depends on the activity that has to occur.  For example, the implementation of requirements will require the certifying authorities to review, revise current regulations and implement the revised regulations.  These costs will begin upon finalization of the rule.  Requirements on the applicators, however, will not be imposed until the state has revised its regulations and/or materials are developed for new training requirements.  The time horizon is of limited importance as most of the costs will occur annually.  Ten years was chosen because OMB suggests it as a way of more easily comparing the impact of rules across federal agencies.  We use a discount rate of three percent, to represent the social discount rate, and seven percent to represent the private discount rate as suggested by the EPA </w:t>
      </w:r>
      <w:r w:rsidRPr="00362517">
        <w:rPr>
          <w:i/>
        </w:rPr>
        <w:t>Guidelines for Preparing Economic Analyses</w:t>
      </w:r>
      <w:r w:rsidRPr="00362517">
        <w:t xml:space="preserve"> (EPA, 2010a). </w:t>
      </w:r>
    </w:p>
    <w:p w14:paraId="5C6DE6AB" w14:textId="77777777" w:rsidR="00D8365A" w:rsidRPr="00362517" w:rsidRDefault="00D8365A" w:rsidP="00BF6BC7"/>
    <w:p w14:paraId="7F372328" w14:textId="77777777" w:rsidR="00D8365A" w:rsidRPr="00362517" w:rsidRDefault="00D8365A" w:rsidP="00BF6BC7">
      <w:pPr>
        <w:spacing w:after="160" w:line="259" w:lineRule="auto"/>
      </w:pPr>
      <w:r w:rsidRPr="00362517">
        <w:t xml:space="preserve">Reflecting the public comments received on the proposal, the final rule allows jurisdictions a longer period (three years) to revise their certification programs than was proposed (two years).  The rule further allows states to delay implementing any changes for up to two years after EPA’s approval of the new programs.  As a result, full implementation could take three to seven years and vary considerably by state.  </w:t>
      </w:r>
      <w:r w:rsidRPr="00362517">
        <w:rPr>
          <w:iCs/>
        </w:rPr>
        <w:t xml:space="preserve">For the purpose of estimating the costs of the final revisions, EPA uses a two-year implementation period because </w:t>
      </w:r>
      <w:r w:rsidRPr="00362517">
        <w:t>it better reflects the costs applicators and small firms will bear</w:t>
      </w:r>
      <w:r w:rsidRPr="00362517">
        <w:rPr>
          <w:iCs/>
        </w:rPr>
        <w:t>.  Delaying the implementation has the apparent effect of reducing the industry cost because future costs are discounted.  However, this seeming reduction is misleading in terms of truly reflecting the impact on applicators and small firms.  Using a two-year implementation period results in an overestimation of jurisdictions’ annual implementation costs as discussed in Section 3.4.7.2</w:t>
      </w:r>
      <w:r w:rsidRPr="00362517">
        <w:t xml:space="preserve">.  </w:t>
      </w:r>
      <w:r w:rsidRPr="00362517">
        <w:rPr>
          <w:iCs/>
        </w:rPr>
        <w:t xml:space="preserve">  </w:t>
      </w:r>
    </w:p>
    <w:p w14:paraId="014CAB19" w14:textId="77777777" w:rsidR="00D8365A" w:rsidRPr="00362517" w:rsidRDefault="00D8365A" w:rsidP="00BF6BC7">
      <w:r w:rsidRPr="00362517">
        <w:t>The rest of this section presents the methodology in greater detail, including an example of the methodology applied to the creation of a new application category for commercial applicators applying RUPs by air.  Data that are commonly used throughout the estimation are discussed in Section 3.3.  Data that are specific to individual requirements are included in the discussion of the specific requirement.</w:t>
      </w:r>
    </w:p>
    <w:p w14:paraId="754C9168" w14:textId="77777777" w:rsidR="00D8365A" w:rsidRPr="00362517" w:rsidRDefault="00D8365A" w:rsidP="00BF6BC7"/>
    <w:p w14:paraId="15732CE2" w14:textId="2DCB2601" w:rsidR="00D8365A" w:rsidRPr="00362517" w:rsidRDefault="00D8365A" w:rsidP="00BF6BC7">
      <w:pPr>
        <w:keepNext/>
        <w:keepLines/>
      </w:pPr>
      <w:bookmarkStart w:id="102" w:name="OLE_LINK83"/>
      <w:bookmarkStart w:id="103" w:name="OLE_LINK82"/>
      <w:bookmarkStart w:id="104" w:name="OLE_LINK117"/>
      <w:bookmarkStart w:id="105" w:name="OLE_LINK114"/>
      <w:r w:rsidRPr="00362517">
        <w:rPr>
          <w:iCs/>
          <w:u w:val="single"/>
        </w:rPr>
        <w:t>Step 1.  Calculate Per-Actor Costs of the Jurisdiction Baselines</w:t>
      </w:r>
      <w:bookmarkEnd w:id="102"/>
      <w:bookmarkEnd w:id="103"/>
      <w:bookmarkEnd w:id="104"/>
      <w:bookmarkEnd w:id="105"/>
      <w:r w:rsidRPr="00362517">
        <w:rPr>
          <w:iCs/>
          <w:u w:val="single"/>
        </w:rPr>
        <w:t>.</w:t>
      </w:r>
      <w:r w:rsidRPr="00362517">
        <w:rPr>
          <w:iCs/>
        </w:rPr>
        <w:t xml:space="preserve">  For the purposes of cost analysis, EPA individually estimates costs for the 50 states and Puerto Rico.  The other certifying authorities are combined into a single group.  They include the District of Columbia, American Samoa, Guam, the Northern Marianas, the Republic of Palau, the Virgin Islands, the Cheyenne River Sioux, the Oglala Sioux, the Shoshone Bannock, Three Affiliated Tribes, and four federal agencies: the Departments of Defense, Interior, Energy, and Agriculture (which has separate programs for the Animal and Plant Health Inspection Service and the Forest Service).   </w:t>
      </w:r>
      <w:r w:rsidR="00060FB3" w:rsidRPr="00060FB3">
        <w:rPr>
          <w:iCs/>
        </w:rPr>
        <w:t>In addition, EPA administers two tribal programs: the Indian Country and the Navajo Nation certification plans</w:t>
      </w:r>
      <w:r w:rsidR="00060FB3">
        <w:rPr>
          <w:iCs/>
        </w:rPr>
        <w:t xml:space="preserve">.  </w:t>
      </w:r>
      <w:r w:rsidRPr="00362517">
        <w:rPr>
          <w:iCs/>
        </w:rPr>
        <w:t xml:space="preserve">Applicators for these tribes are granted certifications in the states where they work and are reported to CPARD by the states.  </w:t>
      </w:r>
      <w:r w:rsidR="00A300B8" w:rsidRPr="00645FB2">
        <w:t xml:space="preserve">Throughout the </w:t>
      </w:r>
      <w:r w:rsidR="00A300B8">
        <w:t>cost analysis, the above 17</w:t>
      </w:r>
      <w:r w:rsidR="00A300B8" w:rsidRPr="00645FB2">
        <w:t xml:space="preserve"> certifying authorities are grouped together in the “Other” category for the purposes of estimating costs of the requirements of the final rule.  </w:t>
      </w:r>
      <w:r w:rsidR="00A300B8">
        <w:t xml:space="preserve">These are small programs, in terms of the number of applicators they certify.  </w:t>
      </w:r>
      <w:r w:rsidR="00A300B8" w:rsidRPr="00645FB2">
        <w:t>The combined total number of certified applicators in this combined category is about 3,300, approximately the same number of certified applicators as West Virginia, the 9</w:t>
      </w:r>
      <w:r w:rsidR="00A300B8" w:rsidRPr="00645FB2">
        <w:rPr>
          <w:vertAlign w:val="superscript"/>
        </w:rPr>
        <w:t>th</w:t>
      </w:r>
      <w:r w:rsidR="00A300B8" w:rsidRPr="00645FB2">
        <w:t xml:space="preserve"> </w:t>
      </w:r>
      <w:r w:rsidR="007B0AF4">
        <w:t xml:space="preserve">lowest </w:t>
      </w:r>
      <w:r w:rsidR="00A300B8" w:rsidRPr="00645FB2">
        <w:t>in the U.S. in the total number of certified applicators.  Some of the jurisdictions, i.e., the Tribes, do not administer an entire certification program (develop and administer exams, conduct recertification sessions), rather they issue certifications based completely on a certification issued by a state, which is much less burdensome. It is not reasonable to assume that these jurisdictions will bear costs similar to states that operate much larger certification programs.  Based on these considerations, EPA believes the grouping of the 17 certifying authorities as one jurisdiction for the purposes of estimating costs is a reasonable approach.</w:t>
      </w:r>
      <w:r w:rsidR="00A300B8">
        <w:t xml:space="preserve">  </w:t>
      </w:r>
      <w:r w:rsidRPr="00362517">
        <w:rPr>
          <w:iCs/>
        </w:rPr>
        <w:t xml:space="preserve">This “jurisdiction” level approach is needed because different jurisdictions currently have different requirements (baselines) for certifying and recertifying their applicators.  </w:t>
      </w:r>
      <w:r w:rsidRPr="00362517">
        <w:t>We calculate the associated jurisdiction baseline cost of the existing regulatory requirement for each actor in each jurisdiction:</w:t>
      </w:r>
    </w:p>
    <w:p w14:paraId="7E8DA0E8" w14:textId="77777777" w:rsidR="00D8365A" w:rsidRPr="00362517" w:rsidRDefault="00D8365A" w:rsidP="00BF6BC7"/>
    <w:p w14:paraId="1A62D713" w14:textId="77777777" w:rsidR="00D8365A" w:rsidRPr="00362517" w:rsidRDefault="007B6E49" w:rsidP="00BF6BC7">
      <m:oMathPara>
        <m:oMath>
          <m:sSub>
            <m:sSubPr>
              <m:ctrlPr>
                <w:rPr>
                  <w:rFonts w:ascii="Cambria Math" w:hAnsi="Cambria Math"/>
                  <w:i/>
                </w:rPr>
              </m:ctrlPr>
            </m:sSubPr>
            <m:e>
              <m:sSup>
                <m:sSupPr>
                  <m:ctrlPr>
                    <w:rPr>
                      <w:rFonts w:ascii="Cambria Math" w:hAnsi="Cambria Math"/>
                      <w:i/>
                    </w:rPr>
                  </m:ctrlPr>
                </m:sSupPr>
                <m:e>
                  <m:sSub>
                    <m:sSubPr>
                      <m:ctrlPr>
                        <w:rPr>
                          <w:rFonts w:ascii="Cambria Math" w:hAnsi="Cambria Math"/>
                          <w:i/>
                        </w:rPr>
                      </m:ctrlPr>
                    </m:sSubPr>
                    <m:e>
                      <m:r>
                        <w:rPr>
                          <w:rFonts w:ascii="Cambria Math" w:hAnsi="Cambria Math"/>
                        </w:rPr>
                        <m:t>cost</m:t>
                      </m:r>
                    </m:e>
                    <m:sub>
                      <m:r>
                        <w:rPr>
                          <w:rFonts w:ascii="Cambria Math" w:hAnsi="Cambria Math"/>
                        </w:rPr>
                        <m:t>r,i,</m:t>
                      </m:r>
                      <m:r>
                        <m:rPr>
                          <m:nor/>
                        </m:rPr>
                        <w:rPr>
                          <w:rFonts w:ascii="Cambria Math" w:hAnsi="Cambria Math"/>
                        </w:rPr>
                        <m:t>a</m:t>
                      </m:r>
                    </m:sub>
                  </m:sSub>
                </m:e>
                <m:sup>
                  <m:r>
                    <w:rPr>
                      <w:rFonts w:ascii="Cambria Math" w:hAnsi="Cambria Math"/>
                    </w:rPr>
                    <m:t>B</m:t>
                  </m:r>
                </m:sup>
              </m:sSup>
            </m:e>
            <m:sub>
              <m:r>
                <w:rPr>
                  <w:rFonts w:ascii="Cambria Math" w:hAnsi="Cambria Math"/>
                </w:rPr>
                <m:t>t</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w</m:t>
                  </m:r>
                </m:e>
                <m:sub>
                  <m:r>
                    <m:rPr>
                      <m:nor/>
                    </m:rPr>
                    <w:rPr>
                      <w:rFonts w:ascii="Cambria Math" w:hAnsi="Cambria Math"/>
                    </w:rPr>
                    <m:t>a</m:t>
                  </m:r>
                </m:sub>
              </m:sSub>
              <m:r>
                <w:rPr>
                  <w:rFonts w:ascii="Cambria Math" w:hAnsi="Cambria Math"/>
                </w:rPr>
                <m:t>∙</m:t>
              </m:r>
              <m:sSub>
                <m:sSubPr>
                  <m:ctrlPr>
                    <w:rPr>
                      <w:rFonts w:ascii="Cambria Math" w:hAnsi="Cambria Math"/>
                      <w:i/>
                    </w:rPr>
                  </m:ctrlPr>
                </m:sSubPr>
                <m:e>
                  <m:sSup>
                    <m:sSupPr>
                      <m:ctrlPr>
                        <w:rPr>
                          <w:rFonts w:ascii="Cambria Math" w:hAnsi="Cambria Math"/>
                          <w:i/>
                        </w:rPr>
                      </m:ctrlPr>
                    </m:sSupPr>
                    <m:e>
                      <m:sSub>
                        <m:sSubPr>
                          <m:ctrlPr>
                            <w:rPr>
                              <w:rFonts w:ascii="Cambria Math" w:hAnsi="Cambria Math"/>
                              <w:i/>
                            </w:rPr>
                          </m:ctrlPr>
                        </m:sSubPr>
                        <m:e>
                          <m:r>
                            <w:rPr>
                              <w:rFonts w:ascii="Cambria Math" w:hAnsi="Cambria Math"/>
                            </w:rPr>
                            <m:t>H</m:t>
                          </m:r>
                        </m:e>
                        <m:sub>
                          <m:r>
                            <w:rPr>
                              <w:rFonts w:ascii="Cambria Math" w:hAnsi="Cambria Math"/>
                            </w:rPr>
                            <m:t>r,i,</m:t>
                          </m:r>
                          <m:r>
                            <m:rPr>
                              <m:nor/>
                            </m:rPr>
                            <w:rPr>
                              <w:rFonts w:ascii="Cambria Math" w:hAnsi="Cambria Math"/>
                            </w:rPr>
                            <m:t>a</m:t>
                          </m:r>
                          <m:r>
                            <w:rPr>
                              <w:rFonts w:ascii="Cambria Math" w:hAnsi="Cambria Math"/>
                            </w:rPr>
                            <m:t>,j</m:t>
                          </m:r>
                        </m:sub>
                      </m:sSub>
                    </m:e>
                    <m:sup>
                      <m:r>
                        <w:rPr>
                          <w:rFonts w:ascii="Cambria Math" w:hAnsi="Cambria Math"/>
                        </w:rPr>
                        <m:t>B</m:t>
                      </m:r>
                    </m:sup>
                  </m:sSup>
                </m:e>
                <m:sub>
                  <m:r>
                    <w:rPr>
                      <w:rFonts w:ascii="Cambria Math" w:hAnsi="Cambria Math"/>
                    </w:rPr>
                    <m:t>t</m:t>
                  </m:r>
                </m:sub>
              </m:sSub>
              <m:r>
                <w:rPr>
                  <w:rFonts w:ascii="Cambria Math" w:hAnsi="Cambria Math"/>
                </w:rPr>
                <m:t>∙</m:t>
              </m:r>
              <m:sSub>
                <m:sSubPr>
                  <m:ctrlPr>
                    <w:rPr>
                      <w:rFonts w:ascii="Cambria Math" w:hAnsi="Cambria Math"/>
                    </w:rPr>
                  </m:ctrlPr>
                </m:sSubPr>
                <m:e>
                  <m:r>
                    <m:rPr>
                      <m:nor/>
                    </m:rPr>
                    <w:rPr>
                      <w:rFonts w:ascii="Cambria Math" w:hAnsi="Cambria Math"/>
                    </w:rPr>
                    <m:t>Prob</m:t>
                  </m:r>
                </m:e>
                <m:sub>
                  <m:r>
                    <w:rPr>
                      <w:rFonts w:ascii="Cambria Math" w:hAnsi="Cambria Math"/>
                    </w:rPr>
                    <m:t>t</m:t>
                  </m:r>
                </m:sub>
              </m:sSub>
              <m:r>
                <w:rPr>
                  <w:rFonts w:ascii="Cambria Math" w:hAnsi="Cambria Math"/>
                </w:rPr>
                <m:t>(j|i)</m:t>
              </m:r>
            </m:e>
          </m:nary>
        </m:oMath>
      </m:oMathPara>
    </w:p>
    <w:p w14:paraId="5CE1B1DE" w14:textId="77777777" w:rsidR="00D8365A" w:rsidRPr="00362517" w:rsidRDefault="00D8365A" w:rsidP="00BF6BC7"/>
    <w:p w14:paraId="597173CE" w14:textId="5219683D" w:rsidR="00D8365A" w:rsidRPr="00362517" w:rsidRDefault="00D8365A" w:rsidP="00BF6BC7">
      <w:r w:rsidRPr="00362517">
        <w:t xml:space="preserve">where </w:t>
      </w:r>
      <w:r w:rsidRPr="00362517">
        <w:rPr>
          <w:i/>
        </w:rPr>
        <w:t>cost</w:t>
      </w:r>
      <w:r w:rsidRPr="00362517">
        <w:rPr>
          <w:i/>
          <w:vertAlign w:val="subscript"/>
        </w:rPr>
        <w:t>r,i,</w:t>
      </w:r>
      <w:r w:rsidRPr="00362517">
        <w:rPr>
          <w:vertAlign w:val="subscript"/>
        </w:rPr>
        <w:t>a</w:t>
      </w:r>
      <w:r w:rsidRPr="00362517">
        <w:rPr>
          <w:i/>
          <w:vertAlign w:val="superscript"/>
        </w:rPr>
        <w:t>B</w:t>
      </w:r>
      <w:r w:rsidRPr="00362517">
        <w:rPr>
          <w:i/>
          <w:vertAlign w:val="subscript"/>
        </w:rPr>
        <w:t>t</w:t>
      </w:r>
      <w:r w:rsidRPr="00362517">
        <w:t xml:space="preserve"> is the expected annual cost of the current requirement </w:t>
      </w:r>
      <w:r w:rsidRPr="00362517">
        <w:rPr>
          <w:i/>
          <w:iCs/>
        </w:rPr>
        <w:t>r</w:t>
      </w:r>
      <w:r w:rsidRPr="00362517">
        <w:t xml:space="preserve">, in jurisdiction </w:t>
      </w:r>
      <w:r w:rsidRPr="00362517">
        <w:rPr>
          <w:i/>
        </w:rPr>
        <w:t>i</w:t>
      </w:r>
      <w:r w:rsidRPr="00362517">
        <w:t xml:space="preserve">, for an actor, a, in time </w:t>
      </w:r>
      <w:r w:rsidRPr="00362517">
        <w:rPr>
          <w:i/>
        </w:rPr>
        <w:t>t</w:t>
      </w:r>
      <w:r w:rsidRPr="00362517">
        <w:t xml:space="preserve">; </w:t>
      </w:r>
      <w:r w:rsidRPr="00362517">
        <w:rPr>
          <w:i/>
        </w:rPr>
        <w:t>H</w:t>
      </w:r>
      <w:r w:rsidRPr="00362517">
        <w:rPr>
          <w:i/>
          <w:vertAlign w:val="subscript"/>
        </w:rPr>
        <w:t>r,i,</w:t>
      </w:r>
      <w:r w:rsidRPr="00362517">
        <w:rPr>
          <w:vertAlign w:val="subscript"/>
        </w:rPr>
        <w:t>a</w:t>
      </w:r>
      <w:r w:rsidRPr="00362517">
        <w:rPr>
          <w:i/>
          <w:vertAlign w:val="subscript"/>
        </w:rPr>
        <w:t>,j</w:t>
      </w:r>
      <w:r w:rsidRPr="00362517">
        <w:rPr>
          <w:i/>
          <w:vertAlign w:val="superscript"/>
        </w:rPr>
        <w:t>B</w:t>
      </w:r>
      <w:r w:rsidRPr="00362517">
        <w:rPr>
          <w:i/>
          <w:vertAlign w:val="subscript"/>
        </w:rPr>
        <w:t>t</w:t>
      </w:r>
      <w:r w:rsidRPr="00362517">
        <w:t xml:space="preserve"> is the</w:t>
      </w:r>
      <w:r w:rsidR="00DC73A6">
        <w:t xml:space="preserve"> average</w:t>
      </w:r>
      <w:r w:rsidRPr="00362517">
        <w:t xml:space="preserve"> time required for activity </w:t>
      </w:r>
      <w:r w:rsidRPr="00362517">
        <w:rPr>
          <w:i/>
          <w:iCs/>
        </w:rPr>
        <w:t>j</w:t>
      </w:r>
      <w:r w:rsidRPr="00362517">
        <w:t xml:space="preserve"> in time </w:t>
      </w:r>
      <w:r w:rsidRPr="00362517">
        <w:rPr>
          <w:i/>
        </w:rPr>
        <w:t>t</w:t>
      </w:r>
      <w:r w:rsidRPr="00362517">
        <w:t xml:space="preserve"> under the current requirement; </w:t>
      </w:r>
      <w:r w:rsidRPr="00362517">
        <w:rPr>
          <w:i/>
        </w:rPr>
        <w:t>w</w:t>
      </w:r>
      <w:r w:rsidRPr="00362517">
        <w:rPr>
          <w:vertAlign w:val="subscript"/>
        </w:rPr>
        <w:t>a</w:t>
      </w:r>
      <w:r w:rsidRPr="00362517">
        <w:t xml:space="preserve"> is the wage rate for the actor doing the activity; and Prob</w:t>
      </w:r>
      <w:r w:rsidRPr="00362517">
        <w:rPr>
          <w:i/>
          <w:vertAlign w:val="subscript"/>
        </w:rPr>
        <w:t>t</w:t>
      </w:r>
      <w:r w:rsidRPr="00362517">
        <w:t>(</w:t>
      </w:r>
      <w:r w:rsidRPr="00362517">
        <w:rPr>
          <w:i/>
        </w:rPr>
        <w:t>j</w:t>
      </w:r>
      <w:r w:rsidRPr="00362517">
        <w:t>|</w:t>
      </w:r>
      <w:r w:rsidRPr="00362517">
        <w:rPr>
          <w:i/>
        </w:rPr>
        <w:t>i</w:t>
      </w:r>
      <w:r w:rsidRPr="00362517">
        <w:t xml:space="preserve">) is the probability or frequency of activity </w:t>
      </w:r>
      <w:r w:rsidRPr="00362517">
        <w:rPr>
          <w:i/>
        </w:rPr>
        <w:t>j</w:t>
      </w:r>
      <w:r w:rsidRPr="00362517">
        <w:t xml:space="preserve"> in time </w:t>
      </w:r>
      <w:r w:rsidRPr="00362517">
        <w:rPr>
          <w:i/>
        </w:rPr>
        <w:t>t</w:t>
      </w:r>
      <w:r w:rsidRPr="00362517">
        <w:t xml:space="preserve"> given the jurisdiction.  The actor is generally the applicator, who is either obtaining or renewing certification and the activity may be preparing for an exam or taking a training.  </w:t>
      </w:r>
      <w:bookmarkStart w:id="106" w:name="OLE_LINK84"/>
      <w:r w:rsidRPr="00362517">
        <w:t xml:space="preserve">The probability or frequency is determined by the situation.  All first-time applicators must obtain initial certification (Prob = 1), while recertification requirements may be spread over a period of time, </w:t>
      </w:r>
      <w:r w:rsidRPr="00362517">
        <w:rPr>
          <w:i/>
        </w:rPr>
        <w:t>e.g.</w:t>
      </w:r>
      <w:r w:rsidRPr="00362517">
        <w:t>, a three-year cycle implies that one-third of the applicators seek recertification every year and/or applicators take about one-third of required training every year (Prob = 0.333).</w:t>
      </w:r>
    </w:p>
    <w:p w14:paraId="70747DB9" w14:textId="77777777" w:rsidR="00D8365A" w:rsidRPr="00362517" w:rsidRDefault="00D8365A" w:rsidP="00BF6BC7"/>
    <w:p w14:paraId="400824E2" w14:textId="77777777" w:rsidR="00D8365A" w:rsidRPr="00362517" w:rsidRDefault="00D8365A" w:rsidP="00BF6BC7">
      <w:r w:rsidRPr="00362517">
        <w:rPr>
          <w:u w:val="single"/>
        </w:rPr>
        <w:t>Step 2.  Calculate Per-Actor Costs of Final Requirement.</w:t>
      </w:r>
      <w:r w:rsidRPr="00362517">
        <w:t xml:space="preserve">  The expected cost of a final requirement is calculated as: </w:t>
      </w:r>
    </w:p>
    <w:p w14:paraId="137BC38D" w14:textId="77777777" w:rsidR="00D8365A" w:rsidRPr="00362517" w:rsidRDefault="00D8365A" w:rsidP="00BF6BC7"/>
    <w:p w14:paraId="0E09BCB6" w14:textId="77777777" w:rsidR="00D8365A" w:rsidRPr="00362517" w:rsidRDefault="007B6E49" w:rsidP="00BF6BC7">
      <m:oMathPara>
        <m:oMath>
          <m:sSub>
            <m:sSubPr>
              <m:ctrlPr>
                <w:rPr>
                  <w:rFonts w:ascii="Cambria Math" w:hAnsi="Cambria Math"/>
                  <w:i/>
                </w:rPr>
              </m:ctrlPr>
            </m:sSubPr>
            <m:e>
              <m:sSup>
                <m:sSupPr>
                  <m:ctrlPr>
                    <w:rPr>
                      <w:rFonts w:ascii="Cambria Math" w:hAnsi="Cambria Math"/>
                      <w:i/>
                    </w:rPr>
                  </m:ctrlPr>
                </m:sSupPr>
                <m:e>
                  <m:sSub>
                    <m:sSubPr>
                      <m:ctrlPr>
                        <w:rPr>
                          <w:rFonts w:ascii="Cambria Math" w:hAnsi="Cambria Math"/>
                          <w:i/>
                        </w:rPr>
                      </m:ctrlPr>
                    </m:sSubPr>
                    <m:e>
                      <m:r>
                        <w:rPr>
                          <w:rFonts w:ascii="Cambria Math" w:hAnsi="Cambria Math"/>
                        </w:rPr>
                        <m:t>cost</m:t>
                      </m:r>
                    </m:e>
                    <m:sub>
                      <m:r>
                        <w:rPr>
                          <w:rFonts w:ascii="Cambria Math" w:hAnsi="Cambria Math"/>
                        </w:rPr>
                        <m:t>r,i,</m:t>
                      </m:r>
                      <m:r>
                        <m:rPr>
                          <m:nor/>
                        </m:rPr>
                        <w:rPr>
                          <w:rFonts w:ascii="Cambria Math" w:hAnsi="Cambria Math"/>
                        </w:rPr>
                        <m:t>a</m:t>
                      </m:r>
                    </m:sub>
                  </m:sSub>
                </m:e>
                <m:sup>
                  <m:r>
                    <w:rPr>
                      <w:rFonts w:ascii="Cambria Math" w:hAnsi="Cambria Math"/>
                    </w:rPr>
                    <m:t>P</m:t>
                  </m:r>
                </m:sup>
              </m:sSup>
            </m:e>
            <m:sub>
              <m:r>
                <w:rPr>
                  <w:rFonts w:ascii="Cambria Math" w:hAnsi="Cambria Math"/>
                </w:rPr>
                <m:t>t</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w</m:t>
                  </m:r>
                </m:e>
                <m:sub>
                  <m:r>
                    <m:rPr>
                      <m:nor/>
                    </m:rPr>
                    <w:rPr>
                      <w:rFonts w:ascii="Cambria Math" w:hAnsi="Cambria Math"/>
                    </w:rPr>
                    <m:t>a</m:t>
                  </m:r>
                </m:sub>
              </m:sSub>
              <m:r>
                <w:rPr>
                  <w:rFonts w:ascii="Cambria Math" w:hAnsi="Cambria Math"/>
                </w:rPr>
                <m:t>∙</m:t>
              </m:r>
              <m:sSub>
                <m:sSubPr>
                  <m:ctrlPr>
                    <w:rPr>
                      <w:rFonts w:ascii="Cambria Math" w:hAnsi="Cambria Math"/>
                      <w:i/>
                    </w:rPr>
                  </m:ctrlPr>
                </m:sSubPr>
                <m:e>
                  <m:sSup>
                    <m:sSupPr>
                      <m:ctrlPr>
                        <w:rPr>
                          <w:rFonts w:ascii="Cambria Math" w:hAnsi="Cambria Math"/>
                          <w:i/>
                        </w:rPr>
                      </m:ctrlPr>
                    </m:sSupPr>
                    <m:e>
                      <m:sSub>
                        <m:sSubPr>
                          <m:ctrlPr>
                            <w:rPr>
                              <w:rFonts w:ascii="Cambria Math" w:hAnsi="Cambria Math"/>
                              <w:i/>
                            </w:rPr>
                          </m:ctrlPr>
                        </m:sSubPr>
                        <m:e>
                          <m:r>
                            <w:rPr>
                              <w:rFonts w:ascii="Cambria Math" w:hAnsi="Cambria Math"/>
                            </w:rPr>
                            <m:t>H</m:t>
                          </m:r>
                        </m:e>
                        <m:sub>
                          <m:r>
                            <w:rPr>
                              <w:rFonts w:ascii="Cambria Math" w:hAnsi="Cambria Math"/>
                            </w:rPr>
                            <m:t>r,i,</m:t>
                          </m:r>
                          <m:r>
                            <m:rPr>
                              <m:nor/>
                            </m:rPr>
                            <w:rPr>
                              <w:rFonts w:ascii="Cambria Math" w:hAnsi="Cambria Math"/>
                            </w:rPr>
                            <m:t>a</m:t>
                          </m:r>
                          <m:r>
                            <w:rPr>
                              <w:rFonts w:ascii="Cambria Math" w:hAnsi="Cambria Math"/>
                            </w:rPr>
                            <m:t>,j</m:t>
                          </m:r>
                        </m:sub>
                      </m:sSub>
                    </m:e>
                    <m:sup>
                      <m:r>
                        <w:rPr>
                          <w:rFonts w:ascii="Cambria Math" w:hAnsi="Cambria Math"/>
                        </w:rPr>
                        <m:t>P</m:t>
                      </m:r>
                    </m:sup>
                  </m:sSup>
                </m:e>
                <m:sub>
                  <m:r>
                    <w:rPr>
                      <w:rFonts w:ascii="Cambria Math" w:hAnsi="Cambria Math"/>
                    </w:rPr>
                    <m:t>t</m:t>
                  </m:r>
                </m:sub>
              </m:sSub>
              <m:r>
                <w:rPr>
                  <w:rFonts w:ascii="Cambria Math" w:hAnsi="Cambria Math"/>
                </w:rPr>
                <m:t>∙</m:t>
              </m:r>
              <m:sSub>
                <m:sSubPr>
                  <m:ctrlPr>
                    <w:rPr>
                      <w:rFonts w:ascii="Cambria Math" w:hAnsi="Cambria Math"/>
                    </w:rPr>
                  </m:ctrlPr>
                </m:sSubPr>
                <m:e>
                  <m:r>
                    <m:rPr>
                      <m:nor/>
                    </m:rPr>
                    <w:rPr>
                      <w:rFonts w:ascii="Cambria Math" w:hAnsi="Cambria Math"/>
                    </w:rPr>
                    <m:t>Prob</m:t>
                  </m:r>
                </m:e>
                <m:sub>
                  <m:r>
                    <w:rPr>
                      <w:rFonts w:ascii="Cambria Math" w:hAnsi="Cambria Math"/>
                    </w:rPr>
                    <m:t>t</m:t>
                  </m:r>
                </m:sub>
              </m:sSub>
              <m:r>
                <w:rPr>
                  <w:rFonts w:ascii="Cambria Math" w:hAnsi="Cambria Math"/>
                </w:rPr>
                <m:t>(j|i)</m:t>
              </m:r>
            </m:e>
          </m:nary>
        </m:oMath>
      </m:oMathPara>
    </w:p>
    <w:p w14:paraId="26994658" w14:textId="77777777" w:rsidR="00D8365A" w:rsidRPr="00362517" w:rsidRDefault="00D8365A" w:rsidP="00BF6BC7"/>
    <w:p w14:paraId="612C6898" w14:textId="46A88570" w:rsidR="00D8365A" w:rsidRPr="00362517" w:rsidRDefault="00D8365A" w:rsidP="00BF6BC7">
      <w:r w:rsidRPr="00362517">
        <w:t xml:space="preserve">where variables are defined as above, with </w:t>
      </w:r>
      <w:r w:rsidRPr="00362517">
        <w:rPr>
          <w:i/>
          <w:iCs/>
        </w:rPr>
        <w:t>P</w:t>
      </w:r>
      <w:r w:rsidRPr="00362517">
        <w:t xml:space="preserve"> denoting the revised final requirement.  As mentioned, many jurisdiction</w:t>
      </w:r>
      <w:r w:rsidR="00DC73A6">
        <w:t>s</w:t>
      </w:r>
      <w:r w:rsidRPr="00362517">
        <w:t xml:space="preserve"> have revised their certification programs and may exceed the final federal standards.  Thus, </w:t>
      </w:r>
      <w:r w:rsidRPr="00362517">
        <w:rPr>
          <w:i/>
        </w:rPr>
        <w:t>H</w:t>
      </w:r>
      <w:r w:rsidRPr="00362517">
        <w:rPr>
          <w:i/>
          <w:vertAlign w:val="superscript"/>
        </w:rPr>
        <w:t>B</w:t>
      </w:r>
      <w:r w:rsidRPr="00362517">
        <w:rPr>
          <w:i/>
          <w:vertAlign w:val="subscript"/>
        </w:rPr>
        <w:t>r, j|i,a</w:t>
      </w:r>
      <w:r w:rsidRPr="00362517">
        <w:t xml:space="preserve"> ≥ </w:t>
      </w:r>
      <w:r w:rsidRPr="00362517">
        <w:rPr>
          <w:i/>
        </w:rPr>
        <w:t>H</w:t>
      </w:r>
      <w:r w:rsidRPr="00362517">
        <w:rPr>
          <w:i/>
          <w:vertAlign w:val="superscript"/>
        </w:rPr>
        <w:t>P</w:t>
      </w:r>
      <w:r w:rsidRPr="00362517">
        <w:rPr>
          <w:i/>
          <w:vertAlign w:val="subscript"/>
        </w:rPr>
        <w:t>r ,j|a</w:t>
      </w:r>
      <w:r w:rsidRPr="00362517">
        <w:t xml:space="preserve">.  Jurisdictions are not anticipated to relax standards if the revised federal requirement is less stringent, thus </w:t>
      </w:r>
      <w:r w:rsidRPr="00362517">
        <w:rPr>
          <w:i/>
        </w:rPr>
        <w:t>H</w:t>
      </w:r>
      <w:r w:rsidRPr="00362517">
        <w:rPr>
          <w:i/>
          <w:vertAlign w:val="superscript"/>
        </w:rPr>
        <w:t>P</w:t>
      </w:r>
      <w:r w:rsidRPr="00362517">
        <w:rPr>
          <w:i/>
          <w:vertAlign w:val="subscript"/>
        </w:rPr>
        <w:t>r, j|i,a</w:t>
      </w:r>
      <w:r w:rsidRPr="00362517">
        <w:t xml:space="preserve"> = </w:t>
      </w:r>
      <w:r w:rsidRPr="00362517">
        <w:rPr>
          <w:i/>
        </w:rPr>
        <w:t>H</w:t>
      </w:r>
      <w:r w:rsidRPr="00362517">
        <w:rPr>
          <w:i/>
          <w:vertAlign w:val="superscript"/>
        </w:rPr>
        <w:t>B</w:t>
      </w:r>
      <w:r w:rsidRPr="00362517">
        <w:rPr>
          <w:i/>
          <w:vertAlign w:val="subscript"/>
        </w:rPr>
        <w:t>r ,j|a</w:t>
      </w:r>
      <w:r w:rsidRPr="00362517">
        <w:t xml:space="preserve"> in those jurisdictions.</w:t>
      </w:r>
    </w:p>
    <w:p w14:paraId="7FB58C1F" w14:textId="77777777" w:rsidR="00D8365A" w:rsidRPr="00362517" w:rsidRDefault="00D8365A" w:rsidP="00BF6BC7"/>
    <w:p w14:paraId="72CD7998" w14:textId="77777777" w:rsidR="00D8365A" w:rsidRPr="00362517" w:rsidRDefault="00D8365A" w:rsidP="00BF6BC7">
      <w:r w:rsidRPr="00362517">
        <w:rPr>
          <w:u w:val="single"/>
        </w:rPr>
        <w:t xml:space="preserve">Step 3.  Calculate Jurisdiction </w:t>
      </w:r>
      <w:r w:rsidRPr="00362517">
        <w:rPr>
          <w:iCs/>
          <w:u w:val="single"/>
        </w:rPr>
        <w:t>Costs of Final Requirement and Jurisdiction Baseline</w:t>
      </w:r>
      <w:bookmarkEnd w:id="106"/>
      <w:r w:rsidRPr="00362517">
        <w:rPr>
          <w:u w:val="single"/>
        </w:rPr>
        <w:t>.</w:t>
      </w:r>
      <w:r w:rsidRPr="00362517">
        <w:t xml:space="preserve">  To estimate total compliance costs for the final requirements and compliance costs for the current jurisdiction baseline, we multiply the per-actor unit costs by the number of affected actors of each type (e.g., first-time private applicators and existing private applicators) in the jurisdiction and sum across all types of affected actors:</w:t>
      </w:r>
    </w:p>
    <w:p w14:paraId="4FBEB1A1" w14:textId="77777777" w:rsidR="00D8365A" w:rsidRPr="00362517" w:rsidRDefault="00D8365A" w:rsidP="00BF6BC7"/>
    <w:p w14:paraId="61B15F9A" w14:textId="77777777" w:rsidR="00D8365A" w:rsidRPr="00362517" w:rsidRDefault="007B6E49" w:rsidP="00BF6BC7">
      <m:oMathPara>
        <m:oMath>
          <m:sSub>
            <m:sSubPr>
              <m:ctrlPr>
                <w:rPr>
                  <w:rFonts w:ascii="Cambria Math" w:hAnsi="Cambria Math"/>
                  <w:i/>
                </w:rPr>
              </m:ctrlPr>
            </m:sSubPr>
            <m:e>
              <m:sSup>
                <m:sSupPr>
                  <m:ctrlPr>
                    <w:rPr>
                      <w:rFonts w:ascii="Cambria Math" w:hAnsi="Cambria Math"/>
                      <w:i/>
                    </w:rPr>
                  </m:ctrlPr>
                </m:sSupPr>
                <m:e>
                  <m:sSub>
                    <m:sSubPr>
                      <m:ctrlPr>
                        <w:rPr>
                          <w:rFonts w:ascii="Cambria Math" w:hAnsi="Cambria Math"/>
                          <w:i/>
                        </w:rPr>
                      </m:ctrlPr>
                    </m:sSubPr>
                    <m:e>
                      <m:r>
                        <w:rPr>
                          <w:rFonts w:ascii="Cambria Math" w:hAnsi="Cambria Math"/>
                        </w:rPr>
                        <m:t>RC</m:t>
                      </m:r>
                    </m:e>
                    <m:sub>
                      <m:r>
                        <w:rPr>
                          <w:rFonts w:ascii="Cambria Math" w:hAnsi="Cambria Math"/>
                        </w:rPr>
                        <m:t>r,i</m:t>
                      </m:r>
                    </m:sub>
                  </m:sSub>
                </m:e>
                <m:sup>
                  <m:r>
                    <w:rPr>
                      <w:rFonts w:ascii="Cambria Math" w:hAnsi="Cambria Math"/>
                    </w:rPr>
                    <m:t>B</m:t>
                  </m:r>
                </m:sup>
              </m:sSup>
            </m:e>
            <m:sub>
              <m:r>
                <w:rPr>
                  <w:rFonts w:ascii="Cambria Math" w:hAnsi="Cambria Math"/>
                </w:rPr>
                <m:t>t</m:t>
              </m:r>
            </m:sub>
          </m:sSub>
          <m:r>
            <w:rPr>
              <w:rFonts w:ascii="Cambria Math" w:hAnsi="Cambria Math"/>
            </w:rPr>
            <m:t>=</m:t>
          </m:r>
          <m:nary>
            <m:naryPr>
              <m:chr m:val="∑"/>
              <m:limLoc m:val="undOvr"/>
              <m:supHide m:val="1"/>
              <m:ctrlPr>
                <w:rPr>
                  <w:rFonts w:ascii="Cambria Math" w:hAnsi="Cambria Math"/>
                  <w:i/>
                </w:rPr>
              </m:ctrlPr>
            </m:naryPr>
            <m:sub>
              <m:r>
                <m:rPr>
                  <m:nor/>
                </m:rPr>
                <w:rPr>
                  <w:rFonts w:ascii="Cambria Math" w:hAnsi="Cambria Math"/>
                </w:rPr>
                <m:t>a</m:t>
              </m:r>
            </m:sub>
            <m:sup/>
            <m:e>
              <m:sSub>
                <m:sSubPr>
                  <m:ctrlPr>
                    <w:rPr>
                      <w:rFonts w:ascii="Cambria Math" w:hAnsi="Cambria Math"/>
                      <w:i/>
                    </w:rPr>
                  </m:ctrlPr>
                </m:sSubPr>
                <m:e>
                  <m:sSup>
                    <m:sSupPr>
                      <m:ctrlPr>
                        <w:rPr>
                          <w:rFonts w:ascii="Cambria Math" w:hAnsi="Cambria Math"/>
                          <w:i/>
                        </w:rPr>
                      </m:ctrlPr>
                    </m:sSupPr>
                    <m:e>
                      <m:sSub>
                        <m:sSubPr>
                          <m:ctrlPr>
                            <w:rPr>
                              <w:rFonts w:ascii="Cambria Math" w:hAnsi="Cambria Math"/>
                              <w:i/>
                            </w:rPr>
                          </m:ctrlPr>
                        </m:sSubPr>
                        <m:e>
                          <m:r>
                            <w:rPr>
                              <w:rFonts w:ascii="Cambria Math" w:hAnsi="Cambria Math"/>
                            </w:rPr>
                            <m:t>cost</m:t>
                          </m:r>
                        </m:e>
                        <m:sub>
                          <m:r>
                            <w:rPr>
                              <w:rFonts w:ascii="Cambria Math" w:hAnsi="Cambria Math"/>
                            </w:rPr>
                            <m:t>r,i,</m:t>
                          </m:r>
                          <m:r>
                            <m:rPr>
                              <m:nor/>
                            </m:rPr>
                            <w:rPr>
                              <w:rFonts w:ascii="Cambria Math" w:hAnsi="Cambria Math"/>
                            </w:rPr>
                            <m:t>a</m:t>
                          </m:r>
                        </m:sub>
                      </m:sSub>
                    </m:e>
                    <m:sup>
                      <m:r>
                        <w:rPr>
                          <w:rFonts w:ascii="Cambria Math" w:hAnsi="Cambria Math"/>
                        </w:rPr>
                        <m:t>B</m:t>
                      </m:r>
                    </m:sup>
                  </m:sSup>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m:rPr>
                          <m:nor/>
                        </m:rPr>
                        <w:rPr>
                          <w:rFonts w:ascii="Cambria Math" w:hAnsi="Cambria Math"/>
                        </w:rPr>
                        <m:t>a</m:t>
                      </m:r>
                      <m:r>
                        <w:rPr>
                          <w:rFonts w:ascii="Cambria Math" w:hAnsi="Cambria Math"/>
                        </w:rPr>
                        <m:t>,i</m:t>
                      </m:r>
                    </m:sub>
                  </m:sSub>
                </m:e>
                <m:sub>
                  <m:r>
                    <w:rPr>
                      <w:rFonts w:ascii="Cambria Math" w:hAnsi="Cambria Math"/>
                    </w:rPr>
                    <m:t>t</m:t>
                  </m:r>
                </m:sub>
              </m:sSub>
            </m:e>
          </m:nary>
        </m:oMath>
      </m:oMathPara>
    </w:p>
    <w:p w14:paraId="6CAD8949" w14:textId="77777777" w:rsidR="00D8365A" w:rsidRPr="00362517" w:rsidRDefault="00D8365A" w:rsidP="00BF6BC7"/>
    <w:p w14:paraId="58789667" w14:textId="77777777" w:rsidR="00D8365A" w:rsidRPr="00362517" w:rsidRDefault="007B6E49" w:rsidP="00BF6BC7">
      <m:oMathPara>
        <m:oMath>
          <m:sSub>
            <m:sSubPr>
              <m:ctrlPr>
                <w:rPr>
                  <w:rFonts w:ascii="Cambria Math" w:hAnsi="Cambria Math"/>
                  <w:i/>
                </w:rPr>
              </m:ctrlPr>
            </m:sSubPr>
            <m:e>
              <m:sSup>
                <m:sSupPr>
                  <m:ctrlPr>
                    <w:rPr>
                      <w:rFonts w:ascii="Cambria Math" w:hAnsi="Cambria Math"/>
                      <w:i/>
                    </w:rPr>
                  </m:ctrlPr>
                </m:sSupPr>
                <m:e>
                  <m:sSub>
                    <m:sSubPr>
                      <m:ctrlPr>
                        <w:rPr>
                          <w:rFonts w:ascii="Cambria Math" w:hAnsi="Cambria Math"/>
                          <w:i/>
                        </w:rPr>
                      </m:ctrlPr>
                    </m:sSubPr>
                    <m:e>
                      <m:r>
                        <w:rPr>
                          <w:rFonts w:ascii="Cambria Math" w:hAnsi="Cambria Math"/>
                        </w:rPr>
                        <m:t>RC</m:t>
                      </m:r>
                    </m:e>
                    <m:sub>
                      <m:r>
                        <w:rPr>
                          <w:rFonts w:ascii="Cambria Math" w:hAnsi="Cambria Math"/>
                        </w:rPr>
                        <m:t>r,i</m:t>
                      </m:r>
                    </m:sub>
                  </m:sSub>
                </m:e>
                <m:sup>
                  <m:r>
                    <w:rPr>
                      <w:rFonts w:ascii="Cambria Math" w:hAnsi="Cambria Math"/>
                    </w:rPr>
                    <m:t>P</m:t>
                  </m:r>
                </m:sup>
              </m:sSup>
            </m:e>
            <m:sub>
              <m:r>
                <w:rPr>
                  <w:rFonts w:ascii="Cambria Math" w:hAnsi="Cambria Math"/>
                </w:rPr>
                <m:t>t</m:t>
              </m:r>
            </m:sub>
          </m:sSub>
          <m:r>
            <w:rPr>
              <w:rFonts w:ascii="Cambria Math" w:hAnsi="Cambria Math"/>
            </w:rPr>
            <m:t>=</m:t>
          </m:r>
          <m:nary>
            <m:naryPr>
              <m:chr m:val="∑"/>
              <m:limLoc m:val="undOvr"/>
              <m:supHide m:val="1"/>
              <m:ctrlPr>
                <w:rPr>
                  <w:rFonts w:ascii="Cambria Math" w:hAnsi="Cambria Math"/>
                  <w:i/>
                </w:rPr>
              </m:ctrlPr>
            </m:naryPr>
            <m:sub>
              <m:r>
                <m:rPr>
                  <m:nor/>
                </m:rPr>
                <w:rPr>
                  <w:rFonts w:ascii="Cambria Math" w:hAnsi="Cambria Math"/>
                </w:rPr>
                <m:t>a</m:t>
              </m:r>
            </m:sub>
            <m:sup/>
            <m:e>
              <m:sSub>
                <m:sSubPr>
                  <m:ctrlPr>
                    <w:rPr>
                      <w:rFonts w:ascii="Cambria Math" w:hAnsi="Cambria Math"/>
                      <w:i/>
                    </w:rPr>
                  </m:ctrlPr>
                </m:sSubPr>
                <m:e>
                  <m:sSup>
                    <m:sSupPr>
                      <m:ctrlPr>
                        <w:rPr>
                          <w:rFonts w:ascii="Cambria Math" w:hAnsi="Cambria Math"/>
                          <w:i/>
                        </w:rPr>
                      </m:ctrlPr>
                    </m:sSupPr>
                    <m:e>
                      <m:sSub>
                        <m:sSubPr>
                          <m:ctrlPr>
                            <w:rPr>
                              <w:rFonts w:ascii="Cambria Math" w:hAnsi="Cambria Math"/>
                              <w:i/>
                            </w:rPr>
                          </m:ctrlPr>
                        </m:sSubPr>
                        <m:e>
                          <m:r>
                            <w:rPr>
                              <w:rFonts w:ascii="Cambria Math" w:hAnsi="Cambria Math"/>
                            </w:rPr>
                            <m:t>cost</m:t>
                          </m:r>
                        </m:e>
                        <m:sub>
                          <m:r>
                            <w:rPr>
                              <w:rFonts w:ascii="Cambria Math" w:hAnsi="Cambria Math"/>
                            </w:rPr>
                            <m:t>r,</m:t>
                          </m:r>
                          <m:r>
                            <m:rPr>
                              <m:nor/>
                            </m:rPr>
                            <w:rPr>
                              <w:rFonts w:ascii="Cambria Math" w:hAnsi="Cambria Math"/>
                            </w:rPr>
                            <m:t>a</m:t>
                          </m:r>
                        </m:sub>
                      </m:sSub>
                    </m:e>
                    <m:sup>
                      <m:r>
                        <w:rPr>
                          <w:rFonts w:ascii="Cambria Math" w:hAnsi="Cambria Math"/>
                        </w:rPr>
                        <m:t>P</m:t>
                      </m:r>
                    </m:sup>
                  </m:sSup>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m:rPr>
                          <m:nor/>
                        </m:rPr>
                        <w:rPr>
                          <w:rFonts w:ascii="Cambria Math" w:hAnsi="Cambria Math"/>
                        </w:rPr>
                        <m:t>a</m:t>
                      </m:r>
                      <m:r>
                        <w:rPr>
                          <w:rFonts w:ascii="Cambria Math" w:hAnsi="Cambria Math"/>
                        </w:rPr>
                        <m:t>,i</m:t>
                      </m:r>
                    </m:sub>
                  </m:sSub>
                </m:e>
                <m:sub>
                  <m:r>
                    <w:rPr>
                      <w:rFonts w:ascii="Cambria Math" w:hAnsi="Cambria Math"/>
                    </w:rPr>
                    <m:t>t</m:t>
                  </m:r>
                </m:sub>
              </m:sSub>
            </m:e>
          </m:nary>
        </m:oMath>
      </m:oMathPara>
    </w:p>
    <w:p w14:paraId="252EC204" w14:textId="77777777" w:rsidR="00D8365A" w:rsidRPr="00362517" w:rsidRDefault="00D8365A" w:rsidP="00BF6BC7"/>
    <w:p w14:paraId="0DD5C9B4" w14:textId="77777777" w:rsidR="00D8365A" w:rsidRPr="00362517" w:rsidRDefault="00D8365A" w:rsidP="00BF6BC7">
      <w:r w:rsidRPr="00362517">
        <w:t xml:space="preserve">where </w:t>
      </w:r>
      <w:r w:rsidRPr="00362517">
        <w:rPr>
          <w:i/>
        </w:rPr>
        <w:t>RC</w:t>
      </w:r>
      <w:r w:rsidRPr="00362517">
        <w:rPr>
          <w:i/>
          <w:vertAlign w:val="subscript"/>
        </w:rPr>
        <w:t>r,i</w:t>
      </w:r>
      <w:r w:rsidRPr="00362517">
        <w:rPr>
          <w:i/>
          <w:vertAlign w:val="superscript"/>
        </w:rPr>
        <w:t>X</w:t>
      </w:r>
      <w:r w:rsidRPr="00362517">
        <w:t xml:space="preserve"> denotes the cost of a requirement </w:t>
      </w:r>
      <w:r w:rsidRPr="00362517">
        <w:rPr>
          <w:i/>
        </w:rPr>
        <w:t>r</w:t>
      </w:r>
      <w:r w:rsidRPr="00362517">
        <w:t xml:space="preserve"> to jurisdiction </w:t>
      </w:r>
      <w:r w:rsidRPr="00362517">
        <w:rPr>
          <w:i/>
        </w:rPr>
        <w:t>i</w:t>
      </w:r>
      <w:r w:rsidRPr="00362517">
        <w:t xml:space="preserve">, for </w:t>
      </w:r>
      <w:r w:rsidRPr="00362517">
        <w:rPr>
          <w:i/>
        </w:rPr>
        <w:t>X</w:t>
      </w:r>
      <w:r w:rsidRPr="00362517">
        <w:t xml:space="preserve"> = </w:t>
      </w:r>
      <w:r w:rsidRPr="00362517">
        <w:rPr>
          <w:i/>
        </w:rPr>
        <w:t>B</w:t>
      </w:r>
      <w:r w:rsidRPr="00362517">
        <w:t xml:space="preserve"> and </w:t>
      </w:r>
      <w:r w:rsidRPr="00362517">
        <w:rPr>
          <w:i/>
        </w:rPr>
        <w:t>P</w:t>
      </w:r>
      <w:r w:rsidRPr="00362517">
        <w:t xml:space="preserve">; and </w:t>
      </w:r>
      <w:r w:rsidRPr="00362517">
        <w:rPr>
          <w:i/>
        </w:rPr>
        <w:t>N</w:t>
      </w:r>
      <w:r w:rsidRPr="00362517">
        <w:rPr>
          <w:i/>
          <w:vertAlign w:val="subscript"/>
        </w:rPr>
        <w:t>a,i</w:t>
      </w:r>
      <w:r w:rsidRPr="00362517">
        <w:t xml:space="preserve"> is the number of affected actors in a jurisdiction </w:t>
      </w:r>
      <w:r w:rsidRPr="00362517">
        <w:rPr>
          <w:i/>
        </w:rPr>
        <w:t>i</w:t>
      </w:r>
      <w:r w:rsidRPr="00362517">
        <w:t>.</w:t>
      </w:r>
      <w:bookmarkStart w:id="107" w:name="OLE_LINK149"/>
      <w:bookmarkStart w:id="108" w:name="OLE_LINK148"/>
    </w:p>
    <w:p w14:paraId="5DA7C559" w14:textId="77777777" w:rsidR="00D8365A" w:rsidRPr="00362517" w:rsidRDefault="00D8365A" w:rsidP="00BF6BC7"/>
    <w:p w14:paraId="084AC1B3" w14:textId="77777777" w:rsidR="00D8365A" w:rsidRPr="00362517" w:rsidRDefault="00D8365A" w:rsidP="00BF6BC7">
      <w:r w:rsidRPr="00362517">
        <w:rPr>
          <w:u w:val="single"/>
        </w:rPr>
        <w:t>Step 4.  Calculate Present Values of Jurisdiction Level Costs</w:t>
      </w:r>
      <w:bookmarkEnd w:id="107"/>
      <w:bookmarkEnd w:id="108"/>
      <w:r w:rsidRPr="00362517">
        <w:rPr>
          <w:u w:val="single"/>
        </w:rPr>
        <w:t>.</w:t>
      </w:r>
      <w:r w:rsidRPr="00362517">
        <w:t xml:space="preserve">    In this step, we calculate the present value (PV) for both </w:t>
      </w:r>
      <w:r w:rsidRPr="00362517">
        <w:rPr>
          <w:i/>
        </w:rPr>
        <w:t>RC</w:t>
      </w:r>
      <w:r w:rsidRPr="00362517">
        <w:rPr>
          <w:i/>
          <w:vertAlign w:val="superscript"/>
        </w:rPr>
        <w:t>B</w:t>
      </w:r>
      <w:r w:rsidRPr="00362517">
        <w:t xml:space="preserve"> and </w:t>
      </w:r>
      <w:r w:rsidRPr="00362517">
        <w:rPr>
          <w:i/>
        </w:rPr>
        <w:t>RC</w:t>
      </w:r>
      <w:r w:rsidRPr="00362517">
        <w:rPr>
          <w:i/>
          <w:vertAlign w:val="superscript"/>
        </w:rPr>
        <w:t>P</w:t>
      </w:r>
      <w:r w:rsidRPr="00362517">
        <w:t>.  Generally, per-actor costs are constant, but implementation of the regulations will occur only after jurisdictions have revised their programs and developed any new training or examination materials.  EPA considered whether the number of applicators is changing over time, but the data generally indicate little or no changes.  See Section 3.3 below.  The present value of costs is calculated as</w:t>
      </w:r>
    </w:p>
    <w:p w14:paraId="36F5A5C0" w14:textId="77777777" w:rsidR="00D8365A" w:rsidRPr="00362517" w:rsidRDefault="00D8365A" w:rsidP="00BF6BC7"/>
    <w:p w14:paraId="08E499A9" w14:textId="77777777" w:rsidR="00D8365A" w:rsidRPr="00362517" w:rsidRDefault="00D8365A" w:rsidP="00BF6BC7">
      <m:oMathPara>
        <m:oMath>
          <m:r>
            <w:rPr>
              <w:rFonts w:ascii="Cambria Math" w:hAnsi="Cambria Math"/>
            </w:rPr>
            <m:t>PV</m:t>
          </m:r>
          <m:d>
            <m:dPr>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w:rPr>
                          <w:rFonts w:ascii="Cambria Math" w:hAnsi="Cambria Math"/>
                        </w:rPr>
                        <m:t>RC</m:t>
                      </m:r>
                    </m:e>
                    <m:sub>
                      <m:r>
                        <w:rPr>
                          <w:rFonts w:ascii="Cambria Math" w:hAnsi="Cambria Math"/>
                        </w:rPr>
                        <m:t>r,i</m:t>
                      </m:r>
                    </m:sub>
                  </m:sSub>
                </m:e>
                <m:sup>
                  <m:r>
                    <w:rPr>
                      <w:rFonts w:ascii="Cambria Math" w:hAnsi="Cambria Math"/>
                    </w:rPr>
                    <m:t>X</m:t>
                  </m:r>
                </m:sup>
              </m:sSup>
            </m:e>
          </m:d>
          <m:r>
            <w:rPr>
              <w:rFonts w:ascii="Cambria Math" w:hAnsi="Cambria Math"/>
            </w:rPr>
            <m:t>=</m:t>
          </m:r>
          <m:nary>
            <m:naryPr>
              <m:chr m:val="∑"/>
              <m:limLoc m:val="undOvr"/>
              <m:ctrlPr>
                <w:rPr>
                  <w:rFonts w:ascii="Cambria Math" w:hAnsi="Cambria Math"/>
                  <w:i/>
                </w:rPr>
              </m:ctrlPr>
            </m:naryPr>
            <m:sub>
              <m:r>
                <w:rPr>
                  <w:rFonts w:ascii="Cambria Math" w:hAnsi="Cambria Math"/>
                </w:rPr>
                <m:t>t=1</m:t>
              </m:r>
            </m:sub>
            <m:sup>
              <m:r>
                <w:rPr>
                  <w:rFonts w:ascii="Cambria Math" w:hAnsi="Cambria Math"/>
                </w:rPr>
                <m:t>10</m:t>
              </m:r>
            </m:sup>
            <m:e>
              <m:f>
                <m:fPr>
                  <m:ctrlPr>
                    <w:rPr>
                      <w:rFonts w:ascii="Cambria Math" w:hAnsi="Cambria Math"/>
                      <w:i/>
                    </w:rPr>
                  </m:ctrlPr>
                </m:fPr>
                <m:num>
                  <m:sSub>
                    <m:sSubPr>
                      <m:ctrlPr>
                        <w:rPr>
                          <w:rFonts w:ascii="Cambria Math" w:hAnsi="Cambria Math"/>
                          <w:i/>
                        </w:rPr>
                      </m:ctrlPr>
                    </m:sSubPr>
                    <m:e>
                      <m:sSup>
                        <m:sSupPr>
                          <m:ctrlPr>
                            <w:rPr>
                              <w:rFonts w:ascii="Cambria Math" w:hAnsi="Cambria Math"/>
                              <w:i/>
                            </w:rPr>
                          </m:ctrlPr>
                        </m:sSupPr>
                        <m:e>
                          <m:sSub>
                            <m:sSubPr>
                              <m:ctrlPr>
                                <w:rPr>
                                  <w:rFonts w:ascii="Cambria Math" w:hAnsi="Cambria Math"/>
                                  <w:i/>
                                </w:rPr>
                              </m:ctrlPr>
                            </m:sSubPr>
                            <m:e>
                              <m:r>
                                <w:rPr>
                                  <w:rFonts w:ascii="Cambria Math" w:hAnsi="Cambria Math"/>
                                </w:rPr>
                                <m:t>RC</m:t>
                              </m:r>
                            </m:e>
                            <m:sub>
                              <m:r>
                                <w:rPr>
                                  <w:rFonts w:ascii="Cambria Math" w:hAnsi="Cambria Math"/>
                                </w:rPr>
                                <m:t>r,i</m:t>
                              </m:r>
                            </m:sub>
                          </m:sSub>
                        </m:e>
                        <m:sup>
                          <m:r>
                            <w:rPr>
                              <w:rFonts w:ascii="Cambria Math" w:hAnsi="Cambria Math"/>
                            </w:rPr>
                            <m:t>X</m:t>
                          </m:r>
                        </m:sup>
                      </m:sSup>
                    </m:e>
                    <m:sub>
                      <m:r>
                        <w:rPr>
                          <w:rFonts w:ascii="Cambria Math" w:hAnsi="Cambria Math"/>
                        </w:rPr>
                        <m:t>t</m:t>
                      </m:r>
                    </m:sub>
                  </m:sSub>
                </m:num>
                <m:den>
                  <m:sSup>
                    <m:sSupPr>
                      <m:ctrlPr>
                        <w:rPr>
                          <w:rFonts w:ascii="Cambria Math" w:hAnsi="Cambria Math"/>
                          <w:i/>
                        </w:rPr>
                      </m:ctrlPr>
                    </m:sSupPr>
                    <m:e>
                      <m:r>
                        <w:rPr>
                          <w:rFonts w:ascii="Cambria Math" w:hAnsi="Cambria Math"/>
                        </w:rPr>
                        <m:t>(1+ρ)</m:t>
                      </m:r>
                    </m:e>
                    <m:sup>
                      <m:r>
                        <w:rPr>
                          <w:rFonts w:ascii="Cambria Math" w:hAnsi="Cambria Math"/>
                        </w:rPr>
                        <m:t>t-1</m:t>
                      </m:r>
                    </m:sup>
                  </m:sSup>
                </m:den>
              </m:f>
            </m:e>
          </m:nary>
        </m:oMath>
      </m:oMathPara>
    </w:p>
    <w:p w14:paraId="44E792E1" w14:textId="77777777" w:rsidR="00D8365A" w:rsidRPr="00362517" w:rsidRDefault="00D8365A" w:rsidP="00BF6BC7"/>
    <w:p w14:paraId="02FA9B35" w14:textId="77777777" w:rsidR="00D8365A" w:rsidRPr="00362517" w:rsidRDefault="00D8365A" w:rsidP="00BF6BC7">
      <w:r w:rsidRPr="00362517">
        <w:t xml:space="preserve">where </w:t>
      </w:r>
      <w:r w:rsidRPr="00362517">
        <w:rPr>
          <w:i/>
        </w:rPr>
        <w:t>ρ</w:t>
      </w:r>
      <w:r w:rsidRPr="00362517">
        <w:t xml:space="preserve"> is the discount rate and all other variables are as previously defined.  We use a time horizon of ten years, but this is not particularly important as most of the per-actor costs, especially baseline costs, will occur annually.  Given constant annual costs, the PV of jurisdiction costs for the baseline simplifies to</w:t>
      </w:r>
    </w:p>
    <w:p w14:paraId="6320EF15" w14:textId="77777777" w:rsidR="00D8365A" w:rsidRPr="00362517" w:rsidRDefault="00D8365A" w:rsidP="00BF6BC7"/>
    <w:p w14:paraId="0180E6A1" w14:textId="77777777" w:rsidR="00D8365A" w:rsidRPr="00362517" w:rsidRDefault="00D8365A" w:rsidP="00BF6BC7">
      <m:oMathPara>
        <m:oMath>
          <m:r>
            <w:rPr>
              <w:rFonts w:ascii="Cambria Math" w:hAnsi="Cambria Math"/>
            </w:rPr>
            <m:t>PV</m:t>
          </m:r>
          <m:d>
            <m:dPr>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w:rPr>
                          <w:rFonts w:ascii="Cambria Math" w:hAnsi="Cambria Math"/>
                        </w:rPr>
                        <m:t>RC</m:t>
                      </m:r>
                    </m:e>
                    <m:sub>
                      <m:r>
                        <w:rPr>
                          <w:rFonts w:ascii="Cambria Math" w:hAnsi="Cambria Math"/>
                        </w:rPr>
                        <m:t>r,i</m:t>
                      </m:r>
                    </m:sub>
                  </m:sSub>
                </m:e>
                <m:sup>
                  <m:r>
                    <w:rPr>
                      <w:rFonts w:ascii="Cambria Math" w:hAnsi="Cambria Math"/>
                    </w:rPr>
                    <m:t>B</m:t>
                  </m:r>
                </m:sup>
              </m:sSup>
            </m:e>
          </m:d>
          <m:r>
            <w:rPr>
              <w:rFonts w:ascii="Cambria Math" w:hAnsi="Cambria Math"/>
            </w:rPr>
            <m:t>=</m:t>
          </m:r>
          <m:sSub>
            <m:sSubPr>
              <m:ctrlPr>
                <w:rPr>
                  <w:rFonts w:ascii="Cambria Math" w:hAnsi="Cambria Math"/>
                  <w:i/>
                </w:rPr>
              </m:ctrlPr>
            </m:sSubPr>
            <m:e>
              <m:sSup>
                <m:sSupPr>
                  <m:ctrlPr>
                    <w:rPr>
                      <w:rFonts w:ascii="Cambria Math" w:hAnsi="Cambria Math"/>
                      <w:i/>
                    </w:rPr>
                  </m:ctrlPr>
                </m:sSupPr>
                <m:e>
                  <m:sSub>
                    <m:sSubPr>
                      <m:ctrlPr>
                        <w:rPr>
                          <w:rFonts w:ascii="Cambria Math" w:hAnsi="Cambria Math"/>
                          <w:i/>
                        </w:rPr>
                      </m:ctrlPr>
                    </m:sSubPr>
                    <m:e>
                      <m:r>
                        <w:rPr>
                          <w:rFonts w:ascii="Cambria Math" w:hAnsi="Cambria Math"/>
                        </w:rPr>
                        <m:t>RC</m:t>
                      </m:r>
                    </m:e>
                    <m:sub>
                      <m:r>
                        <w:rPr>
                          <w:rFonts w:ascii="Cambria Math" w:hAnsi="Cambria Math"/>
                        </w:rPr>
                        <m:t>r,i</m:t>
                      </m:r>
                    </m:sub>
                  </m:sSub>
                </m:e>
                <m:sup>
                  <m:r>
                    <w:rPr>
                      <w:rFonts w:ascii="Cambria Math" w:hAnsi="Cambria Math"/>
                    </w:rPr>
                    <m:t>B</m:t>
                  </m:r>
                </m:sup>
              </m:sSup>
            </m:e>
            <m:sub>
              <m:r>
                <w:rPr>
                  <w:rFonts w:ascii="Cambria Math" w:hAnsi="Cambria Math"/>
                </w:rPr>
                <m:t>t=1</m:t>
              </m:r>
            </m:sub>
          </m:sSub>
          <m:r>
            <w:rPr>
              <w:rFonts w:ascii="Cambria Math" w:hAnsi="Cambria Math"/>
            </w:rPr>
            <m:t>∙</m:t>
          </m:r>
          <m:nary>
            <m:naryPr>
              <m:chr m:val="∑"/>
              <m:limLoc m:val="undOvr"/>
              <m:ctrlPr>
                <w:rPr>
                  <w:rFonts w:ascii="Cambria Math" w:hAnsi="Cambria Math"/>
                  <w:i/>
                </w:rPr>
              </m:ctrlPr>
            </m:naryPr>
            <m:sub>
              <m:r>
                <w:rPr>
                  <w:rFonts w:ascii="Cambria Math" w:hAnsi="Cambria Math"/>
                </w:rPr>
                <m:t>t=1</m:t>
              </m:r>
            </m:sub>
            <m:sup>
              <m:r>
                <w:rPr>
                  <w:rFonts w:ascii="Cambria Math" w:hAnsi="Cambria Math"/>
                </w:rPr>
                <m:t>10</m:t>
              </m:r>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(1+ρ)</m:t>
                      </m:r>
                    </m:e>
                    <m:sup>
                      <m:r>
                        <w:rPr>
                          <w:rFonts w:ascii="Cambria Math" w:hAnsi="Cambria Math"/>
                        </w:rPr>
                        <m:t>t-1</m:t>
                      </m:r>
                    </m:sup>
                  </m:sSup>
                </m:den>
              </m:f>
            </m:e>
          </m:nary>
        </m:oMath>
      </m:oMathPara>
    </w:p>
    <w:p w14:paraId="491C6B7B" w14:textId="77777777" w:rsidR="00D8365A" w:rsidRPr="00362517" w:rsidRDefault="00D8365A" w:rsidP="00BF6BC7"/>
    <w:p w14:paraId="625421FA" w14:textId="77777777" w:rsidR="00D8365A" w:rsidRPr="00362517" w:rsidRDefault="00D8365A" w:rsidP="00BF6BC7">
      <w:r w:rsidRPr="00362517">
        <w:t>and, assuming a two-year implementation period, the PV of jurisdiction costs for the final requirements can be calculated as</w:t>
      </w:r>
    </w:p>
    <w:p w14:paraId="50A86663" w14:textId="77777777" w:rsidR="00D8365A" w:rsidRPr="00362517" w:rsidRDefault="00D8365A" w:rsidP="00BF6BC7"/>
    <w:p w14:paraId="676CB363" w14:textId="77777777" w:rsidR="00D8365A" w:rsidRPr="00362517" w:rsidRDefault="00D8365A" w:rsidP="00BF6BC7">
      <m:oMathPara>
        <m:oMath>
          <m:r>
            <w:rPr>
              <w:rFonts w:ascii="Cambria Math" w:hAnsi="Cambria Math"/>
            </w:rPr>
            <m:t>PV</m:t>
          </m:r>
          <m:d>
            <m:dPr>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w:rPr>
                          <w:rFonts w:ascii="Cambria Math" w:hAnsi="Cambria Math"/>
                        </w:rPr>
                        <m:t>RC</m:t>
                      </m:r>
                    </m:e>
                    <m:sub>
                      <m:r>
                        <w:rPr>
                          <w:rFonts w:ascii="Cambria Math" w:hAnsi="Cambria Math"/>
                        </w:rPr>
                        <m:t>r,i</m:t>
                      </m:r>
                    </m:sub>
                  </m:sSub>
                </m:e>
                <m:sup>
                  <m:r>
                    <w:rPr>
                      <w:rFonts w:ascii="Cambria Math" w:hAnsi="Cambria Math"/>
                    </w:rPr>
                    <m:t>P</m:t>
                  </m:r>
                </m:sup>
              </m:sSup>
            </m:e>
          </m:d>
          <m:r>
            <w:rPr>
              <w:rFonts w:ascii="Cambria Math" w:hAnsi="Cambria Math"/>
            </w:rPr>
            <m:t>=</m:t>
          </m:r>
          <m:sSub>
            <m:sSubPr>
              <m:ctrlPr>
                <w:rPr>
                  <w:rFonts w:ascii="Cambria Math" w:hAnsi="Cambria Math"/>
                  <w:i/>
                </w:rPr>
              </m:ctrlPr>
            </m:sSubPr>
            <m:e>
              <m:sSup>
                <m:sSupPr>
                  <m:ctrlPr>
                    <w:rPr>
                      <w:rFonts w:ascii="Cambria Math" w:hAnsi="Cambria Math"/>
                      <w:i/>
                    </w:rPr>
                  </m:ctrlPr>
                </m:sSupPr>
                <m:e>
                  <m:sSub>
                    <m:sSubPr>
                      <m:ctrlPr>
                        <w:rPr>
                          <w:rFonts w:ascii="Cambria Math" w:hAnsi="Cambria Math"/>
                          <w:i/>
                        </w:rPr>
                      </m:ctrlPr>
                    </m:sSubPr>
                    <m:e>
                      <m:r>
                        <w:rPr>
                          <w:rFonts w:ascii="Cambria Math" w:hAnsi="Cambria Math"/>
                        </w:rPr>
                        <m:t>RC</m:t>
                      </m:r>
                    </m:e>
                    <m:sub>
                      <m:r>
                        <w:rPr>
                          <w:rFonts w:ascii="Cambria Math" w:hAnsi="Cambria Math"/>
                        </w:rPr>
                        <m:t>r,i</m:t>
                      </m:r>
                    </m:sub>
                  </m:sSub>
                </m:e>
                <m:sup>
                  <m:r>
                    <w:rPr>
                      <w:rFonts w:ascii="Cambria Math" w:hAnsi="Cambria Math"/>
                    </w:rPr>
                    <m:t>B</m:t>
                  </m:r>
                </m:sup>
              </m:sSup>
            </m:e>
            <m:sub>
              <m:r>
                <w:rPr>
                  <w:rFonts w:ascii="Cambria Math" w:hAnsi="Cambria Math"/>
                </w:rPr>
                <m:t>t=1</m:t>
              </m:r>
            </m:sub>
          </m:sSub>
          <m:r>
            <w:rPr>
              <w:rFonts w:ascii="Cambria Math" w:hAnsi="Cambria Math"/>
            </w:rPr>
            <m:t>∙</m:t>
          </m:r>
          <m:nary>
            <m:naryPr>
              <m:chr m:val="∑"/>
              <m:limLoc m:val="undOvr"/>
              <m:ctrlPr>
                <w:rPr>
                  <w:rFonts w:ascii="Cambria Math" w:hAnsi="Cambria Math"/>
                  <w:i/>
                </w:rPr>
              </m:ctrlPr>
            </m:naryPr>
            <m:sub>
              <m:r>
                <w:rPr>
                  <w:rFonts w:ascii="Cambria Math" w:hAnsi="Cambria Math"/>
                </w:rPr>
                <m:t>t=1</m:t>
              </m:r>
            </m:sub>
            <m:sup>
              <m:r>
                <w:rPr>
                  <w:rFonts w:ascii="Cambria Math" w:hAnsi="Cambria Math"/>
                </w:rPr>
                <m:t>2</m:t>
              </m:r>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1+ρ</m:t>
                          </m:r>
                        </m:e>
                      </m:d>
                    </m:e>
                    <m:sup>
                      <m:r>
                        <w:rPr>
                          <w:rFonts w:ascii="Cambria Math" w:hAnsi="Cambria Math"/>
                        </w:rPr>
                        <m:t>t-1</m:t>
                      </m:r>
                    </m:sup>
                  </m:sSup>
                </m:den>
              </m:f>
            </m:e>
          </m:nary>
          <m:r>
            <w:rPr>
              <w:rFonts w:ascii="Cambria Math" w:hAnsi="Cambria Math"/>
            </w:rPr>
            <m:t>+</m:t>
          </m:r>
          <m:sSub>
            <m:sSubPr>
              <m:ctrlPr>
                <w:rPr>
                  <w:rFonts w:ascii="Cambria Math" w:hAnsi="Cambria Math"/>
                  <w:i/>
                </w:rPr>
              </m:ctrlPr>
            </m:sSubPr>
            <m:e>
              <m:sSup>
                <m:sSupPr>
                  <m:ctrlPr>
                    <w:rPr>
                      <w:rFonts w:ascii="Cambria Math" w:hAnsi="Cambria Math"/>
                      <w:i/>
                    </w:rPr>
                  </m:ctrlPr>
                </m:sSupPr>
                <m:e>
                  <m:sSub>
                    <m:sSubPr>
                      <m:ctrlPr>
                        <w:rPr>
                          <w:rFonts w:ascii="Cambria Math" w:hAnsi="Cambria Math"/>
                          <w:i/>
                        </w:rPr>
                      </m:ctrlPr>
                    </m:sSubPr>
                    <m:e>
                      <m:r>
                        <w:rPr>
                          <w:rFonts w:ascii="Cambria Math" w:hAnsi="Cambria Math"/>
                        </w:rPr>
                        <m:t>RC</m:t>
                      </m:r>
                    </m:e>
                    <m:sub>
                      <m:r>
                        <w:rPr>
                          <w:rFonts w:ascii="Cambria Math" w:hAnsi="Cambria Math"/>
                        </w:rPr>
                        <m:t>r,i</m:t>
                      </m:r>
                    </m:sub>
                  </m:sSub>
                </m:e>
                <m:sup>
                  <m:r>
                    <w:rPr>
                      <w:rFonts w:ascii="Cambria Math" w:hAnsi="Cambria Math"/>
                    </w:rPr>
                    <m:t>P</m:t>
                  </m:r>
                </m:sup>
              </m:sSup>
            </m:e>
            <m:sub>
              <m:r>
                <w:rPr>
                  <w:rFonts w:ascii="Cambria Math" w:hAnsi="Cambria Math"/>
                </w:rPr>
                <m:t>t=1</m:t>
              </m:r>
            </m:sub>
          </m:sSub>
          <m:r>
            <w:rPr>
              <w:rFonts w:ascii="Cambria Math" w:hAnsi="Cambria Math"/>
            </w:rPr>
            <m:t>∙</m:t>
          </m:r>
          <m:nary>
            <m:naryPr>
              <m:chr m:val="∑"/>
              <m:limLoc m:val="undOvr"/>
              <m:ctrlPr>
                <w:rPr>
                  <w:rFonts w:ascii="Cambria Math" w:hAnsi="Cambria Math"/>
                  <w:i/>
                </w:rPr>
              </m:ctrlPr>
            </m:naryPr>
            <m:sub>
              <m:r>
                <w:rPr>
                  <w:rFonts w:ascii="Cambria Math" w:hAnsi="Cambria Math"/>
                </w:rPr>
                <m:t>t=3</m:t>
              </m:r>
            </m:sub>
            <m:sup>
              <m:r>
                <w:rPr>
                  <w:rFonts w:ascii="Cambria Math" w:hAnsi="Cambria Math"/>
                </w:rPr>
                <m:t>10</m:t>
              </m:r>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1+ρ</m:t>
                          </m:r>
                        </m:e>
                      </m:d>
                    </m:e>
                    <m:sup>
                      <m:r>
                        <w:rPr>
                          <w:rFonts w:ascii="Cambria Math" w:hAnsi="Cambria Math"/>
                        </w:rPr>
                        <m:t>t-1</m:t>
                      </m:r>
                    </m:sup>
                  </m:sSup>
                </m:den>
              </m:f>
            </m:e>
          </m:nary>
        </m:oMath>
      </m:oMathPara>
    </w:p>
    <w:p w14:paraId="502ACB7C" w14:textId="77777777" w:rsidR="00D8365A" w:rsidRPr="00362517" w:rsidRDefault="00D8365A" w:rsidP="00BF6BC7"/>
    <w:p w14:paraId="14CD2AD1" w14:textId="77777777" w:rsidR="00D8365A" w:rsidRPr="00362517" w:rsidRDefault="00D8365A" w:rsidP="00BF6BC7">
      <w:r w:rsidRPr="00362517">
        <w:rPr>
          <w:u w:val="single"/>
        </w:rPr>
        <w:t>Step 5. Calculate Present Values of Jurisdiction Incremental Costs of Final Requirements.</w:t>
      </w:r>
      <w:r w:rsidRPr="00362517">
        <w:t xml:space="preserve">  We estimate the PV of incremental cost of the final requirement to each jurisdiction by subtracting the PV of the jurisdiction baseline cost from the PV of the jurisdiction cost of the final requirement:</w:t>
      </w:r>
    </w:p>
    <w:p w14:paraId="1DF05471" w14:textId="77777777" w:rsidR="00D8365A" w:rsidRPr="00362517" w:rsidRDefault="00D8365A" w:rsidP="00BF6BC7"/>
    <w:p w14:paraId="27E43597" w14:textId="77777777" w:rsidR="00D8365A" w:rsidRPr="00362517" w:rsidRDefault="00D8365A" w:rsidP="00BF6BC7">
      <m:oMathPara>
        <m:oMath>
          <m:r>
            <w:rPr>
              <w:rFonts w:ascii="Cambria Math" w:hAnsi="Cambria Math"/>
            </w:rPr>
            <m:t>PV</m:t>
          </m:r>
          <m:d>
            <m:dPr>
              <m:ctrlPr>
                <w:rPr>
                  <w:rFonts w:ascii="Cambria Math" w:hAnsi="Cambria Math"/>
                  <w:i/>
                </w:rPr>
              </m:ctrlPr>
            </m:dPr>
            <m:e>
              <m:sSub>
                <m:sSubPr>
                  <m:ctrlPr>
                    <w:rPr>
                      <w:rFonts w:ascii="Cambria Math" w:hAnsi="Cambria Math"/>
                      <w:i/>
                    </w:rPr>
                  </m:ctrlPr>
                </m:sSubPr>
                <m:e>
                  <m:r>
                    <w:rPr>
                      <w:rFonts w:ascii="Cambria Math" w:hAnsi="Cambria Math"/>
                    </w:rPr>
                    <m:t>RIC</m:t>
                  </m:r>
                </m:e>
                <m:sub>
                  <m:r>
                    <w:rPr>
                      <w:rFonts w:ascii="Cambria Math" w:hAnsi="Cambria Math"/>
                    </w:rPr>
                    <m:t>r,i</m:t>
                  </m:r>
                </m:sub>
              </m:sSub>
            </m:e>
          </m:d>
          <m:r>
            <w:rPr>
              <w:rFonts w:ascii="Cambria Math" w:hAnsi="Cambria Math"/>
            </w:rPr>
            <m:t>=PV</m:t>
          </m:r>
          <m:d>
            <m:dPr>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w:rPr>
                          <w:rFonts w:ascii="Cambria Math" w:hAnsi="Cambria Math"/>
                        </w:rPr>
                        <m:t>RC</m:t>
                      </m:r>
                    </m:e>
                    <m:sub>
                      <m:r>
                        <w:rPr>
                          <w:rFonts w:ascii="Cambria Math" w:hAnsi="Cambria Math"/>
                        </w:rPr>
                        <m:t>r,i</m:t>
                      </m:r>
                    </m:sub>
                  </m:sSub>
                </m:e>
                <m:sup>
                  <m:r>
                    <w:rPr>
                      <w:rFonts w:ascii="Cambria Math" w:hAnsi="Cambria Math"/>
                    </w:rPr>
                    <m:t>P</m:t>
                  </m:r>
                </m:sup>
              </m:sSup>
            </m:e>
          </m:d>
          <m:r>
            <w:rPr>
              <w:rFonts w:ascii="Cambria Math" w:hAnsi="Cambria Math"/>
            </w:rPr>
            <m:t>-PV</m:t>
          </m:r>
          <m:d>
            <m:dPr>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w:rPr>
                          <w:rFonts w:ascii="Cambria Math" w:hAnsi="Cambria Math"/>
                        </w:rPr>
                        <m:t>RC</m:t>
                      </m:r>
                    </m:e>
                    <m:sub>
                      <m:r>
                        <w:rPr>
                          <w:rFonts w:ascii="Cambria Math" w:hAnsi="Cambria Math"/>
                        </w:rPr>
                        <m:t>r,i</m:t>
                      </m:r>
                    </m:sub>
                  </m:sSub>
                </m:e>
                <m:sup>
                  <m:r>
                    <w:rPr>
                      <w:rFonts w:ascii="Cambria Math" w:hAnsi="Cambria Math"/>
                    </w:rPr>
                    <m:t>B</m:t>
                  </m:r>
                </m:sup>
              </m:sSup>
            </m:e>
          </m:d>
        </m:oMath>
      </m:oMathPara>
    </w:p>
    <w:p w14:paraId="78E8A0B8" w14:textId="77777777" w:rsidR="00D8365A" w:rsidRPr="00362517" w:rsidRDefault="00D8365A" w:rsidP="00BF6BC7"/>
    <w:p w14:paraId="0F6A9BE6" w14:textId="77777777" w:rsidR="00D8365A" w:rsidRPr="00362517" w:rsidRDefault="00D8365A" w:rsidP="00BF6BC7">
      <w:r w:rsidRPr="00362517">
        <w:t xml:space="preserve">where </w:t>
      </w:r>
      <w:r w:rsidRPr="00362517">
        <w:rPr>
          <w:i/>
        </w:rPr>
        <w:t>PV(RIC</w:t>
      </w:r>
      <w:r w:rsidRPr="00362517">
        <w:rPr>
          <w:i/>
          <w:vertAlign w:val="subscript"/>
        </w:rPr>
        <w:t>r,i</w:t>
      </w:r>
      <w:r w:rsidRPr="00362517">
        <w:rPr>
          <w:i/>
        </w:rPr>
        <w:t>)</w:t>
      </w:r>
      <w:r w:rsidRPr="00362517">
        <w:t xml:space="preserve"> is </w:t>
      </w:r>
      <w:bookmarkStart w:id="109" w:name="OLE_LINK63"/>
      <w:bookmarkStart w:id="110" w:name="OLE_LINK62"/>
      <w:r w:rsidRPr="00362517">
        <w:t xml:space="preserve">the present value of the stream of incremental cost of the final requirement over the jurisdiction baseline in </w:t>
      </w:r>
      <w:bookmarkEnd w:id="109"/>
      <w:bookmarkEnd w:id="110"/>
      <w:r w:rsidRPr="00362517">
        <w:t xml:space="preserve">jurisdiction </w:t>
      </w:r>
      <w:r w:rsidRPr="00362517">
        <w:rPr>
          <w:i/>
        </w:rPr>
        <w:t>i</w:t>
      </w:r>
      <w:r w:rsidRPr="00362517">
        <w:t xml:space="preserve">. </w:t>
      </w:r>
    </w:p>
    <w:p w14:paraId="07EB6D26" w14:textId="77777777" w:rsidR="00D8365A" w:rsidRPr="00362517" w:rsidRDefault="00D8365A" w:rsidP="00BF6BC7"/>
    <w:p w14:paraId="6DC6ECD2" w14:textId="77777777" w:rsidR="00D8365A" w:rsidRPr="00362517" w:rsidRDefault="00D8365A" w:rsidP="00BF6BC7">
      <w:r w:rsidRPr="00362517">
        <w:rPr>
          <w:u w:val="single"/>
        </w:rPr>
        <w:t>Step 6. Calculate National Costs of the Final Requirements, Baseline, and Incremental Costs and Annualize.</w:t>
      </w:r>
      <w:r w:rsidRPr="00362517">
        <w:t xml:space="preserve">  We sum the present values of jurisdiction level costs from Step 5 to obtain the present values of national costs for each final requirement (</w:t>
      </w:r>
      <w:r w:rsidRPr="00362517">
        <w:rPr>
          <w:i/>
        </w:rPr>
        <w:t>NC</w:t>
      </w:r>
      <w:r w:rsidRPr="00362517">
        <w:rPr>
          <w:i/>
          <w:vertAlign w:val="superscript"/>
        </w:rPr>
        <w:t>P</w:t>
      </w:r>
      <w:r w:rsidRPr="00362517">
        <w:rPr>
          <w:i/>
          <w:vertAlign w:val="subscript"/>
        </w:rPr>
        <w:t>r</w:t>
      </w:r>
      <w:r w:rsidRPr="00362517">
        <w:t>), the baseline requirement (</w:t>
      </w:r>
      <w:r w:rsidRPr="00362517">
        <w:rPr>
          <w:i/>
        </w:rPr>
        <w:t>NC</w:t>
      </w:r>
      <w:r w:rsidRPr="00362517">
        <w:rPr>
          <w:i/>
          <w:vertAlign w:val="superscript"/>
        </w:rPr>
        <w:t>B</w:t>
      </w:r>
      <w:r w:rsidRPr="00362517">
        <w:rPr>
          <w:i/>
          <w:vertAlign w:val="subscript"/>
        </w:rPr>
        <w:t>r</w:t>
      </w:r>
      <w:r w:rsidRPr="00362517">
        <w:t>), and the national incremental cost (</w:t>
      </w:r>
      <w:r w:rsidRPr="00362517">
        <w:rPr>
          <w:i/>
        </w:rPr>
        <w:t>NIC</w:t>
      </w:r>
      <w:r w:rsidRPr="00362517">
        <w:rPr>
          <w:i/>
          <w:vertAlign w:val="subscript"/>
        </w:rPr>
        <w:t>r</w:t>
      </w:r>
      <w:r w:rsidRPr="00362517">
        <w:t>) where</w:t>
      </w:r>
    </w:p>
    <w:p w14:paraId="03781FF7" w14:textId="77777777" w:rsidR="00D8365A" w:rsidRPr="00362517" w:rsidRDefault="00D8365A" w:rsidP="00BF6BC7"/>
    <w:p w14:paraId="326EFAF5" w14:textId="77777777" w:rsidR="00D8365A" w:rsidRPr="00362517" w:rsidRDefault="00D8365A" w:rsidP="00BF6BC7">
      <m:oMathPara>
        <m:oMath>
          <m:r>
            <w:rPr>
              <w:rFonts w:ascii="Cambria Math" w:hAnsi="Cambria Math"/>
            </w:rPr>
            <m:t>PV</m:t>
          </m:r>
          <m:d>
            <m:dPr>
              <m:ctrlPr>
                <w:rPr>
                  <w:rFonts w:ascii="Cambria Math" w:hAnsi="Cambria Math"/>
                </w:rPr>
              </m:ctrlPr>
            </m:dPr>
            <m:e>
              <m:sSup>
                <m:sSupPr>
                  <m:ctrlPr>
                    <w:rPr>
                      <w:rFonts w:ascii="Cambria Math" w:hAnsi="Cambria Math"/>
                    </w:rPr>
                  </m:ctrlPr>
                </m:sSupPr>
                <m:e>
                  <m:sSub>
                    <m:sSubPr>
                      <m:ctrlPr>
                        <w:rPr>
                          <w:rFonts w:ascii="Cambria Math" w:hAnsi="Cambria Math"/>
                        </w:rPr>
                      </m:ctrlPr>
                    </m:sSubPr>
                    <m:e>
                      <m:r>
                        <w:rPr>
                          <w:rFonts w:ascii="Cambria Math" w:hAnsi="Cambria Math"/>
                        </w:rPr>
                        <m:t>NC</m:t>
                      </m:r>
                    </m:e>
                    <m:sub>
                      <m:r>
                        <w:rPr>
                          <w:rFonts w:ascii="Cambria Math" w:hAnsi="Cambria Math"/>
                        </w:rPr>
                        <m:t>r</m:t>
                      </m:r>
                    </m:sub>
                  </m:sSub>
                </m:e>
                <m:sup>
                  <m:r>
                    <w:rPr>
                      <w:rFonts w:ascii="Cambria Math" w:hAnsi="Cambria Math"/>
                    </w:rPr>
                    <m:t>X</m:t>
                  </m:r>
                </m:sup>
              </m:sSup>
            </m:e>
          </m:d>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r>
                <w:rPr>
                  <w:rFonts w:ascii="Cambria Math" w:hAnsi="Cambria Math"/>
                </w:rPr>
                <m:t>PV</m:t>
              </m:r>
              <m:d>
                <m:dPr>
                  <m:ctrlPr>
                    <w:rPr>
                      <w:rFonts w:ascii="Cambria Math" w:hAnsi="Cambria Math"/>
                    </w:rPr>
                  </m:ctrlPr>
                </m:dPr>
                <m:e>
                  <m:sSup>
                    <m:sSupPr>
                      <m:ctrlPr>
                        <w:rPr>
                          <w:rFonts w:ascii="Cambria Math" w:hAnsi="Cambria Math"/>
                        </w:rPr>
                      </m:ctrlPr>
                    </m:sSupPr>
                    <m:e>
                      <m:sSub>
                        <m:sSubPr>
                          <m:ctrlPr>
                            <w:rPr>
                              <w:rFonts w:ascii="Cambria Math" w:hAnsi="Cambria Math"/>
                            </w:rPr>
                          </m:ctrlPr>
                        </m:sSubPr>
                        <m:e>
                          <m:r>
                            <w:rPr>
                              <w:rFonts w:ascii="Cambria Math" w:hAnsi="Cambria Math"/>
                            </w:rPr>
                            <m:t>RC</m:t>
                          </m:r>
                        </m:e>
                        <m:sub>
                          <m:r>
                            <w:rPr>
                              <w:rFonts w:ascii="Cambria Math" w:hAnsi="Cambria Math"/>
                            </w:rPr>
                            <m:t>r</m:t>
                          </m:r>
                          <m:r>
                            <m:rPr>
                              <m:sty m:val="p"/>
                            </m:rPr>
                            <w:rPr>
                              <w:rFonts w:ascii="Cambria Math" w:hAnsi="Cambria Math"/>
                            </w:rPr>
                            <m:t>,</m:t>
                          </m:r>
                          <m:r>
                            <w:rPr>
                              <w:rFonts w:ascii="Cambria Math" w:hAnsi="Cambria Math"/>
                            </w:rPr>
                            <m:t>i</m:t>
                          </m:r>
                        </m:sub>
                      </m:sSub>
                    </m:e>
                    <m:sup>
                      <m:r>
                        <w:rPr>
                          <w:rFonts w:ascii="Cambria Math" w:hAnsi="Cambria Math"/>
                        </w:rPr>
                        <m:t>X</m:t>
                      </m:r>
                    </m:sup>
                  </m:sSup>
                </m:e>
              </m:d>
            </m:e>
          </m:nary>
        </m:oMath>
      </m:oMathPara>
    </w:p>
    <w:p w14:paraId="669E53A1" w14:textId="77777777" w:rsidR="00D8365A" w:rsidRPr="00362517" w:rsidRDefault="00D8365A" w:rsidP="00BF6BC7">
      <w:r w:rsidRPr="00362517">
        <w:t>and</w:t>
      </w:r>
    </w:p>
    <w:p w14:paraId="62FB4464" w14:textId="77777777" w:rsidR="00D8365A" w:rsidRPr="00362517" w:rsidRDefault="00D8365A" w:rsidP="00BF6BC7"/>
    <w:p w14:paraId="5C7BA8A9" w14:textId="77777777" w:rsidR="00D8365A" w:rsidRPr="00362517" w:rsidRDefault="00D8365A" w:rsidP="00BF6BC7">
      <m:oMathPara>
        <m:oMath>
          <m:r>
            <w:rPr>
              <w:rFonts w:ascii="Cambria Math" w:hAnsi="Cambria Math"/>
            </w:rPr>
            <m:t>PV</m:t>
          </m:r>
          <m:d>
            <m:dPr>
              <m:ctrlPr>
                <w:rPr>
                  <w:rFonts w:ascii="Cambria Math" w:hAnsi="Cambria Math"/>
                </w:rPr>
              </m:ctrlPr>
            </m:dPr>
            <m:e>
              <m:sSub>
                <m:sSubPr>
                  <m:ctrlPr>
                    <w:rPr>
                      <w:rFonts w:ascii="Cambria Math" w:hAnsi="Cambria Math"/>
                    </w:rPr>
                  </m:ctrlPr>
                </m:sSubPr>
                <m:e>
                  <m:r>
                    <w:rPr>
                      <w:rFonts w:ascii="Cambria Math" w:hAnsi="Cambria Math"/>
                    </w:rPr>
                    <m:t>NIC</m:t>
                  </m:r>
                </m:e>
                <m:sub>
                  <m:r>
                    <w:rPr>
                      <w:rFonts w:ascii="Cambria Math" w:hAnsi="Cambria Math"/>
                    </w:rPr>
                    <m:t>r</m:t>
                  </m:r>
                </m:sub>
              </m:sSub>
            </m:e>
          </m:d>
          <m:r>
            <m:rPr>
              <m:sty m:val="p"/>
            </m:rPr>
            <w:rPr>
              <w:rFonts w:ascii="Cambria Math" w:hAnsi="Cambria Math"/>
            </w:rPr>
            <m:t xml:space="preserve">= </m:t>
          </m:r>
          <m:r>
            <w:rPr>
              <w:rFonts w:ascii="Cambria Math" w:hAnsi="Cambria Math"/>
            </w:rPr>
            <m:t>PV</m:t>
          </m:r>
          <m:d>
            <m:dPr>
              <m:ctrlPr>
                <w:rPr>
                  <w:rFonts w:ascii="Cambria Math" w:hAnsi="Cambria Math"/>
                </w:rPr>
              </m:ctrlPr>
            </m:dPr>
            <m:e>
              <m:sSup>
                <m:sSupPr>
                  <m:ctrlPr>
                    <w:rPr>
                      <w:rFonts w:ascii="Cambria Math" w:hAnsi="Cambria Math"/>
                    </w:rPr>
                  </m:ctrlPr>
                </m:sSupPr>
                <m:e>
                  <m:sSub>
                    <m:sSubPr>
                      <m:ctrlPr>
                        <w:rPr>
                          <w:rFonts w:ascii="Cambria Math" w:hAnsi="Cambria Math"/>
                        </w:rPr>
                      </m:ctrlPr>
                    </m:sSubPr>
                    <m:e>
                      <m:r>
                        <w:rPr>
                          <w:rFonts w:ascii="Cambria Math" w:hAnsi="Cambria Math"/>
                        </w:rPr>
                        <m:t>NC</m:t>
                      </m:r>
                    </m:e>
                    <m:sub>
                      <m:r>
                        <w:rPr>
                          <w:rFonts w:ascii="Cambria Math" w:hAnsi="Cambria Math"/>
                        </w:rPr>
                        <m:t>r</m:t>
                      </m:r>
                    </m:sub>
                  </m:sSub>
                </m:e>
                <m:sup>
                  <m:r>
                    <w:rPr>
                      <w:rFonts w:ascii="Cambria Math" w:hAnsi="Cambria Math"/>
                    </w:rPr>
                    <m:t>P</m:t>
                  </m:r>
                </m:sup>
              </m:sSup>
            </m:e>
          </m:d>
          <m:r>
            <m:rPr>
              <m:sty m:val="p"/>
            </m:rPr>
            <w:rPr>
              <w:rFonts w:ascii="Cambria Math" w:hAnsi="Cambria Math"/>
            </w:rPr>
            <m:t>-</m:t>
          </m:r>
          <m:r>
            <w:rPr>
              <w:rFonts w:ascii="Cambria Math" w:hAnsi="Cambria Math"/>
            </w:rPr>
            <m:t>PV</m:t>
          </m:r>
          <m:d>
            <m:dPr>
              <m:ctrlPr>
                <w:rPr>
                  <w:rFonts w:ascii="Cambria Math" w:hAnsi="Cambria Math"/>
                </w:rPr>
              </m:ctrlPr>
            </m:dPr>
            <m:e>
              <m:sSup>
                <m:sSupPr>
                  <m:ctrlPr>
                    <w:rPr>
                      <w:rFonts w:ascii="Cambria Math" w:hAnsi="Cambria Math"/>
                    </w:rPr>
                  </m:ctrlPr>
                </m:sSupPr>
                <m:e>
                  <m:sSub>
                    <m:sSubPr>
                      <m:ctrlPr>
                        <w:rPr>
                          <w:rFonts w:ascii="Cambria Math" w:hAnsi="Cambria Math"/>
                        </w:rPr>
                      </m:ctrlPr>
                    </m:sSubPr>
                    <m:e>
                      <m:r>
                        <w:rPr>
                          <w:rFonts w:ascii="Cambria Math" w:hAnsi="Cambria Math"/>
                        </w:rPr>
                        <m:t>NC</m:t>
                      </m:r>
                    </m:e>
                    <m:sub>
                      <m:r>
                        <w:rPr>
                          <w:rFonts w:ascii="Cambria Math" w:hAnsi="Cambria Math"/>
                        </w:rPr>
                        <m:t>r</m:t>
                      </m:r>
                    </m:sub>
                  </m:sSub>
                </m:e>
                <m:sup>
                  <m:r>
                    <w:rPr>
                      <w:rFonts w:ascii="Cambria Math" w:hAnsi="Cambria Math"/>
                    </w:rPr>
                    <m:t>B</m:t>
                  </m:r>
                </m:sup>
              </m:sSup>
            </m:e>
          </m:d>
        </m:oMath>
      </m:oMathPara>
    </w:p>
    <w:p w14:paraId="0F0250A9" w14:textId="77777777" w:rsidR="00D8365A" w:rsidRPr="00362517" w:rsidRDefault="00D8365A" w:rsidP="00BF6BC7">
      <w:pPr>
        <w:jc w:val="center"/>
        <w:rPr>
          <w:position w:val="-30"/>
        </w:rPr>
      </w:pPr>
    </w:p>
    <w:p w14:paraId="66DD2122" w14:textId="77777777" w:rsidR="00D8365A" w:rsidRPr="00362517" w:rsidRDefault="00D8365A" w:rsidP="00BF6BC7">
      <w:r w:rsidRPr="00362517">
        <w:t>Finally, the PV of national costs are annualized over 10 years at the appropriate discount rate.  This annualized cost is the estimated per year cost of the requirement.</w:t>
      </w:r>
    </w:p>
    <w:p w14:paraId="4C4D08F7" w14:textId="77777777" w:rsidR="00D8365A" w:rsidRPr="00362517" w:rsidRDefault="00D8365A" w:rsidP="00BF6BC7"/>
    <w:p w14:paraId="425DCFFC" w14:textId="77777777" w:rsidR="00D8365A" w:rsidRPr="00362517" w:rsidRDefault="007B6E49" w:rsidP="00BF6BC7">
      <m:oMathPara>
        <m:oMath>
          <m:sSub>
            <m:sSubPr>
              <m:ctrlPr>
                <w:rPr>
                  <w:rFonts w:ascii="Cambria Math" w:hAnsi="Cambria Math"/>
                  <w:i/>
                </w:rPr>
              </m:ctrlPr>
            </m:sSubPr>
            <m:e>
              <m:r>
                <w:rPr>
                  <w:rFonts w:ascii="Cambria Math" w:hAnsi="Cambria Math"/>
                </w:rPr>
                <m:t>AIC</m:t>
              </m:r>
            </m:e>
            <m:sub>
              <m:r>
                <w:rPr>
                  <w:rFonts w:ascii="Cambria Math" w:hAnsi="Cambria Math"/>
                </w:rPr>
                <m:t>r</m:t>
              </m:r>
            </m:sub>
          </m:sSub>
          <m:r>
            <w:rPr>
              <w:rFonts w:ascii="Cambria Math" w:hAnsi="Cambria Math"/>
            </w:rPr>
            <m:t>=PV(</m:t>
          </m:r>
          <m:sSub>
            <m:sSubPr>
              <m:ctrlPr>
                <w:rPr>
                  <w:rFonts w:ascii="Cambria Math" w:hAnsi="Cambria Math"/>
                  <w:i/>
                </w:rPr>
              </m:ctrlPr>
            </m:sSubPr>
            <m:e>
              <m:r>
                <w:rPr>
                  <w:rFonts w:ascii="Cambria Math" w:hAnsi="Cambria Math"/>
                </w:rPr>
                <m:t>NIC</m:t>
              </m:r>
            </m:e>
            <m:sub>
              <m:r>
                <w:rPr>
                  <w:rFonts w:ascii="Cambria Math" w:hAnsi="Cambria Math"/>
                </w:rPr>
                <m:t>r</m:t>
              </m:r>
            </m:sub>
          </m:sSub>
          <m:r>
            <w:rPr>
              <w:rFonts w:ascii="Cambria Math" w:hAnsi="Cambria Math"/>
            </w:rPr>
            <m:t>)×</m:t>
          </m:r>
          <m:f>
            <m:fPr>
              <m:ctrlPr>
                <w:rPr>
                  <w:rFonts w:ascii="Cambria Math" w:hAnsi="Cambria Math"/>
                  <w:i/>
                </w:rPr>
              </m:ctrlPr>
            </m:fPr>
            <m:num>
              <m:r>
                <w:rPr>
                  <w:rFonts w:ascii="Cambria Math" w:hAnsi="Cambria Math"/>
                </w:rPr>
                <m:t>ρ∙</m:t>
              </m:r>
              <m:sSup>
                <m:sSupPr>
                  <m:ctrlPr>
                    <w:rPr>
                      <w:rFonts w:ascii="Cambria Math" w:hAnsi="Cambria Math"/>
                      <w:i/>
                    </w:rPr>
                  </m:ctrlPr>
                </m:sSupPr>
                <m:e>
                  <m:r>
                    <w:rPr>
                      <w:rFonts w:ascii="Cambria Math" w:hAnsi="Cambria Math"/>
                    </w:rPr>
                    <m:t>(1+ρ)</m:t>
                  </m:r>
                </m:e>
                <m:sup>
                  <m:r>
                    <w:rPr>
                      <w:rFonts w:ascii="Cambria Math" w:hAnsi="Cambria Math"/>
                    </w:rPr>
                    <m:t>10</m:t>
                  </m:r>
                </m:sup>
              </m:sSup>
            </m:num>
            <m:den>
              <m:sSup>
                <m:sSupPr>
                  <m:ctrlPr>
                    <w:rPr>
                      <w:rFonts w:ascii="Cambria Math" w:hAnsi="Cambria Math"/>
                      <w:i/>
                    </w:rPr>
                  </m:ctrlPr>
                </m:sSupPr>
                <m:e>
                  <m:r>
                    <w:rPr>
                      <w:rFonts w:ascii="Cambria Math" w:hAnsi="Cambria Math"/>
                    </w:rPr>
                    <m:t>(1+ρ)</m:t>
                  </m:r>
                </m:e>
                <m:sup>
                  <m:r>
                    <w:rPr>
                      <w:rFonts w:ascii="Cambria Math" w:hAnsi="Cambria Math"/>
                    </w:rPr>
                    <m:t>10</m:t>
                  </m:r>
                </m:sup>
              </m:sSup>
              <m:r>
                <w:rPr>
                  <w:rFonts w:ascii="Cambria Math" w:hAnsi="Cambria Math"/>
                </w:rPr>
                <m:t>-1</m:t>
              </m:r>
            </m:den>
          </m:f>
        </m:oMath>
      </m:oMathPara>
    </w:p>
    <w:p w14:paraId="2400D1BD" w14:textId="77777777" w:rsidR="00D8365A" w:rsidRPr="00362517" w:rsidRDefault="00D8365A" w:rsidP="00BF6BC7"/>
    <w:p w14:paraId="4E7AF54F" w14:textId="77777777" w:rsidR="00D8365A" w:rsidRPr="00362517" w:rsidRDefault="00D8365A" w:rsidP="00BF6BC7"/>
    <w:p w14:paraId="5E21B3A2" w14:textId="77777777" w:rsidR="00D8365A" w:rsidRPr="00362517" w:rsidRDefault="00D8365A" w:rsidP="00BF6BC7">
      <w:pPr>
        <w:pStyle w:val="Heading3"/>
      </w:pPr>
      <w:bookmarkStart w:id="111" w:name="_Toc395788100"/>
      <w:bookmarkStart w:id="112" w:name="_Toc396483156"/>
      <w:bookmarkStart w:id="113" w:name="_Toc452020137"/>
      <w:bookmarkStart w:id="114" w:name="_Toc456270160"/>
      <w:bookmarkStart w:id="115" w:name="_Toc468872076"/>
      <w:r w:rsidRPr="00362517">
        <w:t>3.2.2</w:t>
      </w:r>
      <w:r w:rsidRPr="00362517">
        <w:tab/>
        <w:t>Example Methodology</w:t>
      </w:r>
      <w:bookmarkEnd w:id="111"/>
      <w:bookmarkEnd w:id="112"/>
      <w:bookmarkEnd w:id="113"/>
      <w:bookmarkEnd w:id="114"/>
      <w:bookmarkEnd w:id="115"/>
    </w:p>
    <w:p w14:paraId="4DF5492F" w14:textId="77777777" w:rsidR="00D8365A" w:rsidRPr="00362517" w:rsidRDefault="00D8365A" w:rsidP="00BF6BC7"/>
    <w:p w14:paraId="5605692A" w14:textId="77777777" w:rsidR="00D8365A" w:rsidRPr="00362517" w:rsidRDefault="00D8365A" w:rsidP="00BF6BC7">
      <w:r w:rsidRPr="00362517">
        <w:t xml:space="preserve">In the following example we apply the general 6-step methodology to the final requirement of initial certification for a commercial applicator </w:t>
      </w:r>
      <w:bookmarkStart w:id="116" w:name="OLE_LINK118"/>
      <w:r w:rsidRPr="00362517">
        <w:t xml:space="preserve">which will require </w:t>
      </w:r>
      <w:bookmarkStart w:id="117" w:name="OLE_LINK34"/>
      <w:bookmarkStart w:id="118" w:name="OLE_LINK33"/>
      <w:r w:rsidRPr="00362517">
        <w:t xml:space="preserve">commercial applicators who intend to apply RUPs aerially </w:t>
      </w:r>
      <w:bookmarkEnd w:id="117"/>
      <w:bookmarkEnd w:id="118"/>
      <w:r w:rsidRPr="00362517">
        <w:t xml:space="preserve">to be certified in a commercial aerial certification category.  In this example, we are evaluating the costs imposed on commercial applicators, but there are also costs to jurisdictions of developing and administering aerial applicator exams. The costs to jurisdictions are calculated separately (see Appendix A, sections 2.1.1.2 and 2.1.1.3). </w:t>
      </w:r>
      <w:bookmarkEnd w:id="116"/>
    </w:p>
    <w:p w14:paraId="28A048FA" w14:textId="77777777" w:rsidR="00D8365A" w:rsidRPr="00362517" w:rsidRDefault="00D8365A" w:rsidP="00BF6BC7"/>
    <w:p w14:paraId="281C54B2" w14:textId="77777777" w:rsidR="00D8365A" w:rsidRPr="00362517" w:rsidRDefault="00D8365A" w:rsidP="00BF6BC7">
      <w:r w:rsidRPr="00362517">
        <w:t xml:space="preserve">Step 1.   Calculate the Baseline Unit Costs (Per-Actor Costs).  </w:t>
      </w:r>
    </w:p>
    <w:p w14:paraId="61E9FB24" w14:textId="77777777" w:rsidR="00D8365A" w:rsidRPr="00362517" w:rsidRDefault="00D8365A" w:rsidP="00BF6BC7"/>
    <w:p w14:paraId="6854830B" w14:textId="77777777" w:rsidR="00D8365A" w:rsidRPr="00362517" w:rsidRDefault="00D8365A" w:rsidP="00BF6BC7">
      <w:r w:rsidRPr="00362517">
        <w:t>Based on data from the Certification Plan and Reporting Database</w:t>
      </w:r>
      <w:r w:rsidRPr="00362517">
        <w:rPr>
          <w:rStyle w:val="FootnoteReference"/>
        </w:rPr>
        <w:footnoteReference w:id="7"/>
      </w:r>
      <w:r w:rsidRPr="00362517">
        <w:t xml:space="preserve"> (CPARD), 18 states (listed in Table 3.2-2) and Puerto Rico, do not require an aerial category certification (CPARD, 2015).  Existing and first-time aerial commercial applicators in these jurisdictions currently bear no certification costs.  Certifying authorities in 32 states require aerial category certification by exam, and are in full compliance with the final requirement as explained in Step 2.  Other jurisdictions are assumed to either have the aerial category or do not need one.  EPA estimates that all aerial applicators in these jurisdictions are employed by federal agencies which either have a certification program (for example, Department of Defense) or will go through the state certification program.</w:t>
      </w:r>
    </w:p>
    <w:p w14:paraId="0D343D94" w14:textId="77777777" w:rsidR="00D8365A" w:rsidRPr="00362517" w:rsidRDefault="00D8365A" w:rsidP="00BF6BC7"/>
    <w:p w14:paraId="282AFE8E" w14:textId="77777777" w:rsidR="00D8365A" w:rsidRPr="00362517" w:rsidRDefault="00D8365A" w:rsidP="00BF6BC7"/>
    <w:p w14:paraId="14745260" w14:textId="77777777" w:rsidR="00D8365A" w:rsidRPr="00362517" w:rsidRDefault="00D8365A" w:rsidP="00BF6BC7">
      <w:r w:rsidRPr="00362517">
        <w:t>Step 2. Calculate the Per-Actor Costs of Final Requirement.</w:t>
      </w:r>
    </w:p>
    <w:p w14:paraId="4D88D69C" w14:textId="77777777" w:rsidR="00D8365A" w:rsidRPr="00362517" w:rsidRDefault="00D8365A" w:rsidP="00BF6BC7"/>
    <w:p w14:paraId="159DFF2F" w14:textId="181CD95E" w:rsidR="00D8365A" w:rsidRPr="00362517" w:rsidRDefault="00D8365A" w:rsidP="00BF6BC7">
      <w:r w:rsidRPr="00362517">
        <w:t xml:space="preserve">The actors are </w:t>
      </w:r>
      <w:bookmarkStart w:id="119" w:name="OLE_LINK56"/>
      <w:bookmarkStart w:id="120" w:name="OLE_LINK55"/>
      <w:r w:rsidRPr="00362517">
        <w:t>the existing and first-time commercial applicators who intend to apply RUPs aerially</w:t>
      </w:r>
      <w:bookmarkEnd w:id="119"/>
      <w:bookmarkEnd w:id="120"/>
      <w:r w:rsidRPr="00362517">
        <w:t xml:space="preserve">.  These commercial applicators are presumed to be certified in an existing certification category (e.g., crop protection or forestry, etc.).  EPA estimated that they would be required to obtain certification in the aerial category even if they already apply RUPs by air (certifying authorities may consider currently certified applicators who have met or exceeded the federal standard in the final rule to be grandfathered into the certifying authority’s category).  Existing aerial applicators are expected to expend about 6 hours of effort </w:t>
      </w:r>
      <w:r w:rsidR="00DC73A6">
        <w:t xml:space="preserve">on average </w:t>
      </w:r>
      <w:r w:rsidRPr="00362517">
        <w:t xml:space="preserve">to prepare for and take the exam, while first-time aerial applicators are expected to expend about 8 hours of effort </w:t>
      </w:r>
      <w:r w:rsidR="00DC73A6">
        <w:t xml:space="preserve">on average, </w:t>
      </w:r>
      <w:r w:rsidRPr="00362517">
        <w:t>since they do not have practical experience.</w:t>
      </w:r>
      <w:r w:rsidR="00DC73A6">
        <w:t xml:space="preserve">  The expected times to prepare and take the exams are averages across the range of applicators – some of whom may pass exams with minimal preparation because of their prior knowledge and experience, while some may need more study and others may fail an exam and require more time to study and</w:t>
      </w:r>
      <w:r w:rsidR="009B107A">
        <w:t xml:space="preserve"> multiple attempts to pass an exam</w:t>
      </w:r>
      <w:r w:rsidR="00DC73A6">
        <w:t>.</w:t>
      </w:r>
      <w:r w:rsidRPr="00362517">
        <w:t xml:space="preserve">  The wage rate for existing and first-time aerial applicators is $73.15 per hour (Lake Area Technical Institute, undated). To calculate the per-actor costs to existing and first-time aerial applicators, we multiply the wage rate by the number of hours required of them to complete the certification exam.  This is a one-time cost for the applicator to become certified.  Costs of maintaining certification (recertification) are calculated as part of the recertification requirements (Section 3.4.6).  The per-actor costs are $535 and $681 for existing and first-time aerial applicators, respectively.  Table 3.2-1 presents the per-actor costs for the final requirement for jurisdictions that currently lack an aerial category.  For jurisdictions that have established an aerial category, baseline and final requirements are represented by the cost for first-time aerial applicators.  Existing applicators only bear the costs of recertification.</w:t>
      </w:r>
    </w:p>
    <w:p w14:paraId="69535FC0" w14:textId="77777777" w:rsidR="00D8365A" w:rsidRPr="00362517" w:rsidRDefault="00D8365A" w:rsidP="00BF6BC7"/>
    <w:p w14:paraId="3E8D3300" w14:textId="77777777" w:rsidR="00D8365A" w:rsidRPr="00362517" w:rsidRDefault="00D8365A" w:rsidP="00BF6BC7">
      <w:pPr>
        <w:keepNext/>
        <w:keepLines/>
        <w:tabs>
          <w:tab w:val="left" w:pos="1152"/>
          <w:tab w:val="left" w:pos="1296"/>
        </w:tabs>
        <w:rPr>
          <w:b/>
          <w:szCs w:val="20"/>
        </w:rPr>
      </w:pPr>
      <w:bookmarkStart w:id="121" w:name="_Ref281916892"/>
      <w:r w:rsidRPr="00362517">
        <w:rPr>
          <w:b/>
          <w:szCs w:val="20"/>
        </w:rPr>
        <w:t xml:space="preserve">Table </w:t>
      </w:r>
      <w:bookmarkEnd w:id="121"/>
      <w:r w:rsidRPr="00362517">
        <w:rPr>
          <w:b/>
          <w:szCs w:val="20"/>
        </w:rPr>
        <w:t>3.2-1: Per-Actor Cost for Certification of Commercial Applicators in Aerial Category</w:t>
      </w:r>
    </w:p>
    <w:tbl>
      <w:tblPr>
        <w:tblStyle w:val="TableGrid"/>
        <w:tblW w:w="5000" w:type="pct"/>
        <w:tblLook w:val="04A0" w:firstRow="1" w:lastRow="0" w:firstColumn="1" w:lastColumn="0" w:noHBand="0" w:noVBand="1"/>
      </w:tblPr>
      <w:tblGrid>
        <w:gridCol w:w="3016"/>
        <w:gridCol w:w="1801"/>
        <w:gridCol w:w="1715"/>
        <w:gridCol w:w="1459"/>
        <w:gridCol w:w="1359"/>
      </w:tblGrid>
      <w:tr w:rsidR="00D8365A" w:rsidRPr="00362517" w14:paraId="0AE97AE5" w14:textId="77777777" w:rsidTr="007A2164">
        <w:tc>
          <w:tcPr>
            <w:tcW w:w="1613" w:type="pct"/>
            <w:tcBorders>
              <w:top w:val="single" w:sz="4" w:space="0" w:color="auto"/>
              <w:left w:val="single" w:sz="4" w:space="0" w:color="auto"/>
              <w:bottom w:val="single" w:sz="4" w:space="0" w:color="auto"/>
              <w:right w:val="single" w:sz="4" w:space="0" w:color="auto"/>
            </w:tcBorders>
            <w:hideMark/>
          </w:tcPr>
          <w:p w14:paraId="49EA5034" w14:textId="77777777" w:rsidR="00D8365A" w:rsidRPr="00362517" w:rsidRDefault="00D8365A" w:rsidP="00BF6BC7">
            <w:r w:rsidRPr="00362517">
              <w:t>Activity</w:t>
            </w:r>
          </w:p>
        </w:tc>
        <w:tc>
          <w:tcPr>
            <w:tcW w:w="963" w:type="pct"/>
            <w:tcBorders>
              <w:top w:val="single" w:sz="4" w:space="0" w:color="auto"/>
              <w:left w:val="single" w:sz="4" w:space="0" w:color="auto"/>
              <w:bottom w:val="single" w:sz="4" w:space="0" w:color="auto"/>
              <w:right w:val="single" w:sz="4" w:space="0" w:color="auto"/>
            </w:tcBorders>
            <w:hideMark/>
          </w:tcPr>
          <w:p w14:paraId="3D13C67D" w14:textId="77777777" w:rsidR="00D8365A" w:rsidRPr="00362517" w:rsidRDefault="00D8365A" w:rsidP="00BF6BC7">
            <w:pPr>
              <w:jc w:val="center"/>
            </w:pPr>
            <w:r w:rsidRPr="00362517">
              <w:t>Wage Rate</w:t>
            </w:r>
          </w:p>
        </w:tc>
        <w:tc>
          <w:tcPr>
            <w:tcW w:w="917" w:type="pct"/>
            <w:tcBorders>
              <w:top w:val="single" w:sz="4" w:space="0" w:color="auto"/>
              <w:left w:val="single" w:sz="4" w:space="0" w:color="auto"/>
              <w:bottom w:val="single" w:sz="4" w:space="0" w:color="auto"/>
              <w:right w:val="single" w:sz="4" w:space="0" w:color="auto"/>
            </w:tcBorders>
            <w:hideMark/>
          </w:tcPr>
          <w:p w14:paraId="3AB27CF5" w14:textId="761E2414" w:rsidR="00D8365A" w:rsidRPr="00362517" w:rsidRDefault="00DC73A6" w:rsidP="00BF6BC7">
            <w:pPr>
              <w:jc w:val="center"/>
            </w:pPr>
            <w:r>
              <w:t xml:space="preserve">Average </w:t>
            </w:r>
            <w:r w:rsidR="00D8365A" w:rsidRPr="00362517">
              <w:t>Time</w:t>
            </w:r>
          </w:p>
        </w:tc>
        <w:tc>
          <w:tcPr>
            <w:tcW w:w="780" w:type="pct"/>
            <w:tcBorders>
              <w:top w:val="single" w:sz="4" w:space="0" w:color="auto"/>
              <w:left w:val="single" w:sz="4" w:space="0" w:color="auto"/>
              <w:bottom w:val="single" w:sz="4" w:space="0" w:color="auto"/>
              <w:right w:val="single" w:sz="4" w:space="0" w:color="auto"/>
            </w:tcBorders>
            <w:hideMark/>
          </w:tcPr>
          <w:p w14:paraId="6C708AC8" w14:textId="77777777" w:rsidR="00D8365A" w:rsidRPr="00362517" w:rsidRDefault="00D8365A" w:rsidP="00BF6BC7">
            <w:pPr>
              <w:jc w:val="center"/>
            </w:pPr>
            <w:r w:rsidRPr="00362517">
              <w:t>Frequency</w:t>
            </w:r>
          </w:p>
        </w:tc>
        <w:tc>
          <w:tcPr>
            <w:tcW w:w="726" w:type="pct"/>
            <w:tcBorders>
              <w:top w:val="single" w:sz="4" w:space="0" w:color="auto"/>
              <w:left w:val="single" w:sz="4" w:space="0" w:color="auto"/>
              <w:bottom w:val="single" w:sz="4" w:space="0" w:color="auto"/>
              <w:right w:val="single" w:sz="4" w:space="0" w:color="auto"/>
            </w:tcBorders>
            <w:hideMark/>
          </w:tcPr>
          <w:p w14:paraId="34891B4F" w14:textId="77777777" w:rsidR="00D8365A" w:rsidRPr="00362517" w:rsidRDefault="00D8365A" w:rsidP="00BF6BC7">
            <w:pPr>
              <w:jc w:val="center"/>
            </w:pPr>
            <w:r w:rsidRPr="00362517">
              <w:t>Cost</w:t>
            </w:r>
          </w:p>
        </w:tc>
      </w:tr>
      <w:tr w:rsidR="00D8365A" w:rsidRPr="00362517" w14:paraId="6F3AED00" w14:textId="77777777" w:rsidTr="007A2164">
        <w:tc>
          <w:tcPr>
            <w:tcW w:w="5000" w:type="pct"/>
            <w:gridSpan w:val="5"/>
            <w:tcBorders>
              <w:top w:val="single" w:sz="4" w:space="0" w:color="auto"/>
              <w:left w:val="single" w:sz="4" w:space="0" w:color="auto"/>
              <w:bottom w:val="single" w:sz="4" w:space="0" w:color="auto"/>
              <w:right w:val="single" w:sz="4" w:space="0" w:color="auto"/>
            </w:tcBorders>
            <w:hideMark/>
          </w:tcPr>
          <w:p w14:paraId="3A1C6AD3" w14:textId="77777777" w:rsidR="00D8365A" w:rsidRPr="00362517" w:rsidRDefault="00D8365A" w:rsidP="00BF6BC7">
            <w:pPr>
              <w:jc w:val="center"/>
            </w:pPr>
            <w:bookmarkStart w:id="122" w:name="OLE_LINK153"/>
            <w:bookmarkStart w:id="123" w:name="OLE_LINK160"/>
            <w:r w:rsidRPr="00362517">
              <w:t>Existing Aerial Commercial Applicator</w:t>
            </w:r>
            <w:bookmarkEnd w:id="122"/>
            <w:bookmarkEnd w:id="123"/>
            <w:r w:rsidRPr="00362517">
              <w:t xml:space="preserve"> (18 States, Puerto Rico, and Other)</w:t>
            </w:r>
          </w:p>
        </w:tc>
      </w:tr>
      <w:tr w:rsidR="00D8365A" w:rsidRPr="00362517" w14:paraId="023C717D" w14:textId="77777777" w:rsidTr="007A2164">
        <w:tc>
          <w:tcPr>
            <w:tcW w:w="1613" w:type="pct"/>
            <w:tcBorders>
              <w:top w:val="single" w:sz="4" w:space="0" w:color="auto"/>
              <w:left w:val="single" w:sz="4" w:space="0" w:color="auto"/>
              <w:bottom w:val="single" w:sz="4" w:space="0" w:color="auto"/>
              <w:right w:val="single" w:sz="4" w:space="0" w:color="auto"/>
            </w:tcBorders>
            <w:hideMark/>
          </w:tcPr>
          <w:p w14:paraId="42A31CB9" w14:textId="77777777" w:rsidR="00D8365A" w:rsidRPr="00362517" w:rsidRDefault="00D8365A" w:rsidP="00BF6BC7">
            <w:pPr>
              <w:jc w:val="center"/>
            </w:pPr>
            <w:r w:rsidRPr="00362517">
              <w:t>Aerial category exam</w:t>
            </w:r>
          </w:p>
        </w:tc>
        <w:tc>
          <w:tcPr>
            <w:tcW w:w="963" w:type="pct"/>
            <w:tcBorders>
              <w:top w:val="single" w:sz="4" w:space="0" w:color="auto"/>
              <w:left w:val="single" w:sz="4" w:space="0" w:color="auto"/>
              <w:bottom w:val="single" w:sz="4" w:space="0" w:color="auto"/>
              <w:right w:val="single" w:sz="4" w:space="0" w:color="auto"/>
            </w:tcBorders>
            <w:vAlign w:val="center"/>
            <w:hideMark/>
          </w:tcPr>
          <w:p w14:paraId="0691CBA3" w14:textId="77777777" w:rsidR="00D8365A" w:rsidRPr="00362517" w:rsidRDefault="00D8365A" w:rsidP="00BF6BC7">
            <w:pPr>
              <w:jc w:val="center"/>
            </w:pPr>
            <w:r w:rsidRPr="00362517">
              <w:t>$73.15/hour</w:t>
            </w:r>
          </w:p>
        </w:tc>
        <w:tc>
          <w:tcPr>
            <w:tcW w:w="917" w:type="pct"/>
            <w:tcBorders>
              <w:top w:val="single" w:sz="4" w:space="0" w:color="auto"/>
              <w:left w:val="single" w:sz="4" w:space="0" w:color="auto"/>
              <w:bottom w:val="single" w:sz="4" w:space="0" w:color="auto"/>
              <w:right w:val="single" w:sz="4" w:space="0" w:color="auto"/>
            </w:tcBorders>
            <w:vAlign w:val="center"/>
            <w:hideMark/>
          </w:tcPr>
          <w:p w14:paraId="223DEB4E" w14:textId="77777777" w:rsidR="00D8365A" w:rsidRPr="00362517" w:rsidRDefault="00D8365A" w:rsidP="00BF6BC7">
            <w:pPr>
              <w:jc w:val="center"/>
            </w:pPr>
            <w:r w:rsidRPr="00362517">
              <w:t>6 hours</w:t>
            </w:r>
          </w:p>
        </w:tc>
        <w:tc>
          <w:tcPr>
            <w:tcW w:w="780" w:type="pct"/>
            <w:tcBorders>
              <w:top w:val="single" w:sz="4" w:space="0" w:color="auto"/>
              <w:left w:val="single" w:sz="4" w:space="0" w:color="auto"/>
              <w:bottom w:val="single" w:sz="4" w:space="0" w:color="auto"/>
              <w:right w:val="single" w:sz="4" w:space="0" w:color="auto"/>
            </w:tcBorders>
            <w:vAlign w:val="center"/>
            <w:hideMark/>
          </w:tcPr>
          <w:p w14:paraId="3C78E6ED" w14:textId="77777777" w:rsidR="00D8365A" w:rsidRPr="00362517" w:rsidRDefault="00D8365A" w:rsidP="00BF6BC7">
            <w:pPr>
              <w:jc w:val="center"/>
            </w:pPr>
            <w:r w:rsidRPr="00362517">
              <w:t>1</w:t>
            </w:r>
          </w:p>
        </w:tc>
        <w:tc>
          <w:tcPr>
            <w:tcW w:w="726" w:type="pct"/>
            <w:tcBorders>
              <w:top w:val="single" w:sz="4" w:space="0" w:color="auto"/>
              <w:left w:val="single" w:sz="4" w:space="0" w:color="auto"/>
              <w:bottom w:val="single" w:sz="4" w:space="0" w:color="auto"/>
              <w:right w:val="single" w:sz="4" w:space="0" w:color="auto"/>
            </w:tcBorders>
            <w:vAlign w:val="center"/>
            <w:hideMark/>
          </w:tcPr>
          <w:p w14:paraId="053FF8E7" w14:textId="77777777" w:rsidR="00D8365A" w:rsidRPr="00362517" w:rsidRDefault="00D8365A" w:rsidP="00BF6BC7">
            <w:pPr>
              <w:jc w:val="center"/>
            </w:pPr>
            <w:r w:rsidRPr="00362517">
              <w:t>$439</w:t>
            </w:r>
          </w:p>
        </w:tc>
      </w:tr>
      <w:tr w:rsidR="00D8365A" w:rsidRPr="00362517" w14:paraId="1819A20B" w14:textId="77777777" w:rsidTr="007A2164">
        <w:tc>
          <w:tcPr>
            <w:tcW w:w="1613" w:type="pct"/>
            <w:tcBorders>
              <w:top w:val="single" w:sz="4" w:space="0" w:color="auto"/>
              <w:left w:val="single" w:sz="4" w:space="0" w:color="auto"/>
              <w:bottom w:val="single" w:sz="4" w:space="0" w:color="auto"/>
              <w:right w:val="single" w:sz="4" w:space="0" w:color="auto"/>
            </w:tcBorders>
          </w:tcPr>
          <w:p w14:paraId="63DA8B65" w14:textId="77777777" w:rsidR="00D8365A" w:rsidRPr="00362517" w:rsidRDefault="00D8365A" w:rsidP="00BF6BC7">
            <w:pPr>
              <w:jc w:val="center"/>
              <w:rPr>
                <w:vertAlign w:val="superscript"/>
              </w:rPr>
            </w:pPr>
            <w:r w:rsidRPr="00362517">
              <w:t>Commercial applicator driving time to exam site</w:t>
            </w:r>
            <w:r w:rsidRPr="00362517">
              <w:rPr>
                <w:vertAlign w:val="superscript"/>
              </w:rPr>
              <w:t>1</w:t>
            </w:r>
          </w:p>
        </w:tc>
        <w:tc>
          <w:tcPr>
            <w:tcW w:w="963" w:type="pct"/>
            <w:tcBorders>
              <w:top w:val="single" w:sz="4" w:space="0" w:color="auto"/>
              <w:left w:val="single" w:sz="4" w:space="0" w:color="auto"/>
              <w:bottom w:val="single" w:sz="4" w:space="0" w:color="auto"/>
              <w:right w:val="single" w:sz="4" w:space="0" w:color="auto"/>
            </w:tcBorders>
            <w:vAlign w:val="center"/>
          </w:tcPr>
          <w:p w14:paraId="52228A5E" w14:textId="77777777" w:rsidR="00D8365A" w:rsidRPr="00362517" w:rsidRDefault="00D8365A" w:rsidP="00BF6BC7">
            <w:pPr>
              <w:jc w:val="center"/>
            </w:pPr>
            <w:r w:rsidRPr="00362517">
              <w:t>$73.15/hour</w:t>
            </w:r>
          </w:p>
        </w:tc>
        <w:tc>
          <w:tcPr>
            <w:tcW w:w="917" w:type="pct"/>
            <w:tcBorders>
              <w:top w:val="single" w:sz="4" w:space="0" w:color="auto"/>
              <w:left w:val="single" w:sz="4" w:space="0" w:color="auto"/>
              <w:bottom w:val="single" w:sz="4" w:space="0" w:color="auto"/>
              <w:right w:val="single" w:sz="4" w:space="0" w:color="auto"/>
            </w:tcBorders>
            <w:vAlign w:val="center"/>
          </w:tcPr>
          <w:p w14:paraId="12231F7A" w14:textId="77777777" w:rsidR="00D8365A" w:rsidRPr="00362517" w:rsidRDefault="00D8365A" w:rsidP="00BF6BC7">
            <w:pPr>
              <w:jc w:val="center"/>
            </w:pPr>
            <w:r w:rsidRPr="00362517">
              <w:t>1 hour</w:t>
            </w:r>
          </w:p>
        </w:tc>
        <w:tc>
          <w:tcPr>
            <w:tcW w:w="780" w:type="pct"/>
            <w:tcBorders>
              <w:top w:val="single" w:sz="4" w:space="0" w:color="auto"/>
              <w:left w:val="single" w:sz="4" w:space="0" w:color="auto"/>
              <w:bottom w:val="single" w:sz="4" w:space="0" w:color="auto"/>
              <w:right w:val="single" w:sz="4" w:space="0" w:color="auto"/>
            </w:tcBorders>
            <w:vAlign w:val="center"/>
          </w:tcPr>
          <w:p w14:paraId="687B514D" w14:textId="77777777" w:rsidR="00D8365A" w:rsidRPr="00362517" w:rsidRDefault="00D8365A" w:rsidP="00BF6BC7">
            <w:pPr>
              <w:jc w:val="center"/>
            </w:pPr>
            <w:r w:rsidRPr="00362517">
              <w:t>1</w:t>
            </w:r>
          </w:p>
        </w:tc>
        <w:tc>
          <w:tcPr>
            <w:tcW w:w="726" w:type="pct"/>
            <w:tcBorders>
              <w:top w:val="single" w:sz="4" w:space="0" w:color="auto"/>
              <w:left w:val="single" w:sz="4" w:space="0" w:color="auto"/>
              <w:bottom w:val="single" w:sz="4" w:space="0" w:color="auto"/>
              <w:right w:val="single" w:sz="4" w:space="0" w:color="auto"/>
            </w:tcBorders>
            <w:vAlign w:val="center"/>
          </w:tcPr>
          <w:p w14:paraId="5DEAE9D6" w14:textId="77777777" w:rsidR="00D8365A" w:rsidRPr="00362517" w:rsidRDefault="00D8365A" w:rsidP="00BF6BC7">
            <w:pPr>
              <w:jc w:val="center"/>
            </w:pPr>
            <w:r w:rsidRPr="00362517">
              <w:t>$73</w:t>
            </w:r>
          </w:p>
        </w:tc>
      </w:tr>
      <w:tr w:rsidR="00D8365A" w:rsidRPr="00362517" w14:paraId="2B171ADD" w14:textId="77777777" w:rsidTr="007A2164">
        <w:tc>
          <w:tcPr>
            <w:tcW w:w="1613" w:type="pct"/>
            <w:tcBorders>
              <w:top w:val="single" w:sz="4" w:space="0" w:color="auto"/>
              <w:left w:val="single" w:sz="4" w:space="0" w:color="auto"/>
              <w:bottom w:val="single" w:sz="4" w:space="0" w:color="auto"/>
              <w:right w:val="single" w:sz="4" w:space="0" w:color="auto"/>
            </w:tcBorders>
          </w:tcPr>
          <w:p w14:paraId="2A6A37AB" w14:textId="77777777" w:rsidR="00D8365A" w:rsidRPr="00362517" w:rsidRDefault="00D8365A" w:rsidP="00BF6BC7">
            <w:pPr>
              <w:jc w:val="center"/>
              <w:rPr>
                <w:vertAlign w:val="superscript"/>
              </w:rPr>
            </w:pPr>
            <w:r w:rsidRPr="00362517">
              <w:t>IRS mileage</w:t>
            </w:r>
            <w:r w:rsidRPr="00362517">
              <w:rPr>
                <w:vertAlign w:val="superscript"/>
              </w:rPr>
              <w:t>2</w:t>
            </w:r>
          </w:p>
        </w:tc>
        <w:tc>
          <w:tcPr>
            <w:tcW w:w="963" w:type="pct"/>
            <w:tcBorders>
              <w:top w:val="single" w:sz="4" w:space="0" w:color="auto"/>
              <w:left w:val="single" w:sz="4" w:space="0" w:color="auto"/>
              <w:bottom w:val="single" w:sz="4" w:space="0" w:color="auto"/>
              <w:right w:val="single" w:sz="4" w:space="0" w:color="auto"/>
            </w:tcBorders>
            <w:vAlign w:val="center"/>
          </w:tcPr>
          <w:p w14:paraId="47E67363" w14:textId="77777777" w:rsidR="00D8365A" w:rsidRPr="00362517" w:rsidRDefault="00D8365A" w:rsidP="00BF6BC7">
            <w:pPr>
              <w:jc w:val="center"/>
            </w:pPr>
            <w:r w:rsidRPr="00362517">
              <w:t>$0.575/mile</w:t>
            </w:r>
          </w:p>
        </w:tc>
        <w:tc>
          <w:tcPr>
            <w:tcW w:w="917" w:type="pct"/>
            <w:tcBorders>
              <w:top w:val="single" w:sz="4" w:space="0" w:color="auto"/>
              <w:left w:val="single" w:sz="4" w:space="0" w:color="auto"/>
              <w:bottom w:val="single" w:sz="4" w:space="0" w:color="auto"/>
              <w:right w:val="single" w:sz="4" w:space="0" w:color="auto"/>
            </w:tcBorders>
            <w:vAlign w:val="center"/>
          </w:tcPr>
          <w:p w14:paraId="6EE575C1" w14:textId="77777777" w:rsidR="00D8365A" w:rsidRPr="00362517" w:rsidRDefault="00D8365A" w:rsidP="00BF6BC7">
            <w:pPr>
              <w:jc w:val="center"/>
            </w:pPr>
            <w:r w:rsidRPr="00362517">
              <w:t>40 miles</w:t>
            </w:r>
          </w:p>
        </w:tc>
        <w:tc>
          <w:tcPr>
            <w:tcW w:w="780" w:type="pct"/>
            <w:tcBorders>
              <w:top w:val="single" w:sz="4" w:space="0" w:color="auto"/>
              <w:left w:val="single" w:sz="4" w:space="0" w:color="auto"/>
              <w:bottom w:val="single" w:sz="4" w:space="0" w:color="auto"/>
              <w:right w:val="single" w:sz="4" w:space="0" w:color="auto"/>
            </w:tcBorders>
            <w:vAlign w:val="center"/>
          </w:tcPr>
          <w:p w14:paraId="73E35051" w14:textId="77777777" w:rsidR="00D8365A" w:rsidRPr="00362517" w:rsidRDefault="00D8365A" w:rsidP="00BF6BC7">
            <w:pPr>
              <w:jc w:val="center"/>
            </w:pPr>
            <w:r w:rsidRPr="00362517">
              <w:t>1</w:t>
            </w:r>
          </w:p>
        </w:tc>
        <w:tc>
          <w:tcPr>
            <w:tcW w:w="726" w:type="pct"/>
            <w:tcBorders>
              <w:top w:val="single" w:sz="4" w:space="0" w:color="auto"/>
              <w:left w:val="single" w:sz="4" w:space="0" w:color="auto"/>
              <w:bottom w:val="single" w:sz="4" w:space="0" w:color="auto"/>
              <w:right w:val="single" w:sz="4" w:space="0" w:color="auto"/>
            </w:tcBorders>
            <w:vAlign w:val="center"/>
          </w:tcPr>
          <w:p w14:paraId="728D2025" w14:textId="77777777" w:rsidR="00D8365A" w:rsidRPr="00362517" w:rsidRDefault="00D8365A" w:rsidP="00BF6BC7">
            <w:pPr>
              <w:jc w:val="center"/>
            </w:pPr>
            <w:r w:rsidRPr="00362517">
              <w:t>$23</w:t>
            </w:r>
          </w:p>
        </w:tc>
      </w:tr>
      <w:tr w:rsidR="00D8365A" w:rsidRPr="00362517" w14:paraId="73837BAA" w14:textId="77777777" w:rsidTr="007A2164">
        <w:tc>
          <w:tcPr>
            <w:tcW w:w="1613" w:type="pct"/>
            <w:tcBorders>
              <w:top w:val="single" w:sz="4" w:space="0" w:color="auto"/>
              <w:left w:val="single" w:sz="4" w:space="0" w:color="auto"/>
              <w:bottom w:val="single" w:sz="4" w:space="0" w:color="auto"/>
              <w:right w:val="single" w:sz="4" w:space="0" w:color="auto"/>
            </w:tcBorders>
          </w:tcPr>
          <w:p w14:paraId="306E47A9" w14:textId="77777777" w:rsidR="00D8365A" w:rsidRPr="00362517" w:rsidRDefault="00D8365A" w:rsidP="00BF6BC7">
            <w:pPr>
              <w:jc w:val="center"/>
            </w:pPr>
            <w:r w:rsidRPr="00362517">
              <w:t>Total</w:t>
            </w:r>
          </w:p>
        </w:tc>
        <w:tc>
          <w:tcPr>
            <w:tcW w:w="963" w:type="pct"/>
            <w:tcBorders>
              <w:top w:val="single" w:sz="4" w:space="0" w:color="auto"/>
              <w:left w:val="single" w:sz="4" w:space="0" w:color="auto"/>
              <w:bottom w:val="single" w:sz="4" w:space="0" w:color="auto"/>
              <w:right w:val="single" w:sz="4" w:space="0" w:color="auto"/>
            </w:tcBorders>
            <w:vAlign w:val="center"/>
          </w:tcPr>
          <w:p w14:paraId="11BFDACA" w14:textId="77777777" w:rsidR="00D8365A" w:rsidRPr="00362517" w:rsidRDefault="00D8365A" w:rsidP="00BF6BC7">
            <w:pPr>
              <w:jc w:val="center"/>
            </w:pPr>
          </w:p>
        </w:tc>
        <w:tc>
          <w:tcPr>
            <w:tcW w:w="917" w:type="pct"/>
            <w:tcBorders>
              <w:top w:val="single" w:sz="4" w:space="0" w:color="auto"/>
              <w:left w:val="single" w:sz="4" w:space="0" w:color="auto"/>
              <w:bottom w:val="single" w:sz="4" w:space="0" w:color="auto"/>
              <w:right w:val="single" w:sz="4" w:space="0" w:color="auto"/>
            </w:tcBorders>
            <w:vAlign w:val="center"/>
          </w:tcPr>
          <w:p w14:paraId="08393A4C" w14:textId="77777777" w:rsidR="00D8365A" w:rsidRPr="00362517" w:rsidRDefault="00D8365A" w:rsidP="00BF6BC7">
            <w:pPr>
              <w:jc w:val="center"/>
            </w:pPr>
          </w:p>
        </w:tc>
        <w:tc>
          <w:tcPr>
            <w:tcW w:w="780" w:type="pct"/>
            <w:tcBorders>
              <w:top w:val="single" w:sz="4" w:space="0" w:color="auto"/>
              <w:left w:val="single" w:sz="4" w:space="0" w:color="auto"/>
              <w:bottom w:val="single" w:sz="4" w:space="0" w:color="auto"/>
              <w:right w:val="single" w:sz="4" w:space="0" w:color="auto"/>
            </w:tcBorders>
            <w:vAlign w:val="center"/>
          </w:tcPr>
          <w:p w14:paraId="167E30F5" w14:textId="77777777" w:rsidR="00D8365A" w:rsidRPr="00362517" w:rsidRDefault="00D8365A" w:rsidP="00BF6BC7">
            <w:pPr>
              <w:jc w:val="center"/>
            </w:pPr>
          </w:p>
        </w:tc>
        <w:tc>
          <w:tcPr>
            <w:tcW w:w="726" w:type="pct"/>
            <w:tcBorders>
              <w:top w:val="single" w:sz="4" w:space="0" w:color="auto"/>
              <w:left w:val="single" w:sz="4" w:space="0" w:color="auto"/>
              <w:bottom w:val="single" w:sz="4" w:space="0" w:color="auto"/>
              <w:right w:val="single" w:sz="4" w:space="0" w:color="auto"/>
            </w:tcBorders>
            <w:vAlign w:val="center"/>
          </w:tcPr>
          <w:p w14:paraId="0228D517" w14:textId="77777777" w:rsidR="00D8365A" w:rsidRPr="00362517" w:rsidRDefault="00D8365A" w:rsidP="00BF6BC7">
            <w:pPr>
              <w:jc w:val="center"/>
            </w:pPr>
            <w:r w:rsidRPr="00362517">
              <w:t>$535</w:t>
            </w:r>
          </w:p>
        </w:tc>
      </w:tr>
      <w:tr w:rsidR="00D8365A" w:rsidRPr="00362517" w14:paraId="35942068" w14:textId="77777777" w:rsidTr="007A2164">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62C1E53" w14:textId="77777777" w:rsidR="00D8365A" w:rsidRPr="00362517" w:rsidRDefault="00D8365A" w:rsidP="00BF6BC7">
            <w:pPr>
              <w:jc w:val="center"/>
            </w:pPr>
            <w:bookmarkStart w:id="124" w:name="OLE_LINK161"/>
            <w:bookmarkStart w:id="125" w:name="OLE_LINK162"/>
            <w:r w:rsidRPr="00362517">
              <w:t>F</w:t>
            </w:r>
            <w:bookmarkStart w:id="126" w:name="OLE_LINK64"/>
            <w:bookmarkStart w:id="127" w:name="OLE_LINK65"/>
            <w:r w:rsidRPr="00362517">
              <w:t>irst-Time Aerial Commercial Applicator</w:t>
            </w:r>
            <w:bookmarkEnd w:id="124"/>
            <w:bookmarkEnd w:id="125"/>
            <w:bookmarkEnd w:id="126"/>
            <w:bookmarkEnd w:id="127"/>
            <w:r w:rsidRPr="00362517">
              <w:t xml:space="preserve"> (18 States, Puerto Rico, and Other)</w:t>
            </w:r>
          </w:p>
        </w:tc>
      </w:tr>
      <w:tr w:rsidR="00D8365A" w:rsidRPr="00362517" w14:paraId="2466D7CC" w14:textId="77777777" w:rsidTr="007A2164">
        <w:tc>
          <w:tcPr>
            <w:tcW w:w="1613" w:type="pct"/>
            <w:tcBorders>
              <w:top w:val="single" w:sz="4" w:space="0" w:color="auto"/>
              <w:left w:val="single" w:sz="4" w:space="0" w:color="auto"/>
              <w:bottom w:val="single" w:sz="4" w:space="0" w:color="auto"/>
              <w:right w:val="single" w:sz="4" w:space="0" w:color="auto"/>
            </w:tcBorders>
            <w:hideMark/>
          </w:tcPr>
          <w:p w14:paraId="0EAC0FD9" w14:textId="77777777" w:rsidR="00D8365A" w:rsidRPr="00362517" w:rsidRDefault="00D8365A" w:rsidP="00BF6BC7">
            <w:pPr>
              <w:jc w:val="center"/>
            </w:pPr>
            <w:r w:rsidRPr="00362517">
              <w:t>Aerial category exam</w:t>
            </w:r>
          </w:p>
        </w:tc>
        <w:tc>
          <w:tcPr>
            <w:tcW w:w="963" w:type="pct"/>
            <w:tcBorders>
              <w:top w:val="single" w:sz="4" w:space="0" w:color="auto"/>
              <w:left w:val="single" w:sz="4" w:space="0" w:color="auto"/>
              <w:bottom w:val="single" w:sz="4" w:space="0" w:color="auto"/>
              <w:right w:val="single" w:sz="4" w:space="0" w:color="auto"/>
            </w:tcBorders>
            <w:vAlign w:val="center"/>
            <w:hideMark/>
          </w:tcPr>
          <w:p w14:paraId="79E8B80B" w14:textId="77777777" w:rsidR="00D8365A" w:rsidRPr="00362517" w:rsidRDefault="00D8365A" w:rsidP="00BF6BC7">
            <w:pPr>
              <w:jc w:val="center"/>
            </w:pPr>
            <w:r w:rsidRPr="00362517">
              <w:t>$73.15/hour</w:t>
            </w:r>
          </w:p>
        </w:tc>
        <w:tc>
          <w:tcPr>
            <w:tcW w:w="917" w:type="pct"/>
            <w:tcBorders>
              <w:top w:val="single" w:sz="4" w:space="0" w:color="auto"/>
              <w:left w:val="single" w:sz="4" w:space="0" w:color="auto"/>
              <w:bottom w:val="single" w:sz="4" w:space="0" w:color="auto"/>
              <w:right w:val="single" w:sz="4" w:space="0" w:color="auto"/>
            </w:tcBorders>
            <w:vAlign w:val="center"/>
            <w:hideMark/>
          </w:tcPr>
          <w:p w14:paraId="6FE97162" w14:textId="77777777" w:rsidR="00D8365A" w:rsidRPr="00362517" w:rsidRDefault="00D8365A" w:rsidP="00BF6BC7">
            <w:pPr>
              <w:jc w:val="center"/>
            </w:pPr>
            <w:r w:rsidRPr="00362517">
              <w:t>8 hours</w:t>
            </w:r>
          </w:p>
        </w:tc>
        <w:tc>
          <w:tcPr>
            <w:tcW w:w="780" w:type="pct"/>
            <w:tcBorders>
              <w:top w:val="single" w:sz="4" w:space="0" w:color="auto"/>
              <w:left w:val="single" w:sz="4" w:space="0" w:color="auto"/>
              <w:bottom w:val="single" w:sz="4" w:space="0" w:color="auto"/>
              <w:right w:val="single" w:sz="4" w:space="0" w:color="auto"/>
            </w:tcBorders>
            <w:vAlign w:val="center"/>
            <w:hideMark/>
          </w:tcPr>
          <w:p w14:paraId="69AFB250" w14:textId="77777777" w:rsidR="00D8365A" w:rsidRPr="00362517" w:rsidRDefault="00D8365A" w:rsidP="00BF6BC7">
            <w:pPr>
              <w:jc w:val="center"/>
            </w:pPr>
            <w:r w:rsidRPr="00362517">
              <w:t>1</w:t>
            </w:r>
          </w:p>
        </w:tc>
        <w:tc>
          <w:tcPr>
            <w:tcW w:w="726" w:type="pct"/>
            <w:tcBorders>
              <w:top w:val="single" w:sz="4" w:space="0" w:color="auto"/>
              <w:left w:val="single" w:sz="4" w:space="0" w:color="auto"/>
              <w:bottom w:val="single" w:sz="4" w:space="0" w:color="auto"/>
              <w:right w:val="single" w:sz="4" w:space="0" w:color="auto"/>
            </w:tcBorders>
            <w:vAlign w:val="center"/>
            <w:hideMark/>
          </w:tcPr>
          <w:p w14:paraId="14588EB1" w14:textId="77777777" w:rsidR="00D8365A" w:rsidRPr="00362517" w:rsidRDefault="00D8365A" w:rsidP="00BF6BC7">
            <w:pPr>
              <w:jc w:val="center"/>
            </w:pPr>
            <w:r w:rsidRPr="00362517">
              <w:t>$585</w:t>
            </w:r>
          </w:p>
        </w:tc>
      </w:tr>
      <w:tr w:rsidR="00D8365A" w:rsidRPr="00362517" w14:paraId="3ABE5348" w14:textId="77777777" w:rsidTr="007A2164">
        <w:tc>
          <w:tcPr>
            <w:tcW w:w="1613" w:type="pct"/>
            <w:tcBorders>
              <w:top w:val="single" w:sz="4" w:space="0" w:color="auto"/>
              <w:left w:val="single" w:sz="4" w:space="0" w:color="auto"/>
              <w:bottom w:val="single" w:sz="4" w:space="0" w:color="auto"/>
              <w:right w:val="single" w:sz="4" w:space="0" w:color="auto"/>
            </w:tcBorders>
          </w:tcPr>
          <w:p w14:paraId="18716921" w14:textId="77777777" w:rsidR="00D8365A" w:rsidRPr="00362517" w:rsidRDefault="00D8365A" w:rsidP="00BF6BC7">
            <w:pPr>
              <w:jc w:val="center"/>
              <w:rPr>
                <w:vertAlign w:val="superscript"/>
              </w:rPr>
            </w:pPr>
            <w:r w:rsidRPr="00362517">
              <w:t>Commercial applicator driving time to exam site</w:t>
            </w:r>
            <w:r w:rsidRPr="00362517">
              <w:rPr>
                <w:vertAlign w:val="superscript"/>
              </w:rPr>
              <w:t>1</w:t>
            </w:r>
          </w:p>
        </w:tc>
        <w:tc>
          <w:tcPr>
            <w:tcW w:w="963" w:type="pct"/>
            <w:tcBorders>
              <w:top w:val="single" w:sz="4" w:space="0" w:color="auto"/>
              <w:left w:val="single" w:sz="4" w:space="0" w:color="auto"/>
              <w:bottom w:val="single" w:sz="4" w:space="0" w:color="auto"/>
              <w:right w:val="single" w:sz="4" w:space="0" w:color="auto"/>
            </w:tcBorders>
            <w:vAlign w:val="center"/>
          </w:tcPr>
          <w:p w14:paraId="51DADD6C" w14:textId="77777777" w:rsidR="00D8365A" w:rsidRPr="00362517" w:rsidRDefault="00D8365A" w:rsidP="00BF6BC7">
            <w:pPr>
              <w:jc w:val="center"/>
            </w:pPr>
            <w:r w:rsidRPr="00362517">
              <w:t>$73.15/hour</w:t>
            </w:r>
          </w:p>
        </w:tc>
        <w:tc>
          <w:tcPr>
            <w:tcW w:w="917" w:type="pct"/>
            <w:tcBorders>
              <w:top w:val="single" w:sz="4" w:space="0" w:color="auto"/>
              <w:left w:val="single" w:sz="4" w:space="0" w:color="auto"/>
              <w:bottom w:val="single" w:sz="4" w:space="0" w:color="auto"/>
              <w:right w:val="single" w:sz="4" w:space="0" w:color="auto"/>
            </w:tcBorders>
            <w:vAlign w:val="center"/>
          </w:tcPr>
          <w:p w14:paraId="546D482F" w14:textId="77777777" w:rsidR="00D8365A" w:rsidRPr="00362517" w:rsidRDefault="00D8365A" w:rsidP="00BF6BC7">
            <w:pPr>
              <w:jc w:val="center"/>
            </w:pPr>
            <w:r w:rsidRPr="00362517">
              <w:t>1 hour</w:t>
            </w:r>
          </w:p>
        </w:tc>
        <w:tc>
          <w:tcPr>
            <w:tcW w:w="780" w:type="pct"/>
            <w:tcBorders>
              <w:top w:val="single" w:sz="4" w:space="0" w:color="auto"/>
              <w:left w:val="single" w:sz="4" w:space="0" w:color="auto"/>
              <w:bottom w:val="single" w:sz="4" w:space="0" w:color="auto"/>
              <w:right w:val="single" w:sz="4" w:space="0" w:color="auto"/>
            </w:tcBorders>
            <w:vAlign w:val="center"/>
          </w:tcPr>
          <w:p w14:paraId="7F7705A4" w14:textId="77777777" w:rsidR="00D8365A" w:rsidRPr="00362517" w:rsidRDefault="00D8365A" w:rsidP="00BF6BC7">
            <w:pPr>
              <w:jc w:val="center"/>
            </w:pPr>
            <w:r w:rsidRPr="00362517">
              <w:t>1</w:t>
            </w:r>
          </w:p>
        </w:tc>
        <w:tc>
          <w:tcPr>
            <w:tcW w:w="726" w:type="pct"/>
            <w:tcBorders>
              <w:top w:val="single" w:sz="4" w:space="0" w:color="auto"/>
              <w:left w:val="single" w:sz="4" w:space="0" w:color="auto"/>
              <w:bottom w:val="single" w:sz="4" w:space="0" w:color="auto"/>
              <w:right w:val="single" w:sz="4" w:space="0" w:color="auto"/>
            </w:tcBorders>
            <w:vAlign w:val="center"/>
          </w:tcPr>
          <w:p w14:paraId="14206B3A" w14:textId="77777777" w:rsidR="00D8365A" w:rsidRPr="00362517" w:rsidRDefault="00D8365A" w:rsidP="00BF6BC7">
            <w:pPr>
              <w:jc w:val="center"/>
            </w:pPr>
            <w:r w:rsidRPr="00362517">
              <w:t>$73</w:t>
            </w:r>
          </w:p>
        </w:tc>
      </w:tr>
      <w:tr w:rsidR="00D8365A" w:rsidRPr="00362517" w14:paraId="1E0B015B" w14:textId="77777777" w:rsidTr="007A2164">
        <w:tc>
          <w:tcPr>
            <w:tcW w:w="1613" w:type="pct"/>
            <w:tcBorders>
              <w:top w:val="single" w:sz="4" w:space="0" w:color="auto"/>
              <w:left w:val="single" w:sz="4" w:space="0" w:color="auto"/>
              <w:bottom w:val="single" w:sz="4" w:space="0" w:color="auto"/>
              <w:right w:val="single" w:sz="4" w:space="0" w:color="auto"/>
            </w:tcBorders>
          </w:tcPr>
          <w:p w14:paraId="328DC860" w14:textId="77777777" w:rsidR="00D8365A" w:rsidRPr="00362517" w:rsidRDefault="00D8365A" w:rsidP="00BF6BC7">
            <w:pPr>
              <w:jc w:val="center"/>
            </w:pPr>
            <w:r w:rsidRPr="00362517">
              <w:t>IRS mileage</w:t>
            </w:r>
            <w:r w:rsidRPr="00362517">
              <w:rPr>
                <w:vertAlign w:val="superscript"/>
              </w:rPr>
              <w:t>2</w:t>
            </w:r>
          </w:p>
        </w:tc>
        <w:tc>
          <w:tcPr>
            <w:tcW w:w="963" w:type="pct"/>
            <w:tcBorders>
              <w:top w:val="single" w:sz="4" w:space="0" w:color="auto"/>
              <w:left w:val="single" w:sz="4" w:space="0" w:color="auto"/>
              <w:bottom w:val="single" w:sz="4" w:space="0" w:color="auto"/>
              <w:right w:val="single" w:sz="4" w:space="0" w:color="auto"/>
            </w:tcBorders>
            <w:vAlign w:val="center"/>
          </w:tcPr>
          <w:p w14:paraId="044CCED7" w14:textId="77777777" w:rsidR="00D8365A" w:rsidRPr="00362517" w:rsidRDefault="00D8365A" w:rsidP="00BF6BC7">
            <w:pPr>
              <w:jc w:val="center"/>
            </w:pPr>
            <w:r w:rsidRPr="00362517">
              <w:t>$0.575/mile</w:t>
            </w:r>
          </w:p>
        </w:tc>
        <w:tc>
          <w:tcPr>
            <w:tcW w:w="917" w:type="pct"/>
            <w:tcBorders>
              <w:top w:val="single" w:sz="4" w:space="0" w:color="auto"/>
              <w:left w:val="single" w:sz="4" w:space="0" w:color="auto"/>
              <w:bottom w:val="single" w:sz="4" w:space="0" w:color="auto"/>
              <w:right w:val="single" w:sz="4" w:space="0" w:color="auto"/>
            </w:tcBorders>
            <w:vAlign w:val="center"/>
          </w:tcPr>
          <w:p w14:paraId="11A7B7EB" w14:textId="77777777" w:rsidR="00D8365A" w:rsidRPr="00362517" w:rsidRDefault="00D8365A" w:rsidP="00BF6BC7">
            <w:pPr>
              <w:jc w:val="center"/>
            </w:pPr>
            <w:r w:rsidRPr="00362517">
              <w:t>40 miles</w:t>
            </w:r>
          </w:p>
        </w:tc>
        <w:tc>
          <w:tcPr>
            <w:tcW w:w="780" w:type="pct"/>
            <w:tcBorders>
              <w:top w:val="single" w:sz="4" w:space="0" w:color="auto"/>
              <w:left w:val="single" w:sz="4" w:space="0" w:color="auto"/>
              <w:bottom w:val="single" w:sz="4" w:space="0" w:color="auto"/>
              <w:right w:val="single" w:sz="4" w:space="0" w:color="auto"/>
            </w:tcBorders>
            <w:vAlign w:val="center"/>
          </w:tcPr>
          <w:p w14:paraId="6A47737B" w14:textId="77777777" w:rsidR="00D8365A" w:rsidRPr="00362517" w:rsidRDefault="00D8365A" w:rsidP="00BF6BC7">
            <w:pPr>
              <w:jc w:val="center"/>
            </w:pPr>
            <w:r w:rsidRPr="00362517">
              <w:t>1</w:t>
            </w:r>
          </w:p>
        </w:tc>
        <w:tc>
          <w:tcPr>
            <w:tcW w:w="726" w:type="pct"/>
            <w:tcBorders>
              <w:top w:val="single" w:sz="4" w:space="0" w:color="auto"/>
              <w:left w:val="single" w:sz="4" w:space="0" w:color="auto"/>
              <w:bottom w:val="single" w:sz="4" w:space="0" w:color="auto"/>
              <w:right w:val="single" w:sz="4" w:space="0" w:color="auto"/>
            </w:tcBorders>
            <w:vAlign w:val="center"/>
          </w:tcPr>
          <w:p w14:paraId="52262FF7" w14:textId="77777777" w:rsidR="00D8365A" w:rsidRPr="00362517" w:rsidRDefault="00D8365A" w:rsidP="00BF6BC7">
            <w:pPr>
              <w:jc w:val="center"/>
            </w:pPr>
            <w:r w:rsidRPr="00362517">
              <w:t>$23</w:t>
            </w:r>
          </w:p>
        </w:tc>
      </w:tr>
      <w:tr w:rsidR="00D8365A" w:rsidRPr="00362517" w14:paraId="046028FA" w14:textId="77777777" w:rsidTr="007A2164">
        <w:tc>
          <w:tcPr>
            <w:tcW w:w="1613" w:type="pct"/>
            <w:tcBorders>
              <w:top w:val="single" w:sz="4" w:space="0" w:color="auto"/>
              <w:left w:val="single" w:sz="4" w:space="0" w:color="auto"/>
              <w:bottom w:val="single" w:sz="4" w:space="0" w:color="auto"/>
              <w:right w:val="single" w:sz="4" w:space="0" w:color="auto"/>
            </w:tcBorders>
          </w:tcPr>
          <w:p w14:paraId="273FC5BE" w14:textId="77777777" w:rsidR="00D8365A" w:rsidRPr="00362517" w:rsidRDefault="00D8365A" w:rsidP="00BF6BC7">
            <w:pPr>
              <w:jc w:val="center"/>
            </w:pPr>
            <w:r w:rsidRPr="00362517">
              <w:t>Total</w:t>
            </w:r>
          </w:p>
        </w:tc>
        <w:tc>
          <w:tcPr>
            <w:tcW w:w="963" w:type="pct"/>
            <w:tcBorders>
              <w:top w:val="single" w:sz="4" w:space="0" w:color="auto"/>
              <w:left w:val="single" w:sz="4" w:space="0" w:color="auto"/>
              <w:bottom w:val="single" w:sz="4" w:space="0" w:color="auto"/>
              <w:right w:val="single" w:sz="4" w:space="0" w:color="auto"/>
            </w:tcBorders>
            <w:vAlign w:val="center"/>
          </w:tcPr>
          <w:p w14:paraId="5491E104" w14:textId="77777777" w:rsidR="00D8365A" w:rsidRPr="00362517" w:rsidRDefault="00D8365A" w:rsidP="00BF6BC7">
            <w:pPr>
              <w:jc w:val="center"/>
            </w:pPr>
          </w:p>
        </w:tc>
        <w:tc>
          <w:tcPr>
            <w:tcW w:w="917" w:type="pct"/>
            <w:tcBorders>
              <w:top w:val="single" w:sz="4" w:space="0" w:color="auto"/>
              <w:left w:val="single" w:sz="4" w:space="0" w:color="auto"/>
              <w:bottom w:val="single" w:sz="4" w:space="0" w:color="auto"/>
              <w:right w:val="single" w:sz="4" w:space="0" w:color="auto"/>
            </w:tcBorders>
            <w:vAlign w:val="center"/>
          </w:tcPr>
          <w:p w14:paraId="7B722BDE" w14:textId="77777777" w:rsidR="00D8365A" w:rsidRPr="00362517" w:rsidRDefault="00D8365A" w:rsidP="00BF6BC7">
            <w:pPr>
              <w:jc w:val="center"/>
            </w:pPr>
          </w:p>
        </w:tc>
        <w:tc>
          <w:tcPr>
            <w:tcW w:w="780" w:type="pct"/>
            <w:tcBorders>
              <w:top w:val="single" w:sz="4" w:space="0" w:color="auto"/>
              <w:left w:val="single" w:sz="4" w:space="0" w:color="auto"/>
              <w:bottom w:val="single" w:sz="4" w:space="0" w:color="auto"/>
              <w:right w:val="single" w:sz="4" w:space="0" w:color="auto"/>
            </w:tcBorders>
            <w:vAlign w:val="center"/>
          </w:tcPr>
          <w:p w14:paraId="6609E68C" w14:textId="77777777" w:rsidR="00D8365A" w:rsidRPr="00362517" w:rsidRDefault="00D8365A" w:rsidP="00BF6BC7">
            <w:pPr>
              <w:jc w:val="center"/>
            </w:pPr>
          </w:p>
        </w:tc>
        <w:tc>
          <w:tcPr>
            <w:tcW w:w="726" w:type="pct"/>
            <w:tcBorders>
              <w:top w:val="single" w:sz="4" w:space="0" w:color="auto"/>
              <w:left w:val="single" w:sz="4" w:space="0" w:color="auto"/>
              <w:bottom w:val="single" w:sz="4" w:space="0" w:color="auto"/>
              <w:right w:val="single" w:sz="4" w:space="0" w:color="auto"/>
            </w:tcBorders>
            <w:vAlign w:val="center"/>
          </w:tcPr>
          <w:p w14:paraId="24DE6F4A" w14:textId="77777777" w:rsidR="00D8365A" w:rsidRPr="00362517" w:rsidRDefault="00D8365A" w:rsidP="00BF6BC7">
            <w:pPr>
              <w:jc w:val="center"/>
            </w:pPr>
            <w:r w:rsidRPr="00362517">
              <w:t>$681</w:t>
            </w:r>
          </w:p>
        </w:tc>
      </w:tr>
    </w:tbl>
    <w:p w14:paraId="7810B00C" w14:textId="77777777" w:rsidR="00D8365A" w:rsidRPr="00362517" w:rsidRDefault="00D8365A" w:rsidP="00BF6BC7">
      <w:pPr>
        <w:ind w:left="720" w:hanging="720"/>
        <w:rPr>
          <w:sz w:val="22"/>
          <w:szCs w:val="22"/>
        </w:rPr>
      </w:pPr>
      <w:r w:rsidRPr="00362517">
        <w:rPr>
          <w:sz w:val="22"/>
          <w:szCs w:val="22"/>
        </w:rPr>
        <w:t>Source: Based on wage rate information from "May 2014 National Industry-Specific Occupational Employment and Wage Estimates" provided by the Bureau of Labor Statistics Occupational Employment Statistics (BLS, 2016a).</w:t>
      </w:r>
    </w:p>
    <w:p w14:paraId="333EA329" w14:textId="2FEC2646" w:rsidR="00D8365A" w:rsidRPr="00362517" w:rsidRDefault="00D8365A" w:rsidP="00BF6BC7">
      <w:pPr>
        <w:ind w:left="720" w:hanging="720"/>
        <w:rPr>
          <w:sz w:val="22"/>
          <w:szCs w:val="22"/>
        </w:rPr>
      </w:pPr>
      <w:r w:rsidRPr="00362517">
        <w:rPr>
          <w:sz w:val="22"/>
          <w:szCs w:val="22"/>
          <w:vertAlign w:val="superscript"/>
        </w:rPr>
        <w:t>1</w:t>
      </w:r>
      <w:r w:rsidRPr="00362517">
        <w:rPr>
          <w:sz w:val="22"/>
          <w:szCs w:val="22"/>
        </w:rPr>
        <w:t xml:space="preserve">Commercial applicator driving time to an exam site is based on a round trip of 40 miles from a public comment submitted by the Texas A&amp;M Agrilife Extension Service (McCorkle </w:t>
      </w:r>
      <w:r w:rsidRPr="00362517">
        <w:rPr>
          <w:i/>
          <w:sz w:val="22"/>
          <w:szCs w:val="22"/>
        </w:rPr>
        <w:t>et al.</w:t>
      </w:r>
      <w:r w:rsidRPr="00362517">
        <w:rPr>
          <w:sz w:val="22"/>
          <w:szCs w:val="22"/>
        </w:rPr>
        <w:t xml:space="preserve">, </w:t>
      </w:r>
      <w:r w:rsidR="004432B9" w:rsidRPr="00362517">
        <w:rPr>
          <w:sz w:val="22"/>
          <w:szCs w:val="22"/>
        </w:rPr>
        <w:t>201</w:t>
      </w:r>
      <w:r w:rsidR="004432B9">
        <w:rPr>
          <w:sz w:val="22"/>
          <w:szCs w:val="22"/>
        </w:rPr>
        <w:t>5</w:t>
      </w:r>
      <w:r w:rsidRPr="00362517">
        <w:rPr>
          <w:sz w:val="22"/>
          <w:szCs w:val="22"/>
        </w:rPr>
        <w:t>).</w:t>
      </w:r>
    </w:p>
    <w:p w14:paraId="05063DD4" w14:textId="36C22E58" w:rsidR="00D8365A" w:rsidRPr="00362517" w:rsidRDefault="00D8365A" w:rsidP="00BF6BC7">
      <w:pPr>
        <w:ind w:left="720" w:hanging="720"/>
        <w:rPr>
          <w:sz w:val="22"/>
          <w:szCs w:val="22"/>
        </w:rPr>
      </w:pPr>
      <w:r w:rsidRPr="00362517">
        <w:rPr>
          <w:sz w:val="22"/>
          <w:szCs w:val="22"/>
          <w:vertAlign w:val="superscript"/>
        </w:rPr>
        <w:t>2</w:t>
      </w:r>
      <w:r w:rsidRPr="00362517">
        <w:rPr>
          <w:sz w:val="22"/>
          <w:szCs w:val="22"/>
        </w:rPr>
        <w:t xml:space="preserve">IRS mileage is from a public comment submitted by the Texas A&amp;M Agrilife Extension Service (McCorkle </w:t>
      </w:r>
      <w:r w:rsidRPr="00362517">
        <w:rPr>
          <w:i/>
          <w:sz w:val="22"/>
          <w:szCs w:val="22"/>
        </w:rPr>
        <w:t>et al.</w:t>
      </w:r>
      <w:r w:rsidRPr="00362517">
        <w:rPr>
          <w:sz w:val="22"/>
          <w:szCs w:val="22"/>
        </w:rPr>
        <w:t>, 20</w:t>
      </w:r>
      <w:r w:rsidR="004432B9">
        <w:rPr>
          <w:sz w:val="22"/>
          <w:szCs w:val="22"/>
        </w:rPr>
        <w:t>15</w:t>
      </w:r>
      <w:r w:rsidRPr="00362517">
        <w:rPr>
          <w:sz w:val="22"/>
          <w:szCs w:val="22"/>
        </w:rPr>
        <w:t>).</w:t>
      </w:r>
    </w:p>
    <w:p w14:paraId="5B7EB100" w14:textId="77777777" w:rsidR="00D8365A" w:rsidRPr="00362517" w:rsidRDefault="00D8365A" w:rsidP="00BF6BC7">
      <w:pPr>
        <w:ind w:left="720" w:hanging="720"/>
        <w:rPr>
          <w:sz w:val="22"/>
          <w:szCs w:val="22"/>
        </w:rPr>
      </w:pPr>
    </w:p>
    <w:p w14:paraId="265935AD" w14:textId="77777777" w:rsidR="00D8365A" w:rsidRPr="00362517" w:rsidRDefault="00D8365A" w:rsidP="00BF6BC7">
      <w:pPr>
        <w:keepNext/>
        <w:keepLines/>
        <w:rPr>
          <w:iCs/>
        </w:rPr>
      </w:pPr>
      <w:r w:rsidRPr="00362517">
        <w:rPr>
          <w:iCs/>
        </w:rPr>
        <w:t>Step 3.  Calculate the Jurisdiction-level Costs of the Final Requirement and Baseline</w:t>
      </w:r>
      <w:bookmarkStart w:id="128" w:name="_Ref281921126"/>
      <w:r w:rsidRPr="00362517">
        <w:rPr>
          <w:iCs/>
        </w:rPr>
        <w:t xml:space="preserve">.  </w:t>
      </w:r>
    </w:p>
    <w:p w14:paraId="476CFE2C" w14:textId="77777777" w:rsidR="00D8365A" w:rsidRPr="00362517" w:rsidRDefault="00D8365A" w:rsidP="00BF6BC7">
      <w:pPr>
        <w:keepNext/>
        <w:keepLines/>
        <w:rPr>
          <w:iCs/>
        </w:rPr>
      </w:pPr>
    </w:p>
    <w:p w14:paraId="3B5FAD09" w14:textId="77777777" w:rsidR="00D8365A" w:rsidRPr="00362517" w:rsidRDefault="00D8365A" w:rsidP="00BF6BC7">
      <w:pPr>
        <w:keepNext/>
        <w:keepLines/>
      </w:pPr>
      <w:r w:rsidRPr="00362517">
        <w:t xml:space="preserve">Table 3.2-2 presents the jurisdiction-level costs in Year 3 and the rest of the 10-year time horizon for the new requirement for those jurisdictions that do not currently have a commercial aerial category.  Baseline costs are zero for those jurisdictions.  Baseline and final costs for jurisdictions with the aerial category are equal and are presented in Appendix A.  Jurisdiction-level costs are calculated as unit costs for existing and first-time applicators multiplied by the respective number of actors, </w:t>
      </w:r>
      <w:bookmarkEnd w:id="128"/>
      <w:r w:rsidRPr="00362517">
        <w:t>and summed in each jurisdiction.  Note that in the year (Year 3 of the 10-year time period) the final rule takes effect on the industry, all applicators including the first time and existing, are affected by the new requirement (shown in the column RC</w:t>
      </w:r>
      <w:r w:rsidRPr="00362517">
        <w:rPr>
          <w:vertAlign w:val="superscript"/>
        </w:rPr>
        <w:t>P</w:t>
      </w:r>
      <w:r w:rsidRPr="00362517">
        <w:rPr>
          <w:vertAlign w:val="subscript"/>
        </w:rPr>
        <w:t xml:space="preserve">t=3 </w:t>
      </w:r>
      <w:r w:rsidRPr="00362517">
        <w:t>in Table 3.2-2).  However, in Year 4 and on, only the first time applicators incur the cost (shown in the column RC</w:t>
      </w:r>
      <w:r w:rsidRPr="00362517">
        <w:rPr>
          <w:vertAlign w:val="superscript"/>
        </w:rPr>
        <w:t>P</w:t>
      </w:r>
      <w:r w:rsidRPr="00362517">
        <w:rPr>
          <w:vertAlign w:val="subscript"/>
        </w:rPr>
        <w:t xml:space="preserve">t&gt;3 </w:t>
      </w:r>
      <w:r w:rsidRPr="00362517">
        <w:t>of Table 3.2-2).</w:t>
      </w:r>
    </w:p>
    <w:p w14:paraId="607DFDF2" w14:textId="77777777" w:rsidR="00D8365A" w:rsidRPr="00362517" w:rsidRDefault="00D8365A" w:rsidP="00BF6BC7"/>
    <w:p w14:paraId="5C841849" w14:textId="77777777" w:rsidR="00D8365A" w:rsidRPr="00362517" w:rsidRDefault="00D8365A" w:rsidP="00BF6BC7">
      <w:pPr>
        <w:keepNext/>
        <w:rPr>
          <w:b/>
        </w:rPr>
      </w:pPr>
      <w:r w:rsidRPr="00362517">
        <w:rPr>
          <w:b/>
        </w:rPr>
        <w:t>Table 3.2-2: Jurisdiction-Level Costs for Commercial Aerial Certification</w:t>
      </w:r>
    </w:p>
    <w:tbl>
      <w:tblPr>
        <w:tblW w:w="5000" w:type="pct"/>
        <w:tblLook w:val="04A0" w:firstRow="1" w:lastRow="0" w:firstColumn="1" w:lastColumn="0" w:noHBand="0" w:noVBand="1"/>
      </w:tblPr>
      <w:tblGrid>
        <w:gridCol w:w="2466"/>
        <w:gridCol w:w="1632"/>
        <w:gridCol w:w="1633"/>
        <w:gridCol w:w="1960"/>
        <w:gridCol w:w="1659"/>
      </w:tblGrid>
      <w:tr w:rsidR="00D8365A" w:rsidRPr="00362517" w14:paraId="4974051B" w14:textId="77777777" w:rsidTr="007A2164">
        <w:trPr>
          <w:trHeight w:val="312"/>
        </w:trPr>
        <w:tc>
          <w:tcPr>
            <w:tcW w:w="13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48D86" w14:textId="77777777" w:rsidR="00D8365A" w:rsidRPr="00362517" w:rsidRDefault="00D8365A" w:rsidP="00BF6BC7">
            <w:r w:rsidRPr="00362517">
              <w:t>Jurisdiction</w:t>
            </w:r>
          </w:p>
        </w:tc>
        <w:tc>
          <w:tcPr>
            <w:tcW w:w="873" w:type="pct"/>
            <w:tcBorders>
              <w:top w:val="single" w:sz="4" w:space="0" w:color="auto"/>
              <w:left w:val="nil"/>
              <w:bottom w:val="single" w:sz="4" w:space="0" w:color="auto"/>
              <w:right w:val="single" w:sz="4" w:space="0" w:color="auto"/>
            </w:tcBorders>
            <w:shd w:val="clear" w:color="auto" w:fill="auto"/>
            <w:noWrap/>
            <w:vAlign w:val="bottom"/>
            <w:hideMark/>
          </w:tcPr>
          <w:p w14:paraId="0DD621D4" w14:textId="77777777" w:rsidR="00D8365A" w:rsidRPr="00362517" w:rsidRDefault="00D8365A" w:rsidP="00BF6BC7">
            <w:pPr>
              <w:jc w:val="right"/>
            </w:pPr>
            <w:r w:rsidRPr="00362517">
              <w:t>N</w:t>
            </w:r>
            <w:r w:rsidRPr="00362517">
              <w:rPr>
                <w:vertAlign w:val="subscript"/>
              </w:rPr>
              <w:t>1st time</w:t>
            </w:r>
          </w:p>
        </w:tc>
        <w:tc>
          <w:tcPr>
            <w:tcW w:w="873" w:type="pct"/>
            <w:tcBorders>
              <w:top w:val="single" w:sz="4" w:space="0" w:color="auto"/>
              <w:left w:val="nil"/>
              <w:bottom w:val="single" w:sz="4" w:space="0" w:color="auto"/>
              <w:right w:val="single" w:sz="4" w:space="0" w:color="auto"/>
            </w:tcBorders>
            <w:shd w:val="clear" w:color="auto" w:fill="auto"/>
            <w:noWrap/>
            <w:vAlign w:val="bottom"/>
            <w:hideMark/>
          </w:tcPr>
          <w:p w14:paraId="6ADC74D1" w14:textId="77777777" w:rsidR="00D8365A" w:rsidRPr="00362517" w:rsidRDefault="00D8365A" w:rsidP="00BF6BC7">
            <w:pPr>
              <w:jc w:val="right"/>
            </w:pPr>
            <w:r w:rsidRPr="00362517">
              <w:t xml:space="preserve">N </w:t>
            </w:r>
            <w:r w:rsidRPr="00362517">
              <w:rPr>
                <w:vertAlign w:val="subscript"/>
              </w:rPr>
              <w:t>Exist</w:t>
            </w:r>
          </w:p>
        </w:tc>
        <w:tc>
          <w:tcPr>
            <w:tcW w:w="1048" w:type="pct"/>
            <w:tcBorders>
              <w:top w:val="single" w:sz="4" w:space="0" w:color="auto"/>
              <w:left w:val="nil"/>
              <w:bottom w:val="single" w:sz="4" w:space="0" w:color="auto"/>
              <w:right w:val="single" w:sz="4" w:space="0" w:color="auto"/>
            </w:tcBorders>
            <w:shd w:val="clear" w:color="auto" w:fill="auto"/>
            <w:noWrap/>
            <w:vAlign w:val="bottom"/>
            <w:hideMark/>
          </w:tcPr>
          <w:p w14:paraId="267A559C" w14:textId="77777777" w:rsidR="00D8365A" w:rsidRPr="00362517" w:rsidRDefault="00D8365A" w:rsidP="00BF6BC7">
            <w:pPr>
              <w:jc w:val="right"/>
            </w:pPr>
            <w:r w:rsidRPr="00362517">
              <w:t>RC</w:t>
            </w:r>
            <w:r w:rsidRPr="00362517">
              <w:rPr>
                <w:vertAlign w:val="superscript"/>
              </w:rPr>
              <w:t>P</w:t>
            </w:r>
            <w:r w:rsidRPr="00362517">
              <w:rPr>
                <w:vertAlign w:val="subscript"/>
              </w:rPr>
              <w:t>t=3</w:t>
            </w:r>
            <w:r w:rsidRPr="00362517">
              <w:t xml:space="preserve"> </w:t>
            </w:r>
          </w:p>
        </w:tc>
        <w:tc>
          <w:tcPr>
            <w:tcW w:w="887" w:type="pct"/>
            <w:tcBorders>
              <w:top w:val="single" w:sz="4" w:space="0" w:color="auto"/>
              <w:left w:val="nil"/>
              <w:bottom w:val="single" w:sz="4" w:space="0" w:color="auto"/>
              <w:right w:val="single" w:sz="4" w:space="0" w:color="auto"/>
            </w:tcBorders>
            <w:shd w:val="clear" w:color="auto" w:fill="auto"/>
            <w:noWrap/>
            <w:vAlign w:val="bottom"/>
            <w:hideMark/>
          </w:tcPr>
          <w:p w14:paraId="3E3319DD" w14:textId="77777777" w:rsidR="00D8365A" w:rsidRPr="00362517" w:rsidRDefault="00D8365A" w:rsidP="00BF6BC7">
            <w:pPr>
              <w:jc w:val="right"/>
            </w:pPr>
            <w:r w:rsidRPr="00362517">
              <w:t>RC</w:t>
            </w:r>
            <w:r w:rsidRPr="00362517">
              <w:rPr>
                <w:vertAlign w:val="superscript"/>
              </w:rPr>
              <w:t>P</w:t>
            </w:r>
            <w:r w:rsidRPr="00362517">
              <w:rPr>
                <w:vertAlign w:val="subscript"/>
              </w:rPr>
              <w:t>t&gt;3</w:t>
            </w:r>
          </w:p>
        </w:tc>
      </w:tr>
      <w:tr w:rsidR="00D8365A" w:rsidRPr="00362517" w14:paraId="3A520BAF"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14:paraId="02F4C424" w14:textId="77777777" w:rsidR="00D8365A" w:rsidRPr="00362517" w:rsidRDefault="00D8365A" w:rsidP="00BF6BC7">
            <w:r w:rsidRPr="00362517">
              <w:t>Alabama</w:t>
            </w:r>
          </w:p>
        </w:tc>
        <w:tc>
          <w:tcPr>
            <w:tcW w:w="873" w:type="pct"/>
            <w:tcBorders>
              <w:top w:val="nil"/>
              <w:left w:val="nil"/>
              <w:bottom w:val="single" w:sz="4" w:space="0" w:color="auto"/>
              <w:right w:val="single" w:sz="4" w:space="0" w:color="auto"/>
            </w:tcBorders>
            <w:shd w:val="clear" w:color="auto" w:fill="auto"/>
            <w:noWrap/>
            <w:vAlign w:val="bottom"/>
            <w:hideMark/>
          </w:tcPr>
          <w:p w14:paraId="031538B4" w14:textId="77777777" w:rsidR="00D8365A" w:rsidRPr="00362517" w:rsidRDefault="00D8365A" w:rsidP="00BF6BC7">
            <w:pPr>
              <w:jc w:val="right"/>
            </w:pPr>
            <w:r w:rsidRPr="00362517">
              <w:t>11.8</w:t>
            </w:r>
          </w:p>
        </w:tc>
        <w:tc>
          <w:tcPr>
            <w:tcW w:w="873" w:type="pct"/>
            <w:tcBorders>
              <w:top w:val="nil"/>
              <w:left w:val="nil"/>
              <w:bottom w:val="single" w:sz="4" w:space="0" w:color="auto"/>
              <w:right w:val="single" w:sz="4" w:space="0" w:color="auto"/>
            </w:tcBorders>
            <w:shd w:val="clear" w:color="auto" w:fill="auto"/>
            <w:noWrap/>
            <w:vAlign w:val="bottom"/>
            <w:hideMark/>
          </w:tcPr>
          <w:p w14:paraId="602CF788" w14:textId="77777777" w:rsidR="00D8365A" w:rsidRPr="00362517" w:rsidRDefault="00D8365A" w:rsidP="00BF6BC7">
            <w:pPr>
              <w:jc w:val="right"/>
            </w:pPr>
            <w:r w:rsidRPr="00362517">
              <w:t>99</w:t>
            </w:r>
          </w:p>
        </w:tc>
        <w:tc>
          <w:tcPr>
            <w:tcW w:w="1048" w:type="pct"/>
            <w:tcBorders>
              <w:top w:val="nil"/>
              <w:left w:val="nil"/>
              <w:bottom w:val="single" w:sz="4" w:space="0" w:color="auto"/>
              <w:right w:val="single" w:sz="4" w:space="0" w:color="auto"/>
            </w:tcBorders>
            <w:shd w:val="clear" w:color="auto" w:fill="auto"/>
            <w:noWrap/>
            <w:vAlign w:val="bottom"/>
            <w:hideMark/>
          </w:tcPr>
          <w:p w14:paraId="3820F857" w14:textId="77777777" w:rsidR="00D8365A" w:rsidRPr="00362517" w:rsidRDefault="00D8365A" w:rsidP="00BF6BC7">
            <w:pPr>
              <w:jc w:val="right"/>
            </w:pPr>
            <w:r w:rsidRPr="00362517">
              <w:t>60,847</w:t>
            </w:r>
          </w:p>
        </w:tc>
        <w:tc>
          <w:tcPr>
            <w:tcW w:w="887" w:type="pct"/>
            <w:tcBorders>
              <w:top w:val="nil"/>
              <w:left w:val="nil"/>
              <w:bottom w:val="single" w:sz="4" w:space="0" w:color="auto"/>
              <w:right w:val="single" w:sz="4" w:space="0" w:color="auto"/>
            </w:tcBorders>
            <w:shd w:val="clear" w:color="auto" w:fill="auto"/>
            <w:noWrap/>
            <w:vAlign w:val="bottom"/>
            <w:hideMark/>
          </w:tcPr>
          <w:p w14:paraId="63E3EEEE" w14:textId="77777777" w:rsidR="00D8365A" w:rsidRPr="00362517" w:rsidRDefault="00D8365A" w:rsidP="00BF6BC7">
            <w:pPr>
              <w:jc w:val="right"/>
            </w:pPr>
            <w:r w:rsidRPr="00362517">
              <w:t>8,066</w:t>
            </w:r>
          </w:p>
        </w:tc>
      </w:tr>
      <w:tr w:rsidR="00D8365A" w:rsidRPr="00362517" w14:paraId="6D4E7DCD"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14:paraId="78970FA3" w14:textId="77777777" w:rsidR="00D8365A" w:rsidRPr="00362517" w:rsidRDefault="00D8365A" w:rsidP="00BF6BC7">
            <w:r w:rsidRPr="00362517">
              <w:t>Arizona</w:t>
            </w:r>
          </w:p>
        </w:tc>
        <w:tc>
          <w:tcPr>
            <w:tcW w:w="873" w:type="pct"/>
            <w:tcBorders>
              <w:top w:val="nil"/>
              <w:left w:val="nil"/>
              <w:bottom w:val="single" w:sz="4" w:space="0" w:color="auto"/>
              <w:right w:val="single" w:sz="4" w:space="0" w:color="auto"/>
            </w:tcBorders>
            <w:shd w:val="clear" w:color="auto" w:fill="auto"/>
            <w:noWrap/>
            <w:vAlign w:val="bottom"/>
            <w:hideMark/>
          </w:tcPr>
          <w:p w14:paraId="563FE2F7" w14:textId="77777777" w:rsidR="00D8365A" w:rsidRPr="00362517" w:rsidRDefault="00D8365A" w:rsidP="00BF6BC7">
            <w:pPr>
              <w:jc w:val="right"/>
            </w:pPr>
            <w:r w:rsidRPr="00362517">
              <w:t>8.2</w:t>
            </w:r>
          </w:p>
        </w:tc>
        <w:tc>
          <w:tcPr>
            <w:tcW w:w="873" w:type="pct"/>
            <w:tcBorders>
              <w:top w:val="nil"/>
              <w:left w:val="nil"/>
              <w:bottom w:val="single" w:sz="4" w:space="0" w:color="auto"/>
              <w:right w:val="single" w:sz="4" w:space="0" w:color="auto"/>
            </w:tcBorders>
            <w:shd w:val="clear" w:color="auto" w:fill="auto"/>
            <w:noWrap/>
            <w:vAlign w:val="bottom"/>
            <w:hideMark/>
          </w:tcPr>
          <w:p w14:paraId="6BF2F638" w14:textId="77777777" w:rsidR="00D8365A" w:rsidRPr="00362517" w:rsidRDefault="00D8365A" w:rsidP="00BF6BC7">
            <w:pPr>
              <w:jc w:val="right"/>
            </w:pPr>
            <w:r w:rsidRPr="00362517">
              <w:t>68</w:t>
            </w:r>
          </w:p>
        </w:tc>
        <w:tc>
          <w:tcPr>
            <w:tcW w:w="1048" w:type="pct"/>
            <w:tcBorders>
              <w:top w:val="nil"/>
              <w:left w:val="nil"/>
              <w:bottom w:val="single" w:sz="4" w:space="0" w:color="auto"/>
              <w:right w:val="single" w:sz="4" w:space="0" w:color="auto"/>
            </w:tcBorders>
            <w:shd w:val="clear" w:color="auto" w:fill="auto"/>
            <w:noWrap/>
            <w:vAlign w:val="bottom"/>
            <w:hideMark/>
          </w:tcPr>
          <w:p w14:paraId="62DCB009" w14:textId="77777777" w:rsidR="00D8365A" w:rsidRPr="00362517" w:rsidRDefault="00D8365A" w:rsidP="00BF6BC7">
            <w:pPr>
              <w:jc w:val="right"/>
            </w:pPr>
            <w:r w:rsidRPr="00362517">
              <w:t>42,007</w:t>
            </w:r>
          </w:p>
        </w:tc>
        <w:tc>
          <w:tcPr>
            <w:tcW w:w="887" w:type="pct"/>
            <w:tcBorders>
              <w:top w:val="nil"/>
              <w:left w:val="nil"/>
              <w:bottom w:val="single" w:sz="4" w:space="0" w:color="auto"/>
              <w:right w:val="single" w:sz="4" w:space="0" w:color="auto"/>
            </w:tcBorders>
            <w:shd w:val="clear" w:color="auto" w:fill="auto"/>
            <w:noWrap/>
            <w:vAlign w:val="bottom"/>
            <w:hideMark/>
          </w:tcPr>
          <w:p w14:paraId="475A4679" w14:textId="77777777" w:rsidR="00D8365A" w:rsidRPr="00362517" w:rsidRDefault="00D8365A" w:rsidP="00BF6BC7">
            <w:pPr>
              <w:jc w:val="right"/>
            </w:pPr>
            <w:r w:rsidRPr="00362517">
              <w:t>5,568</w:t>
            </w:r>
          </w:p>
        </w:tc>
      </w:tr>
      <w:tr w:rsidR="00D8365A" w:rsidRPr="00362517" w14:paraId="6C47F7BD"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14:paraId="773D0640" w14:textId="77777777" w:rsidR="00D8365A" w:rsidRPr="00362517" w:rsidRDefault="00D8365A" w:rsidP="00BF6BC7">
            <w:r w:rsidRPr="00362517">
              <w:t>Arkansas</w:t>
            </w:r>
          </w:p>
        </w:tc>
        <w:tc>
          <w:tcPr>
            <w:tcW w:w="873" w:type="pct"/>
            <w:tcBorders>
              <w:top w:val="nil"/>
              <w:left w:val="nil"/>
              <w:bottom w:val="single" w:sz="4" w:space="0" w:color="auto"/>
              <w:right w:val="single" w:sz="4" w:space="0" w:color="auto"/>
            </w:tcBorders>
            <w:shd w:val="clear" w:color="auto" w:fill="auto"/>
            <w:noWrap/>
            <w:vAlign w:val="bottom"/>
            <w:hideMark/>
          </w:tcPr>
          <w:p w14:paraId="7B25AAED" w14:textId="77777777" w:rsidR="00D8365A" w:rsidRPr="00362517" w:rsidRDefault="00D8365A" w:rsidP="00BF6BC7">
            <w:pPr>
              <w:jc w:val="right"/>
            </w:pPr>
            <w:r w:rsidRPr="00362517">
              <w:t>21.7</w:t>
            </w:r>
          </w:p>
        </w:tc>
        <w:tc>
          <w:tcPr>
            <w:tcW w:w="873" w:type="pct"/>
            <w:tcBorders>
              <w:top w:val="nil"/>
              <w:left w:val="nil"/>
              <w:bottom w:val="single" w:sz="4" w:space="0" w:color="auto"/>
              <w:right w:val="single" w:sz="4" w:space="0" w:color="auto"/>
            </w:tcBorders>
            <w:shd w:val="clear" w:color="auto" w:fill="auto"/>
            <w:noWrap/>
            <w:vAlign w:val="bottom"/>
            <w:hideMark/>
          </w:tcPr>
          <w:p w14:paraId="6F1B32AB" w14:textId="77777777" w:rsidR="00D8365A" w:rsidRPr="00362517" w:rsidRDefault="00D8365A" w:rsidP="00BF6BC7">
            <w:pPr>
              <w:jc w:val="right"/>
            </w:pPr>
            <w:r w:rsidRPr="00362517">
              <w:t>181</w:t>
            </w:r>
          </w:p>
        </w:tc>
        <w:tc>
          <w:tcPr>
            <w:tcW w:w="1048" w:type="pct"/>
            <w:tcBorders>
              <w:top w:val="nil"/>
              <w:left w:val="nil"/>
              <w:bottom w:val="single" w:sz="4" w:space="0" w:color="auto"/>
              <w:right w:val="single" w:sz="4" w:space="0" w:color="auto"/>
            </w:tcBorders>
            <w:shd w:val="clear" w:color="auto" w:fill="auto"/>
            <w:noWrap/>
            <w:vAlign w:val="bottom"/>
            <w:hideMark/>
          </w:tcPr>
          <w:p w14:paraId="0173AB9B" w14:textId="77777777" w:rsidR="00D8365A" w:rsidRPr="00362517" w:rsidRDefault="00D8365A" w:rsidP="00BF6BC7">
            <w:pPr>
              <w:jc w:val="right"/>
            </w:pPr>
            <w:r w:rsidRPr="00362517">
              <w:t>111,384</w:t>
            </w:r>
          </w:p>
        </w:tc>
        <w:tc>
          <w:tcPr>
            <w:tcW w:w="887" w:type="pct"/>
            <w:tcBorders>
              <w:top w:val="nil"/>
              <w:left w:val="nil"/>
              <w:bottom w:val="single" w:sz="4" w:space="0" w:color="auto"/>
              <w:right w:val="single" w:sz="4" w:space="0" w:color="auto"/>
            </w:tcBorders>
            <w:shd w:val="clear" w:color="auto" w:fill="auto"/>
            <w:noWrap/>
            <w:vAlign w:val="bottom"/>
            <w:hideMark/>
          </w:tcPr>
          <w:p w14:paraId="4D8B18EC" w14:textId="77777777" w:rsidR="00D8365A" w:rsidRPr="00362517" w:rsidRDefault="00D8365A" w:rsidP="00BF6BC7">
            <w:pPr>
              <w:jc w:val="right"/>
            </w:pPr>
            <w:r w:rsidRPr="00362517">
              <w:t>14,765</w:t>
            </w:r>
          </w:p>
        </w:tc>
      </w:tr>
      <w:tr w:rsidR="00D8365A" w:rsidRPr="00362517" w14:paraId="79D3AB1E"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14:paraId="1FF80972" w14:textId="77777777" w:rsidR="00D8365A" w:rsidRPr="00362517" w:rsidRDefault="00D8365A" w:rsidP="00BF6BC7">
            <w:r w:rsidRPr="00362517">
              <w:t>Colorado</w:t>
            </w:r>
          </w:p>
        </w:tc>
        <w:tc>
          <w:tcPr>
            <w:tcW w:w="873" w:type="pct"/>
            <w:tcBorders>
              <w:top w:val="nil"/>
              <w:left w:val="nil"/>
              <w:bottom w:val="single" w:sz="4" w:space="0" w:color="auto"/>
              <w:right w:val="single" w:sz="4" w:space="0" w:color="auto"/>
            </w:tcBorders>
            <w:shd w:val="clear" w:color="auto" w:fill="auto"/>
            <w:noWrap/>
            <w:vAlign w:val="bottom"/>
            <w:hideMark/>
          </w:tcPr>
          <w:p w14:paraId="098F1097" w14:textId="77777777" w:rsidR="00D8365A" w:rsidRPr="00362517" w:rsidRDefault="00D8365A" w:rsidP="00BF6BC7">
            <w:pPr>
              <w:jc w:val="right"/>
            </w:pPr>
            <w:r w:rsidRPr="00362517">
              <w:t>20.1</w:t>
            </w:r>
          </w:p>
        </w:tc>
        <w:tc>
          <w:tcPr>
            <w:tcW w:w="873" w:type="pct"/>
            <w:tcBorders>
              <w:top w:val="nil"/>
              <w:left w:val="nil"/>
              <w:bottom w:val="single" w:sz="4" w:space="0" w:color="auto"/>
              <w:right w:val="single" w:sz="4" w:space="0" w:color="auto"/>
            </w:tcBorders>
            <w:shd w:val="clear" w:color="auto" w:fill="auto"/>
            <w:noWrap/>
            <w:vAlign w:val="bottom"/>
            <w:hideMark/>
          </w:tcPr>
          <w:p w14:paraId="507C30D8" w14:textId="77777777" w:rsidR="00D8365A" w:rsidRPr="00362517" w:rsidRDefault="00D8365A" w:rsidP="00BF6BC7">
            <w:pPr>
              <w:jc w:val="right"/>
            </w:pPr>
            <w:r w:rsidRPr="00362517">
              <w:t>168</w:t>
            </w:r>
          </w:p>
        </w:tc>
        <w:tc>
          <w:tcPr>
            <w:tcW w:w="1048" w:type="pct"/>
            <w:tcBorders>
              <w:top w:val="nil"/>
              <w:left w:val="nil"/>
              <w:bottom w:val="single" w:sz="4" w:space="0" w:color="auto"/>
              <w:right w:val="single" w:sz="4" w:space="0" w:color="auto"/>
            </w:tcBorders>
            <w:shd w:val="clear" w:color="auto" w:fill="auto"/>
            <w:noWrap/>
            <w:vAlign w:val="bottom"/>
            <w:hideMark/>
          </w:tcPr>
          <w:p w14:paraId="476AACF4" w14:textId="77777777" w:rsidR="00D8365A" w:rsidRPr="00362517" w:rsidRDefault="00D8365A" w:rsidP="00BF6BC7">
            <w:pPr>
              <w:jc w:val="right"/>
            </w:pPr>
            <w:r w:rsidRPr="00362517">
              <w:t>103,503</w:t>
            </w:r>
          </w:p>
        </w:tc>
        <w:tc>
          <w:tcPr>
            <w:tcW w:w="887" w:type="pct"/>
            <w:tcBorders>
              <w:top w:val="nil"/>
              <w:left w:val="nil"/>
              <w:bottom w:val="single" w:sz="4" w:space="0" w:color="auto"/>
              <w:right w:val="single" w:sz="4" w:space="0" w:color="auto"/>
            </w:tcBorders>
            <w:shd w:val="clear" w:color="auto" w:fill="auto"/>
            <w:noWrap/>
            <w:vAlign w:val="bottom"/>
            <w:hideMark/>
          </w:tcPr>
          <w:p w14:paraId="6279E85A" w14:textId="77777777" w:rsidR="00D8365A" w:rsidRPr="00362517" w:rsidRDefault="00D8365A" w:rsidP="00BF6BC7">
            <w:pPr>
              <w:jc w:val="right"/>
            </w:pPr>
            <w:r w:rsidRPr="00362517">
              <w:t>13,720</w:t>
            </w:r>
          </w:p>
        </w:tc>
      </w:tr>
      <w:tr w:rsidR="00D8365A" w:rsidRPr="00362517" w14:paraId="5E599C4F"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14:paraId="4858A9B7" w14:textId="77777777" w:rsidR="00D8365A" w:rsidRPr="00362517" w:rsidRDefault="00D8365A" w:rsidP="00BF6BC7">
            <w:r w:rsidRPr="00362517">
              <w:t>Delaware</w:t>
            </w:r>
          </w:p>
        </w:tc>
        <w:tc>
          <w:tcPr>
            <w:tcW w:w="873" w:type="pct"/>
            <w:tcBorders>
              <w:top w:val="nil"/>
              <w:left w:val="nil"/>
              <w:bottom w:val="single" w:sz="4" w:space="0" w:color="auto"/>
              <w:right w:val="single" w:sz="4" w:space="0" w:color="auto"/>
            </w:tcBorders>
            <w:shd w:val="clear" w:color="auto" w:fill="auto"/>
            <w:noWrap/>
            <w:vAlign w:val="bottom"/>
            <w:hideMark/>
          </w:tcPr>
          <w:p w14:paraId="0C73A93A" w14:textId="77777777" w:rsidR="00D8365A" w:rsidRPr="00362517" w:rsidRDefault="00D8365A" w:rsidP="00BF6BC7">
            <w:pPr>
              <w:jc w:val="right"/>
            </w:pPr>
            <w:r w:rsidRPr="00362517">
              <w:t>5.8</w:t>
            </w:r>
          </w:p>
        </w:tc>
        <w:tc>
          <w:tcPr>
            <w:tcW w:w="873" w:type="pct"/>
            <w:tcBorders>
              <w:top w:val="nil"/>
              <w:left w:val="nil"/>
              <w:bottom w:val="single" w:sz="4" w:space="0" w:color="auto"/>
              <w:right w:val="single" w:sz="4" w:space="0" w:color="auto"/>
            </w:tcBorders>
            <w:shd w:val="clear" w:color="auto" w:fill="auto"/>
            <w:noWrap/>
            <w:vAlign w:val="bottom"/>
            <w:hideMark/>
          </w:tcPr>
          <w:p w14:paraId="4C2FBE15" w14:textId="77777777" w:rsidR="00D8365A" w:rsidRPr="00362517" w:rsidRDefault="00D8365A" w:rsidP="00BF6BC7">
            <w:pPr>
              <w:jc w:val="right"/>
            </w:pPr>
            <w:r w:rsidRPr="00362517">
              <w:t>48</w:t>
            </w:r>
          </w:p>
        </w:tc>
        <w:tc>
          <w:tcPr>
            <w:tcW w:w="1048" w:type="pct"/>
            <w:tcBorders>
              <w:top w:val="nil"/>
              <w:left w:val="nil"/>
              <w:bottom w:val="single" w:sz="4" w:space="0" w:color="auto"/>
              <w:right w:val="single" w:sz="4" w:space="0" w:color="auto"/>
            </w:tcBorders>
            <w:shd w:val="clear" w:color="auto" w:fill="auto"/>
            <w:noWrap/>
            <w:vAlign w:val="bottom"/>
            <w:hideMark/>
          </w:tcPr>
          <w:p w14:paraId="5E9C0551" w14:textId="77777777" w:rsidR="00D8365A" w:rsidRPr="00362517" w:rsidRDefault="00D8365A" w:rsidP="00BF6BC7">
            <w:pPr>
              <w:jc w:val="right"/>
            </w:pPr>
            <w:r w:rsidRPr="00362517">
              <w:t>29,688</w:t>
            </w:r>
          </w:p>
        </w:tc>
        <w:tc>
          <w:tcPr>
            <w:tcW w:w="887" w:type="pct"/>
            <w:tcBorders>
              <w:top w:val="nil"/>
              <w:left w:val="nil"/>
              <w:bottom w:val="single" w:sz="4" w:space="0" w:color="auto"/>
              <w:right w:val="single" w:sz="4" w:space="0" w:color="auto"/>
            </w:tcBorders>
            <w:shd w:val="clear" w:color="auto" w:fill="auto"/>
            <w:noWrap/>
            <w:vAlign w:val="bottom"/>
            <w:hideMark/>
          </w:tcPr>
          <w:p w14:paraId="2284DE87" w14:textId="77777777" w:rsidR="00D8365A" w:rsidRPr="00362517" w:rsidRDefault="00D8365A" w:rsidP="00BF6BC7">
            <w:pPr>
              <w:jc w:val="right"/>
            </w:pPr>
            <w:r w:rsidRPr="00362517">
              <w:t>3,935</w:t>
            </w:r>
          </w:p>
        </w:tc>
      </w:tr>
      <w:tr w:rsidR="00D8365A" w:rsidRPr="00362517" w14:paraId="50C5A94C"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14:paraId="2ECE768A" w14:textId="77777777" w:rsidR="00D8365A" w:rsidRPr="00362517" w:rsidRDefault="00D8365A" w:rsidP="00BF6BC7">
            <w:r w:rsidRPr="00362517">
              <w:t>Idaho</w:t>
            </w:r>
          </w:p>
        </w:tc>
        <w:tc>
          <w:tcPr>
            <w:tcW w:w="873" w:type="pct"/>
            <w:tcBorders>
              <w:top w:val="nil"/>
              <w:left w:val="nil"/>
              <w:bottom w:val="single" w:sz="4" w:space="0" w:color="auto"/>
              <w:right w:val="single" w:sz="4" w:space="0" w:color="auto"/>
            </w:tcBorders>
            <w:shd w:val="clear" w:color="auto" w:fill="auto"/>
            <w:noWrap/>
            <w:vAlign w:val="bottom"/>
            <w:hideMark/>
          </w:tcPr>
          <w:p w14:paraId="41A65EEE" w14:textId="77777777" w:rsidR="00D8365A" w:rsidRPr="00362517" w:rsidRDefault="00D8365A" w:rsidP="00BF6BC7">
            <w:pPr>
              <w:jc w:val="right"/>
            </w:pPr>
            <w:r w:rsidRPr="00362517">
              <w:t>28.5</w:t>
            </w:r>
          </w:p>
        </w:tc>
        <w:tc>
          <w:tcPr>
            <w:tcW w:w="873" w:type="pct"/>
            <w:tcBorders>
              <w:top w:val="nil"/>
              <w:left w:val="nil"/>
              <w:bottom w:val="single" w:sz="4" w:space="0" w:color="auto"/>
              <w:right w:val="single" w:sz="4" w:space="0" w:color="auto"/>
            </w:tcBorders>
            <w:shd w:val="clear" w:color="auto" w:fill="auto"/>
            <w:noWrap/>
            <w:vAlign w:val="bottom"/>
            <w:hideMark/>
          </w:tcPr>
          <w:p w14:paraId="26949F4A" w14:textId="77777777" w:rsidR="00D8365A" w:rsidRPr="00362517" w:rsidRDefault="00D8365A" w:rsidP="00BF6BC7">
            <w:pPr>
              <w:jc w:val="right"/>
            </w:pPr>
            <w:r w:rsidRPr="00362517">
              <w:t>238</w:t>
            </w:r>
          </w:p>
        </w:tc>
        <w:tc>
          <w:tcPr>
            <w:tcW w:w="1048" w:type="pct"/>
            <w:tcBorders>
              <w:top w:val="nil"/>
              <w:left w:val="nil"/>
              <w:bottom w:val="single" w:sz="4" w:space="0" w:color="auto"/>
              <w:right w:val="single" w:sz="4" w:space="0" w:color="auto"/>
            </w:tcBorders>
            <w:shd w:val="clear" w:color="auto" w:fill="auto"/>
            <w:noWrap/>
            <w:vAlign w:val="bottom"/>
            <w:hideMark/>
          </w:tcPr>
          <w:p w14:paraId="2EAF90A8" w14:textId="77777777" w:rsidR="00D8365A" w:rsidRPr="00362517" w:rsidRDefault="00D8365A" w:rsidP="00BF6BC7">
            <w:pPr>
              <w:jc w:val="right"/>
            </w:pPr>
            <w:r w:rsidRPr="00362517">
              <w:t>146,607</w:t>
            </w:r>
          </w:p>
        </w:tc>
        <w:tc>
          <w:tcPr>
            <w:tcW w:w="887" w:type="pct"/>
            <w:tcBorders>
              <w:top w:val="nil"/>
              <w:left w:val="nil"/>
              <w:bottom w:val="single" w:sz="4" w:space="0" w:color="auto"/>
              <w:right w:val="single" w:sz="4" w:space="0" w:color="auto"/>
            </w:tcBorders>
            <w:shd w:val="clear" w:color="auto" w:fill="auto"/>
            <w:noWrap/>
            <w:vAlign w:val="bottom"/>
            <w:hideMark/>
          </w:tcPr>
          <w:p w14:paraId="204D4E68" w14:textId="77777777" w:rsidR="00D8365A" w:rsidRPr="00362517" w:rsidRDefault="00D8365A" w:rsidP="00BF6BC7">
            <w:pPr>
              <w:jc w:val="right"/>
            </w:pPr>
            <w:r w:rsidRPr="00362517">
              <w:t>19,434</w:t>
            </w:r>
          </w:p>
        </w:tc>
      </w:tr>
      <w:tr w:rsidR="00D8365A" w:rsidRPr="00362517" w14:paraId="3F389E2B"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14:paraId="49FCA752" w14:textId="77777777" w:rsidR="00D8365A" w:rsidRPr="00362517" w:rsidRDefault="00D8365A" w:rsidP="00BF6BC7">
            <w:r w:rsidRPr="00362517">
              <w:t>Kansas</w:t>
            </w:r>
          </w:p>
        </w:tc>
        <w:tc>
          <w:tcPr>
            <w:tcW w:w="873" w:type="pct"/>
            <w:tcBorders>
              <w:top w:val="nil"/>
              <w:left w:val="nil"/>
              <w:bottom w:val="single" w:sz="4" w:space="0" w:color="auto"/>
              <w:right w:val="single" w:sz="4" w:space="0" w:color="auto"/>
            </w:tcBorders>
            <w:shd w:val="clear" w:color="auto" w:fill="auto"/>
            <w:noWrap/>
            <w:vAlign w:val="bottom"/>
            <w:hideMark/>
          </w:tcPr>
          <w:p w14:paraId="7CABBF0A" w14:textId="77777777" w:rsidR="00D8365A" w:rsidRPr="00362517" w:rsidRDefault="00D8365A" w:rsidP="00BF6BC7">
            <w:pPr>
              <w:jc w:val="right"/>
            </w:pPr>
            <w:r w:rsidRPr="00362517">
              <w:t>43.7</w:t>
            </w:r>
          </w:p>
        </w:tc>
        <w:tc>
          <w:tcPr>
            <w:tcW w:w="873" w:type="pct"/>
            <w:tcBorders>
              <w:top w:val="nil"/>
              <w:left w:val="nil"/>
              <w:bottom w:val="single" w:sz="4" w:space="0" w:color="auto"/>
              <w:right w:val="single" w:sz="4" w:space="0" w:color="auto"/>
            </w:tcBorders>
            <w:shd w:val="clear" w:color="auto" w:fill="auto"/>
            <w:noWrap/>
            <w:vAlign w:val="bottom"/>
            <w:hideMark/>
          </w:tcPr>
          <w:p w14:paraId="63CCE30F" w14:textId="77777777" w:rsidR="00D8365A" w:rsidRPr="00362517" w:rsidRDefault="00D8365A" w:rsidP="00BF6BC7">
            <w:pPr>
              <w:jc w:val="right"/>
            </w:pPr>
            <w:r w:rsidRPr="00362517">
              <w:t>364</w:t>
            </w:r>
          </w:p>
        </w:tc>
        <w:tc>
          <w:tcPr>
            <w:tcW w:w="1048" w:type="pct"/>
            <w:tcBorders>
              <w:top w:val="nil"/>
              <w:left w:val="nil"/>
              <w:bottom w:val="single" w:sz="4" w:space="0" w:color="auto"/>
              <w:right w:val="single" w:sz="4" w:space="0" w:color="auto"/>
            </w:tcBorders>
            <w:shd w:val="clear" w:color="auto" w:fill="auto"/>
            <w:noWrap/>
            <w:vAlign w:val="bottom"/>
            <w:hideMark/>
          </w:tcPr>
          <w:p w14:paraId="462F9D2D" w14:textId="77777777" w:rsidR="00D8365A" w:rsidRPr="00362517" w:rsidRDefault="00D8365A" w:rsidP="00BF6BC7">
            <w:pPr>
              <w:jc w:val="right"/>
            </w:pPr>
            <w:r w:rsidRPr="00362517">
              <w:t>224,758</w:t>
            </w:r>
          </w:p>
        </w:tc>
        <w:tc>
          <w:tcPr>
            <w:tcW w:w="887" w:type="pct"/>
            <w:tcBorders>
              <w:top w:val="nil"/>
              <w:left w:val="nil"/>
              <w:bottom w:val="single" w:sz="4" w:space="0" w:color="auto"/>
              <w:right w:val="single" w:sz="4" w:space="0" w:color="auto"/>
            </w:tcBorders>
            <w:shd w:val="clear" w:color="auto" w:fill="auto"/>
            <w:noWrap/>
            <w:vAlign w:val="bottom"/>
            <w:hideMark/>
          </w:tcPr>
          <w:p w14:paraId="2BADA250" w14:textId="77777777" w:rsidR="00D8365A" w:rsidRPr="00362517" w:rsidRDefault="00D8365A" w:rsidP="00BF6BC7">
            <w:pPr>
              <w:jc w:val="right"/>
            </w:pPr>
            <w:r w:rsidRPr="00362517">
              <w:t>29,793</w:t>
            </w:r>
          </w:p>
        </w:tc>
      </w:tr>
      <w:tr w:rsidR="00D8365A" w:rsidRPr="00362517" w14:paraId="3523A865"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14:paraId="7A18BFEB" w14:textId="77777777" w:rsidR="00D8365A" w:rsidRPr="00362517" w:rsidRDefault="00D8365A" w:rsidP="00BF6BC7">
            <w:r w:rsidRPr="00362517">
              <w:t>Missouri</w:t>
            </w:r>
          </w:p>
        </w:tc>
        <w:tc>
          <w:tcPr>
            <w:tcW w:w="873" w:type="pct"/>
            <w:tcBorders>
              <w:top w:val="nil"/>
              <w:left w:val="nil"/>
              <w:bottom w:val="single" w:sz="4" w:space="0" w:color="auto"/>
              <w:right w:val="single" w:sz="4" w:space="0" w:color="auto"/>
            </w:tcBorders>
            <w:shd w:val="clear" w:color="auto" w:fill="auto"/>
            <w:noWrap/>
            <w:vAlign w:val="bottom"/>
            <w:hideMark/>
          </w:tcPr>
          <w:p w14:paraId="22879495" w14:textId="77777777" w:rsidR="00D8365A" w:rsidRPr="00362517" w:rsidRDefault="00D8365A" w:rsidP="00BF6BC7">
            <w:pPr>
              <w:jc w:val="right"/>
            </w:pPr>
            <w:r w:rsidRPr="00362517">
              <w:t>30.1</w:t>
            </w:r>
          </w:p>
        </w:tc>
        <w:tc>
          <w:tcPr>
            <w:tcW w:w="873" w:type="pct"/>
            <w:tcBorders>
              <w:top w:val="nil"/>
              <w:left w:val="nil"/>
              <w:bottom w:val="single" w:sz="4" w:space="0" w:color="auto"/>
              <w:right w:val="single" w:sz="4" w:space="0" w:color="auto"/>
            </w:tcBorders>
            <w:shd w:val="clear" w:color="auto" w:fill="auto"/>
            <w:noWrap/>
            <w:vAlign w:val="bottom"/>
            <w:hideMark/>
          </w:tcPr>
          <w:p w14:paraId="465BD57F" w14:textId="77777777" w:rsidR="00D8365A" w:rsidRPr="00362517" w:rsidRDefault="00D8365A" w:rsidP="00BF6BC7">
            <w:pPr>
              <w:jc w:val="right"/>
            </w:pPr>
            <w:r w:rsidRPr="00362517">
              <w:t>251</w:t>
            </w:r>
          </w:p>
        </w:tc>
        <w:tc>
          <w:tcPr>
            <w:tcW w:w="1048" w:type="pct"/>
            <w:tcBorders>
              <w:top w:val="nil"/>
              <w:left w:val="nil"/>
              <w:bottom w:val="single" w:sz="4" w:space="0" w:color="auto"/>
              <w:right w:val="single" w:sz="4" w:space="0" w:color="auto"/>
            </w:tcBorders>
            <w:shd w:val="clear" w:color="auto" w:fill="auto"/>
            <w:noWrap/>
            <w:vAlign w:val="bottom"/>
            <w:hideMark/>
          </w:tcPr>
          <w:p w14:paraId="4C1A39E9" w14:textId="77777777" w:rsidR="00D8365A" w:rsidRPr="00362517" w:rsidRDefault="00D8365A" w:rsidP="00BF6BC7">
            <w:pPr>
              <w:jc w:val="right"/>
            </w:pPr>
            <w:r w:rsidRPr="00362517">
              <w:t>154,617</w:t>
            </w:r>
          </w:p>
        </w:tc>
        <w:tc>
          <w:tcPr>
            <w:tcW w:w="887" w:type="pct"/>
            <w:tcBorders>
              <w:top w:val="nil"/>
              <w:left w:val="nil"/>
              <w:bottom w:val="single" w:sz="4" w:space="0" w:color="auto"/>
              <w:right w:val="single" w:sz="4" w:space="0" w:color="auto"/>
            </w:tcBorders>
            <w:shd w:val="clear" w:color="auto" w:fill="auto"/>
            <w:noWrap/>
            <w:vAlign w:val="bottom"/>
            <w:hideMark/>
          </w:tcPr>
          <w:p w14:paraId="252C7224" w14:textId="77777777" w:rsidR="00D8365A" w:rsidRPr="00362517" w:rsidRDefault="00D8365A" w:rsidP="00BF6BC7">
            <w:pPr>
              <w:jc w:val="right"/>
            </w:pPr>
            <w:r w:rsidRPr="00362517">
              <w:t>20,495</w:t>
            </w:r>
          </w:p>
        </w:tc>
      </w:tr>
      <w:tr w:rsidR="00D8365A" w:rsidRPr="00362517" w14:paraId="6C59A000"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14:paraId="33FFF1F3" w14:textId="77777777" w:rsidR="00D8365A" w:rsidRPr="00362517" w:rsidRDefault="00D8365A" w:rsidP="00BF6BC7">
            <w:r w:rsidRPr="00362517">
              <w:t>Nevada</w:t>
            </w:r>
          </w:p>
        </w:tc>
        <w:tc>
          <w:tcPr>
            <w:tcW w:w="873" w:type="pct"/>
            <w:tcBorders>
              <w:top w:val="nil"/>
              <w:left w:val="nil"/>
              <w:bottom w:val="single" w:sz="4" w:space="0" w:color="auto"/>
              <w:right w:val="single" w:sz="4" w:space="0" w:color="auto"/>
            </w:tcBorders>
            <w:shd w:val="clear" w:color="auto" w:fill="auto"/>
            <w:noWrap/>
            <w:vAlign w:val="bottom"/>
            <w:hideMark/>
          </w:tcPr>
          <w:p w14:paraId="7CF1C726" w14:textId="77777777" w:rsidR="00D8365A" w:rsidRPr="00362517" w:rsidRDefault="00D8365A" w:rsidP="00BF6BC7">
            <w:pPr>
              <w:jc w:val="right"/>
            </w:pPr>
            <w:r w:rsidRPr="00362517">
              <w:t>0.0</w:t>
            </w:r>
          </w:p>
        </w:tc>
        <w:tc>
          <w:tcPr>
            <w:tcW w:w="873" w:type="pct"/>
            <w:tcBorders>
              <w:top w:val="nil"/>
              <w:left w:val="nil"/>
              <w:bottom w:val="single" w:sz="4" w:space="0" w:color="auto"/>
              <w:right w:val="single" w:sz="4" w:space="0" w:color="auto"/>
            </w:tcBorders>
            <w:shd w:val="clear" w:color="auto" w:fill="auto"/>
            <w:noWrap/>
            <w:vAlign w:val="bottom"/>
            <w:hideMark/>
          </w:tcPr>
          <w:p w14:paraId="6271EEC5" w14:textId="77777777" w:rsidR="00D8365A" w:rsidRPr="00362517" w:rsidRDefault="00D8365A" w:rsidP="00BF6BC7">
            <w:pPr>
              <w:jc w:val="right"/>
            </w:pPr>
            <w:r w:rsidRPr="00362517">
              <w:t>0</w:t>
            </w:r>
          </w:p>
        </w:tc>
        <w:tc>
          <w:tcPr>
            <w:tcW w:w="1048" w:type="pct"/>
            <w:tcBorders>
              <w:top w:val="nil"/>
              <w:left w:val="nil"/>
              <w:bottom w:val="single" w:sz="4" w:space="0" w:color="auto"/>
              <w:right w:val="single" w:sz="4" w:space="0" w:color="auto"/>
            </w:tcBorders>
            <w:shd w:val="clear" w:color="auto" w:fill="auto"/>
            <w:noWrap/>
            <w:vAlign w:val="bottom"/>
            <w:hideMark/>
          </w:tcPr>
          <w:p w14:paraId="47E1E00C" w14:textId="77777777" w:rsidR="00D8365A" w:rsidRPr="00362517" w:rsidRDefault="00D8365A" w:rsidP="00BF6BC7">
            <w:pPr>
              <w:jc w:val="right"/>
            </w:pPr>
            <w:r w:rsidRPr="00362517">
              <w:t>0</w:t>
            </w:r>
          </w:p>
        </w:tc>
        <w:tc>
          <w:tcPr>
            <w:tcW w:w="887" w:type="pct"/>
            <w:tcBorders>
              <w:top w:val="nil"/>
              <w:left w:val="nil"/>
              <w:bottom w:val="single" w:sz="4" w:space="0" w:color="auto"/>
              <w:right w:val="single" w:sz="4" w:space="0" w:color="auto"/>
            </w:tcBorders>
            <w:shd w:val="clear" w:color="auto" w:fill="auto"/>
            <w:noWrap/>
            <w:vAlign w:val="bottom"/>
            <w:hideMark/>
          </w:tcPr>
          <w:p w14:paraId="3F5CF617" w14:textId="77777777" w:rsidR="00D8365A" w:rsidRPr="00362517" w:rsidRDefault="00D8365A" w:rsidP="00BF6BC7">
            <w:pPr>
              <w:jc w:val="right"/>
            </w:pPr>
            <w:r w:rsidRPr="00362517">
              <w:t>0</w:t>
            </w:r>
          </w:p>
        </w:tc>
      </w:tr>
      <w:tr w:rsidR="00D8365A" w:rsidRPr="00362517" w14:paraId="659FB4A4"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14:paraId="455C236D" w14:textId="77777777" w:rsidR="00D8365A" w:rsidRPr="00362517" w:rsidRDefault="00D8365A" w:rsidP="00BF6BC7">
            <w:r w:rsidRPr="00362517">
              <w:t>New Mexico</w:t>
            </w:r>
          </w:p>
        </w:tc>
        <w:tc>
          <w:tcPr>
            <w:tcW w:w="873" w:type="pct"/>
            <w:tcBorders>
              <w:top w:val="nil"/>
              <w:left w:val="nil"/>
              <w:bottom w:val="single" w:sz="4" w:space="0" w:color="auto"/>
              <w:right w:val="single" w:sz="4" w:space="0" w:color="auto"/>
            </w:tcBorders>
            <w:shd w:val="clear" w:color="auto" w:fill="auto"/>
            <w:noWrap/>
            <w:vAlign w:val="bottom"/>
            <w:hideMark/>
          </w:tcPr>
          <w:p w14:paraId="7AC7D726" w14:textId="77777777" w:rsidR="00D8365A" w:rsidRPr="00362517" w:rsidRDefault="00D8365A" w:rsidP="00BF6BC7">
            <w:pPr>
              <w:jc w:val="right"/>
            </w:pPr>
            <w:r w:rsidRPr="00362517">
              <w:t>2.2</w:t>
            </w:r>
          </w:p>
        </w:tc>
        <w:tc>
          <w:tcPr>
            <w:tcW w:w="873" w:type="pct"/>
            <w:tcBorders>
              <w:top w:val="nil"/>
              <w:left w:val="nil"/>
              <w:bottom w:val="single" w:sz="4" w:space="0" w:color="auto"/>
              <w:right w:val="single" w:sz="4" w:space="0" w:color="auto"/>
            </w:tcBorders>
            <w:shd w:val="clear" w:color="auto" w:fill="auto"/>
            <w:noWrap/>
            <w:vAlign w:val="bottom"/>
            <w:hideMark/>
          </w:tcPr>
          <w:p w14:paraId="5F95C2BD" w14:textId="77777777" w:rsidR="00D8365A" w:rsidRPr="00362517" w:rsidRDefault="00D8365A" w:rsidP="00BF6BC7">
            <w:pPr>
              <w:jc w:val="right"/>
            </w:pPr>
            <w:r w:rsidRPr="00362517">
              <w:t>18</w:t>
            </w:r>
          </w:p>
        </w:tc>
        <w:tc>
          <w:tcPr>
            <w:tcW w:w="1048" w:type="pct"/>
            <w:tcBorders>
              <w:top w:val="nil"/>
              <w:left w:val="nil"/>
              <w:bottom w:val="single" w:sz="4" w:space="0" w:color="auto"/>
              <w:right w:val="single" w:sz="4" w:space="0" w:color="auto"/>
            </w:tcBorders>
            <w:shd w:val="clear" w:color="auto" w:fill="auto"/>
            <w:noWrap/>
            <w:vAlign w:val="bottom"/>
            <w:hideMark/>
          </w:tcPr>
          <w:p w14:paraId="0F5CC945" w14:textId="77777777" w:rsidR="00D8365A" w:rsidRPr="00362517" w:rsidRDefault="00D8365A" w:rsidP="00BF6BC7">
            <w:pPr>
              <w:jc w:val="right"/>
            </w:pPr>
            <w:r w:rsidRPr="00362517">
              <w:t>11,081</w:t>
            </w:r>
          </w:p>
        </w:tc>
        <w:tc>
          <w:tcPr>
            <w:tcW w:w="887" w:type="pct"/>
            <w:tcBorders>
              <w:top w:val="nil"/>
              <w:left w:val="nil"/>
              <w:bottom w:val="single" w:sz="4" w:space="0" w:color="auto"/>
              <w:right w:val="single" w:sz="4" w:space="0" w:color="auto"/>
            </w:tcBorders>
            <w:shd w:val="clear" w:color="auto" w:fill="auto"/>
            <w:noWrap/>
            <w:vAlign w:val="bottom"/>
            <w:hideMark/>
          </w:tcPr>
          <w:p w14:paraId="75A21229" w14:textId="77777777" w:rsidR="00D8365A" w:rsidRPr="00362517" w:rsidRDefault="00D8365A" w:rsidP="00BF6BC7">
            <w:pPr>
              <w:jc w:val="right"/>
            </w:pPr>
            <w:r w:rsidRPr="00362517">
              <w:t>1,469</w:t>
            </w:r>
          </w:p>
        </w:tc>
      </w:tr>
      <w:tr w:rsidR="00D8365A" w:rsidRPr="00362517" w14:paraId="1717FFC4"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14:paraId="3AE1DA42" w14:textId="77777777" w:rsidR="00D8365A" w:rsidRPr="00362517" w:rsidRDefault="00D8365A" w:rsidP="00BF6BC7">
            <w:r w:rsidRPr="00362517">
              <w:t>North Carolina</w:t>
            </w:r>
          </w:p>
        </w:tc>
        <w:tc>
          <w:tcPr>
            <w:tcW w:w="873" w:type="pct"/>
            <w:tcBorders>
              <w:top w:val="nil"/>
              <w:left w:val="nil"/>
              <w:bottom w:val="single" w:sz="4" w:space="0" w:color="auto"/>
              <w:right w:val="single" w:sz="4" w:space="0" w:color="auto"/>
            </w:tcBorders>
            <w:shd w:val="clear" w:color="auto" w:fill="auto"/>
            <w:noWrap/>
            <w:vAlign w:val="bottom"/>
            <w:hideMark/>
          </w:tcPr>
          <w:p w14:paraId="057EF849" w14:textId="77777777" w:rsidR="00D8365A" w:rsidRPr="00362517" w:rsidRDefault="00D8365A" w:rsidP="00BF6BC7">
            <w:pPr>
              <w:jc w:val="right"/>
            </w:pPr>
            <w:r w:rsidRPr="00362517">
              <w:t>18.4</w:t>
            </w:r>
          </w:p>
        </w:tc>
        <w:tc>
          <w:tcPr>
            <w:tcW w:w="873" w:type="pct"/>
            <w:tcBorders>
              <w:top w:val="nil"/>
              <w:left w:val="nil"/>
              <w:bottom w:val="single" w:sz="4" w:space="0" w:color="auto"/>
              <w:right w:val="single" w:sz="4" w:space="0" w:color="auto"/>
            </w:tcBorders>
            <w:shd w:val="clear" w:color="auto" w:fill="auto"/>
            <w:noWrap/>
            <w:vAlign w:val="bottom"/>
            <w:hideMark/>
          </w:tcPr>
          <w:p w14:paraId="7307C7FB" w14:textId="77777777" w:rsidR="00D8365A" w:rsidRPr="00362517" w:rsidRDefault="00D8365A" w:rsidP="00BF6BC7">
            <w:pPr>
              <w:jc w:val="right"/>
            </w:pPr>
            <w:r w:rsidRPr="00362517">
              <w:t>153</w:t>
            </w:r>
          </w:p>
        </w:tc>
        <w:tc>
          <w:tcPr>
            <w:tcW w:w="1048" w:type="pct"/>
            <w:tcBorders>
              <w:top w:val="nil"/>
              <w:left w:val="nil"/>
              <w:bottom w:val="single" w:sz="4" w:space="0" w:color="auto"/>
              <w:right w:val="single" w:sz="4" w:space="0" w:color="auto"/>
            </w:tcBorders>
            <w:shd w:val="clear" w:color="auto" w:fill="auto"/>
            <w:noWrap/>
            <w:vAlign w:val="bottom"/>
            <w:hideMark/>
          </w:tcPr>
          <w:p w14:paraId="0C8FE29F" w14:textId="77777777" w:rsidR="00D8365A" w:rsidRPr="00362517" w:rsidRDefault="00D8365A" w:rsidP="00BF6BC7">
            <w:pPr>
              <w:jc w:val="right"/>
            </w:pPr>
            <w:r w:rsidRPr="00362517">
              <w:t>94,338</w:t>
            </w:r>
          </w:p>
        </w:tc>
        <w:tc>
          <w:tcPr>
            <w:tcW w:w="887" w:type="pct"/>
            <w:tcBorders>
              <w:top w:val="nil"/>
              <w:left w:val="nil"/>
              <w:bottom w:val="single" w:sz="4" w:space="0" w:color="auto"/>
              <w:right w:val="single" w:sz="4" w:space="0" w:color="auto"/>
            </w:tcBorders>
            <w:shd w:val="clear" w:color="auto" w:fill="auto"/>
            <w:noWrap/>
            <w:vAlign w:val="bottom"/>
            <w:hideMark/>
          </w:tcPr>
          <w:p w14:paraId="06F599C0" w14:textId="77777777" w:rsidR="00D8365A" w:rsidRPr="00362517" w:rsidRDefault="00D8365A" w:rsidP="00BF6BC7">
            <w:pPr>
              <w:jc w:val="right"/>
            </w:pPr>
            <w:r w:rsidRPr="00362517">
              <w:t>12,505</w:t>
            </w:r>
          </w:p>
        </w:tc>
      </w:tr>
      <w:tr w:rsidR="00D8365A" w:rsidRPr="00362517" w14:paraId="4A38AE2D"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14:paraId="0EBBD1B5" w14:textId="77777777" w:rsidR="00D8365A" w:rsidRPr="00362517" w:rsidRDefault="00D8365A" w:rsidP="00BF6BC7">
            <w:r w:rsidRPr="00362517">
              <w:t>Oklahoma</w:t>
            </w:r>
          </w:p>
        </w:tc>
        <w:tc>
          <w:tcPr>
            <w:tcW w:w="873" w:type="pct"/>
            <w:tcBorders>
              <w:top w:val="nil"/>
              <w:left w:val="nil"/>
              <w:bottom w:val="single" w:sz="4" w:space="0" w:color="auto"/>
              <w:right w:val="single" w:sz="4" w:space="0" w:color="auto"/>
            </w:tcBorders>
            <w:shd w:val="clear" w:color="auto" w:fill="auto"/>
            <w:noWrap/>
            <w:vAlign w:val="bottom"/>
            <w:hideMark/>
          </w:tcPr>
          <w:p w14:paraId="5668B584" w14:textId="77777777" w:rsidR="00D8365A" w:rsidRPr="00362517" w:rsidRDefault="00D8365A" w:rsidP="00BF6BC7">
            <w:pPr>
              <w:jc w:val="right"/>
            </w:pPr>
            <w:r w:rsidRPr="00362517">
              <w:t>46.6</w:t>
            </w:r>
          </w:p>
        </w:tc>
        <w:tc>
          <w:tcPr>
            <w:tcW w:w="873" w:type="pct"/>
            <w:tcBorders>
              <w:top w:val="nil"/>
              <w:left w:val="nil"/>
              <w:bottom w:val="single" w:sz="4" w:space="0" w:color="auto"/>
              <w:right w:val="single" w:sz="4" w:space="0" w:color="auto"/>
            </w:tcBorders>
            <w:shd w:val="clear" w:color="auto" w:fill="auto"/>
            <w:noWrap/>
            <w:vAlign w:val="bottom"/>
            <w:hideMark/>
          </w:tcPr>
          <w:p w14:paraId="0A085B9A" w14:textId="77777777" w:rsidR="00D8365A" w:rsidRPr="00362517" w:rsidRDefault="00D8365A" w:rsidP="00BF6BC7">
            <w:pPr>
              <w:jc w:val="right"/>
            </w:pPr>
            <w:r w:rsidRPr="00362517">
              <w:t>388</w:t>
            </w:r>
          </w:p>
        </w:tc>
        <w:tc>
          <w:tcPr>
            <w:tcW w:w="1048" w:type="pct"/>
            <w:tcBorders>
              <w:top w:val="nil"/>
              <w:left w:val="nil"/>
              <w:bottom w:val="single" w:sz="4" w:space="0" w:color="auto"/>
              <w:right w:val="single" w:sz="4" w:space="0" w:color="auto"/>
            </w:tcBorders>
            <w:shd w:val="clear" w:color="auto" w:fill="auto"/>
            <w:noWrap/>
            <w:vAlign w:val="bottom"/>
            <w:hideMark/>
          </w:tcPr>
          <w:p w14:paraId="7DAEE3D4" w14:textId="77777777" w:rsidR="00D8365A" w:rsidRPr="00362517" w:rsidRDefault="00D8365A" w:rsidP="00BF6BC7">
            <w:pPr>
              <w:jc w:val="right"/>
            </w:pPr>
            <w:r w:rsidRPr="00362517">
              <w:t>239,352</w:t>
            </w:r>
          </w:p>
        </w:tc>
        <w:tc>
          <w:tcPr>
            <w:tcW w:w="887" w:type="pct"/>
            <w:tcBorders>
              <w:top w:val="nil"/>
              <w:left w:val="nil"/>
              <w:bottom w:val="single" w:sz="4" w:space="0" w:color="auto"/>
              <w:right w:val="single" w:sz="4" w:space="0" w:color="auto"/>
            </w:tcBorders>
            <w:shd w:val="clear" w:color="auto" w:fill="auto"/>
            <w:noWrap/>
            <w:vAlign w:val="bottom"/>
            <w:hideMark/>
          </w:tcPr>
          <w:p w14:paraId="396747C2" w14:textId="77777777" w:rsidR="00D8365A" w:rsidRPr="00362517" w:rsidRDefault="00D8365A" w:rsidP="00BF6BC7">
            <w:pPr>
              <w:jc w:val="right"/>
            </w:pPr>
            <w:r w:rsidRPr="00362517">
              <w:t>31,727</w:t>
            </w:r>
          </w:p>
        </w:tc>
      </w:tr>
      <w:tr w:rsidR="00D8365A" w:rsidRPr="00362517" w14:paraId="24CC7C84"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14:paraId="7B7EBFDF" w14:textId="77777777" w:rsidR="00D8365A" w:rsidRPr="00362517" w:rsidRDefault="00D8365A" w:rsidP="00BF6BC7">
            <w:r w:rsidRPr="00362517">
              <w:t>Oregon</w:t>
            </w:r>
          </w:p>
        </w:tc>
        <w:tc>
          <w:tcPr>
            <w:tcW w:w="873" w:type="pct"/>
            <w:tcBorders>
              <w:top w:val="nil"/>
              <w:left w:val="nil"/>
              <w:bottom w:val="single" w:sz="4" w:space="0" w:color="auto"/>
              <w:right w:val="single" w:sz="4" w:space="0" w:color="auto"/>
            </w:tcBorders>
            <w:shd w:val="clear" w:color="auto" w:fill="auto"/>
            <w:noWrap/>
            <w:vAlign w:val="bottom"/>
            <w:hideMark/>
          </w:tcPr>
          <w:p w14:paraId="4893D1CF" w14:textId="77777777" w:rsidR="00D8365A" w:rsidRPr="00362517" w:rsidRDefault="00D8365A" w:rsidP="00BF6BC7">
            <w:pPr>
              <w:jc w:val="right"/>
            </w:pPr>
            <w:r w:rsidRPr="00362517">
              <w:t>22.4</w:t>
            </w:r>
          </w:p>
        </w:tc>
        <w:tc>
          <w:tcPr>
            <w:tcW w:w="873" w:type="pct"/>
            <w:tcBorders>
              <w:top w:val="nil"/>
              <w:left w:val="nil"/>
              <w:bottom w:val="single" w:sz="4" w:space="0" w:color="auto"/>
              <w:right w:val="single" w:sz="4" w:space="0" w:color="auto"/>
            </w:tcBorders>
            <w:shd w:val="clear" w:color="auto" w:fill="auto"/>
            <w:noWrap/>
            <w:vAlign w:val="bottom"/>
            <w:hideMark/>
          </w:tcPr>
          <w:p w14:paraId="69E4DF84" w14:textId="77777777" w:rsidR="00D8365A" w:rsidRPr="00362517" w:rsidRDefault="00D8365A" w:rsidP="00BF6BC7">
            <w:pPr>
              <w:jc w:val="right"/>
            </w:pPr>
            <w:r w:rsidRPr="00362517">
              <w:t>187</w:t>
            </w:r>
          </w:p>
        </w:tc>
        <w:tc>
          <w:tcPr>
            <w:tcW w:w="1048" w:type="pct"/>
            <w:tcBorders>
              <w:top w:val="nil"/>
              <w:left w:val="nil"/>
              <w:bottom w:val="single" w:sz="4" w:space="0" w:color="auto"/>
              <w:right w:val="single" w:sz="4" w:space="0" w:color="auto"/>
            </w:tcBorders>
            <w:shd w:val="clear" w:color="auto" w:fill="auto"/>
            <w:noWrap/>
            <w:vAlign w:val="bottom"/>
            <w:hideMark/>
          </w:tcPr>
          <w:p w14:paraId="0C5FCBAF" w14:textId="77777777" w:rsidR="00D8365A" w:rsidRPr="00362517" w:rsidRDefault="00D8365A" w:rsidP="00BF6BC7">
            <w:pPr>
              <w:jc w:val="right"/>
            </w:pPr>
            <w:r w:rsidRPr="00362517">
              <w:t>115,360</w:t>
            </w:r>
          </w:p>
        </w:tc>
        <w:tc>
          <w:tcPr>
            <w:tcW w:w="887" w:type="pct"/>
            <w:tcBorders>
              <w:top w:val="nil"/>
              <w:left w:val="nil"/>
              <w:bottom w:val="single" w:sz="4" w:space="0" w:color="auto"/>
              <w:right w:val="single" w:sz="4" w:space="0" w:color="auto"/>
            </w:tcBorders>
            <w:shd w:val="clear" w:color="auto" w:fill="auto"/>
            <w:noWrap/>
            <w:vAlign w:val="bottom"/>
            <w:hideMark/>
          </w:tcPr>
          <w:p w14:paraId="5215AE4C" w14:textId="77777777" w:rsidR="00D8365A" w:rsidRPr="00362517" w:rsidRDefault="00D8365A" w:rsidP="00BF6BC7">
            <w:pPr>
              <w:jc w:val="right"/>
            </w:pPr>
            <w:r w:rsidRPr="00362517">
              <w:t>15,292</w:t>
            </w:r>
          </w:p>
        </w:tc>
      </w:tr>
      <w:tr w:rsidR="00D8365A" w:rsidRPr="00362517" w14:paraId="2D25913E"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14:paraId="53D1A4CD" w14:textId="77777777" w:rsidR="00D8365A" w:rsidRPr="00362517" w:rsidRDefault="00D8365A" w:rsidP="00BF6BC7">
            <w:r w:rsidRPr="00362517">
              <w:t>Rhode Island</w:t>
            </w:r>
          </w:p>
        </w:tc>
        <w:tc>
          <w:tcPr>
            <w:tcW w:w="873" w:type="pct"/>
            <w:tcBorders>
              <w:top w:val="nil"/>
              <w:left w:val="nil"/>
              <w:bottom w:val="single" w:sz="4" w:space="0" w:color="auto"/>
              <w:right w:val="single" w:sz="4" w:space="0" w:color="auto"/>
            </w:tcBorders>
            <w:shd w:val="clear" w:color="auto" w:fill="auto"/>
            <w:noWrap/>
            <w:vAlign w:val="bottom"/>
            <w:hideMark/>
          </w:tcPr>
          <w:p w14:paraId="2CAC25F0" w14:textId="77777777" w:rsidR="00D8365A" w:rsidRPr="00362517" w:rsidRDefault="00D8365A" w:rsidP="00BF6BC7">
            <w:pPr>
              <w:jc w:val="right"/>
            </w:pPr>
            <w:r w:rsidRPr="00362517">
              <w:t>2.9</w:t>
            </w:r>
          </w:p>
        </w:tc>
        <w:tc>
          <w:tcPr>
            <w:tcW w:w="873" w:type="pct"/>
            <w:tcBorders>
              <w:top w:val="nil"/>
              <w:left w:val="nil"/>
              <w:bottom w:val="single" w:sz="4" w:space="0" w:color="auto"/>
              <w:right w:val="single" w:sz="4" w:space="0" w:color="auto"/>
            </w:tcBorders>
            <w:shd w:val="clear" w:color="auto" w:fill="auto"/>
            <w:noWrap/>
            <w:vAlign w:val="bottom"/>
            <w:hideMark/>
          </w:tcPr>
          <w:p w14:paraId="63383D61" w14:textId="77777777" w:rsidR="00D8365A" w:rsidRPr="00362517" w:rsidRDefault="00D8365A" w:rsidP="00BF6BC7">
            <w:pPr>
              <w:jc w:val="right"/>
            </w:pPr>
            <w:r w:rsidRPr="00362517">
              <w:t>25</w:t>
            </w:r>
          </w:p>
        </w:tc>
        <w:tc>
          <w:tcPr>
            <w:tcW w:w="1048" w:type="pct"/>
            <w:tcBorders>
              <w:top w:val="nil"/>
              <w:left w:val="nil"/>
              <w:bottom w:val="single" w:sz="4" w:space="0" w:color="auto"/>
              <w:right w:val="single" w:sz="4" w:space="0" w:color="auto"/>
            </w:tcBorders>
            <w:shd w:val="clear" w:color="auto" w:fill="auto"/>
            <w:noWrap/>
            <w:vAlign w:val="bottom"/>
            <w:hideMark/>
          </w:tcPr>
          <w:p w14:paraId="7F97A03B" w14:textId="77777777" w:rsidR="00D8365A" w:rsidRPr="00362517" w:rsidRDefault="00D8365A" w:rsidP="00BF6BC7">
            <w:pPr>
              <w:jc w:val="right"/>
            </w:pPr>
            <w:r w:rsidRPr="00362517">
              <w:t>15,133</w:t>
            </w:r>
          </w:p>
        </w:tc>
        <w:tc>
          <w:tcPr>
            <w:tcW w:w="887" w:type="pct"/>
            <w:tcBorders>
              <w:top w:val="nil"/>
              <w:left w:val="nil"/>
              <w:bottom w:val="single" w:sz="4" w:space="0" w:color="auto"/>
              <w:right w:val="single" w:sz="4" w:space="0" w:color="auto"/>
            </w:tcBorders>
            <w:shd w:val="clear" w:color="auto" w:fill="auto"/>
            <w:noWrap/>
            <w:vAlign w:val="bottom"/>
            <w:hideMark/>
          </w:tcPr>
          <w:p w14:paraId="76EAEA25" w14:textId="77777777" w:rsidR="00D8365A" w:rsidRPr="00362517" w:rsidRDefault="00D8365A" w:rsidP="00BF6BC7">
            <w:pPr>
              <w:jc w:val="right"/>
            </w:pPr>
            <w:r w:rsidRPr="00362517">
              <w:t>2,006</w:t>
            </w:r>
          </w:p>
        </w:tc>
      </w:tr>
      <w:tr w:rsidR="00D8365A" w:rsidRPr="00362517" w14:paraId="069737AF"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14:paraId="1541BE7C" w14:textId="77777777" w:rsidR="00D8365A" w:rsidRPr="00362517" w:rsidRDefault="00D8365A" w:rsidP="00BF6BC7">
            <w:r w:rsidRPr="00362517">
              <w:t>South Dakota</w:t>
            </w:r>
          </w:p>
        </w:tc>
        <w:tc>
          <w:tcPr>
            <w:tcW w:w="873" w:type="pct"/>
            <w:tcBorders>
              <w:top w:val="nil"/>
              <w:left w:val="nil"/>
              <w:bottom w:val="single" w:sz="4" w:space="0" w:color="auto"/>
              <w:right w:val="single" w:sz="4" w:space="0" w:color="auto"/>
            </w:tcBorders>
            <w:shd w:val="clear" w:color="auto" w:fill="auto"/>
            <w:noWrap/>
            <w:vAlign w:val="bottom"/>
            <w:hideMark/>
          </w:tcPr>
          <w:p w14:paraId="16354F0D" w14:textId="77777777" w:rsidR="00D8365A" w:rsidRPr="00362517" w:rsidRDefault="00D8365A" w:rsidP="00BF6BC7">
            <w:pPr>
              <w:jc w:val="right"/>
            </w:pPr>
            <w:r w:rsidRPr="00362517">
              <w:t>36.4</w:t>
            </w:r>
          </w:p>
        </w:tc>
        <w:tc>
          <w:tcPr>
            <w:tcW w:w="873" w:type="pct"/>
            <w:tcBorders>
              <w:top w:val="nil"/>
              <w:left w:val="nil"/>
              <w:bottom w:val="single" w:sz="4" w:space="0" w:color="auto"/>
              <w:right w:val="single" w:sz="4" w:space="0" w:color="auto"/>
            </w:tcBorders>
            <w:shd w:val="clear" w:color="auto" w:fill="auto"/>
            <w:noWrap/>
            <w:vAlign w:val="bottom"/>
            <w:hideMark/>
          </w:tcPr>
          <w:p w14:paraId="16265B73" w14:textId="77777777" w:rsidR="00D8365A" w:rsidRPr="00362517" w:rsidRDefault="00D8365A" w:rsidP="00BF6BC7">
            <w:pPr>
              <w:jc w:val="right"/>
            </w:pPr>
            <w:r w:rsidRPr="00362517">
              <w:t>303</w:t>
            </w:r>
          </w:p>
        </w:tc>
        <w:tc>
          <w:tcPr>
            <w:tcW w:w="1048" w:type="pct"/>
            <w:tcBorders>
              <w:top w:val="nil"/>
              <w:left w:val="nil"/>
              <w:bottom w:val="single" w:sz="4" w:space="0" w:color="auto"/>
              <w:right w:val="single" w:sz="4" w:space="0" w:color="auto"/>
            </w:tcBorders>
            <w:shd w:val="clear" w:color="auto" w:fill="auto"/>
            <w:noWrap/>
            <w:vAlign w:val="bottom"/>
            <w:hideMark/>
          </w:tcPr>
          <w:p w14:paraId="588F0751" w14:textId="77777777" w:rsidR="00D8365A" w:rsidRPr="00362517" w:rsidRDefault="00D8365A" w:rsidP="00BF6BC7">
            <w:pPr>
              <w:jc w:val="right"/>
            </w:pPr>
            <w:r w:rsidRPr="00362517">
              <w:t>187,055</w:t>
            </w:r>
          </w:p>
        </w:tc>
        <w:tc>
          <w:tcPr>
            <w:tcW w:w="887" w:type="pct"/>
            <w:tcBorders>
              <w:top w:val="nil"/>
              <w:left w:val="nil"/>
              <w:bottom w:val="single" w:sz="4" w:space="0" w:color="auto"/>
              <w:right w:val="single" w:sz="4" w:space="0" w:color="auto"/>
            </w:tcBorders>
            <w:shd w:val="clear" w:color="auto" w:fill="auto"/>
            <w:noWrap/>
            <w:vAlign w:val="bottom"/>
            <w:hideMark/>
          </w:tcPr>
          <w:p w14:paraId="0218A5A4" w14:textId="77777777" w:rsidR="00D8365A" w:rsidRPr="00362517" w:rsidRDefault="00D8365A" w:rsidP="00BF6BC7">
            <w:pPr>
              <w:jc w:val="right"/>
            </w:pPr>
            <w:r w:rsidRPr="00362517">
              <w:t>24,795</w:t>
            </w:r>
          </w:p>
        </w:tc>
      </w:tr>
      <w:tr w:rsidR="00D8365A" w:rsidRPr="00362517" w14:paraId="321EFE54"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14:paraId="723FE367" w14:textId="77777777" w:rsidR="00D8365A" w:rsidRPr="00362517" w:rsidRDefault="00D8365A" w:rsidP="00BF6BC7">
            <w:r w:rsidRPr="00362517">
              <w:t>Tennessee</w:t>
            </w:r>
          </w:p>
        </w:tc>
        <w:tc>
          <w:tcPr>
            <w:tcW w:w="873" w:type="pct"/>
            <w:tcBorders>
              <w:top w:val="nil"/>
              <w:left w:val="nil"/>
              <w:bottom w:val="single" w:sz="4" w:space="0" w:color="auto"/>
              <w:right w:val="single" w:sz="4" w:space="0" w:color="auto"/>
            </w:tcBorders>
            <w:shd w:val="clear" w:color="auto" w:fill="auto"/>
            <w:noWrap/>
            <w:vAlign w:val="bottom"/>
            <w:hideMark/>
          </w:tcPr>
          <w:p w14:paraId="1803EB69" w14:textId="77777777" w:rsidR="00D8365A" w:rsidRPr="00362517" w:rsidRDefault="00D8365A" w:rsidP="00BF6BC7">
            <w:pPr>
              <w:jc w:val="right"/>
            </w:pPr>
            <w:r w:rsidRPr="00362517">
              <w:t>13.2</w:t>
            </w:r>
          </w:p>
        </w:tc>
        <w:tc>
          <w:tcPr>
            <w:tcW w:w="873" w:type="pct"/>
            <w:tcBorders>
              <w:top w:val="nil"/>
              <w:left w:val="nil"/>
              <w:bottom w:val="single" w:sz="4" w:space="0" w:color="auto"/>
              <w:right w:val="single" w:sz="4" w:space="0" w:color="auto"/>
            </w:tcBorders>
            <w:shd w:val="clear" w:color="auto" w:fill="auto"/>
            <w:noWrap/>
            <w:vAlign w:val="bottom"/>
            <w:hideMark/>
          </w:tcPr>
          <w:p w14:paraId="696ACF38" w14:textId="77777777" w:rsidR="00D8365A" w:rsidRPr="00362517" w:rsidRDefault="00D8365A" w:rsidP="00BF6BC7">
            <w:pPr>
              <w:jc w:val="right"/>
            </w:pPr>
            <w:r w:rsidRPr="00362517">
              <w:t>110</w:t>
            </w:r>
          </w:p>
        </w:tc>
        <w:tc>
          <w:tcPr>
            <w:tcW w:w="1048" w:type="pct"/>
            <w:tcBorders>
              <w:top w:val="nil"/>
              <w:left w:val="nil"/>
              <w:bottom w:val="single" w:sz="4" w:space="0" w:color="auto"/>
              <w:right w:val="single" w:sz="4" w:space="0" w:color="auto"/>
            </w:tcBorders>
            <w:shd w:val="clear" w:color="auto" w:fill="auto"/>
            <w:noWrap/>
            <w:vAlign w:val="bottom"/>
            <w:hideMark/>
          </w:tcPr>
          <w:p w14:paraId="419C7A66" w14:textId="77777777" w:rsidR="00D8365A" w:rsidRPr="00362517" w:rsidRDefault="00D8365A" w:rsidP="00BF6BC7">
            <w:pPr>
              <w:jc w:val="right"/>
            </w:pPr>
            <w:r w:rsidRPr="00362517">
              <w:t>67,988</w:t>
            </w:r>
          </w:p>
        </w:tc>
        <w:tc>
          <w:tcPr>
            <w:tcW w:w="887" w:type="pct"/>
            <w:tcBorders>
              <w:top w:val="nil"/>
              <w:left w:val="nil"/>
              <w:bottom w:val="single" w:sz="4" w:space="0" w:color="auto"/>
              <w:right w:val="single" w:sz="4" w:space="0" w:color="auto"/>
            </w:tcBorders>
            <w:shd w:val="clear" w:color="auto" w:fill="auto"/>
            <w:noWrap/>
            <w:vAlign w:val="bottom"/>
            <w:hideMark/>
          </w:tcPr>
          <w:p w14:paraId="2B1079D7" w14:textId="77777777" w:rsidR="00D8365A" w:rsidRPr="00362517" w:rsidRDefault="00D8365A" w:rsidP="00BF6BC7">
            <w:pPr>
              <w:jc w:val="right"/>
            </w:pPr>
            <w:r w:rsidRPr="00362517">
              <w:t>9,012</w:t>
            </w:r>
          </w:p>
        </w:tc>
      </w:tr>
      <w:tr w:rsidR="00D8365A" w:rsidRPr="00362517" w14:paraId="5E2D6E01"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14:paraId="6A0FB275" w14:textId="77777777" w:rsidR="00D8365A" w:rsidRPr="00362517" w:rsidRDefault="00D8365A" w:rsidP="00BF6BC7">
            <w:r w:rsidRPr="00362517">
              <w:t>Washington</w:t>
            </w:r>
          </w:p>
        </w:tc>
        <w:tc>
          <w:tcPr>
            <w:tcW w:w="873" w:type="pct"/>
            <w:tcBorders>
              <w:top w:val="nil"/>
              <w:left w:val="nil"/>
              <w:bottom w:val="single" w:sz="4" w:space="0" w:color="auto"/>
              <w:right w:val="single" w:sz="4" w:space="0" w:color="auto"/>
            </w:tcBorders>
            <w:shd w:val="clear" w:color="auto" w:fill="auto"/>
            <w:noWrap/>
            <w:vAlign w:val="bottom"/>
            <w:hideMark/>
          </w:tcPr>
          <w:p w14:paraId="773E1974" w14:textId="77777777" w:rsidR="00D8365A" w:rsidRPr="00362517" w:rsidRDefault="00D8365A" w:rsidP="00BF6BC7">
            <w:pPr>
              <w:jc w:val="right"/>
            </w:pPr>
            <w:r w:rsidRPr="00362517">
              <w:t>52.8</w:t>
            </w:r>
          </w:p>
        </w:tc>
        <w:tc>
          <w:tcPr>
            <w:tcW w:w="873" w:type="pct"/>
            <w:tcBorders>
              <w:top w:val="nil"/>
              <w:left w:val="nil"/>
              <w:bottom w:val="single" w:sz="4" w:space="0" w:color="auto"/>
              <w:right w:val="single" w:sz="4" w:space="0" w:color="auto"/>
            </w:tcBorders>
            <w:shd w:val="clear" w:color="auto" w:fill="auto"/>
            <w:noWrap/>
            <w:vAlign w:val="bottom"/>
            <w:hideMark/>
          </w:tcPr>
          <w:p w14:paraId="24636703" w14:textId="77777777" w:rsidR="00D8365A" w:rsidRPr="00362517" w:rsidRDefault="00D8365A" w:rsidP="00BF6BC7">
            <w:pPr>
              <w:jc w:val="right"/>
            </w:pPr>
            <w:r w:rsidRPr="00362517">
              <w:t>440</w:t>
            </w:r>
          </w:p>
        </w:tc>
        <w:tc>
          <w:tcPr>
            <w:tcW w:w="1048" w:type="pct"/>
            <w:tcBorders>
              <w:top w:val="nil"/>
              <w:left w:val="nil"/>
              <w:bottom w:val="single" w:sz="4" w:space="0" w:color="auto"/>
              <w:right w:val="single" w:sz="4" w:space="0" w:color="auto"/>
            </w:tcBorders>
            <w:shd w:val="clear" w:color="auto" w:fill="auto"/>
            <w:noWrap/>
            <w:vAlign w:val="bottom"/>
            <w:hideMark/>
          </w:tcPr>
          <w:p w14:paraId="147398E9" w14:textId="77777777" w:rsidR="00D8365A" w:rsidRPr="00362517" w:rsidRDefault="00D8365A" w:rsidP="00BF6BC7">
            <w:pPr>
              <w:jc w:val="right"/>
            </w:pPr>
            <w:r w:rsidRPr="00362517">
              <w:t>271,286</w:t>
            </w:r>
          </w:p>
        </w:tc>
        <w:tc>
          <w:tcPr>
            <w:tcW w:w="887" w:type="pct"/>
            <w:tcBorders>
              <w:top w:val="nil"/>
              <w:left w:val="nil"/>
              <w:bottom w:val="single" w:sz="4" w:space="0" w:color="auto"/>
              <w:right w:val="single" w:sz="4" w:space="0" w:color="auto"/>
            </w:tcBorders>
            <w:shd w:val="clear" w:color="auto" w:fill="auto"/>
            <w:noWrap/>
            <w:vAlign w:val="bottom"/>
            <w:hideMark/>
          </w:tcPr>
          <w:p w14:paraId="31BDECAD" w14:textId="77777777" w:rsidR="00D8365A" w:rsidRPr="00362517" w:rsidRDefault="00D8365A" w:rsidP="00BF6BC7">
            <w:pPr>
              <w:jc w:val="right"/>
            </w:pPr>
            <w:r w:rsidRPr="00362517">
              <w:t>35,960</w:t>
            </w:r>
          </w:p>
        </w:tc>
      </w:tr>
      <w:tr w:rsidR="00D8365A" w:rsidRPr="00362517" w14:paraId="4B84A0CD"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14:paraId="0FE20F4E" w14:textId="77777777" w:rsidR="00D8365A" w:rsidRPr="00362517" w:rsidRDefault="00D8365A" w:rsidP="00BF6BC7">
            <w:r w:rsidRPr="00362517">
              <w:t>West Virginia</w:t>
            </w:r>
          </w:p>
        </w:tc>
        <w:tc>
          <w:tcPr>
            <w:tcW w:w="873" w:type="pct"/>
            <w:tcBorders>
              <w:top w:val="nil"/>
              <w:left w:val="nil"/>
              <w:bottom w:val="single" w:sz="4" w:space="0" w:color="auto"/>
              <w:right w:val="single" w:sz="4" w:space="0" w:color="auto"/>
            </w:tcBorders>
            <w:shd w:val="clear" w:color="auto" w:fill="auto"/>
            <w:noWrap/>
            <w:vAlign w:val="bottom"/>
            <w:hideMark/>
          </w:tcPr>
          <w:p w14:paraId="6E71EF3C" w14:textId="77777777" w:rsidR="00D8365A" w:rsidRPr="00362517" w:rsidRDefault="00D8365A" w:rsidP="00BF6BC7">
            <w:pPr>
              <w:jc w:val="right"/>
            </w:pPr>
            <w:r w:rsidRPr="00362517">
              <w:t>7.7</w:t>
            </w:r>
          </w:p>
        </w:tc>
        <w:tc>
          <w:tcPr>
            <w:tcW w:w="873" w:type="pct"/>
            <w:tcBorders>
              <w:top w:val="nil"/>
              <w:left w:val="nil"/>
              <w:bottom w:val="single" w:sz="4" w:space="0" w:color="auto"/>
              <w:right w:val="single" w:sz="4" w:space="0" w:color="auto"/>
            </w:tcBorders>
            <w:shd w:val="clear" w:color="auto" w:fill="auto"/>
            <w:noWrap/>
            <w:vAlign w:val="bottom"/>
            <w:hideMark/>
          </w:tcPr>
          <w:p w14:paraId="23F3D113" w14:textId="77777777" w:rsidR="00D8365A" w:rsidRPr="00362517" w:rsidRDefault="00D8365A" w:rsidP="00BF6BC7">
            <w:pPr>
              <w:jc w:val="right"/>
            </w:pPr>
            <w:r w:rsidRPr="00362517">
              <w:t>64</w:t>
            </w:r>
          </w:p>
        </w:tc>
        <w:tc>
          <w:tcPr>
            <w:tcW w:w="1048" w:type="pct"/>
            <w:tcBorders>
              <w:top w:val="nil"/>
              <w:left w:val="nil"/>
              <w:bottom w:val="single" w:sz="4" w:space="0" w:color="auto"/>
              <w:right w:val="single" w:sz="4" w:space="0" w:color="auto"/>
            </w:tcBorders>
            <w:shd w:val="clear" w:color="auto" w:fill="auto"/>
            <w:noWrap/>
            <w:vAlign w:val="bottom"/>
            <w:hideMark/>
          </w:tcPr>
          <w:p w14:paraId="5BA89E8B" w14:textId="77777777" w:rsidR="00D8365A" w:rsidRPr="00362517" w:rsidRDefault="00D8365A" w:rsidP="00BF6BC7">
            <w:pPr>
              <w:jc w:val="right"/>
            </w:pPr>
            <w:r w:rsidRPr="00362517">
              <w:t>39,545</w:t>
            </w:r>
          </w:p>
        </w:tc>
        <w:tc>
          <w:tcPr>
            <w:tcW w:w="887" w:type="pct"/>
            <w:tcBorders>
              <w:top w:val="nil"/>
              <w:left w:val="nil"/>
              <w:bottom w:val="single" w:sz="4" w:space="0" w:color="auto"/>
              <w:right w:val="single" w:sz="4" w:space="0" w:color="auto"/>
            </w:tcBorders>
            <w:shd w:val="clear" w:color="auto" w:fill="auto"/>
            <w:noWrap/>
            <w:vAlign w:val="bottom"/>
            <w:hideMark/>
          </w:tcPr>
          <w:p w14:paraId="6ED70FC3" w14:textId="77777777" w:rsidR="00D8365A" w:rsidRPr="00362517" w:rsidRDefault="00D8365A" w:rsidP="00BF6BC7">
            <w:pPr>
              <w:jc w:val="right"/>
            </w:pPr>
            <w:r w:rsidRPr="00362517">
              <w:t>5,242</w:t>
            </w:r>
          </w:p>
        </w:tc>
      </w:tr>
      <w:tr w:rsidR="00D8365A" w:rsidRPr="00362517" w14:paraId="2785710F"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14:paraId="3A19C724" w14:textId="77777777" w:rsidR="00D8365A" w:rsidRPr="00362517" w:rsidRDefault="00D8365A" w:rsidP="00BF6BC7">
            <w:r w:rsidRPr="00362517">
              <w:t>Puerto Rico</w:t>
            </w:r>
          </w:p>
        </w:tc>
        <w:tc>
          <w:tcPr>
            <w:tcW w:w="873" w:type="pct"/>
            <w:tcBorders>
              <w:top w:val="nil"/>
              <w:left w:val="nil"/>
              <w:bottom w:val="single" w:sz="4" w:space="0" w:color="auto"/>
              <w:right w:val="single" w:sz="4" w:space="0" w:color="auto"/>
            </w:tcBorders>
            <w:shd w:val="clear" w:color="auto" w:fill="auto"/>
            <w:noWrap/>
            <w:vAlign w:val="bottom"/>
            <w:hideMark/>
          </w:tcPr>
          <w:p w14:paraId="09F994C9" w14:textId="77777777" w:rsidR="00D8365A" w:rsidRPr="00362517" w:rsidRDefault="00D8365A" w:rsidP="00BF6BC7">
            <w:pPr>
              <w:jc w:val="right"/>
            </w:pPr>
            <w:r w:rsidRPr="00362517">
              <w:t>9</w:t>
            </w:r>
          </w:p>
        </w:tc>
        <w:tc>
          <w:tcPr>
            <w:tcW w:w="873" w:type="pct"/>
            <w:tcBorders>
              <w:top w:val="nil"/>
              <w:left w:val="nil"/>
              <w:bottom w:val="single" w:sz="4" w:space="0" w:color="auto"/>
              <w:right w:val="single" w:sz="4" w:space="0" w:color="auto"/>
            </w:tcBorders>
            <w:shd w:val="clear" w:color="auto" w:fill="auto"/>
            <w:noWrap/>
            <w:vAlign w:val="bottom"/>
            <w:hideMark/>
          </w:tcPr>
          <w:p w14:paraId="46CD9B4A" w14:textId="77777777" w:rsidR="00D8365A" w:rsidRPr="00362517" w:rsidRDefault="00D8365A" w:rsidP="00BF6BC7">
            <w:pPr>
              <w:jc w:val="right"/>
            </w:pPr>
            <w:r w:rsidRPr="00362517">
              <w:t>77</w:t>
            </w:r>
          </w:p>
        </w:tc>
        <w:tc>
          <w:tcPr>
            <w:tcW w:w="1048" w:type="pct"/>
            <w:tcBorders>
              <w:top w:val="nil"/>
              <w:left w:val="nil"/>
              <w:bottom w:val="single" w:sz="4" w:space="0" w:color="auto"/>
              <w:right w:val="single" w:sz="4" w:space="0" w:color="auto"/>
            </w:tcBorders>
            <w:shd w:val="clear" w:color="auto" w:fill="auto"/>
            <w:noWrap/>
            <w:vAlign w:val="bottom"/>
            <w:hideMark/>
          </w:tcPr>
          <w:p w14:paraId="58CB4F88" w14:textId="77777777" w:rsidR="00D8365A" w:rsidRPr="00362517" w:rsidRDefault="00D8365A" w:rsidP="00BF6BC7">
            <w:pPr>
              <w:jc w:val="right"/>
            </w:pPr>
            <w:r w:rsidRPr="00362517">
              <w:t>47,672</w:t>
            </w:r>
          </w:p>
        </w:tc>
        <w:tc>
          <w:tcPr>
            <w:tcW w:w="887" w:type="pct"/>
            <w:tcBorders>
              <w:top w:val="nil"/>
              <w:left w:val="nil"/>
              <w:bottom w:val="single" w:sz="4" w:space="0" w:color="auto"/>
              <w:right w:val="single" w:sz="4" w:space="0" w:color="auto"/>
            </w:tcBorders>
            <w:shd w:val="clear" w:color="auto" w:fill="auto"/>
            <w:noWrap/>
            <w:vAlign w:val="bottom"/>
            <w:hideMark/>
          </w:tcPr>
          <w:p w14:paraId="0AB6F298" w14:textId="77777777" w:rsidR="00D8365A" w:rsidRPr="00362517" w:rsidRDefault="00D8365A" w:rsidP="00BF6BC7">
            <w:pPr>
              <w:jc w:val="right"/>
            </w:pPr>
            <w:r w:rsidRPr="00362517">
              <w:t>6,319</w:t>
            </w:r>
          </w:p>
        </w:tc>
      </w:tr>
      <w:tr w:rsidR="0039112A" w:rsidRPr="00362517" w14:paraId="2CBCF16C"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tcPr>
          <w:p w14:paraId="2971E24D" w14:textId="6287366A" w:rsidR="0039112A" w:rsidRPr="00362517" w:rsidRDefault="0039112A" w:rsidP="00BF6BC7">
            <w:r>
              <w:t>Other jurisdiction</w:t>
            </w:r>
          </w:p>
        </w:tc>
        <w:tc>
          <w:tcPr>
            <w:tcW w:w="873" w:type="pct"/>
            <w:tcBorders>
              <w:top w:val="nil"/>
              <w:left w:val="nil"/>
              <w:bottom w:val="single" w:sz="4" w:space="0" w:color="auto"/>
              <w:right w:val="single" w:sz="4" w:space="0" w:color="auto"/>
            </w:tcBorders>
            <w:shd w:val="clear" w:color="auto" w:fill="auto"/>
            <w:noWrap/>
            <w:vAlign w:val="bottom"/>
          </w:tcPr>
          <w:p w14:paraId="11036876" w14:textId="783F6A4E" w:rsidR="0039112A" w:rsidRPr="00362517" w:rsidRDefault="0039112A" w:rsidP="00BF6BC7">
            <w:pPr>
              <w:jc w:val="right"/>
            </w:pPr>
            <w:r>
              <w:t>12</w:t>
            </w:r>
          </w:p>
        </w:tc>
        <w:tc>
          <w:tcPr>
            <w:tcW w:w="873" w:type="pct"/>
            <w:tcBorders>
              <w:top w:val="nil"/>
              <w:left w:val="nil"/>
              <w:bottom w:val="single" w:sz="4" w:space="0" w:color="auto"/>
              <w:right w:val="single" w:sz="4" w:space="0" w:color="auto"/>
            </w:tcBorders>
            <w:shd w:val="clear" w:color="auto" w:fill="auto"/>
            <w:noWrap/>
            <w:vAlign w:val="bottom"/>
          </w:tcPr>
          <w:p w14:paraId="4ACB2B18" w14:textId="33DE1E75" w:rsidR="0039112A" w:rsidRPr="00362517" w:rsidRDefault="0039112A" w:rsidP="00BF6BC7">
            <w:pPr>
              <w:jc w:val="right"/>
            </w:pPr>
            <w:r>
              <w:t>99</w:t>
            </w:r>
          </w:p>
        </w:tc>
        <w:tc>
          <w:tcPr>
            <w:tcW w:w="1048" w:type="pct"/>
            <w:tcBorders>
              <w:top w:val="nil"/>
              <w:left w:val="nil"/>
              <w:bottom w:val="single" w:sz="4" w:space="0" w:color="auto"/>
              <w:right w:val="single" w:sz="4" w:space="0" w:color="auto"/>
            </w:tcBorders>
            <w:shd w:val="clear" w:color="auto" w:fill="auto"/>
            <w:noWrap/>
            <w:vAlign w:val="bottom"/>
          </w:tcPr>
          <w:p w14:paraId="6F410258" w14:textId="3BAA3828" w:rsidR="0039112A" w:rsidRPr="00362517" w:rsidRDefault="0039112A" w:rsidP="00BF6BC7">
            <w:pPr>
              <w:jc w:val="right"/>
            </w:pPr>
            <w:r>
              <w:t>61,146</w:t>
            </w:r>
          </w:p>
        </w:tc>
        <w:tc>
          <w:tcPr>
            <w:tcW w:w="887" w:type="pct"/>
            <w:tcBorders>
              <w:top w:val="nil"/>
              <w:left w:val="nil"/>
              <w:bottom w:val="single" w:sz="4" w:space="0" w:color="auto"/>
              <w:right w:val="single" w:sz="4" w:space="0" w:color="auto"/>
            </w:tcBorders>
            <w:shd w:val="clear" w:color="auto" w:fill="auto"/>
            <w:noWrap/>
            <w:vAlign w:val="bottom"/>
          </w:tcPr>
          <w:p w14:paraId="2C03E6E0" w14:textId="20B5E643" w:rsidR="0039112A" w:rsidRPr="00362517" w:rsidRDefault="0039112A" w:rsidP="00BF6BC7">
            <w:pPr>
              <w:jc w:val="right"/>
            </w:pPr>
            <w:r>
              <w:t>8,176</w:t>
            </w:r>
          </w:p>
        </w:tc>
      </w:tr>
      <w:tr w:rsidR="00D8365A" w:rsidRPr="00362517" w14:paraId="66845730" w14:textId="77777777" w:rsidTr="007A2164">
        <w:trPr>
          <w:trHeight w:val="312"/>
        </w:trPr>
        <w:tc>
          <w:tcPr>
            <w:tcW w:w="1319" w:type="pct"/>
            <w:tcBorders>
              <w:top w:val="nil"/>
              <w:left w:val="single" w:sz="4" w:space="0" w:color="auto"/>
              <w:bottom w:val="single" w:sz="4" w:space="0" w:color="auto"/>
              <w:right w:val="single" w:sz="4" w:space="0" w:color="auto"/>
            </w:tcBorders>
            <w:shd w:val="clear" w:color="auto" w:fill="auto"/>
            <w:noWrap/>
            <w:vAlign w:val="bottom"/>
            <w:hideMark/>
          </w:tcPr>
          <w:p w14:paraId="454F1CFF" w14:textId="77777777" w:rsidR="00D8365A" w:rsidRPr="00362517" w:rsidRDefault="00D8365A" w:rsidP="00BF6BC7">
            <w:r w:rsidRPr="00362517">
              <w:t>Total</w:t>
            </w:r>
          </w:p>
        </w:tc>
        <w:tc>
          <w:tcPr>
            <w:tcW w:w="873" w:type="pct"/>
            <w:tcBorders>
              <w:top w:val="nil"/>
              <w:left w:val="nil"/>
              <w:bottom w:val="single" w:sz="4" w:space="0" w:color="auto"/>
              <w:right w:val="single" w:sz="4" w:space="0" w:color="auto"/>
            </w:tcBorders>
            <w:shd w:val="clear" w:color="auto" w:fill="auto"/>
            <w:noWrap/>
            <w:vAlign w:val="bottom"/>
            <w:hideMark/>
          </w:tcPr>
          <w:p w14:paraId="07184698" w14:textId="1C8B6771" w:rsidR="00D8365A" w:rsidRPr="00362517" w:rsidRDefault="004E68C1" w:rsidP="00BF6BC7">
            <w:pPr>
              <w:jc w:val="right"/>
            </w:pPr>
            <w:r>
              <w:t>394</w:t>
            </w:r>
          </w:p>
        </w:tc>
        <w:tc>
          <w:tcPr>
            <w:tcW w:w="873" w:type="pct"/>
            <w:tcBorders>
              <w:top w:val="nil"/>
              <w:left w:val="nil"/>
              <w:bottom w:val="single" w:sz="4" w:space="0" w:color="auto"/>
              <w:right w:val="single" w:sz="4" w:space="0" w:color="auto"/>
            </w:tcBorders>
            <w:shd w:val="clear" w:color="auto" w:fill="auto"/>
            <w:noWrap/>
            <w:vAlign w:val="bottom"/>
            <w:hideMark/>
          </w:tcPr>
          <w:p w14:paraId="4958F488" w14:textId="317931C4" w:rsidR="00D8365A" w:rsidRPr="00362517" w:rsidRDefault="00D8365A" w:rsidP="00BF6BC7">
            <w:pPr>
              <w:jc w:val="right"/>
            </w:pPr>
            <w:r w:rsidRPr="00362517">
              <w:t>3,</w:t>
            </w:r>
            <w:r w:rsidR="004E68C1">
              <w:t>2</w:t>
            </w:r>
            <w:r w:rsidRPr="00362517">
              <w:t>8</w:t>
            </w:r>
            <w:r w:rsidR="004E68C1">
              <w:t>0</w:t>
            </w:r>
          </w:p>
        </w:tc>
        <w:tc>
          <w:tcPr>
            <w:tcW w:w="1048" w:type="pct"/>
            <w:tcBorders>
              <w:top w:val="nil"/>
              <w:left w:val="nil"/>
              <w:bottom w:val="single" w:sz="4" w:space="0" w:color="auto"/>
              <w:right w:val="single" w:sz="4" w:space="0" w:color="auto"/>
            </w:tcBorders>
            <w:shd w:val="clear" w:color="auto" w:fill="auto"/>
            <w:noWrap/>
            <w:vAlign w:val="bottom"/>
            <w:hideMark/>
          </w:tcPr>
          <w:p w14:paraId="74A9F1E6" w14:textId="25BF95FF" w:rsidR="00D8365A" w:rsidRPr="00362517" w:rsidRDefault="008D1CD8" w:rsidP="00BF6BC7">
            <w:pPr>
              <w:jc w:val="right"/>
            </w:pPr>
            <w:r>
              <w:t>2,023,367</w:t>
            </w:r>
          </w:p>
        </w:tc>
        <w:tc>
          <w:tcPr>
            <w:tcW w:w="887" w:type="pct"/>
            <w:tcBorders>
              <w:top w:val="nil"/>
              <w:left w:val="nil"/>
              <w:bottom w:val="single" w:sz="4" w:space="0" w:color="auto"/>
              <w:right w:val="single" w:sz="4" w:space="0" w:color="auto"/>
            </w:tcBorders>
            <w:shd w:val="clear" w:color="auto" w:fill="auto"/>
            <w:noWrap/>
            <w:vAlign w:val="bottom"/>
            <w:hideMark/>
          </w:tcPr>
          <w:p w14:paraId="36B2055B" w14:textId="091B9EB7" w:rsidR="00D8365A" w:rsidRPr="00362517" w:rsidRDefault="008D1CD8" w:rsidP="00BF6BC7">
            <w:pPr>
              <w:jc w:val="right"/>
            </w:pPr>
            <w:r>
              <w:t>268,279</w:t>
            </w:r>
          </w:p>
        </w:tc>
      </w:tr>
    </w:tbl>
    <w:p w14:paraId="7E11B230" w14:textId="77777777" w:rsidR="00D8365A" w:rsidRPr="00362517" w:rsidRDefault="00D8365A" w:rsidP="00BF6BC7">
      <w:pPr>
        <w:ind w:left="720" w:hanging="720"/>
        <w:rPr>
          <w:sz w:val="22"/>
          <w:szCs w:val="22"/>
        </w:rPr>
      </w:pPr>
      <w:r w:rsidRPr="00362517">
        <w:rPr>
          <w:sz w:val="22"/>
          <w:szCs w:val="22"/>
        </w:rPr>
        <w:t xml:space="preserve">Source: EPA estimates (see Section 3.3 for explanation on estimation of the number of actors. </w:t>
      </w:r>
    </w:p>
    <w:p w14:paraId="07EDCEE8" w14:textId="77777777" w:rsidR="00D8365A" w:rsidRPr="00362517" w:rsidRDefault="00D8365A" w:rsidP="00BF6BC7">
      <w:pPr>
        <w:ind w:left="720" w:hanging="720"/>
        <w:rPr>
          <w:sz w:val="22"/>
          <w:szCs w:val="22"/>
        </w:rPr>
      </w:pPr>
      <w:r w:rsidRPr="00362517">
        <w:rPr>
          <w:sz w:val="22"/>
          <w:szCs w:val="22"/>
        </w:rPr>
        <w:t>Wage rate calculations based on wage rate information from "May 2014 National Industry-Specific Occupational Employment and Wage Estimates" provided by the Bureau of Labor Statistics Occupational Employment Statistics (BLS, 2016a).</w:t>
      </w:r>
    </w:p>
    <w:p w14:paraId="49274A4F" w14:textId="77777777" w:rsidR="00D8365A" w:rsidRPr="00362517" w:rsidRDefault="00D8365A" w:rsidP="00BF6BC7">
      <w:pPr>
        <w:ind w:left="720" w:hanging="720"/>
      </w:pPr>
    </w:p>
    <w:p w14:paraId="035AA31A" w14:textId="77777777" w:rsidR="00D8365A" w:rsidRPr="00362517" w:rsidRDefault="00D8365A" w:rsidP="00BF6BC7">
      <w:pPr>
        <w:keepNext/>
        <w:ind w:left="720" w:hanging="720"/>
      </w:pPr>
      <w:r w:rsidRPr="00362517">
        <w:t>Steps 4 and 5.  Calculate the Jurisdiction-level Incremental Costs and the Present Value.</w:t>
      </w:r>
    </w:p>
    <w:p w14:paraId="472FCD39" w14:textId="77777777" w:rsidR="00D8365A" w:rsidRPr="00362517" w:rsidRDefault="00D8365A" w:rsidP="00BF6BC7">
      <w:pPr>
        <w:keepNext/>
      </w:pPr>
    </w:p>
    <w:p w14:paraId="0FE0E711" w14:textId="77777777" w:rsidR="00D8365A" w:rsidRPr="00362517" w:rsidRDefault="00D8365A" w:rsidP="00BF6BC7">
      <w:pPr>
        <w:keepNext/>
      </w:pPr>
      <w:r w:rsidRPr="00362517">
        <w:t>Baseline unit costs are assumed to continue unchanged through the 10-year time horizon.  The number of applicators is also anticipated to remain constant over the time horizon (see Section 3.3.1).  Under the final regulation, baseline unit costs will be incurred for the first two years of the horizon at which point applicators will face the costs of the final requirement except that the existing applicators only have to be brought into compliance once.  Beginning in Year 4, the only costs are to the new applicators entering the system (the column RC</w:t>
      </w:r>
      <w:r w:rsidRPr="00362517">
        <w:rPr>
          <w:vertAlign w:val="superscript"/>
        </w:rPr>
        <w:t>P</w:t>
      </w:r>
      <w:r w:rsidRPr="00362517">
        <w:rPr>
          <w:vertAlign w:val="subscript"/>
        </w:rPr>
        <w:t xml:space="preserve">t&gt;3 </w:t>
      </w:r>
      <w:r w:rsidRPr="00362517">
        <w:t>of Table 3.2-2).  Given those conditions, we calculate the present value of the cost streams shown in Table 3.2-3.  We then subtract the PV of baseline cost from the PV of cost of the final regulatory requirement to get the PV of incremental costs (Table 3.2-3).</w:t>
      </w:r>
    </w:p>
    <w:p w14:paraId="420D251B" w14:textId="77777777" w:rsidR="00D8365A" w:rsidRPr="00362517" w:rsidRDefault="00D8365A" w:rsidP="00BF6BC7">
      <w:pPr>
        <w:keepNext/>
      </w:pPr>
    </w:p>
    <w:p w14:paraId="0D5563EA" w14:textId="77777777" w:rsidR="00D8365A" w:rsidRPr="00362517" w:rsidRDefault="00D8365A" w:rsidP="00BF6BC7">
      <w:pPr>
        <w:keepNext/>
      </w:pPr>
      <w:r w:rsidRPr="00362517">
        <w:rPr>
          <w:b/>
        </w:rPr>
        <w:t>Table 3.2-3: Present Value of Costs for Commercial Aerial Certification, by Jurisdiction</w:t>
      </w:r>
    </w:p>
    <w:tbl>
      <w:tblPr>
        <w:tblW w:w="5000" w:type="pct"/>
        <w:tblLook w:val="04A0" w:firstRow="1" w:lastRow="0" w:firstColumn="1" w:lastColumn="0" w:noHBand="0" w:noVBand="1"/>
      </w:tblPr>
      <w:tblGrid>
        <w:gridCol w:w="3509"/>
        <w:gridCol w:w="1947"/>
        <w:gridCol w:w="1947"/>
        <w:gridCol w:w="1947"/>
      </w:tblGrid>
      <w:tr w:rsidR="00D8365A" w:rsidRPr="00362517" w14:paraId="7A8A36FE" w14:textId="77777777" w:rsidTr="007A2164">
        <w:trPr>
          <w:trHeight w:val="936"/>
        </w:trPr>
        <w:tc>
          <w:tcPr>
            <w:tcW w:w="18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6B917" w14:textId="77777777" w:rsidR="00D8365A" w:rsidRPr="00362517" w:rsidRDefault="00D8365A" w:rsidP="00BF6BC7">
            <w:r w:rsidRPr="00362517">
              <w:t>Jurisdiction</w:t>
            </w:r>
          </w:p>
        </w:tc>
        <w:tc>
          <w:tcPr>
            <w:tcW w:w="1041" w:type="pct"/>
            <w:tcBorders>
              <w:top w:val="single" w:sz="4" w:space="0" w:color="auto"/>
              <w:left w:val="nil"/>
              <w:bottom w:val="single" w:sz="4" w:space="0" w:color="auto"/>
              <w:right w:val="single" w:sz="4" w:space="0" w:color="auto"/>
            </w:tcBorders>
            <w:shd w:val="clear" w:color="auto" w:fill="auto"/>
            <w:vAlign w:val="center"/>
            <w:hideMark/>
          </w:tcPr>
          <w:p w14:paraId="715759DB" w14:textId="77777777" w:rsidR="00D8365A" w:rsidRPr="00362517" w:rsidRDefault="00D8365A" w:rsidP="00BF6BC7">
            <w:pPr>
              <w:jc w:val="center"/>
            </w:pPr>
            <w:r w:rsidRPr="00362517">
              <w:t>PV RC</w:t>
            </w:r>
            <w:r w:rsidRPr="00362517">
              <w:rPr>
                <w:vertAlign w:val="superscript"/>
              </w:rPr>
              <w:t>P</w:t>
            </w:r>
            <w:r w:rsidRPr="00362517">
              <w:t xml:space="preserve"> ($1000)</w:t>
            </w:r>
          </w:p>
        </w:tc>
        <w:tc>
          <w:tcPr>
            <w:tcW w:w="1041" w:type="pct"/>
            <w:tcBorders>
              <w:top w:val="single" w:sz="4" w:space="0" w:color="auto"/>
              <w:left w:val="nil"/>
              <w:bottom w:val="single" w:sz="4" w:space="0" w:color="auto"/>
              <w:right w:val="single" w:sz="4" w:space="0" w:color="auto"/>
            </w:tcBorders>
            <w:shd w:val="clear" w:color="auto" w:fill="auto"/>
            <w:vAlign w:val="center"/>
            <w:hideMark/>
          </w:tcPr>
          <w:p w14:paraId="3F1F10BB" w14:textId="77777777" w:rsidR="00D8365A" w:rsidRPr="00362517" w:rsidRDefault="00D8365A" w:rsidP="00BF6BC7">
            <w:pPr>
              <w:jc w:val="center"/>
            </w:pPr>
            <w:r w:rsidRPr="00362517">
              <w:t>PV RC</w:t>
            </w:r>
            <w:r w:rsidRPr="00362517">
              <w:rPr>
                <w:vertAlign w:val="superscript"/>
              </w:rPr>
              <w:t>B</w:t>
            </w:r>
            <w:r w:rsidRPr="00362517">
              <w:t xml:space="preserve"> ($1000)</w:t>
            </w:r>
          </w:p>
        </w:tc>
        <w:tc>
          <w:tcPr>
            <w:tcW w:w="1041" w:type="pct"/>
            <w:tcBorders>
              <w:top w:val="single" w:sz="4" w:space="0" w:color="auto"/>
              <w:left w:val="nil"/>
              <w:bottom w:val="single" w:sz="4" w:space="0" w:color="auto"/>
              <w:right w:val="single" w:sz="4" w:space="0" w:color="auto"/>
            </w:tcBorders>
            <w:shd w:val="clear" w:color="auto" w:fill="auto"/>
            <w:vAlign w:val="center"/>
            <w:hideMark/>
          </w:tcPr>
          <w:p w14:paraId="25D1BE9C" w14:textId="77777777" w:rsidR="00D8365A" w:rsidRPr="00362517" w:rsidRDefault="00D8365A" w:rsidP="00BF6BC7">
            <w:pPr>
              <w:jc w:val="center"/>
            </w:pPr>
            <w:r w:rsidRPr="00362517">
              <w:t>PV</w:t>
            </w:r>
            <w:r w:rsidRPr="00362517">
              <w:rPr>
                <w:vertAlign w:val="superscript"/>
              </w:rPr>
              <w:t>IC</w:t>
            </w:r>
            <w:r w:rsidRPr="00362517">
              <w:t xml:space="preserve"> ($1000)</w:t>
            </w:r>
          </w:p>
        </w:tc>
      </w:tr>
      <w:tr w:rsidR="00D8365A" w:rsidRPr="00362517" w14:paraId="0B55015F" w14:textId="77777777" w:rsidTr="007A2164">
        <w:trPr>
          <w:trHeight w:val="312"/>
        </w:trPr>
        <w:tc>
          <w:tcPr>
            <w:tcW w:w="1876" w:type="pct"/>
            <w:tcBorders>
              <w:top w:val="nil"/>
              <w:left w:val="single" w:sz="4" w:space="0" w:color="auto"/>
              <w:bottom w:val="single" w:sz="4" w:space="0" w:color="auto"/>
              <w:right w:val="single" w:sz="4" w:space="0" w:color="auto"/>
            </w:tcBorders>
            <w:shd w:val="clear" w:color="auto" w:fill="auto"/>
            <w:noWrap/>
            <w:vAlign w:val="bottom"/>
            <w:hideMark/>
          </w:tcPr>
          <w:p w14:paraId="236CA3B0" w14:textId="77777777" w:rsidR="00D8365A" w:rsidRPr="00362517" w:rsidRDefault="00D8365A" w:rsidP="00BF6BC7">
            <w:r w:rsidRPr="00362517">
              <w:t>Alabama</w:t>
            </w:r>
          </w:p>
        </w:tc>
        <w:tc>
          <w:tcPr>
            <w:tcW w:w="1041" w:type="pct"/>
            <w:tcBorders>
              <w:top w:val="nil"/>
              <w:left w:val="nil"/>
              <w:bottom w:val="single" w:sz="4" w:space="0" w:color="auto"/>
              <w:right w:val="single" w:sz="4" w:space="0" w:color="auto"/>
            </w:tcBorders>
            <w:shd w:val="clear" w:color="auto" w:fill="auto"/>
            <w:noWrap/>
            <w:vAlign w:val="bottom"/>
            <w:hideMark/>
          </w:tcPr>
          <w:p w14:paraId="19D062B1" w14:textId="77777777" w:rsidR="00D8365A" w:rsidRPr="00362517" w:rsidRDefault="00D8365A" w:rsidP="00BF6BC7">
            <w:pPr>
              <w:jc w:val="right"/>
            </w:pPr>
            <w:r w:rsidRPr="00362517">
              <w:t>105</w:t>
            </w:r>
          </w:p>
        </w:tc>
        <w:tc>
          <w:tcPr>
            <w:tcW w:w="1041" w:type="pct"/>
            <w:tcBorders>
              <w:top w:val="nil"/>
              <w:left w:val="nil"/>
              <w:bottom w:val="single" w:sz="4" w:space="0" w:color="auto"/>
              <w:right w:val="single" w:sz="4" w:space="0" w:color="auto"/>
            </w:tcBorders>
            <w:shd w:val="clear" w:color="auto" w:fill="auto"/>
            <w:noWrap/>
            <w:vAlign w:val="bottom"/>
            <w:hideMark/>
          </w:tcPr>
          <w:p w14:paraId="6A66EC47"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098340AE" w14:textId="77777777" w:rsidR="00D8365A" w:rsidRPr="00362517" w:rsidRDefault="00D8365A" w:rsidP="00BF6BC7">
            <w:pPr>
              <w:jc w:val="right"/>
            </w:pPr>
            <w:r w:rsidRPr="00362517">
              <w:t>105</w:t>
            </w:r>
          </w:p>
        </w:tc>
      </w:tr>
      <w:tr w:rsidR="00D8365A" w:rsidRPr="00362517" w14:paraId="733FD795" w14:textId="77777777" w:rsidTr="007A2164">
        <w:trPr>
          <w:trHeight w:val="312"/>
        </w:trPr>
        <w:tc>
          <w:tcPr>
            <w:tcW w:w="1876" w:type="pct"/>
            <w:tcBorders>
              <w:top w:val="nil"/>
              <w:left w:val="single" w:sz="4" w:space="0" w:color="auto"/>
              <w:bottom w:val="single" w:sz="4" w:space="0" w:color="auto"/>
              <w:right w:val="single" w:sz="4" w:space="0" w:color="auto"/>
            </w:tcBorders>
            <w:shd w:val="clear" w:color="auto" w:fill="auto"/>
            <w:noWrap/>
            <w:vAlign w:val="bottom"/>
            <w:hideMark/>
          </w:tcPr>
          <w:p w14:paraId="572248CA" w14:textId="77777777" w:rsidR="00D8365A" w:rsidRPr="00362517" w:rsidRDefault="00D8365A" w:rsidP="00BF6BC7">
            <w:r w:rsidRPr="00362517">
              <w:t>Arizona</w:t>
            </w:r>
          </w:p>
        </w:tc>
        <w:tc>
          <w:tcPr>
            <w:tcW w:w="1041" w:type="pct"/>
            <w:tcBorders>
              <w:top w:val="nil"/>
              <w:left w:val="nil"/>
              <w:bottom w:val="single" w:sz="4" w:space="0" w:color="auto"/>
              <w:right w:val="single" w:sz="4" w:space="0" w:color="auto"/>
            </w:tcBorders>
            <w:shd w:val="clear" w:color="auto" w:fill="auto"/>
            <w:noWrap/>
            <w:vAlign w:val="bottom"/>
            <w:hideMark/>
          </w:tcPr>
          <w:p w14:paraId="594F5ED3" w14:textId="77777777" w:rsidR="00D8365A" w:rsidRPr="00362517" w:rsidRDefault="00D8365A" w:rsidP="00BF6BC7">
            <w:pPr>
              <w:jc w:val="right"/>
            </w:pPr>
            <w:r w:rsidRPr="00362517">
              <w:t>72</w:t>
            </w:r>
          </w:p>
        </w:tc>
        <w:tc>
          <w:tcPr>
            <w:tcW w:w="1041" w:type="pct"/>
            <w:tcBorders>
              <w:top w:val="nil"/>
              <w:left w:val="nil"/>
              <w:bottom w:val="single" w:sz="4" w:space="0" w:color="auto"/>
              <w:right w:val="single" w:sz="4" w:space="0" w:color="auto"/>
            </w:tcBorders>
            <w:shd w:val="clear" w:color="auto" w:fill="auto"/>
            <w:noWrap/>
            <w:vAlign w:val="bottom"/>
            <w:hideMark/>
          </w:tcPr>
          <w:p w14:paraId="54F59EA4"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6DD3D92F" w14:textId="77777777" w:rsidR="00D8365A" w:rsidRPr="00362517" w:rsidRDefault="00D8365A" w:rsidP="00BF6BC7">
            <w:pPr>
              <w:jc w:val="right"/>
            </w:pPr>
            <w:r w:rsidRPr="00362517">
              <w:t>72</w:t>
            </w:r>
          </w:p>
        </w:tc>
      </w:tr>
      <w:tr w:rsidR="00D8365A" w:rsidRPr="00362517" w14:paraId="1951FB0E" w14:textId="77777777" w:rsidTr="007A2164">
        <w:trPr>
          <w:trHeight w:val="312"/>
        </w:trPr>
        <w:tc>
          <w:tcPr>
            <w:tcW w:w="1876" w:type="pct"/>
            <w:tcBorders>
              <w:top w:val="nil"/>
              <w:left w:val="single" w:sz="4" w:space="0" w:color="auto"/>
              <w:bottom w:val="single" w:sz="4" w:space="0" w:color="auto"/>
              <w:right w:val="single" w:sz="4" w:space="0" w:color="auto"/>
            </w:tcBorders>
            <w:shd w:val="clear" w:color="auto" w:fill="auto"/>
            <w:noWrap/>
            <w:vAlign w:val="bottom"/>
            <w:hideMark/>
          </w:tcPr>
          <w:p w14:paraId="733E648A" w14:textId="77777777" w:rsidR="00D8365A" w:rsidRPr="00362517" w:rsidRDefault="00D8365A" w:rsidP="00BF6BC7">
            <w:r w:rsidRPr="00362517">
              <w:t>Arkansas</w:t>
            </w:r>
          </w:p>
        </w:tc>
        <w:tc>
          <w:tcPr>
            <w:tcW w:w="1041" w:type="pct"/>
            <w:tcBorders>
              <w:top w:val="nil"/>
              <w:left w:val="nil"/>
              <w:bottom w:val="single" w:sz="4" w:space="0" w:color="auto"/>
              <w:right w:val="single" w:sz="4" w:space="0" w:color="auto"/>
            </w:tcBorders>
            <w:shd w:val="clear" w:color="auto" w:fill="auto"/>
            <w:noWrap/>
            <w:vAlign w:val="bottom"/>
            <w:hideMark/>
          </w:tcPr>
          <w:p w14:paraId="3BA3F440" w14:textId="77777777" w:rsidR="00D8365A" w:rsidRPr="00362517" w:rsidRDefault="00D8365A" w:rsidP="00BF6BC7">
            <w:pPr>
              <w:jc w:val="right"/>
            </w:pPr>
            <w:r w:rsidRPr="00362517">
              <w:t>192</w:t>
            </w:r>
          </w:p>
        </w:tc>
        <w:tc>
          <w:tcPr>
            <w:tcW w:w="1041" w:type="pct"/>
            <w:tcBorders>
              <w:top w:val="nil"/>
              <w:left w:val="nil"/>
              <w:bottom w:val="single" w:sz="4" w:space="0" w:color="auto"/>
              <w:right w:val="single" w:sz="4" w:space="0" w:color="auto"/>
            </w:tcBorders>
            <w:shd w:val="clear" w:color="auto" w:fill="auto"/>
            <w:noWrap/>
            <w:vAlign w:val="bottom"/>
            <w:hideMark/>
          </w:tcPr>
          <w:p w14:paraId="1BDE074E"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2FCAFCD3" w14:textId="77777777" w:rsidR="00D8365A" w:rsidRPr="00362517" w:rsidRDefault="00D8365A" w:rsidP="00BF6BC7">
            <w:pPr>
              <w:jc w:val="right"/>
            </w:pPr>
            <w:r w:rsidRPr="00362517">
              <w:t>192</w:t>
            </w:r>
          </w:p>
        </w:tc>
      </w:tr>
      <w:tr w:rsidR="00D8365A" w:rsidRPr="00362517" w14:paraId="612C2155" w14:textId="77777777" w:rsidTr="007A2164">
        <w:trPr>
          <w:trHeight w:val="312"/>
        </w:trPr>
        <w:tc>
          <w:tcPr>
            <w:tcW w:w="1876" w:type="pct"/>
            <w:tcBorders>
              <w:top w:val="nil"/>
              <w:left w:val="single" w:sz="4" w:space="0" w:color="auto"/>
              <w:bottom w:val="single" w:sz="4" w:space="0" w:color="auto"/>
              <w:right w:val="single" w:sz="4" w:space="0" w:color="auto"/>
            </w:tcBorders>
            <w:shd w:val="clear" w:color="auto" w:fill="auto"/>
            <w:noWrap/>
            <w:vAlign w:val="bottom"/>
            <w:hideMark/>
          </w:tcPr>
          <w:p w14:paraId="7918F7BD" w14:textId="77777777" w:rsidR="00D8365A" w:rsidRPr="00362517" w:rsidRDefault="00D8365A" w:rsidP="00BF6BC7">
            <w:r w:rsidRPr="00362517">
              <w:t>Colorado</w:t>
            </w:r>
          </w:p>
        </w:tc>
        <w:tc>
          <w:tcPr>
            <w:tcW w:w="1041" w:type="pct"/>
            <w:tcBorders>
              <w:top w:val="nil"/>
              <w:left w:val="nil"/>
              <w:bottom w:val="single" w:sz="4" w:space="0" w:color="auto"/>
              <w:right w:val="single" w:sz="4" w:space="0" w:color="auto"/>
            </w:tcBorders>
            <w:shd w:val="clear" w:color="auto" w:fill="auto"/>
            <w:noWrap/>
            <w:vAlign w:val="bottom"/>
            <w:hideMark/>
          </w:tcPr>
          <w:p w14:paraId="4DE4FB94" w14:textId="77777777" w:rsidR="00D8365A" w:rsidRPr="00362517" w:rsidRDefault="00D8365A" w:rsidP="00BF6BC7">
            <w:pPr>
              <w:jc w:val="right"/>
            </w:pPr>
            <w:r w:rsidRPr="00362517">
              <w:t>178</w:t>
            </w:r>
          </w:p>
        </w:tc>
        <w:tc>
          <w:tcPr>
            <w:tcW w:w="1041" w:type="pct"/>
            <w:tcBorders>
              <w:top w:val="nil"/>
              <w:left w:val="nil"/>
              <w:bottom w:val="single" w:sz="4" w:space="0" w:color="auto"/>
              <w:right w:val="single" w:sz="4" w:space="0" w:color="auto"/>
            </w:tcBorders>
            <w:shd w:val="clear" w:color="auto" w:fill="auto"/>
            <w:noWrap/>
            <w:vAlign w:val="bottom"/>
            <w:hideMark/>
          </w:tcPr>
          <w:p w14:paraId="64944896"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27B18AF2" w14:textId="77777777" w:rsidR="00D8365A" w:rsidRPr="00362517" w:rsidRDefault="00D8365A" w:rsidP="00BF6BC7">
            <w:pPr>
              <w:jc w:val="right"/>
            </w:pPr>
            <w:r w:rsidRPr="00362517">
              <w:t>178</w:t>
            </w:r>
          </w:p>
        </w:tc>
      </w:tr>
      <w:tr w:rsidR="00D8365A" w:rsidRPr="00362517" w14:paraId="446B048E" w14:textId="77777777" w:rsidTr="007A2164">
        <w:trPr>
          <w:trHeight w:val="312"/>
        </w:trPr>
        <w:tc>
          <w:tcPr>
            <w:tcW w:w="1876" w:type="pct"/>
            <w:tcBorders>
              <w:top w:val="nil"/>
              <w:left w:val="single" w:sz="4" w:space="0" w:color="auto"/>
              <w:bottom w:val="single" w:sz="4" w:space="0" w:color="auto"/>
              <w:right w:val="single" w:sz="4" w:space="0" w:color="auto"/>
            </w:tcBorders>
            <w:shd w:val="clear" w:color="auto" w:fill="auto"/>
            <w:noWrap/>
            <w:vAlign w:val="bottom"/>
            <w:hideMark/>
          </w:tcPr>
          <w:p w14:paraId="7507954A" w14:textId="77777777" w:rsidR="00D8365A" w:rsidRPr="00362517" w:rsidRDefault="00D8365A" w:rsidP="00BF6BC7">
            <w:r w:rsidRPr="00362517">
              <w:t>Delaware</w:t>
            </w:r>
          </w:p>
        </w:tc>
        <w:tc>
          <w:tcPr>
            <w:tcW w:w="1041" w:type="pct"/>
            <w:tcBorders>
              <w:top w:val="nil"/>
              <w:left w:val="nil"/>
              <w:bottom w:val="single" w:sz="4" w:space="0" w:color="auto"/>
              <w:right w:val="single" w:sz="4" w:space="0" w:color="auto"/>
            </w:tcBorders>
            <w:shd w:val="clear" w:color="auto" w:fill="auto"/>
            <w:noWrap/>
            <w:vAlign w:val="bottom"/>
            <w:hideMark/>
          </w:tcPr>
          <w:p w14:paraId="3EF728CD" w14:textId="77777777" w:rsidR="00D8365A" w:rsidRPr="00362517" w:rsidRDefault="00D8365A" w:rsidP="00BF6BC7">
            <w:pPr>
              <w:jc w:val="right"/>
            </w:pPr>
            <w:r w:rsidRPr="00362517">
              <w:t>51</w:t>
            </w:r>
          </w:p>
        </w:tc>
        <w:tc>
          <w:tcPr>
            <w:tcW w:w="1041" w:type="pct"/>
            <w:tcBorders>
              <w:top w:val="nil"/>
              <w:left w:val="nil"/>
              <w:bottom w:val="single" w:sz="4" w:space="0" w:color="auto"/>
              <w:right w:val="single" w:sz="4" w:space="0" w:color="auto"/>
            </w:tcBorders>
            <w:shd w:val="clear" w:color="auto" w:fill="auto"/>
            <w:noWrap/>
            <w:vAlign w:val="bottom"/>
            <w:hideMark/>
          </w:tcPr>
          <w:p w14:paraId="2AE5101F"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30A85253" w14:textId="77777777" w:rsidR="00D8365A" w:rsidRPr="00362517" w:rsidRDefault="00D8365A" w:rsidP="00BF6BC7">
            <w:pPr>
              <w:jc w:val="right"/>
            </w:pPr>
            <w:r w:rsidRPr="00362517">
              <w:t>51</w:t>
            </w:r>
          </w:p>
        </w:tc>
      </w:tr>
      <w:tr w:rsidR="00D8365A" w:rsidRPr="00362517" w14:paraId="2986286E" w14:textId="77777777" w:rsidTr="007A2164">
        <w:trPr>
          <w:trHeight w:val="312"/>
        </w:trPr>
        <w:tc>
          <w:tcPr>
            <w:tcW w:w="1876" w:type="pct"/>
            <w:tcBorders>
              <w:top w:val="nil"/>
              <w:left w:val="single" w:sz="4" w:space="0" w:color="auto"/>
              <w:bottom w:val="single" w:sz="4" w:space="0" w:color="auto"/>
              <w:right w:val="single" w:sz="4" w:space="0" w:color="auto"/>
            </w:tcBorders>
            <w:shd w:val="clear" w:color="auto" w:fill="auto"/>
            <w:noWrap/>
            <w:vAlign w:val="bottom"/>
            <w:hideMark/>
          </w:tcPr>
          <w:p w14:paraId="589AA396" w14:textId="77777777" w:rsidR="00D8365A" w:rsidRPr="00362517" w:rsidRDefault="00D8365A" w:rsidP="00BF6BC7">
            <w:r w:rsidRPr="00362517">
              <w:t>Idaho</w:t>
            </w:r>
          </w:p>
        </w:tc>
        <w:tc>
          <w:tcPr>
            <w:tcW w:w="1041" w:type="pct"/>
            <w:tcBorders>
              <w:top w:val="nil"/>
              <w:left w:val="nil"/>
              <w:bottom w:val="single" w:sz="4" w:space="0" w:color="auto"/>
              <w:right w:val="single" w:sz="4" w:space="0" w:color="auto"/>
            </w:tcBorders>
            <w:shd w:val="clear" w:color="auto" w:fill="auto"/>
            <w:noWrap/>
            <w:vAlign w:val="bottom"/>
            <w:hideMark/>
          </w:tcPr>
          <w:p w14:paraId="3F828FD4" w14:textId="77777777" w:rsidR="00D8365A" w:rsidRPr="00362517" w:rsidRDefault="00D8365A" w:rsidP="00BF6BC7">
            <w:pPr>
              <w:jc w:val="right"/>
            </w:pPr>
            <w:r w:rsidRPr="00362517">
              <w:t>252</w:t>
            </w:r>
          </w:p>
        </w:tc>
        <w:tc>
          <w:tcPr>
            <w:tcW w:w="1041" w:type="pct"/>
            <w:tcBorders>
              <w:top w:val="nil"/>
              <w:left w:val="nil"/>
              <w:bottom w:val="single" w:sz="4" w:space="0" w:color="auto"/>
              <w:right w:val="single" w:sz="4" w:space="0" w:color="auto"/>
            </w:tcBorders>
            <w:shd w:val="clear" w:color="auto" w:fill="auto"/>
            <w:noWrap/>
            <w:vAlign w:val="bottom"/>
            <w:hideMark/>
          </w:tcPr>
          <w:p w14:paraId="0ED485CB"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0A1D850E" w14:textId="77777777" w:rsidR="00D8365A" w:rsidRPr="00362517" w:rsidRDefault="00D8365A" w:rsidP="00BF6BC7">
            <w:pPr>
              <w:jc w:val="right"/>
            </w:pPr>
            <w:r w:rsidRPr="00362517">
              <w:t>252</w:t>
            </w:r>
          </w:p>
        </w:tc>
      </w:tr>
      <w:tr w:rsidR="00D8365A" w:rsidRPr="00362517" w14:paraId="7606F8C0" w14:textId="77777777" w:rsidTr="007A2164">
        <w:trPr>
          <w:trHeight w:val="312"/>
        </w:trPr>
        <w:tc>
          <w:tcPr>
            <w:tcW w:w="1876" w:type="pct"/>
            <w:tcBorders>
              <w:top w:val="nil"/>
              <w:left w:val="single" w:sz="4" w:space="0" w:color="auto"/>
              <w:bottom w:val="single" w:sz="4" w:space="0" w:color="auto"/>
              <w:right w:val="single" w:sz="4" w:space="0" w:color="auto"/>
            </w:tcBorders>
            <w:shd w:val="clear" w:color="auto" w:fill="auto"/>
            <w:noWrap/>
            <w:vAlign w:val="bottom"/>
            <w:hideMark/>
          </w:tcPr>
          <w:p w14:paraId="1AC9BC3C" w14:textId="77777777" w:rsidR="00D8365A" w:rsidRPr="00362517" w:rsidRDefault="00D8365A" w:rsidP="00BF6BC7">
            <w:r w:rsidRPr="00362517">
              <w:t>Kansas</w:t>
            </w:r>
          </w:p>
        </w:tc>
        <w:tc>
          <w:tcPr>
            <w:tcW w:w="1041" w:type="pct"/>
            <w:tcBorders>
              <w:top w:val="nil"/>
              <w:left w:val="nil"/>
              <w:bottom w:val="single" w:sz="4" w:space="0" w:color="auto"/>
              <w:right w:val="single" w:sz="4" w:space="0" w:color="auto"/>
            </w:tcBorders>
            <w:shd w:val="clear" w:color="auto" w:fill="auto"/>
            <w:noWrap/>
            <w:vAlign w:val="bottom"/>
            <w:hideMark/>
          </w:tcPr>
          <w:p w14:paraId="48470D15" w14:textId="77777777" w:rsidR="00D8365A" w:rsidRPr="00362517" w:rsidRDefault="00D8365A" w:rsidP="00BF6BC7">
            <w:pPr>
              <w:jc w:val="right"/>
            </w:pPr>
            <w:r w:rsidRPr="00362517">
              <w:t>387</w:t>
            </w:r>
          </w:p>
        </w:tc>
        <w:tc>
          <w:tcPr>
            <w:tcW w:w="1041" w:type="pct"/>
            <w:tcBorders>
              <w:top w:val="nil"/>
              <w:left w:val="nil"/>
              <w:bottom w:val="single" w:sz="4" w:space="0" w:color="auto"/>
              <w:right w:val="single" w:sz="4" w:space="0" w:color="auto"/>
            </w:tcBorders>
            <w:shd w:val="clear" w:color="auto" w:fill="auto"/>
            <w:noWrap/>
            <w:vAlign w:val="bottom"/>
            <w:hideMark/>
          </w:tcPr>
          <w:p w14:paraId="68CDBCD0"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37D15DC4" w14:textId="77777777" w:rsidR="00D8365A" w:rsidRPr="00362517" w:rsidRDefault="00D8365A" w:rsidP="00BF6BC7">
            <w:pPr>
              <w:jc w:val="right"/>
            </w:pPr>
            <w:r w:rsidRPr="00362517">
              <w:t>387</w:t>
            </w:r>
          </w:p>
        </w:tc>
      </w:tr>
      <w:tr w:rsidR="00D8365A" w:rsidRPr="00362517" w14:paraId="6AE330A8" w14:textId="77777777" w:rsidTr="007A2164">
        <w:trPr>
          <w:trHeight w:val="312"/>
        </w:trPr>
        <w:tc>
          <w:tcPr>
            <w:tcW w:w="1876" w:type="pct"/>
            <w:tcBorders>
              <w:top w:val="nil"/>
              <w:left w:val="single" w:sz="4" w:space="0" w:color="auto"/>
              <w:bottom w:val="single" w:sz="4" w:space="0" w:color="auto"/>
              <w:right w:val="single" w:sz="4" w:space="0" w:color="auto"/>
            </w:tcBorders>
            <w:shd w:val="clear" w:color="auto" w:fill="auto"/>
            <w:noWrap/>
            <w:vAlign w:val="bottom"/>
            <w:hideMark/>
          </w:tcPr>
          <w:p w14:paraId="0481C1B5" w14:textId="77777777" w:rsidR="00D8365A" w:rsidRPr="00362517" w:rsidRDefault="00D8365A" w:rsidP="00BF6BC7">
            <w:r w:rsidRPr="00362517">
              <w:t>Missouri</w:t>
            </w:r>
          </w:p>
        </w:tc>
        <w:tc>
          <w:tcPr>
            <w:tcW w:w="1041" w:type="pct"/>
            <w:tcBorders>
              <w:top w:val="nil"/>
              <w:left w:val="nil"/>
              <w:bottom w:val="single" w:sz="4" w:space="0" w:color="auto"/>
              <w:right w:val="single" w:sz="4" w:space="0" w:color="auto"/>
            </w:tcBorders>
            <w:shd w:val="clear" w:color="auto" w:fill="auto"/>
            <w:noWrap/>
            <w:vAlign w:val="bottom"/>
            <w:hideMark/>
          </w:tcPr>
          <w:p w14:paraId="00F0FC39" w14:textId="77777777" w:rsidR="00D8365A" w:rsidRPr="00362517" w:rsidRDefault="00D8365A" w:rsidP="00BF6BC7">
            <w:pPr>
              <w:jc w:val="right"/>
            </w:pPr>
            <w:r w:rsidRPr="00362517">
              <w:t>266</w:t>
            </w:r>
          </w:p>
        </w:tc>
        <w:tc>
          <w:tcPr>
            <w:tcW w:w="1041" w:type="pct"/>
            <w:tcBorders>
              <w:top w:val="nil"/>
              <w:left w:val="nil"/>
              <w:bottom w:val="single" w:sz="4" w:space="0" w:color="auto"/>
              <w:right w:val="single" w:sz="4" w:space="0" w:color="auto"/>
            </w:tcBorders>
            <w:shd w:val="clear" w:color="auto" w:fill="auto"/>
            <w:noWrap/>
            <w:vAlign w:val="bottom"/>
            <w:hideMark/>
          </w:tcPr>
          <w:p w14:paraId="3808C46A"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4363E8B5" w14:textId="77777777" w:rsidR="00D8365A" w:rsidRPr="00362517" w:rsidRDefault="00D8365A" w:rsidP="00BF6BC7">
            <w:pPr>
              <w:jc w:val="right"/>
            </w:pPr>
            <w:r w:rsidRPr="00362517">
              <w:t>266</w:t>
            </w:r>
          </w:p>
        </w:tc>
      </w:tr>
      <w:tr w:rsidR="00D8365A" w:rsidRPr="00362517" w14:paraId="78F43DDD" w14:textId="77777777" w:rsidTr="007A2164">
        <w:trPr>
          <w:trHeight w:val="312"/>
        </w:trPr>
        <w:tc>
          <w:tcPr>
            <w:tcW w:w="1876" w:type="pct"/>
            <w:tcBorders>
              <w:top w:val="nil"/>
              <w:left w:val="single" w:sz="4" w:space="0" w:color="auto"/>
              <w:bottom w:val="single" w:sz="4" w:space="0" w:color="auto"/>
              <w:right w:val="single" w:sz="4" w:space="0" w:color="auto"/>
            </w:tcBorders>
            <w:shd w:val="clear" w:color="auto" w:fill="auto"/>
            <w:noWrap/>
            <w:vAlign w:val="bottom"/>
            <w:hideMark/>
          </w:tcPr>
          <w:p w14:paraId="28CE931F" w14:textId="77777777" w:rsidR="00D8365A" w:rsidRPr="00362517" w:rsidRDefault="00D8365A" w:rsidP="00BF6BC7">
            <w:r w:rsidRPr="00362517">
              <w:t>Nevada</w:t>
            </w:r>
          </w:p>
        </w:tc>
        <w:tc>
          <w:tcPr>
            <w:tcW w:w="1041" w:type="pct"/>
            <w:tcBorders>
              <w:top w:val="nil"/>
              <w:left w:val="nil"/>
              <w:bottom w:val="single" w:sz="4" w:space="0" w:color="auto"/>
              <w:right w:val="single" w:sz="4" w:space="0" w:color="auto"/>
            </w:tcBorders>
            <w:shd w:val="clear" w:color="auto" w:fill="auto"/>
            <w:noWrap/>
            <w:vAlign w:val="bottom"/>
            <w:hideMark/>
          </w:tcPr>
          <w:p w14:paraId="17EEC9EE"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3EC575BE"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3842E266" w14:textId="77777777" w:rsidR="00D8365A" w:rsidRPr="00362517" w:rsidRDefault="00D8365A" w:rsidP="00BF6BC7">
            <w:pPr>
              <w:jc w:val="right"/>
            </w:pPr>
            <w:r w:rsidRPr="00362517">
              <w:t>0</w:t>
            </w:r>
          </w:p>
        </w:tc>
      </w:tr>
      <w:tr w:rsidR="00D8365A" w:rsidRPr="00362517" w14:paraId="6D5436FE" w14:textId="77777777" w:rsidTr="007A2164">
        <w:trPr>
          <w:trHeight w:val="312"/>
        </w:trPr>
        <w:tc>
          <w:tcPr>
            <w:tcW w:w="1876" w:type="pct"/>
            <w:tcBorders>
              <w:top w:val="nil"/>
              <w:left w:val="single" w:sz="4" w:space="0" w:color="auto"/>
              <w:bottom w:val="single" w:sz="4" w:space="0" w:color="auto"/>
              <w:right w:val="single" w:sz="4" w:space="0" w:color="auto"/>
            </w:tcBorders>
            <w:shd w:val="clear" w:color="auto" w:fill="auto"/>
            <w:noWrap/>
            <w:vAlign w:val="bottom"/>
            <w:hideMark/>
          </w:tcPr>
          <w:p w14:paraId="4CF64D2E" w14:textId="77777777" w:rsidR="00D8365A" w:rsidRPr="00362517" w:rsidRDefault="00D8365A" w:rsidP="00BF6BC7">
            <w:r w:rsidRPr="00362517">
              <w:t>New Mexico</w:t>
            </w:r>
          </w:p>
        </w:tc>
        <w:tc>
          <w:tcPr>
            <w:tcW w:w="1041" w:type="pct"/>
            <w:tcBorders>
              <w:top w:val="nil"/>
              <w:left w:val="nil"/>
              <w:bottom w:val="single" w:sz="4" w:space="0" w:color="auto"/>
              <w:right w:val="single" w:sz="4" w:space="0" w:color="auto"/>
            </w:tcBorders>
            <w:shd w:val="clear" w:color="auto" w:fill="auto"/>
            <w:noWrap/>
            <w:vAlign w:val="bottom"/>
            <w:hideMark/>
          </w:tcPr>
          <w:p w14:paraId="1FFBCE55" w14:textId="77777777" w:rsidR="00D8365A" w:rsidRPr="00362517" w:rsidRDefault="00D8365A" w:rsidP="00BF6BC7">
            <w:pPr>
              <w:jc w:val="right"/>
            </w:pPr>
            <w:r w:rsidRPr="00362517">
              <w:t>19</w:t>
            </w:r>
          </w:p>
        </w:tc>
        <w:tc>
          <w:tcPr>
            <w:tcW w:w="1041" w:type="pct"/>
            <w:tcBorders>
              <w:top w:val="nil"/>
              <w:left w:val="nil"/>
              <w:bottom w:val="single" w:sz="4" w:space="0" w:color="auto"/>
              <w:right w:val="single" w:sz="4" w:space="0" w:color="auto"/>
            </w:tcBorders>
            <w:shd w:val="clear" w:color="auto" w:fill="auto"/>
            <w:noWrap/>
            <w:vAlign w:val="bottom"/>
            <w:hideMark/>
          </w:tcPr>
          <w:p w14:paraId="1A274695"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6FCB8257" w14:textId="77777777" w:rsidR="00D8365A" w:rsidRPr="00362517" w:rsidRDefault="00D8365A" w:rsidP="00BF6BC7">
            <w:pPr>
              <w:jc w:val="right"/>
            </w:pPr>
            <w:r w:rsidRPr="00362517">
              <w:t>19</w:t>
            </w:r>
          </w:p>
        </w:tc>
      </w:tr>
      <w:tr w:rsidR="00D8365A" w:rsidRPr="00362517" w14:paraId="42DA5ED8" w14:textId="77777777" w:rsidTr="007A2164">
        <w:trPr>
          <w:trHeight w:val="312"/>
        </w:trPr>
        <w:tc>
          <w:tcPr>
            <w:tcW w:w="1876" w:type="pct"/>
            <w:tcBorders>
              <w:top w:val="nil"/>
              <w:left w:val="single" w:sz="4" w:space="0" w:color="auto"/>
              <w:bottom w:val="single" w:sz="4" w:space="0" w:color="auto"/>
              <w:right w:val="single" w:sz="4" w:space="0" w:color="auto"/>
            </w:tcBorders>
            <w:shd w:val="clear" w:color="auto" w:fill="auto"/>
            <w:noWrap/>
            <w:vAlign w:val="bottom"/>
            <w:hideMark/>
          </w:tcPr>
          <w:p w14:paraId="52CEA3FC" w14:textId="77777777" w:rsidR="00D8365A" w:rsidRPr="00362517" w:rsidRDefault="00D8365A" w:rsidP="00BF6BC7">
            <w:r w:rsidRPr="00362517">
              <w:t>North Carolina</w:t>
            </w:r>
          </w:p>
        </w:tc>
        <w:tc>
          <w:tcPr>
            <w:tcW w:w="1041" w:type="pct"/>
            <w:tcBorders>
              <w:top w:val="nil"/>
              <w:left w:val="nil"/>
              <w:bottom w:val="single" w:sz="4" w:space="0" w:color="auto"/>
              <w:right w:val="single" w:sz="4" w:space="0" w:color="auto"/>
            </w:tcBorders>
            <w:shd w:val="clear" w:color="auto" w:fill="auto"/>
            <w:noWrap/>
            <w:vAlign w:val="bottom"/>
            <w:hideMark/>
          </w:tcPr>
          <w:p w14:paraId="5C75E22C" w14:textId="77777777" w:rsidR="00D8365A" w:rsidRPr="00362517" w:rsidRDefault="00D8365A" w:rsidP="00BF6BC7">
            <w:pPr>
              <w:jc w:val="right"/>
            </w:pPr>
            <w:r w:rsidRPr="00362517">
              <w:t>162</w:t>
            </w:r>
          </w:p>
        </w:tc>
        <w:tc>
          <w:tcPr>
            <w:tcW w:w="1041" w:type="pct"/>
            <w:tcBorders>
              <w:top w:val="nil"/>
              <w:left w:val="nil"/>
              <w:bottom w:val="single" w:sz="4" w:space="0" w:color="auto"/>
              <w:right w:val="single" w:sz="4" w:space="0" w:color="auto"/>
            </w:tcBorders>
            <w:shd w:val="clear" w:color="auto" w:fill="auto"/>
            <w:noWrap/>
            <w:vAlign w:val="bottom"/>
            <w:hideMark/>
          </w:tcPr>
          <w:p w14:paraId="317293D8"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139E817D" w14:textId="77777777" w:rsidR="00D8365A" w:rsidRPr="00362517" w:rsidRDefault="00D8365A" w:rsidP="00BF6BC7">
            <w:pPr>
              <w:jc w:val="right"/>
            </w:pPr>
            <w:r w:rsidRPr="00362517">
              <w:t>162</w:t>
            </w:r>
          </w:p>
        </w:tc>
      </w:tr>
      <w:tr w:rsidR="00D8365A" w:rsidRPr="00362517" w14:paraId="5589097C" w14:textId="77777777" w:rsidTr="007A2164">
        <w:trPr>
          <w:trHeight w:val="312"/>
        </w:trPr>
        <w:tc>
          <w:tcPr>
            <w:tcW w:w="1876" w:type="pct"/>
            <w:tcBorders>
              <w:top w:val="nil"/>
              <w:left w:val="single" w:sz="4" w:space="0" w:color="auto"/>
              <w:bottom w:val="single" w:sz="4" w:space="0" w:color="auto"/>
              <w:right w:val="single" w:sz="4" w:space="0" w:color="auto"/>
            </w:tcBorders>
            <w:shd w:val="clear" w:color="auto" w:fill="auto"/>
            <w:noWrap/>
            <w:vAlign w:val="bottom"/>
            <w:hideMark/>
          </w:tcPr>
          <w:p w14:paraId="4E75546B" w14:textId="77777777" w:rsidR="00D8365A" w:rsidRPr="00362517" w:rsidRDefault="00D8365A" w:rsidP="00BF6BC7">
            <w:r w:rsidRPr="00362517">
              <w:t>Oklahoma</w:t>
            </w:r>
          </w:p>
        </w:tc>
        <w:tc>
          <w:tcPr>
            <w:tcW w:w="1041" w:type="pct"/>
            <w:tcBorders>
              <w:top w:val="nil"/>
              <w:left w:val="nil"/>
              <w:bottom w:val="single" w:sz="4" w:space="0" w:color="auto"/>
              <w:right w:val="single" w:sz="4" w:space="0" w:color="auto"/>
            </w:tcBorders>
            <w:shd w:val="clear" w:color="auto" w:fill="auto"/>
            <w:noWrap/>
            <w:vAlign w:val="bottom"/>
            <w:hideMark/>
          </w:tcPr>
          <w:p w14:paraId="06345F72" w14:textId="77777777" w:rsidR="00D8365A" w:rsidRPr="00362517" w:rsidRDefault="00D8365A" w:rsidP="00BF6BC7">
            <w:pPr>
              <w:jc w:val="right"/>
            </w:pPr>
            <w:r w:rsidRPr="00362517">
              <w:t>412</w:t>
            </w:r>
          </w:p>
        </w:tc>
        <w:tc>
          <w:tcPr>
            <w:tcW w:w="1041" w:type="pct"/>
            <w:tcBorders>
              <w:top w:val="nil"/>
              <w:left w:val="nil"/>
              <w:bottom w:val="single" w:sz="4" w:space="0" w:color="auto"/>
              <w:right w:val="single" w:sz="4" w:space="0" w:color="auto"/>
            </w:tcBorders>
            <w:shd w:val="clear" w:color="auto" w:fill="auto"/>
            <w:noWrap/>
            <w:vAlign w:val="bottom"/>
            <w:hideMark/>
          </w:tcPr>
          <w:p w14:paraId="223E5256"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4BE97061" w14:textId="77777777" w:rsidR="00D8365A" w:rsidRPr="00362517" w:rsidRDefault="00D8365A" w:rsidP="00BF6BC7">
            <w:pPr>
              <w:jc w:val="right"/>
            </w:pPr>
            <w:r w:rsidRPr="00362517">
              <w:t>412</w:t>
            </w:r>
          </w:p>
        </w:tc>
      </w:tr>
      <w:tr w:rsidR="00D8365A" w:rsidRPr="00362517" w14:paraId="0FBBDA80" w14:textId="77777777" w:rsidTr="007A2164">
        <w:trPr>
          <w:trHeight w:val="312"/>
        </w:trPr>
        <w:tc>
          <w:tcPr>
            <w:tcW w:w="1876" w:type="pct"/>
            <w:tcBorders>
              <w:top w:val="nil"/>
              <w:left w:val="single" w:sz="4" w:space="0" w:color="auto"/>
              <w:bottom w:val="single" w:sz="4" w:space="0" w:color="auto"/>
              <w:right w:val="single" w:sz="4" w:space="0" w:color="auto"/>
            </w:tcBorders>
            <w:shd w:val="clear" w:color="auto" w:fill="auto"/>
            <w:noWrap/>
            <w:vAlign w:val="bottom"/>
            <w:hideMark/>
          </w:tcPr>
          <w:p w14:paraId="053DC87F" w14:textId="77777777" w:rsidR="00D8365A" w:rsidRPr="00362517" w:rsidRDefault="00D8365A" w:rsidP="00BF6BC7">
            <w:r w:rsidRPr="00362517">
              <w:t>Oregon</w:t>
            </w:r>
          </w:p>
        </w:tc>
        <w:tc>
          <w:tcPr>
            <w:tcW w:w="1041" w:type="pct"/>
            <w:tcBorders>
              <w:top w:val="nil"/>
              <w:left w:val="nil"/>
              <w:bottom w:val="single" w:sz="4" w:space="0" w:color="auto"/>
              <w:right w:val="single" w:sz="4" w:space="0" w:color="auto"/>
            </w:tcBorders>
            <w:shd w:val="clear" w:color="auto" w:fill="auto"/>
            <w:noWrap/>
            <w:vAlign w:val="bottom"/>
            <w:hideMark/>
          </w:tcPr>
          <w:p w14:paraId="2E415993" w14:textId="77777777" w:rsidR="00D8365A" w:rsidRPr="00362517" w:rsidRDefault="00D8365A" w:rsidP="00BF6BC7">
            <w:pPr>
              <w:jc w:val="right"/>
            </w:pPr>
            <w:r w:rsidRPr="00362517">
              <w:t>199</w:t>
            </w:r>
          </w:p>
        </w:tc>
        <w:tc>
          <w:tcPr>
            <w:tcW w:w="1041" w:type="pct"/>
            <w:tcBorders>
              <w:top w:val="nil"/>
              <w:left w:val="nil"/>
              <w:bottom w:val="single" w:sz="4" w:space="0" w:color="auto"/>
              <w:right w:val="single" w:sz="4" w:space="0" w:color="auto"/>
            </w:tcBorders>
            <w:shd w:val="clear" w:color="auto" w:fill="auto"/>
            <w:noWrap/>
            <w:vAlign w:val="bottom"/>
            <w:hideMark/>
          </w:tcPr>
          <w:p w14:paraId="1C16210A"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17FE3ECC" w14:textId="77777777" w:rsidR="00D8365A" w:rsidRPr="00362517" w:rsidRDefault="00D8365A" w:rsidP="00BF6BC7">
            <w:pPr>
              <w:jc w:val="right"/>
            </w:pPr>
            <w:r w:rsidRPr="00362517">
              <w:t>199</w:t>
            </w:r>
          </w:p>
        </w:tc>
      </w:tr>
      <w:tr w:rsidR="00D8365A" w:rsidRPr="00362517" w14:paraId="152B9942" w14:textId="77777777" w:rsidTr="007A2164">
        <w:trPr>
          <w:trHeight w:val="312"/>
        </w:trPr>
        <w:tc>
          <w:tcPr>
            <w:tcW w:w="1876" w:type="pct"/>
            <w:tcBorders>
              <w:top w:val="nil"/>
              <w:left w:val="single" w:sz="4" w:space="0" w:color="auto"/>
              <w:bottom w:val="single" w:sz="4" w:space="0" w:color="auto"/>
              <w:right w:val="single" w:sz="4" w:space="0" w:color="auto"/>
            </w:tcBorders>
            <w:shd w:val="clear" w:color="auto" w:fill="auto"/>
            <w:noWrap/>
            <w:vAlign w:val="bottom"/>
            <w:hideMark/>
          </w:tcPr>
          <w:p w14:paraId="34BA116E" w14:textId="77777777" w:rsidR="00D8365A" w:rsidRPr="00362517" w:rsidRDefault="00D8365A" w:rsidP="00BF6BC7">
            <w:r w:rsidRPr="00362517">
              <w:t>Rhode Island</w:t>
            </w:r>
          </w:p>
        </w:tc>
        <w:tc>
          <w:tcPr>
            <w:tcW w:w="1041" w:type="pct"/>
            <w:tcBorders>
              <w:top w:val="nil"/>
              <w:left w:val="nil"/>
              <w:bottom w:val="single" w:sz="4" w:space="0" w:color="auto"/>
              <w:right w:val="single" w:sz="4" w:space="0" w:color="auto"/>
            </w:tcBorders>
            <w:shd w:val="clear" w:color="auto" w:fill="auto"/>
            <w:noWrap/>
            <w:vAlign w:val="bottom"/>
            <w:hideMark/>
          </w:tcPr>
          <w:p w14:paraId="613B73E3" w14:textId="77777777" w:rsidR="00D8365A" w:rsidRPr="00362517" w:rsidRDefault="00D8365A" w:rsidP="00BF6BC7">
            <w:pPr>
              <w:jc w:val="right"/>
            </w:pPr>
            <w:r w:rsidRPr="00362517">
              <w:t>26</w:t>
            </w:r>
          </w:p>
        </w:tc>
        <w:tc>
          <w:tcPr>
            <w:tcW w:w="1041" w:type="pct"/>
            <w:tcBorders>
              <w:top w:val="nil"/>
              <w:left w:val="nil"/>
              <w:bottom w:val="single" w:sz="4" w:space="0" w:color="auto"/>
              <w:right w:val="single" w:sz="4" w:space="0" w:color="auto"/>
            </w:tcBorders>
            <w:shd w:val="clear" w:color="auto" w:fill="auto"/>
            <w:noWrap/>
            <w:vAlign w:val="bottom"/>
            <w:hideMark/>
          </w:tcPr>
          <w:p w14:paraId="40D9BDE1"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7C564896" w14:textId="77777777" w:rsidR="00D8365A" w:rsidRPr="00362517" w:rsidRDefault="00D8365A" w:rsidP="00BF6BC7">
            <w:pPr>
              <w:jc w:val="right"/>
            </w:pPr>
            <w:r w:rsidRPr="00362517">
              <w:t>26</w:t>
            </w:r>
          </w:p>
        </w:tc>
      </w:tr>
      <w:tr w:rsidR="00D8365A" w:rsidRPr="00362517" w14:paraId="2D8434F4" w14:textId="77777777" w:rsidTr="007A2164">
        <w:trPr>
          <w:trHeight w:val="312"/>
        </w:trPr>
        <w:tc>
          <w:tcPr>
            <w:tcW w:w="1876" w:type="pct"/>
            <w:tcBorders>
              <w:top w:val="nil"/>
              <w:left w:val="single" w:sz="4" w:space="0" w:color="auto"/>
              <w:bottom w:val="single" w:sz="4" w:space="0" w:color="auto"/>
              <w:right w:val="single" w:sz="4" w:space="0" w:color="auto"/>
            </w:tcBorders>
            <w:shd w:val="clear" w:color="auto" w:fill="auto"/>
            <w:noWrap/>
            <w:vAlign w:val="bottom"/>
            <w:hideMark/>
          </w:tcPr>
          <w:p w14:paraId="44A328B5" w14:textId="77777777" w:rsidR="00D8365A" w:rsidRPr="00362517" w:rsidRDefault="00D8365A" w:rsidP="00BF6BC7">
            <w:r w:rsidRPr="00362517">
              <w:t>South Dakota</w:t>
            </w:r>
          </w:p>
        </w:tc>
        <w:tc>
          <w:tcPr>
            <w:tcW w:w="1041" w:type="pct"/>
            <w:tcBorders>
              <w:top w:val="nil"/>
              <w:left w:val="nil"/>
              <w:bottom w:val="single" w:sz="4" w:space="0" w:color="auto"/>
              <w:right w:val="single" w:sz="4" w:space="0" w:color="auto"/>
            </w:tcBorders>
            <w:shd w:val="clear" w:color="auto" w:fill="auto"/>
            <w:noWrap/>
            <w:vAlign w:val="bottom"/>
            <w:hideMark/>
          </w:tcPr>
          <w:p w14:paraId="425D7647" w14:textId="77777777" w:rsidR="00D8365A" w:rsidRPr="00362517" w:rsidRDefault="00D8365A" w:rsidP="00BF6BC7">
            <w:pPr>
              <w:jc w:val="right"/>
            </w:pPr>
            <w:r w:rsidRPr="00362517">
              <w:t>322</w:t>
            </w:r>
          </w:p>
        </w:tc>
        <w:tc>
          <w:tcPr>
            <w:tcW w:w="1041" w:type="pct"/>
            <w:tcBorders>
              <w:top w:val="nil"/>
              <w:left w:val="nil"/>
              <w:bottom w:val="single" w:sz="4" w:space="0" w:color="auto"/>
              <w:right w:val="single" w:sz="4" w:space="0" w:color="auto"/>
            </w:tcBorders>
            <w:shd w:val="clear" w:color="auto" w:fill="auto"/>
            <w:noWrap/>
            <w:vAlign w:val="bottom"/>
            <w:hideMark/>
          </w:tcPr>
          <w:p w14:paraId="168F696C"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16CC0FBB" w14:textId="77777777" w:rsidR="00D8365A" w:rsidRPr="00362517" w:rsidRDefault="00D8365A" w:rsidP="00BF6BC7">
            <w:pPr>
              <w:jc w:val="right"/>
            </w:pPr>
            <w:r w:rsidRPr="00362517">
              <w:t>322</w:t>
            </w:r>
          </w:p>
        </w:tc>
      </w:tr>
      <w:tr w:rsidR="00D8365A" w:rsidRPr="00362517" w14:paraId="2743B95D" w14:textId="77777777" w:rsidTr="007A2164">
        <w:trPr>
          <w:trHeight w:val="312"/>
        </w:trPr>
        <w:tc>
          <w:tcPr>
            <w:tcW w:w="1876" w:type="pct"/>
            <w:tcBorders>
              <w:top w:val="nil"/>
              <w:left w:val="single" w:sz="4" w:space="0" w:color="auto"/>
              <w:bottom w:val="single" w:sz="4" w:space="0" w:color="auto"/>
              <w:right w:val="single" w:sz="4" w:space="0" w:color="auto"/>
            </w:tcBorders>
            <w:shd w:val="clear" w:color="auto" w:fill="auto"/>
            <w:noWrap/>
            <w:vAlign w:val="bottom"/>
            <w:hideMark/>
          </w:tcPr>
          <w:p w14:paraId="43F03B13" w14:textId="77777777" w:rsidR="00D8365A" w:rsidRPr="00362517" w:rsidRDefault="00D8365A" w:rsidP="00BF6BC7">
            <w:r w:rsidRPr="00362517">
              <w:t>Tennessee</w:t>
            </w:r>
          </w:p>
        </w:tc>
        <w:tc>
          <w:tcPr>
            <w:tcW w:w="1041" w:type="pct"/>
            <w:tcBorders>
              <w:top w:val="nil"/>
              <w:left w:val="nil"/>
              <w:bottom w:val="single" w:sz="4" w:space="0" w:color="auto"/>
              <w:right w:val="single" w:sz="4" w:space="0" w:color="auto"/>
            </w:tcBorders>
            <w:shd w:val="clear" w:color="auto" w:fill="auto"/>
            <w:noWrap/>
            <w:vAlign w:val="bottom"/>
            <w:hideMark/>
          </w:tcPr>
          <w:p w14:paraId="721717D9" w14:textId="77777777" w:rsidR="00D8365A" w:rsidRPr="00362517" w:rsidRDefault="00D8365A" w:rsidP="00BF6BC7">
            <w:pPr>
              <w:jc w:val="right"/>
            </w:pPr>
            <w:r w:rsidRPr="00362517">
              <w:t>117</w:t>
            </w:r>
          </w:p>
        </w:tc>
        <w:tc>
          <w:tcPr>
            <w:tcW w:w="1041" w:type="pct"/>
            <w:tcBorders>
              <w:top w:val="nil"/>
              <w:left w:val="nil"/>
              <w:bottom w:val="single" w:sz="4" w:space="0" w:color="auto"/>
              <w:right w:val="single" w:sz="4" w:space="0" w:color="auto"/>
            </w:tcBorders>
            <w:shd w:val="clear" w:color="auto" w:fill="auto"/>
            <w:noWrap/>
            <w:vAlign w:val="bottom"/>
            <w:hideMark/>
          </w:tcPr>
          <w:p w14:paraId="7AFAD8C3"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045AB7A4" w14:textId="77777777" w:rsidR="00D8365A" w:rsidRPr="00362517" w:rsidRDefault="00D8365A" w:rsidP="00BF6BC7">
            <w:pPr>
              <w:jc w:val="right"/>
            </w:pPr>
            <w:r w:rsidRPr="00362517">
              <w:t>117</w:t>
            </w:r>
          </w:p>
        </w:tc>
      </w:tr>
      <w:tr w:rsidR="00D8365A" w:rsidRPr="00362517" w14:paraId="0D0CFCB6" w14:textId="77777777" w:rsidTr="007A2164">
        <w:trPr>
          <w:trHeight w:val="312"/>
        </w:trPr>
        <w:tc>
          <w:tcPr>
            <w:tcW w:w="1876" w:type="pct"/>
            <w:tcBorders>
              <w:top w:val="nil"/>
              <w:left w:val="single" w:sz="4" w:space="0" w:color="auto"/>
              <w:bottom w:val="single" w:sz="4" w:space="0" w:color="auto"/>
              <w:right w:val="single" w:sz="4" w:space="0" w:color="auto"/>
            </w:tcBorders>
            <w:shd w:val="clear" w:color="auto" w:fill="auto"/>
            <w:noWrap/>
            <w:vAlign w:val="bottom"/>
            <w:hideMark/>
          </w:tcPr>
          <w:p w14:paraId="6C2AF3C2" w14:textId="77777777" w:rsidR="00D8365A" w:rsidRPr="00362517" w:rsidRDefault="00D8365A" w:rsidP="00BF6BC7">
            <w:r w:rsidRPr="00362517">
              <w:t>Washington State</w:t>
            </w:r>
          </w:p>
        </w:tc>
        <w:tc>
          <w:tcPr>
            <w:tcW w:w="1041" w:type="pct"/>
            <w:tcBorders>
              <w:top w:val="nil"/>
              <w:left w:val="nil"/>
              <w:bottom w:val="single" w:sz="4" w:space="0" w:color="auto"/>
              <w:right w:val="single" w:sz="4" w:space="0" w:color="auto"/>
            </w:tcBorders>
            <w:shd w:val="clear" w:color="auto" w:fill="auto"/>
            <w:noWrap/>
            <w:vAlign w:val="bottom"/>
            <w:hideMark/>
          </w:tcPr>
          <w:p w14:paraId="46D6448D" w14:textId="77777777" w:rsidR="00D8365A" w:rsidRPr="00362517" w:rsidRDefault="00D8365A" w:rsidP="00BF6BC7">
            <w:pPr>
              <w:jc w:val="right"/>
            </w:pPr>
            <w:r w:rsidRPr="00362517">
              <w:t>467</w:t>
            </w:r>
          </w:p>
        </w:tc>
        <w:tc>
          <w:tcPr>
            <w:tcW w:w="1041" w:type="pct"/>
            <w:tcBorders>
              <w:top w:val="nil"/>
              <w:left w:val="nil"/>
              <w:bottom w:val="single" w:sz="4" w:space="0" w:color="auto"/>
              <w:right w:val="single" w:sz="4" w:space="0" w:color="auto"/>
            </w:tcBorders>
            <w:shd w:val="clear" w:color="auto" w:fill="auto"/>
            <w:noWrap/>
            <w:vAlign w:val="bottom"/>
            <w:hideMark/>
          </w:tcPr>
          <w:p w14:paraId="25109E6E"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099AA733" w14:textId="77777777" w:rsidR="00D8365A" w:rsidRPr="00362517" w:rsidRDefault="00D8365A" w:rsidP="00BF6BC7">
            <w:pPr>
              <w:jc w:val="right"/>
            </w:pPr>
            <w:r w:rsidRPr="00362517">
              <w:t>467</w:t>
            </w:r>
          </w:p>
        </w:tc>
      </w:tr>
      <w:tr w:rsidR="00D8365A" w:rsidRPr="00362517" w14:paraId="0ABC84CB" w14:textId="77777777" w:rsidTr="007A2164">
        <w:trPr>
          <w:trHeight w:val="312"/>
        </w:trPr>
        <w:tc>
          <w:tcPr>
            <w:tcW w:w="1876" w:type="pct"/>
            <w:tcBorders>
              <w:top w:val="nil"/>
              <w:left w:val="single" w:sz="4" w:space="0" w:color="auto"/>
              <w:bottom w:val="single" w:sz="4" w:space="0" w:color="auto"/>
              <w:right w:val="single" w:sz="4" w:space="0" w:color="auto"/>
            </w:tcBorders>
            <w:shd w:val="clear" w:color="auto" w:fill="auto"/>
            <w:noWrap/>
            <w:vAlign w:val="bottom"/>
            <w:hideMark/>
          </w:tcPr>
          <w:p w14:paraId="464799E6" w14:textId="77777777" w:rsidR="00D8365A" w:rsidRPr="00362517" w:rsidRDefault="00D8365A" w:rsidP="00BF6BC7">
            <w:r w:rsidRPr="00362517">
              <w:t>West Virginia</w:t>
            </w:r>
          </w:p>
        </w:tc>
        <w:tc>
          <w:tcPr>
            <w:tcW w:w="1041" w:type="pct"/>
            <w:tcBorders>
              <w:top w:val="nil"/>
              <w:left w:val="nil"/>
              <w:bottom w:val="single" w:sz="4" w:space="0" w:color="auto"/>
              <w:right w:val="single" w:sz="4" w:space="0" w:color="auto"/>
            </w:tcBorders>
            <w:shd w:val="clear" w:color="auto" w:fill="auto"/>
            <w:noWrap/>
            <w:vAlign w:val="bottom"/>
            <w:hideMark/>
          </w:tcPr>
          <w:p w14:paraId="43E7E6D8" w14:textId="77777777" w:rsidR="00D8365A" w:rsidRPr="00362517" w:rsidRDefault="00D8365A" w:rsidP="00BF6BC7">
            <w:pPr>
              <w:jc w:val="right"/>
            </w:pPr>
            <w:r w:rsidRPr="00362517">
              <w:t>68</w:t>
            </w:r>
          </w:p>
        </w:tc>
        <w:tc>
          <w:tcPr>
            <w:tcW w:w="1041" w:type="pct"/>
            <w:tcBorders>
              <w:top w:val="nil"/>
              <w:left w:val="nil"/>
              <w:bottom w:val="single" w:sz="4" w:space="0" w:color="auto"/>
              <w:right w:val="single" w:sz="4" w:space="0" w:color="auto"/>
            </w:tcBorders>
            <w:shd w:val="clear" w:color="auto" w:fill="auto"/>
            <w:noWrap/>
            <w:vAlign w:val="bottom"/>
            <w:hideMark/>
          </w:tcPr>
          <w:p w14:paraId="328FC197"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50027E85" w14:textId="77777777" w:rsidR="00D8365A" w:rsidRPr="00362517" w:rsidRDefault="00D8365A" w:rsidP="00BF6BC7">
            <w:pPr>
              <w:jc w:val="right"/>
            </w:pPr>
            <w:r w:rsidRPr="00362517">
              <w:t>68</w:t>
            </w:r>
          </w:p>
        </w:tc>
      </w:tr>
      <w:tr w:rsidR="00D8365A" w:rsidRPr="00362517" w14:paraId="3395249A" w14:textId="77777777" w:rsidTr="007A2164">
        <w:trPr>
          <w:trHeight w:val="312"/>
        </w:trPr>
        <w:tc>
          <w:tcPr>
            <w:tcW w:w="1876" w:type="pct"/>
            <w:tcBorders>
              <w:top w:val="nil"/>
              <w:left w:val="single" w:sz="4" w:space="0" w:color="auto"/>
              <w:bottom w:val="single" w:sz="4" w:space="0" w:color="auto"/>
              <w:right w:val="single" w:sz="4" w:space="0" w:color="auto"/>
            </w:tcBorders>
            <w:shd w:val="clear" w:color="auto" w:fill="auto"/>
            <w:noWrap/>
            <w:vAlign w:val="bottom"/>
            <w:hideMark/>
          </w:tcPr>
          <w:p w14:paraId="7D3F165E" w14:textId="77777777" w:rsidR="00D8365A" w:rsidRPr="00362517" w:rsidRDefault="00D8365A" w:rsidP="00BF6BC7">
            <w:r w:rsidRPr="00362517">
              <w:t>Puerto Rico</w:t>
            </w:r>
          </w:p>
        </w:tc>
        <w:tc>
          <w:tcPr>
            <w:tcW w:w="1041" w:type="pct"/>
            <w:tcBorders>
              <w:top w:val="nil"/>
              <w:left w:val="nil"/>
              <w:bottom w:val="single" w:sz="4" w:space="0" w:color="auto"/>
              <w:right w:val="single" w:sz="4" w:space="0" w:color="auto"/>
            </w:tcBorders>
            <w:shd w:val="clear" w:color="auto" w:fill="auto"/>
            <w:noWrap/>
            <w:vAlign w:val="bottom"/>
            <w:hideMark/>
          </w:tcPr>
          <w:p w14:paraId="7849FDF2" w14:textId="77777777" w:rsidR="00D8365A" w:rsidRPr="00362517" w:rsidRDefault="00D8365A" w:rsidP="00BF6BC7">
            <w:pPr>
              <w:jc w:val="right"/>
            </w:pPr>
            <w:r w:rsidRPr="00362517">
              <w:t>82</w:t>
            </w:r>
          </w:p>
        </w:tc>
        <w:tc>
          <w:tcPr>
            <w:tcW w:w="1041" w:type="pct"/>
            <w:tcBorders>
              <w:top w:val="nil"/>
              <w:left w:val="nil"/>
              <w:bottom w:val="single" w:sz="4" w:space="0" w:color="auto"/>
              <w:right w:val="single" w:sz="4" w:space="0" w:color="auto"/>
            </w:tcBorders>
            <w:shd w:val="clear" w:color="auto" w:fill="auto"/>
            <w:noWrap/>
            <w:vAlign w:val="bottom"/>
            <w:hideMark/>
          </w:tcPr>
          <w:p w14:paraId="49A01909"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1DED4C4F" w14:textId="77777777" w:rsidR="00D8365A" w:rsidRPr="00362517" w:rsidRDefault="00D8365A" w:rsidP="00BF6BC7">
            <w:pPr>
              <w:jc w:val="right"/>
            </w:pPr>
            <w:r w:rsidRPr="00362517">
              <w:t>82</w:t>
            </w:r>
          </w:p>
        </w:tc>
      </w:tr>
      <w:tr w:rsidR="00D8365A" w:rsidRPr="00362517" w14:paraId="15ABDBA2" w14:textId="77777777" w:rsidTr="007A2164">
        <w:trPr>
          <w:trHeight w:val="312"/>
        </w:trPr>
        <w:tc>
          <w:tcPr>
            <w:tcW w:w="1876" w:type="pct"/>
            <w:tcBorders>
              <w:top w:val="nil"/>
              <w:left w:val="single" w:sz="4" w:space="0" w:color="auto"/>
              <w:bottom w:val="single" w:sz="4" w:space="0" w:color="auto"/>
              <w:right w:val="single" w:sz="4" w:space="0" w:color="auto"/>
            </w:tcBorders>
            <w:shd w:val="clear" w:color="auto" w:fill="auto"/>
            <w:noWrap/>
            <w:vAlign w:val="bottom"/>
            <w:hideMark/>
          </w:tcPr>
          <w:p w14:paraId="7BAA00BB" w14:textId="77777777" w:rsidR="00D8365A" w:rsidRPr="00362517" w:rsidRDefault="00D8365A" w:rsidP="00BF6BC7">
            <w:r w:rsidRPr="00362517">
              <w:t>Total</w:t>
            </w:r>
          </w:p>
        </w:tc>
        <w:tc>
          <w:tcPr>
            <w:tcW w:w="1041" w:type="pct"/>
            <w:tcBorders>
              <w:top w:val="nil"/>
              <w:left w:val="nil"/>
              <w:bottom w:val="single" w:sz="4" w:space="0" w:color="auto"/>
              <w:right w:val="single" w:sz="4" w:space="0" w:color="auto"/>
            </w:tcBorders>
            <w:shd w:val="clear" w:color="auto" w:fill="auto"/>
            <w:noWrap/>
            <w:vAlign w:val="bottom"/>
            <w:hideMark/>
          </w:tcPr>
          <w:p w14:paraId="43EB0F81" w14:textId="77777777" w:rsidR="00D8365A" w:rsidRPr="00362517" w:rsidRDefault="00D8365A" w:rsidP="00BF6BC7">
            <w:pPr>
              <w:jc w:val="right"/>
            </w:pPr>
            <w:r w:rsidRPr="00362517">
              <w:t>3,377</w:t>
            </w:r>
          </w:p>
        </w:tc>
        <w:tc>
          <w:tcPr>
            <w:tcW w:w="1041" w:type="pct"/>
            <w:tcBorders>
              <w:top w:val="nil"/>
              <w:left w:val="nil"/>
              <w:bottom w:val="single" w:sz="4" w:space="0" w:color="auto"/>
              <w:right w:val="single" w:sz="4" w:space="0" w:color="auto"/>
            </w:tcBorders>
            <w:shd w:val="clear" w:color="auto" w:fill="auto"/>
            <w:noWrap/>
            <w:vAlign w:val="bottom"/>
            <w:hideMark/>
          </w:tcPr>
          <w:p w14:paraId="2BBE8E39" w14:textId="77777777" w:rsidR="00D8365A" w:rsidRPr="00362517" w:rsidRDefault="00D8365A" w:rsidP="00BF6BC7">
            <w:pPr>
              <w:jc w:val="right"/>
            </w:pPr>
            <w:r w:rsidRPr="00362517">
              <w:t>0</w:t>
            </w:r>
          </w:p>
        </w:tc>
        <w:tc>
          <w:tcPr>
            <w:tcW w:w="1041" w:type="pct"/>
            <w:tcBorders>
              <w:top w:val="nil"/>
              <w:left w:val="nil"/>
              <w:bottom w:val="single" w:sz="4" w:space="0" w:color="auto"/>
              <w:right w:val="single" w:sz="4" w:space="0" w:color="auto"/>
            </w:tcBorders>
            <w:shd w:val="clear" w:color="auto" w:fill="auto"/>
            <w:noWrap/>
            <w:vAlign w:val="bottom"/>
            <w:hideMark/>
          </w:tcPr>
          <w:p w14:paraId="4862E9B0" w14:textId="77777777" w:rsidR="00D8365A" w:rsidRPr="00362517" w:rsidRDefault="00D8365A" w:rsidP="00BF6BC7">
            <w:pPr>
              <w:jc w:val="right"/>
            </w:pPr>
            <w:r w:rsidRPr="00362517">
              <w:t>3,377</w:t>
            </w:r>
          </w:p>
        </w:tc>
      </w:tr>
    </w:tbl>
    <w:p w14:paraId="7D158F65" w14:textId="77777777" w:rsidR="00D8365A" w:rsidRPr="00362517" w:rsidRDefault="00D8365A" w:rsidP="00BF6BC7">
      <w:pPr>
        <w:keepNext/>
        <w:rPr>
          <w:sz w:val="22"/>
          <w:szCs w:val="22"/>
        </w:rPr>
      </w:pPr>
      <w:r w:rsidRPr="00362517">
        <w:rPr>
          <w:sz w:val="22"/>
          <w:szCs w:val="22"/>
        </w:rPr>
        <w:t>Source: EPA calculations.  PVs are calculated using a three percent discount rate.</w:t>
      </w:r>
    </w:p>
    <w:p w14:paraId="3F2B02B6" w14:textId="77777777" w:rsidR="00D8365A" w:rsidRPr="00362517" w:rsidRDefault="00D8365A" w:rsidP="00BF6BC7">
      <w:pPr>
        <w:ind w:left="720" w:hanging="720"/>
      </w:pPr>
    </w:p>
    <w:p w14:paraId="7013E50B" w14:textId="77777777" w:rsidR="00D8365A" w:rsidRPr="00362517" w:rsidRDefault="00D8365A" w:rsidP="00BF6BC7">
      <w:r w:rsidRPr="00362517">
        <w:t xml:space="preserve">Step 6.  Annualize the National Costs of the Final Requirement, Baseline, and Incremental Costs.  </w:t>
      </w:r>
    </w:p>
    <w:p w14:paraId="4646CA89" w14:textId="77777777" w:rsidR="00D8365A" w:rsidRPr="00362517" w:rsidRDefault="00D8365A" w:rsidP="00BF6BC7"/>
    <w:p w14:paraId="24D4C735" w14:textId="77777777" w:rsidR="00D8365A" w:rsidRPr="00362517" w:rsidRDefault="00D8365A" w:rsidP="00BF6BC7">
      <w:r w:rsidRPr="00362517">
        <w:t xml:space="preserve">Finally, we sum costs across jurisdictions to obtain national cost for the final regulatory requirement, the national baseline cost, and the national incremental cost.  These national-level costs are presented in Table 3.2-4.  The costs are presented as present value over a 10-year time period with costs starting in Year 3 with a 3% discount rate.  </w:t>
      </w:r>
    </w:p>
    <w:p w14:paraId="11EB0324" w14:textId="77777777" w:rsidR="00D8365A" w:rsidRPr="00362517" w:rsidRDefault="00D8365A" w:rsidP="00BF6BC7">
      <w:pPr>
        <w:ind w:left="720" w:hanging="720"/>
      </w:pPr>
    </w:p>
    <w:p w14:paraId="7FE4291B" w14:textId="77777777" w:rsidR="00D8365A" w:rsidRPr="00362517" w:rsidRDefault="00D8365A" w:rsidP="00BF6BC7">
      <w:pPr>
        <w:rPr>
          <w:b/>
        </w:rPr>
      </w:pPr>
      <w:r w:rsidRPr="00362517">
        <w:rPr>
          <w:b/>
        </w:rPr>
        <w:t>Table 3.2-4: Annualized Present Value of National-Level Costs of Commercial Aerial Applicator Certification</w:t>
      </w:r>
      <w:r w:rsidRPr="00362517">
        <w:rPr>
          <w:b/>
          <w:vertAlign w:val="superscript"/>
        </w:rPr>
        <w:t>1</w:t>
      </w:r>
    </w:p>
    <w:tbl>
      <w:tblPr>
        <w:tblStyle w:val="TableGridTotal"/>
        <w:tblW w:w="9018" w:type="dxa"/>
        <w:tblLook w:val="01E0" w:firstRow="1" w:lastRow="1" w:firstColumn="1" w:lastColumn="1" w:noHBand="0" w:noVBand="0"/>
      </w:tblPr>
      <w:tblGrid>
        <w:gridCol w:w="2533"/>
        <w:gridCol w:w="1985"/>
        <w:gridCol w:w="2160"/>
        <w:gridCol w:w="2340"/>
      </w:tblGrid>
      <w:tr w:rsidR="00D8365A" w:rsidRPr="00362517" w14:paraId="051F39ED" w14:textId="77777777" w:rsidTr="007A216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2533" w:type="dxa"/>
            <w:vMerge w:val="restart"/>
            <w:tcBorders>
              <w:top w:val="single" w:sz="4" w:space="0" w:color="auto"/>
              <w:left w:val="single" w:sz="4" w:space="0" w:color="auto"/>
              <w:right w:val="single" w:sz="4" w:space="0" w:color="auto"/>
            </w:tcBorders>
            <w:noWrap/>
            <w:vAlign w:val="bottom"/>
            <w:hideMark/>
          </w:tcPr>
          <w:p w14:paraId="6F09F761" w14:textId="77777777" w:rsidR="00D8365A" w:rsidRPr="00362517" w:rsidRDefault="00D8365A" w:rsidP="00BF6BC7">
            <w:pPr>
              <w:keepLines w:val="0"/>
              <w:widowControl w:val="0"/>
              <w:spacing w:line="264" w:lineRule="auto"/>
              <w:rPr>
                <w:b w:val="0"/>
                <w:bCs/>
                <w:sz w:val="20"/>
                <w:szCs w:val="20"/>
              </w:rPr>
            </w:pPr>
            <w:r w:rsidRPr="00362517">
              <w:rPr>
                <w:b w:val="0"/>
                <w:bCs/>
                <w:sz w:val="20"/>
                <w:szCs w:val="20"/>
              </w:rPr>
              <w:t>Region</w:t>
            </w:r>
          </w:p>
        </w:tc>
        <w:tc>
          <w:tcPr>
            <w:tcW w:w="1985" w:type="dxa"/>
            <w:tcBorders>
              <w:top w:val="single" w:sz="4" w:space="0" w:color="auto"/>
              <w:left w:val="single" w:sz="4" w:space="0" w:color="auto"/>
              <w:bottom w:val="single" w:sz="2" w:space="0" w:color="auto"/>
              <w:right w:val="single" w:sz="4" w:space="0" w:color="auto"/>
            </w:tcBorders>
            <w:vAlign w:val="bottom"/>
            <w:hideMark/>
          </w:tcPr>
          <w:p w14:paraId="6C6426C4" w14:textId="77777777" w:rsidR="00D8365A" w:rsidRPr="00362517" w:rsidRDefault="00D8365A" w:rsidP="00BF6BC7">
            <w:pPr>
              <w:keepLines w:val="0"/>
              <w:widowControl w:val="0"/>
              <w:spacing w:line="264" w:lineRule="auto"/>
              <w:cnfStyle w:val="100000000000" w:firstRow="1" w:lastRow="0" w:firstColumn="0" w:lastColumn="0" w:oddVBand="0" w:evenVBand="0" w:oddHBand="0" w:evenHBand="0" w:firstRowFirstColumn="0" w:firstRowLastColumn="0" w:lastRowFirstColumn="0" w:lastRowLastColumn="0"/>
              <w:rPr>
                <w:b w:val="0"/>
                <w:bCs/>
                <w:sz w:val="20"/>
                <w:szCs w:val="20"/>
              </w:rPr>
            </w:pPr>
            <w:r w:rsidRPr="00362517">
              <w:rPr>
                <w:b w:val="0"/>
                <w:bCs/>
                <w:sz w:val="20"/>
                <w:szCs w:val="20"/>
              </w:rPr>
              <w:t>National-level Cost of Final Requirement PV(NC</w:t>
            </w:r>
            <w:r w:rsidRPr="00362517">
              <w:rPr>
                <w:b w:val="0"/>
                <w:bCs/>
                <w:sz w:val="20"/>
                <w:szCs w:val="20"/>
                <w:vertAlign w:val="superscript"/>
              </w:rPr>
              <w:t>P</w:t>
            </w:r>
            <w:r w:rsidRPr="00362517">
              <w:rPr>
                <w:b w:val="0"/>
                <w:bCs/>
                <w:sz w:val="20"/>
                <w:szCs w:val="20"/>
              </w:rPr>
              <w:t>)</w:t>
            </w:r>
          </w:p>
        </w:tc>
        <w:tc>
          <w:tcPr>
            <w:tcW w:w="2160" w:type="dxa"/>
            <w:tcBorders>
              <w:top w:val="single" w:sz="4" w:space="0" w:color="auto"/>
              <w:left w:val="single" w:sz="4" w:space="0" w:color="auto"/>
              <w:bottom w:val="single" w:sz="2" w:space="0" w:color="auto"/>
              <w:right w:val="single" w:sz="8" w:space="0" w:color="auto"/>
            </w:tcBorders>
            <w:vAlign w:val="bottom"/>
            <w:hideMark/>
          </w:tcPr>
          <w:p w14:paraId="59302802" w14:textId="77777777" w:rsidR="00D8365A" w:rsidRPr="00362517" w:rsidRDefault="00D8365A" w:rsidP="00BF6BC7">
            <w:pPr>
              <w:keepLines w:val="0"/>
              <w:widowControl w:val="0"/>
              <w:spacing w:line="264" w:lineRule="auto"/>
              <w:cnfStyle w:val="100000000000" w:firstRow="1" w:lastRow="0" w:firstColumn="0" w:lastColumn="0" w:oddVBand="0" w:evenVBand="0" w:oddHBand="0" w:evenHBand="0" w:firstRowFirstColumn="0" w:firstRowLastColumn="0" w:lastRowFirstColumn="0" w:lastRowLastColumn="0"/>
              <w:rPr>
                <w:b w:val="0"/>
                <w:bCs/>
                <w:sz w:val="20"/>
                <w:szCs w:val="20"/>
              </w:rPr>
            </w:pPr>
            <w:r w:rsidRPr="00362517">
              <w:rPr>
                <w:b w:val="0"/>
                <w:bCs/>
                <w:sz w:val="20"/>
                <w:szCs w:val="20"/>
              </w:rPr>
              <w:t>National-level Cost of Baseline PV(NC</w:t>
            </w:r>
            <w:r w:rsidRPr="00362517">
              <w:rPr>
                <w:b w:val="0"/>
                <w:bCs/>
                <w:sz w:val="20"/>
                <w:szCs w:val="20"/>
                <w:vertAlign w:val="superscript"/>
              </w:rPr>
              <w:t>B</w:t>
            </w:r>
            <w:r w:rsidRPr="00362517">
              <w:rPr>
                <w:b w:val="0"/>
                <w:bCs/>
                <w:sz w:val="20"/>
                <w:szCs w:val="20"/>
              </w:rPr>
              <w:t>)</w:t>
            </w:r>
          </w:p>
        </w:tc>
        <w:tc>
          <w:tcPr>
            <w:tcW w:w="2340" w:type="dxa"/>
            <w:tcBorders>
              <w:top w:val="single" w:sz="4" w:space="0" w:color="auto"/>
              <w:left w:val="single" w:sz="4" w:space="0" w:color="auto"/>
              <w:bottom w:val="single" w:sz="2" w:space="0" w:color="auto"/>
              <w:right w:val="single" w:sz="4" w:space="0" w:color="auto"/>
            </w:tcBorders>
            <w:vAlign w:val="bottom"/>
            <w:hideMark/>
          </w:tcPr>
          <w:p w14:paraId="277BC9D7" w14:textId="77777777" w:rsidR="00D8365A" w:rsidRPr="00362517" w:rsidRDefault="00D8365A" w:rsidP="00BF6BC7">
            <w:pPr>
              <w:keepLines w:val="0"/>
              <w:widowControl w:val="0"/>
              <w:spacing w:line="264" w:lineRule="auto"/>
              <w:cnfStyle w:val="100000000000" w:firstRow="1" w:lastRow="0" w:firstColumn="0" w:lastColumn="0" w:oddVBand="0" w:evenVBand="0" w:oddHBand="0" w:evenHBand="0" w:firstRowFirstColumn="0" w:firstRowLastColumn="0" w:lastRowFirstColumn="0" w:lastRowLastColumn="0"/>
              <w:rPr>
                <w:b w:val="0"/>
                <w:bCs/>
                <w:sz w:val="20"/>
                <w:szCs w:val="20"/>
              </w:rPr>
            </w:pPr>
            <w:r w:rsidRPr="00362517">
              <w:rPr>
                <w:b w:val="0"/>
                <w:bCs/>
                <w:sz w:val="20"/>
                <w:szCs w:val="20"/>
              </w:rPr>
              <w:t>National-level Incremental Cost</w:t>
            </w:r>
          </w:p>
          <w:p w14:paraId="52FB1346" w14:textId="77777777" w:rsidR="00D8365A" w:rsidRPr="00362517" w:rsidRDefault="00D8365A" w:rsidP="00BF6BC7">
            <w:pPr>
              <w:keepLines w:val="0"/>
              <w:widowControl w:val="0"/>
              <w:spacing w:line="264" w:lineRule="auto"/>
              <w:cnfStyle w:val="100000000000" w:firstRow="1" w:lastRow="0" w:firstColumn="0" w:lastColumn="0" w:oddVBand="0" w:evenVBand="0" w:oddHBand="0" w:evenHBand="0" w:firstRowFirstColumn="0" w:firstRowLastColumn="0" w:lastRowFirstColumn="0" w:lastRowLastColumn="0"/>
              <w:rPr>
                <w:b w:val="0"/>
                <w:bCs/>
                <w:sz w:val="20"/>
                <w:szCs w:val="20"/>
              </w:rPr>
            </w:pPr>
            <w:r w:rsidRPr="00362517">
              <w:rPr>
                <w:b w:val="0"/>
                <w:bCs/>
                <w:sz w:val="20"/>
                <w:szCs w:val="20"/>
              </w:rPr>
              <w:t>PV(NIC)</w:t>
            </w:r>
          </w:p>
        </w:tc>
      </w:tr>
      <w:tr w:rsidR="00D8365A" w:rsidRPr="00362517" w14:paraId="28042F30" w14:textId="77777777" w:rsidTr="007A2164">
        <w:trPr>
          <w:trHeight w:val="142"/>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double" w:sz="4" w:space="0" w:color="auto"/>
              <w:right w:val="single" w:sz="4" w:space="0" w:color="auto"/>
            </w:tcBorders>
            <w:hideMark/>
          </w:tcPr>
          <w:p w14:paraId="19FDF63E" w14:textId="77777777" w:rsidR="00D8365A" w:rsidRPr="00362517" w:rsidRDefault="00D8365A" w:rsidP="00BF6BC7">
            <w:pPr>
              <w:rPr>
                <w:bCs/>
                <w:sz w:val="20"/>
                <w:szCs w:val="20"/>
              </w:rPr>
            </w:pPr>
          </w:p>
        </w:tc>
        <w:tc>
          <w:tcPr>
            <w:tcW w:w="6485" w:type="dxa"/>
            <w:gridSpan w:val="3"/>
            <w:tcBorders>
              <w:top w:val="single" w:sz="2" w:space="0" w:color="auto"/>
              <w:left w:val="single" w:sz="8" w:space="0" w:color="auto"/>
              <w:bottom w:val="double" w:sz="4" w:space="0" w:color="auto"/>
              <w:right w:val="single" w:sz="4" w:space="0" w:color="auto"/>
            </w:tcBorders>
            <w:hideMark/>
          </w:tcPr>
          <w:p w14:paraId="3EDC6464" w14:textId="77777777" w:rsidR="00D8365A" w:rsidRPr="00362517" w:rsidRDefault="00D8365A" w:rsidP="00BF6BC7">
            <w:pPr>
              <w:keepLines w:val="0"/>
              <w:widowControl w:val="0"/>
              <w:spacing w:line="264"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362517">
              <w:rPr>
                <w:sz w:val="20"/>
                <w:szCs w:val="20"/>
              </w:rPr>
              <w:t>($1,000)</w:t>
            </w:r>
            <w:r w:rsidRPr="00362517">
              <w:rPr>
                <w:bCs/>
                <w:sz w:val="20"/>
                <w:szCs w:val="20"/>
              </w:rPr>
              <w:t>$1,000$1,000</w:t>
            </w:r>
          </w:p>
        </w:tc>
      </w:tr>
      <w:tr w:rsidR="00D8365A" w:rsidRPr="00362517" w14:paraId="7F2EF56A" w14:textId="77777777" w:rsidTr="007A2164">
        <w:trPr>
          <w:trHeight w:val="269"/>
        </w:trPr>
        <w:tc>
          <w:tcPr>
            <w:cnfStyle w:val="001000000000" w:firstRow="0" w:lastRow="0" w:firstColumn="1" w:lastColumn="0" w:oddVBand="0" w:evenVBand="0" w:oddHBand="0" w:evenHBand="0" w:firstRowFirstColumn="0" w:firstRowLastColumn="0" w:lastRowFirstColumn="0" w:lastRowLastColumn="0"/>
            <w:tcW w:w="2533" w:type="dxa"/>
            <w:tcBorders>
              <w:top w:val="double" w:sz="4" w:space="0" w:color="auto"/>
              <w:left w:val="single" w:sz="4" w:space="0" w:color="auto"/>
              <w:bottom w:val="single" w:sz="4" w:space="0" w:color="auto"/>
              <w:right w:val="single" w:sz="4" w:space="0" w:color="auto"/>
            </w:tcBorders>
            <w:vAlign w:val="center"/>
            <w:hideMark/>
          </w:tcPr>
          <w:p w14:paraId="43931CA1" w14:textId="77777777" w:rsidR="00D8365A" w:rsidRPr="00362517" w:rsidRDefault="00D8365A" w:rsidP="00BF6BC7">
            <w:pPr>
              <w:keepLines w:val="0"/>
              <w:widowControl w:val="0"/>
              <w:rPr>
                <w:sz w:val="20"/>
                <w:szCs w:val="20"/>
              </w:rPr>
            </w:pPr>
            <w:r w:rsidRPr="00362517">
              <w:rPr>
                <w:sz w:val="20"/>
                <w:szCs w:val="20"/>
              </w:rPr>
              <w:t>U.S. (present value)</w:t>
            </w:r>
          </w:p>
        </w:tc>
        <w:tc>
          <w:tcPr>
            <w:tcW w:w="1985" w:type="dxa"/>
            <w:tcBorders>
              <w:top w:val="double" w:sz="4" w:space="0" w:color="auto"/>
              <w:left w:val="single" w:sz="4" w:space="0" w:color="auto"/>
              <w:bottom w:val="single" w:sz="4" w:space="0" w:color="auto"/>
              <w:right w:val="single" w:sz="4" w:space="0" w:color="auto"/>
            </w:tcBorders>
            <w:vAlign w:val="center"/>
            <w:hideMark/>
          </w:tcPr>
          <w:p w14:paraId="7DBE1E4E" w14:textId="77777777" w:rsidR="00D8365A" w:rsidRPr="00362517" w:rsidRDefault="00D8365A" w:rsidP="00BF6BC7">
            <w:pPr>
              <w:keepLines w:val="0"/>
              <w:jc w:val="center"/>
              <w:cnfStyle w:val="000000000000" w:firstRow="0" w:lastRow="0" w:firstColumn="0" w:lastColumn="0" w:oddVBand="0" w:evenVBand="0" w:oddHBand="0" w:evenHBand="0" w:firstRowFirstColumn="0" w:firstRowLastColumn="0" w:lastRowFirstColumn="0" w:lastRowLastColumn="0"/>
              <w:rPr>
                <w:sz w:val="20"/>
                <w:szCs w:val="20"/>
              </w:rPr>
            </w:pPr>
            <w:r w:rsidRPr="00362517">
              <w:rPr>
                <w:sz w:val="20"/>
                <w:szCs w:val="20"/>
              </w:rPr>
              <w:t>7,521</w:t>
            </w:r>
          </w:p>
        </w:tc>
        <w:tc>
          <w:tcPr>
            <w:tcW w:w="2160" w:type="dxa"/>
            <w:tcBorders>
              <w:top w:val="double" w:sz="4" w:space="0" w:color="auto"/>
              <w:left w:val="single" w:sz="4" w:space="0" w:color="auto"/>
              <w:bottom w:val="single" w:sz="4" w:space="0" w:color="auto"/>
              <w:right w:val="single" w:sz="8" w:space="0" w:color="auto"/>
            </w:tcBorders>
            <w:vAlign w:val="center"/>
            <w:hideMark/>
          </w:tcPr>
          <w:p w14:paraId="019DA408" w14:textId="77777777" w:rsidR="00D8365A" w:rsidRPr="00362517" w:rsidRDefault="00D8365A" w:rsidP="00BF6BC7">
            <w:pPr>
              <w:keepLines w:val="0"/>
              <w:jc w:val="center"/>
              <w:cnfStyle w:val="000000000000" w:firstRow="0" w:lastRow="0" w:firstColumn="0" w:lastColumn="0" w:oddVBand="0" w:evenVBand="0" w:oddHBand="0" w:evenHBand="0" w:firstRowFirstColumn="0" w:firstRowLastColumn="0" w:lastRowFirstColumn="0" w:lastRowLastColumn="0"/>
              <w:rPr>
                <w:sz w:val="20"/>
                <w:szCs w:val="20"/>
              </w:rPr>
            </w:pPr>
            <w:r w:rsidRPr="00362517">
              <w:rPr>
                <w:sz w:val="20"/>
                <w:szCs w:val="20"/>
              </w:rPr>
              <w:t>4,144</w:t>
            </w:r>
          </w:p>
        </w:tc>
        <w:tc>
          <w:tcPr>
            <w:tcW w:w="2340" w:type="dxa"/>
            <w:tcBorders>
              <w:top w:val="double" w:sz="4" w:space="0" w:color="auto"/>
              <w:left w:val="single" w:sz="4" w:space="0" w:color="auto"/>
              <w:bottom w:val="single" w:sz="4" w:space="0" w:color="auto"/>
              <w:right w:val="single" w:sz="4" w:space="0" w:color="auto"/>
            </w:tcBorders>
            <w:vAlign w:val="center"/>
            <w:hideMark/>
          </w:tcPr>
          <w:p w14:paraId="17AA669B" w14:textId="77777777" w:rsidR="00D8365A" w:rsidRPr="00362517" w:rsidRDefault="00D8365A" w:rsidP="00BF6BC7">
            <w:pPr>
              <w:keepLines w:val="0"/>
              <w:jc w:val="center"/>
              <w:cnfStyle w:val="000000000000" w:firstRow="0" w:lastRow="0" w:firstColumn="0" w:lastColumn="0" w:oddVBand="0" w:evenVBand="0" w:oddHBand="0" w:evenHBand="0" w:firstRowFirstColumn="0" w:firstRowLastColumn="0" w:lastRowFirstColumn="0" w:lastRowLastColumn="0"/>
              <w:rPr>
                <w:sz w:val="20"/>
                <w:szCs w:val="20"/>
              </w:rPr>
            </w:pPr>
            <w:r w:rsidRPr="00362517">
              <w:rPr>
                <w:sz w:val="20"/>
                <w:szCs w:val="20"/>
              </w:rPr>
              <w:t>3,377</w:t>
            </w:r>
          </w:p>
        </w:tc>
      </w:tr>
      <w:tr w:rsidR="00D8365A" w:rsidRPr="00362517" w14:paraId="7CD00E7B" w14:textId="77777777" w:rsidTr="007A2164">
        <w:trPr>
          <w:cnfStyle w:val="010000000000" w:firstRow="0" w:lastRow="1"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533" w:type="dxa"/>
            <w:tcBorders>
              <w:top w:val="single" w:sz="4" w:space="0" w:color="auto"/>
              <w:left w:val="single" w:sz="4" w:space="0" w:color="auto"/>
              <w:bottom w:val="single" w:sz="4" w:space="0" w:color="auto"/>
              <w:right w:val="single" w:sz="4" w:space="0" w:color="auto"/>
            </w:tcBorders>
            <w:vAlign w:val="center"/>
            <w:hideMark/>
          </w:tcPr>
          <w:p w14:paraId="4789D62F" w14:textId="77777777" w:rsidR="00D8365A" w:rsidRPr="00362517" w:rsidRDefault="00D8365A" w:rsidP="00BF6BC7">
            <w:pPr>
              <w:keepLines w:val="0"/>
              <w:widowControl w:val="0"/>
              <w:rPr>
                <w:b w:val="0"/>
                <w:sz w:val="20"/>
                <w:szCs w:val="20"/>
              </w:rPr>
            </w:pPr>
            <w:r w:rsidRPr="00362517">
              <w:rPr>
                <w:b w:val="0"/>
                <w:sz w:val="20"/>
                <w:szCs w:val="20"/>
              </w:rPr>
              <w:t>U.S. (annualized value)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DEAB640" w14:textId="77777777" w:rsidR="00D8365A" w:rsidRPr="00362517" w:rsidRDefault="00D8365A" w:rsidP="00BF6BC7">
            <w:pPr>
              <w:keepLines w:val="0"/>
              <w:jc w:val="center"/>
              <w:cnfStyle w:val="010000000000" w:firstRow="0" w:lastRow="1" w:firstColumn="0" w:lastColumn="0" w:oddVBand="0" w:evenVBand="0" w:oddHBand="0" w:evenHBand="0" w:firstRowFirstColumn="0" w:firstRowLastColumn="0" w:lastRowFirstColumn="0" w:lastRowLastColumn="0"/>
              <w:rPr>
                <w:b w:val="0"/>
                <w:sz w:val="20"/>
                <w:szCs w:val="20"/>
              </w:rPr>
            </w:pPr>
            <w:r w:rsidRPr="00362517">
              <w:rPr>
                <w:b w:val="0"/>
                <w:sz w:val="20"/>
                <w:szCs w:val="20"/>
              </w:rPr>
              <w:t>856</w:t>
            </w:r>
          </w:p>
        </w:tc>
        <w:tc>
          <w:tcPr>
            <w:tcW w:w="2160" w:type="dxa"/>
            <w:tcBorders>
              <w:top w:val="single" w:sz="4" w:space="0" w:color="auto"/>
              <w:left w:val="single" w:sz="4" w:space="0" w:color="auto"/>
              <w:bottom w:val="single" w:sz="4" w:space="0" w:color="auto"/>
              <w:right w:val="single" w:sz="8" w:space="0" w:color="auto"/>
            </w:tcBorders>
            <w:vAlign w:val="center"/>
            <w:hideMark/>
          </w:tcPr>
          <w:p w14:paraId="005E5B51" w14:textId="77777777" w:rsidR="00D8365A" w:rsidRPr="00362517" w:rsidRDefault="00D8365A" w:rsidP="00BF6BC7">
            <w:pPr>
              <w:keepLines w:val="0"/>
              <w:jc w:val="center"/>
              <w:cnfStyle w:val="010000000000" w:firstRow="0" w:lastRow="1" w:firstColumn="0" w:lastColumn="0" w:oddVBand="0" w:evenVBand="0" w:oddHBand="0" w:evenHBand="0" w:firstRowFirstColumn="0" w:firstRowLastColumn="0" w:lastRowFirstColumn="0" w:lastRowLastColumn="0"/>
              <w:rPr>
                <w:b w:val="0"/>
                <w:sz w:val="20"/>
                <w:szCs w:val="20"/>
              </w:rPr>
            </w:pPr>
            <w:r w:rsidRPr="00362517">
              <w:rPr>
                <w:b w:val="0"/>
                <w:sz w:val="20"/>
                <w:szCs w:val="20"/>
              </w:rPr>
              <w:t>472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EE1F064" w14:textId="77777777" w:rsidR="00D8365A" w:rsidRPr="00362517" w:rsidRDefault="00D8365A" w:rsidP="00BF6BC7">
            <w:pPr>
              <w:keepLines w:val="0"/>
              <w:jc w:val="center"/>
              <w:cnfStyle w:val="010000000000" w:firstRow="0" w:lastRow="1" w:firstColumn="0" w:lastColumn="0" w:oddVBand="0" w:evenVBand="0" w:oddHBand="0" w:evenHBand="0" w:firstRowFirstColumn="0" w:firstRowLastColumn="0" w:lastRowFirstColumn="0" w:lastRowLastColumn="0"/>
              <w:rPr>
                <w:b w:val="0"/>
                <w:sz w:val="20"/>
                <w:szCs w:val="20"/>
              </w:rPr>
            </w:pPr>
            <w:r w:rsidRPr="00362517">
              <w:rPr>
                <w:b w:val="0"/>
                <w:sz w:val="20"/>
                <w:szCs w:val="20"/>
              </w:rPr>
              <w:t>384</w:t>
            </w:r>
          </w:p>
        </w:tc>
      </w:tr>
    </w:tbl>
    <w:p w14:paraId="54C89153" w14:textId="77777777" w:rsidR="00D8365A" w:rsidRPr="00362517" w:rsidRDefault="00D8365A" w:rsidP="00BF6BC7">
      <w:pPr>
        <w:ind w:left="720" w:hanging="720"/>
        <w:rPr>
          <w:sz w:val="22"/>
          <w:szCs w:val="22"/>
        </w:rPr>
      </w:pPr>
      <w:r w:rsidRPr="00362517">
        <w:rPr>
          <w:sz w:val="22"/>
          <w:szCs w:val="22"/>
          <w:vertAlign w:val="superscript"/>
        </w:rPr>
        <w:t>1</w:t>
      </w:r>
      <w:r w:rsidRPr="00362517">
        <w:rPr>
          <w:sz w:val="22"/>
          <w:szCs w:val="22"/>
        </w:rPr>
        <w:t>Discount rate of 3% over 10 years.</w:t>
      </w:r>
    </w:p>
    <w:p w14:paraId="2D7BF4BF" w14:textId="77777777" w:rsidR="00D8365A" w:rsidRPr="00362517" w:rsidRDefault="00D8365A" w:rsidP="00BF6BC7"/>
    <w:p w14:paraId="076903D4" w14:textId="77777777" w:rsidR="00D8365A" w:rsidRPr="00362517" w:rsidRDefault="00D8365A" w:rsidP="00BF6BC7">
      <w:pPr>
        <w:rPr>
          <w:b/>
        </w:rPr>
      </w:pPr>
    </w:p>
    <w:p w14:paraId="62C49795" w14:textId="77777777" w:rsidR="00D8365A" w:rsidRPr="00362517" w:rsidRDefault="00D8365A" w:rsidP="00BF6BC7">
      <w:pPr>
        <w:pStyle w:val="Heading2"/>
        <w:rPr>
          <w:b w:val="0"/>
        </w:rPr>
      </w:pPr>
      <w:bookmarkStart w:id="129" w:name="_Toc283126888"/>
      <w:bookmarkStart w:id="130" w:name="_Toc310953804"/>
      <w:bookmarkStart w:id="131" w:name="_Toc395177709"/>
      <w:bookmarkStart w:id="132" w:name="_Toc395788101"/>
      <w:bookmarkStart w:id="133" w:name="_Toc396483157"/>
      <w:bookmarkStart w:id="134" w:name="_Toc452020138"/>
      <w:bookmarkStart w:id="135" w:name="_Toc456270161"/>
      <w:bookmarkStart w:id="136" w:name="_Toc468872077"/>
      <w:r w:rsidRPr="00362517">
        <w:t>3.3</w:t>
      </w:r>
      <w:r w:rsidRPr="00362517">
        <w:tab/>
        <w:t>Cost Analysis Data</w:t>
      </w:r>
      <w:bookmarkEnd w:id="129"/>
      <w:bookmarkEnd w:id="130"/>
      <w:bookmarkEnd w:id="131"/>
      <w:bookmarkEnd w:id="132"/>
      <w:bookmarkEnd w:id="133"/>
      <w:bookmarkEnd w:id="134"/>
      <w:bookmarkEnd w:id="135"/>
      <w:bookmarkEnd w:id="136"/>
    </w:p>
    <w:p w14:paraId="2AF8187B" w14:textId="77777777" w:rsidR="00D8365A" w:rsidRPr="00362517" w:rsidRDefault="00D8365A" w:rsidP="00BF6BC7"/>
    <w:p w14:paraId="0ACFE900" w14:textId="77777777" w:rsidR="00D8365A" w:rsidRPr="00362517" w:rsidRDefault="00D8365A" w:rsidP="00BF6BC7">
      <w:r w:rsidRPr="00362517">
        <w:t>In this section, we present the major data elements required for the analysis.  Data elements include the number of certified applicators by jurisdiction and age cohort, the number of applicators who will be likely to obtain certification in the new federal categories, the number of noncertified applicators working under the direct supervision of a certified applicator by jurisdiction and age, and wage rates for the various actors.</w:t>
      </w:r>
    </w:p>
    <w:p w14:paraId="652A4EF5" w14:textId="77777777" w:rsidR="00D8365A" w:rsidRPr="00362517" w:rsidRDefault="00D8365A" w:rsidP="00BF6BC7">
      <w:pPr>
        <w:pStyle w:val="BodyText"/>
      </w:pPr>
    </w:p>
    <w:p w14:paraId="2324026B" w14:textId="77777777" w:rsidR="00D8365A" w:rsidRPr="00362517" w:rsidRDefault="00D8365A" w:rsidP="00BF6BC7">
      <w:pPr>
        <w:pStyle w:val="Heading3"/>
      </w:pPr>
      <w:bookmarkStart w:id="137" w:name="_Toc395788102"/>
      <w:bookmarkStart w:id="138" w:name="_Toc396483158"/>
      <w:bookmarkStart w:id="139" w:name="_Toc452020139"/>
      <w:bookmarkStart w:id="140" w:name="_Toc456270162"/>
      <w:bookmarkStart w:id="141" w:name="_Toc468872078"/>
      <w:r w:rsidRPr="00362517">
        <w:t>3.3.1</w:t>
      </w:r>
      <w:r w:rsidRPr="00362517">
        <w:tab/>
        <w:t>Commercial applicators</w:t>
      </w:r>
      <w:bookmarkEnd w:id="137"/>
      <w:bookmarkEnd w:id="138"/>
      <w:bookmarkEnd w:id="139"/>
      <w:bookmarkEnd w:id="140"/>
      <w:bookmarkEnd w:id="141"/>
    </w:p>
    <w:p w14:paraId="377D8E8D" w14:textId="77777777" w:rsidR="00D8365A" w:rsidRPr="00362517" w:rsidRDefault="00D8365A" w:rsidP="00BF6BC7">
      <w:pPr>
        <w:pStyle w:val="BodyText"/>
      </w:pPr>
    </w:p>
    <w:p w14:paraId="66D27C3B" w14:textId="77777777" w:rsidR="00D8365A" w:rsidRPr="00362517" w:rsidRDefault="00D8365A" w:rsidP="00BF6BC7">
      <w:r w:rsidRPr="00362517">
        <w:t xml:space="preserve">States and other certifying authorities (e.g., Puerto Rico, the District of Columbia, Federal Agencies, other territories and several tribes) report the number of certifications issued and maintained to the Certification Plan and Reporting Database (CPARD).  </w:t>
      </w:r>
      <w:bookmarkStart w:id="142" w:name="OLE_LINK2"/>
      <w:r w:rsidRPr="00362517">
        <w:t>EPA used data reported from 2008 to 2014 to determine the number of certified applicators that will be affected by changes to the certification programs</w:t>
      </w:r>
      <w:bookmarkEnd w:id="142"/>
      <w:r w:rsidRPr="00362517">
        <w:t xml:space="preserve"> (CPARD, 2015).  Because some jurisdictions require all pesticide applicators to be certified, even those not applying RUPs, and reports those totals to CPARD, EPA is likely overestimating the number of applicators that are impacted by changes in the federal requirements.  The number of applicators in the ‘Other Jurisdictions’ group is subject to some uncertainty as not all federal agencies report to the number of certifications issued to CPARD.  However, some applicators with federal agencies obtain certifications in the states where they work so they may be counted more than once.</w:t>
      </w:r>
    </w:p>
    <w:p w14:paraId="33F4C870" w14:textId="77777777" w:rsidR="00D8365A" w:rsidRPr="00362517" w:rsidRDefault="00D8365A" w:rsidP="00BF6BC7">
      <w:pPr>
        <w:pStyle w:val="BodyText"/>
      </w:pPr>
    </w:p>
    <w:p w14:paraId="50BA44D5" w14:textId="77777777" w:rsidR="00D8365A" w:rsidRPr="00362517" w:rsidRDefault="00D8365A" w:rsidP="00BF6BC7">
      <w:r w:rsidRPr="00362517">
        <w:t>Table 3.3-1 presents the number of commercial applicators used in the analysis, including first-time applicators (those obtaining an initial certification), existing applicators (those who will recertify), and the average number of category certifications held by existing applicators.  Commercial applicators must be certified in a core set of requirements and obtain at least one category certification, based on area of specialization, such as plant agriculture, forestry, and turf.  Over time, many commercial applicators become certified in multiple categories.  Any changes in recertification requirements will affect all the category certifications an applicator holds.  Some jurisdictions have created additional categories and this may lead to overestimating the impacts of changes in the federal requirements.  As shown in Table 3.3-1, the average number of category certifications per applicator ranges from nearly one in Alabama and Tennessee to a high of 3.6 certifications per applicator in Wyoming.  Data are not consistent for many non-state jurisdictions and appear to indicate more applicators than category certifications.  EPA uses a simple average over the 2009 to 2014 period to estimate the number of commercial applicators impacted by the rule.  Data from 2008 were not used as several states did not begin fully reporting until 2009 and, in the case of Wyoming, until 2010.</w:t>
      </w:r>
    </w:p>
    <w:p w14:paraId="14EF788C" w14:textId="77777777" w:rsidR="00D8365A" w:rsidRPr="00362517" w:rsidRDefault="00D8365A" w:rsidP="00BF6BC7">
      <w:pPr>
        <w:pStyle w:val="BodyText"/>
      </w:pPr>
    </w:p>
    <w:p w14:paraId="41F04C2E" w14:textId="77777777" w:rsidR="00D8365A" w:rsidRPr="00362517" w:rsidRDefault="00D8365A" w:rsidP="00BF6BC7">
      <w:r w:rsidRPr="00362517">
        <w:t>With the limited series of data available, trends are difficult to determine.  We regressed the logarithm of the total number of commercial applicators in the U.S. against a time trend for the 2008 to 2014 period, for seven observations.  For first-time applicators, the coefficient on time implies a two percent annual rate of growth, but the estimate is not statistically significant.  For existing applicators, the coefficient on time estimates slightly less than a two percent annual growth rate and the estimate was statistically significant.  We decided to use the simple average for both groups, implying no growth, due to the limited number of observations and some problems with the data.  Several states did not begin reporting to CPARD until 2009 and others initially reported only certifications issued, not the number of applicators.</w:t>
      </w:r>
    </w:p>
    <w:p w14:paraId="3AA758D4" w14:textId="77777777" w:rsidR="00D8365A" w:rsidRPr="00362517" w:rsidRDefault="00D8365A" w:rsidP="00BF6BC7">
      <w:pPr>
        <w:pStyle w:val="BodyText"/>
      </w:pPr>
    </w:p>
    <w:p w14:paraId="410787DF" w14:textId="77777777" w:rsidR="00D8365A" w:rsidRPr="00362517" w:rsidRDefault="00D8365A" w:rsidP="00BF6BC7">
      <w:pPr>
        <w:pStyle w:val="Caption"/>
      </w:pPr>
      <w:bookmarkStart w:id="143" w:name="_Ref281491418"/>
      <w:r w:rsidRPr="00362517">
        <w:t>Table 3.3</w:t>
      </w:r>
      <w:bookmarkEnd w:id="143"/>
      <w:r w:rsidRPr="00362517">
        <w:t>-1.  Commercial Applicators, by Jurisdiction</w:t>
      </w:r>
    </w:p>
    <w:tbl>
      <w:tblPr>
        <w:tblW w:w="5000" w:type="pct"/>
        <w:tblLayout w:type="fixed"/>
        <w:tblLook w:val="04A0" w:firstRow="1" w:lastRow="0" w:firstColumn="1" w:lastColumn="0" w:noHBand="0" w:noVBand="1"/>
      </w:tblPr>
      <w:tblGrid>
        <w:gridCol w:w="2869"/>
        <w:gridCol w:w="2072"/>
        <w:gridCol w:w="1890"/>
        <w:gridCol w:w="2509"/>
      </w:tblGrid>
      <w:tr w:rsidR="00D8365A" w:rsidRPr="00362517" w14:paraId="38212C77" w14:textId="77777777" w:rsidTr="007A2164">
        <w:trPr>
          <w:trHeight w:val="270"/>
        </w:trPr>
        <w:tc>
          <w:tcPr>
            <w:tcW w:w="1536" w:type="pct"/>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58F43B18" w14:textId="77777777" w:rsidR="00D8365A" w:rsidRPr="00362517" w:rsidRDefault="00D8365A" w:rsidP="00BF6BC7">
            <w:pPr>
              <w:rPr>
                <w:lang w:eastAsia="ko-KR"/>
              </w:rPr>
            </w:pPr>
            <w:r w:rsidRPr="00362517">
              <w:rPr>
                <w:lang w:eastAsia="ko-KR"/>
              </w:rPr>
              <w:t>Jurisdiction</w:t>
            </w:r>
          </w:p>
        </w:tc>
        <w:tc>
          <w:tcPr>
            <w:tcW w:w="1109" w:type="pct"/>
            <w:tcBorders>
              <w:top w:val="single" w:sz="8" w:space="0" w:color="auto"/>
              <w:left w:val="nil"/>
              <w:bottom w:val="double" w:sz="6" w:space="0" w:color="auto"/>
              <w:right w:val="single" w:sz="4" w:space="0" w:color="auto"/>
            </w:tcBorders>
            <w:shd w:val="clear" w:color="auto" w:fill="auto"/>
            <w:noWrap/>
            <w:hideMark/>
          </w:tcPr>
          <w:p w14:paraId="2C8BF3B1" w14:textId="77777777" w:rsidR="00D8365A" w:rsidRPr="00362517" w:rsidRDefault="00D8365A" w:rsidP="00BF6BC7">
            <w:pPr>
              <w:jc w:val="center"/>
              <w:rPr>
                <w:lang w:eastAsia="ko-KR"/>
              </w:rPr>
            </w:pPr>
            <w:r w:rsidRPr="00362517">
              <w:rPr>
                <w:lang w:eastAsia="ko-KR"/>
              </w:rPr>
              <w:t>First-Time Applicators</w:t>
            </w:r>
          </w:p>
        </w:tc>
        <w:tc>
          <w:tcPr>
            <w:tcW w:w="1012" w:type="pct"/>
            <w:tcBorders>
              <w:top w:val="single" w:sz="8" w:space="0" w:color="auto"/>
              <w:left w:val="nil"/>
              <w:bottom w:val="double" w:sz="6" w:space="0" w:color="auto"/>
              <w:right w:val="single" w:sz="4" w:space="0" w:color="auto"/>
            </w:tcBorders>
            <w:shd w:val="clear" w:color="auto" w:fill="auto"/>
            <w:noWrap/>
            <w:hideMark/>
          </w:tcPr>
          <w:p w14:paraId="10109D54" w14:textId="77777777" w:rsidR="00D8365A" w:rsidRPr="00362517" w:rsidRDefault="00D8365A" w:rsidP="00BF6BC7">
            <w:pPr>
              <w:jc w:val="center"/>
              <w:rPr>
                <w:lang w:eastAsia="ko-KR"/>
              </w:rPr>
            </w:pPr>
            <w:r w:rsidRPr="00362517">
              <w:rPr>
                <w:lang w:eastAsia="ko-KR"/>
              </w:rPr>
              <w:t>Existing Applicators</w:t>
            </w:r>
          </w:p>
        </w:tc>
        <w:tc>
          <w:tcPr>
            <w:tcW w:w="1343" w:type="pct"/>
            <w:tcBorders>
              <w:top w:val="single" w:sz="8" w:space="0" w:color="auto"/>
              <w:left w:val="nil"/>
              <w:bottom w:val="double" w:sz="6" w:space="0" w:color="auto"/>
              <w:right w:val="single" w:sz="8" w:space="0" w:color="auto"/>
            </w:tcBorders>
            <w:shd w:val="clear" w:color="auto" w:fill="auto"/>
            <w:noWrap/>
            <w:hideMark/>
          </w:tcPr>
          <w:p w14:paraId="687052B1" w14:textId="77777777" w:rsidR="00D8365A" w:rsidRPr="00362517" w:rsidRDefault="00D8365A" w:rsidP="00BF6BC7">
            <w:pPr>
              <w:jc w:val="center"/>
              <w:rPr>
                <w:lang w:eastAsia="ko-KR"/>
              </w:rPr>
            </w:pPr>
            <w:r w:rsidRPr="00362517">
              <w:rPr>
                <w:lang w:eastAsia="ko-KR"/>
              </w:rPr>
              <w:t>Average Categories/Applicator</w:t>
            </w:r>
          </w:p>
        </w:tc>
      </w:tr>
      <w:tr w:rsidR="00D8365A" w:rsidRPr="00362517" w14:paraId="3BDC826F" w14:textId="77777777" w:rsidTr="007A2164">
        <w:trPr>
          <w:trHeight w:val="270"/>
        </w:trPr>
        <w:tc>
          <w:tcPr>
            <w:tcW w:w="1536" w:type="pct"/>
            <w:tcBorders>
              <w:top w:val="nil"/>
              <w:left w:val="single" w:sz="8" w:space="0" w:color="auto"/>
              <w:bottom w:val="single" w:sz="4" w:space="0" w:color="auto"/>
              <w:right w:val="single" w:sz="4" w:space="0" w:color="auto"/>
            </w:tcBorders>
            <w:shd w:val="clear" w:color="auto" w:fill="auto"/>
            <w:hideMark/>
          </w:tcPr>
          <w:p w14:paraId="6BB394BD" w14:textId="77777777" w:rsidR="00D8365A" w:rsidRPr="00362517" w:rsidRDefault="00D8365A" w:rsidP="00BF6BC7">
            <w:pPr>
              <w:rPr>
                <w:lang w:eastAsia="ko-KR"/>
              </w:rPr>
            </w:pPr>
            <w:r w:rsidRPr="00362517">
              <w:rPr>
                <w:lang w:eastAsia="ko-KR"/>
              </w:rPr>
              <w:t>Alabama</w:t>
            </w:r>
          </w:p>
        </w:tc>
        <w:tc>
          <w:tcPr>
            <w:tcW w:w="1109" w:type="pct"/>
            <w:tcBorders>
              <w:top w:val="nil"/>
              <w:left w:val="nil"/>
              <w:bottom w:val="single" w:sz="4" w:space="0" w:color="auto"/>
              <w:right w:val="single" w:sz="4" w:space="0" w:color="auto"/>
            </w:tcBorders>
            <w:shd w:val="clear" w:color="auto" w:fill="auto"/>
            <w:noWrap/>
            <w:hideMark/>
          </w:tcPr>
          <w:p w14:paraId="635E09C0" w14:textId="77777777" w:rsidR="00D8365A" w:rsidRPr="00362517" w:rsidRDefault="00D8365A" w:rsidP="00BF6BC7">
            <w:pPr>
              <w:tabs>
                <w:tab w:val="decimal" w:pos="1203"/>
              </w:tabs>
            </w:pPr>
            <w:r w:rsidRPr="00362517">
              <w:t>361</w:t>
            </w:r>
          </w:p>
        </w:tc>
        <w:tc>
          <w:tcPr>
            <w:tcW w:w="1012" w:type="pct"/>
            <w:tcBorders>
              <w:top w:val="nil"/>
              <w:left w:val="nil"/>
              <w:bottom w:val="single" w:sz="4" w:space="0" w:color="auto"/>
              <w:right w:val="single" w:sz="4" w:space="0" w:color="auto"/>
            </w:tcBorders>
            <w:shd w:val="clear" w:color="auto" w:fill="auto"/>
            <w:noWrap/>
            <w:hideMark/>
          </w:tcPr>
          <w:p w14:paraId="29A8E497" w14:textId="77777777" w:rsidR="00D8365A" w:rsidRPr="00362517" w:rsidRDefault="00D8365A" w:rsidP="00BF6BC7">
            <w:pPr>
              <w:tabs>
                <w:tab w:val="decimal" w:pos="1144"/>
              </w:tabs>
            </w:pPr>
            <w:r w:rsidRPr="00362517">
              <w:t>3,743</w:t>
            </w:r>
          </w:p>
        </w:tc>
        <w:tc>
          <w:tcPr>
            <w:tcW w:w="1343" w:type="pct"/>
            <w:tcBorders>
              <w:top w:val="nil"/>
              <w:left w:val="nil"/>
              <w:bottom w:val="single" w:sz="4" w:space="0" w:color="auto"/>
              <w:right w:val="single" w:sz="8" w:space="0" w:color="auto"/>
            </w:tcBorders>
            <w:shd w:val="clear" w:color="auto" w:fill="auto"/>
            <w:noWrap/>
            <w:hideMark/>
          </w:tcPr>
          <w:p w14:paraId="4F564687" w14:textId="77777777" w:rsidR="00D8365A" w:rsidRPr="00362517" w:rsidRDefault="00D8365A" w:rsidP="00BF6BC7">
            <w:pPr>
              <w:tabs>
                <w:tab w:val="decimal" w:pos="1098"/>
              </w:tabs>
            </w:pPr>
            <w:r w:rsidRPr="00362517">
              <w:t>1.0</w:t>
            </w:r>
          </w:p>
        </w:tc>
      </w:tr>
      <w:tr w:rsidR="00D8365A" w:rsidRPr="00362517" w14:paraId="5DD586CB" w14:textId="77777777" w:rsidTr="007A2164">
        <w:trPr>
          <w:trHeight w:val="255"/>
        </w:trPr>
        <w:tc>
          <w:tcPr>
            <w:tcW w:w="1536" w:type="pct"/>
            <w:tcBorders>
              <w:top w:val="single" w:sz="4" w:space="0" w:color="auto"/>
              <w:left w:val="single" w:sz="8" w:space="0" w:color="auto"/>
              <w:bottom w:val="single" w:sz="4" w:space="0" w:color="auto"/>
              <w:right w:val="single" w:sz="4" w:space="0" w:color="auto"/>
            </w:tcBorders>
            <w:shd w:val="clear" w:color="auto" w:fill="auto"/>
            <w:hideMark/>
          </w:tcPr>
          <w:p w14:paraId="1584AA8D" w14:textId="77777777" w:rsidR="00D8365A" w:rsidRPr="00362517" w:rsidRDefault="00D8365A" w:rsidP="00BF6BC7">
            <w:pPr>
              <w:rPr>
                <w:lang w:eastAsia="ko-KR"/>
              </w:rPr>
            </w:pPr>
            <w:r w:rsidRPr="00362517">
              <w:rPr>
                <w:lang w:eastAsia="ko-KR"/>
              </w:rPr>
              <w:t>Alaska</w:t>
            </w:r>
          </w:p>
        </w:tc>
        <w:tc>
          <w:tcPr>
            <w:tcW w:w="1109" w:type="pct"/>
            <w:tcBorders>
              <w:top w:val="nil"/>
              <w:left w:val="single" w:sz="4" w:space="0" w:color="auto"/>
              <w:bottom w:val="single" w:sz="4" w:space="0" w:color="auto"/>
              <w:right w:val="single" w:sz="4" w:space="0" w:color="auto"/>
            </w:tcBorders>
            <w:shd w:val="clear" w:color="auto" w:fill="auto"/>
            <w:noWrap/>
            <w:hideMark/>
          </w:tcPr>
          <w:p w14:paraId="1D8FAEFA" w14:textId="77777777" w:rsidR="00D8365A" w:rsidRPr="00362517" w:rsidRDefault="00D8365A" w:rsidP="00BF6BC7">
            <w:pPr>
              <w:tabs>
                <w:tab w:val="decimal" w:pos="1203"/>
              </w:tabs>
            </w:pPr>
            <w:r w:rsidRPr="00362517">
              <w:t>75</w:t>
            </w:r>
          </w:p>
        </w:tc>
        <w:tc>
          <w:tcPr>
            <w:tcW w:w="1012" w:type="pct"/>
            <w:tcBorders>
              <w:top w:val="nil"/>
              <w:left w:val="nil"/>
              <w:bottom w:val="single" w:sz="4" w:space="0" w:color="auto"/>
              <w:right w:val="single" w:sz="4" w:space="0" w:color="auto"/>
            </w:tcBorders>
            <w:shd w:val="clear" w:color="auto" w:fill="auto"/>
            <w:noWrap/>
            <w:hideMark/>
          </w:tcPr>
          <w:p w14:paraId="2C3878CD" w14:textId="77777777" w:rsidR="00D8365A" w:rsidRPr="00362517" w:rsidRDefault="00D8365A" w:rsidP="00BF6BC7">
            <w:pPr>
              <w:tabs>
                <w:tab w:val="decimal" w:pos="1144"/>
              </w:tabs>
            </w:pPr>
            <w:r w:rsidRPr="00362517">
              <w:t>435</w:t>
            </w:r>
          </w:p>
        </w:tc>
        <w:tc>
          <w:tcPr>
            <w:tcW w:w="1343" w:type="pct"/>
            <w:tcBorders>
              <w:top w:val="single" w:sz="4" w:space="0" w:color="auto"/>
              <w:left w:val="single" w:sz="4" w:space="0" w:color="auto"/>
              <w:bottom w:val="single" w:sz="4" w:space="0" w:color="auto"/>
              <w:right w:val="single" w:sz="8" w:space="0" w:color="auto"/>
            </w:tcBorders>
            <w:shd w:val="clear" w:color="auto" w:fill="auto"/>
            <w:noWrap/>
            <w:hideMark/>
          </w:tcPr>
          <w:p w14:paraId="0D7F0AFF" w14:textId="77777777" w:rsidR="00D8365A" w:rsidRPr="00362517" w:rsidRDefault="00D8365A" w:rsidP="00BF6BC7">
            <w:pPr>
              <w:tabs>
                <w:tab w:val="decimal" w:pos="1098"/>
              </w:tabs>
            </w:pPr>
            <w:r w:rsidRPr="00362517">
              <w:t>1.5</w:t>
            </w:r>
          </w:p>
        </w:tc>
      </w:tr>
      <w:tr w:rsidR="00D8365A" w:rsidRPr="00362517" w14:paraId="134D6980"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63A0EF63" w14:textId="77777777" w:rsidR="00D8365A" w:rsidRPr="00362517" w:rsidRDefault="00D8365A" w:rsidP="00BF6BC7">
            <w:pPr>
              <w:rPr>
                <w:lang w:eastAsia="ko-KR"/>
              </w:rPr>
            </w:pPr>
            <w:r w:rsidRPr="00362517">
              <w:rPr>
                <w:lang w:eastAsia="ko-KR"/>
              </w:rPr>
              <w:t>Arizona</w:t>
            </w:r>
          </w:p>
        </w:tc>
        <w:tc>
          <w:tcPr>
            <w:tcW w:w="1109" w:type="pct"/>
            <w:tcBorders>
              <w:top w:val="nil"/>
              <w:left w:val="single" w:sz="4" w:space="0" w:color="auto"/>
              <w:bottom w:val="single" w:sz="4" w:space="0" w:color="auto"/>
              <w:right w:val="single" w:sz="4" w:space="0" w:color="auto"/>
            </w:tcBorders>
            <w:shd w:val="clear" w:color="auto" w:fill="auto"/>
            <w:noWrap/>
            <w:hideMark/>
          </w:tcPr>
          <w:p w14:paraId="300C9A68" w14:textId="77777777" w:rsidR="00D8365A" w:rsidRPr="00362517" w:rsidRDefault="00D8365A" w:rsidP="00BF6BC7">
            <w:pPr>
              <w:tabs>
                <w:tab w:val="decimal" w:pos="1203"/>
              </w:tabs>
            </w:pPr>
            <w:r w:rsidRPr="00362517">
              <w:t>879</w:t>
            </w:r>
          </w:p>
        </w:tc>
        <w:tc>
          <w:tcPr>
            <w:tcW w:w="1012" w:type="pct"/>
            <w:tcBorders>
              <w:top w:val="nil"/>
              <w:left w:val="nil"/>
              <w:bottom w:val="single" w:sz="4" w:space="0" w:color="auto"/>
              <w:right w:val="single" w:sz="4" w:space="0" w:color="auto"/>
            </w:tcBorders>
            <w:shd w:val="clear" w:color="auto" w:fill="auto"/>
            <w:noWrap/>
            <w:hideMark/>
          </w:tcPr>
          <w:p w14:paraId="6E8C61C5" w14:textId="77777777" w:rsidR="00D8365A" w:rsidRPr="00362517" w:rsidRDefault="00D8365A" w:rsidP="00BF6BC7">
            <w:pPr>
              <w:tabs>
                <w:tab w:val="decimal" w:pos="1144"/>
              </w:tabs>
            </w:pPr>
            <w:r w:rsidRPr="00362517">
              <w:t>6,652</w:t>
            </w:r>
          </w:p>
        </w:tc>
        <w:tc>
          <w:tcPr>
            <w:tcW w:w="1343" w:type="pct"/>
            <w:tcBorders>
              <w:top w:val="nil"/>
              <w:left w:val="single" w:sz="4" w:space="0" w:color="auto"/>
              <w:bottom w:val="single" w:sz="4" w:space="0" w:color="auto"/>
              <w:right w:val="single" w:sz="8" w:space="0" w:color="auto"/>
            </w:tcBorders>
            <w:shd w:val="clear" w:color="auto" w:fill="auto"/>
            <w:noWrap/>
            <w:hideMark/>
          </w:tcPr>
          <w:p w14:paraId="1A8FA22D" w14:textId="77777777" w:rsidR="00D8365A" w:rsidRPr="00362517" w:rsidRDefault="00D8365A" w:rsidP="00BF6BC7">
            <w:pPr>
              <w:tabs>
                <w:tab w:val="decimal" w:pos="1098"/>
              </w:tabs>
            </w:pPr>
            <w:r w:rsidRPr="00362517">
              <w:t>2.2</w:t>
            </w:r>
          </w:p>
        </w:tc>
      </w:tr>
      <w:tr w:rsidR="00D8365A" w:rsidRPr="00362517" w14:paraId="1A339A4C"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1BD4FC1D" w14:textId="77777777" w:rsidR="00D8365A" w:rsidRPr="00362517" w:rsidRDefault="00D8365A" w:rsidP="00BF6BC7">
            <w:pPr>
              <w:rPr>
                <w:lang w:eastAsia="ko-KR"/>
              </w:rPr>
            </w:pPr>
            <w:r w:rsidRPr="00362517">
              <w:rPr>
                <w:lang w:eastAsia="ko-KR"/>
              </w:rPr>
              <w:t>Arkansas</w:t>
            </w:r>
          </w:p>
        </w:tc>
        <w:tc>
          <w:tcPr>
            <w:tcW w:w="1109" w:type="pct"/>
            <w:tcBorders>
              <w:top w:val="nil"/>
              <w:left w:val="single" w:sz="4" w:space="0" w:color="auto"/>
              <w:bottom w:val="single" w:sz="4" w:space="0" w:color="auto"/>
              <w:right w:val="single" w:sz="4" w:space="0" w:color="auto"/>
            </w:tcBorders>
            <w:shd w:val="clear" w:color="auto" w:fill="auto"/>
            <w:noWrap/>
            <w:hideMark/>
          </w:tcPr>
          <w:p w14:paraId="54D8A93E" w14:textId="77777777" w:rsidR="00D8365A" w:rsidRPr="00362517" w:rsidRDefault="00D8365A" w:rsidP="00BF6BC7">
            <w:pPr>
              <w:tabs>
                <w:tab w:val="decimal" w:pos="1203"/>
              </w:tabs>
            </w:pPr>
            <w:r w:rsidRPr="00362517">
              <w:t>448</w:t>
            </w:r>
          </w:p>
        </w:tc>
        <w:tc>
          <w:tcPr>
            <w:tcW w:w="1012" w:type="pct"/>
            <w:tcBorders>
              <w:top w:val="nil"/>
              <w:left w:val="nil"/>
              <w:bottom w:val="single" w:sz="4" w:space="0" w:color="auto"/>
              <w:right w:val="single" w:sz="4" w:space="0" w:color="auto"/>
            </w:tcBorders>
            <w:shd w:val="clear" w:color="auto" w:fill="auto"/>
            <w:noWrap/>
            <w:hideMark/>
          </w:tcPr>
          <w:p w14:paraId="16E19F05" w14:textId="77777777" w:rsidR="00D8365A" w:rsidRPr="00362517" w:rsidRDefault="00D8365A" w:rsidP="00BF6BC7">
            <w:pPr>
              <w:tabs>
                <w:tab w:val="decimal" w:pos="1144"/>
              </w:tabs>
            </w:pPr>
            <w:r w:rsidRPr="00362517">
              <w:t>3,716</w:t>
            </w:r>
          </w:p>
        </w:tc>
        <w:tc>
          <w:tcPr>
            <w:tcW w:w="1343" w:type="pct"/>
            <w:tcBorders>
              <w:top w:val="nil"/>
              <w:left w:val="single" w:sz="4" w:space="0" w:color="auto"/>
              <w:bottom w:val="single" w:sz="4" w:space="0" w:color="auto"/>
              <w:right w:val="single" w:sz="8" w:space="0" w:color="auto"/>
            </w:tcBorders>
            <w:shd w:val="clear" w:color="auto" w:fill="auto"/>
            <w:noWrap/>
            <w:hideMark/>
          </w:tcPr>
          <w:p w14:paraId="689E4114" w14:textId="77777777" w:rsidR="00D8365A" w:rsidRPr="00362517" w:rsidRDefault="00D8365A" w:rsidP="00BF6BC7">
            <w:pPr>
              <w:tabs>
                <w:tab w:val="decimal" w:pos="1098"/>
              </w:tabs>
            </w:pPr>
            <w:r w:rsidRPr="00362517">
              <w:t>1.4</w:t>
            </w:r>
          </w:p>
        </w:tc>
      </w:tr>
      <w:tr w:rsidR="00D8365A" w:rsidRPr="00362517" w14:paraId="24065BD0"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48B31D04" w14:textId="77777777" w:rsidR="00D8365A" w:rsidRPr="00362517" w:rsidRDefault="00D8365A" w:rsidP="00BF6BC7">
            <w:pPr>
              <w:rPr>
                <w:lang w:eastAsia="ko-KR"/>
              </w:rPr>
            </w:pPr>
            <w:r w:rsidRPr="00362517">
              <w:rPr>
                <w:lang w:eastAsia="ko-KR"/>
              </w:rPr>
              <w:t>California</w:t>
            </w:r>
          </w:p>
        </w:tc>
        <w:tc>
          <w:tcPr>
            <w:tcW w:w="1109" w:type="pct"/>
            <w:tcBorders>
              <w:top w:val="nil"/>
              <w:left w:val="single" w:sz="4" w:space="0" w:color="auto"/>
              <w:bottom w:val="single" w:sz="4" w:space="0" w:color="auto"/>
              <w:right w:val="single" w:sz="4" w:space="0" w:color="auto"/>
            </w:tcBorders>
            <w:shd w:val="clear" w:color="auto" w:fill="auto"/>
            <w:noWrap/>
            <w:hideMark/>
          </w:tcPr>
          <w:p w14:paraId="1A6D0044" w14:textId="77777777" w:rsidR="00D8365A" w:rsidRPr="00362517" w:rsidRDefault="00D8365A" w:rsidP="00BF6BC7">
            <w:pPr>
              <w:tabs>
                <w:tab w:val="decimal" w:pos="1203"/>
              </w:tabs>
            </w:pPr>
            <w:r w:rsidRPr="00362517">
              <w:t>3,624</w:t>
            </w:r>
          </w:p>
        </w:tc>
        <w:tc>
          <w:tcPr>
            <w:tcW w:w="1012" w:type="pct"/>
            <w:tcBorders>
              <w:top w:val="nil"/>
              <w:left w:val="nil"/>
              <w:bottom w:val="single" w:sz="4" w:space="0" w:color="auto"/>
              <w:right w:val="single" w:sz="4" w:space="0" w:color="auto"/>
            </w:tcBorders>
            <w:shd w:val="clear" w:color="auto" w:fill="auto"/>
            <w:noWrap/>
            <w:hideMark/>
          </w:tcPr>
          <w:p w14:paraId="62AFF410" w14:textId="77777777" w:rsidR="00D8365A" w:rsidRPr="00362517" w:rsidRDefault="00D8365A" w:rsidP="00BF6BC7">
            <w:pPr>
              <w:tabs>
                <w:tab w:val="decimal" w:pos="1144"/>
              </w:tabs>
            </w:pPr>
            <w:r w:rsidRPr="00362517">
              <w:t>33,106</w:t>
            </w:r>
          </w:p>
        </w:tc>
        <w:tc>
          <w:tcPr>
            <w:tcW w:w="1343" w:type="pct"/>
            <w:tcBorders>
              <w:top w:val="nil"/>
              <w:left w:val="single" w:sz="4" w:space="0" w:color="auto"/>
              <w:bottom w:val="single" w:sz="4" w:space="0" w:color="auto"/>
              <w:right w:val="single" w:sz="8" w:space="0" w:color="auto"/>
            </w:tcBorders>
            <w:shd w:val="clear" w:color="auto" w:fill="auto"/>
            <w:noWrap/>
            <w:hideMark/>
          </w:tcPr>
          <w:p w14:paraId="1332EEF8" w14:textId="77777777" w:rsidR="00D8365A" w:rsidRPr="00362517" w:rsidRDefault="00D8365A" w:rsidP="00BF6BC7">
            <w:pPr>
              <w:tabs>
                <w:tab w:val="decimal" w:pos="1098"/>
              </w:tabs>
            </w:pPr>
            <w:r w:rsidRPr="00362517">
              <w:t>1.5</w:t>
            </w:r>
          </w:p>
        </w:tc>
      </w:tr>
      <w:tr w:rsidR="00D8365A" w:rsidRPr="00362517" w14:paraId="57C34AE0"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22FD0B7D" w14:textId="77777777" w:rsidR="00D8365A" w:rsidRPr="00362517" w:rsidRDefault="00D8365A" w:rsidP="00BF6BC7">
            <w:pPr>
              <w:rPr>
                <w:lang w:eastAsia="ko-KR"/>
              </w:rPr>
            </w:pPr>
            <w:r w:rsidRPr="00362517">
              <w:rPr>
                <w:lang w:eastAsia="ko-KR"/>
              </w:rPr>
              <w:t>Colorado</w:t>
            </w:r>
          </w:p>
        </w:tc>
        <w:tc>
          <w:tcPr>
            <w:tcW w:w="1109" w:type="pct"/>
            <w:tcBorders>
              <w:top w:val="nil"/>
              <w:left w:val="single" w:sz="4" w:space="0" w:color="auto"/>
              <w:bottom w:val="single" w:sz="4" w:space="0" w:color="auto"/>
              <w:right w:val="single" w:sz="4" w:space="0" w:color="auto"/>
            </w:tcBorders>
            <w:shd w:val="clear" w:color="auto" w:fill="auto"/>
            <w:noWrap/>
            <w:hideMark/>
          </w:tcPr>
          <w:p w14:paraId="60AE747A" w14:textId="77777777" w:rsidR="00D8365A" w:rsidRPr="00362517" w:rsidRDefault="00D8365A" w:rsidP="00BF6BC7">
            <w:pPr>
              <w:tabs>
                <w:tab w:val="decimal" w:pos="1203"/>
              </w:tabs>
            </w:pPr>
            <w:r w:rsidRPr="00362517">
              <w:t>697</w:t>
            </w:r>
          </w:p>
        </w:tc>
        <w:tc>
          <w:tcPr>
            <w:tcW w:w="1012" w:type="pct"/>
            <w:tcBorders>
              <w:top w:val="nil"/>
              <w:left w:val="nil"/>
              <w:bottom w:val="single" w:sz="4" w:space="0" w:color="auto"/>
              <w:right w:val="single" w:sz="4" w:space="0" w:color="auto"/>
            </w:tcBorders>
            <w:shd w:val="clear" w:color="auto" w:fill="auto"/>
            <w:noWrap/>
            <w:hideMark/>
          </w:tcPr>
          <w:p w14:paraId="1FB763C2" w14:textId="77777777" w:rsidR="00D8365A" w:rsidRPr="00362517" w:rsidRDefault="00D8365A" w:rsidP="00BF6BC7">
            <w:pPr>
              <w:tabs>
                <w:tab w:val="decimal" w:pos="1144"/>
              </w:tabs>
            </w:pPr>
            <w:r w:rsidRPr="00362517">
              <w:t>3,346</w:t>
            </w:r>
          </w:p>
        </w:tc>
        <w:tc>
          <w:tcPr>
            <w:tcW w:w="1343" w:type="pct"/>
            <w:tcBorders>
              <w:top w:val="nil"/>
              <w:left w:val="single" w:sz="4" w:space="0" w:color="auto"/>
              <w:bottom w:val="single" w:sz="4" w:space="0" w:color="auto"/>
              <w:right w:val="single" w:sz="8" w:space="0" w:color="auto"/>
            </w:tcBorders>
            <w:shd w:val="clear" w:color="auto" w:fill="auto"/>
            <w:noWrap/>
            <w:hideMark/>
          </w:tcPr>
          <w:p w14:paraId="597AD17B" w14:textId="77777777" w:rsidR="00D8365A" w:rsidRPr="00362517" w:rsidRDefault="00D8365A" w:rsidP="00BF6BC7">
            <w:pPr>
              <w:tabs>
                <w:tab w:val="decimal" w:pos="1098"/>
              </w:tabs>
            </w:pPr>
            <w:r w:rsidRPr="00362517">
              <w:t>2.7</w:t>
            </w:r>
          </w:p>
        </w:tc>
      </w:tr>
      <w:tr w:rsidR="00D8365A" w:rsidRPr="00362517" w14:paraId="55DC3A2D"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7A1C627E" w14:textId="77777777" w:rsidR="00D8365A" w:rsidRPr="00362517" w:rsidRDefault="00D8365A" w:rsidP="00BF6BC7">
            <w:pPr>
              <w:rPr>
                <w:lang w:eastAsia="ko-KR"/>
              </w:rPr>
            </w:pPr>
            <w:r w:rsidRPr="00362517">
              <w:rPr>
                <w:lang w:eastAsia="ko-KR"/>
              </w:rPr>
              <w:t>Connecticut</w:t>
            </w:r>
          </w:p>
        </w:tc>
        <w:tc>
          <w:tcPr>
            <w:tcW w:w="1109" w:type="pct"/>
            <w:tcBorders>
              <w:top w:val="nil"/>
              <w:left w:val="single" w:sz="4" w:space="0" w:color="auto"/>
              <w:bottom w:val="single" w:sz="4" w:space="0" w:color="auto"/>
              <w:right w:val="single" w:sz="4" w:space="0" w:color="auto"/>
            </w:tcBorders>
            <w:shd w:val="clear" w:color="auto" w:fill="auto"/>
            <w:noWrap/>
            <w:hideMark/>
          </w:tcPr>
          <w:p w14:paraId="2DFB63ED" w14:textId="77777777" w:rsidR="00D8365A" w:rsidRPr="00362517" w:rsidRDefault="00D8365A" w:rsidP="00BF6BC7">
            <w:pPr>
              <w:tabs>
                <w:tab w:val="decimal" w:pos="1203"/>
              </w:tabs>
            </w:pPr>
            <w:r w:rsidRPr="00362517">
              <w:t>132</w:t>
            </w:r>
          </w:p>
        </w:tc>
        <w:tc>
          <w:tcPr>
            <w:tcW w:w="1012" w:type="pct"/>
            <w:tcBorders>
              <w:top w:val="nil"/>
              <w:left w:val="nil"/>
              <w:bottom w:val="single" w:sz="4" w:space="0" w:color="auto"/>
              <w:right w:val="single" w:sz="4" w:space="0" w:color="auto"/>
            </w:tcBorders>
            <w:shd w:val="clear" w:color="auto" w:fill="auto"/>
            <w:noWrap/>
            <w:hideMark/>
          </w:tcPr>
          <w:p w14:paraId="20354128" w14:textId="77777777" w:rsidR="00D8365A" w:rsidRPr="00362517" w:rsidRDefault="00D8365A" w:rsidP="00BF6BC7">
            <w:pPr>
              <w:tabs>
                <w:tab w:val="decimal" w:pos="1144"/>
              </w:tabs>
            </w:pPr>
            <w:r w:rsidRPr="00362517">
              <w:t>2,688</w:t>
            </w:r>
          </w:p>
        </w:tc>
        <w:tc>
          <w:tcPr>
            <w:tcW w:w="1343" w:type="pct"/>
            <w:tcBorders>
              <w:top w:val="nil"/>
              <w:left w:val="single" w:sz="4" w:space="0" w:color="auto"/>
              <w:bottom w:val="single" w:sz="4" w:space="0" w:color="auto"/>
              <w:right w:val="single" w:sz="8" w:space="0" w:color="auto"/>
            </w:tcBorders>
            <w:shd w:val="clear" w:color="auto" w:fill="auto"/>
            <w:noWrap/>
            <w:hideMark/>
          </w:tcPr>
          <w:p w14:paraId="36116F01" w14:textId="77777777" w:rsidR="00D8365A" w:rsidRPr="00362517" w:rsidRDefault="00D8365A" w:rsidP="00BF6BC7">
            <w:pPr>
              <w:tabs>
                <w:tab w:val="decimal" w:pos="1098"/>
              </w:tabs>
            </w:pPr>
            <w:r w:rsidRPr="00362517">
              <w:t>1.6</w:t>
            </w:r>
          </w:p>
        </w:tc>
      </w:tr>
      <w:tr w:rsidR="00D8365A" w:rsidRPr="00362517" w14:paraId="61A24B48"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7CB0AEC1" w14:textId="77777777" w:rsidR="00D8365A" w:rsidRPr="00362517" w:rsidRDefault="00D8365A" w:rsidP="00BF6BC7">
            <w:pPr>
              <w:rPr>
                <w:lang w:eastAsia="ko-KR"/>
              </w:rPr>
            </w:pPr>
            <w:r w:rsidRPr="00362517">
              <w:rPr>
                <w:lang w:eastAsia="ko-KR"/>
              </w:rPr>
              <w:t>Delaware</w:t>
            </w:r>
          </w:p>
        </w:tc>
        <w:tc>
          <w:tcPr>
            <w:tcW w:w="1109" w:type="pct"/>
            <w:tcBorders>
              <w:top w:val="nil"/>
              <w:left w:val="single" w:sz="4" w:space="0" w:color="auto"/>
              <w:bottom w:val="single" w:sz="4" w:space="0" w:color="auto"/>
              <w:right w:val="single" w:sz="4" w:space="0" w:color="auto"/>
            </w:tcBorders>
            <w:shd w:val="clear" w:color="auto" w:fill="auto"/>
            <w:noWrap/>
            <w:hideMark/>
          </w:tcPr>
          <w:p w14:paraId="212D1D39" w14:textId="77777777" w:rsidR="00D8365A" w:rsidRPr="00362517" w:rsidRDefault="00D8365A" w:rsidP="00BF6BC7">
            <w:pPr>
              <w:tabs>
                <w:tab w:val="decimal" w:pos="1203"/>
              </w:tabs>
            </w:pPr>
            <w:r w:rsidRPr="00362517">
              <w:t>163</w:t>
            </w:r>
          </w:p>
        </w:tc>
        <w:tc>
          <w:tcPr>
            <w:tcW w:w="1012" w:type="pct"/>
            <w:tcBorders>
              <w:top w:val="nil"/>
              <w:left w:val="nil"/>
              <w:bottom w:val="single" w:sz="4" w:space="0" w:color="auto"/>
              <w:right w:val="single" w:sz="4" w:space="0" w:color="auto"/>
            </w:tcBorders>
            <w:shd w:val="clear" w:color="auto" w:fill="auto"/>
            <w:noWrap/>
            <w:hideMark/>
          </w:tcPr>
          <w:p w14:paraId="5AC6D7F7" w14:textId="77777777" w:rsidR="00D8365A" w:rsidRPr="00362517" w:rsidRDefault="00D8365A" w:rsidP="00BF6BC7">
            <w:pPr>
              <w:tabs>
                <w:tab w:val="decimal" w:pos="1144"/>
              </w:tabs>
            </w:pPr>
            <w:r w:rsidRPr="00362517">
              <w:t>1,773</w:t>
            </w:r>
          </w:p>
        </w:tc>
        <w:tc>
          <w:tcPr>
            <w:tcW w:w="1343" w:type="pct"/>
            <w:tcBorders>
              <w:top w:val="nil"/>
              <w:left w:val="single" w:sz="4" w:space="0" w:color="auto"/>
              <w:bottom w:val="single" w:sz="4" w:space="0" w:color="auto"/>
              <w:right w:val="single" w:sz="8" w:space="0" w:color="auto"/>
            </w:tcBorders>
            <w:shd w:val="clear" w:color="auto" w:fill="auto"/>
            <w:noWrap/>
            <w:hideMark/>
          </w:tcPr>
          <w:p w14:paraId="19580AC8" w14:textId="77777777" w:rsidR="00D8365A" w:rsidRPr="00362517" w:rsidRDefault="00D8365A" w:rsidP="00BF6BC7">
            <w:pPr>
              <w:tabs>
                <w:tab w:val="decimal" w:pos="1098"/>
              </w:tabs>
            </w:pPr>
            <w:r w:rsidRPr="00362517">
              <w:t>1.7</w:t>
            </w:r>
          </w:p>
        </w:tc>
      </w:tr>
      <w:tr w:rsidR="00D8365A" w:rsidRPr="00362517" w14:paraId="6FED5409"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2A2F04F0" w14:textId="77777777" w:rsidR="00D8365A" w:rsidRPr="00362517" w:rsidRDefault="00D8365A" w:rsidP="00BF6BC7">
            <w:pPr>
              <w:rPr>
                <w:lang w:eastAsia="ko-KR"/>
              </w:rPr>
            </w:pPr>
            <w:r w:rsidRPr="00362517">
              <w:rPr>
                <w:lang w:eastAsia="ko-KR"/>
              </w:rPr>
              <w:t>Florida</w:t>
            </w:r>
          </w:p>
        </w:tc>
        <w:tc>
          <w:tcPr>
            <w:tcW w:w="1109" w:type="pct"/>
            <w:tcBorders>
              <w:top w:val="nil"/>
              <w:left w:val="single" w:sz="4" w:space="0" w:color="auto"/>
              <w:bottom w:val="single" w:sz="4" w:space="0" w:color="auto"/>
              <w:right w:val="single" w:sz="4" w:space="0" w:color="auto"/>
            </w:tcBorders>
            <w:shd w:val="clear" w:color="auto" w:fill="auto"/>
            <w:noWrap/>
            <w:hideMark/>
          </w:tcPr>
          <w:p w14:paraId="68DD47B9" w14:textId="77777777" w:rsidR="00D8365A" w:rsidRPr="00362517" w:rsidRDefault="00D8365A" w:rsidP="00BF6BC7">
            <w:pPr>
              <w:tabs>
                <w:tab w:val="decimal" w:pos="1203"/>
              </w:tabs>
            </w:pPr>
            <w:r w:rsidRPr="00362517">
              <w:t>1,817</w:t>
            </w:r>
          </w:p>
        </w:tc>
        <w:tc>
          <w:tcPr>
            <w:tcW w:w="1012" w:type="pct"/>
            <w:tcBorders>
              <w:top w:val="nil"/>
              <w:left w:val="nil"/>
              <w:bottom w:val="single" w:sz="4" w:space="0" w:color="auto"/>
              <w:right w:val="single" w:sz="4" w:space="0" w:color="auto"/>
            </w:tcBorders>
            <w:shd w:val="clear" w:color="auto" w:fill="auto"/>
            <w:noWrap/>
            <w:hideMark/>
          </w:tcPr>
          <w:p w14:paraId="0C156A90" w14:textId="77777777" w:rsidR="00D8365A" w:rsidRPr="00362517" w:rsidRDefault="00D8365A" w:rsidP="00BF6BC7">
            <w:pPr>
              <w:tabs>
                <w:tab w:val="decimal" w:pos="1144"/>
              </w:tabs>
            </w:pPr>
            <w:r w:rsidRPr="00362517">
              <w:t>14,512</w:t>
            </w:r>
          </w:p>
        </w:tc>
        <w:tc>
          <w:tcPr>
            <w:tcW w:w="1343" w:type="pct"/>
            <w:tcBorders>
              <w:top w:val="nil"/>
              <w:left w:val="single" w:sz="4" w:space="0" w:color="auto"/>
              <w:bottom w:val="single" w:sz="4" w:space="0" w:color="auto"/>
              <w:right w:val="single" w:sz="8" w:space="0" w:color="auto"/>
            </w:tcBorders>
            <w:shd w:val="clear" w:color="auto" w:fill="auto"/>
            <w:noWrap/>
            <w:hideMark/>
          </w:tcPr>
          <w:p w14:paraId="2CA5CE6F" w14:textId="77777777" w:rsidR="00D8365A" w:rsidRPr="00362517" w:rsidRDefault="00D8365A" w:rsidP="00BF6BC7">
            <w:pPr>
              <w:tabs>
                <w:tab w:val="decimal" w:pos="1098"/>
              </w:tabs>
            </w:pPr>
            <w:r w:rsidRPr="00362517">
              <w:t>3.0</w:t>
            </w:r>
          </w:p>
        </w:tc>
      </w:tr>
      <w:tr w:rsidR="00D8365A" w:rsidRPr="00362517" w14:paraId="4A8320CB"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7EBDC3B1" w14:textId="77777777" w:rsidR="00D8365A" w:rsidRPr="00362517" w:rsidRDefault="00D8365A" w:rsidP="00BF6BC7">
            <w:pPr>
              <w:rPr>
                <w:lang w:eastAsia="ko-KR"/>
              </w:rPr>
            </w:pPr>
            <w:r w:rsidRPr="00362517">
              <w:rPr>
                <w:lang w:eastAsia="ko-KR"/>
              </w:rPr>
              <w:t>Georgia</w:t>
            </w:r>
          </w:p>
        </w:tc>
        <w:tc>
          <w:tcPr>
            <w:tcW w:w="1109" w:type="pct"/>
            <w:tcBorders>
              <w:top w:val="nil"/>
              <w:left w:val="single" w:sz="4" w:space="0" w:color="auto"/>
              <w:bottom w:val="single" w:sz="4" w:space="0" w:color="auto"/>
              <w:right w:val="single" w:sz="4" w:space="0" w:color="auto"/>
            </w:tcBorders>
            <w:shd w:val="clear" w:color="auto" w:fill="auto"/>
            <w:noWrap/>
            <w:hideMark/>
          </w:tcPr>
          <w:p w14:paraId="51096931" w14:textId="77777777" w:rsidR="00D8365A" w:rsidRPr="00362517" w:rsidRDefault="00D8365A" w:rsidP="00BF6BC7">
            <w:pPr>
              <w:tabs>
                <w:tab w:val="decimal" w:pos="1203"/>
              </w:tabs>
            </w:pPr>
            <w:r w:rsidRPr="00362517">
              <w:t>1,510</w:t>
            </w:r>
          </w:p>
        </w:tc>
        <w:tc>
          <w:tcPr>
            <w:tcW w:w="1012" w:type="pct"/>
            <w:tcBorders>
              <w:top w:val="nil"/>
              <w:left w:val="nil"/>
              <w:bottom w:val="single" w:sz="4" w:space="0" w:color="auto"/>
              <w:right w:val="single" w:sz="4" w:space="0" w:color="auto"/>
            </w:tcBorders>
            <w:shd w:val="clear" w:color="auto" w:fill="auto"/>
            <w:noWrap/>
            <w:hideMark/>
          </w:tcPr>
          <w:p w14:paraId="71155B6F" w14:textId="77777777" w:rsidR="00D8365A" w:rsidRPr="00362517" w:rsidRDefault="00D8365A" w:rsidP="00BF6BC7">
            <w:pPr>
              <w:tabs>
                <w:tab w:val="decimal" w:pos="1144"/>
              </w:tabs>
            </w:pPr>
            <w:r w:rsidRPr="00362517">
              <w:t>9,563</w:t>
            </w:r>
          </w:p>
        </w:tc>
        <w:tc>
          <w:tcPr>
            <w:tcW w:w="1343" w:type="pct"/>
            <w:tcBorders>
              <w:top w:val="nil"/>
              <w:left w:val="single" w:sz="4" w:space="0" w:color="auto"/>
              <w:bottom w:val="single" w:sz="4" w:space="0" w:color="auto"/>
              <w:right w:val="single" w:sz="8" w:space="0" w:color="auto"/>
            </w:tcBorders>
            <w:shd w:val="clear" w:color="auto" w:fill="auto"/>
            <w:noWrap/>
            <w:hideMark/>
          </w:tcPr>
          <w:p w14:paraId="5B619AF9" w14:textId="77777777" w:rsidR="00D8365A" w:rsidRPr="00362517" w:rsidRDefault="00D8365A" w:rsidP="00BF6BC7">
            <w:pPr>
              <w:tabs>
                <w:tab w:val="decimal" w:pos="1098"/>
              </w:tabs>
            </w:pPr>
            <w:r w:rsidRPr="00362517">
              <w:t>1.4</w:t>
            </w:r>
          </w:p>
        </w:tc>
      </w:tr>
      <w:tr w:rsidR="00D8365A" w:rsidRPr="00362517" w14:paraId="2124A5C1"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238DD986" w14:textId="77777777" w:rsidR="00D8365A" w:rsidRPr="00362517" w:rsidRDefault="00D8365A" w:rsidP="00BF6BC7">
            <w:pPr>
              <w:rPr>
                <w:lang w:eastAsia="ko-KR"/>
              </w:rPr>
            </w:pPr>
            <w:r w:rsidRPr="00362517">
              <w:rPr>
                <w:lang w:eastAsia="ko-KR"/>
              </w:rPr>
              <w:t>Hawaii</w:t>
            </w:r>
          </w:p>
        </w:tc>
        <w:tc>
          <w:tcPr>
            <w:tcW w:w="1109" w:type="pct"/>
            <w:tcBorders>
              <w:top w:val="nil"/>
              <w:left w:val="single" w:sz="4" w:space="0" w:color="auto"/>
              <w:bottom w:val="single" w:sz="4" w:space="0" w:color="auto"/>
              <w:right w:val="single" w:sz="4" w:space="0" w:color="auto"/>
            </w:tcBorders>
            <w:shd w:val="clear" w:color="auto" w:fill="auto"/>
            <w:noWrap/>
            <w:hideMark/>
          </w:tcPr>
          <w:p w14:paraId="13DEB1FD" w14:textId="77777777" w:rsidR="00D8365A" w:rsidRPr="00362517" w:rsidRDefault="00D8365A" w:rsidP="00BF6BC7">
            <w:pPr>
              <w:tabs>
                <w:tab w:val="decimal" w:pos="1203"/>
              </w:tabs>
            </w:pPr>
            <w:r w:rsidRPr="00362517">
              <w:t>114</w:t>
            </w:r>
          </w:p>
        </w:tc>
        <w:tc>
          <w:tcPr>
            <w:tcW w:w="1012" w:type="pct"/>
            <w:tcBorders>
              <w:top w:val="nil"/>
              <w:left w:val="nil"/>
              <w:bottom w:val="single" w:sz="4" w:space="0" w:color="auto"/>
              <w:right w:val="single" w:sz="4" w:space="0" w:color="auto"/>
            </w:tcBorders>
            <w:shd w:val="clear" w:color="auto" w:fill="auto"/>
            <w:noWrap/>
            <w:hideMark/>
          </w:tcPr>
          <w:p w14:paraId="615EF540" w14:textId="77777777" w:rsidR="00D8365A" w:rsidRPr="00362517" w:rsidRDefault="00D8365A" w:rsidP="00BF6BC7">
            <w:pPr>
              <w:tabs>
                <w:tab w:val="decimal" w:pos="1144"/>
              </w:tabs>
            </w:pPr>
            <w:r w:rsidRPr="00362517">
              <w:t>1,089</w:t>
            </w:r>
          </w:p>
        </w:tc>
        <w:tc>
          <w:tcPr>
            <w:tcW w:w="1343" w:type="pct"/>
            <w:tcBorders>
              <w:top w:val="nil"/>
              <w:left w:val="single" w:sz="4" w:space="0" w:color="auto"/>
              <w:bottom w:val="single" w:sz="4" w:space="0" w:color="auto"/>
              <w:right w:val="single" w:sz="8" w:space="0" w:color="auto"/>
            </w:tcBorders>
            <w:shd w:val="clear" w:color="auto" w:fill="auto"/>
            <w:noWrap/>
            <w:hideMark/>
          </w:tcPr>
          <w:p w14:paraId="12F376E3" w14:textId="77777777" w:rsidR="00D8365A" w:rsidRPr="00362517" w:rsidRDefault="00D8365A" w:rsidP="00BF6BC7">
            <w:pPr>
              <w:tabs>
                <w:tab w:val="decimal" w:pos="1098"/>
              </w:tabs>
            </w:pPr>
            <w:r w:rsidRPr="00362517">
              <w:t>1.3</w:t>
            </w:r>
          </w:p>
        </w:tc>
      </w:tr>
      <w:tr w:rsidR="00D8365A" w:rsidRPr="00362517" w14:paraId="316EE661"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15F794F0" w14:textId="77777777" w:rsidR="00D8365A" w:rsidRPr="00362517" w:rsidRDefault="00D8365A" w:rsidP="00BF6BC7">
            <w:pPr>
              <w:rPr>
                <w:lang w:eastAsia="ko-KR"/>
              </w:rPr>
            </w:pPr>
            <w:r w:rsidRPr="00362517">
              <w:rPr>
                <w:lang w:eastAsia="ko-KR"/>
              </w:rPr>
              <w:t>Idaho</w:t>
            </w:r>
          </w:p>
        </w:tc>
        <w:tc>
          <w:tcPr>
            <w:tcW w:w="1109" w:type="pct"/>
            <w:tcBorders>
              <w:top w:val="nil"/>
              <w:left w:val="single" w:sz="4" w:space="0" w:color="auto"/>
              <w:bottom w:val="single" w:sz="4" w:space="0" w:color="auto"/>
              <w:right w:val="single" w:sz="4" w:space="0" w:color="auto"/>
            </w:tcBorders>
            <w:shd w:val="clear" w:color="auto" w:fill="auto"/>
            <w:noWrap/>
            <w:hideMark/>
          </w:tcPr>
          <w:p w14:paraId="56197B06" w14:textId="77777777" w:rsidR="00D8365A" w:rsidRPr="00362517" w:rsidRDefault="00D8365A" w:rsidP="00BF6BC7">
            <w:pPr>
              <w:tabs>
                <w:tab w:val="decimal" w:pos="1203"/>
              </w:tabs>
            </w:pPr>
            <w:r w:rsidRPr="00362517">
              <w:t>437</w:t>
            </w:r>
          </w:p>
        </w:tc>
        <w:tc>
          <w:tcPr>
            <w:tcW w:w="1012" w:type="pct"/>
            <w:tcBorders>
              <w:top w:val="nil"/>
              <w:left w:val="nil"/>
              <w:bottom w:val="single" w:sz="4" w:space="0" w:color="auto"/>
              <w:right w:val="single" w:sz="4" w:space="0" w:color="auto"/>
            </w:tcBorders>
            <w:shd w:val="clear" w:color="auto" w:fill="auto"/>
            <w:noWrap/>
            <w:hideMark/>
          </w:tcPr>
          <w:p w14:paraId="2A918C18" w14:textId="77777777" w:rsidR="00D8365A" w:rsidRPr="00362517" w:rsidRDefault="00D8365A" w:rsidP="00BF6BC7">
            <w:pPr>
              <w:tabs>
                <w:tab w:val="decimal" w:pos="1144"/>
              </w:tabs>
            </w:pPr>
            <w:r w:rsidRPr="00362517">
              <w:t>3,712</w:t>
            </w:r>
          </w:p>
        </w:tc>
        <w:tc>
          <w:tcPr>
            <w:tcW w:w="1343" w:type="pct"/>
            <w:tcBorders>
              <w:top w:val="nil"/>
              <w:left w:val="single" w:sz="4" w:space="0" w:color="auto"/>
              <w:bottom w:val="single" w:sz="4" w:space="0" w:color="auto"/>
              <w:right w:val="single" w:sz="8" w:space="0" w:color="auto"/>
            </w:tcBorders>
            <w:shd w:val="clear" w:color="auto" w:fill="auto"/>
            <w:noWrap/>
            <w:hideMark/>
          </w:tcPr>
          <w:p w14:paraId="2CB83250" w14:textId="77777777" w:rsidR="00D8365A" w:rsidRPr="00362517" w:rsidRDefault="00D8365A" w:rsidP="00BF6BC7">
            <w:pPr>
              <w:tabs>
                <w:tab w:val="decimal" w:pos="1098"/>
              </w:tabs>
            </w:pPr>
            <w:r w:rsidRPr="00362517">
              <w:t>3.1</w:t>
            </w:r>
          </w:p>
        </w:tc>
      </w:tr>
      <w:tr w:rsidR="00D8365A" w:rsidRPr="00362517" w14:paraId="4C62E9FB"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0688DD60" w14:textId="77777777" w:rsidR="00D8365A" w:rsidRPr="00362517" w:rsidRDefault="00D8365A" w:rsidP="00BF6BC7">
            <w:pPr>
              <w:rPr>
                <w:lang w:eastAsia="ko-KR"/>
              </w:rPr>
            </w:pPr>
            <w:r w:rsidRPr="00362517">
              <w:rPr>
                <w:lang w:eastAsia="ko-KR"/>
              </w:rPr>
              <w:t>Illinois</w:t>
            </w:r>
          </w:p>
        </w:tc>
        <w:tc>
          <w:tcPr>
            <w:tcW w:w="1109" w:type="pct"/>
            <w:tcBorders>
              <w:top w:val="nil"/>
              <w:left w:val="single" w:sz="4" w:space="0" w:color="auto"/>
              <w:bottom w:val="single" w:sz="4" w:space="0" w:color="auto"/>
              <w:right w:val="single" w:sz="4" w:space="0" w:color="auto"/>
            </w:tcBorders>
            <w:shd w:val="clear" w:color="auto" w:fill="auto"/>
            <w:noWrap/>
            <w:hideMark/>
          </w:tcPr>
          <w:p w14:paraId="4BA15FF3" w14:textId="77777777" w:rsidR="00D8365A" w:rsidRPr="00362517" w:rsidRDefault="00D8365A" w:rsidP="00BF6BC7">
            <w:pPr>
              <w:tabs>
                <w:tab w:val="decimal" w:pos="1203"/>
              </w:tabs>
            </w:pPr>
            <w:r w:rsidRPr="00362517">
              <w:t>3,566</w:t>
            </w:r>
          </w:p>
        </w:tc>
        <w:tc>
          <w:tcPr>
            <w:tcW w:w="1012" w:type="pct"/>
            <w:tcBorders>
              <w:top w:val="nil"/>
              <w:left w:val="nil"/>
              <w:bottom w:val="single" w:sz="4" w:space="0" w:color="auto"/>
              <w:right w:val="single" w:sz="4" w:space="0" w:color="auto"/>
            </w:tcBorders>
            <w:shd w:val="clear" w:color="auto" w:fill="auto"/>
            <w:noWrap/>
            <w:hideMark/>
          </w:tcPr>
          <w:p w14:paraId="08EAD056" w14:textId="77777777" w:rsidR="00D8365A" w:rsidRPr="00362517" w:rsidRDefault="00D8365A" w:rsidP="00BF6BC7">
            <w:pPr>
              <w:tabs>
                <w:tab w:val="decimal" w:pos="1144"/>
              </w:tabs>
            </w:pPr>
            <w:r w:rsidRPr="00362517">
              <w:t>11,759</w:t>
            </w:r>
          </w:p>
        </w:tc>
        <w:tc>
          <w:tcPr>
            <w:tcW w:w="1343" w:type="pct"/>
            <w:tcBorders>
              <w:top w:val="nil"/>
              <w:left w:val="single" w:sz="4" w:space="0" w:color="auto"/>
              <w:bottom w:val="single" w:sz="4" w:space="0" w:color="auto"/>
              <w:right w:val="single" w:sz="8" w:space="0" w:color="auto"/>
            </w:tcBorders>
            <w:shd w:val="clear" w:color="auto" w:fill="auto"/>
            <w:noWrap/>
            <w:hideMark/>
          </w:tcPr>
          <w:p w14:paraId="33472BAA" w14:textId="77777777" w:rsidR="00D8365A" w:rsidRPr="00362517" w:rsidRDefault="00D8365A" w:rsidP="00BF6BC7">
            <w:pPr>
              <w:tabs>
                <w:tab w:val="decimal" w:pos="1098"/>
              </w:tabs>
            </w:pPr>
            <w:r w:rsidRPr="00362517">
              <w:t>1.5</w:t>
            </w:r>
          </w:p>
        </w:tc>
      </w:tr>
      <w:tr w:rsidR="00D8365A" w:rsidRPr="00362517" w14:paraId="762CDA68"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09B71821" w14:textId="77777777" w:rsidR="00D8365A" w:rsidRPr="00362517" w:rsidRDefault="00D8365A" w:rsidP="00BF6BC7">
            <w:pPr>
              <w:rPr>
                <w:lang w:eastAsia="ko-KR"/>
              </w:rPr>
            </w:pPr>
            <w:r w:rsidRPr="00362517">
              <w:rPr>
                <w:lang w:eastAsia="ko-KR"/>
              </w:rPr>
              <w:t>Indiana</w:t>
            </w:r>
          </w:p>
        </w:tc>
        <w:tc>
          <w:tcPr>
            <w:tcW w:w="1109" w:type="pct"/>
            <w:tcBorders>
              <w:top w:val="nil"/>
              <w:left w:val="single" w:sz="4" w:space="0" w:color="auto"/>
              <w:bottom w:val="single" w:sz="4" w:space="0" w:color="auto"/>
              <w:right w:val="single" w:sz="4" w:space="0" w:color="auto"/>
            </w:tcBorders>
            <w:shd w:val="clear" w:color="auto" w:fill="auto"/>
            <w:noWrap/>
            <w:hideMark/>
          </w:tcPr>
          <w:p w14:paraId="50256A93" w14:textId="77777777" w:rsidR="00D8365A" w:rsidRPr="00362517" w:rsidRDefault="00D8365A" w:rsidP="00BF6BC7">
            <w:pPr>
              <w:tabs>
                <w:tab w:val="decimal" w:pos="1203"/>
              </w:tabs>
            </w:pPr>
            <w:r w:rsidRPr="00362517">
              <w:t>1,128</w:t>
            </w:r>
          </w:p>
        </w:tc>
        <w:tc>
          <w:tcPr>
            <w:tcW w:w="1012" w:type="pct"/>
            <w:tcBorders>
              <w:top w:val="nil"/>
              <w:left w:val="nil"/>
              <w:bottom w:val="single" w:sz="4" w:space="0" w:color="auto"/>
              <w:right w:val="single" w:sz="4" w:space="0" w:color="auto"/>
            </w:tcBorders>
            <w:shd w:val="clear" w:color="auto" w:fill="auto"/>
            <w:noWrap/>
            <w:hideMark/>
          </w:tcPr>
          <w:p w14:paraId="46767945" w14:textId="77777777" w:rsidR="00D8365A" w:rsidRPr="00362517" w:rsidRDefault="00D8365A" w:rsidP="00BF6BC7">
            <w:pPr>
              <w:tabs>
                <w:tab w:val="decimal" w:pos="1144"/>
              </w:tabs>
            </w:pPr>
            <w:r w:rsidRPr="00362517">
              <w:t>8,738</w:t>
            </w:r>
          </w:p>
        </w:tc>
        <w:tc>
          <w:tcPr>
            <w:tcW w:w="1343" w:type="pct"/>
            <w:tcBorders>
              <w:top w:val="nil"/>
              <w:left w:val="single" w:sz="4" w:space="0" w:color="auto"/>
              <w:bottom w:val="single" w:sz="4" w:space="0" w:color="auto"/>
              <w:right w:val="single" w:sz="8" w:space="0" w:color="auto"/>
            </w:tcBorders>
            <w:shd w:val="clear" w:color="auto" w:fill="auto"/>
            <w:noWrap/>
            <w:hideMark/>
          </w:tcPr>
          <w:p w14:paraId="4A172D2C" w14:textId="77777777" w:rsidR="00D8365A" w:rsidRPr="00362517" w:rsidRDefault="00D8365A" w:rsidP="00BF6BC7">
            <w:pPr>
              <w:tabs>
                <w:tab w:val="decimal" w:pos="1098"/>
              </w:tabs>
            </w:pPr>
            <w:r w:rsidRPr="00362517">
              <w:t>1.6</w:t>
            </w:r>
          </w:p>
        </w:tc>
      </w:tr>
      <w:tr w:rsidR="00D8365A" w:rsidRPr="00362517" w14:paraId="71DFAB49"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31C3B76D" w14:textId="77777777" w:rsidR="00D8365A" w:rsidRPr="00362517" w:rsidRDefault="00D8365A" w:rsidP="00BF6BC7">
            <w:pPr>
              <w:rPr>
                <w:lang w:eastAsia="ko-KR"/>
              </w:rPr>
            </w:pPr>
            <w:r w:rsidRPr="00362517">
              <w:rPr>
                <w:lang w:eastAsia="ko-KR"/>
              </w:rPr>
              <w:t>Iowa</w:t>
            </w:r>
          </w:p>
        </w:tc>
        <w:tc>
          <w:tcPr>
            <w:tcW w:w="1109" w:type="pct"/>
            <w:tcBorders>
              <w:top w:val="nil"/>
              <w:left w:val="single" w:sz="4" w:space="0" w:color="auto"/>
              <w:bottom w:val="single" w:sz="4" w:space="0" w:color="auto"/>
              <w:right w:val="single" w:sz="4" w:space="0" w:color="auto"/>
            </w:tcBorders>
            <w:shd w:val="clear" w:color="auto" w:fill="auto"/>
            <w:noWrap/>
            <w:hideMark/>
          </w:tcPr>
          <w:p w14:paraId="3C609CF3" w14:textId="77777777" w:rsidR="00D8365A" w:rsidRPr="00362517" w:rsidRDefault="00D8365A" w:rsidP="00BF6BC7">
            <w:pPr>
              <w:tabs>
                <w:tab w:val="decimal" w:pos="1203"/>
              </w:tabs>
            </w:pPr>
            <w:r w:rsidRPr="00362517">
              <w:t>1,583</w:t>
            </w:r>
          </w:p>
        </w:tc>
        <w:tc>
          <w:tcPr>
            <w:tcW w:w="1012" w:type="pct"/>
            <w:tcBorders>
              <w:top w:val="nil"/>
              <w:left w:val="nil"/>
              <w:bottom w:val="single" w:sz="4" w:space="0" w:color="auto"/>
              <w:right w:val="single" w:sz="4" w:space="0" w:color="auto"/>
            </w:tcBorders>
            <w:shd w:val="clear" w:color="auto" w:fill="auto"/>
            <w:noWrap/>
            <w:hideMark/>
          </w:tcPr>
          <w:p w14:paraId="6171F3A3" w14:textId="77777777" w:rsidR="00D8365A" w:rsidRPr="00362517" w:rsidRDefault="00D8365A" w:rsidP="00BF6BC7">
            <w:pPr>
              <w:tabs>
                <w:tab w:val="decimal" w:pos="1144"/>
              </w:tabs>
            </w:pPr>
            <w:r w:rsidRPr="00362517">
              <w:t>12,190</w:t>
            </w:r>
          </w:p>
        </w:tc>
        <w:tc>
          <w:tcPr>
            <w:tcW w:w="1343" w:type="pct"/>
            <w:tcBorders>
              <w:top w:val="nil"/>
              <w:left w:val="single" w:sz="4" w:space="0" w:color="auto"/>
              <w:bottom w:val="single" w:sz="4" w:space="0" w:color="auto"/>
              <w:right w:val="single" w:sz="8" w:space="0" w:color="auto"/>
            </w:tcBorders>
            <w:shd w:val="clear" w:color="auto" w:fill="auto"/>
            <w:noWrap/>
            <w:hideMark/>
          </w:tcPr>
          <w:p w14:paraId="6B9C9A7D" w14:textId="77777777" w:rsidR="00D8365A" w:rsidRPr="00362517" w:rsidRDefault="00D8365A" w:rsidP="00BF6BC7">
            <w:pPr>
              <w:tabs>
                <w:tab w:val="decimal" w:pos="1098"/>
              </w:tabs>
            </w:pPr>
            <w:r w:rsidRPr="00362517">
              <w:t>2.3</w:t>
            </w:r>
          </w:p>
        </w:tc>
      </w:tr>
      <w:tr w:rsidR="00D8365A" w:rsidRPr="00362517" w14:paraId="298F3175"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2CBB15B8" w14:textId="77777777" w:rsidR="00D8365A" w:rsidRPr="00362517" w:rsidRDefault="00D8365A" w:rsidP="00BF6BC7">
            <w:pPr>
              <w:rPr>
                <w:lang w:eastAsia="ko-KR"/>
              </w:rPr>
            </w:pPr>
            <w:r w:rsidRPr="00362517">
              <w:rPr>
                <w:lang w:eastAsia="ko-KR"/>
              </w:rPr>
              <w:t>Kansas</w:t>
            </w:r>
          </w:p>
        </w:tc>
        <w:tc>
          <w:tcPr>
            <w:tcW w:w="1109" w:type="pct"/>
            <w:tcBorders>
              <w:top w:val="nil"/>
              <w:left w:val="single" w:sz="4" w:space="0" w:color="auto"/>
              <w:bottom w:val="single" w:sz="4" w:space="0" w:color="auto"/>
              <w:right w:val="single" w:sz="4" w:space="0" w:color="auto"/>
            </w:tcBorders>
            <w:shd w:val="clear" w:color="auto" w:fill="auto"/>
            <w:noWrap/>
            <w:hideMark/>
          </w:tcPr>
          <w:p w14:paraId="203CF39C" w14:textId="77777777" w:rsidR="00D8365A" w:rsidRPr="00362517" w:rsidRDefault="00D8365A" w:rsidP="00BF6BC7">
            <w:pPr>
              <w:tabs>
                <w:tab w:val="decimal" w:pos="1203"/>
              </w:tabs>
            </w:pPr>
            <w:r w:rsidRPr="00362517">
              <w:t>893</w:t>
            </w:r>
          </w:p>
        </w:tc>
        <w:tc>
          <w:tcPr>
            <w:tcW w:w="1012" w:type="pct"/>
            <w:tcBorders>
              <w:top w:val="nil"/>
              <w:left w:val="nil"/>
              <w:bottom w:val="single" w:sz="4" w:space="0" w:color="auto"/>
              <w:right w:val="single" w:sz="4" w:space="0" w:color="auto"/>
            </w:tcBorders>
            <w:shd w:val="clear" w:color="auto" w:fill="auto"/>
            <w:noWrap/>
            <w:hideMark/>
          </w:tcPr>
          <w:p w14:paraId="5D5A7140" w14:textId="77777777" w:rsidR="00D8365A" w:rsidRPr="00362517" w:rsidRDefault="00D8365A" w:rsidP="00BF6BC7">
            <w:pPr>
              <w:tabs>
                <w:tab w:val="decimal" w:pos="1144"/>
              </w:tabs>
            </w:pPr>
            <w:r w:rsidRPr="00362517">
              <w:t>5,235</w:t>
            </w:r>
          </w:p>
        </w:tc>
        <w:tc>
          <w:tcPr>
            <w:tcW w:w="1343" w:type="pct"/>
            <w:tcBorders>
              <w:top w:val="nil"/>
              <w:left w:val="single" w:sz="4" w:space="0" w:color="auto"/>
              <w:bottom w:val="single" w:sz="4" w:space="0" w:color="auto"/>
              <w:right w:val="single" w:sz="8" w:space="0" w:color="auto"/>
            </w:tcBorders>
            <w:shd w:val="clear" w:color="auto" w:fill="auto"/>
            <w:noWrap/>
            <w:hideMark/>
          </w:tcPr>
          <w:p w14:paraId="71B78C53" w14:textId="77777777" w:rsidR="00D8365A" w:rsidRPr="00362517" w:rsidRDefault="00D8365A" w:rsidP="00BF6BC7">
            <w:pPr>
              <w:tabs>
                <w:tab w:val="decimal" w:pos="1098"/>
              </w:tabs>
            </w:pPr>
            <w:r w:rsidRPr="00362517">
              <w:t>1.7</w:t>
            </w:r>
          </w:p>
        </w:tc>
      </w:tr>
      <w:tr w:rsidR="00D8365A" w:rsidRPr="00362517" w14:paraId="6917799E"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75691F28" w14:textId="77777777" w:rsidR="00D8365A" w:rsidRPr="00362517" w:rsidRDefault="00D8365A" w:rsidP="00BF6BC7">
            <w:pPr>
              <w:rPr>
                <w:lang w:eastAsia="ko-KR"/>
              </w:rPr>
            </w:pPr>
            <w:r w:rsidRPr="00362517">
              <w:rPr>
                <w:lang w:eastAsia="ko-KR"/>
              </w:rPr>
              <w:t>Kentucky</w:t>
            </w:r>
          </w:p>
        </w:tc>
        <w:tc>
          <w:tcPr>
            <w:tcW w:w="1109" w:type="pct"/>
            <w:tcBorders>
              <w:top w:val="nil"/>
              <w:left w:val="single" w:sz="4" w:space="0" w:color="auto"/>
              <w:bottom w:val="single" w:sz="4" w:space="0" w:color="auto"/>
              <w:right w:val="single" w:sz="4" w:space="0" w:color="auto"/>
            </w:tcBorders>
            <w:shd w:val="clear" w:color="auto" w:fill="auto"/>
            <w:noWrap/>
            <w:hideMark/>
          </w:tcPr>
          <w:p w14:paraId="5CDD3093" w14:textId="77777777" w:rsidR="00D8365A" w:rsidRPr="00362517" w:rsidRDefault="00D8365A" w:rsidP="00BF6BC7">
            <w:pPr>
              <w:tabs>
                <w:tab w:val="decimal" w:pos="1203"/>
              </w:tabs>
            </w:pPr>
            <w:r w:rsidRPr="00362517">
              <w:t>2,905</w:t>
            </w:r>
          </w:p>
        </w:tc>
        <w:tc>
          <w:tcPr>
            <w:tcW w:w="1012" w:type="pct"/>
            <w:tcBorders>
              <w:top w:val="nil"/>
              <w:left w:val="nil"/>
              <w:bottom w:val="single" w:sz="4" w:space="0" w:color="auto"/>
              <w:right w:val="single" w:sz="4" w:space="0" w:color="auto"/>
            </w:tcBorders>
            <w:shd w:val="clear" w:color="auto" w:fill="auto"/>
            <w:noWrap/>
            <w:hideMark/>
          </w:tcPr>
          <w:p w14:paraId="2C9D58BC" w14:textId="77777777" w:rsidR="00D8365A" w:rsidRPr="00362517" w:rsidRDefault="00D8365A" w:rsidP="00BF6BC7">
            <w:pPr>
              <w:tabs>
                <w:tab w:val="decimal" w:pos="1144"/>
              </w:tabs>
            </w:pPr>
            <w:r w:rsidRPr="00362517">
              <w:t>11,384</w:t>
            </w:r>
          </w:p>
        </w:tc>
        <w:tc>
          <w:tcPr>
            <w:tcW w:w="1343" w:type="pct"/>
            <w:tcBorders>
              <w:top w:val="nil"/>
              <w:left w:val="single" w:sz="4" w:space="0" w:color="auto"/>
              <w:bottom w:val="single" w:sz="4" w:space="0" w:color="auto"/>
              <w:right w:val="single" w:sz="8" w:space="0" w:color="auto"/>
            </w:tcBorders>
            <w:shd w:val="clear" w:color="auto" w:fill="auto"/>
            <w:noWrap/>
            <w:hideMark/>
          </w:tcPr>
          <w:p w14:paraId="2B61FC44" w14:textId="77777777" w:rsidR="00D8365A" w:rsidRPr="00362517" w:rsidRDefault="00D8365A" w:rsidP="00BF6BC7">
            <w:pPr>
              <w:tabs>
                <w:tab w:val="decimal" w:pos="1098"/>
              </w:tabs>
            </w:pPr>
            <w:r w:rsidRPr="00362517">
              <w:t>1.6</w:t>
            </w:r>
          </w:p>
        </w:tc>
      </w:tr>
      <w:tr w:rsidR="00D8365A" w:rsidRPr="00362517" w14:paraId="6E0985E0"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44A19616" w14:textId="77777777" w:rsidR="00D8365A" w:rsidRPr="00362517" w:rsidRDefault="00D8365A" w:rsidP="00BF6BC7">
            <w:pPr>
              <w:rPr>
                <w:lang w:eastAsia="ko-KR"/>
              </w:rPr>
            </w:pPr>
            <w:r w:rsidRPr="00362517">
              <w:rPr>
                <w:lang w:eastAsia="ko-KR"/>
              </w:rPr>
              <w:t>Louisiana</w:t>
            </w:r>
          </w:p>
        </w:tc>
        <w:tc>
          <w:tcPr>
            <w:tcW w:w="1109" w:type="pct"/>
            <w:tcBorders>
              <w:top w:val="nil"/>
              <w:left w:val="single" w:sz="4" w:space="0" w:color="auto"/>
              <w:bottom w:val="single" w:sz="4" w:space="0" w:color="auto"/>
              <w:right w:val="single" w:sz="4" w:space="0" w:color="auto"/>
            </w:tcBorders>
            <w:shd w:val="clear" w:color="auto" w:fill="auto"/>
            <w:noWrap/>
            <w:hideMark/>
          </w:tcPr>
          <w:p w14:paraId="0607B538" w14:textId="77777777" w:rsidR="00D8365A" w:rsidRPr="00362517" w:rsidRDefault="00D8365A" w:rsidP="00BF6BC7">
            <w:pPr>
              <w:tabs>
                <w:tab w:val="decimal" w:pos="1203"/>
              </w:tabs>
            </w:pPr>
            <w:r w:rsidRPr="00362517">
              <w:t>591</w:t>
            </w:r>
          </w:p>
        </w:tc>
        <w:tc>
          <w:tcPr>
            <w:tcW w:w="1012" w:type="pct"/>
            <w:tcBorders>
              <w:top w:val="nil"/>
              <w:left w:val="nil"/>
              <w:bottom w:val="single" w:sz="4" w:space="0" w:color="auto"/>
              <w:right w:val="single" w:sz="4" w:space="0" w:color="auto"/>
            </w:tcBorders>
            <w:shd w:val="clear" w:color="auto" w:fill="auto"/>
            <w:noWrap/>
            <w:hideMark/>
          </w:tcPr>
          <w:p w14:paraId="70BFD60B" w14:textId="77777777" w:rsidR="00D8365A" w:rsidRPr="00362517" w:rsidRDefault="00D8365A" w:rsidP="00BF6BC7">
            <w:pPr>
              <w:tabs>
                <w:tab w:val="decimal" w:pos="1144"/>
              </w:tabs>
            </w:pPr>
            <w:r w:rsidRPr="00362517">
              <w:t>4,146</w:t>
            </w:r>
          </w:p>
        </w:tc>
        <w:tc>
          <w:tcPr>
            <w:tcW w:w="1343" w:type="pct"/>
            <w:tcBorders>
              <w:top w:val="nil"/>
              <w:left w:val="single" w:sz="4" w:space="0" w:color="auto"/>
              <w:bottom w:val="single" w:sz="4" w:space="0" w:color="auto"/>
              <w:right w:val="single" w:sz="8" w:space="0" w:color="auto"/>
            </w:tcBorders>
            <w:shd w:val="clear" w:color="auto" w:fill="auto"/>
            <w:noWrap/>
            <w:hideMark/>
          </w:tcPr>
          <w:p w14:paraId="0A8366C0" w14:textId="77777777" w:rsidR="00D8365A" w:rsidRPr="00362517" w:rsidRDefault="00D8365A" w:rsidP="00BF6BC7">
            <w:pPr>
              <w:tabs>
                <w:tab w:val="decimal" w:pos="1098"/>
              </w:tabs>
            </w:pPr>
            <w:r w:rsidRPr="00362517">
              <w:t>1.7</w:t>
            </w:r>
          </w:p>
        </w:tc>
      </w:tr>
      <w:tr w:rsidR="00D8365A" w:rsidRPr="00362517" w14:paraId="35FE7347"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7E61D011" w14:textId="77777777" w:rsidR="00D8365A" w:rsidRPr="00362517" w:rsidRDefault="00D8365A" w:rsidP="00BF6BC7">
            <w:pPr>
              <w:rPr>
                <w:lang w:eastAsia="ko-KR"/>
              </w:rPr>
            </w:pPr>
            <w:r w:rsidRPr="00362517">
              <w:rPr>
                <w:lang w:eastAsia="ko-KR"/>
              </w:rPr>
              <w:t>Maine</w:t>
            </w:r>
          </w:p>
        </w:tc>
        <w:tc>
          <w:tcPr>
            <w:tcW w:w="1109" w:type="pct"/>
            <w:tcBorders>
              <w:top w:val="nil"/>
              <w:left w:val="single" w:sz="4" w:space="0" w:color="auto"/>
              <w:bottom w:val="single" w:sz="4" w:space="0" w:color="auto"/>
              <w:right w:val="single" w:sz="4" w:space="0" w:color="auto"/>
            </w:tcBorders>
            <w:shd w:val="clear" w:color="auto" w:fill="auto"/>
            <w:noWrap/>
            <w:hideMark/>
          </w:tcPr>
          <w:p w14:paraId="09781962" w14:textId="77777777" w:rsidR="00D8365A" w:rsidRPr="00362517" w:rsidRDefault="00D8365A" w:rsidP="00BF6BC7">
            <w:pPr>
              <w:tabs>
                <w:tab w:val="decimal" w:pos="1203"/>
              </w:tabs>
            </w:pPr>
            <w:r w:rsidRPr="00362517">
              <w:t>182</w:t>
            </w:r>
          </w:p>
        </w:tc>
        <w:tc>
          <w:tcPr>
            <w:tcW w:w="1012" w:type="pct"/>
            <w:tcBorders>
              <w:top w:val="nil"/>
              <w:left w:val="nil"/>
              <w:bottom w:val="single" w:sz="4" w:space="0" w:color="auto"/>
              <w:right w:val="single" w:sz="4" w:space="0" w:color="auto"/>
            </w:tcBorders>
            <w:shd w:val="clear" w:color="auto" w:fill="auto"/>
            <w:noWrap/>
            <w:hideMark/>
          </w:tcPr>
          <w:p w14:paraId="5F728C28" w14:textId="77777777" w:rsidR="00D8365A" w:rsidRPr="00362517" w:rsidRDefault="00D8365A" w:rsidP="00BF6BC7">
            <w:pPr>
              <w:tabs>
                <w:tab w:val="decimal" w:pos="1144"/>
              </w:tabs>
            </w:pPr>
            <w:r w:rsidRPr="00362517">
              <w:t>1,471</w:t>
            </w:r>
          </w:p>
        </w:tc>
        <w:tc>
          <w:tcPr>
            <w:tcW w:w="1343" w:type="pct"/>
            <w:tcBorders>
              <w:top w:val="nil"/>
              <w:left w:val="single" w:sz="4" w:space="0" w:color="auto"/>
              <w:bottom w:val="single" w:sz="4" w:space="0" w:color="auto"/>
              <w:right w:val="single" w:sz="8" w:space="0" w:color="auto"/>
            </w:tcBorders>
            <w:shd w:val="clear" w:color="auto" w:fill="auto"/>
            <w:noWrap/>
            <w:hideMark/>
          </w:tcPr>
          <w:p w14:paraId="4877C647" w14:textId="77777777" w:rsidR="00D8365A" w:rsidRPr="00362517" w:rsidRDefault="00D8365A" w:rsidP="00BF6BC7">
            <w:pPr>
              <w:tabs>
                <w:tab w:val="decimal" w:pos="1098"/>
              </w:tabs>
            </w:pPr>
            <w:r w:rsidRPr="00362517">
              <w:t>2.3</w:t>
            </w:r>
          </w:p>
        </w:tc>
      </w:tr>
      <w:tr w:rsidR="00D8365A" w:rsidRPr="00362517" w14:paraId="42148433"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7D992A54" w14:textId="77777777" w:rsidR="00D8365A" w:rsidRPr="00362517" w:rsidRDefault="00D8365A" w:rsidP="00BF6BC7">
            <w:pPr>
              <w:rPr>
                <w:lang w:eastAsia="ko-KR"/>
              </w:rPr>
            </w:pPr>
            <w:r w:rsidRPr="00362517">
              <w:rPr>
                <w:lang w:eastAsia="ko-KR"/>
              </w:rPr>
              <w:t>Maryland</w:t>
            </w:r>
          </w:p>
        </w:tc>
        <w:tc>
          <w:tcPr>
            <w:tcW w:w="1109" w:type="pct"/>
            <w:tcBorders>
              <w:top w:val="nil"/>
              <w:left w:val="single" w:sz="4" w:space="0" w:color="auto"/>
              <w:bottom w:val="single" w:sz="4" w:space="0" w:color="auto"/>
              <w:right w:val="single" w:sz="4" w:space="0" w:color="auto"/>
            </w:tcBorders>
            <w:shd w:val="clear" w:color="auto" w:fill="auto"/>
            <w:noWrap/>
            <w:hideMark/>
          </w:tcPr>
          <w:p w14:paraId="77F9D9EA" w14:textId="77777777" w:rsidR="00D8365A" w:rsidRPr="00362517" w:rsidRDefault="00D8365A" w:rsidP="00BF6BC7">
            <w:pPr>
              <w:tabs>
                <w:tab w:val="decimal" w:pos="1203"/>
              </w:tabs>
            </w:pPr>
            <w:r w:rsidRPr="00362517">
              <w:t>495</w:t>
            </w:r>
          </w:p>
        </w:tc>
        <w:tc>
          <w:tcPr>
            <w:tcW w:w="1012" w:type="pct"/>
            <w:tcBorders>
              <w:top w:val="nil"/>
              <w:left w:val="nil"/>
              <w:bottom w:val="single" w:sz="4" w:space="0" w:color="auto"/>
              <w:right w:val="single" w:sz="4" w:space="0" w:color="auto"/>
            </w:tcBorders>
            <w:shd w:val="clear" w:color="auto" w:fill="auto"/>
            <w:noWrap/>
            <w:hideMark/>
          </w:tcPr>
          <w:p w14:paraId="4729DA85" w14:textId="77777777" w:rsidR="00D8365A" w:rsidRPr="00362517" w:rsidRDefault="00D8365A" w:rsidP="00BF6BC7">
            <w:pPr>
              <w:tabs>
                <w:tab w:val="decimal" w:pos="1144"/>
              </w:tabs>
            </w:pPr>
            <w:r w:rsidRPr="00362517">
              <w:t>4,148</w:t>
            </w:r>
          </w:p>
        </w:tc>
        <w:tc>
          <w:tcPr>
            <w:tcW w:w="1343" w:type="pct"/>
            <w:tcBorders>
              <w:top w:val="nil"/>
              <w:left w:val="single" w:sz="4" w:space="0" w:color="auto"/>
              <w:bottom w:val="single" w:sz="4" w:space="0" w:color="auto"/>
              <w:right w:val="single" w:sz="8" w:space="0" w:color="auto"/>
            </w:tcBorders>
            <w:shd w:val="clear" w:color="auto" w:fill="auto"/>
            <w:noWrap/>
            <w:hideMark/>
          </w:tcPr>
          <w:p w14:paraId="2BB10B8A" w14:textId="77777777" w:rsidR="00D8365A" w:rsidRPr="00362517" w:rsidRDefault="00D8365A" w:rsidP="00BF6BC7">
            <w:pPr>
              <w:tabs>
                <w:tab w:val="decimal" w:pos="1098"/>
              </w:tabs>
            </w:pPr>
            <w:r w:rsidRPr="00362517">
              <w:t>1.4</w:t>
            </w:r>
          </w:p>
        </w:tc>
      </w:tr>
      <w:tr w:rsidR="00D8365A" w:rsidRPr="00362517" w14:paraId="1CF22860"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282074EA" w14:textId="77777777" w:rsidR="00D8365A" w:rsidRPr="00362517" w:rsidRDefault="00D8365A" w:rsidP="00BF6BC7">
            <w:pPr>
              <w:rPr>
                <w:lang w:eastAsia="ko-KR"/>
              </w:rPr>
            </w:pPr>
            <w:r w:rsidRPr="00362517">
              <w:rPr>
                <w:lang w:eastAsia="ko-KR"/>
              </w:rPr>
              <w:t>Massachusetts</w:t>
            </w:r>
          </w:p>
        </w:tc>
        <w:tc>
          <w:tcPr>
            <w:tcW w:w="1109" w:type="pct"/>
            <w:tcBorders>
              <w:top w:val="nil"/>
              <w:left w:val="single" w:sz="4" w:space="0" w:color="auto"/>
              <w:bottom w:val="single" w:sz="4" w:space="0" w:color="auto"/>
              <w:right w:val="single" w:sz="4" w:space="0" w:color="auto"/>
            </w:tcBorders>
            <w:shd w:val="clear" w:color="auto" w:fill="auto"/>
            <w:noWrap/>
            <w:hideMark/>
          </w:tcPr>
          <w:p w14:paraId="00320D6D" w14:textId="77777777" w:rsidR="00D8365A" w:rsidRPr="00362517" w:rsidRDefault="00D8365A" w:rsidP="00BF6BC7">
            <w:pPr>
              <w:tabs>
                <w:tab w:val="decimal" w:pos="1203"/>
              </w:tabs>
            </w:pPr>
            <w:r w:rsidRPr="00362517">
              <w:t>204</w:t>
            </w:r>
          </w:p>
        </w:tc>
        <w:tc>
          <w:tcPr>
            <w:tcW w:w="1012" w:type="pct"/>
            <w:tcBorders>
              <w:top w:val="nil"/>
              <w:left w:val="nil"/>
              <w:bottom w:val="single" w:sz="4" w:space="0" w:color="auto"/>
              <w:right w:val="single" w:sz="4" w:space="0" w:color="auto"/>
            </w:tcBorders>
            <w:shd w:val="clear" w:color="auto" w:fill="auto"/>
            <w:noWrap/>
            <w:hideMark/>
          </w:tcPr>
          <w:p w14:paraId="1B39CEF7" w14:textId="77777777" w:rsidR="00D8365A" w:rsidRPr="00362517" w:rsidRDefault="00D8365A" w:rsidP="00BF6BC7">
            <w:pPr>
              <w:tabs>
                <w:tab w:val="decimal" w:pos="1144"/>
              </w:tabs>
            </w:pPr>
            <w:r w:rsidRPr="00362517">
              <w:t>2,003</w:t>
            </w:r>
          </w:p>
        </w:tc>
        <w:tc>
          <w:tcPr>
            <w:tcW w:w="1343" w:type="pct"/>
            <w:tcBorders>
              <w:top w:val="nil"/>
              <w:left w:val="single" w:sz="4" w:space="0" w:color="auto"/>
              <w:bottom w:val="single" w:sz="4" w:space="0" w:color="auto"/>
              <w:right w:val="single" w:sz="8" w:space="0" w:color="auto"/>
            </w:tcBorders>
            <w:shd w:val="clear" w:color="auto" w:fill="auto"/>
            <w:noWrap/>
            <w:hideMark/>
          </w:tcPr>
          <w:p w14:paraId="13C58E56" w14:textId="77777777" w:rsidR="00D8365A" w:rsidRPr="00362517" w:rsidRDefault="00D8365A" w:rsidP="00BF6BC7">
            <w:pPr>
              <w:tabs>
                <w:tab w:val="decimal" w:pos="1098"/>
              </w:tabs>
            </w:pPr>
            <w:r w:rsidRPr="00362517">
              <w:t>1.5</w:t>
            </w:r>
          </w:p>
        </w:tc>
      </w:tr>
      <w:tr w:rsidR="00D8365A" w:rsidRPr="00362517" w14:paraId="384B52C7"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1103A805" w14:textId="77777777" w:rsidR="00D8365A" w:rsidRPr="00362517" w:rsidRDefault="00D8365A" w:rsidP="00BF6BC7">
            <w:pPr>
              <w:rPr>
                <w:lang w:eastAsia="ko-KR"/>
              </w:rPr>
            </w:pPr>
            <w:r w:rsidRPr="00362517">
              <w:rPr>
                <w:lang w:eastAsia="ko-KR"/>
              </w:rPr>
              <w:t>Michigan</w:t>
            </w:r>
          </w:p>
        </w:tc>
        <w:tc>
          <w:tcPr>
            <w:tcW w:w="1109" w:type="pct"/>
            <w:tcBorders>
              <w:top w:val="nil"/>
              <w:left w:val="single" w:sz="4" w:space="0" w:color="auto"/>
              <w:bottom w:val="single" w:sz="4" w:space="0" w:color="auto"/>
              <w:right w:val="single" w:sz="4" w:space="0" w:color="auto"/>
            </w:tcBorders>
            <w:shd w:val="clear" w:color="auto" w:fill="auto"/>
            <w:noWrap/>
            <w:hideMark/>
          </w:tcPr>
          <w:p w14:paraId="545183AF" w14:textId="77777777" w:rsidR="00D8365A" w:rsidRPr="00362517" w:rsidRDefault="00D8365A" w:rsidP="00BF6BC7">
            <w:pPr>
              <w:tabs>
                <w:tab w:val="decimal" w:pos="1203"/>
              </w:tabs>
            </w:pPr>
            <w:r w:rsidRPr="00362517">
              <w:t>2,027</w:t>
            </w:r>
          </w:p>
        </w:tc>
        <w:tc>
          <w:tcPr>
            <w:tcW w:w="1012" w:type="pct"/>
            <w:tcBorders>
              <w:top w:val="nil"/>
              <w:left w:val="nil"/>
              <w:bottom w:val="single" w:sz="4" w:space="0" w:color="auto"/>
              <w:right w:val="single" w:sz="4" w:space="0" w:color="auto"/>
            </w:tcBorders>
            <w:shd w:val="clear" w:color="auto" w:fill="auto"/>
            <w:noWrap/>
            <w:hideMark/>
          </w:tcPr>
          <w:p w14:paraId="5635AF6F" w14:textId="77777777" w:rsidR="00D8365A" w:rsidRPr="00362517" w:rsidRDefault="00D8365A" w:rsidP="00BF6BC7">
            <w:pPr>
              <w:tabs>
                <w:tab w:val="decimal" w:pos="1144"/>
              </w:tabs>
            </w:pPr>
            <w:r w:rsidRPr="00362517">
              <w:t>12,388</w:t>
            </w:r>
          </w:p>
        </w:tc>
        <w:tc>
          <w:tcPr>
            <w:tcW w:w="1343" w:type="pct"/>
            <w:tcBorders>
              <w:top w:val="nil"/>
              <w:left w:val="single" w:sz="4" w:space="0" w:color="auto"/>
              <w:bottom w:val="single" w:sz="4" w:space="0" w:color="auto"/>
              <w:right w:val="single" w:sz="8" w:space="0" w:color="auto"/>
            </w:tcBorders>
            <w:shd w:val="clear" w:color="auto" w:fill="auto"/>
            <w:noWrap/>
            <w:hideMark/>
          </w:tcPr>
          <w:p w14:paraId="64980D83" w14:textId="77777777" w:rsidR="00D8365A" w:rsidRPr="00362517" w:rsidRDefault="00D8365A" w:rsidP="00BF6BC7">
            <w:pPr>
              <w:tabs>
                <w:tab w:val="decimal" w:pos="1098"/>
              </w:tabs>
            </w:pPr>
            <w:r w:rsidRPr="00362517">
              <w:t>2.4</w:t>
            </w:r>
          </w:p>
        </w:tc>
      </w:tr>
      <w:tr w:rsidR="00D8365A" w:rsidRPr="00362517" w14:paraId="50081FF3"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3CB35D42" w14:textId="77777777" w:rsidR="00D8365A" w:rsidRPr="00362517" w:rsidRDefault="00D8365A" w:rsidP="00BF6BC7">
            <w:pPr>
              <w:rPr>
                <w:lang w:eastAsia="ko-KR"/>
              </w:rPr>
            </w:pPr>
            <w:r w:rsidRPr="00362517">
              <w:rPr>
                <w:lang w:eastAsia="ko-KR"/>
              </w:rPr>
              <w:t>Minnesota</w:t>
            </w:r>
          </w:p>
        </w:tc>
        <w:tc>
          <w:tcPr>
            <w:tcW w:w="1109" w:type="pct"/>
            <w:tcBorders>
              <w:top w:val="nil"/>
              <w:left w:val="single" w:sz="4" w:space="0" w:color="auto"/>
              <w:bottom w:val="single" w:sz="4" w:space="0" w:color="auto"/>
              <w:right w:val="single" w:sz="4" w:space="0" w:color="auto"/>
            </w:tcBorders>
            <w:shd w:val="clear" w:color="auto" w:fill="auto"/>
            <w:noWrap/>
            <w:hideMark/>
          </w:tcPr>
          <w:p w14:paraId="480D72F6" w14:textId="77777777" w:rsidR="00D8365A" w:rsidRPr="00362517" w:rsidRDefault="00D8365A" w:rsidP="00BF6BC7">
            <w:pPr>
              <w:tabs>
                <w:tab w:val="decimal" w:pos="1203"/>
              </w:tabs>
            </w:pPr>
            <w:r w:rsidRPr="00362517">
              <w:t>1,950</w:t>
            </w:r>
          </w:p>
        </w:tc>
        <w:tc>
          <w:tcPr>
            <w:tcW w:w="1012" w:type="pct"/>
            <w:tcBorders>
              <w:top w:val="nil"/>
              <w:left w:val="nil"/>
              <w:bottom w:val="single" w:sz="4" w:space="0" w:color="auto"/>
              <w:right w:val="single" w:sz="4" w:space="0" w:color="auto"/>
            </w:tcBorders>
            <w:shd w:val="clear" w:color="auto" w:fill="auto"/>
            <w:noWrap/>
            <w:hideMark/>
          </w:tcPr>
          <w:p w14:paraId="470013DE" w14:textId="77777777" w:rsidR="00D8365A" w:rsidRPr="00362517" w:rsidRDefault="00D8365A" w:rsidP="00BF6BC7">
            <w:pPr>
              <w:tabs>
                <w:tab w:val="decimal" w:pos="1144"/>
              </w:tabs>
            </w:pPr>
            <w:r w:rsidRPr="00362517">
              <w:t>8,625</w:t>
            </w:r>
          </w:p>
        </w:tc>
        <w:tc>
          <w:tcPr>
            <w:tcW w:w="1343" w:type="pct"/>
            <w:tcBorders>
              <w:top w:val="nil"/>
              <w:left w:val="single" w:sz="4" w:space="0" w:color="auto"/>
              <w:bottom w:val="single" w:sz="4" w:space="0" w:color="auto"/>
              <w:right w:val="single" w:sz="8" w:space="0" w:color="auto"/>
            </w:tcBorders>
            <w:shd w:val="clear" w:color="auto" w:fill="auto"/>
            <w:noWrap/>
            <w:hideMark/>
          </w:tcPr>
          <w:p w14:paraId="690716F2" w14:textId="77777777" w:rsidR="00D8365A" w:rsidRPr="00362517" w:rsidRDefault="00D8365A" w:rsidP="00BF6BC7">
            <w:pPr>
              <w:tabs>
                <w:tab w:val="decimal" w:pos="1098"/>
              </w:tabs>
            </w:pPr>
            <w:r w:rsidRPr="00362517">
              <w:t>1.5</w:t>
            </w:r>
          </w:p>
        </w:tc>
      </w:tr>
      <w:tr w:rsidR="00D8365A" w:rsidRPr="00362517" w14:paraId="1DCC0572"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62BE858B" w14:textId="77777777" w:rsidR="00D8365A" w:rsidRPr="00362517" w:rsidRDefault="00D8365A" w:rsidP="00BF6BC7">
            <w:pPr>
              <w:rPr>
                <w:lang w:eastAsia="ko-KR"/>
              </w:rPr>
            </w:pPr>
            <w:r w:rsidRPr="00362517">
              <w:rPr>
                <w:lang w:eastAsia="ko-KR"/>
              </w:rPr>
              <w:t>Mississippi</w:t>
            </w:r>
          </w:p>
        </w:tc>
        <w:tc>
          <w:tcPr>
            <w:tcW w:w="1109" w:type="pct"/>
            <w:tcBorders>
              <w:top w:val="nil"/>
              <w:left w:val="single" w:sz="4" w:space="0" w:color="auto"/>
              <w:bottom w:val="single" w:sz="4" w:space="0" w:color="auto"/>
              <w:right w:val="single" w:sz="4" w:space="0" w:color="auto"/>
            </w:tcBorders>
            <w:shd w:val="clear" w:color="auto" w:fill="auto"/>
            <w:noWrap/>
            <w:hideMark/>
          </w:tcPr>
          <w:p w14:paraId="4215FE49" w14:textId="77777777" w:rsidR="00D8365A" w:rsidRPr="00362517" w:rsidRDefault="00D8365A" w:rsidP="00BF6BC7">
            <w:pPr>
              <w:tabs>
                <w:tab w:val="decimal" w:pos="1203"/>
              </w:tabs>
            </w:pPr>
            <w:r w:rsidRPr="00362517">
              <w:t>290</w:t>
            </w:r>
          </w:p>
        </w:tc>
        <w:tc>
          <w:tcPr>
            <w:tcW w:w="1012" w:type="pct"/>
            <w:tcBorders>
              <w:top w:val="nil"/>
              <w:left w:val="nil"/>
              <w:bottom w:val="single" w:sz="4" w:space="0" w:color="auto"/>
              <w:right w:val="single" w:sz="4" w:space="0" w:color="auto"/>
            </w:tcBorders>
            <w:shd w:val="clear" w:color="auto" w:fill="auto"/>
            <w:noWrap/>
            <w:hideMark/>
          </w:tcPr>
          <w:p w14:paraId="60C919B9" w14:textId="77777777" w:rsidR="00D8365A" w:rsidRPr="00362517" w:rsidRDefault="00D8365A" w:rsidP="00BF6BC7">
            <w:pPr>
              <w:tabs>
                <w:tab w:val="decimal" w:pos="1144"/>
              </w:tabs>
            </w:pPr>
            <w:r w:rsidRPr="00362517">
              <w:t>2,700</w:t>
            </w:r>
          </w:p>
        </w:tc>
        <w:tc>
          <w:tcPr>
            <w:tcW w:w="1343" w:type="pct"/>
            <w:tcBorders>
              <w:top w:val="nil"/>
              <w:left w:val="single" w:sz="4" w:space="0" w:color="auto"/>
              <w:bottom w:val="single" w:sz="4" w:space="0" w:color="auto"/>
              <w:right w:val="single" w:sz="8" w:space="0" w:color="auto"/>
            </w:tcBorders>
            <w:shd w:val="clear" w:color="auto" w:fill="auto"/>
            <w:noWrap/>
            <w:hideMark/>
          </w:tcPr>
          <w:p w14:paraId="1DECBAEE" w14:textId="77777777" w:rsidR="00D8365A" w:rsidRPr="00362517" w:rsidRDefault="00D8365A" w:rsidP="00BF6BC7">
            <w:pPr>
              <w:tabs>
                <w:tab w:val="decimal" w:pos="1098"/>
              </w:tabs>
            </w:pPr>
            <w:r w:rsidRPr="00362517">
              <w:t>1.4</w:t>
            </w:r>
          </w:p>
        </w:tc>
      </w:tr>
      <w:tr w:rsidR="00D8365A" w:rsidRPr="00362517" w14:paraId="6722587D"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36F996BE" w14:textId="77777777" w:rsidR="00D8365A" w:rsidRPr="00362517" w:rsidRDefault="00D8365A" w:rsidP="00BF6BC7">
            <w:pPr>
              <w:rPr>
                <w:lang w:eastAsia="ko-KR"/>
              </w:rPr>
            </w:pPr>
            <w:r w:rsidRPr="00362517">
              <w:rPr>
                <w:lang w:eastAsia="ko-KR"/>
              </w:rPr>
              <w:t>Missouri</w:t>
            </w:r>
          </w:p>
        </w:tc>
        <w:tc>
          <w:tcPr>
            <w:tcW w:w="1109" w:type="pct"/>
            <w:tcBorders>
              <w:top w:val="nil"/>
              <w:left w:val="single" w:sz="4" w:space="0" w:color="auto"/>
              <w:bottom w:val="single" w:sz="4" w:space="0" w:color="auto"/>
              <w:right w:val="single" w:sz="4" w:space="0" w:color="auto"/>
            </w:tcBorders>
            <w:shd w:val="clear" w:color="auto" w:fill="auto"/>
            <w:noWrap/>
            <w:hideMark/>
          </w:tcPr>
          <w:p w14:paraId="2018D6EF" w14:textId="77777777" w:rsidR="00D8365A" w:rsidRPr="00362517" w:rsidRDefault="00D8365A" w:rsidP="00BF6BC7">
            <w:pPr>
              <w:tabs>
                <w:tab w:val="decimal" w:pos="1203"/>
              </w:tabs>
            </w:pPr>
            <w:r w:rsidRPr="00362517">
              <w:t>832</w:t>
            </w:r>
          </w:p>
        </w:tc>
        <w:tc>
          <w:tcPr>
            <w:tcW w:w="1012" w:type="pct"/>
            <w:tcBorders>
              <w:top w:val="nil"/>
              <w:left w:val="nil"/>
              <w:bottom w:val="single" w:sz="4" w:space="0" w:color="auto"/>
              <w:right w:val="single" w:sz="4" w:space="0" w:color="auto"/>
            </w:tcBorders>
            <w:shd w:val="clear" w:color="auto" w:fill="auto"/>
            <w:noWrap/>
            <w:hideMark/>
          </w:tcPr>
          <w:p w14:paraId="73FA557B" w14:textId="77777777" w:rsidR="00D8365A" w:rsidRPr="00362517" w:rsidRDefault="00D8365A" w:rsidP="00BF6BC7">
            <w:pPr>
              <w:tabs>
                <w:tab w:val="decimal" w:pos="1144"/>
              </w:tabs>
            </w:pPr>
            <w:r w:rsidRPr="00362517">
              <w:t>7,099</w:t>
            </w:r>
          </w:p>
        </w:tc>
        <w:tc>
          <w:tcPr>
            <w:tcW w:w="1343" w:type="pct"/>
            <w:tcBorders>
              <w:top w:val="nil"/>
              <w:left w:val="single" w:sz="4" w:space="0" w:color="auto"/>
              <w:bottom w:val="single" w:sz="4" w:space="0" w:color="auto"/>
              <w:right w:val="single" w:sz="8" w:space="0" w:color="auto"/>
            </w:tcBorders>
            <w:shd w:val="clear" w:color="auto" w:fill="auto"/>
            <w:noWrap/>
            <w:hideMark/>
          </w:tcPr>
          <w:p w14:paraId="65AE3489" w14:textId="77777777" w:rsidR="00D8365A" w:rsidRPr="00362517" w:rsidRDefault="00D8365A" w:rsidP="00BF6BC7">
            <w:pPr>
              <w:tabs>
                <w:tab w:val="decimal" w:pos="1098"/>
              </w:tabs>
            </w:pPr>
            <w:r w:rsidRPr="00362517">
              <w:t>1.6</w:t>
            </w:r>
          </w:p>
        </w:tc>
      </w:tr>
      <w:tr w:rsidR="00D8365A" w:rsidRPr="00362517" w14:paraId="33E6D2DA"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2BA9A2C1" w14:textId="77777777" w:rsidR="00D8365A" w:rsidRPr="00362517" w:rsidRDefault="00D8365A" w:rsidP="00BF6BC7">
            <w:pPr>
              <w:rPr>
                <w:lang w:eastAsia="ko-KR"/>
              </w:rPr>
            </w:pPr>
            <w:r w:rsidRPr="00362517">
              <w:rPr>
                <w:lang w:eastAsia="ko-KR"/>
              </w:rPr>
              <w:t>Montana</w:t>
            </w:r>
          </w:p>
        </w:tc>
        <w:tc>
          <w:tcPr>
            <w:tcW w:w="1109" w:type="pct"/>
            <w:tcBorders>
              <w:top w:val="nil"/>
              <w:left w:val="single" w:sz="4" w:space="0" w:color="auto"/>
              <w:bottom w:val="single" w:sz="4" w:space="0" w:color="auto"/>
              <w:right w:val="single" w:sz="4" w:space="0" w:color="auto"/>
            </w:tcBorders>
            <w:shd w:val="clear" w:color="auto" w:fill="auto"/>
            <w:noWrap/>
            <w:hideMark/>
          </w:tcPr>
          <w:p w14:paraId="25D59CCF" w14:textId="77777777" w:rsidR="00D8365A" w:rsidRPr="00362517" w:rsidRDefault="00D8365A" w:rsidP="00BF6BC7">
            <w:pPr>
              <w:tabs>
                <w:tab w:val="decimal" w:pos="1203"/>
              </w:tabs>
            </w:pPr>
            <w:r w:rsidRPr="00362517">
              <w:t>288</w:t>
            </w:r>
          </w:p>
        </w:tc>
        <w:tc>
          <w:tcPr>
            <w:tcW w:w="1012" w:type="pct"/>
            <w:tcBorders>
              <w:top w:val="nil"/>
              <w:left w:val="nil"/>
              <w:bottom w:val="single" w:sz="4" w:space="0" w:color="auto"/>
              <w:right w:val="single" w:sz="4" w:space="0" w:color="auto"/>
            </w:tcBorders>
            <w:shd w:val="clear" w:color="auto" w:fill="auto"/>
            <w:noWrap/>
            <w:hideMark/>
          </w:tcPr>
          <w:p w14:paraId="0EED6ABF" w14:textId="77777777" w:rsidR="00D8365A" w:rsidRPr="00362517" w:rsidRDefault="00D8365A" w:rsidP="00BF6BC7">
            <w:pPr>
              <w:tabs>
                <w:tab w:val="decimal" w:pos="1144"/>
              </w:tabs>
            </w:pPr>
            <w:r w:rsidRPr="00362517">
              <w:t>2,182</w:t>
            </w:r>
          </w:p>
        </w:tc>
        <w:tc>
          <w:tcPr>
            <w:tcW w:w="1343" w:type="pct"/>
            <w:tcBorders>
              <w:top w:val="nil"/>
              <w:left w:val="single" w:sz="4" w:space="0" w:color="auto"/>
              <w:bottom w:val="single" w:sz="4" w:space="0" w:color="auto"/>
              <w:right w:val="single" w:sz="8" w:space="0" w:color="auto"/>
            </w:tcBorders>
            <w:shd w:val="clear" w:color="auto" w:fill="auto"/>
            <w:noWrap/>
            <w:hideMark/>
          </w:tcPr>
          <w:p w14:paraId="4524E80B" w14:textId="77777777" w:rsidR="00D8365A" w:rsidRPr="00362517" w:rsidRDefault="00D8365A" w:rsidP="00BF6BC7">
            <w:pPr>
              <w:tabs>
                <w:tab w:val="decimal" w:pos="1098"/>
              </w:tabs>
            </w:pPr>
            <w:r w:rsidRPr="00362517">
              <w:t>1.4</w:t>
            </w:r>
          </w:p>
        </w:tc>
      </w:tr>
      <w:tr w:rsidR="00D8365A" w:rsidRPr="00362517" w14:paraId="20F0895F"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3933BB67" w14:textId="77777777" w:rsidR="00D8365A" w:rsidRPr="00362517" w:rsidRDefault="00D8365A" w:rsidP="00BF6BC7">
            <w:pPr>
              <w:rPr>
                <w:lang w:eastAsia="ko-KR"/>
              </w:rPr>
            </w:pPr>
            <w:r w:rsidRPr="00362517">
              <w:rPr>
                <w:lang w:eastAsia="ko-KR"/>
              </w:rPr>
              <w:t>Nebraska</w:t>
            </w:r>
          </w:p>
        </w:tc>
        <w:tc>
          <w:tcPr>
            <w:tcW w:w="1109" w:type="pct"/>
            <w:tcBorders>
              <w:top w:val="nil"/>
              <w:left w:val="single" w:sz="4" w:space="0" w:color="auto"/>
              <w:bottom w:val="single" w:sz="4" w:space="0" w:color="auto"/>
              <w:right w:val="single" w:sz="4" w:space="0" w:color="auto"/>
            </w:tcBorders>
            <w:shd w:val="clear" w:color="auto" w:fill="auto"/>
            <w:noWrap/>
            <w:hideMark/>
          </w:tcPr>
          <w:p w14:paraId="10A93FD4" w14:textId="77777777" w:rsidR="00D8365A" w:rsidRPr="00362517" w:rsidRDefault="00D8365A" w:rsidP="00BF6BC7">
            <w:pPr>
              <w:tabs>
                <w:tab w:val="decimal" w:pos="1203"/>
              </w:tabs>
            </w:pPr>
            <w:r w:rsidRPr="00362517">
              <w:t>1,108</w:t>
            </w:r>
          </w:p>
        </w:tc>
        <w:tc>
          <w:tcPr>
            <w:tcW w:w="1012" w:type="pct"/>
            <w:tcBorders>
              <w:top w:val="nil"/>
              <w:left w:val="nil"/>
              <w:bottom w:val="single" w:sz="4" w:space="0" w:color="auto"/>
              <w:right w:val="single" w:sz="4" w:space="0" w:color="auto"/>
            </w:tcBorders>
            <w:shd w:val="clear" w:color="auto" w:fill="auto"/>
            <w:noWrap/>
            <w:hideMark/>
          </w:tcPr>
          <w:p w14:paraId="48026096" w14:textId="77777777" w:rsidR="00D8365A" w:rsidRPr="00362517" w:rsidRDefault="00D8365A" w:rsidP="00BF6BC7">
            <w:pPr>
              <w:tabs>
                <w:tab w:val="decimal" w:pos="1144"/>
              </w:tabs>
            </w:pPr>
            <w:r w:rsidRPr="00362517">
              <w:t>8,812</w:t>
            </w:r>
          </w:p>
        </w:tc>
        <w:tc>
          <w:tcPr>
            <w:tcW w:w="1343" w:type="pct"/>
            <w:tcBorders>
              <w:top w:val="nil"/>
              <w:left w:val="single" w:sz="4" w:space="0" w:color="auto"/>
              <w:bottom w:val="single" w:sz="4" w:space="0" w:color="auto"/>
              <w:right w:val="single" w:sz="8" w:space="0" w:color="auto"/>
            </w:tcBorders>
            <w:shd w:val="clear" w:color="auto" w:fill="auto"/>
            <w:noWrap/>
            <w:hideMark/>
          </w:tcPr>
          <w:p w14:paraId="1E4039A7" w14:textId="77777777" w:rsidR="00D8365A" w:rsidRPr="00362517" w:rsidRDefault="00D8365A" w:rsidP="00BF6BC7">
            <w:pPr>
              <w:tabs>
                <w:tab w:val="decimal" w:pos="1098"/>
              </w:tabs>
            </w:pPr>
            <w:r w:rsidRPr="00362517">
              <w:t>1.4</w:t>
            </w:r>
          </w:p>
        </w:tc>
      </w:tr>
      <w:tr w:rsidR="00D8365A" w:rsidRPr="00362517" w14:paraId="59877F83"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46D2C2D9" w14:textId="77777777" w:rsidR="00D8365A" w:rsidRPr="00362517" w:rsidRDefault="00D8365A" w:rsidP="00BF6BC7">
            <w:pPr>
              <w:rPr>
                <w:lang w:eastAsia="ko-KR"/>
              </w:rPr>
            </w:pPr>
            <w:r w:rsidRPr="00362517">
              <w:rPr>
                <w:lang w:eastAsia="ko-KR"/>
              </w:rPr>
              <w:t>Nevada</w:t>
            </w:r>
          </w:p>
        </w:tc>
        <w:tc>
          <w:tcPr>
            <w:tcW w:w="1109" w:type="pct"/>
            <w:tcBorders>
              <w:top w:val="nil"/>
              <w:left w:val="single" w:sz="4" w:space="0" w:color="auto"/>
              <w:bottom w:val="single" w:sz="4" w:space="0" w:color="auto"/>
              <w:right w:val="single" w:sz="4" w:space="0" w:color="auto"/>
            </w:tcBorders>
            <w:shd w:val="clear" w:color="auto" w:fill="auto"/>
            <w:noWrap/>
            <w:hideMark/>
          </w:tcPr>
          <w:p w14:paraId="1E89E7A9" w14:textId="77777777" w:rsidR="00D8365A" w:rsidRPr="00362517" w:rsidRDefault="00D8365A" w:rsidP="00BF6BC7">
            <w:pPr>
              <w:tabs>
                <w:tab w:val="decimal" w:pos="1203"/>
              </w:tabs>
            </w:pPr>
            <w:r w:rsidRPr="00362517">
              <w:t>285</w:t>
            </w:r>
          </w:p>
        </w:tc>
        <w:tc>
          <w:tcPr>
            <w:tcW w:w="1012" w:type="pct"/>
            <w:tcBorders>
              <w:top w:val="nil"/>
              <w:left w:val="nil"/>
              <w:bottom w:val="single" w:sz="4" w:space="0" w:color="auto"/>
              <w:right w:val="single" w:sz="4" w:space="0" w:color="auto"/>
            </w:tcBorders>
            <w:shd w:val="clear" w:color="auto" w:fill="auto"/>
            <w:noWrap/>
            <w:hideMark/>
          </w:tcPr>
          <w:p w14:paraId="2B88F64B" w14:textId="77777777" w:rsidR="00D8365A" w:rsidRPr="00362517" w:rsidRDefault="00D8365A" w:rsidP="00BF6BC7">
            <w:pPr>
              <w:tabs>
                <w:tab w:val="decimal" w:pos="1144"/>
              </w:tabs>
            </w:pPr>
            <w:r w:rsidRPr="00362517">
              <w:t>1,433</w:t>
            </w:r>
          </w:p>
        </w:tc>
        <w:tc>
          <w:tcPr>
            <w:tcW w:w="1343" w:type="pct"/>
            <w:tcBorders>
              <w:top w:val="nil"/>
              <w:left w:val="single" w:sz="4" w:space="0" w:color="auto"/>
              <w:bottom w:val="single" w:sz="4" w:space="0" w:color="auto"/>
              <w:right w:val="single" w:sz="8" w:space="0" w:color="auto"/>
            </w:tcBorders>
            <w:shd w:val="clear" w:color="auto" w:fill="auto"/>
            <w:noWrap/>
            <w:hideMark/>
          </w:tcPr>
          <w:p w14:paraId="405D620E" w14:textId="77777777" w:rsidR="00D8365A" w:rsidRPr="00362517" w:rsidRDefault="00D8365A" w:rsidP="00BF6BC7">
            <w:pPr>
              <w:tabs>
                <w:tab w:val="decimal" w:pos="1098"/>
              </w:tabs>
            </w:pPr>
            <w:r w:rsidRPr="00362517">
              <w:t>2.2</w:t>
            </w:r>
          </w:p>
        </w:tc>
      </w:tr>
      <w:tr w:rsidR="00D8365A" w:rsidRPr="00362517" w14:paraId="21ECB02A"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3E33A8EB" w14:textId="77777777" w:rsidR="00D8365A" w:rsidRPr="00362517" w:rsidRDefault="00D8365A" w:rsidP="00BF6BC7">
            <w:pPr>
              <w:rPr>
                <w:lang w:eastAsia="ko-KR"/>
              </w:rPr>
            </w:pPr>
            <w:r w:rsidRPr="00362517">
              <w:rPr>
                <w:lang w:eastAsia="ko-KR"/>
              </w:rPr>
              <w:t>New Hampshire</w:t>
            </w:r>
          </w:p>
        </w:tc>
        <w:tc>
          <w:tcPr>
            <w:tcW w:w="1109" w:type="pct"/>
            <w:tcBorders>
              <w:top w:val="nil"/>
              <w:left w:val="single" w:sz="4" w:space="0" w:color="auto"/>
              <w:bottom w:val="single" w:sz="4" w:space="0" w:color="auto"/>
              <w:right w:val="single" w:sz="4" w:space="0" w:color="auto"/>
            </w:tcBorders>
            <w:shd w:val="clear" w:color="auto" w:fill="auto"/>
            <w:noWrap/>
            <w:hideMark/>
          </w:tcPr>
          <w:p w14:paraId="5EE42187" w14:textId="77777777" w:rsidR="00D8365A" w:rsidRPr="00362517" w:rsidRDefault="00D8365A" w:rsidP="00BF6BC7">
            <w:pPr>
              <w:tabs>
                <w:tab w:val="decimal" w:pos="1203"/>
              </w:tabs>
            </w:pPr>
            <w:r w:rsidRPr="00362517">
              <w:t>303</w:t>
            </w:r>
          </w:p>
        </w:tc>
        <w:tc>
          <w:tcPr>
            <w:tcW w:w="1012" w:type="pct"/>
            <w:tcBorders>
              <w:top w:val="nil"/>
              <w:left w:val="nil"/>
              <w:bottom w:val="single" w:sz="4" w:space="0" w:color="auto"/>
              <w:right w:val="single" w:sz="4" w:space="0" w:color="auto"/>
            </w:tcBorders>
            <w:shd w:val="clear" w:color="auto" w:fill="auto"/>
            <w:noWrap/>
            <w:hideMark/>
          </w:tcPr>
          <w:p w14:paraId="70E70FEE" w14:textId="77777777" w:rsidR="00D8365A" w:rsidRPr="00362517" w:rsidRDefault="00D8365A" w:rsidP="00BF6BC7">
            <w:pPr>
              <w:tabs>
                <w:tab w:val="decimal" w:pos="1144"/>
              </w:tabs>
            </w:pPr>
            <w:r w:rsidRPr="00362517">
              <w:t>993</w:t>
            </w:r>
          </w:p>
        </w:tc>
        <w:tc>
          <w:tcPr>
            <w:tcW w:w="1343" w:type="pct"/>
            <w:tcBorders>
              <w:top w:val="nil"/>
              <w:left w:val="single" w:sz="4" w:space="0" w:color="auto"/>
              <w:bottom w:val="single" w:sz="4" w:space="0" w:color="auto"/>
              <w:right w:val="single" w:sz="8" w:space="0" w:color="auto"/>
            </w:tcBorders>
            <w:shd w:val="clear" w:color="auto" w:fill="auto"/>
            <w:noWrap/>
            <w:hideMark/>
          </w:tcPr>
          <w:p w14:paraId="6B5B2022" w14:textId="77777777" w:rsidR="00D8365A" w:rsidRPr="00362517" w:rsidRDefault="00D8365A" w:rsidP="00BF6BC7">
            <w:pPr>
              <w:tabs>
                <w:tab w:val="decimal" w:pos="1098"/>
              </w:tabs>
            </w:pPr>
            <w:r w:rsidRPr="00362517">
              <w:t>1.9</w:t>
            </w:r>
          </w:p>
        </w:tc>
      </w:tr>
      <w:tr w:rsidR="00D8365A" w:rsidRPr="00362517" w14:paraId="75758A2E"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102EFFD2" w14:textId="77777777" w:rsidR="00D8365A" w:rsidRPr="00362517" w:rsidRDefault="00D8365A" w:rsidP="00BF6BC7">
            <w:pPr>
              <w:rPr>
                <w:lang w:eastAsia="ko-KR"/>
              </w:rPr>
            </w:pPr>
            <w:r w:rsidRPr="00362517">
              <w:rPr>
                <w:lang w:eastAsia="ko-KR"/>
              </w:rPr>
              <w:t>New Jersey</w:t>
            </w:r>
          </w:p>
        </w:tc>
        <w:tc>
          <w:tcPr>
            <w:tcW w:w="1109" w:type="pct"/>
            <w:tcBorders>
              <w:top w:val="nil"/>
              <w:left w:val="single" w:sz="4" w:space="0" w:color="auto"/>
              <w:bottom w:val="single" w:sz="4" w:space="0" w:color="auto"/>
              <w:right w:val="single" w:sz="4" w:space="0" w:color="auto"/>
            </w:tcBorders>
            <w:shd w:val="clear" w:color="auto" w:fill="auto"/>
            <w:noWrap/>
            <w:hideMark/>
          </w:tcPr>
          <w:p w14:paraId="7618D67B" w14:textId="77777777" w:rsidR="00D8365A" w:rsidRPr="00362517" w:rsidRDefault="00D8365A" w:rsidP="00BF6BC7">
            <w:pPr>
              <w:tabs>
                <w:tab w:val="decimal" w:pos="1203"/>
              </w:tabs>
            </w:pPr>
            <w:r w:rsidRPr="00362517">
              <w:t>640</w:t>
            </w:r>
          </w:p>
        </w:tc>
        <w:tc>
          <w:tcPr>
            <w:tcW w:w="1012" w:type="pct"/>
            <w:tcBorders>
              <w:top w:val="nil"/>
              <w:left w:val="nil"/>
              <w:bottom w:val="single" w:sz="4" w:space="0" w:color="auto"/>
              <w:right w:val="single" w:sz="4" w:space="0" w:color="auto"/>
            </w:tcBorders>
            <w:shd w:val="clear" w:color="auto" w:fill="auto"/>
            <w:noWrap/>
            <w:hideMark/>
          </w:tcPr>
          <w:p w14:paraId="31E9198E" w14:textId="77777777" w:rsidR="00D8365A" w:rsidRPr="00362517" w:rsidRDefault="00D8365A" w:rsidP="00BF6BC7">
            <w:pPr>
              <w:tabs>
                <w:tab w:val="decimal" w:pos="1144"/>
              </w:tabs>
            </w:pPr>
            <w:r w:rsidRPr="00362517">
              <w:t>8,266</w:t>
            </w:r>
          </w:p>
        </w:tc>
        <w:tc>
          <w:tcPr>
            <w:tcW w:w="1343" w:type="pct"/>
            <w:tcBorders>
              <w:top w:val="nil"/>
              <w:left w:val="single" w:sz="4" w:space="0" w:color="auto"/>
              <w:bottom w:val="single" w:sz="4" w:space="0" w:color="auto"/>
              <w:right w:val="single" w:sz="8" w:space="0" w:color="auto"/>
            </w:tcBorders>
            <w:shd w:val="clear" w:color="auto" w:fill="auto"/>
            <w:noWrap/>
            <w:hideMark/>
          </w:tcPr>
          <w:p w14:paraId="56863394" w14:textId="77777777" w:rsidR="00D8365A" w:rsidRPr="00362517" w:rsidRDefault="00D8365A" w:rsidP="00BF6BC7">
            <w:pPr>
              <w:tabs>
                <w:tab w:val="decimal" w:pos="1098"/>
              </w:tabs>
            </w:pPr>
            <w:r w:rsidRPr="00362517">
              <w:t>1.6</w:t>
            </w:r>
          </w:p>
        </w:tc>
      </w:tr>
      <w:tr w:rsidR="00D8365A" w:rsidRPr="00362517" w14:paraId="0BFFB33A"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3943099D" w14:textId="77777777" w:rsidR="00D8365A" w:rsidRPr="00362517" w:rsidRDefault="00D8365A" w:rsidP="00BF6BC7">
            <w:pPr>
              <w:rPr>
                <w:lang w:eastAsia="ko-KR"/>
              </w:rPr>
            </w:pPr>
            <w:r w:rsidRPr="00362517">
              <w:rPr>
                <w:lang w:eastAsia="ko-KR"/>
              </w:rPr>
              <w:t>New Mexico</w:t>
            </w:r>
          </w:p>
        </w:tc>
        <w:tc>
          <w:tcPr>
            <w:tcW w:w="1109" w:type="pct"/>
            <w:tcBorders>
              <w:top w:val="nil"/>
              <w:left w:val="single" w:sz="4" w:space="0" w:color="auto"/>
              <w:bottom w:val="single" w:sz="4" w:space="0" w:color="auto"/>
              <w:right w:val="single" w:sz="4" w:space="0" w:color="auto"/>
            </w:tcBorders>
            <w:shd w:val="clear" w:color="auto" w:fill="auto"/>
            <w:noWrap/>
            <w:hideMark/>
          </w:tcPr>
          <w:p w14:paraId="5BD48C19" w14:textId="77777777" w:rsidR="00D8365A" w:rsidRPr="00362517" w:rsidRDefault="00D8365A" w:rsidP="00BF6BC7">
            <w:pPr>
              <w:tabs>
                <w:tab w:val="decimal" w:pos="1203"/>
              </w:tabs>
            </w:pPr>
            <w:r w:rsidRPr="00362517">
              <w:t>634</w:t>
            </w:r>
          </w:p>
        </w:tc>
        <w:tc>
          <w:tcPr>
            <w:tcW w:w="1012" w:type="pct"/>
            <w:tcBorders>
              <w:top w:val="nil"/>
              <w:left w:val="nil"/>
              <w:bottom w:val="single" w:sz="4" w:space="0" w:color="auto"/>
              <w:right w:val="single" w:sz="4" w:space="0" w:color="auto"/>
            </w:tcBorders>
            <w:shd w:val="clear" w:color="auto" w:fill="auto"/>
            <w:noWrap/>
            <w:hideMark/>
          </w:tcPr>
          <w:p w14:paraId="040F808A" w14:textId="77777777" w:rsidR="00D8365A" w:rsidRPr="00362517" w:rsidRDefault="00D8365A" w:rsidP="00BF6BC7">
            <w:pPr>
              <w:tabs>
                <w:tab w:val="decimal" w:pos="1144"/>
              </w:tabs>
            </w:pPr>
            <w:r w:rsidRPr="00362517">
              <w:t>1,796</w:t>
            </w:r>
          </w:p>
        </w:tc>
        <w:tc>
          <w:tcPr>
            <w:tcW w:w="1343" w:type="pct"/>
            <w:tcBorders>
              <w:top w:val="nil"/>
              <w:left w:val="single" w:sz="4" w:space="0" w:color="auto"/>
              <w:bottom w:val="single" w:sz="4" w:space="0" w:color="auto"/>
              <w:right w:val="single" w:sz="8" w:space="0" w:color="auto"/>
            </w:tcBorders>
            <w:shd w:val="clear" w:color="auto" w:fill="auto"/>
            <w:noWrap/>
            <w:hideMark/>
          </w:tcPr>
          <w:p w14:paraId="61C2DF5C" w14:textId="77777777" w:rsidR="00D8365A" w:rsidRPr="00362517" w:rsidRDefault="00D8365A" w:rsidP="00BF6BC7">
            <w:pPr>
              <w:tabs>
                <w:tab w:val="decimal" w:pos="1098"/>
              </w:tabs>
            </w:pPr>
            <w:r w:rsidRPr="00362517">
              <w:t>2.3</w:t>
            </w:r>
          </w:p>
        </w:tc>
      </w:tr>
      <w:tr w:rsidR="00D8365A" w:rsidRPr="00362517" w14:paraId="05541FA2"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6B8B73A3" w14:textId="77777777" w:rsidR="00D8365A" w:rsidRPr="00362517" w:rsidRDefault="00D8365A" w:rsidP="00BF6BC7">
            <w:pPr>
              <w:rPr>
                <w:lang w:eastAsia="ko-KR"/>
              </w:rPr>
            </w:pPr>
            <w:r w:rsidRPr="00362517">
              <w:rPr>
                <w:lang w:eastAsia="ko-KR"/>
              </w:rPr>
              <w:t>New York</w:t>
            </w:r>
          </w:p>
        </w:tc>
        <w:tc>
          <w:tcPr>
            <w:tcW w:w="1109" w:type="pct"/>
            <w:tcBorders>
              <w:top w:val="nil"/>
              <w:left w:val="single" w:sz="4" w:space="0" w:color="auto"/>
              <w:bottom w:val="single" w:sz="4" w:space="0" w:color="auto"/>
              <w:right w:val="single" w:sz="4" w:space="0" w:color="auto"/>
            </w:tcBorders>
            <w:shd w:val="clear" w:color="auto" w:fill="auto"/>
            <w:noWrap/>
            <w:hideMark/>
          </w:tcPr>
          <w:p w14:paraId="5FE01D90" w14:textId="77777777" w:rsidR="00D8365A" w:rsidRPr="00362517" w:rsidRDefault="00D8365A" w:rsidP="00BF6BC7">
            <w:pPr>
              <w:tabs>
                <w:tab w:val="decimal" w:pos="1203"/>
              </w:tabs>
            </w:pPr>
            <w:r w:rsidRPr="00362517">
              <w:t>1,187</w:t>
            </w:r>
          </w:p>
        </w:tc>
        <w:tc>
          <w:tcPr>
            <w:tcW w:w="1012" w:type="pct"/>
            <w:tcBorders>
              <w:top w:val="nil"/>
              <w:left w:val="nil"/>
              <w:bottom w:val="single" w:sz="4" w:space="0" w:color="auto"/>
              <w:right w:val="single" w:sz="4" w:space="0" w:color="auto"/>
            </w:tcBorders>
            <w:shd w:val="clear" w:color="auto" w:fill="auto"/>
            <w:noWrap/>
            <w:hideMark/>
          </w:tcPr>
          <w:p w14:paraId="33DB0623" w14:textId="77777777" w:rsidR="00D8365A" w:rsidRPr="00362517" w:rsidRDefault="00D8365A" w:rsidP="00BF6BC7">
            <w:pPr>
              <w:tabs>
                <w:tab w:val="decimal" w:pos="1144"/>
              </w:tabs>
            </w:pPr>
            <w:r w:rsidRPr="00362517">
              <w:t>17,553</w:t>
            </w:r>
          </w:p>
        </w:tc>
        <w:tc>
          <w:tcPr>
            <w:tcW w:w="1343" w:type="pct"/>
            <w:tcBorders>
              <w:top w:val="nil"/>
              <w:left w:val="single" w:sz="4" w:space="0" w:color="auto"/>
              <w:bottom w:val="single" w:sz="4" w:space="0" w:color="auto"/>
              <w:right w:val="single" w:sz="8" w:space="0" w:color="auto"/>
            </w:tcBorders>
            <w:shd w:val="clear" w:color="auto" w:fill="auto"/>
            <w:noWrap/>
            <w:hideMark/>
          </w:tcPr>
          <w:p w14:paraId="74874AF9" w14:textId="77777777" w:rsidR="00D8365A" w:rsidRPr="00362517" w:rsidRDefault="00D8365A" w:rsidP="00BF6BC7">
            <w:pPr>
              <w:tabs>
                <w:tab w:val="decimal" w:pos="1098"/>
              </w:tabs>
            </w:pPr>
            <w:r w:rsidRPr="00362517">
              <w:t>1.4</w:t>
            </w:r>
          </w:p>
        </w:tc>
      </w:tr>
      <w:tr w:rsidR="00D8365A" w:rsidRPr="00362517" w14:paraId="2A8B6C99"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074E2FFE" w14:textId="77777777" w:rsidR="00D8365A" w:rsidRPr="00362517" w:rsidRDefault="00D8365A" w:rsidP="00BF6BC7">
            <w:pPr>
              <w:rPr>
                <w:lang w:eastAsia="ko-KR"/>
              </w:rPr>
            </w:pPr>
            <w:r w:rsidRPr="00362517">
              <w:rPr>
                <w:lang w:eastAsia="ko-KR"/>
              </w:rPr>
              <w:t>North Carolina</w:t>
            </w:r>
          </w:p>
        </w:tc>
        <w:tc>
          <w:tcPr>
            <w:tcW w:w="1109" w:type="pct"/>
            <w:tcBorders>
              <w:top w:val="nil"/>
              <w:left w:val="single" w:sz="4" w:space="0" w:color="auto"/>
              <w:bottom w:val="single" w:sz="4" w:space="0" w:color="auto"/>
              <w:right w:val="single" w:sz="4" w:space="0" w:color="auto"/>
            </w:tcBorders>
            <w:shd w:val="clear" w:color="auto" w:fill="auto"/>
            <w:noWrap/>
            <w:hideMark/>
          </w:tcPr>
          <w:p w14:paraId="5D93E835" w14:textId="77777777" w:rsidR="00D8365A" w:rsidRPr="00362517" w:rsidRDefault="00D8365A" w:rsidP="00BF6BC7">
            <w:pPr>
              <w:tabs>
                <w:tab w:val="decimal" w:pos="1203"/>
              </w:tabs>
            </w:pPr>
            <w:r w:rsidRPr="00362517">
              <w:t>1,325</w:t>
            </w:r>
          </w:p>
        </w:tc>
        <w:tc>
          <w:tcPr>
            <w:tcW w:w="1012" w:type="pct"/>
            <w:tcBorders>
              <w:top w:val="nil"/>
              <w:left w:val="nil"/>
              <w:bottom w:val="single" w:sz="4" w:space="0" w:color="auto"/>
              <w:right w:val="single" w:sz="4" w:space="0" w:color="auto"/>
            </w:tcBorders>
            <w:shd w:val="clear" w:color="auto" w:fill="auto"/>
            <w:noWrap/>
            <w:hideMark/>
          </w:tcPr>
          <w:p w14:paraId="0E40174B" w14:textId="77777777" w:rsidR="00D8365A" w:rsidRPr="00362517" w:rsidRDefault="00D8365A" w:rsidP="00BF6BC7">
            <w:pPr>
              <w:tabs>
                <w:tab w:val="decimal" w:pos="1144"/>
              </w:tabs>
            </w:pPr>
            <w:r w:rsidRPr="00362517">
              <w:t>17,741</w:t>
            </w:r>
          </w:p>
        </w:tc>
        <w:tc>
          <w:tcPr>
            <w:tcW w:w="1343" w:type="pct"/>
            <w:tcBorders>
              <w:top w:val="nil"/>
              <w:left w:val="single" w:sz="4" w:space="0" w:color="auto"/>
              <w:bottom w:val="single" w:sz="4" w:space="0" w:color="auto"/>
              <w:right w:val="single" w:sz="8" w:space="0" w:color="auto"/>
            </w:tcBorders>
            <w:shd w:val="clear" w:color="auto" w:fill="auto"/>
            <w:noWrap/>
            <w:hideMark/>
          </w:tcPr>
          <w:p w14:paraId="4BCA4A26" w14:textId="77777777" w:rsidR="00D8365A" w:rsidRPr="00362517" w:rsidRDefault="00D8365A" w:rsidP="00BF6BC7">
            <w:pPr>
              <w:tabs>
                <w:tab w:val="decimal" w:pos="1098"/>
              </w:tabs>
            </w:pPr>
            <w:r w:rsidRPr="00362517">
              <w:t>1.5</w:t>
            </w:r>
          </w:p>
        </w:tc>
      </w:tr>
      <w:tr w:rsidR="00D8365A" w:rsidRPr="00362517" w14:paraId="1A83FA12"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41D1E66D" w14:textId="77777777" w:rsidR="00D8365A" w:rsidRPr="00362517" w:rsidRDefault="00D8365A" w:rsidP="00BF6BC7">
            <w:pPr>
              <w:rPr>
                <w:lang w:eastAsia="ko-KR"/>
              </w:rPr>
            </w:pPr>
            <w:r w:rsidRPr="00362517">
              <w:rPr>
                <w:lang w:eastAsia="ko-KR"/>
              </w:rPr>
              <w:t>North Dakota</w:t>
            </w:r>
          </w:p>
        </w:tc>
        <w:tc>
          <w:tcPr>
            <w:tcW w:w="1109" w:type="pct"/>
            <w:tcBorders>
              <w:top w:val="nil"/>
              <w:left w:val="single" w:sz="4" w:space="0" w:color="auto"/>
              <w:bottom w:val="single" w:sz="4" w:space="0" w:color="auto"/>
              <w:right w:val="single" w:sz="4" w:space="0" w:color="auto"/>
            </w:tcBorders>
            <w:shd w:val="clear" w:color="auto" w:fill="auto"/>
            <w:noWrap/>
            <w:hideMark/>
          </w:tcPr>
          <w:p w14:paraId="2C81A9F5" w14:textId="77777777" w:rsidR="00D8365A" w:rsidRPr="00362517" w:rsidRDefault="00D8365A" w:rsidP="00BF6BC7">
            <w:pPr>
              <w:tabs>
                <w:tab w:val="decimal" w:pos="1203"/>
              </w:tabs>
            </w:pPr>
            <w:r w:rsidRPr="00362517">
              <w:t>434</w:t>
            </w:r>
          </w:p>
        </w:tc>
        <w:tc>
          <w:tcPr>
            <w:tcW w:w="1012" w:type="pct"/>
            <w:tcBorders>
              <w:top w:val="nil"/>
              <w:left w:val="nil"/>
              <w:bottom w:val="single" w:sz="4" w:space="0" w:color="auto"/>
              <w:right w:val="single" w:sz="4" w:space="0" w:color="auto"/>
            </w:tcBorders>
            <w:shd w:val="clear" w:color="auto" w:fill="auto"/>
            <w:noWrap/>
            <w:hideMark/>
          </w:tcPr>
          <w:p w14:paraId="0561E4FD" w14:textId="77777777" w:rsidR="00D8365A" w:rsidRPr="00362517" w:rsidRDefault="00D8365A" w:rsidP="00BF6BC7">
            <w:pPr>
              <w:tabs>
                <w:tab w:val="decimal" w:pos="1144"/>
              </w:tabs>
            </w:pPr>
            <w:r w:rsidRPr="00362517">
              <w:t>5,031</w:t>
            </w:r>
          </w:p>
        </w:tc>
        <w:tc>
          <w:tcPr>
            <w:tcW w:w="1343" w:type="pct"/>
            <w:tcBorders>
              <w:top w:val="nil"/>
              <w:left w:val="single" w:sz="4" w:space="0" w:color="auto"/>
              <w:bottom w:val="single" w:sz="4" w:space="0" w:color="auto"/>
              <w:right w:val="single" w:sz="8" w:space="0" w:color="auto"/>
            </w:tcBorders>
            <w:shd w:val="clear" w:color="auto" w:fill="auto"/>
            <w:noWrap/>
            <w:hideMark/>
          </w:tcPr>
          <w:p w14:paraId="179A6E3E" w14:textId="77777777" w:rsidR="00D8365A" w:rsidRPr="00362517" w:rsidRDefault="00D8365A" w:rsidP="00BF6BC7">
            <w:pPr>
              <w:tabs>
                <w:tab w:val="decimal" w:pos="1098"/>
              </w:tabs>
            </w:pPr>
            <w:r w:rsidRPr="00362517">
              <w:t>1.6</w:t>
            </w:r>
          </w:p>
        </w:tc>
      </w:tr>
      <w:tr w:rsidR="00D8365A" w:rsidRPr="00362517" w14:paraId="11101B6F"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541D4B32" w14:textId="77777777" w:rsidR="00D8365A" w:rsidRPr="00362517" w:rsidRDefault="00D8365A" w:rsidP="00BF6BC7">
            <w:pPr>
              <w:rPr>
                <w:lang w:eastAsia="ko-KR"/>
              </w:rPr>
            </w:pPr>
            <w:r w:rsidRPr="00362517">
              <w:rPr>
                <w:lang w:eastAsia="ko-KR"/>
              </w:rPr>
              <w:t>Ohio</w:t>
            </w:r>
          </w:p>
        </w:tc>
        <w:tc>
          <w:tcPr>
            <w:tcW w:w="1109" w:type="pct"/>
            <w:tcBorders>
              <w:top w:val="nil"/>
              <w:left w:val="single" w:sz="4" w:space="0" w:color="auto"/>
              <w:bottom w:val="single" w:sz="4" w:space="0" w:color="auto"/>
              <w:right w:val="single" w:sz="4" w:space="0" w:color="auto"/>
            </w:tcBorders>
            <w:shd w:val="clear" w:color="auto" w:fill="auto"/>
            <w:noWrap/>
            <w:hideMark/>
          </w:tcPr>
          <w:p w14:paraId="02DAA206" w14:textId="77777777" w:rsidR="00D8365A" w:rsidRPr="00362517" w:rsidRDefault="00D8365A" w:rsidP="00BF6BC7">
            <w:pPr>
              <w:tabs>
                <w:tab w:val="decimal" w:pos="1203"/>
              </w:tabs>
            </w:pPr>
            <w:r w:rsidRPr="00362517">
              <w:t>1,436</w:t>
            </w:r>
          </w:p>
        </w:tc>
        <w:tc>
          <w:tcPr>
            <w:tcW w:w="1012" w:type="pct"/>
            <w:tcBorders>
              <w:top w:val="nil"/>
              <w:left w:val="nil"/>
              <w:bottom w:val="single" w:sz="4" w:space="0" w:color="auto"/>
              <w:right w:val="single" w:sz="4" w:space="0" w:color="auto"/>
            </w:tcBorders>
            <w:shd w:val="clear" w:color="auto" w:fill="auto"/>
            <w:noWrap/>
            <w:hideMark/>
          </w:tcPr>
          <w:p w14:paraId="18866007" w14:textId="77777777" w:rsidR="00D8365A" w:rsidRPr="00362517" w:rsidRDefault="00D8365A" w:rsidP="00BF6BC7">
            <w:pPr>
              <w:tabs>
                <w:tab w:val="decimal" w:pos="1144"/>
              </w:tabs>
            </w:pPr>
            <w:r w:rsidRPr="00362517">
              <w:t>11,762</w:t>
            </w:r>
          </w:p>
        </w:tc>
        <w:tc>
          <w:tcPr>
            <w:tcW w:w="1343" w:type="pct"/>
            <w:tcBorders>
              <w:top w:val="nil"/>
              <w:left w:val="single" w:sz="4" w:space="0" w:color="auto"/>
              <w:bottom w:val="single" w:sz="4" w:space="0" w:color="auto"/>
              <w:right w:val="single" w:sz="8" w:space="0" w:color="auto"/>
            </w:tcBorders>
            <w:shd w:val="clear" w:color="auto" w:fill="auto"/>
            <w:noWrap/>
            <w:hideMark/>
          </w:tcPr>
          <w:p w14:paraId="761EA796" w14:textId="77777777" w:rsidR="00D8365A" w:rsidRPr="00362517" w:rsidRDefault="00D8365A" w:rsidP="00BF6BC7">
            <w:pPr>
              <w:tabs>
                <w:tab w:val="decimal" w:pos="1098"/>
              </w:tabs>
            </w:pPr>
            <w:r w:rsidRPr="00362517">
              <w:t>2.7</w:t>
            </w:r>
          </w:p>
        </w:tc>
      </w:tr>
      <w:tr w:rsidR="00D8365A" w:rsidRPr="00362517" w14:paraId="2481735A"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31F92134" w14:textId="77777777" w:rsidR="00D8365A" w:rsidRPr="00362517" w:rsidRDefault="00D8365A" w:rsidP="00BF6BC7">
            <w:pPr>
              <w:rPr>
                <w:lang w:eastAsia="ko-KR"/>
              </w:rPr>
            </w:pPr>
            <w:r w:rsidRPr="00362517">
              <w:rPr>
                <w:lang w:eastAsia="ko-KR"/>
              </w:rPr>
              <w:t>Oklahoma</w:t>
            </w:r>
          </w:p>
        </w:tc>
        <w:tc>
          <w:tcPr>
            <w:tcW w:w="1109" w:type="pct"/>
            <w:tcBorders>
              <w:top w:val="nil"/>
              <w:left w:val="single" w:sz="4" w:space="0" w:color="auto"/>
              <w:bottom w:val="single" w:sz="4" w:space="0" w:color="auto"/>
              <w:right w:val="single" w:sz="4" w:space="0" w:color="auto"/>
            </w:tcBorders>
            <w:shd w:val="clear" w:color="auto" w:fill="auto"/>
            <w:noWrap/>
            <w:hideMark/>
          </w:tcPr>
          <w:p w14:paraId="3D7BA45A" w14:textId="77777777" w:rsidR="00D8365A" w:rsidRPr="00362517" w:rsidRDefault="00D8365A" w:rsidP="00BF6BC7">
            <w:pPr>
              <w:tabs>
                <w:tab w:val="decimal" w:pos="1203"/>
              </w:tabs>
            </w:pPr>
            <w:r w:rsidRPr="00362517">
              <w:t>1,711</w:t>
            </w:r>
          </w:p>
        </w:tc>
        <w:tc>
          <w:tcPr>
            <w:tcW w:w="1012" w:type="pct"/>
            <w:tcBorders>
              <w:top w:val="nil"/>
              <w:left w:val="nil"/>
              <w:bottom w:val="single" w:sz="4" w:space="0" w:color="auto"/>
              <w:right w:val="single" w:sz="4" w:space="0" w:color="auto"/>
            </w:tcBorders>
            <w:shd w:val="clear" w:color="auto" w:fill="auto"/>
            <w:noWrap/>
            <w:hideMark/>
          </w:tcPr>
          <w:p w14:paraId="4B5CF014" w14:textId="77777777" w:rsidR="00D8365A" w:rsidRPr="00362517" w:rsidRDefault="00D8365A" w:rsidP="00BF6BC7">
            <w:pPr>
              <w:tabs>
                <w:tab w:val="decimal" w:pos="1144"/>
              </w:tabs>
            </w:pPr>
            <w:r w:rsidRPr="00362517">
              <w:t>9,348</w:t>
            </w:r>
          </w:p>
        </w:tc>
        <w:tc>
          <w:tcPr>
            <w:tcW w:w="1343" w:type="pct"/>
            <w:tcBorders>
              <w:top w:val="nil"/>
              <w:left w:val="single" w:sz="4" w:space="0" w:color="auto"/>
              <w:bottom w:val="single" w:sz="4" w:space="0" w:color="auto"/>
              <w:right w:val="single" w:sz="8" w:space="0" w:color="auto"/>
            </w:tcBorders>
            <w:shd w:val="clear" w:color="auto" w:fill="auto"/>
            <w:noWrap/>
            <w:hideMark/>
          </w:tcPr>
          <w:p w14:paraId="477311DF" w14:textId="77777777" w:rsidR="00D8365A" w:rsidRPr="00362517" w:rsidRDefault="00D8365A" w:rsidP="00BF6BC7">
            <w:pPr>
              <w:tabs>
                <w:tab w:val="decimal" w:pos="1098"/>
              </w:tabs>
            </w:pPr>
            <w:r w:rsidRPr="00362517">
              <w:t>2.8</w:t>
            </w:r>
          </w:p>
        </w:tc>
      </w:tr>
      <w:tr w:rsidR="00D8365A" w:rsidRPr="00362517" w14:paraId="1CF7AE08"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15330749" w14:textId="77777777" w:rsidR="00D8365A" w:rsidRPr="00362517" w:rsidRDefault="00D8365A" w:rsidP="00BF6BC7">
            <w:pPr>
              <w:rPr>
                <w:lang w:eastAsia="ko-KR"/>
              </w:rPr>
            </w:pPr>
            <w:r w:rsidRPr="00362517">
              <w:rPr>
                <w:lang w:eastAsia="ko-KR"/>
              </w:rPr>
              <w:t>Oregon</w:t>
            </w:r>
          </w:p>
        </w:tc>
        <w:tc>
          <w:tcPr>
            <w:tcW w:w="1109" w:type="pct"/>
            <w:tcBorders>
              <w:top w:val="nil"/>
              <w:left w:val="single" w:sz="4" w:space="0" w:color="auto"/>
              <w:bottom w:val="single" w:sz="4" w:space="0" w:color="auto"/>
              <w:right w:val="single" w:sz="4" w:space="0" w:color="auto"/>
            </w:tcBorders>
            <w:shd w:val="clear" w:color="auto" w:fill="auto"/>
            <w:noWrap/>
            <w:hideMark/>
          </w:tcPr>
          <w:p w14:paraId="61AB28D9" w14:textId="77777777" w:rsidR="00D8365A" w:rsidRPr="00362517" w:rsidRDefault="00D8365A" w:rsidP="00BF6BC7">
            <w:pPr>
              <w:tabs>
                <w:tab w:val="decimal" w:pos="1203"/>
              </w:tabs>
            </w:pPr>
            <w:r w:rsidRPr="00362517">
              <w:t>452</w:t>
            </w:r>
          </w:p>
        </w:tc>
        <w:tc>
          <w:tcPr>
            <w:tcW w:w="1012" w:type="pct"/>
            <w:tcBorders>
              <w:top w:val="nil"/>
              <w:left w:val="nil"/>
              <w:bottom w:val="single" w:sz="4" w:space="0" w:color="auto"/>
              <w:right w:val="single" w:sz="4" w:space="0" w:color="auto"/>
            </w:tcBorders>
            <w:shd w:val="clear" w:color="auto" w:fill="auto"/>
            <w:noWrap/>
            <w:hideMark/>
          </w:tcPr>
          <w:p w14:paraId="7E4B08E9" w14:textId="77777777" w:rsidR="00D8365A" w:rsidRPr="00362517" w:rsidRDefault="00D8365A" w:rsidP="00BF6BC7">
            <w:pPr>
              <w:tabs>
                <w:tab w:val="decimal" w:pos="1144"/>
              </w:tabs>
            </w:pPr>
            <w:r w:rsidRPr="00362517">
              <w:t>4,460</w:t>
            </w:r>
          </w:p>
        </w:tc>
        <w:tc>
          <w:tcPr>
            <w:tcW w:w="1343" w:type="pct"/>
            <w:tcBorders>
              <w:top w:val="nil"/>
              <w:left w:val="single" w:sz="4" w:space="0" w:color="auto"/>
              <w:bottom w:val="single" w:sz="4" w:space="0" w:color="auto"/>
              <w:right w:val="single" w:sz="8" w:space="0" w:color="auto"/>
            </w:tcBorders>
            <w:shd w:val="clear" w:color="auto" w:fill="auto"/>
            <w:noWrap/>
            <w:hideMark/>
          </w:tcPr>
          <w:p w14:paraId="1FA1CB0E" w14:textId="77777777" w:rsidR="00D8365A" w:rsidRPr="00362517" w:rsidRDefault="00D8365A" w:rsidP="00BF6BC7">
            <w:pPr>
              <w:tabs>
                <w:tab w:val="decimal" w:pos="1098"/>
              </w:tabs>
            </w:pPr>
            <w:r w:rsidRPr="00362517">
              <w:t>2.2</w:t>
            </w:r>
          </w:p>
        </w:tc>
      </w:tr>
      <w:tr w:rsidR="00D8365A" w:rsidRPr="00362517" w14:paraId="7CA62247"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64DC297E" w14:textId="77777777" w:rsidR="00D8365A" w:rsidRPr="00362517" w:rsidRDefault="00D8365A" w:rsidP="00BF6BC7">
            <w:pPr>
              <w:rPr>
                <w:lang w:eastAsia="ko-KR"/>
              </w:rPr>
            </w:pPr>
            <w:r w:rsidRPr="00362517">
              <w:rPr>
                <w:lang w:eastAsia="ko-KR"/>
              </w:rPr>
              <w:t>Pennsylvania</w:t>
            </w:r>
          </w:p>
        </w:tc>
        <w:tc>
          <w:tcPr>
            <w:tcW w:w="1109" w:type="pct"/>
            <w:tcBorders>
              <w:top w:val="nil"/>
              <w:left w:val="single" w:sz="4" w:space="0" w:color="auto"/>
              <w:bottom w:val="single" w:sz="4" w:space="0" w:color="auto"/>
              <w:right w:val="single" w:sz="4" w:space="0" w:color="auto"/>
            </w:tcBorders>
            <w:shd w:val="clear" w:color="auto" w:fill="auto"/>
            <w:noWrap/>
            <w:hideMark/>
          </w:tcPr>
          <w:p w14:paraId="6D30B6A4" w14:textId="77777777" w:rsidR="00D8365A" w:rsidRPr="00362517" w:rsidRDefault="00D8365A" w:rsidP="00BF6BC7">
            <w:pPr>
              <w:tabs>
                <w:tab w:val="decimal" w:pos="1203"/>
              </w:tabs>
            </w:pPr>
            <w:r w:rsidRPr="00362517">
              <w:t>2,287</w:t>
            </w:r>
          </w:p>
        </w:tc>
        <w:tc>
          <w:tcPr>
            <w:tcW w:w="1012" w:type="pct"/>
            <w:tcBorders>
              <w:top w:val="nil"/>
              <w:left w:val="nil"/>
              <w:bottom w:val="single" w:sz="4" w:space="0" w:color="auto"/>
              <w:right w:val="single" w:sz="4" w:space="0" w:color="auto"/>
            </w:tcBorders>
            <w:shd w:val="clear" w:color="auto" w:fill="auto"/>
            <w:noWrap/>
            <w:hideMark/>
          </w:tcPr>
          <w:p w14:paraId="00DB92B0" w14:textId="77777777" w:rsidR="00D8365A" w:rsidRPr="00362517" w:rsidRDefault="00D8365A" w:rsidP="00BF6BC7">
            <w:pPr>
              <w:tabs>
                <w:tab w:val="decimal" w:pos="1144"/>
              </w:tabs>
            </w:pPr>
            <w:r w:rsidRPr="00362517">
              <w:t>13,989</w:t>
            </w:r>
          </w:p>
        </w:tc>
        <w:tc>
          <w:tcPr>
            <w:tcW w:w="1343" w:type="pct"/>
            <w:tcBorders>
              <w:top w:val="nil"/>
              <w:left w:val="single" w:sz="4" w:space="0" w:color="auto"/>
              <w:bottom w:val="single" w:sz="4" w:space="0" w:color="auto"/>
              <w:right w:val="single" w:sz="8" w:space="0" w:color="auto"/>
            </w:tcBorders>
            <w:shd w:val="clear" w:color="auto" w:fill="auto"/>
            <w:noWrap/>
            <w:hideMark/>
          </w:tcPr>
          <w:p w14:paraId="02972D01" w14:textId="77777777" w:rsidR="00D8365A" w:rsidRPr="00362517" w:rsidRDefault="00D8365A" w:rsidP="00BF6BC7">
            <w:pPr>
              <w:tabs>
                <w:tab w:val="decimal" w:pos="1098"/>
              </w:tabs>
            </w:pPr>
            <w:r w:rsidRPr="00362517">
              <w:t>1.8</w:t>
            </w:r>
          </w:p>
        </w:tc>
      </w:tr>
      <w:tr w:rsidR="00D8365A" w:rsidRPr="00362517" w14:paraId="3BFC44B8"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0C7DFBDC" w14:textId="77777777" w:rsidR="00D8365A" w:rsidRPr="00362517" w:rsidRDefault="00D8365A" w:rsidP="00BF6BC7">
            <w:pPr>
              <w:rPr>
                <w:lang w:eastAsia="ko-KR"/>
              </w:rPr>
            </w:pPr>
            <w:r w:rsidRPr="00362517">
              <w:rPr>
                <w:lang w:eastAsia="ko-KR"/>
              </w:rPr>
              <w:t>Rhode Island</w:t>
            </w:r>
          </w:p>
        </w:tc>
        <w:tc>
          <w:tcPr>
            <w:tcW w:w="1109" w:type="pct"/>
            <w:tcBorders>
              <w:top w:val="nil"/>
              <w:left w:val="single" w:sz="4" w:space="0" w:color="auto"/>
              <w:bottom w:val="single" w:sz="4" w:space="0" w:color="auto"/>
              <w:right w:val="single" w:sz="4" w:space="0" w:color="auto"/>
            </w:tcBorders>
            <w:shd w:val="clear" w:color="auto" w:fill="auto"/>
            <w:noWrap/>
            <w:hideMark/>
          </w:tcPr>
          <w:p w14:paraId="5833EE07" w14:textId="77777777" w:rsidR="00D8365A" w:rsidRPr="00362517" w:rsidRDefault="00D8365A" w:rsidP="00BF6BC7">
            <w:pPr>
              <w:tabs>
                <w:tab w:val="decimal" w:pos="1203"/>
              </w:tabs>
            </w:pPr>
            <w:r w:rsidRPr="00362517">
              <w:t>57</w:t>
            </w:r>
          </w:p>
        </w:tc>
        <w:tc>
          <w:tcPr>
            <w:tcW w:w="1012" w:type="pct"/>
            <w:tcBorders>
              <w:top w:val="nil"/>
              <w:left w:val="nil"/>
              <w:bottom w:val="single" w:sz="4" w:space="0" w:color="auto"/>
              <w:right w:val="single" w:sz="4" w:space="0" w:color="auto"/>
            </w:tcBorders>
            <w:shd w:val="clear" w:color="auto" w:fill="auto"/>
            <w:noWrap/>
            <w:hideMark/>
          </w:tcPr>
          <w:p w14:paraId="5B3F6AD8" w14:textId="77777777" w:rsidR="00D8365A" w:rsidRPr="00362517" w:rsidRDefault="00D8365A" w:rsidP="00BF6BC7">
            <w:pPr>
              <w:tabs>
                <w:tab w:val="decimal" w:pos="1144"/>
              </w:tabs>
            </w:pPr>
            <w:r w:rsidRPr="00362517">
              <w:t>597</w:t>
            </w:r>
          </w:p>
        </w:tc>
        <w:tc>
          <w:tcPr>
            <w:tcW w:w="1343" w:type="pct"/>
            <w:tcBorders>
              <w:top w:val="nil"/>
              <w:left w:val="single" w:sz="4" w:space="0" w:color="auto"/>
              <w:bottom w:val="single" w:sz="4" w:space="0" w:color="auto"/>
              <w:right w:val="single" w:sz="8" w:space="0" w:color="auto"/>
            </w:tcBorders>
            <w:shd w:val="clear" w:color="auto" w:fill="auto"/>
            <w:noWrap/>
            <w:hideMark/>
          </w:tcPr>
          <w:p w14:paraId="2AF2B451" w14:textId="77777777" w:rsidR="00D8365A" w:rsidRPr="00362517" w:rsidRDefault="00D8365A" w:rsidP="00BF6BC7">
            <w:pPr>
              <w:tabs>
                <w:tab w:val="decimal" w:pos="1098"/>
              </w:tabs>
            </w:pPr>
            <w:r w:rsidRPr="00362517">
              <w:t>1.9</w:t>
            </w:r>
          </w:p>
        </w:tc>
      </w:tr>
      <w:tr w:rsidR="00D8365A" w:rsidRPr="00362517" w14:paraId="5D765D9A"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57E510A6" w14:textId="77777777" w:rsidR="00D8365A" w:rsidRPr="00362517" w:rsidRDefault="00D8365A" w:rsidP="00BF6BC7">
            <w:pPr>
              <w:rPr>
                <w:lang w:eastAsia="ko-KR"/>
              </w:rPr>
            </w:pPr>
            <w:r w:rsidRPr="00362517">
              <w:rPr>
                <w:lang w:eastAsia="ko-KR"/>
              </w:rPr>
              <w:t>South Carolina</w:t>
            </w:r>
          </w:p>
        </w:tc>
        <w:tc>
          <w:tcPr>
            <w:tcW w:w="1109" w:type="pct"/>
            <w:tcBorders>
              <w:top w:val="nil"/>
              <w:left w:val="single" w:sz="4" w:space="0" w:color="auto"/>
              <w:bottom w:val="single" w:sz="4" w:space="0" w:color="auto"/>
              <w:right w:val="single" w:sz="4" w:space="0" w:color="auto"/>
            </w:tcBorders>
            <w:shd w:val="clear" w:color="auto" w:fill="auto"/>
            <w:noWrap/>
            <w:hideMark/>
          </w:tcPr>
          <w:p w14:paraId="09BC86ED" w14:textId="77777777" w:rsidR="00D8365A" w:rsidRPr="00362517" w:rsidRDefault="00D8365A" w:rsidP="00BF6BC7">
            <w:pPr>
              <w:tabs>
                <w:tab w:val="decimal" w:pos="1203"/>
              </w:tabs>
            </w:pPr>
            <w:r w:rsidRPr="00362517">
              <w:t>724</w:t>
            </w:r>
          </w:p>
        </w:tc>
        <w:tc>
          <w:tcPr>
            <w:tcW w:w="1012" w:type="pct"/>
            <w:tcBorders>
              <w:top w:val="nil"/>
              <w:left w:val="nil"/>
              <w:bottom w:val="single" w:sz="4" w:space="0" w:color="auto"/>
              <w:right w:val="single" w:sz="4" w:space="0" w:color="auto"/>
            </w:tcBorders>
            <w:shd w:val="clear" w:color="auto" w:fill="auto"/>
            <w:noWrap/>
            <w:hideMark/>
          </w:tcPr>
          <w:p w14:paraId="2090E4AD" w14:textId="77777777" w:rsidR="00D8365A" w:rsidRPr="00362517" w:rsidRDefault="00D8365A" w:rsidP="00BF6BC7">
            <w:pPr>
              <w:tabs>
                <w:tab w:val="decimal" w:pos="1144"/>
              </w:tabs>
            </w:pPr>
            <w:r w:rsidRPr="00362517">
              <w:t>5,041</w:t>
            </w:r>
          </w:p>
        </w:tc>
        <w:tc>
          <w:tcPr>
            <w:tcW w:w="1343" w:type="pct"/>
            <w:tcBorders>
              <w:top w:val="nil"/>
              <w:left w:val="single" w:sz="4" w:space="0" w:color="auto"/>
              <w:bottom w:val="single" w:sz="4" w:space="0" w:color="auto"/>
              <w:right w:val="single" w:sz="8" w:space="0" w:color="auto"/>
            </w:tcBorders>
            <w:shd w:val="clear" w:color="auto" w:fill="auto"/>
            <w:noWrap/>
            <w:hideMark/>
          </w:tcPr>
          <w:p w14:paraId="71A18BA0" w14:textId="77777777" w:rsidR="00D8365A" w:rsidRPr="00362517" w:rsidRDefault="00D8365A" w:rsidP="00BF6BC7">
            <w:pPr>
              <w:tabs>
                <w:tab w:val="decimal" w:pos="1098"/>
              </w:tabs>
            </w:pPr>
            <w:r w:rsidRPr="00362517">
              <w:t>1.6</w:t>
            </w:r>
          </w:p>
        </w:tc>
      </w:tr>
      <w:tr w:rsidR="00D8365A" w:rsidRPr="00362517" w14:paraId="1312FBA1"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20F1CD1D" w14:textId="77777777" w:rsidR="00D8365A" w:rsidRPr="00362517" w:rsidRDefault="00D8365A" w:rsidP="00BF6BC7">
            <w:pPr>
              <w:rPr>
                <w:lang w:eastAsia="ko-KR"/>
              </w:rPr>
            </w:pPr>
            <w:r w:rsidRPr="00362517">
              <w:rPr>
                <w:lang w:eastAsia="ko-KR"/>
              </w:rPr>
              <w:t>South Dakota</w:t>
            </w:r>
          </w:p>
        </w:tc>
        <w:tc>
          <w:tcPr>
            <w:tcW w:w="1109" w:type="pct"/>
            <w:tcBorders>
              <w:top w:val="nil"/>
              <w:left w:val="single" w:sz="4" w:space="0" w:color="auto"/>
              <w:bottom w:val="single" w:sz="4" w:space="0" w:color="auto"/>
              <w:right w:val="single" w:sz="4" w:space="0" w:color="auto"/>
            </w:tcBorders>
            <w:shd w:val="clear" w:color="auto" w:fill="auto"/>
            <w:noWrap/>
            <w:hideMark/>
          </w:tcPr>
          <w:p w14:paraId="7756A826" w14:textId="77777777" w:rsidR="00D8365A" w:rsidRPr="00362517" w:rsidRDefault="00D8365A" w:rsidP="00BF6BC7">
            <w:pPr>
              <w:tabs>
                <w:tab w:val="decimal" w:pos="1203"/>
              </w:tabs>
            </w:pPr>
            <w:r w:rsidRPr="00362517">
              <w:t>862</w:t>
            </w:r>
          </w:p>
        </w:tc>
        <w:tc>
          <w:tcPr>
            <w:tcW w:w="1012" w:type="pct"/>
            <w:tcBorders>
              <w:top w:val="nil"/>
              <w:left w:val="nil"/>
              <w:bottom w:val="single" w:sz="4" w:space="0" w:color="auto"/>
              <w:right w:val="single" w:sz="4" w:space="0" w:color="auto"/>
            </w:tcBorders>
            <w:shd w:val="clear" w:color="auto" w:fill="auto"/>
            <w:noWrap/>
            <w:hideMark/>
          </w:tcPr>
          <w:p w14:paraId="527DB91B" w14:textId="77777777" w:rsidR="00D8365A" w:rsidRPr="00362517" w:rsidRDefault="00D8365A" w:rsidP="00BF6BC7">
            <w:pPr>
              <w:tabs>
                <w:tab w:val="decimal" w:pos="1144"/>
              </w:tabs>
            </w:pPr>
            <w:r w:rsidRPr="00362517">
              <w:t>5,011</w:t>
            </w:r>
          </w:p>
        </w:tc>
        <w:tc>
          <w:tcPr>
            <w:tcW w:w="1343" w:type="pct"/>
            <w:tcBorders>
              <w:top w:val="nil"/>
              <w:left w:val="single" w:sz="4" w:space="0" w:color="auto"/>
              <w:bottom w:val="single" w:sz="4" w:space="0" w:color="auto"/>
              <w:right w:val="single" w:sz="8" w:space="0" w:color="auto"/>
            </w:tcBorders>
            <w:shd w:val="clear" w:color="auto" w:fill="auto"/>
            <w:noWrap/>
            <w:hideMark/>
          </w:tcPr>
          <w:p w14:paraId="3C333207" w14:textId="77777777" w:rsidR="00D8365A" w:rsidRPr="00362517" w:rsidRDefault="00D8365A" w:rsidP="00BF6BC7">
            <w:pPr>
              <w:tabs>
                <w:tab w:val="decimal" w:pos="1098"/>
              </w:tabs>
            </w:pPr>
            <w:r w:rsidRPr="00362517">
              <w:t>1.8</w:t>
            </w:r>
          </w:p>
        </w:tc>
      </w:tr>
      <w:tr w:rsidR="00D8365A" w:rsidRPr="00362517" w14:paraId="33FFB2A6"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5A4C1518" w14:textId="77777777" w:rsidR="00D8365A" w:rsidRPr="00362517" w:rsidRDefault="00D8365A" w:rsidP="00BF6BC7">
            <w:pPr>
              <w:rPr>
                <w:lang w:eastAsia="ko-KR"/>
              </w:rPr>
            </w:pPr>
            <w:r w:rsidRPr="00362517">
              <w:rPr>
                <w:lang w:eastAsia="ko-KR"/>
              </w:rPr>
              <w:t>Tennessee</w:t>
            </w:r>
          </w:p>
        </w:tc>
        <w:tc>
          <w:tcPr>
            <w:tcW w:w="1109" w:type="pct"/>
            <w:tcBorders>
              <w:top w:val="nil"/>
              <w:left w:val="single" w:sz="4" w:space="0" w:color="auto"/>
              <w:bottom w:val="single" w:sz="4" w:space="0" w:color="auto"/>
              <w:right w:val="single" w:sz="4" w:space="0" w:color="auto"/>
            </w:tcBorders>
            <w:shd w:val="clear" w:color="auto" w:fill="auto"/>
            <w:noWrap/>
            <w:hideMark/>
          </w:tcPr>
          <w:p w14:paraId="33D2301B" w14:textId="77777777" w:rsidR="00D8365A" w:rsidRPr="00362517" w:rsidRDefault="00D8365A" w:rsidP="00BF6BC7">
            <w:pPr>
              <w:tabs>
                <w:tab w:val="decimal" w:pos="1203"/>
              </w:tabs>
            </w:pPr>
            <w:r w:rsidRPr="00362517">
              <w:t>840</w:t>
            </w:r>
          </w:p>
        </w:tc>
        <w:tc>
          <w:tcPr>
            <w:tcW w:w="1012" w:type="pct"/>
            <w:tcBorders>
              <w:top w:val="nil"/>
              <w:left w:val="nil"/>
              <w:bottom w:val="single" w:sz="4" w:space="0" w:color="auto"/>
              <w:right w:val="single" w:sz="4" w:space="0" w:color="auto"/>
            </w:tcBorders>
            <w:shd w:val="clear" w:color="auto" w:fill="auto"/>
            <w:noWrap/>
            <w:hideMark/>
          </w:tcPr>
          <w:p w14:paraId="218C555A" w14:textId="77777777" w:rsidR="00D8365A" w:rsidRPr="00362517" w:rsidRDefault="00D8365A" w:rsidP="00BF6BC7">
            <w:pPr>
              <w:tabs>
                <w:tab w:val="decimal" w:pos="1144"/>
              </w:tabs>
            </w:pPr>
            <w:r w:rsidRPr="00362517">
              <w:t>12,304</w:t>
            </w:r>
          </w:p>
        </w:tc>
        <w:tc>
          <w:tcPr>
            <w:tcW w:w="1343" w:type="pct"/>
            <w:tcBorders>
              <w:top w:val="nil"/>
              <w:left w:val="single" w:sz="4" w:space="0" w:color="auto"/>
              <w:bottom w:val="single" w:sz="4" w:space="0" w:color="auto"/>
              <w:right w:val="single" w:sz="8" w:space="0" w:color="auto"/>
            </w:tcBorders>
            <w:shd w:val="clear" w:color="auto" w:fill="auto"/>
            <w:noWrap/>
            <w:hideMark/>
          </w:tcPr>
          <w:p w14:paraId="1FB3137F" w14:textId="77777777" w:rsidR="00D8365A" w:rsidRPr="00362517" w:rsidRDefault="00D8365A" w:rsidP="00BF6BC7">
            <w:pPr>
              <w:tabs>
                <w:tab w:val="decimal" w:pos="1098"/>
              </w:tabs>
            </w:pPr>
            <w:r w:rsidRPr="00362517">
              <w:t>1.0</w:t>
            </w:r>
          </w:p>
        </w:tc>
      </w:tr>
      <w:tr w:rsidR="00D8365A" w:rsidRPr="00362517" w14:paraId="13EC0418"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73755707" w14:textId="77777777" w:rsidR="00D8365A" w:rsidRPr="00362517" w:rsidRDefault="00D8365A" w:rsidP="00BF6BC7">
            <w:pPr>
              <w:rPr>
                <w:lang w:eastAsia="ko-KR"/>
              </w:rPr>
            </w:pPr>
            <w:r w:rsidRPr="00362517">
              <w:rPr>
                <w:lang w:eastAsia="ko-KR"/>
              </w:rPr>
              <w:t>Texas</w:t>
            </w:r>
          </w:p>
        </w:tc>
        <w:tc>
          <w:tcPr>
            <w:tcW w:w="1109" w:type="pct"/>
            <w:tcBorders>
              <w:top w:val="nil"/>
              <w:left w:val="single" w:sz="4" w:space="0" w:color="auto"/>
              <w:bottom w:val="single" w:sz="4" w:space="0" w:color="auto"/>
              <w:right w:val="single" w:sz="4" w:space="0" w:color="auto"/>
            </w:tcBorders>
            <w:shd w:val="clear" w:color="auto" w:fill="auto"/>
            <w:noWrap/>
            <w:hideMark/>
          </w:tcPr>
          <w:p w14:paraId="7798A7BE" w14:textId="77777777" w:rsidR="00D8365A" w:rsidRPr="00362517" w:rsidRDefault="00D8365A" w:rsidP="00BF6BC7">
            <w:pPr>
              <w:tabs>
                <w:tab w:val="decimal" w:pos="1203"/>
              </w:tabs>
            </w:pPr>
            <w:r w:rsidRPr="00362517">
              <w:t>1,678</w:t>
            </w:r>
          </w:p>
        </w:tc>
        <w:tc>
          <w:tcPr>
            <w:tcW w:w="1012" w:type="pct"/>
            <w:tcBorders>
              <w:top w:val="nil"/>
              <w:left w:val="nil"/>
              <w:bottom w:val="single" w:sz="4" w:space="0" w:color="auto"/>
              <w:right w:val="single" w:sz="4" w:space="0" w:color="auto"/>
            </w:tcBorders>
            <w:shd w:val="clear" w:color="auto" w:fill="auto"/>
            <w:noWrap/>
            <w:hideMark/>
          </w:tcPr>
          <w:p w14:paraId="36681C22" w14:textId="77777777" w:rsidR="00D8365A" w:rsidRPr="00362517" w:rsidRDefault="00D8365A" w:rsidP="00BF6BC7">
            <w:pPr>
              <w:tabs>
                <w:tab w:val="decimal" w:pos="1144"/>
              </w:tabs>
            </w:pPr>
            <w:r w:rsidRPr="00362517">
              <w:t>18,035</w:t>
            </w:r>
          </w:p>
        </w:tc>
        <w:tc>
          <w:tcPr>
            <w:tcW w:w="1343" w:type="pct"/>
            <w:tcBorders>
              <w:top w:val="nil"/>
              <w:left w:val="single" w:sz="4" w:space="0" w:color="auto"/>
              <w:bottom w:val="single" w:sz="4" w:space="0" w:color="auto"/>
              <w:right w:val="single" w:sz="8" w:space="0" w:color="auto"/>
            </w:tcBorders>
            <w:shd w:val="clear" w:color="auto" w:fill="auto"/>
            <w:noWrap/>
            <w:hideMark/>
          </w:tcPr>
          <w:p w14:paraId="530C24C9" w14:textId="77777777" w:rsidR="00D8365A" w:rsidRPr="00362517" w:rsidRDefault="00D8365A" w:rsidP="00BF6BC7">
            <w:pPr>
              <w:tabs>
                <w:tab w:val="decimal" w:pos="1098"/>
              </w:tabs>
            </w:pPr>
            <w:r w:rsidRPr="00362517">
              <w:t>2.0</w:t>
            </w:r>
          </w:p>
        </w:tc>
      </w:tr>
      <w:tr w:rsidR="00D8365A" w:rsidRPr="00362517" w14:paraId="2B20D8A0"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6065D4B9" w14:textId="77777777" w:rsidR="00D8365A" w:rsidRPr="00362517" w:rsidRDefault="00D8365A" w:rsidP="00BF6BC7">
            <w:pPr>
              <w:rPr>
                <w:lang w:eastAsia="ko-KR"/>
              </w:rPr>
            </w:pPr>
            <w:r w:rsidRPr="00362517">
              <w:rPr>
                <w:lang w:eastAsia="ko-KR"/>
              </w:rPr>
              <w:t>Utah</w:t>
            </w:r>
          </w:p>
        </w:tc>
        <w:tc>
          <w:tcPr>
            <w:tcW w:w="1109" w:type="pct"/>
            <w:tcBorders>
              <w:top w:val="nil"/>
              <w:left w:val="single" w:sz="4" w:space="0" w:color="auto"/>
              <w:bottom w:val="single" w:sz="4" w:space="0" w:color="auto"/>
              <w:right w:val="single" w:sz="4" w:space="0" w:color="auto"/>
            </w:tcBorders>
            <w:shd w:val="clear" w:color="auto" w:fill="auto"/>
            <w:noWrap/>
            <w:hideMark/>
          </w:tcPr>
          <w:p w14:paraId="3D9EAC67" w14:textId="77777777" w:rsidR="00D8365A" w:rsidRPr="00362517" w:rsidRDefault="00D8365A" w:rsidP="00BF6BC7">
            <w:pPr>
              <w:tabs>
                <w:tab w:val="decimal" w:pos="1203"/>
              </w:tabs>
            </w:pPr>
            <w:r w:rsidRPr="00362517">
              <w:t>1,061</w:t>
            </w:r>
          </w:p>
        </w:tc>
        <w:tc>
          <w:tcPr>
            <w:tcW w:w="1012" w:type="pct"/>
            <w:tcBorders>
              <w:top w:val="nil"/>
              <w:left w:val="nil"/>
              <w:bottom w:val="single" w:sz="4" w:space="0" w:color="auto"/>
              <w:right w:val="single" w:sz="4" w:space="0" w:color="auto"/>
            </w:tcBorders>
            <w:shd w:val="clear" w:color="auto" w:fill="auto"/>
            <w:noWrap/>
            <w:hideMark/>
          </w:tcPr>
          <w:p w14:paraId="0B48B42D" w14:textId="77777777" w:rsidR="00D8365A" w:rsidRPr="00362517" w:rsidRDefault="00D8365A" w:rsidP="00BF6BC7">
            <w:pPr>
              <w:tabs>
                <w:tab w:val="decimal" w:pos="1144"/>
              </w:tabs>
            </w:pPr>
            <w:r w:rsidRPr="00362517">
              <w:t>3,531</w:t>
            </w:r>
          </w:p>
        </w:tc>
        <w:tc>
          <w:tcPr>
            <w:tcW w:w="1343" w:type="pct"/>
            <w:tcBorders>
              <w:top w:val="nil"/>
              <w:left w:val="single" w:sz="4" w:space="0" w:color="auto"/>
              <w:bottom w:val="single" w:sz="4" w:space="0" w:color="auto"/>
              <w:right w:val="single" w:sz="8" w:space="0" w:color="auto"/>
            </w:tcBorders>
            <w:shd w:val="clear" w:color="auto" w:fill="auto"/>
            <w:noWrap/>
            <w:hideMark/>
          </w:tcPr>
          <w:p w14:paraId="7F34E422" w14:textId="77777777" w:rsidR="00D8365A" w:rsidRPr="00362517" w:rsidRDefault="00D8365A" w:rsidP="00BF6BC7">
            <w:pPr>
              <w:tabs>
                <w:tab w:val="decimal" w:pos="1098"/>
              </w:tabs>
            </w:pPr>
            <w:r w:rsidRPr="00362517">
              <w:t>2.0</w:t>
            </w:r>
          </w:p>
        </w:tc>
      </w:tr>
      <w:tr w:rsidR="00D8365A" w:rsidRPr="00362517" w14:paraId="1B728EB9"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262337BC" w14:textId="77777777" w:rsidR="00D8365A" w:rsidRPr="00362517" w:rsidRDefault="00D8365A" w:rsidP="00BF6BC7">
            <w:pPr>
              <w:rPr>
                <w:lang w:eastAsia="ko-KR"/>
              </w:rPr>
            </w:pPr>
            <w:r w:rsidRPr="00362517">
              <w:rPr>
                <w:lang w:eastAsia="ko-KR"/>
              </w:rPr>
              <w:t>Vermont</w:t>
            </w:r>
          </w:p>
        </w:tc>
        <w:tc>
          <w:tcPr>
            <w:tcW w:w="1109" w:type="pct"/>
            <w:tcBorders>
              <w:top w:val="nil"/>
              <w:left w:val="single" w:sz="4" w:space="0" w:color="auto"/>
              <w:bottom w:val="single" w:sz="4" w:space="0" w:color="auto"/>
              <w:right w:val="single" w:sz="4" w:space="0" w:color="auto"/>
            </w:tcBorders>
            <w:shd w:val="clear" w:color="auto" w:fill="auto"/>
            <w:noWrap/>
            <w:hideMark/>
          </w:tcPr>
          <w:p w14:paraId="301DF752" w14:textId="77777777" w:rsidR="00D8365A" w:rsidRPr="00362517" w:rsidRDefault="00D8365A" w:rsidP="00BF6BC7">
            <w:pPr>
              <w:tabs>
                <w:tab w:val="decimal" w:pos="1203"/>
              </w:tabs>
            </w:pPr>
            <w:r w:rsidRPr="00362517">
              <w:t>136</w:t>
            </w:r>
          </w:p>
        </w:tc>
        <w:tc>
          <w:tcPr>
            <w:tcW w:w="1012" w:type="pct"/>
            <w:tcBorders>
              <w:top w:val="nil"/>
              <w:left w:val="nil"/>
              <w:bottom w:val="single" w:sz="4" w:space="0" w:color="auto"/>
              <w:right w:val="single" w:sz="4" w:space="0" w:color="auto"/>
            </w:tcBorders>
            <w:shd w:val="clear" w:color="auto" w:fill="auto"/>
            <w:noWrap/>
            <w:hideMark/>
          </w:tcPr>
          <w:p w14:paraId="08A5DE55" w14:textId="77777777" w:rsidR="00D8365A" w:rsidRPr="00362517" w:rsidRDefault="00D8365A" w:rsidP="00BF6BC7">
            <w:pPr>
              <w:tabs>
                <w:tab w:val="decimal" w:pos="1144"/>
              </w:tabs>
            </w:pPr>
            <w:r w:rsidRPr="00362517">
              <w:t>879</w:t>
            </w:r>
          </w:p>
        </w:tc>
        <w:tc>
          <w:tcPr>
            <w:tcW w:w="1343" w:type="pct"/>
            <w:tcBorders>
              <w:top w:val="nil"/>
              <w:left w:val="single" w:sz="4" w:space="0" w:color="auto"/>
              <w:bottom w:val="single" w:sz="4" w:space="0" w:color="auto"/>
              <w:right w:val="single" w:sz="8" w:space="0" w:color="auto"/>
            </w:tcBorders>
            <w:shd w:val="clear" w:color="auto" w:fill="auto"/>
            <w:noWrap/>
            <w:hideMark/>
          </w:tcPr>
          <w:p w14:paraId="5E4F18AD" w14:textId="77777777" w:rsidR="00D8365A" w:rsidRPr="00362517" w:rsidRDefault="00D8365A" w:rsidP="00BF6BC7">
            <w:pPr>
              <w:tabs>
                <w:tab w:val="decimal" w:pos="1098"/>
              </w:tabs>
            </w:pPr>
            <w:r w:rsidRPr="00362517">
              <w:t>1.7</w:t>
            </w:r>
          </w:p>
        </w:tc>
      </w:tr>
      <w:tr w:rsidR="00D8365A" w:rsidRPr="00362517" w14:paraId="2C806BEC"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14DA1BF0" w14:textId="77777777" w:rsidR="00D8365A" w:rsidRPr="00362517" w:rsidRDefault="00D8365A" w:rsidP="00BF6BC7">
            <w:pPr>
              <w:rPr>
                <w:lang w:eastAsia="ko-KR"/>
              </w:rPr>
            </w:pPr>
            <w:r w:rsidRPr="00362517">
              <w:rPr>
                <w:lang w:eastAsia="ko-KR"/>
              </w:rPr>
              <w:t>Virginia</w:t>
            </w:r>
          </w:p>
        </w:tc>
        <w:tc>
          <w:tcPr>
            <w:tcW w:w="1109" w:type="pct"/>
            <w:tcBorders>
              <w:top w:val="nil"/>
              <w:left w:val="single" w:sz="4" w:space="0" w:color="auto"/>
              <w:bottom w:val="single" w:sz="4" w:space="0" w:color="auto"/>
              <w:right w:val="single" w:sz="4" w:space="0" w:color="auto"/>
            </w:tcBorders>
            <w:shd w:val="clear" w:color="auto" w:fill="auto"/>
            <w:noWrap/>
            <w:hideMark/>
          </w:tcPr>
          <w:p w14:paraId="0E6E79AB" w14:textId="77777777" w:rsidR="00D8365A" w:rsidRPr="00362517" w:rsidRDefault="00D8365A" w:rsidP="00BF6BC7">
            <w:pPr>
              <w:tabs>
                <w:tab w:val="decimal" w:pos="1203"/>
              </w:tabs>
            </w:pPr>
            <w:r w:rsidRPr="00362517">
              <w:t>1,179</w:t>
            </w:r>
          </w:p>
        </w:tc>
        <w:tc>
          <w:tcPr>
            <w:tcW w:w="1012" w:type="pct"/>
            <w:tcBorders>
              <w:top w:val="nil"/>
              <w:left w:val="nil"/>
              <w:bottom w:val="single" w:sz="4" w:space="0" w:color="auto"/>
              <w:right w:val="single" w:sz="4" w:space="0" w:color="auto"/>
            </w:tcBorders>
            <w:shd w:val="clear" w:color="auto" w:fill="auto"/>
            <w:noWrap/>
            <w:hideMark/>
          </w:tcPr>
          <w:p w14:paraId="3F3E406E" w14:textId="77777777" w:rsidR="00D8365A" w:rsidRPr="00362517" w:rsidRDefault="00D8365A" w:rsidP="00BF6BC7">
            <w:pPr>
              <w:tabs>
                <w:tab w:val="decimal" w:pos="1144"/>
              </w:tabs>
            </w:pPr>
            <w:r w:rsidRPr="00362517">
              <w:t>6,396</w:t>
            </w:r>
          </w:p>
        </w:tc>
        <w:tc>
          <w:tcPr>
            <w:tcW w:w="1343" w:type="pct"/>
            <w:tcBorders>
              <w:top w:val="nil"/>
              <w:left w:val="single" w:sz="4" w:space="0" w:color="auto"/>
              <w:bottom w:val="single" w:sz="4" w:space="0" w:color="auto"/>
              <w:right w:val="single" w:sz="8" w:space="0" w:color="auto"/>
            </w:tcBorders>
            <w:shd w:val="clear" w:color="auto" w:fill="auto"/>
            <w:noWrap/>
            <w:hideMark/>
          </w:tcPr>
          <w:p w14:paraId="523A9559" w14:textId="77777777" w:rsidR="00D8365A" w:rsidRPr="00362517" w:rsidRDefault="00D8365A" w:rsidP="00BF6BC7">
            <w:pPr>
              <w:tabs>
                <w:tab w:val="decimal" w:pos="1098"/>
              </w:tabs>
            </w:pPr>
            <w:r w:rsidRPr="00362517">
              <w:t>2.0</w:t>
            </w:r>
          </w:p>
        </w:tc>
      </w:tr>
      <w:tr w:rsidR="00D8365A" w:rsidRPr="00362517" w14:paraId="1A46B857"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55B9087C" w14:textId="77777777" w:rsidR="00D8365A" w:rsidRPr="00362517" w:rsidRDefault="00D8365A" w:rsidP="00BF6BC7">
            <w:pPr>
              <w:rPr>
                <w:lang w:eastAsia="ko-KR"/>
              </w:rPr>
            </w:pPr>
            <w:r w:rsidRPr="00362517">
              <w:rPr>
                <w:lang w:eastAsia="ko-KR"/>
              </w:rPr>
              <w:t>Washington</w:t>
            </w:r>
          </w:p>
        </w:tc>
        <w:tc>
          <w:tcPr>
            <w:tcW w:w="1109" w:type="pct"/>
            <w:tcBorders>
              <w:top w:val="nil"/>
              <w:left w:val="single" w:sz="4" w:space="0" w:color="auto"/>
              <w:bottom w:val="single" w:sz="4" w:space="0" w:color="auto"/>
              <w:right w:val="single" w:sz="4" w:space="0" w:color="auto"/>
            </w:tcBorders>
            <w:shd w:val="clear" w:color="auto" w:fill="auto"/>
            <w:noWrap/>
            <w:hideMark/>
          </w:tcPr>
          <w:p w14:paraId="36876F63" w14:textId="77777777" w:rsidR="00D8365A" w:rsidRPr="00362517" w:rsidRDefault="00D8365A" w:rsidP="00BF6BC7">
            <w:pPr>
              <w:tabs>
                <w:tab w:val="decimal" w:pos="1203"/>
              </w:tabs>
            </w:pPr>
            <w:r w:rsidRPr="00362517">
              <w:t>1,368</w:t>
            </w:r>
          </w:p>
        </w:tc>
        <w:tc>
          <w:tcPr>
            <w:tcW w:w="1012" w:type="pct"/>
            <w:tcBorders>
              <w:top w:val="nil"/>
              <w:left w:val="nil"/>
              <w:bottom w:val="single" w:sz="4" w:space="0" w:color="auto"/>
              <w:right w:val="single" w:sz="4" w:space="0" w:color="auto"/>
            </w:tcBorders>
            <w:shd w:val="clear" w:color="auto" w:fill="auto"/>
            <w:noWrap/>
            <w:hideMark/>
          </w:tcPr>
          <w:p w14:paraId="04C909DA" w14:textId="77777777" w:rsidR="00D8365A" w:rsidRPr="00362517" w:rsidRDefault="00D8365A" w:rsidP="00BF6BC7">
            <w:pPr>
              <w:tabs>
                <w:tab w:val="decimal" w:pos="1144"/>
              </w:tabs>
            </w:pPr>
            <w:r w:rsidRPr="00362517">
              <w:t>14,569</w:t>
            </w:r>
          </w:p>
        </w:tc>
        <w:tc>
          <w:tcPr>
            <w:tcW w:w="1343" w:type="pct"/>
            <w:tcBorders>
              <w:top w:val="nil"/>
              <w:left w:val="single" w:sz="4" w:space="0" w:color="auto"/>
              <w:bottom w:val="single" w:sz="4" w:space="0" w:color="auto"/>
              <w:right w:val="single" w:sz="8" w:space="0" w:color="auto"/>
            </w:tcBorders>
            <w:shd w:val="clear" w:color="auto" w:fill="auto"/>
            <w:noWrap/>
            <w:hideMark/>
          </w:tcPr>
          <w:p w14:paraId="2F8B9E5A" w14:textId="77777777" w:rsidR="00D8365A" w:rsidRPr="00362517" w:rsidRDefault="00D8365A" w:rsidP="00BF6BC7">
            <w:pPr>
              <w:tabs>
                <w:tab w:val="decimal" w:pos="1098"/>
              </w:tabs>
            </w:pPr>
            <w:r w:rsidRPr="00362517">
              <w:t>2.4</w:t>
            </w:r>
          </w:p>
        </w:tc>
      </w:tr>
      <w:tr w:rsidR="00D8365A" w:rsidRPr="00362517" w14:paraId="3B0C7914"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261AACAF" w14:textId="77777777" w:rsidR="00D8365A" w:rsidRPr="00362517" w:rsidRDefault="00D8365A" w:rsidP="00BF6BC7">
            <w:pPr>
              <w:rPr>
                <w:lang w:eastAsia="ko-KR"/>
              </w:rPr>
            </w:pPr>
            <w:r w:rsidRPr="00362517">
              <w:rPr>
                <w:lang w:eastAsia="ko-KR"/>
              </w:rPr>
              <w:t>West Virginia</w:t>
            </w:r>
          </w:p>
        </w:tc>
        <w:tc>
          <w:tcPr>
            <w:tcW w:w="1109" w:type="pct"/>
            <w:tcBorders>
              <w:top w:val="nil"/>
              <w:left w:val="single" w:sz="4" w:space="0" w:color="auto"/>
              <w:bottom w:val="single" w:sz="4" w:space="0" w:color="auto"/>
              <w:right w:val="single" w:sz="4" w:space="0" w:color="auto"/>
            </w:tcBorders>
            <w:shd w:val="clear" w:color="auto" w:fill="auto"/>
            <w:noWrap/>
            <w:hideMark/>
          </w:tcPr>
          <w:p w14:paraId="685F8F90" w14:textId="77777777" w:rsidR="00D8365A" w:rsidRPr="00362517" w:rsidRDefault="00D8365A" w:rsidP="00BF6BC7">
            <w:pPr>
              <w:tabs>
                <w:tab w:val="decimal" w:pos="1203"/>
              </w:tabs>
            </w:pPr>
            <w:r w:rsidRPr="00362517">
              <w:t>240</w:t>
            </w:r>
          </w:p>
        </w:tc>
        <w:tc>
          <w:tcPr>
            <w:tcW w:w="1012" w:type="pct"/>
            <w:tcBorders>
              <w:top w:val="nil"/>
              <w:left w:val="nil"/>
              <w:bottom w:val="single" w:sz="4" w:space="0" w:color="auto"/>
              <w:right w:val="single" w:sz="4" w:space="0" w:color="auto"/>
            </w:tcBorders>
            <w:shd w:val="clear" w:color="auto" w:fill="auto"/>
            <w:noWrap/>
            <w:hideMark/>
          </w:tcPr>
          <w:p w14:paraId="351366EC" w14:textId="77777777" w:rsidR="00D8365A" w:rsidRPr="00362517" w:rsidRDefault="00D8365A" w:rsidP="00BF6BC7">
            <w:pPr>
              <w:tabs>
                <w:tab w:val="decimal" w:pos="1144"/>
              </w:tabs>
            </w:pPr>
            <w:r w:rsidRPr="00362517">
              <w:t>1,837</w:t>
            </w:r>
          </w:p>
        </w:tc>
        <w:tc>
          <w:tcPr>
            <w:tcW w:w="1343" w:type="pct"/>
            <w:tcBorders>
              <w:top w:val="nil"/>
              <w:left w:val="single" w:sz="4" w:space="0" w:color="auto"/>
              <w:bottom w:val="single" w:sz="4" w:space="0" w:color="auto"/>
              <w:right w:val="single" w:sz="8" w:space="0" w:color="auto"/>
            </w:tcBorders>
            <w:shd w:val="clear" w:color="auto" w:fill="auto"/>
            <w:noWrap/>
            <w:hideMark/>
          </w:tcPr>
          <w:p w14:paraId="44603CE2" w14:textId="77777777" w:rsidR="00D8365A" w:rsidRPr="00362517" w:rsidRDefault="00D8365A" w:rsidP="00BF6BC7">
            <w:pPr>
              <w:tabs>
                <w:tab w:val="decimal" w:pos="1098"/>
              </w:tabs>
            </w:pPr>
            <w:r w:rsidRPr="00362517">
              <w:t>1.5</w:t>
            </w:r>
          </w:p>
        </w:tc>
      </w:tr>
      <w:tr w:rsidR="00D8365A" w:rsidRPr="00362517" w14:paraId="15B931D6"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688DB8F9" w14:textId="77777777" w:rsidR="00D8365A" w:rsidRPr="00362517" w:rsidRDefault="00D8365A" w:rsidP="00BF6BC7">
            <w:pPr>
              <w:rPr>
                <w:lang w:eastAsia="ko-KR"/>
              </w:rPr>
            </w:pPr>
            <w:r w:rsidRPr="00362517">
              <w:rPr>
                <w:lang w:eastAsia="ko-KR"/>
              </w:rPr>
              <w:t>Wisconsin</w:t>
            </w:r>
          </w:p>
        </w:tc>
        <w:tc>
          <w:tcPr>
            <w:tcW w:w="1109" w:type="pct"/>
            <w:tcBorders>
              <w:top w:val="nil"/>
              <w:left w:val="single" w:sz="4" w:space="0" w:color="auto"/>
              <w:bottom w:val="single" w:sz="4" w:space="0" w:color="auto"/>
              <w:right w:val="single" w:sz="4" w:space="0" w:color="auto"/>
            </w:tcBorders>
            <w:shd w:val="clear" w:color="auto" w:fill="auto"/>
            <w:noWrap/>
            <w:hideMark/>
          </w:tcPr>
          <w:p w14:paraId="1FFE17F4" w14:textId="77777777" w:rsidR="00D8365A" w:rsidRPr="00362517" w:rsidRDefault="00D8365A" w:rsidP="00BF6BC7">
            <w:pPr>
              <w:tabs>
                <w:tab w:val="decimal" w:pos="1203"/>
              </w:tabs>
            </w:pPr>
            <w:r w:rsidRPr="00362517">
              <w:t>1,761</w:t>
            </w:r>
          </w:p>
        </w:tc>
        <w:tc>
          <w:tcPr>
            <w:tcW w:w="1012" w:type="pct"/>
            <w:tcBorders>
              <w:top w:val="nil"/>
              <w:left w:val="nil"/>
              <w:bottom w:val="single" w:sz="4" w:space="0" w:color="auto"/>
              <w:right w:val="single" w:sz="4" w:space="0" w:color="auto"/>
            </w:tcBorders>
            <w:shd w:val="clear" w:color="auto" w:fill="auto"/>
            <w:noWrap/>
            <w:hideMark/>
          </w:tcPr>
          <w:p w14:paraId="71E9A9E7" w14:textId="77777777" w:rsidR="00D8365A" w:rsidRPr="00362517" w:rsidRDefault="00D8365A" w:rsidP="00BF6BC7">
            <w:pPr>
              <w:tabs>
                <w:tab w:val="decimal" w:pos="1144"/>
              </w:tabs>
            </w:pPr>
            <w:r w:rsidRPr="00362517">
              <w:t>11,982</w:t>
            </w:r>
          </w:p>
        </w:tc>
        <w:tc>
          <w:tcPr>
            <w:tcW w:w="1343" w:type="pct"/>
            <w:tcBorders>
              <w:top w:val="nil"/>
              <w:left w:val="single" w:sz="4" w:space="0" w:color="auto"/>
              <w:bottom w:val="single" w:sz="4" w:space="0" w:color="auto"/>
              <w:right w:val="single" w:sz="8" w:space="0" w:color="auto"/>
            </w:tcBorders>
            <w:shd w:val="clear" w:color="auto" w:fill="auto"/>
            <w:noWrap/>
            <w:hideMark/>
          </w:tcPr>
          <w:p w14:paraId="2C2800F3" w14:textId="77777777" w:rsidR="00D8365A" w:rsidRPr="00362517" w:rsidRDefault="00D8365A" w:rsidP="00BF6BC7">
            <w:pPr>
              <w:tabs>
                <w:tab w:val="decimal" w:pos="1098"/>
              </w:tabs>
            </w:pPr>
            <w:r w:rsidRPr="00362517">
              <w:t>1.2</w:t>
            </w:r>
          </w:p>
        </w:tc>
      </w:tr>
      <w:tr w:rsidR="00D8365A" w:rsidRPr="00362517" w14:paraId="5F1B915E"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7CB9A41F" w14:textId="77777777" w:rsidR="00D8365A" w:rsidRPr="00362517" w:rsidRDefault="00D8365A" w:rsidP="00BF6BC7">
            <w:pPr>
              <w:rPr>
                <w:lang w:eastAsia="ko-KR"/>
              </w:rPr>
            </w:pPr>
            <w:r w:rsidRPr="00362517">
              <w:rPr>
                <w:lang w:eastAsia="ko-KR"/>
              </w:rPr>
              <w:t>Wyoming</w:t>
            </w:r>
          </w:p>
        </w:tc>
        <w:tc>
          <w:tcPr>
            <w:tcW w:w="1109" w:type="pct"/>
            <w:tcBorders>
              <w:top w:val="nil"/>
              <w:left w:val="single" w:sz="4" w:space="0" w:color="auto"/>
              <w:bottom w:val="single" w:sz="4" w:space="0" w:color="auto"/>
              <w:right w:val="single" w:sz="4" w:space="0" w:color="auto"/>
            </w:tcBorders>
            <w:shd w:val="clear" w:color="auto" w:fill="auto"/>
            <w:noWrap/>
            <w:hideMark/>
          </w:tcPr>
          <w:p w14:paraId="78DA411B" w14:textId="77777777" w:rsidR="00D8365A" w:rsidRPr="00362517" w:rsidRDefault="00D8365A" w:rsidP="00BF6BC7">
            <w:pPr>
              <w:tabs>
                <w:tab w:val="decimal" w:pos="1203"/>
              </w:tabs>
            </w:pPr>
            <w:r w:rsidRPr="00362517">
              <w:t>342</w:t>
            </w:r>
          </w:p>
        </w:tc>
        <w:tc>
          <w:tcPr>
            <w:tcW w:w="1012" w:type="pct"/>
            <w:tcBorders>
              <w:top w:val="nil"/>
              <w:left w:val="nil"/>
              <w:bottom w:val="single" w:sz="4" w:space="0" w:color="auto"/>
              <w:right w:val="single" w:sz="4" w:space="0" w:color="auto"/>
            </w:tcBorders>
            <w:shd w:val="clear" w:color="auto" w:fill="auto"/>
            <w:noWrap/>
            <w:hideMark/>
          </w:tcPr>
          <w:p w14:paraId="68008EC9" w14:textId="77777777" w:rsidR="00D8365A" w:rsidRPr="00362517" w:rsidRDefault="00D8365A" w:rsidP="00BF6BC7">
            <w:pPr>
              <w:tabs>
                <w:tab w:val="decimal" w:pos="1144"/>
              </w:tabs>
            </w:pPr>
            <w:r w:rsidRPr="00362517">
              <w:t>1,569</w:t>
            </w:r>
          </w:p>
        </w:tc>
        <w:tc>
          <w:tcPr>
            <w:tcW w:w="1343" w:type="pct"/>
            <w:tcBorders>
              <w:top w:val="nil"/>
              <w:left w:val="single" w:sz="4" w:space="0" w:color="auto"/>
              <w:bottom w:val="single" w:sz="4" w:space="0" w:color="auto"/>
              <w:right w:val="single" w:sz="8" w:space="0" w:color="auto"/>
            </w:tcBorders>
            <w:shd w:val="clear" w:color="auto" w:fill="auto"/>
            <w:noWrap/>
            <w:hideMark/>
          </w:tcPr>
          <w:p w14:paraId="78729719" w14:textId="77777777" w:rsidR="00D8365A" w:rsidRPr="00362517" w:rsidRDefault="00D8365A" w:rsidP="00BF6BC7">
            <w:pPr>
              <w:tabs>
                <w:tab w:val="decimal" w:pos="1098"/>
              </w:tabs>
            </w:pPr>
            <w:r w:rsidRPr="00362517">
              <w:t>3.6</w:t>
            </w:r>
          </w:p>
        </w:tc>
      </w:tr>
      <w:tr w:rsidR="00D8365A" w:rsidRPr="00362517" w14:paraId="6E4C4CB8" w14:textId="77777777" w:rsidTr="007A2164">
        <w:trPr>
          <w:trHeight w:val="255"/>
        </w:trPr>
        <w:tc>
          <w:tcPr>
            <w:tcW w:w="1536" w:type="pct"/>
            <w:tcBorders>
              <w:top w:val="nil"/>
              <w:left w:val="single" w:sz="8" w:space="0" w:color="auto"/>
              <w:bottom w:val="single" w:sz="4" w:space="0" w:color="auto"/>
              <w:right w:val="single" w:sz="4" w:space="0" w:color="auto"/>
            </w:tcBorders>
            <w:shd w:val="clear" w:color="auto" w:fill="auto"/>
            <w:hideMark/>
          </w:tcPr>
          <w:p w14:paraId="3FA4A395" w14:textId="77777777" w:rsidR="00D8365A" w:rsidRPr="00362517" w:rsidRDefault="00D8365A" w:rsidP="00BF6BC7">
            <w:pPr>
              <w:rPr>
                <w:lang w:eastAsia="ko-KR"/>
              </w:rPr>
            </w:pPr>
            <w:r w:rsidRPr="00362517">
              <w:rPr>
                <w:lang w:eastAsia="ko-KR"/>
              </w:rPr>
              <w:t>Puerto Rico</w:t>
            </w:r>
          </w:p>
        </w:tc>
        <w:tc>
          <w:tcPr>
            <w:tcW w:w="1109" w:type="pct"/>
            <w:tcBorders>
              <w:top w:val="nil"/>
              <w:left w:val="single" w:sz="4" w:space="0" w:color="auto"/>
              <w:bottom w:val="single" w:sz="4" w:space="0" w:color="auto"/>
              <w:right w:val="single" w:sz="4" w:space="0" w:color="auto"/>
            </w:tcBorders>
            <w:shd w:val="clear" w:color="auto" w:fill="auto"/>
            <w:noWrap/>
            <w:vAlign w:val="bottom"/>
            <w:hideMark/>
          </w:tcPr>
          <w:p w14:paraId="2A245C34" w14:textId="77777777" w:rsidR="00D8365A" w:rsidRPr="00362517" w:rsidRDefault="00D8365A" w:rsidP="00BF6BC7">
            <w:pPr>
              <w:tabs>
                <w:tab w:val="decimal" w:pos="1203"/>
              </w:tabs>
              <w:rPr>
                <w:lang w:eastAsia="ko-KR"/>
              </w:rPr>
            </w:pPr>
            <w:r w:rsidRPr="00362517">
              <w:rPr>
                <w:lang w:eastAsia="ko-KR"/>
              </w:rPr>
              <w:t>306</w:t>
            </w:r>
          </w:p>
        </w:tc>
        <w:tc>
          <w:tcPr>
            <w:tcW w:w="1012" w:type="pct"/>
            <w:tcBorders>
              <w:top w:val="nil"/>
              <w:left w:val="nil"/>
              <w:bottom w:val="single" w:sz="4" w:space="0" w:color="auto"/>
              <w:right w:val="single" w:sz="4" w:space="0" w:color="auto"/>
            </w:tcBorders>
            <w:shd w:val="clear" w:color="auto" w:fill="auto"/>
            <w:noWrap/>
            <w:vAlign w:val="bottom"/>
            <w:hideMark/>
          </w:tcPr>
          <w:p w14:paraId="4FF1FEE5" w14:textId="77777777" w:rsidR="00D8365A" w:rsidRPr="00362517" w:rsidRDefault="00D8365A" w:rsidP="00BF6BC7">
            <w:pPr>
              <w:tabs>
                <w:tab w:val="decimal" w:pos="1144"/>
              </w:tabs>
              <w:rPr>
                <w:lang w:eastAsia="ko-KR"/>
              </w:rPr>
            </w:pPr>
            <w:r w:rsidRPr="00362517">
              <w:rPr>
                <w:lang w:eastAsia="ko-KR"/>
              </w:rPr>
              <w:t>5,934</w:t>
            </w:r>
          </w:p>
        </w:tc>
        <w:tc>
          <w:tcPr>
            <w:tcW w:w="1343" w:type="pct"/>
            <w:tcBorders>
              <w:top w:val="nil"/>
              <w:left w:val="single" w:sz="4" w:space="0" w:color="auto"/>
              <w:bottom w:val="single" w:sz="4" w:space="0" w:color="auto"/>
              <w:right w:val="single" w:sz="8" w:space="0" w:color="auto"/>
            </w:tcBorders>
            <w:shd w:val="clear" w:color="auto" w:fill="auto"/>
            <w:noWrap/>
            <w:vAlign w:val="bottom"/>
            <w:hideMark/>
          </w:tcPr>
          <w:p w14:paraId="11CC8663" w14:textId="77777777" w:rsidR="00D8365A" w:rsidRPr="00362517" w:rsidRDefault="00D8365A" w:rsidP="00BF6BC7">
            <w:pPr>
              <w:tabs>
                <w:tab w:val="decimal" w:pos="1098"/>
              </w:tabs>
              <w:rPr>
                <w:lang w:eastAsia="ko-KR"/>
              </w:rPr>
            </w:pPr>
            <w:r w:rsidRPr="00362517">
              <w:rPr>
                <w:lang w:eastAsia="ko-KR"/>
              </w:rPr>
              <w:t>1.5</w:t>
            </w:r>
          </w:p>
        </w:tc>
      </w:tr>
      <w:tr w:rsidR="00D8365A" w:rsidRPr="00362517" w14:paraId="2CA305A0" w14:textId="77777777" w:rsidTr="007A2164">
        <w:trPr>
          <w:trHeight w:val="270"/>
        </w:trPr>
        <w:tc>
          <w:tcPr>
            <w:tcW w:w="1536" w:type="pct"/>
            <w:tcBorders>
              <w:top w:val="single" w:sz="4" w:space="0" w:color="auto"/>
              <w:left w:val="single" w:sz="8" w:space="0" w:color="auto"/>
              <w:bottom w:val="single" w:sz="12" w:space="0" w:color="auto"/>
              <w:right w:val="single" w:sz="4" w:space="0" w:color="auto"/>
            </w:tcBorders>
            <w:shd w:val="clear" w:color="auto" w:fill="auto"/>
            <w:hideMark/>
          </w:tcPr>
          <w:p w14:paraId="00281700" w14:textId="77777777" w:rsidR="00D8365A" w:rsidRPr="00362517" w:rsidRDefault="00D8365A" w:rsidP="00BF6BC7">
            <w:pPr>
              <w:rPr>
                <w:lang w:eastAsia="ko-KR"/>
              </w:rPr>
            </w:pPr>
            <w:r w:rsidRPr="00362517">
              <w:rPr>
                <w:lang w:eastAsia="ko-KR"/>
              </w:rPr>
              <w:t>Other Jurisdictions</w:t>
            </w:r>
          </w:p>
        </w:tc>
        <w:tc>
          <w:tcPr>
            <w:tcW w:w="1109" w:type="pct"/>
            <w:tcBorders>
              <w:top w:val="nil"/>
              <w:left w:val="nil"/>
              <w:bottom w:val="single" w:sz="12" w:space="0" w:color="auto"/>
              <w:right w:val="single" w:sz="4" w:space="0" w:color="auto"/>
            </w:tcBorders>
            <w:shd w:val="clear" w:color="auto" w:fill="auto"/>
            <w:noWrap/>
            <w:vAlign w:val="bottom"/>
            <w:hideMark/>
          </w:tcPr>
          <w:p w14:paraId="1D06FAB2" w14:textId="77777777" w:rsidR="00D8365A" w:rsidRPr="00362517" w:rsidRDefault="00D8365A" w:rsidP="00BF6BC7">
            <w:pPr>
              <w:tabs>
                <w:tab w:val="decimal" w:pos="1203"/>
              </w:tabs>
              <w:rPr>
                <w:lang w:eastAsia="ko-KR"/>
              </w:rPr>
            </w:pPr>
            <w:r w:rsidRPr="00362517">
              <w:rPr>
                <w:lang w:eastAsia="ko-KR"/>
              </w:rPr>
              <w:t>505</w:t>
            </w:r>
          </w:p>
        </w:tc>
        <w:tc>
          <w:tcPr>
            <w:tcW w:w="1012" w:type="pct"/>
            <w:tcBorders>
              <w:top w:val="nil"/>
              <w:left w:val="nil"/>
              <w:bottom w:val="single" w:sz="12" w:space="0" w:color="auto"/>
              <w:right w:val="single" w:sz="4" w:space="0" w:color="auto"/>
            </w:tcBorders>
            <w:shd w:val="clear" w:color="auto" w:fill="auto"/>
            <w:noWrap/>
            <w:vAlign w:val="bottom"/>
            <w:hideMark/>
          </w:tcPr>
          <w:p w14:paraId="2FCC5223" w14:textId="77777777" w:rsidR="00D8365A" w:rsidRPr="00362517" w:rsidRDefault="00D8365A" w:rsidP="00BF6BC7">
            <w:pPr>
              <w:tabs>
                <w:tab w:val="decimal" w:pos="1144"/>
              </w:tabs>
              <w:rPr>
                <w:lang w:eastAsia="ko-KR"/>
              </w:rPr>
            </w:pPr>
            <w:r w:rsidRPr="00362517">
              <w:rPr>
                <w:lang w:eastAsia="ko-KR"/>
              </w:rPr>
              <w:t>3,682</w:t>
            </w:r>
          </w:p>
        </w:tc>
        <w:tc>
          <w:tcPr>
            <w:tcW w:w="1343" w:type="pct"/>
            <w:tcBorders>
              <w:top w:val="single" w:sz="4" w:space="0" w:color="auto"/>
              <w:left w:val="nil"/>
              <w:bottom w:val="single" w:sz="12" w:space="0" w:color="auto"/>
              <w:right w:val="single" w:sz="8" w:space="0" w:color="auto"/>
            </w:tcBorders>
            <w:shd w:val="clear" w:color="auto" w:fill="auto"/>
            <w:noWrap/>
            <w:vAlign w:val="bottom"/>
            <w:hideMark/>
          </w:tcPr>
          <w:p w14:paraId="4C77D7EA" w14:textId="77777777" w:rsidR="00D8365A" w:rsidRPr="00362517" w:rsidRDefault="00D8365A" w:rsidP="00BF6BC7">
            <w:pPr>
              <w:tabs>
                <w:tab w:val="decimal" w:pos="1098"/>
              </w:tabs>
              <w:rPr>
                <w:lang w:eastAsia="ko-KR"/>
              </w:rPr>
            </w:pPr>
            <w:r w:rsidRPr="00362517">
              <w:rPr>
                <w:lang w:eastAsia="ko-KR"/>
              </w:rPr>
              <w:t>1.3</w:t>
            </w:r>
          </w:p>
        </w:tc>
      </w:tr>
      <w:tr w:rsidR="00D8365A" w:rsidRPr="00362517" w14:paraId="21DEF22F" w14:textId="77777777" w:rsidTr="007A2164">
        <w:trPr>
          <w:trHeight w:val="270"/>
        </w:trPr>
        <w:tc>
          <w:tcPr>
            <w:tcW w:w="1536" w:type="pct"/>
            <w:tcBorders>
              <w:top w:val="single" w:sz="12" w:space="0" w:color="auto"/>
              <w:left w:val="single" w:sz="8" w:space="0" w:color="auto"/>
              <w:bottom w:val="single" w:sz="12" w:space="0" w:color="auto"/>
              <w:right w:val="single" w:sz="4" w:space="0" w:color="auto"/>
            </w:tcBorders>
            <w:shd w:val="clear" w:color="auto" w:fill="auto"/>
            <w:hideMark/>
          </w:tcPr>
          <w:p w14:paraId="051B87E5" w14:textId="77777777" w:rsidR="00D8365A" w:rsidRPr="00362517" w:rsidRDefault="00D8365A" w:rsidP="00BF6BC7">
            <w:pPr>
              <w:rPr>
                <w:b/>
                <w:bCs/>
                <w:lang w:eastAsia="ko-KR"/>
              </w:rPr>
            </w:pPr>
            <w:r w:rsidRPr="00362517">
              <w:rPr>
                <w:b/>
                <w:bCs/>
                <w:lang w:eastAsia="ko-KR"/>
              </w:rPr>
              <w:t>U.S.</w:t>
            </w:r>
          </w:p>
        </w:tc>
        <w:tc>
          <w:tcPr>
            <w:tcW w:w="1109" w:type="pct"/>
            <w:tcBorders>
              <w:top w:val="single" w:sz="12" w:space="0" w:color="auto"/>
              <w:left w:val="nil"/>
              <w:bottom w:val="single" w:sz="12" w:space="0" w:color="auto"/>
              <w:right w:val="single" w:sz="4" w:space="0" w:color="auto"/>
            </w:tcBorders>
            <w:shd w:val="clear" w:color="auto" w:fill="auto"/>
            <w:noWrap/>
            <w:vAlign w:val="bottom"/>
            <w:hideMark/>
          </w:tcPr>
          <w:p w14:paraId="0C391B96" w14:textId="77777777" w:rsidR="00D8365A" w:rsidRPr="00362517" w:rsidRDefault="00D8365A" w:rsidP="00BF6BC7">
            <w:pPr>
              <w:tabs>
                <w:tab w:val="decimal" w:pos="1203"/>
              </w:tabs>
              <w:rPr>
                <w:b/>
                <w:bCs/>
                <w:lang w:eastAsia="ko-KR"/>
              </w:rPr>
            </w:pPr>
            <w:r w:rsidRPr="00362517">
              <w:rPr>
                <w:b/>
                <w:bCs/>
                <w:lang w:eastAsia="ko-KR"/>
              </w:rPr>
              <w:t>50,050</w:t>
            </w:r>
          </w:p>
        </w:tc>
        <w:tc>
          <w:tcPr>
            <w:tcW w:w="1012" w:type="pct"/>
            <w:tcBorders>
              <w:top w:val="single" w:sz="12" w:space="0" w:color="auto"/>
              <w:left w:val="nil"/>
              <w:bottom w:val="single" w:sz="12" w:space="0" w:color="auto"/>
              <w:right w:val="single" w:sz="4" w:space="0" w:color="auto"/>
            </w:tcBorders>
            <w:shd w:val="clear" w:color="auto" w:fill="auto"/>
            <w:noWrap/>
            <w:vAlign w:val="bottom"/>
            <w:hideMark/>
          </w:tcPr>
          <w:p w14:paraId="05E3F03C" w14:textId="77777777" w:rsidR="00D8365A" w:rsidRPr="00362517" w:rsidRDefault="00D8365A" w:rsidP="00BF6BC7">
            <w:pPr>
              <w:tabs>
                <w:tab w:val="decimal" w:pos="1144"/>
              </w:tabs>
              <w:rPr>
                <w:b/>
                <w:bCs/>
                <w:lang w:eastAsia="ko-KR"/>
              </w:rPr>
            </w:pPr>
            <w:r w:rsidRPr="00362517">
              <w:rPr>
                <w:b/>
                <w:bCs/>
                <w:lang w:eastAsia="ko-KR"/>
              </w:rPr>
              <w:t>370,949</w:t>
            </w:r>
          </w:p>
        </w:tc>
        <w:tc>
          <w:tcPr>
            <w:tcW w:w="1343" w:type="pct"/>
            <w:tcBorders>
              <w:top w:val="single" w:sz="12" w:space="0" w:color="auto"/>
              <w:left w:val="nil"/>
              <w:bottom w:val="single" w:sz="12" w:space="0" w:color="auto"/>
              <w:right w:val="single" w:sz="8" w:space="0" w:color="auto"/>
            </w:tcBorders>
            <w:shd w:val="clear" w:color="auto" w:fill="auto"/>
            <w:noWrap/>
            <w:vAlign w:val="bottom"/>
            <w:hideMark/>
          </w:tcPr>
          <w:p w14:paraId="1483DDC1" w14:textId="77777777" w:rsidR="00D8365A" w:rsidRPr="00362517" w:rsidRDefault="00D8365A" w:rsidP="00BF6BC7">
            <w:pPr>
              <w:tabs>
                <w:tab w:val="decimal" w:pos="1098"/>
              </w:tabs>
              <w:rPr>
                <w:b/>
                <w:bCs/>
                <w:lang w:eastAsia="ko-KR"/>
              </w:rPr>
            </w:pPr>
            <w:r w:rsidRPr="00362517">
              <w:rPr>
                <w:b/>
                <w:bCs/>
                <w:lang w:eastAsia="ko-KR"/>
              </w:rPr>
              <w:t>1.8</w:t>
            </w:r>
          </w:p>
        </w:tc>
      </w:tr>
    </w:tbl>
    <w:p w14:paraId="00FDA9FA" w14:textId="77777777" w:rsidR="00D8365A" w:rsidRPr="00362517" w:rsidRDefault="00D8365A" w:rsidP="00BF6BC7">
      <w:pPr>
        <w:pStyle w:val="Source"/>
        <w:rPr>
          <w:sz w:val="22"/>
          <w:szCs w:val="22"/>
        </w:rPr>
      </w:pPr>
      <w:r w:rsidRPr="00362517">
        <w:rPr>
          <w:sz w:val="22"/>
          <w:szCs w:val="22"/>
        </w:rPr>
        <w:t>Source: Certification Plan and Reporting Database (CPARD) 2015.</w:t>
      </w:r>
    </w:p>
    <w:p w14:paraId="1E6E9871" w14:textId="77777777" w:rsidR="00D8365A" w:rsidRPr="00362517" w:rsidRDefault="00D8365A" w:rsidP="00BF6BC7"/>
    <w:p w14:paraId="13DAD882" w14:textId="77777777" w:rsidR="00D8365A" w:rsidRPr="00362517" w:rsidRDefault="00D8365A" w:rsidP="00BF6BC7">
      <w:pPr>
        <w:pStyle w:val="BodyText"/>
      </w:pPr>
      <w:r w:rsidRPr="00362517">
        <w:t>Data on the age distribution of certified applicators are not available.  Because it is important to know the number of certified applicators that may be subject to an age restriction, EPA estimates the number of commercial applicators for different age groups.  Due to restrictions on adolescents regarding driving, and the availability to work due to education requirements, as well as general liability concerns, it is unlikely that there are commercial applicators under the age of 16.  Further, 31 states prohibit certification for those under 18.  We also assume that Federal Agencies do not issue certifications to those under 18.  For other jurisdictions, EPA assumes that 0.2 percent of new commercial applicators are 16 years old and 0.3 percent are 17 years old.  This assumption follows the analysis of the Final Revisions to the Worker Protection Standard (EPA, 2015a).  Data from the National Agricultural Worker Survey (DoL, 2011) indicated that just over two percent of on-farm pesticide handlers were under 18 years of age.  For the WPS analysis, EPA assumed that commercial pesticide handling establishments would be less likely to employ adolescents in such a capacity and estimated that about one percent of commercial handlers would be under 18 (EPA, 2015a).  For this analysis, we assume it is even less likely that commercial establishments would hire adolescents to apply RUPs, i.e., half of one percent of the certified applicators are under 18.  EPA assumes that 90 percent of certified 16 year olds return to work as 17 year olds.  The estimated number of commercial certified adolescents is shown in Table 3.3-2.</w:t>
      </w:r>
    </w:p>
    <w:p w14:paraId="4DB0ADB5" w14:textId="77777777" w:rsidR="00D8365A" w:rsidRPr="00362517" w:rsidRDefault="00D8365A" w:rsidP="00BF6BC7"/>
    <w:p w14:paraId="0E04DCF9" w14:textId="77777777" w:rsidR="00D8365A" w:rsidRPr="00362517" w:rsidRDefault="00D8365A" w:rsidP="00BF6BC7">
      <w:pPr>
        <w:pStyle w:val="BodyText"/>
        <w:keepNext/>
      </w:pPr>
      <w:r w:rsidRPr="00362517">
        <w:rPr>
          <w:rStyle w:val="CaptionChar"/>
        </w:rPr>
        <w:t>Table 3.3-2.  Estimated Number of Commercial Applicators under 18 Years of Age</w:t>
      </w:r>
      <w:r w:rsidRPr="0036251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2160"/>
        <w:gridCol w:w="2160"/>
        <w:gridCol w:w="2158"/>
      </w:tblGrid>
      <w:tr w:rsidR="00D8365A" w:rsidRPr="00362517" w14:paraId="00BC358B" w14:textId="77777777" w:rsidTr="007A2164">
        <w:trPr>
          <w:trHeight w:val="270"/>
        </w:trPr>
        <w:tc>
          <w:tcPr>
            <w:tcW w:w="1536" w:type="pct"/>
            <w:shd w:val="clear" w:color="auto" w:fill="auto"/>
            <w:noWrap/>
            <w:vAlign w:val="bottom"/>
            <w:hideMark/>
          </w:tcPr>
          <w:p w14:paraId="6B9E00F0" w14:textId="77777777" w:rsidR="00D8365A" w:rsidRPr="00362517" w:rsidRDefault="00D8365A" w:rsidP="00BF6BC7">
            <w:pPr>
              <w:keepNext/>
              <w:rPr>
                <w:lang w:eastAsia="ko-KR"/>
              </w:rPr>
            </w:pPr>
            <w:r w:rsidRPr="00362517">
              <w:rPr>
                <w:lang w:eastAsia="ko-KR"/>
              </w:rPr>
              <w:t>Jurisdiction</w:t>
            </w:r>
          </w:p>
        </w:tc>
        <w:tc>
          <w:tcPr>
            <w:tcW w:w="1155" w:type="pct"/>
            <w:shd w:val="clear" w:color="auto" w:fill="auto"/>
            <w:noWrap/>
            <w:hideMark/>
          </w:tcPr>
          <w:p w14:paraId="2796F824" w14:textId="77777777" w:rsidR="00D8365A" w:rsidRPr="00362517" w:rsidRDefault="00D8365A" w:rsidP="00BF6BC7">
            <w:pPr>
              <w:keepNext/>
              <w:jc w:val="center"/>
              <w:rPr>
                <w:lang w:eastAsia="ko-KR"/>
              </w:rPr>
            </w:pPr>
            <w:r w:rsidRPr="00362517">
              <w:rPr>
                <w:lang w:eastAsia="ko-KR"/>
              </w:rPr>
              <w:t>16 Year Old</w:t>
            </w:r>
          </w:p>
          <w:p w14:paraId="65BA47C8" w14:textId="77777777" w:rsidR="00D8365A" w:rsidRPr="00362517" w:rsidRDefault="00D8365A" w:rsidP="00BF6BC7">
            <w:pPr>
              <w:keepNext/>
              <w:jc w:val="center"/>
              <w:rPr>
                <w:lang w:eastAsia="ko-KR"/>
              </w:rPr>
            </w:pPr>
            <w:r w:rsidRPr="00362517">
              <w:rPr>
                <w:lang w:eastAsia="ko-KR"/>
              </w:rPr>
              <w:t>First-Time Applicators</w:t>
            </w:r>
          </w:p>
        </w:tc>
        <w:tc>
          <w:tcPr>
            <w:tcW w:w="1155" w:type="pct"/>
            <w:shd w:val="clear" w:color="auto" w:fill="auto"/>
            <w:noWrap/>
            <w:hideMark/>
          </w:tcPr>
          <w:p w14:paraId="3660A12B" w14:textId="77777777" w:rsidR="00D8365A" w:rsidRPr="00362517" w:rsidRDefault="00D8365A" w:rsidP="00BF6BC7">
            <w:pPr>
              <w:keepNext/>
              <w:jc w:val="center"/>
              <w:rPr>
                <w:lang w:eastAsia="ko-KR"/>
              </w:rPr>
            </w:pPr>
            <w:r w:rsidRPr="00362517">
              <w:rPr>
                <w:lang w:eastAsia="ko-KR"/>
              </w:rPr>
              <w:t>17 Year Old</w:t>
            </w:r>
          </w:p>
          <w:p w14:paraId="3413BC79" w14:textId="77777777" w:rsidR="00D8365A" w:rsidRPr="00362517" w:rsidRDefault="00D8365A" w:rsidP="00BF6BC7">
            <w:pPr>
              <w:keepNext/>
              <w:jc w:val="center"/>
              <w:rPr>
                <w:lang w:eastAsia="ko-KR"/>
              </w:rPr>
            </w:pPr>
            <w:r w:rsidRPr="00362517">
              <w:rPr>
                <w:lang w:eastAsia="ko-KR"/>
              </w:rPr>
              <w:t>First-Time Applicators</w:t>
            </w:r>
          </w:p>
        </w:tc>
        <w:tc>
          <w:tcPr>
            <w:tcW w:w="1154" w:type="pct"/>
            <w:shd w:val="clear" w:color="auto" w:fill="auto"/>
            <w:noWrap/>
            <w:hideMark/>
          </w:tcPr>
          <w:p w14:paraId="74323D3A" w14:textId="77777777" w:rsidR="00D8365A" w:rsidRPr="00362517" w:rsidRDefault="00D8365A" w:rsidP="00BF6BC7">
            <w:pPr>
              <w:keepNext/>
              <w:jc w:val="center"/>
              <w:rPr>
                <w:lang w:eastAsia="ko-KR"/>
              </w:rPr>
            </w:pPr>
            <w:r w:rsidRPr="00362517">
              <w:rPr>
                <w:lang w:eastAsia="ko-KR"/>
              </w:rPr>
              <w:t>17 Year Old</w:t>
            </w:r>
          </w:p>
          <w:p w14:paraId="4663E104" w14:textId="77777777" w:rsidR="00D8365A" w:rsidRPr="00362517" w:rsidRDefault="00D8365A" w:rsidP="00BF6BC7">
            <w:pPr>
              <w:keepNext/>
              <w:jc w:val="center"/>
              <w:rPr>
                <w:lang w:eastAsia="ko-KR"/>
              </w:rPr>
            </w:pPr>
            <w:r w:rsidRPr="00362517">
              <w:rPr>
                <w:lang w:eastAsia="ko-KR"/>
              </w:rPr>
              <w:t>Existing Applicators</w:t>
            </w:r>
          </w:p>
        </w:tc>
      </w:tr>
      <w:tr w:rsidR="00D8365A" w:rsidRPr="00362517" w14:paraId="51143308" w14:textId="77777777" w:rsidTr="007A2164">
        <w:trPr>
          <w:trHeight w:val="270"/>
        </w:trPr>
        <w:tc>
          <w:tcPr>
            <w:tcW w:w="1536" w:type="pct"/>
            <w:shd w:val="clear" w:color="auto" w:fill="auto"/>
            <w:hideMark/>
          </w:tcPr>
          <w:p w14:paraId="4F5EB5DD" w14:textId="77777777" w:rsidR="00D8365A" w:rsidRPr="00362517" w:rsidRDefault="00D8365A" w:rsidP="00BF6BC7">
            <w:pPr>
              <w:rPr>
                <w:lang w:eastAsia="ko-KR"/>
              </w:rPr>
            </w:pPr>
            <w:r w:rsidRPr="00362517">
              <w:rPr>
                <w:lang w:eastAsia="ko-KR"/>
              </w:rPr>
              <w:t>Alabama</w:t>
            </w:r>
            <w:r w:rsidRPr="00362517">
              <w:rPr>
                <w:vertAlign w:val="superscript"/>
                <w:lang w:eastAsia="ko-KR"/>
              </w:rPr>
              <w:t xml:space="preserve"> 1</w:t>
            </w:r>
          </w:p>
        </w:tc>
        <w:tc>
          <w:tcPr>
            <w:tcW w:w="1155" w:type="pct"/>
            <w:shd w:val="clear" w:color="auto" w:fill="auto"/>
            <w:noWrap/>
            <w:vAlign w:val="bottom"/>
            <w:hideMark/>
          </w:tcPr>
          <w:p w14:paraId="7F73CB1B"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1843BEBA"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79F8990B" w14:textId="77777777" w:rsidR="00D8365A" w:rsidRPr="00362517" w:rsidRDefault="00D8365A" w:rsidP="00BF6BC7">
            <w:pPr>
              <w:tabs>
                <w:tab w:val="decimal" w:pos="1068"/>
              </w:tabs>
              <w:rPr>
                <w:lang w:eastAsia="ko-KR"/>
              </w:rPr>
            </w:pPr>
            <w:r w:rsidRPr="00362517">
              <w:t>0</w:t>
            </w:r>
          </w:p>
        </w:tc>
      </w:tr>
      <w:tr w:rsidR="00D8365A" w:rsidRPr="00362517" w14:paraId="31F16928" w14:textId="77777777" w:rsidTr="007A2164">
        <w:trPr>
          <w:trHeight w:val="255"/>
        </w:trPr>
        <w:tc>
          <w:tcPr>
            <w:tcW w:w="1536" w:type="pct"/>
            <w:shd w:val="clear" w:color="auto" w:fill="auto"/>
            <w:hideMark/>
          </w:tcPr>
          <w:p w14:paraId="0EF69373" w14:textId="77777777" w:rsidR="00D8365A" w:rsidRPr="00362517" w:rsidRDefault="00D8365A" w:rsidP="00BF6BC7">
            <w:pPr>
              <w:rPr>
                <w:lang w:eastAsia="ko-KR"/>
              </w:rPr>
            </w:pPr>
            <w:r w:rsidRPr="00362517">
              <w:rPr>
                <w:lang w:eastAsia="ko-KR"/>
              </w:rPr>
              <w:t>Alaska</w:t>
            </w:r>
            <w:r w:rsidRPr="00362517">
              <w:rPr>
                <w:vertAlign w:val="superscript"/>
                <w:lang w:eastAsia="ko-KR"/>
              </w:rPr>
              <w:t xml:space="preserve"> 1</w:t>
            </w:r>
          </w:p>
        </w:tc>
        <w:tc>
          <w:tcPr>
            <w:tcW w:w="1155" w:type="pct"/>
            <w:shd w:val="clear" w:color="auto" w:fill="auto"/>
            <w:noWrap/>
            <w:vAlign w:val="bottom"/>
            <w:hideMark/>
          </w:tcPr>
          <w:p w14:paraId="24835894"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5DE9E946"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71A71584" w14:textId="77777777" w:rsidR="00D8365A" w:rsidRPr="00362517" w:rsidRDefault="00D8365A" w:rsidP="00BF6BC7">
            <w:pPr>
              <w:tabs>
                <w:tab w:val="decimal" w:pos="1068"/>
              </w:tabs>
              <w:rPr>
                <w:lang w:eastAsia="ko-KR"/>
              </w:rPr>
            </w:pPr>
            <w:r w:rsidRPr="00362517">
              <w:t>0</w:t>
            </w:r>
          </w:p>
        </w:tc>
      </w:tr>
      <w:tr w:rsidR="00D8365A" w:rsidRPr="00362517" w14:paraId="0AE48669" w14:textId="77777777" w:rsidTr="007A2164">
        <w:trPr>
          <w:trHeight w:val="255"/>
        </w:trPr>
        <w:tc>
          <w:tcPr>
            <w:tcW w:w="1536" w:type="pct"/>
            <w:shd w:val="clear" w:color="auto" w:fill="auto"/>
            <w:hideMark/>
          </w:tcPr>
          <w:p w14:paraId="155BF548" w14:textId="77777777" w:rsidR="00D8365A" w:rsidRPr="00362517" w:rsidRDefault="00D8365A" w:rsidP="00BF6BC7">
            <w:pPr>
              <w:rPr>
                <w:lang w:eastAsia="ko-KR"/>
              </w:rPr>
            </w:pPr>
            <w:r w:rsidRPr="00362517">
              <w:rPr>
                <w:lang w:eastAsia="ko-KR"/>
              </w:rPr>
              <w:t>Arizona</w:t>
            </w:r>
            <w:r w:rsidRPr="00362517">
              <w:rPr>
                <w:vertAlign w:val="superscript"/>
                <w:lang w:eastAsia="ko-KR"/>
              </w:rPr>
              <w:t xml:space="preserve"> 1</w:t>
            </w:r>
          </w:p>
        </w:tc>
        <w:tc>
          <w:tcPr>
            <w:tcW w:w="1155" w:type="pct"/>
            <w:shd w:val="clear" w:color="auto" w:fill="auto"/>
            <w:noWrap/>
            <w:vAlign w:val="bottom"/>
            <w:hideMark/>
          </w:tcPr>
          <w:p w14:paraId="03DD8528"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6449F345"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04069090" w14:textId="77777777" w:rsidR="00D8365A" w:rsidRPr="00362517" w:rsidRDefault="00D8365A" w:rsidP="00BF6BC7">
            <w:pPr>
              <w:tabs>
                <w:tab w:val="decimal" w:pos="1068"/>
              </w:tabs>
              <w:rPr>
                <w:lang w:eastAsia="ko-KR"/>
              </w:rPr>
            </w:pPr>
            <w:r w:rsidRPr="00362517">
              <w:t>0</w:t>
            </w:r>
          </w:p>
        </w:tc>
      </w:tr>
      <w:tr w:rsidR="00D8365A" w:rsidRPr="00362517" w14:paraId="195A9A9D" w14:textId="77777777" w:rsidTr="007A2164">
        <w:trPr>
          <w:trHeight w:val="255"/>
        </w:trPr>
        <w:tc>
          <w:tcPr>
            <w:tcW w:w="1536" w:type="pct"/>
            <w:shd w:val="clear" w:color="auto" w:fill="auto"/>
            <w:hideMark/>
          </w:tcPr>
          <w:p w14:paraId="7C05100E" w14:textId="77777777" w:rsidR="00D8365A" w:rsidRPr="00362517" w:rsidRDefault="00D8365A" w:rsidP="00BF6BC7">
            <w:pPr>
              <w:rPr>
                <w:lang w:eastAsia="ko-KR"/>
              </w:rPr>
            </w:pPr>
            <w:r w:rsidRPr="00362517">
              <w:rPr>
                <w:lang w:eastAsia="ko-KR"/>
              </w:rPr>
              <w:t>Arkansas</w:t>
            </w:r>
            <w:r w:rsidRPr="00362517">
              <w:rPr>
                <w:vertAlign w:val="superscript"/>
                <w:lang w:eastAsia="ko-KR"/>
              </w:rPr>
              <w:t xml:space="preserve"> 1</w:t>
            </w:r>
          </w:p>
        </w:tc>
        <w:tc>
          <w:tcPr>
            <w:tcW w:w="1155" w:type="pct"/>
            <w:shd w:val="clear" w:color="auto" w:fill="auto"/>
            <w:noWrap/>
            <w:vAlign w:val="bottom"/>
            <w:hideMark/>
          </w:tcPr>
          <w:p w14:paraId="6945E5D7"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398F5394"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4A8632E0" w14:textId="77777777" w:rsidR="00D8365A" w:rsidRPr="00362517" w:rsidRDefault="00D8365A" w:rsidP="00BF6BC7">
            <w:pPr>
              <w:tabs>
                <w:tab w:val="decimal" w:pos="1068"/>
              </w:tabs>
              <w:rPr>
                <w:lang w:eastAsia="ko-KR"/>
              </w:rPr>
            </w:pPr>
            <w:r w:rsidRPr="00362517">
              <w:t>0</w:t>
            </w:r>
          </w:p>
        </w:tc>
      </w:tr>
      <w:tr w:rsidR="00D8365A" w:rsidRPr="00362517" w14:paraId="1AF14E30" w14:textId="77777777" w:rsidTr="007A2164">
        <w:trPr>
          <w:trHeight w:val="255"/>
        </w:trPr>
        <w:tc>
          <w:tcPr>
            <w:tcW w:w="1536" w:type="pct"/>
            <w:shd w:val="clear" w:color="auto" w:fill="auto"/>
            <w:hideMark/>
          </w:tcPr>
          <w:p w14:paraId="43EA2757" w14:textId="77777777" w:rsidR="00D8365A" w:rsidRPr="00362517" w:rsidRDefault="00D8365A" w:rsidP="00BF6BC7">
            <w:pPr>
              <w:rPr>
                <w:lang w:eastAsia="ko-KR"/>
              </w:rPr>
            </w:pPr>
            <w:r w:rsidRPr="00362517">
              <w:rPr>
                <w:lang w:eastAsia="ko-KR"/>
              </w:rPr>
              <w:t>California</w:t>
            </w:r>
            <w:r w:rsidRPr="00362517">
              <w:rPr>
                <w:vertAlign w:val="superscript"/>
                <w:lang w:eastAsia="ko-KR"/>
              </w:rPr>
              <w:t xml:space="preserve"> 1</w:t>
            </w:r>
          </w:p>
        </w:tc>
        <w:tc>
          <w:tcPr>
            <w:tcW w:w="1155" w:type="pct"/>
            <w:shd w:val="clear" w:color="auto" w:fill="auto"/>
            <w:noWrap/>
            <w:vAlign w:val="bottom"/>
            <w:hideMark/>
          </w:tcPr>
          <w:p w14:paraId="08F41830"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1750AC47"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0CEDD42C" w14:textId="77777777" w:rsidR="00D8365A" w:rsidRPr="00362517" w:rsidRDefault="00D8365A" w:rsidP="00BF6BC7">
            <w:pPr>
              <w:tabs>
                <w:tab w:val="decimal" w:pos="1068"/>
              </w:tabs>
              <w:rPr>
                <w:lang w:eastAsia="ko-KR"/>
              </w:rPr>
            </w:pPr>
            <w:r w:rsidRPr="00362517">
              <w:t>0</w:t>
            </w:r>
          </w:p>
        </w:tc>
      </w:tr>
      <w:tr w:rsidR="00D8365A" w:rsidRPr="00362517" w14:paraId="2E86BBD7" w14:textId="77777777" w:rsidTr="007A2164">
        <w:trPr>
          <w:trHeight w:val="255"/>
        </w:trPr>
        <w:tc>
          <w:tcPr>
            <w:tcW w:w="1536" w:type="pct"/>
            <w:shd w:val="clear" w:color="auto" w:fill="auto"/>
            <w:hideMark/>
          </w:tcPr>
          <w:p w14:paraId="365155BD" w14:textId="77777777" w:rsidR="00D8365A" w:rsidRPr="00362517" w:rsidRDefault="00D8365A" w:rsidP="00BF6BC7">
            <w:pPr>
              <w:rPr>
                <w:lang w:eastAsia="ko-KR"/>
              </w:rPr>
            </w:pPr>
            <w:r w:rsidRPr="00362517">
              <w:rPr>
                <w:lang w:eastAsia="ko-KR"/>
              </w:rPr>
              <w:t>Colorado</w:t>
            </w:r>
          </w:p>
        </w:tc>
        <w:tc>
          <w:tcPr>
            <w:tcW w:w="1155" w:type="pct"/>
            <w:shd w:val="clear" w:color="auto" w:fill="auto"/>
            <w:noWrap/>
            <w:vAlign w:val="bottom"/>
            <w:hideMark/>
          </w:tcPr>
          <w:p w14:paraId="69530661" w14:textId="77777777" w:rsidR="00D8365A" w:rsidRPr="00362517" w:rsidRDefault="00D8365A" w:rsidP="00BF6BC7">
            <w:pPr>
              <w:tabs>
                <w:tab w:val="decimal" w:pos="1243"/>
              </w:tabs>
              <w:rPr>
                <w:lang w:eastAsia="ko-KR"/>
              </w:rPr>
            </w:pPr>
            <w:r w:rsidRPr="00362517">
              <w:t>1.4</w:t>
            </w:r>
          </w:p>
        </w:tc>
        <w:tc>
          <w:tcPr>
            <w:tcW w:w="1155" w:type="pct"/>
            <w:shd w:val="clear" w:color="auto" w:fill="auto"/>
            <w:noWrap/>
            <w:vAlign w:val="bottom"/>
            <w:hideMark/>
          </w:tcPr>
          <w:p w14:paraId="3128A576" w14:textId="77777777" w:rsidR="00D8365A" w:rsidRPr="00362517" w:rsidRDefault="00D8365A" w:rsidP="00BF6BC7">
            <w:pPr>
              <w:tabs>
                <w:tab w:val="decimal" w:pos="1149"/>
              </w:tabs>
              <w:rPr>
                <w:lang w:eastAsia="ko-KR"/>
              </w:rPr>
            </w:pPr>
            <w:r w:rsidRPr="00362517">
              <w:t>2.1</w:t>
            </w:r>
          </w:p>
        </w:tc>
        <w:tc>
          <w:tcPr>
            <w:tcW w:w="1154" w:type="pct"/>
            <w:shd w:val="clear" w:color="auto" w:fill="auto"/>
            <w:noWrap/>
            <w:vAlign w:val="bottom"/>
            <w:hideMark/>
          </w:tcPr>
          <w:p w14:paraId="7F605AC2" w14:textId="77777777" w:rsidR="00D8365A" w:rsidRPr="00362517" w:rsidRDefault="00D8365A" w:rsidP="00BF6BC7">
            <w:pPr>
              <w:tabs>
                <w:tab w:val="decimal" w:pos="1068"/>
              </w:tabs>
              <w:rPr>
                <w:lang w:eastAsia="ko-KR"/>
              </w:rPr>
            </w:pPr>
            <w:r w:rsidRPr="00362517">
              <w:t>1.3</w:t>
            </w:r>
          </w:p>
        </w:tc>
      </w:tr>
      <w:tr w:rsidR="00D8365A" w:rsidRPr="00362517" w14:paraId="6FC44ACB" w14:textId="77777777" w:rsidTr="007A2164">
        <w:trPr>
          <w:trHeight w:val="255"/>
        </w:trPr>
        <w:tc>
          <w:tcPr>
            <w:tcW w:w="1536" w:type="pct"/>
            <w:shd w:val="clear" w:color="auto" w:fill="auto"/>
            <w:hideMark/>
          </w:tcPr>
          <w:p w14:paraId="01E0E839" w14:textId="77777777" w:rsidR="00D8365A" w:rsidRPr="00362517" w:rsidRDefault="00D8365A" w:rsidP="00BF6BC7">
            <w:pPr>
              <w:rPr>
                <w:lang w:eastAsia="ko-KR"/>
              </w:rPr>
            </w:pPr>
            <w:r w:rsidRPr="00362517">
              <w:rPr>
                <w:lang w:eastAsia="ko-KR"/>
              </w:rPr>
              <w:t>Connecticut</w:t>
            </w:r>
            <w:r w:rsidRPr="00362517">
              <w:rPr>
                <w:vertAlign w:val="superscript"/>
                <w:lang w:eastAsia="ko-KR"/>
              </w:rPr>
              <w:t xml:space="preserve"> 1</w:t>
            </w:r>
          </w:p>
        </w:tc>
        <w:tc>
          <w:tcPr>
            <w:tcW w:w="1155" w:type="pct"/>
            <w:shd w:val="clear" w:color="auto" w:fill="auto"/>
            <w:noWrap/>
            <w:vAlign w:val="bottom"/>
            <w:hideMark/>
          </w:tcPr>
          <w:p w14:paraId="2C398044"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34FA74F7"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0766046C" w14:textId="77777777" w:rsidR="00D8365A" w:rsidRPr="00362517" w:rsidRDefault="00D8365A" w:rsidP="00BF6BC7">
            <w:pPr>
              <w:tabs>
                <w:tab w:val="decimal" w:pos="1068"/>
              </w:tabs>
              <w:rPr>
                <w:lang w:eastAsia="ko-KR"/>
              </w:rPr>
            </w:pPr>
            <w:r w:rsidRPr="00362517">
              <w:t>0</w:t>
            </w:r>
          </w:p>
        </w:tc>
      </w:tr>
      <w:tr w:rsidR="00D8365A" w:rsidRPr="00362517" w14:paraId="374AA594" w14:textId="77777777" w:rsidTr="007A2164">
        <w:trPr>
          <w:trHeight w:val="255"/>
        </w:trPr>
        <w:tc>
          <w:tcPr>
            <w:tcW w:w="1536" w:type="pct"/>
            <w:shd w:val="clear" w:color="auto" w:fill="auto"/>
            <w:hideMark/>
          </w:tcPr>
          <w:p w14:paraId="58764A5A" w14:textId="77777777" w:rsidR="00D8365A" w:rsidRPr="00362517" w:rsidRDefault="00D8365A" w:rsidP="00BF6BC7">
            <w:pPr>
              <w:rPr>
                <w:lang w:eastAsia="ko-KR"/>
              </w:rPr>
            </w:pPr>
            <w:r w:rsidRPr="00362517">
              <w:rPr>
                <w:lang w:eastAsia="ko-KR"/>
              </w:rPr>
              <w:t>Delaware</w:t>
            </w:r>
            <w:r w:rsidRPr="00362517">
              <w:rPr>
                <w:vertAlign w:val="superscript"/>
                <w:lang w:eastAsia="ko-KR"/>
              </w:rPr>
              <w:t xml:space="preserve"> 1</w:t>
            </w:r>
          </w:p>
        </w:tc>
        <w:tc>
          <w:tcPr>
            <w:tcW w:w="1155" w:type="pct"/>
            <w:shd w:val="clear" w:color="auto" w:fill="auto"/>
            <w:noWrap/>
            <w:vAlign w:val="bottom"/>
            <w:hideMark/>
          </w:tcPr>
          <w:p w14:paraId="4D0F3B3B"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5C602CC9"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70A2F980" w14:textId="77777777" w:rsidR="00D8365A" w:rsidRPr="00362517" w:rsidRDefault="00D8365A" w:rsidP="00BF6BC7">
            <w:pPr>
              <w:tabs>
                <w:tab w:val="decimal" w:pos="1068"/>
              </w:tabs>
              <w:rPr>
                <w:lang w:eastAsia="ko-KR"/>
              </w:rPr>
            </w:pPr>
            <w:r w:rsidRPr="00362517">
              <w:t>0</w:t>
            </w:r>
          </w:p>
        </w:tc>
      </w:tr>
      <w:tr w:rsidR="00D8365A" w:rsidRPr="00362517" w14:paraId="68023B4E" w14:textId="77777777" w:rsidTr="007A2164">
        <w:trPr>
          <w:trHeight w:val="255"/>
        </w:trPr>
        <w:tc>
          <w:tcPr>
            <w:tcW w:w="1536" w:type="pct"/>
            <w:shd w:val="clear" w:color="auto" w:fill="auto"/>
            <w:hideMark/>
          </w:tcPr>
          <w:p w14:paraId="45BEDED4" w14:textId="77777777" w:rsidR="00D8365A" w:rsidRPr="00362517" w:rsidRDefault="00D8365A" w:rsidP="00BF6BC7">
            <w:pPr>
              <w:rPr>
                <w:lang w:eastAsia="ko-KR"/>
              </w:rPr>
            </w:pPr>
            <w:r w:rsidRPr="00362517">
              <w:rPr>
                <w:lang w:eastAsia="ko-KR"/>
              </w:rPr>
              <w:t>Florida</w:t>
            </w:r>
            <w:r w:rsidRPr="00362517">
              <w:rPr>
                <w:vertAlign w:val="superscript"/>
                <w:lang w:eastAsia="ko-KR"/>
              </w:rPr>
              <w:t xml:space="preserve"> 1</w:t>
            </w:r>
          </w:p>
        </w:tc>
        <w:tc>
          <w:tcPr>
            <w:tcW w:w="1155" w:type="pct"/>
            <w:shd w:val="clear" w:color="auto" w:fill="auto"/>
            <w:noWrap/>
            <w:vAlign w:val="bottom"/>
            <w:hideMark/>
          </w:tcPr>
          <w:p w14:paraId="46775078"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6A56E32F"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225668E1" w14:textId="77777777" w:rsidR="00D8365A" w:rsidRPr="00362517" w:rsidRDefault="00D8365A" w:rsidP="00BF6BC7">
            <w:pPr>
              <w:tabs>
                <w:tab w:val="decimal" w:pos="1068"/>
              </w:tabs>
              <w:rPr>
                <w:lang w:eastAsia="ko-KR"/>
              </w:rPr>
            </w:pPr>
            <w:r w:rsidRPr="00362517">
              <w:t>0</w:t>
            </w:r>
          </w:p>
        </w:tc>
      </w:tr>
      <w:tr w:rsidR="00D8365A" w:rsidRPr="00362517" w14:paraId="1687FCD2" w14:textId="77777777" w:rsidTr="007A2164">
        <w:trPr>
          <w:trHeight w:val="255"/>
        </w:trPr>
        <w:tc>
          <w:tcPr>
            <w:tcW w:w="1536" w:type="pct"/>
            <w:shd w:val="clear" w:color="auto" w:fill="auto"/>
            <w:hideMark/>
          </w:tcPr>
          <w:p w14:paraId="38AA08B0" w14:textId="77777777" w:rsidR="00D8365A" w:rsidRPr="00362517" w:rsidRDefault="00D8365A" w:rsidP="00BF6BC7">
            <w:pPr>
              <w:rPr>
                <w:lang w:eastAsia="ko-KR"/>
              </w:rPr>
            </w:pPr>
            <w:r w:rsidRPr="00362517">
              <w:rPr>
                <w:lang w:eastAsia="ko-KR"/>
              </w:rPr>
              <w:t>Georgia</w:t>
            </w:r>
            <w:r w:rsidRPr="00362517">
              <w:rPr>
                <w:vertAlign w:val="superscript"/>
                <w:lang w:eastAsia="ko-KR"/>
              </w:rPr>
              <w:t xml:space="preserve"> 1</w:t>
            </w:r>
          </w:p>
        </w:tc>
        <w:tc>
          <w:tcPr>
            <w:tcW w:w="1155" w:type="pct"/>
            <w:shd w:val="clear" w:color="auto" w:fill="auto"/>
            <w:noWrap/>
            <w:vAlign w:val="bottom"/>
            <w:hideMark/>
          </w:tcPr>
          <w:p w14:paraId="6E1C0A3F"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44C20993"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62F61B73" w14:textId="77777777" w:rsidR="00D8365A" w:rsidRPr="00362517" w:rsidRDefault="00D8365A" w:rsidP="00BF6BC7">
            <w:pPr>
              <w:tabs>
                <w:tab w:val="decimal" w:pos="1068"/>
              </w:tabs>
              <w:rPr>
                <w:lang w:eastAsia="ko-KR"/>
              </w:rPr>
            </w:pPr>
            <w:r w:rsidRPr="00362517">
              <w:t>0</w:t>
            </w:r>
          </w:p>
        </w:tc>
      </w:tr>
      <w:tr w:rsidR="00D8365A" w:rsidRPr="00362517" w14:paraId="5F790E35" w14:textId="77777777" w:rsidTr="007A2164">
        <w:trPr>
          <w:trHeight w:val="255"/>
        </w:trPr>
        <w:tc>
          <w:tcPr>
            <w:tcW w:w="1536" w:type="pct"/>
            <w:shd w:val="clear" w:color="auto" w:fill="auto"/>
            <w:hideMark/>
          </w:tcPr>
          <w:p w14:paraId="79FAC94B" w14:textId="77777777" w:rsidR="00D8365A" w:rsidRPr="00362517" w:rsidRDefault="00D8365A" w:rsidP="00BF6BC7">
            <w:pPr>
              <w:rPr>
                <w:lang w:eastAsia="ko-KR"/>
              </w:rPr>
            </w:pPr>
            <w:r w:rsidRPr="00362517">
              <w:rPr>
                <w:lang w:eastAsia="ko-KR"/>
              </w:rPr>
              <w:t>Hawaii</w:t>
            </w:r>
            <w:r w:rsidRPr="00362517">
              <w:rPr>
                <w:vertAlign w:val="superscript"/>
                <w:lang w:eastAsia="ko-KR"/>
              </w:rPr>
              <w:t xml:space="preserve"> 1</w:t>
            </w:r>
          </w:p>
        </w:tc>
        <w:tc>
          <w:tcPr>
            <w:tcW w:w="1155" w:type="pct"/>
            <w:shd w:val="clear" w:color="auto" w:fill="auto"/>
            <w:noWrap/>
            <w:vAlign w:val="bottom"/>
            <w:hideMark/>
          </w:tcPr>
          <w:p w14:paraId="25094D9D"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70F3542D"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41F141E0" w14:textId="77777777" w:rsidR="00D8365A" w:rsidRPr="00362517" w:rsidRDefault="00D8365A" w:rsidP="00BF6BC7">
            <w:pPr>
              <w:tabs>
                <w:tab w:val="decimal" w:pos="1068"/>
              </w:tabs>
              <w:rPr>
                <w:lang w:eastAsia="ko-KR"/>
              </w:rPr>
            </w:pPr>
            <w:r w:rsidRPr="00362517">
              <w:t>0</w:t>
            </w:r>
          </w:p>
        </w:tc>
      </w:tr>
      <w:tr w:rsidR="00D8365A" w:rsidRPr="00362517" w14:paraId="4EC7DC70" w14:textId="77777777" w:rsidTr="007A2164">
        <w:trPr>
          <w:trHeight w:val="255"/>
        </w:trPr>
        <w:tc>
          <w:tcPr>
            <w:tcW w:w="1536" w:type="pct"/>
            <w:shd w:val="clear" w:color="auto" w:fill="auto"/>
            <w:hideMark/>
          </w:tcPr>
          <w:p w14:paraId="4222ED4E" w14:textId="77777777" w:rsidR="00D8365A" w:rsidRPr="00362517" w:rsidRDefault="00D8365A" w:rsidP="00BF6BC7">
            <w:pPr>
              <w:rPr>
                <w:lang w:eastAsia="ko-KR"/>
              </w:rPr>
            </w:pPr>
            <w:r w:rsidRPr="00362517">
              <w:rPr>
                <w:lang w:eastAsia="ko-KR"/>
              </w:rPr>
              <w:t>Idaho</w:t>
            </w:r>
            <w:r w:rsidRPr="00362517">
              <w:rPr>
                <w:vertAlign w:val="superscript"/>
                <w:lang w:eastAsia="ko-KR"/>
              </w:rPr>
              <w:t xml:space="preserve"> 1</w:t>
            </w:r>
          </w:p>
        </w:tc>
        <w:tc>
          <w:tcPr>
            <w:tcW w:w="1155" w:type="pct"/>
            <w:shd w:val="clear" w:color="auto" w:fill="auto"/>
            <w:noWrap/>
            <w:vAlign w:val="bottom"/>
            <w:hideMark/>
          </w:tcPr>
          <w:p w14:paraId="50F6B24F"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23236CE6"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2115721F" w14:textId="77777777" w:rsidR="00D8365A" w:rsidRPr="00362517" w:rsidRDefault="00D8365A" w:rsidP="00BF6BC7">
            <w:pPr>
              <w:tabs>
                <w:tab w:val="decimal" w:pos="1068"/>
              </w:tabs>
              <w:rPr>
                <w:lang w:eastAsia="ko-KR"/>
              </w:rPr>
            </w:pPr>
            <w:r w:rsidRPr="00362517">
              <w:t>0</w:t>
            </w:r>
          </w:p>
        </w:tc>
      </w:tr>
      <w:tr w:rsidR="00D8365A" w:rsidRPr="00362517" w14:paraId="59C7AEE3" w14:textId="77777777" w:rsidTr="007A2164">
        <w:trPr>
          <w:trHeight w:val="255"/>
        </w:trPr>
        <w:tc>
          <w:tcPr>
            <w:tcW w:w="1536" w:type="pct"/>
            <w:shd w:val="clear" w:color="auto" w:fill="auto"/>
            <w:hideMark/>
          </w:tcPr>
          <w:p w14:paraId="646091F9" w14:textId="77777777" w:rsidR="00D8365A" w:rsidRPr="00362517" w:rsidRDefault="00D8365A" w:rsidP="00BF6BC7">
            <w:pPr>
              <w:rPr>
                <w:lang w:eastAsia="ko-KR"/>
              </w:rPr>
            </w:pPr>
            <w:r w:rsidRPr="00362517">
              <w:rPr>
                <w:lang w:eastAsia="ko-KR"/>
              </w:rPr>
              <w:t>Illinois</w:t>
            </w:r>
          </w:p>
        </w:tc>
        <w:tc>
          <w:tcPr>
            <w:tcW w:w="1155" w:type="pct"/>
            <w:shd w:val="clear" w:color="auto" w:fill="auto"/>
            <w:noWrap/>
            <w:vAlign w:val="bottom"/>
            <w:hideMark/>
          </w:tcPr>
          <w:p w14:paraId="67CCDCC4" w14:textId="77777777" w:rsidR="00D8365A" w:rsidRPr="00362517" w:rsidRDefault="00D8365A" w:rsidP="00BF6BC7">
            <w:pPr>
              <w:tabs>
                <w:tab w:val="decimal" w:pos="1243"/>
              </w:tabs>
              <w:rPr>
                <w:lang w:eastAsia="ko-KR"/>
              </w:rPr>
            </w:pPr>
            <w:r w:rsidRPr="00362517">
              <w:t>7.1</w:t>
            </w:r>
          </w:p>
        </w:tc>
        <w:tc>
          <w:tcPr>
            <w:tcW w:w="1155" w:type="pct"/>
            <w:shd w:val="clear" w:color="auto" w:fill="auto"/>
            <w:noWrap/>
            <w:vAlign w:val="bottom"/>
            <w:hideMark/>
          </w:tcPr>
          <w:p w14:paraId="393E26D7" w14:textId="77777777" w:rsidR="00D8365A" w:rsidRPr="00362517" w:rsidRDefault="00D8365A" w:rsidP="00BF6BC7">
            <w:pPr>
              <w:tabs>
                <w:tab w:val="decimal" w:pos="1149"/>
              </w:tabs>
              <w:rPr>
                <w:lang w:eastAsia="ko-KR"/>
              </w:rPr>
            </w:pPr>
            <w:r w:rsidRPr="00362517">
              <w:t>10.7</w:t>
            </w:r>
          </w:p>
        </w:tc>
        <w:tc>
          <w:tcPr>
            <w:tcW w:w="1154" w:type="pct"/>
            <w:shd w:val="clear" w:color="auto" w:fill="auto"/>
            <w:noWrap/>
            <w:vAlign w:val="bottom"/>
            <w:hideMark/>
          </w:tcPr>
          <w:p w14:paraId="2064E591" w14:textId="77777777" w:rsidR="00D8365A" w:rsidRPr="00362517" w:rsidRDefault="00D8365A" w:rsidP="00BF6BC7">
            <w:pPr>
              <w:tabs>
                <w:tab w:val="decimal" w:pos="1068"/>
              </w:tabs>
              <w:rPr>
                <w:lang w:eastAsia="ko-KR"/>
              </w:rPr>
            </w:pPr>
            <w:r w:rsidRPr="00362517">
              <w:t>6.4</w:t>
            </w:r>
          </w:p>
        </w:tc>
      </w:tr>
      <w:tr w:rsidR="00D8365A" w:rsidRPr="00362517" w14:paraId="0B6FD277" w14:textId="77777777" w:rsidTr="007A2164">
        <w:trPr>
          <w:trHeight w:val="255"/>
        </w:trPr>
        <w:tc>
          <w:tcPr>
            <w:tcW w:w="1536" w:type="pct"/>
            <w:shd w:val="clear" w:color="auto" w:fill="auto"/>
            <w:hideMark/>
          </w:tcPr>
          <w:p w14:paraId="5C8D11AE" w14:textId="77777777" w:rsidR="00D8365A" w:rsidRPr="00362517" w:rsidRDefault="00D8365A" w:rsidP="00BF6BC7">
            <w:pPr>
              <w:rPr>
                <w:lang w:eastAsia="ko-KR"/>
              </w:rPr>
            </w:pPr>
            <w:r w:rsidRPr="00362517">
              <w:rPr>
                <w:lang w:eastAsia="ko-KR"/>
              </w:rPr>
              <w:t>Indiana</w:t>
            </w:r>
          </w:p>
        </w:tc>
        <w:tc>
          <w:tcPr>
            <w:tcW w:w="1155" w:type="pct"/>
            <w:shd w:val="clear" w:color="auto" w:fill="auto"/>
            <w:noWrap/>
            <w:vAlign w:val="bottom"/>
            <w:hideMark/>
          </w:tcPr>
          <w:p w14:paraId="2AEC2A89" w14:textId="77777777" w:rsidR="00D8365A" w:rsidRPr="00362517" w:rsidRDefault="00D8365A" w:rsidP="00BF6BC7">
            <w:pPr>
              <w:tabs>
                <w:tab w:val="decimal" w:pos="1243"/>
              </w:tabs>
              <w:rPr>
                <w:lang w:eastAsia="ko-KR"/>
              </w:rPr>
            </w:pPr>
            <w:r w:rsidRPr="00362517">
              <w:t>2.3</w:t>
            </w:r>
          </w:p>
        </w:tc>
        <w:tc>
          <w:tcPr>
            <w:tcW w:w="1155" w:type="pct"/>
            <w:shd w:val="clear" w:color="auto" w:fill="auto"/>
            <w:noWrap/>
            <w:vAlign w:val="bottom"/>
            <w:hideMark/>
          </w:tcPr>
          <w:p w14:paraId="412899F1" w14:textId="77777777" w:rsidR="00D8365A" w:rsidRPr="00362517" w:rsidRDefault="00D8365A" w:rsidP="00BF6BC7">
            <w:pPr>
              <w:tabs>
                <w:tab w:val="decimal" w:pos="1149"/>
              </w:tabs>
              <w:rPr>
                <w:lang w:eastAsia="ko-KR"/>
              </w:rPr>
            </w:pPr>
            <w:r w:rsidRPr="00362517">
              <w:t>3.4</w:t>
            </w:r>
          </w:p>
        </w:tc>
        <w:tc>
          <w:tcPr>
            <w:tcW w:w="1154" w:type="pct"/>
            <w:shd w:val="clear" w:color="auto" w:fill="auto"/>
            <w:noWrap/>
            <w:vAlign w:val="bottom"/>
            <w:hideMark/>
          </w:tcPr>
          <w:p w14:paraId="4DA69A07" w14:textId="77777777" w:rsidR="00D8365A" w:rsidRPr="00362517" w:rsidRDefault="00D8365A" w:rsidP="00BF6BC7">
            <w:pPr>
              <w:tabs>
                <w:tab w:val="decimal" w:pos="1068"/>
              </w:tabs>
              <w:rPr>
                <w:lang w:eastAsia="ko-KR"/>
              </w:rPr>
            </w:pPr>
            <w:r w:rsidRPr="00362517">
              <w:t>2.1</w:t>
            </w:r>
          </w:p>
        </w:tc>
      </w:tr>
      <w:tr w:rsidR="00D8365A" w:rsidRPr="00362517" w14:paraId="33DC9A20" w14:textId="77777777" w:rsidTr="007A2164">
        <w:trPr>
          <w:trHeight w:val="255"/>
        </w:trPr>
        <w:tc>
          <w:tcPr>
            <w:tcW w:w="1536" w:type="pct"/>
            <w:shd w:val="clear" w:color="auto" w:fill="auto"/>
            <w:hideMark/>
          </w:tcPr>
          <w:p w14:paraId="5BE9E37D" w14:textId="77777777" w:rsidR="00D8365A" w:rsidRPr="00362517" w:rsidRDefault="00D8365A" w:rsidP="00BF6BC7">
            <w:pPr>
              <w:rPr>
                <w:lang w:eastAsia="ko-KR"/>
              </w:rPr>
            </w:pPr>
            <w:r w:rsidRPr="00362517">
              <w:rPr>
                <w:lang w:eastAsia="ko-KR"/>
              </w:rPr>
              <w:t>Iowa</w:t>
            </w:r>
          </w:p>
        </w:tc>
        <w:tc>
          <w:tcPr>
            <w:tcW w:w="1155" w:type="pct"/>
            <w:shd w:val="clear" w:color="auto" w:fill="auto"/>
            <w:noWrap/>
            <w:vAlign w:val="bottom"/>
            <w:hideMark/>
          </w:tcPr>
          <w:p w14:paraId="36C91E75" w14:textId="77777777" w:rsidR="00D8365A" w:rsidRPr="00362517" w:rsidRDefault="00D8365A" w:rsidP="00BF6BC7">
            <w:pPr>
              <w:tabs>
                <w:tab w:val="decimal" w:pos="1243"/>
              </w:tabs>
              <w:rPr>
                <w:lang w:eastAsia="ko-KR"/>
              </w:rPr>
            </w:pPr>
            <w:r w:rsidRPr="00362517">
              <w:t>3.2</w:t>
            </w:r>
          </w:p>
        </w:tc>
        <w:tc>
          <w:tcPr>
            <w:tcW w:w="1155" w:type="pct"/>
            <w:shd w:val="clear" w:color="auto" w:fill="auto"/>
            <w:noWrap/>
            <w:vAlign w:val="bottom"/>
            <w:hideMark/>
          </w:tcPr>
          <w:p w14:paraId="5CA2457F" w14:textId="77777777" w:rsidR="00D8365A" w:rsidRPr="00362517" w:rsidRDefault="00D8365A" w:rsidP="00BF6BC7">
            <w:pPr>
              <w:tabs>
                <w:tab w:val="decimal" w:pos="1149"/>
              </w:tabs>
              <w:rPr>
                <w:lang w:eastAsia="ko-KR"/>
              </w:rPr>
            </w:pPr>
            <w:r w:rsidRPr="00362517">
              <w:t>4.7</w:t>
            </w:r>
          </w:p>
        </w:tc>
        <w:tc>
          <w:tcPr>
            <w:tcW w:w="1154" w:type="pct"/>
            <w:shd w:val="clear" w:color="auto" w:fill="auto"/>
            <w:noWrap/>
            <w:vAlign w:val="bottom"/>
            <w:hideMark/>
          </w:tcPr>
          <w:p w14:paraId="5850EE8E" w14:textId="77777777" w:rsidR="00D8365A" w:rsidRPr="00362517" w:rsidRDefault="00D8365A" w:rsidP="00BF6BC7">
            <w:pPr>
              <w:tabs>
                <w:tab w:val="decimal" w:pos="1068"/>
              </w:tabs>
              <w:rPr>
                <w:lang w:eastAsia="ko-KR"/>
              </w:rPr>
            </w:pPr>
            <w:r w:rsidRPr="00362517">
              <w:t>2.9</w:t>
            </w:r>
          </w:p>
        </w:tc>
      </w:tr>
      <w:tr w:rsidR="00D8365A" w:rsidRPr="00362517" w14:paraId="273F998C" w14:textId="77777777" w:rsidTr="007A2164">
        <w:trPr>
          <w:trHeight w:val="255"/>
        </w:trPr>
        <w:tc>
          <w:tcPr>
            <w:tcW w:w="1536" w:type="pct"/>
            <w:shd w:val="clear" w:color="auto" w:fill="auto"/>
            <w:hideMark/>
          </w:tcPr>
          <w:p w14:paraId="31117D9D" w14:textId="77777777" w:rsidR="00D8365A" w:rsidRPr="00362517" w:rsidRDefault="00D8365A" w:rsidP="00BF6BC7">
            <w:pPr>
              <w:rPr>
                <w:lang w:eastAsia="ko-KR"/>
              </w:rPr>
            </w:pPr>
            <w:r w:rsidRPr="00362517">
              <w:rPr>
                <w:lang w:eastAsia="ko-KR"/>
              </w:rPr>
              <w:t>Kansas</w:t>
            </w:r>
            <w:r w:rsidRPr="00362517">
              <w:rPr>
                <w:vertAlign w:val="superscript"/>
                <w:lang w:eastAsia="ko-KR"/>
              </w:rPr>
              <w:t xml:space="preserve"> 1</w:t>
            </w:r>
          </w:p>
        </w:tc>
        <w:tc>
          <w:tcPr>
            <w:tcW w:w="1155" w:type="pct"/>
            <w:shd w:val="clear" w:color="auto" w:fill="auto"/>
            <w:noWrap/>
            <w:vAlign w:val="bottom"/>
            <w:hideMark/>
          </w:tcPr>
          <w:p w14:paraId="070CCE86"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115BA008"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031712F9" w14:textId="77777777" w:rsidR="00D8365A" w:rsidRPr="00362517" w:rsidRDefault="00D8365A" w:rsidP="00BF6BC7">
            <w:pPr>
              <w:tabs>
                <w:tab w:val="decimal" w:pos="1068"/>
              </w:tabs>
              <w:rPr>
                <w:lang w:eastAsia="ko-KR"/>
              </w:rPr>
            </w:pPr>
            <w:r w:rsidRPr="00362517">
              <w:t>0</w:t>
            </w:r>
          </w:p>
        </w:tc>
      </w:tr>
      <w:tr w:rsidR="00D8365A" w:rsidRPr="00362517" w14:paraId="514E9017" w14:textId="77777777" w:rsidTr="007A2164">
        <w:trPr>
          <w:trHeight w:val="255"/>
        </w:trPr>
        <w:tc>
          <w:tcPr>
            <w:tcW w:w="1536" w:type="pct"/>
            <w:shd w:val="clear" w:color="auto" w:fill="auto"/>
            <w:hideMark/>
          </w:tcPr>
          <w:p w14:paraId="4DF26774" w14:textId="77777777" w:rsidR="00D8365A" w:rsidRPr="00362517" w:rsidRDefault="00D8365A" w:rsidP="00BF6BC7">
            <w:pPr>
              <w:rPr>
                <w:lang w:eastAsia="ko-KR"/>
              </w:rPr>
            </w:pPr>
            <w:r w:rsidRPr="00362517">
              <w:rPr>
                <w:lang w:eastAsia="ko-KR"/>
              </w:rPr>
              <w:t>Kentucky</w:t>
            </w:r>
          </w:p>
        </w:tc>
        <w:tc>
          <w:tcPr>
            <w:tcW w:w="1155" w:type="pct"/>
            <w:shd w:val="clear" w:color="auto" w:fill="auto"/>
            <w:noWrap/>
            <w:vAlign w:val="bottom"/>
            <w:hideMark/>
          </w:tcPr>
          <w:p w14:paraId="6777A494" w14:textId="77777777" w:rsidR="00D8365A" w:rsidRPr="00362517" w:rsidRDefault="00D8365A" w:rsidP="00BF6BC7">
            <w:pPr>
              <w:tabs>
                <w:tab w:val="decimal" w:pos="1243"/>
              </w:tabs>
              <w:rPr>
                <w:lang w:eastAsia="ko-KR"/>
              </w:rPr>
            </w:pPr>
            <w:r w:rsidRPr="00362517">
              <w:t>5.8</w:t>
            </w:r>
          </w:p>
        </w:tc>
        <w:tc>
          <w:tcPr>
            <w:tcW w:w="1155" w:type="pct"/>
            <w:shd w:val="clear" w:color="auto" w:fill="auto"/>
            <w:noWrap/>
            <w:vAlign w:val="bottom"/>
            <w:hideMark/>
          </w:tcPr>
          <w:p w14:paraId="73F1C0FE" w14:textId="77777777" w:rsidR="00D8365A" w:rsidRPr="00362517" w:rsidRDefault="00D8365A" w:rsidP="00BF6BC7">
            <w:pPr>
              <w:tabs>
                <w:tab w:val="decimal" w:pos="1149"/>
              </w:tabs>
              <w:rPr>
                <w:lang w:eastAsia="ko-KR"/>
              </w:rPr>
            </w:pPr>
            <w:r w:rsidRPr="00362517">
              <w:t>8.7</w:t>
            </w:r>
          </w:p>
        </w:tc>
        <w:tc>
          <w:tcPr>
            <w:tcW w:w="1154" w:type="pct"/>
            <w:shd w:val="clear" w:color="auto" w:fill="auto"/>
            <w:noWrap/>
            <w:vAlign w:val="bottom"/>
            <w:hideMark/>
          </w:tcPr>
          <w:p w14:paraId="1C85BA73" w14:textId="77777777" w:rsidR="00D8365A" w:rsidRPr="00362517" w:rsidRDefault="00D8365A" w:rsidP="00BF6BC7">
            <w:pPr>
              <w:tabs>
                <w:tab w:val="decimal" w:pos="1068"/>
              </w:tabs>
              <w:rPr>
                <w:lang w:eastAsia="ko-KR"/>
              </w:rPr>
            </w:pPr>
            <w:r w:rsidRPr="00362517">
              <w:t>5.2</w:t>
            </w:r>
          </w:p>
        </w:tc>
      </w:tr>
      <w:tr w:rsidR="00D8365A" w:rsidRPr="00362517" w14:paraId="243B19A8" w14:textId="77777777" w:rsidTr="007A2164">
        <w:trPr>
          <w:trHeight w:val="255"/>
        </w:trPr>
        <w:tc>
          <w:tcPr>
            <w:tcW w:w="1536" w:type="pct"/>
            <w:shd w:val="clear" w:color="auto" w:fill="auto"/>
            <w:hideMark/>
          </w:tcPr>
          <w:p w14:paraId="4DFA92AE" w14:textId="77777777" w:rsidR="00D8365A" w:rsidRPr="00362517" w:rsidRDefault="00D8365A" w:rsidP="00BF6BC7">
            <w:pPr>
              <w:rPr>
                <w:lang w:eastAsia="ko-KR"/>
              </w:rPr>
            </w:pPr>
            <w:r w:rsidRPr="00362517">
              <w:rPr>
                <w:lang w:eastAsia="ko-KR"/>
              </w:rPr>
              <w:t>Louisiana</w:t>
            </w:r>
            <w:r w:rsidRPr="00362517">
              <w:rPr>
                <w:vertAlign w:val="superscript"/>
                <w:lang w:eastAsia="ko-KR"/>
              </w:rPr>
              <w:t xml:space="preserve"> 1</w:t>
            </w:r>
          </w:p>
        </w:tc>
        <w:tc>
          <w:tcPr>
            <w:tcW w:w="1155" w:type="pct"/>
            <w:shd w:val="clear" w:color="auto" w:fill="auto"/>
            <w:noWrap/>
            <w:vAlign w:val="bottom"/>
            <w:hideMark/>
          </w:tcPr>
          <w:p w14:paraId="20D9EC43"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63499204"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18738ED4" w14:textId="77777777" w:rsidR="00D8365A" w:rsidRPr="00362517" w:rsidRDefault="00D8365A" w:rsidP="00BF6BC7">
            <w:pPr>
              <w:tabs>
                <w:tab w:val="decimal" w:pos="1068"/>
              </w:tabs>
              <w:rPr>
                <w:lang w:eastAsia="ko-KR"/>
              </w:rPr>
            </w:pPr>
            <w:r w:rsidRPr="00362517">
              <w:t>0</w:t>
            </w:r>
          </w:p>
        </w:tc>
      </w:tr>
      <w:tr w:rsidR="00D8365A" w:rsidRPr="00362517" w14:paraId="41D5D8B7" w14:textId="77777777" w:rsidTr="007A2164">
        <w:trPr>
          <w:trHeight w:val="255"/>
        </w:trPr>
        <w:tc>
          <w:tcPr>
            <w:tcW w:w="1536" w:type="pct"/>
            <w:shd w:val="clear" w:color="auto" w:fill="auto"/>
            <w:hideMark/>
          </w:tcPr>
          <w:p w14:paraId="0A54162E" w14:textId="77777777" w:rsidR="00D8365A" w:rsidRPr="00362517" w:rsidRDefault="00D8365A" w:rsidP="00BF6BC7">
            <w:pPr>
              <w:rPr>
                <w:lang w:eastAsia="ko-KR"/>
              </w:rPr>
            </w:pPr>
            <w:r w:rsidRPr="00362517">
              <w:rPr>
                <w:lang w:eastAsia="ko-KR"/>
              </w:rPr>
              <w:t>Maine</w:t>
            </w:r>
            <w:r w:rsidRPr="00362517">
              <w:rPr>
                <w:vertAlign w:val="superscript"/>
                <w:lang w:eastAsia="ko-KR"/>
              </w:rPr>
              <w:t xml:space="preserve"> 1</w:t>
            </w:r>
          </w:p>
        </w:tc>
        <w:tc>
          <w:tcPr>
            <w:tcW w:w="1155" w:type="pct"/>
            <w:shd w:val="clear" w:color="auto" w:fill="auto"/>
            <w:noWrap/>
            <w:vAlign w:val="bottom"/>
            <w:hideMark/>
          </w:tcPr>
          <w:p w14:paraId="56E39583"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73EBA245"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31BD2F8C" w14:textId="77777777" w:rsidR="00D8365A" w:rsidRPr="00362517" w:rsidRDefault="00D8365A" w:rsidP="00BF6BC7">
            <w:pPr>
              <w:tabs>
                <w:tab w:val="decimal" w:pos="1068"/>
              </w:tabs>
              <w:rPr>
                <w:lang w:eastAsia="ko-KR"/>
              </w:rPr>
            </w:pPr>
            <w:r w:rsidRPr="00362517">
              <w:t>0</w:t>
            </w:r>
          </w:p>
        </w:tc>
      </w:tr>
      <w:tr w:rsidR="00D8365A" w:rsidRPr="00362517" w14:paraId="4550A46E" w14:textId="77777777" w:rsidTr="007A2164">
        <w:trPr>
          <w:trHeight w:val="255"/>
        </w:trPr>
        <w:tc>
          <w:tcPr>
            <w:tcW w:w="1536" w:type="pct"/>
            <w:shd w:val="clear" w:color="auto" w:fill="auto"/>
            <w:hideMark/>
          </w:tcPr>
          <w:p w14:paraId="43E7A990" w14:textId="77777777" w:rsidR="00D8365A" w:rsidRPr="00362517" w:rsidRDefault="00D8365A" w:rsidP="00BF6BC7">
            <w:pPr>
              <w:rPr>
                <w:lang w:eastAsia="ko-KR"/>
              </w:rPr>
            </w:pPr>
            <w:r w:rsidRPr="00362517">
              <w:rPr>
                <w:lang w:eastAsia="ko-KR"/>
              </w:rPr>
              <w:t>Maryland</w:t>
            </w:r>
            <w:r w:rsidRPr="00362517">
              <w:rPr>
                <w:vertAlign w:val="superscript"/>
                <w:lang w:eastAsia="ko-KR"/>
              </w:rPr>
              <w:t xml:space="preserve"> 1</w:t>
            </w:r>
          </w:p>
        </w:tc>
        <w:tc>
          <w:tcPr>
            <w:tcW w:w="1155" w:type="pct"/>
            <w:shd w:val="clear" w:color="auto" w:fill="auto"/>
            <w:noWrap/>
            <w:vAlign w:val="bottom"/>
            <w:hideMark/>
          </w:tcPr>
          <w:p w14:paraId="2960E549"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0548F18C"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5A673B09" w14:textId="77777777" w:rsidR="00D8365A" w:rsidRPr="00362517" w:rsidRDefault="00D8365A" w:rsidP="00BF6BC7">
            <w:pPr>
              <w:tabs>
                <w:tab w:val="decimal" w:pos="1068"/>
              </w:tabs>
              <w:rPr>
                <w:lang w:eastAsia="ko-KR"/>
              </w:rPr>
            </w:pPr>
            <w:r w:rsidRPr="00362517">
              <w:t>0</w:t>
            </w:r>
          </w:p>
        </w:tc>
      </w:tr>
      <w:tr w:rsidR="00D8365A" w:rsidRPr="00362517" w14:paraId="4F78B307" w14:textId="77777777" w:rsidTr="007A2164">
        <w:trPr>
          <w:trHeight w:val="255"/>
        </w:trPr>
        <w:tc>
          <w:tcPr>
            <w:tcW w:w="1536" w:type="pct"/>
            <w:shd w:val="clear" w:color="auto" w:fill="auto"/>
            <w:hideMark/>
          </w:tcPr>
          <w:p w14:paraId="41C0F9D6" w14:textId="77777777" w:rsidR="00D8365A" w:rsidRPr="00362517" w:rsidRDefault="00D8365A" w:rsidP="00BF6BC7">
            <w:pPr>
              <w:rPr>
                <w:lang w:eastAsia="ko-KR"/>
              </w:rPr>
            </w:pPr>
            <w:r w:rsidRPr="00362517">
              <w:rPr>
                <w:lang w:eastAsia="ko-KR"/>
              </w:rPr>
              <w:t>Massachusetts</w:t>
            </w:r>
            <w:r w:rsidRPr="00362517">
              <w:rPr>
                <w:vertAlign w:val="superscript"/>
                <w:lang w:eastAsia="ko-KR"/>
              </w:rPr>
              <w:t xml:space="preserve"> 1</w:t>
            </w:r>
          </w:p>
        </w:tc>
        <w:tc>
          <w:tcPr>
            <w:tcW w:w="1155" w:type="pct"/>
            <w:shd w:val="clear" w:color="auto" w:fill="auto"/>
            <w:noWrap/>
            <w:vAlign w:val="bottom"/>
            <w:hideMark/>
          </w:tcPr>
          <w:p w14:paraId="233D5379"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02B7FC70"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675BFFFE" w14:textId="77777777" w:rsidR="00D8365A" w:rsidRPr="00362517" w:rsidRDefault="00D8365A" w:rsidP="00BF6BC7">
            <w:pPr>
              <w:tabs>
                <w:tab w:val="decimal" w:pos="1068"/>
              </w:tabs>
              <w:rPr>
                <w:lang w:eastAsia="ko-KR"/>
              </w:rPr>
            </w:pPr>
            <w:r w:rsidRPr="00362517">
              <w:t>0</w:t>
            </w:r>
          </w:p>
        </w:tc>
      </w:tr>
      <w:tr w:rsidR="00D8365A" w:rsidRPr="00362517" w14:paraId="4B5069CB" w14:textId="77777777" w:rsidTr="007A2164">
        <w:trPr>
          <w:trHeight w:val="255"/>
        </w:trPr>
        <w:tc>
          <w:tcPr>
            <w:tcW w:w="1536" w:type="pct"/>
            <w:shd w:val="clear" w:color="auto" w:fill="auto"/>
            <w:hideMark/>
          </w:tcPr>
          <w:p w14:paraId="6478F8C5" w14:textId="77777777" w:rsidR="00D8365A" w:rsidRPr="00362517" w:rsidRDefault="00D8365A" w:rsidP="00BF6BC7">
            <w:pPr>
              <w:rPr>
                <w:lang w:eastAsia="ko-KR"/>
              </w:rPr>
            </w:pPr>
            <w:r w:rsidRPr="00362517">
              <w:rPr>
                <w:lang w:eastAsia="ko-KR"/>
              </w:rPr>
              <w:t>Michigan</w:t>
            </w:r>
            <w:r w:rsidRPr="00362517">
              <w:rPr>
                <w:vertAlign w:val="superscript"/>
                <w:lang w:eastAsia="ko-KR"/>
              </w:rPr>
              <w:t xml:space="preserve"> 1</w:t>
            </w:r>
          </w:p>
        </w:tc>
        <w:tc>
          <w:tcPr>
            <w:tcW w:w="1155" w:type="pct"/>
            <w:shd w:val="clear" w:color="auto" w:fill="auto"/>
            <w:noWrap/>
            <w:vAlign w:val="bottom"/>
            <w:hideMark/>
          </w:tcPr>
          <w:p w14:paraId="0FEC869E"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7FF52832"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7B140D55" w14:textId="77777777" w:rsidR="00D8365A" w:rsidRPr="00362517" w:rsidRDefault="00D8365A" w:rsidP="00BF6BC7">
            <w:pPr>
              <w:tabs>
                <w:tab w:val="decimal" w:pos="1068"/>
              </w:tabs>
              <w:rPr>
                <w:lang w:eastAsia="ko-KR"/>
              </w:rPr>
            </w:pPr>
            <w:r w:rsidRPr="00362517">
              <w:t>0</w:t>
            </w:r>
          </w:p>
        </w:tc>
      </w:tr>
      <w:tr w:rsidR="00D8365A" w:rsidRPr="00362517" w14:paraId="69F4AD28" w14:textId="77777777" w:rsidTr="007A2164">
        <w:trPr>
          <w:trHeight w:val="255"/>
        </w:trPr>
        <w:tc>
          <w:tcPr>
            <w:tcW w:w="1536" w:type="pct"/>
            <w:shd w:val="clear" w:color="auto" w:fill="auto"/>
            <w:hideMark/>
          </w:tcPr>
          <w:p w14:paraId="66F76A95" w14:textId="77777777" w:rsidR="00D8365A" w:rsidRPr="00362517" w:rsidRDefault="00D8365A" w:rsidP="00BF6BC7">
            <w:pPr>
              <w:rPr>
                <w:lang w:eastAsia="ko-KR"/>
              </w:rPr>
            </w:pPr>
            <w:r w:rsidRPr="00362517">
              <w:rPr>
                <w:lang w:eastAsia="ko-KR"/>
              </w:rPr>
              <w:t>Minnesota</w:t>
            </w:r>
          </w:p>
        </w:tc>
        <w:tc>
          <w:tcPr>
            <w:tcW w:w="1155" w:type="pct"/>
            <w:shd w:val="clear" w:color="auto" w:fill="auto"/>
            <w:noWrap/>
            <w:vAlign w:val="bottom"/>
            <w:hideMark/>
          </w:tcPr>
          <w:p w14:paraId="3CC0CE2A" w14:textId="77777777" w:rsidR="00D8365A" w:rsidRPr="00362517" w:rsidRDefault="00D8365A" w:rsidP="00BF6BC7">
            <w:pPr>
              <w:tabs>
                <w:tab w:val="decimal" w:pos="1243"/>
              </w:tabs>
              <w:rPr>
                <w:lang w:eastAsia="ko-KR"/>
              </w:rPr>
            </w:pPr>
            <w:r w:rsidRPr="00362517">
              <w:t>3.9</w:t>
            </w:r>
          </w:p>
        </w:tc>
        <w:tc>
          <w:tcPr>
            <w:tcW w:w="1155" w:type="pct"/>
            <w:shd w:val="clear" w:color="auto" w:fill="auto"/>
            <w:noWrap/>
            <w:vAlign w:val="bottom"/>
            <w:hideMark/>
          </w:tcPr>
          <w:p w14:paraId="4BB1FAA6" w14:textId="77777777" w:rsidR="00D8365A" w:rsidRPr="00362517" w:rsidRDefault="00D8365A" w:rsidP="00BF6BC7">
            <w:pPr>
              <w:tabs>
                <w:tab w:val="decimal" w:pos="1149"/>
              </w:tabs>
              <w:rPr>
                <w:lang w:eastAsia="ko-KR"/>
              </w:rPr>
            </w:pPr>
            <w:r w:rsidRPr="00362517">
              <w:t>5.9</w:t>
            </w:r>
          </w:p>
        </w:tc>
        <w:tc>
          <w:tcPr>
            <w:tcW w:w="1154" w:type="pct"/>
            <w:shd w:val="clear" w:color="auto" w:fill="auto"/>
            <w:noWrap/>
            <w:vAlign w:val="bottom"/>
            <w:hideMark/>
          </w:tcPr>
          <w:p w14:paraId="05E98089" w14:textId="77777777" w:rsidR="00D8365A" w:rsidRPr="00362517" w:rsidRDefault="00D8365A" w:rsidP="00BF6BC7">
            <w:pPr>
              <w:tabs>
                <w:tab w:val="decimal" w:pos="1068"/>
              </w:tabs>
              <w:rPr>
                <w:lang w:eastAsia="ko-KR"/>
              </w:rPr>
            </w:pPr>
            <w:r w:rsidRPr="00362517">
              <w:t>3.5</w:t>
            </w:r>
          </w:p>
        </w:tc>
      </w:tr>
      <w:tr w:rsidR="00D8365A" w:rsidRPr="00362517" w14:paraId="47286FFE" w14:textId="77777777" w:rsidTr="007A2164">
        <w:trPr>
          <w:trHeight w:val="255"/>
        </w:trPr>
        <w:tc>
          <w:tcPr>
            <w:tcW w:w="1536" w:type="pct"/>
            <w:shd w:val="clear" w:color="auto" w:fill="auto"/>
            <w:hideMark/>
          </w:tcPr>
          <w:p w14:paraId="6AA3C9DF" w14:textId="77777777" w:rsidR="00D8365A" w:rsidRPr="00362517" w:rsidRDefault="00D8365A" w:rsidP="00BF6BC7">
            <w:pPr>
              <w:rPr>
                <w:lang w:eastAsia="ko-KR"/>
              </w:rPr>
            </w:pPr>
            <w:r w:rsidRPr="00362517">
              <w:rPr>
                <w:lang w:eastAsia="ko-KR"/>
              </w:rPr>
              <w:t>Mississippi</w:t>
            </w:r>
            <w:r w:rsidRPr="00362517">
              <w:rPr>
                <w:vertAlign w:val="superscript"/>
                <w:lang w:eastAsia="ko-KR"/>
              </w:rPr>
              <w:t xml:space="preserve"> 1</w:t>
            </w:r>
          </w:p>
        </w:tc>
        <w:tc>
          <w:tcPr>
            <w:tcW w:w="1155" w:type="pct"/>
            <w:shd w:val="clear" w:color="auto" w:fill="auto"/>
            <w:noWrap/>
            <w:vAlign w:val="bottom"/>
            <w:hideMark/>
          </w:tcPr>
          <w:p w14:paraId="288450E5"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772035B5"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29B95CC3" w14:textId="77777777" w:rsidR="00D8365A" w:rsidRPr="00362517" w:rsidRDefault="00D8365A" w:rsidP="00BF6BC7">
            <w:pPr>
              <w:tabs>
                <w:tab w:val="decimal" w:pos="1068"/>
              </w:tabs>
              <w:rPr>
                <w:lang w:eastAsia="ko-KR"/>
              </w:rPr>
            </w:pPr>
            <w:r w:rsidRPr="00362517">
              <w:t>0</w:t>
            </w:r>
          </w:p>
        </w:tc>
      </w:tr>
      <w:tr w:rsidR="00D8365A" w:rsidRPr="00362517" w14:paraId="43203452" w14:textId="77777777" w:rsidTr="007A2164">
        <w:trPr>
          <w:trHeight w:val="255"/>
        </w:trPr>
        <w:tc>
          <w:tcPr>
            <w:tcW w:w="1536" w:type="pct"/>
            <w:shd w:val="clear" w:color="auto" w:fill="auto"/>
            <w:hideMark/>
          </w:tcPr>
          <w:p w14:paraId="755D443A" w14:textId="77777777" w:rsidR="00D8365A" w:rsidRPr="00362517" w:rsidRDefault="00D8365A" w:rsidP="00BF6BC7">
            <w:pPr>
              <w:rPr>
                <w:lang w:eastAsia="ko-KR"/>
              </w:rPr>
            </w:pPr>
            <w:r w:rsidRPr="00362517">
              <w:rPr>
                <w:lang w:eastAsia="ko-KR"/>
              </w:rPr>
              <w:t>Missouri</w:t>
            </w:r>
            <w:r w:rsidRPr="00362517">
              <w:rPr>
                <w:vertAlign w:val="superscript"/>
                <w:lang w:eastAsia="ko-KR"/>
              </w:rPr>
              <w:t xml:space="preserve"> 1</w:t>
            </w:r>
          </w:p>
        </w:tc>
        <w:tc>
          <w:tcPr>
            <w:tcW w:w="1155" w:type="pct"/>
            <w:shd w:val="clear" w:color="auto" w:fill="auto"/>
            <w:noWrap/>
            <w:vAlign w:val="bottom"/>
            <w:hideMark/>
          </w:tcPr>
          <w:p w14:paraId="160F66ED"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67EC3D54"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6CF9B84C" w14:textId="77777777" w:rsidR="00D8365A" w:rsidRPr="00362517" w:rsidRDefault="00D8365A" w:rsidP="00BF6BC7">
            <w:pPr>
              <w:tabs>
                <w:tab w:val="decimal" w:pos="1068"/>
              </w:tabs>
              <w:rPr>
                <w:lang w:eastAsia="ko-KR"/>
              </w:rPr>
            </w:pPr>
            <w:r w:rsidRPr="00362517">
              <w:t>0</w:t>
            </w:r>
          </w:p>
        </w:tc>
      </w:tr>
      <w:tr w:rsidR="00D8365A" w:rsidRPr="00362517" w14:paraId="6431A929" w14:textId="77777777" w:rsidTr="007A2164">
        <w:trPr>
          <w:trHeight w:val="255"/>
        </w:trPr>
        <w:tc>
          <w:tcPr>
            <w:tcW w:w="1536" w:type="pct"/>
            <w:shd w:val="clear" w:color="auto" w:fill="auto"/>
            <w:hideMark/>
          </w:tcPr>
          <w:p w14:paraId="4583F93E" w14:textId="77777777" w:rsidR="00D8365A" w:rsidRPr="00362517" w:rsidRDefault="00D8365A" w:rsidP="00BF6BC7">
            <w:pPr>
              <w:rPr>
                <w:lang w:eastAsia="ko-KR"/>
              </w:rPr>
            </w:pPr>
            <w:r w:rsidRPr="00362517">
              <w:rPr>
                <w:lang w:eastAsia="ko-KR"/>
              </w:rPr>
              <w:t>Montana</w:t>
            </w:r>
          </w:p>
        </w:tc>
        <w:tc>
          <w:tcPr>
            <w:tcW w:w="1155" w:type="pct"/>
            <w:shd w:val="clear" w:color="auto" w:fill="auto"/>
            <w:noWrap/>
            <w:vAlign w:val="bottom"/>
            <w:hideMark/>
          </w:tcPr>
          <w:p w14:paraId="72FD95FD" w14:textId="77777777" w:rsidR="00D8365A" w:rsidRPr="00362517" w:rsidRDefault="00D8365A" w:rsidP="00BF6BC7">
            <w:pPr>
              <w:tabs>
                <w:tab w:val="decimal" w:pos="1243"/>
              </w:tabs>
              <w:rPr>
                <w:lang w:eastAsia="ko-KR"/>
              </w:rPr>
            </w:pPr>
            <w:r w:rsidRPr="00362517">
              <w:t>0.6</w:t>
            </w:r>
          </w:p>
        </w:tc>
        <w:tc>
          <w:tcPr>
            <w:tcW w:w="1155" w:type="pct"/>
            <w:shd w:val="clear" w:color="auto" w:fill="auto"/>
            <w:noWrap/>
            <w:vAlign w:val="bottom"/>
            <w:hideMark/>
          </w:tcPr>
          <w:p w14:paraId="056FFC48" w14:textId="77777777" w:rsidR="00D8365A" w:rsidRPr="00362517" w:rsidRDefault="00D8365A" w:rsidP="00BF6BC7">
            <w:pPr>
              <w:tabs>
                <w:tab w:val="decimal" w:pos="1149"/>
              </w:tabs>
              <w:rPr>
                <w:lang w:eastAsia="ko-KR"/>
              </w:rPr>
            </w:pPr>
            <w:r w:rsidRPr="00362517">
              <w:t>0.9</w:t>
            </w:r>
          </w:p>
        </w:tc>
        <w:tc>
          <w:tcPr>
            <w:tcW w:w="1154" w:type="pct"/>
            <w:shd w:val="clear" w:color="auto" w:fill="auto"/>
            <w:noWrap/>
            <w:vAlign w:val="bottom"/>
            <w:hideMark/>
          </w:tcPr>
          <w:p w14:paraId="342E02E4" w14:textId="77777777" w:rsidR="00D8365A" w:rsidRPr="00362517" w:rsidRDefault="00D8365A" w:rsidP="00BF6BC7">
            <w:pPr>
              <w:tabs>
                <w:tab w:val="decimal" w:pos="1068"/>
              </w:tabs>
              <w:rPr>
                <w:lang w:eastAsia="ko-KR"/>
              </w:rPr>
            </w:pPr>
            <w:r w:rsidRPr="00362517">
              <w:t>0.5</w:t>
            </w:r>
          </w:p>
        </w:tc>
      </w:tr>
      <w:tr w:rsidR="00D8365A" w:rsidRPr="00362517" w14:paraId="00040B2B" w14:textId="77777777" w:rsidTr="007A2164">
        <w:trPr>
          <w:trHeight w:val="255"/>
        </w:trPr>
        <w:tc>
          <w:tcPr>
            <w:tcW w:w="1536" w:type="pct"/>
            <w:shd w:val="clear" w:color="auto" w:fill="auto"/>
            <w:hideMark/>
          </w:tcPr>
          <w:p w14:paraId="60337CE8" w14:textId="77777777" w:rsidR="00D8365A" w:rsidRPr="00362517" w:rsidRDefault="00D8365A" w:rsidP="00BF6BC7">
            <w:pPr>
              <w:rPr>
                <w:lang w:eastAsia="ko-KR"/>
              </w:rPr>
            </w:pPr>
            <w:r w:rsidRPr="00362517">
              <w:rPr>
                <w:lang w:eastAsia="ko-KR"/>
              </w:rPr>
              <w:t>Nebraska</w:t>
            </w:r>
          </w:p>
        </w:tc>
        <w:tc>
          <w:tcPr>
            <w:tcW w:w="1155" w:type="pct"/>
            <w:shd w:val="clear" w:color="auto" w:fill="auto"/>
            <w:noWrap/>
            <w:vAlign w:val="bottom"/>
            <w:hideMark/>
          </w:tcPr>
          <w:p w14:paraId="324BC984" w14:textId="77777777" w:rsidR="00D8365A" w:rsidRPr="00362517" w:rsidRDefault="00D8365A" w:rsidP="00BF6BC7">
            <w:pPr>
              <w:tabs>
                <w:tab w:val="decimal" w:pos="1243"/>
              </w:tabs>
              <w:rPr>
                <w:lang w:eastAsia="ko-KR"/>
              </w:rPr>
            </w:pPr>
            <w:r w:rsidRPr="00362517">
              <w:t>2.2</w:t>
            </w:r>
          </w:p>
        </w:tc>
        <w:tc>
          <w:tcPr>
            <w:tcW w:w="1155" w:type="pct"/>
            <w:shd w:val="clear" w:color="auto" w:fill="auto"/>
            <w:noWrap/>
            <w:vAlign w:val="bottom"/>
            <w:hideMark/>
          </w:tcPr>
          <w:p w14:paraId="207EA2C0" w14:textId="77777777" w:rsidR="00D8365A" w:rsidRPr="00362517" w:rsidRDefault="00D8365A" w:rsidP="00BF6BC7">
            <w:pPr>
              <w:tabs>
                <w:tab w:val="decimal" w:pos="1149"/>
              </w:tabs>
              <w:rPr>
                <w:lang w:eastAsia="ko-KR"/>
              </w:rPr>
            </w:pPr>
            <w:r w:rsidRPr="00362517">
              <w:t>3.3</w:t>
            </w:r>
          </w:p>
        </w:tc>
        <w:tc>
          <w:tcPr>
            <w:tcW w:w="1154" w:type="pct"/>
            <w:shd w:val="clear" w:color="auto" w:fill="auto"/>
            <w:noWrap/>
            <w:vAlign w:val="bottom"/>
            <w:hideMark/>
          </w:tcPr>
          <w:p w14:paraId="35365267" w14:textId="77777777" w:rsidR="00D8365A" w:rsidRPr="00362517" w:rsidRDefault="00D8365A" w:rsidP="00BF6BC7">
            <w:pPr>
              <w:tabs>
                <w:tab w:val="decimal" w:pos="1068"/>
              </w:tabs>
              <w:rPr>
                <w:lang w:eastAsia="ko-KR"/>
              </w:rPr>
            </w:pPr>
            <w:r w:rsidRPr="00362517">
              <w:t>2.0</w:t>
            </w:r>
          </w:p>
        </w:tc>
      </w:tr>
      <w:tr w:rsidR="00D8365A" w:rsidRPr="00362517" w14:paraId="5DE36CDA" w14:textId="77777777" w:rsidTr="007A2164">
        <w:trPr>
          <w:trHeight w:val="255"/>
        </w:trPr>
        <w:tc>
          <w:tcPr>
            <w:tcW w:w="1536" w:type="pct"/>
            <w:shd w:val="clear" w:color="auto" w:fill="auto"/>
            <w:hideMark/>
          </w:tcPr>
          <w:p w14:paraId="362D2A9E" w14:textId="77777777" w:rsidR="00D8365A" w:rsidRPr="00362517" w:rsidRDefault="00D8365A" w:rsidP="00BF6BC7">
            <w:pPr>
              <w:rPr>
                <w:lang w:eastAsia="ko-KR"/>
              </w:rPr>
            </w:pPr>
            <w:r w:rsidRPr="00362517">
              <w:rPr>
                <w:lang w:eastAsia="ko-KR"/>
              </w:rPr>
              <w:t>Nevada</w:t>
            </w:r>
          </w:p>
        </w:tc>
        <w:tc>
          <w:tcPr>
            <w:tcW w:w="1155" w:type="pct"/>
            <w:shd w:val="clear" w:color="auto" w:fill="auto"/>
            <w:noWrap/>
            <w:vAlign w:val="bottom"/>
            <w:hideMark/>
          </w:tcPr>
          <w:p w14:paraId="7DC8B980" w14:textId="77777777" w:rsidR="00D8365A" w:rsidRPr="00362517" w:rsidRDefault="00D8365A" w:rsidP="00BF6BC7">
            <w:pPr>
              <w:tabs>
                <w:tab w:val="decimal" w:pos="1243"/>
              </w:tabs>
              <w:rPr>
                <w:lang w:eastAsia="ko-KR"/>
              </w:rPr>
            </w:pPr>
            <w:r w:rsidRPr="00362517">
              <w:t>0.6</w:t>
            </w:r>
          </w:p>
        </w:tc>
        <w:tc>
          <w:tcPr>
            <w:tcW w:w="1155" w:type="pct"/>
            <w:shd w:val="clear" w:color="auto" w:fill="auto"/>
            <w:noWrap/>
            <w:vAlign w:val="bottom"/>
            <w:hideMark/>
          </w:tcPr>
          <w:p w14:paraId="188163DB" w14:textId="77777777" w:rsidR="00D8365A" w:rsidRPr="00362517" w:rsidRDefault="00D8365A" w:rsidP="00BF6BC7">
            <w:pPr>
              <w:tabs>
                <w:tab w:val="decimal" w:pos="1149"/>
              </w:tabs>
              <w:rPr>
                <w:lang w:eastAsia="ko-KR"/>
              </w:rPr>
            </w:pPr>
            <w:r w:rsidRPr="00362517">
              <w:t>0.9</w:t>
            </w:r>
          </w:p>
        </w:tc>
        <w:tc>
          <w:tcPr>
            <w:tcW w:w="1154" w:type="pct"/>
            <w:shd w:val="clear" w:color="auto" w:fill="auto"/>
            <w:noWrap/>
            <w:vAlign w:val="bottom"/>
            <w:hideMark/>
          </w:tcPr>
          <w:p w14:paraId="36E081E1" w14:textId="77777777" w:rsidR="00D8365A" w:rsidRPr="00362517" w:rsidRDefault="00D8365A" w:rsidP="00BF6BC7">
            <w:pPr>
              <w:tabs>
                <w:tab w:val="decimal" w:pos="1068"/>
              </w:tabs>
              <w:rPr>
                <w:lang w:eastAsia="ko-KR"/>
              </w:rPr>
            </w:pPr>
            <w:r w:rsidRPr="00362517">
              <w:t>0.5</w:t>
            </w:r>
          </w:p>
        </w:tc>
      </w:tr>
      <w:tr w:rsidR="00D8365A" w:rsidRPr="00362517" w14:paraId="6615B4D2" w14:textId="77777777" w:rsidTr="007A2164">
        <w:trPr>
          <w:trHeight w:val="255"/>
        </w:trPr>
        <w:tc>
          <w:tcPr>
            <w:tcW w:w="1536" w:type="pct"/>
            <w:shd w:val="clear" w:color="auto" w:fill="auto"/>
            <w:hideMark/>
          </w:tcPr>
          <w:p w14:paraId="78D3D869" w14:textId="77777777" w:rsidR="00D8365A" w:rsidRPr="00362517" w:rsidRDefault="00D8365A" w:rsidP="00BF6BC7">
            <w:pPr>
              <w:rPr>
                <w:lang w:eastAsia="ko-KR"/>
              </w:rPr>
            </w:pPr>
            <w:r w:rsidRPr="00362517">
              <w:rPr>
                <w:lang w:eastAsia="ko-KR"/>
              </w:rPr>
              <w:t>New Hampshire</w:t>
            </w:r>
            <w:r w:rsidRPr="00362517">
              <w:rPr>
                <w:vertAlign w:val="superscript"/>
                <w:lang w:eastAsia="ko-KR"/>
              </w:rPr>
              <w:t xml:space="preserve"> 1</w:t>
            </w:r>
          </w:p>
        </w:tc>
        <w:tc>
          <w:tcPr>
            <w:tcW w:w="1155" w:type="pct"/>
            <w:shd w:val="clear" w:color="auto" w:fill="auto"/>
            <w:noWrap/>
            <w:vAlign w:val="bottom"/>
            <w:hideMark/>
          </w:tcPr>
          <w:p w14:paraId="72221F97"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2222CFFB"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2C9187DB" w14:textId="77777777" w:rsidR="00D8365A" w:rsidRPr="00362517" w:rsidRDefault="00D8365A" w:rsidP="00BF6BC7">
            <w:pPr>
              <w:tabs>
                <w:tab w:val="decimal" w:pos="1068"/>
              </w:tabs>
              <w:rPr>
                <w:lang w:eastAsia="ko-KR"/>
              </w:rPr>
            </w:pPr>
            <w:r w:rsidRPr="00362517">
              <w:t>0</w:t>
            </w:r>
          </w:p>
        </w:tc>
      </w:tr>
      <w:tr w:rsidR="00D8365A" w:rsidRPr="00362517" w14:paraId="40593C66" w14:textId="77777777" w:rsidTr="007A2164">
        <w:trPr>
          <w:trHeight w:val="255"/>
        </w:trPr>
        <w:tc>
          <w:tcPr>
            <w:tcW w:w="1536" w:type="pct"/>
            <w:shd w:val="clear" w:color="auto" w:fill="auto"/>
            <w:hideMark/>
          </w:tcPr>
          <w:p w14:paraId="69C6DB71" w14:textId="77777777" w:rsidR="00D8365A" w:rsidRPr="00362517" w:rsidRDefault="00D8365A" w:rsidP="00BF6BC7">
            <w:pPr>
              <w:rPr>
                <w:lang w:eastAsia="ko-KR"/>
              </w:rPr>
            </w:pPr>
            <w:r w:rsidRPr="00362517">
              <w:rPr>
                <w:lang w:eastAsia="ko-KR"/>
              </w:rPr>
              <w:t>New Jersey</w:t>
            </w:r>
            <w:r w:rsidRPr="00362517">
              <w:rPr>
                <w:vertAlign w:val="superscript"/>
                <w:lang w:eastAsia="ko-KR"/>
              </w:rPr>
              <w:t xml:space="preserve"> 1</w:t>
            </w:r>
          </w:p>
        </w:tc>
        <w:tc>
          <w:tcPr>
            <w:tcW w:w="1155" w:type="pct"/>
            <w:shd w:val="clear" w:color="auto" w:fill="auto"/>
            <w:noWrap/>
            <w:vAlign w:val="bottom"/>
            <w:hideMark/>
          </w:tcPr>
          <w:p w14:paraId="0CDD6142"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23E8E756"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38FF9739" w14:textId="77777777" w:rsidR="00D8365A" w:rsidRPr="00362517" w:rsidRDefault="00D8365A" w:rsidP="00BF6BC7">
            <w:pPr>
              <w:tabs>
                <w:tab w:val="decimal" w:pos="1068"/>
              </w:tabs>
              <w:rPr>
                <w:lang w:eastAsia="ko-KR"/>
              </w:rPr>
            </w:pPr>
            <w:r w:rsidRPr="00362517">
              <w:t>0</w:t>
            </w:r>
          </w:p>
        </w:tc>
      </w:tr>
      <w:tr w:rsidR="00D8365A" w:rsidRPr="00362517" w14:paraId="57079F8B" w14:textId="77777777" w:rsidTr="007A2164">
        <w:trPr>
          <w:trHeight w:val="255"/>
        </w:trPr>
        <w:tc>
          <w:tcPr>
            <w:tcW w:w="1536" w:type="pct"/>
            <w:shd w:val="clear" w:color="auto" w:fill="auto"/>
            <w:hideMark/>
          </w:tcPr>
          <w:p w14:paraId="3A6EF4F7" w14:textId="77777777" w:rsidR="00D8365A" w:rsidRPr="00362517" w:rsidRDefault="00D8365A" w:rsidP="00BF6BC7">
            <w:pPr>
              <w:rPr>
                <w:lang w:eastAsia="ko-KR"/>
              </w:rPr>
            </w:pPr>
            <w:r w:rsidRPr="00362517">
              <w:rPr>
                <w:lang w:eastAsia="ko-KR"/>
              </w:rPr>
              <w:t>New Mexico</w:t>
            </w:r>
          </w:p>
        </w:tc>
        <w:tc>
          <w:tcPr>
            <w:tcW w:w="1155" w:type="pct"/>
            <w:shd w:val="clear" w:color="auto" w:fill="auto"/>
            <w:noWrap/>
            <w:vAlign w:val="bottom"/>
            <w:hideMark/>
          </w:tcPr>
          <w:p w14:paraId="4DB86E63" w14:textId="77777777" w:rsidR="00D8365A" w:rsidRPr="00362517" w:rsidRDefault="00D8365A" w:rsidP="00BF6BC7">
            <w:pPr>
              <w:tabs>
                <w:tab w:val="decimal" w:pos="1243"/>
              </w:tabs>
              <w:rPr>
                <w:lang w:eastAsia="ko-KR"/>
              </w:rPr>
            </w:pPr>
            <w:r w:rsidRPr="00362517">
              <w:t>1.3</w:t>
            </w:r>
          </w:p>
        </w:tc>
        <w:tc>
          <w:tcPr>
            <w:tcW w:w="1155" w:type="pct"/>
            <w:shd w:val="clear" w:color="auto" w:fill="auto"/>
            <w:noWrap/>
            <w:vAlign w:val="bottom"/>
            <w:hideMark/>
          </w:tcPr>
          <w:p w14:paraId="376FB0D2" w14:textId="77777777" w:rsidR="00D8365A" w:rsidRPr="00362517" w:rsidRDefault="00D8365A" w:rsidP="00BF6BC7">
            <w:pPr>
              <w:tabs>
                <w:tab w:val="decimal" w:pos="1149"/>
              </w:tabs>
              <w:rPr>
                <w:lang w:eastAsia="ko-KR"/>
              </w:rPr>
            </w:pPr>
            <w:r w:rsidRPr="00362517">
              <w:t>1.9</w:t>
            </w:r>
          </w:p>
        </w:tc>
        <w:tc>
          <w:tcPr>
            <w:tcW w:w="1154" w:type="pct"/>
            <w:shd w:val="clear" w:color="auto" w:fill="auto"/>
            <w:noWrap/>
            <w:vAlign w:val="bottom"/>
            <w:hideMark/>
          </w:tcPr>
          <w:p w14:paraId="52DF2E7F" w14:textId="77777777" w:rsidR="00D8365A" w:rsidRPr="00362517" w:rsidRDefault="00D8365A" w:rsidP="00BF6BC7">
            <w:pPr>
              <w:tabs>
                <w:tab w:val="decimal" w:pos="1068"/>
              </w:tabs>
              <w:rPr>
                <w:lang w:eastAsia="ko-KR"/>
              </w:rPr>
            </w:pPr>
            <w:r w:rsidRPr="00362517">
              <w:t>1.2</w:t>
            </w:r>
          </w:p>
        </w:tc>
      </w:tr>
      <w:tr w:rsidR="00D8365A" w:rsidRPr="00362517" w14:paraId="5943A500" w14:textId="77777777" w:rsidTr="007A2164">
        <w:trPr>
          <w:trHeight w:val="255"/>
        </w:trPr>
        <w:tc>
          <w:tcPr>
            <w:tcW w:w="1536" w:type="pct"/>
            <w:shd w:val="clear" w:color="auto" w:fill="auto"/>
            <w:hideMark/>
          </w:tcPr>
          <w:p w14:paraId="5A80766E" w14:textId="77777777" w:rsidR="00D8365A" w:rsidRPr="00362517" w:rsidRDefault="00D8365A" w:rsidP="00BF6BC7">
            <w:pPr>
              <w:rPr>
                <w:lang w:eastAsia="ko-KR"/>
              </w:rPr>
            </w:pPr>
            <w:r w:rsidRPr="00362517">
              <w:rPr>
                <w:lang w:eastAsia="ko-KR"/>
              </w:rPr>
              <w:t>New York</w:t>
            </w:r>
            <w:r w:rsidRPr="00362517">
              <w:rPr>
                <w:vertAlign w:val="superscript"/>
                <w:lang w:eastAsia="ko-KR"/>
              </w:rPr>
              <w:t xml:space="preserve"> 1</w:t>
            </w:r>
          </w:p>
        </w:tc>
        <w:tc>
          <w:tcPr>
            <w:tcW w:w="1155" w:type="pct"/>
            <w:shd w:val="clear" w:color="auto" w:fill="auto"/>
            <w:noWrap/>
            <w:vAlign w:val="bottom"/>
            <w:hideMark/>
          </w:tcPr>
          <w:p w14:paraId="0D4C3920"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403827F6"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4561F011" w14:textId="77777777" w:rsidR="00D8365A" w:rsidRPr="00362517" w:rsidRDefault="00D8365A" w:rsidP="00BF6BC7">
            <w:pPr>
              <w:tabs>
                <w:tab w:val="decimal" w:pos="1068"/>
              </w:tabs>
              <w:rPr>
                <w:lang w:eastAsia="ko-KR"/>
              </w:rPr>
            </w:pPr>
            <w:r w:rsidRPr="00362517">
              <w:t>0</w:t>
            </w:r>
          </w:p>
        </w:tc>
      </w:tr>
      <w:tr w:rsidR="00D8365A" w:rsidRPr="00362517" w14:paraId="2DB50BFF" w14:textId="77777777" w:rsidTr="007A2164">
        <w:trPr>
          <w:trHeight w:val="255"/>
        </w:trPr>
        <w:tc>
          <w:tcPr>
            <w:tcW w:w="1536" w:type="pct"/>
            <w:shd w:val="clear" w:color="auto" w:fill="auto"/>
            <w:hideMark/>
          </w:tcPr>
          <w:p w14:paraId="131DCF43" w14:textId="77777777" w:rsidR="00D8365A" w:rsidRPr="00362517" w:rsidRDefault="00D8365A" w:rsidP="00BF6BC7">
            <w:pPr>
              <w:rPr>
                <w:lang w:eastAsia="ko-KR"/>
              </w:rPr>
            </w:pPr>
            <w:r w:rsidRPr="00362517">
              <w:rPr>
                <w:lang w:eastAsia="ko-KR"/>
              </w:rPr>
              <w:t>North Carolina</w:t>
            </w:r>
            <w:r w:rsidRPr="00362517">
              <w:rPr>
                <w:vertAlign w:val="superscript"/>
                <w:lang w:eastAsia="ko-KR"/>
              </w:rPr>
              <w:t xml:space="preserve"> 1</w:t>
            </w:r>
          </w:p>
        </w:tc>
        <w:tc>
          <w:tcPr>
            <w:tcW w:w="1155" w:type="pct"/>
            <w:shd w:val="clear" w:color="auto" w:fill="auto"/>
            <w:noWrap/>
            <w:vAlign w:val="bottom"/>
            <w:hideMark/>
          </w:tcPr>
          <w:p w14:paraId="79A50425"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4A9CF23B"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0205A5C4" w14:textId="77777777" w:rsidR="00D8365A" w:rsidRPr="00362517" w:rsidRDefault="00D8365A" w:rsidP="00BF6BC7">
            <w:pPr>
              <w:tabs>
                <w:tab w:val="decimal" w:pos="1068"/>
              </w:tabs>
              <w:rPr>
                <w:lang w:eastAsia="ko-KR"/>
              </w:rPr>
            </w:pPr>
            <w:r w:rsidRPr="00362517">
              <w:t>0</w:t>
            </w:r>
          </w:p>
        </w:tc>
      </w:tr>
      <w:tr w:rsidR="00D8365A" w:rsidRPr="00362517" w14:paraId="23C355F5" w14:textId="77777777" w:rsidTr="007A2164">
        <w:trPr>
          <w:trHeight w:val="255"/>
        </w:trPr>
        <w:tc>
          <w:tcPr>
            <w:tcW w:w="1536" w:type="pct"/>
            <w:shd w:val="clear" w:color="auto" w:fill="auto"/>
            <w:hideMark/>
          </w:tcPr>
          <w:p w14:paraId="159A0D88" w14:textId="77777777" w:rsidR="00D8365A" w:rsidRPr="00362517" w:rsidRDefault="00D8365A" w:rsidP="00BF6BC7">
            <w:pPr>
              <w:rPr>
                <w:lang w:eastAsia="ko-KR"/>
              </w:rPr>
            </w:pPr>
            <w:r w:rsidRPr="00362517">
              <w:rPr>
                <w:lang w:eastAsia="ko-KR"/>
              </w:rPr>
              <w:t>North Dakota</w:t>
            </w:r>
            <w:r w:rsidRPr="00362517">
              <w:rPr>
                <w:vertAlign w:val="superscript"/>
                <w:lang w:eastAsia="ko-KR"/>
              </w:rPr>
              <w:t xml:space="preserve"> 1</w:t>
            </w:r>
          </w:p>
        </w:tc>
        <w:tc>
          <w:tcPr>
            <w:tcW w:w="1155" w:type="pct"/>
            <w:shd w:val="clear" w:color="auto" w:fill="auto"/>
            <w:noWrap/>
            <w:vAlign w:val="bottom"/>
            <w:hideMark/>
          </w:tcPr>
          <w:p w14:paraId="5205E75B"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47897CCD"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0085B026" w14:textId="77777777" w:rsidR="00D8365A" w:rsidRPr="00362517" w:rsidRDefault="00D8365A" w:rsidP="00BF6BC7">
            <w:pPr>
              <w:tabs>
                <w:tab w:val="decimal" w:pos="1068"/>
              </w:tabs>
              <w:rPr>
                <w:lang w:eastAsia="ko-KR"/>
              </w:rPr>
            </w:pPr>
            <w:r w:rsidRPr="00362517">
              <w:t>0</w:t>
            </w:r>
          </w:p>
        </w:tc>
      </w:tr>
      <w:tr w:rsidR="00D8365A" w:rsidRPr="00362517" w14:paraId="709D39FA" w14:textId="77777777" w:rsidTr="007A2164">
        <w:trPr>
          <w:trHeight w:val="255"/>
        </w:trPr>
        <w:tc>
          <w:tcPr>
            <w:tcW w:w="1536" w:type="pct"/>
            <w:shd w:val="clear" w:color="auto" w:fill="auto"/>
            <w:hideMark/>
          </w:tcPr>
          <w:p w14:paraId="17C55BAB" w14:textId="77777777" w:rsidR="00D8365A" w:rsidRPr="00362517" w:rsidRDefault="00D8365A" w:rsidP="00BF6BC7">
            <w:pPr>
              <w:rPr>
                <w:lang w:eastAsia="ko-KR"/>
              </w:rPr>
            </w:pPr>
            <w:r w:rsidRPr="00362517">
              <w:rPr>
                <w:lang w:eastAsia="ko-KR"/>
              </w:rPr>
              <w:t>Ohio</w:t>
            </w:r>
          </w:p>
        </w:tc>
        <w:tc>
          <w:tcPr>
            <w:tcW w:w="1155" w:type="pct"/>
            <w:shd w:val="clear" w:color="auto" w:fill="auto"/>
            <w:noWrap/>
            <w:vAlign w:val="bottom"/>
            <w:hideMark/>
          </w:tcPr>
          <w:p w14:paraId="095A6EED" w14:textId="77777777" w:rsidR="00D8365A" w:rsidRPr="00362517" w:rsidRDefault="00D8365A" w:rsidP="00BF6BC7">
            <w:pPr>
              <w:tabs>
                <w:tab w:val="decimal" w:pos="1243"/>
              </w:tabs>
              <w:rPr>
                <w:lang w:eastAsia="ko-KR"/>
              </w:rPr>
            </w:pPr>
            <w:r w:rsidRPr="00362517">
              <w:t>2.9</w:t>
            </w:r>
          </w:p>
        </w:tc>
        <w:tc>
          <w:tcPr>
            <w:tcW w:w="1155" w:type="pct"/>
            <w:shd w:val="clear" w:color="auto" w:fill="auto"/>
            <w:noWrap/>
            <w:vAlign w:val="bottom"/>
            <w:hideMark/>
          </w:tcPr>
          <w:p w14:paraId="6D5E33FA" w14:textId="77777777" w:rsidR="00D8365A" w:rsidRPr="00362517" w:rsidRDefault="00D8365A" w:rsidP="00BF6BC7">
            <w:pPr>
              <w:tabs>
                <w:tab w:val="decimal" w:pos="1149"/>
              </w:tabs>
              <w:rPr>
                <w:lang w:eastAsia="ko-KR"/>
              </w:rPr>
            </w:pPr>
            <w:r w:rsidRPr="00362517">
              <w:t>4.3</w:t>
            </w:r>
          </w:p>
        </w:tc>
        <w:tc>
          <w:tcPr>
            <w:tcW w:w="1154" w:type="pct"/>
            <w:shd w:val="clear" w:color="auto" w:fill="auto"/>
            <w:noWrap/>
            <w:vAlign w:val="bottom"/>
            <w:hideMark/>
          </w:tcPr>
          <w:p w14:paraId="51FCF704" w14:textId="77777777" w:rsidR="00D8365A" w:rsidRPr="00362517" w:rsidRDefault="00D8365A" w:rsidP="00BF6BC7">
            <w:pPr>
              <w:tabs>
                <w:tab w:val="decimal" w:pos="1068"/>
              </w:tabs>
              <w:rPr>
                <w:lang w:eastAsia="ko-KR"/>
              </w:rPr>
            </w:pPr>
            <w:r w:rsidRPr="00362517">
              <w:t>2.6</w:t>
            </w:r>
          </w:p>
        </w:tc>
      </w:tr>
      <w:tr w:rsidR="00D8365A" w:rsidRPr="00362517" w14:paraId="33C2589F" w14:textId="77777777" w:rsidTr="007A2164">
        <w:trPr>
          <w:trHeight w:val="255"/>
        </w:trPr>
        <w:tc>
          <w:tcPr>
            <w:tcW w:w="1536" w:type="pct"/>
            <w:shd w:val="clear" w:color="auto" w:fill="auto"/>
            <w:hideMark/>
          </w:tcPr>
          <w:p w14:paraId="5AC630BE" w14:textId="77777777" w:rsidR="00D8365A" w:rsidRPr="00362517" w:rsidRDefault="00D8365A" w:rsidP="00BF6BC7">
            <w:pPr>
              <w:rPr>
                <w:lang w:eastAsia="ko-KR"/>
              </w:rPr>
            </w:pPr>
            <w:r w:rsidRPr="00362517">
              <w:rPr>
                <w:lang w:eastAsia="ko-KR"/>
              </w:rPr>
              <w:t>Oklahoma</w:t>
            </w:r>
          </w:p>
        </w:tc>
        <w:tc>
          <w:tcPr>
            <w:tcW w:w="1155" w:type="pct"/>
            <w:shd w:val="clear" w:color="auto" w:fill="auto"/>
            <w:noWrap/>
            <w:vAlign w:val="bottom"/>
            <w:hideMark/>
          </w:tcPr>
          <w:p w14:paraId="0048CBDC" w14:textId="77777777" w:rsidR="00D8365A" w:rsidRPr="00362517" w:rsidRDefault="00D8365A" w:rsidP="00BF6BC7">
            <w:pPr>
              <w:tabs>
                <w:tab w:val="decimal" w:pos="1243"/>
              </w:tabs>
              <w:rPr>
                <w:lang w:eastAsia="ko-KR"/>
              </w:rPr>
            </w:pPr>
            <w:r w:rsidRPr="00362517">
              <w:t>3.4</w:t>
            </w:r>
          </w:p>
        </w:tc>
        <w:tc>
          <w:tcPr>
            <w:tcW w:w="1155" w:type="pct"/>
            <w:shd w:val="clear" w:color="auto" w:fill="auto"/>
            <w:noWrap/>
            <w:vAlign w:val="bottom"/>
            <w:hideMark/>
          </w:tcPr>
          <w:p w14:paraId="03C15A71" w14:textId="77777777" w:rsidR="00D8365A" w:rsidRPr="00362517" w:rsidRDefault="00D8365A" w:rsidP="00BF6BC7">
            <w:pPr>
              <w:tabs>
                <w:tab w:val="decimal" w:pos="1149"/>
              </w:tabs>
              <w:rPr>
                <w:lang w:eastAsia="ko-KR"/>
              </w:rPr>
            </w:pPr>
            <w:r w:rsidRPr="00362517">
              <w:t>5.1</w:t>
            </w:r>
          </w:p>
        </w:tc>
        <w:tc>
          <w:tcPr>
            <w:tcW w:w="1154" w:type="pct"/>
            <w:shd w:val="clear" w:color="auto" w:fill="auto"/>
            <w:noWrap/>
            <w:vAlign w:val="bottom"/>
            <w:hideMark/>
          </w:tcPr>
          <w:p w14:paraId="2BB75847" w14:textId="77777777" w:rsidR="00D8365A" w:rsidRPr="00362517" w:rsidRDefault="00D8365A" w:rsidP="00BF6BC7">
            <w:pPr>
              <w:tabs>
                <w:tab w:val="decimal" w:pos="1068"/>
              </w:tabs>
              <w:rPr>
                <w:lang w:eastAsia="ko-KR"/>
              </w:rPr>
            </w:pPr>
            <w:r w:rsidRPr="00362517">
              <w:t>3.1</w:t>
            </w:r>
          </w:p>
        </w:tc>
      </w:tr>
      <w:tr w:rsidR="00D8365A" w:rsidRPr="00362517" w14:paraId="4370AA21" w14:textId="77777777" w:rsidTr="007A2164">
        <w:trPr>
          <w:trHeight w:val="255"/>
        </w:trPr>
        <w:tc>
          <w:tcPr>
            <w:tcW w:w="1536" w:type="pct"/>
            <w:shd w:val="clear" w:color="auto" w:fill="auto"/>
            <w:hideMark/>
          </w:tcPr>
          <w:p w14:paraId="41CEA198" w14:textId="77777777" w:rsidR="00D8365A" w:rsidRPr="00362517" w:rsidRDefault="00D8365A" w:rsidP="00BF6BC7">
            <w:pPr>
              <w:rPr>
                <w:lang w:eastAsia="ko-KR"/>
              </w:rPr>
            </w:pPr>
            <w:r w:rsidRPr="00362517">
              <w:rPr>
                <w:lang w:eastAsia="ko-KR"/>
              </w:rPr>
              <w:t>Oregon</w:t>
            </w:r>
            <w:r w:rsidRPr="00362517">
              <w:rPr>
                <w:vertAlign w:val="superscript"/>
                <w:lang w:eastAsia="ko-KR"/>
              </w:rPr>
              <w:t xml:space="preserve"> 1</w:t>
            </w:r>
          </w:p>
        </w:tc>
        <w:tc>
          <w:tcPr>
            <w:tcW w:w="1155" w:type="pct"/>
            <w:shd w:val="clear" w:color="auto" w:fill="auto"/>
            <w:noWrap/>
            <w:vAlign w:val="bottom"/>
            <w:hideMark/>
          </w:tcPr>
          <w:p w14:paraId="2F1A0D8A"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158623AE"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561374B2" w14:textId="77777777" w:rsidR="00D8365A" w:rsidRPr="00362517" w:rsidRDefault="00D8365A" w:rsidP="00BF6BC7">
            <w:pPr>
              <w:tabs>
                <w:tab w:val="decimal" w:pos="1068"/>
              </w:tabs>
              <w:rPr>
                <w:lang w:eastAsia="ko-KR"/>
              </w:rPr>
            </w:pPr>
            <w:r w:rsidRPr="00362517">
              <w:t>0</w:t>
            </w:r>
          </w:p>
        </w:tc>
      </w:tr>
      <w:tr w:rsidR="00D8365A" w:rsidRPr="00362517" w14:paraId="448F3BE6" w14:textId="77777777" w:rsidTr="007A2164">
        <w:trPr>
          <w:trHeight w:val="255"/>
        </w:trPr>
        <w:tc>
          <w:tcPr>
            <w:tcW w:w="1536" w:type="pct"/>
            <w:shd w:val="clear" w:color="auto" w:fill="auto"/>
            <w:hideMark/>
          </w:tcPr>
          <w:p w14:paraId="543B892E" w14:textId="77777777" w:rsidR="00D8365A" w:rsidRPr="00362517" w:rsidRDefault="00D8365A" w:rsidP="00BF6BC7">
            <w:pPr>
              <w:rPr>
                <w:lang w:eastAsia="ko-KR"/>
              </w:rPr>
            </w:pPr>
            <w:r w:rsidRPr="00362517">
              <w:rPr>
                <w:lang w:eastAsia="ko-KR"/>
              </w:rPr>
              <w:t>Pennsylvania</w:t>
            </w:r>
            <w:r w:rsidRPr="00362517">
              <w:rPr>
                <w:vertAlign w:val="superscript"/>
                <w:lang w:eastAsia="ko-KR"/>
              </w:rPr>
              <w:t xml:space="preserve"> 1</w:t>
            </w:r>
          </w:p>
        </w:tc>
        <w:tc>
          <w:tcPr>
            <w:tcW w:w="1155" w:type="pct"/>
            <w:shd w:val="clear" w:color="auto" w:fill="auto"/>
            <w:noWrap/>
            <w:vAlign w:val="bottom"/>
            <w:hideMark/>
          </w:tcPr>
          <w:p w14:paraId="0B0A97B6"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306AC71B"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0B65342C" w14:textId="77777777" w:rsidR="00D8365A" w:rsidRPr="00362517" w:rsidRDefault="00D8365A" w:rsidP="00BF6BC7">
            <w:pPr>
              <w:tabs>
                <w:tab w:val="decimal" w:pos="1068"/>
              </w:tabs>
              <w:rPr>
                <w:lang w:eastAsia="ko-KR"/>
              </w:rPr>
            </w:pPr>
            <w:r w:rsidRPr="00362517">
              <w:t>0</w:t>
            </w:r>
          </w:p>
        </w:tc>
      </w:tr>
      <w:tr w:rsidR="00D8365A" w:rsidRPr="00362517" w14:paraId="2748EFB8" w14:textId="77777777" w:rsidTr="007A2164">
        <w:trPr>
          <w:trHeight w:val="255"/>
        </w:trPr>
        <w:tc>
          <w:tcPr>
            <w:tcW w:w="1536" w:type="pct"/>
            <w:shd w:val="clear" w:color="auto" w:fill="auto"/>
            <w:hideMark/>
          </w:tcPr>
          <w:p w14:paraId="45F9BE12" w14:textId="77777777" w:rsidR="00D8365A" w:rsidRPr="00362517" w:rsidRDefault="00D8365A" w:rsidP="00BF6BC7">
            <w:pPr>
              <w:rPr>
                <w:lang w:eastAsia="ko-KR"/>
              </w:rPr>
            </w:pPr>
            <w:r w:rsidRPr="00362517">
              <w:rPr>
                <w:lang w:eastAsia="ko-KR"/>
              </w:rPr>
              <w:t>Rhode Island</w:t>
            </w:r>
          </w:p>
        </w:tc>
        <w:tc>
          <w:tcPr>
            <w:tcW w:w="1155" w:type="pct"/>
            <w:shd w:val="clear" w:color="auto" w:fill="auto"/>
            <w:noWrap/>
            <w:vAlign w:val="bottom"/>
            <w:hideMark/>
          </w:tcPr>
          <w:p w14:paraId="18FD9860" w14:textId="77777777" w:rsidR="00D8365A" w:rsidRPr="00362517" w:rsidRDefault="00D8365A" w:rsidP="00BF6BC7">
            <w:pPr>
              <w:tabs>
                <w:tab w:val="decimal" w:pos="1243"/>
              </w:tabs>
              <w:rPr>
                <w:lang w:eastAsia="ko-KR"/>
              </w:rPr>
            </w:pPr>
            <w:r w:rsidRPr="00362517">
              <w:t>0.1</w:t>
            </w:r>
          </w:p>
        </w:tc>
        <w:tc>
          <w:tcPr>
            <w:tcW w:w="1155" w:type="pct"/>
            <w:shd w:val="clear" w:color="auto" w:fill="auto"/>
            <w:noWrap/>
            <w:vAlign w:val="bottom"/>
            <w:hideMark/>
          </w:tcPr>
          <w:p w14:paraId="53CB5A90" w14:textId="77777777" w:rsidR="00D8365A" w:rsidRPr="00362517" w:rsidRDefault="00D8365A" w:rsidP="00BF6BC7">
            <w:pPr>
              <w:tabs>
                <w:tab w:val="decimal" w:pos="1149"/>
              </w:tabs>
              <w:rPr>
                <w:lang w:eastAsia="ko-KR"/>
              </w:rPr>
            </w:pPr>
            <w:r w:rsidRPr="00362517">
              <w:t>0.2</w:t>
            </w:r>
          </w:p>
        </w:tc>
        <w:tc>
          <w:tcPr>
            <w:tcW w:w="1154" w:type="pct"/>
            <w:shd w:val="clear" w:color="auto" w:fill="auto"/>
            <w:noWrap/>
            <w:vAlign w:val="bottom"/>
            <w:hideMark/>
          </w:tcPr>
          <w:p w14:paraId="3B5E2F4A" w14:textId="77777777" w:rsidR="00D8365A" w:rsidRPr="00362517" w:rsidRDefault="00D8365A" w:rsidP="00BF6BC7">
            <w:pPr>
              <w:tabs>
                <w:tab w:val="decimal" w:pos="1068"/>
              </w:tabs>
              <w:rPr>
                <w:lang w:eastAsia="ko-KR"/>
              </w:rPr>
            </w:pPr>
            <w:r w:rsidRPr="00362517">
              <w:t>0.1</w:t>
            </w:r>
          </w:p>
        </w:tc>
      </w:tr>
      <w:tr w:rsidR="00D8365A" w:rsidRPr="00362517" w14:paraId="58C95B33" w14:textId="77777777" w:rsidTr="007A2164">
        <w:trPr>
          <w:trHeight w:val="255"/>
        </w:trPr>
        <w:tc>
          <w:tcPr>
            <w:tcW w:w="1536" w:type="pct"/>
            <w:shd w:val="clear" w:color="auto" w:fill="auto"/>
            <w:hideMark/>
          </w:tcPr>
          <w:p w14:paraId="34212469" w14:textId="77777777" w:rsidR="00D8365A" w:rsidRPr="00362517" w:rsidRDefault="00D8365A" w:rsidP="00BF6BC7">
            <w:pPr>
              <w:rPr>
                <w:lang w:eastAsia="ko-KR"/>
              </w:rPr>
            </w:pPr>
            <w:r w:rsidRPr="00362517">
              <w:rPr>
                <w:lang w:eastAsia="ko-KR"/>
              </w:rPr>
              <w:t>South Carolina</w:t>
            </w:r>
            <w:r w:rsidRPr="00362517">
              <w:rPr>
                <w:vertAlign w:val="superscript"/>
                <w:lang w:eastAsia="ko-KR"/>
              </w:rPr>
              <w:t xml:space="preserve"> 1</w:t>
            </w:r>
          </w:p>
        </w:tc>
        <w:tc>
          <w:tcPr>
            <w:tcW w:w="1155" w:type="pct"/>
            <w:shd w:val="clear" w:color="auto" w:fill="auto"/>
            <w:noWrap/>
            <w:vAlign w:val="bottom"/>
            <w:hideMark/>
          </w:tcPr>
          <w:p w14:paraId="767E9D51"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72663012"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554F2849" w14:textId="77777777" w:rsidR="00D8365A" w:rsidRPr="00362517" w:rsidRDefault="00D8365A" w:rsidP="00BF6BC7">
            <w:pPr>
              <w:tabs>
                <w:tab w:val="decimal" w:pos="1068"/>
              </w:tabs>
              <w:rPr>
                <w:lang w:eastAsia="ko-KR"/>
              </w:rPr>
            </w:pPr>
            <w:r w:rsidRPr="00362517">
              <w:t>0</w:t>
            </w:r>
          </w:p>
        </w:tc>
      </w:tr>
      <w:tr w:rsidR="00D8365A" w:rsidRPr="00362517" w14:paraId="1DE39B24" w14:textId="77777777" w:rsidTr="007A2164">
        <w:trPr>
          <w:trHeight w:val="255"/>
        </w:trPr>
        <w:tc>
          <w:tcPr>
            <w:tcW w:w="1536" w:type="pct"/>
            <w:shd w:val="clear" w:color="auto" w:fill="auto"/>
            <w:hideMark/>
          </w:tcPr>
          <w:p w14:paraId="3FBC95D5" w14:textId="77777777" w:rsidR="00D8365A" w:rsidRPr="00362517" w:rsidRDefault="00D8365A" w:rsidP="00BF6BC7">
            <w:pPr>
              <w:rPr>
                <w:lang w:eastAsia="ko-KR"/>
              </w:rPr>
            </w:pPr>
            <w:r w:rsidRPr="00362517">
              <w:rPr>
                <w:lang w:eastAsia="ko-KR"/>
              </w:rPr>
              <w:t>South Dakota</w:t>
            </w:r>
          </w:p>
        </w:tc>
        <w:tc>
          <w:tcPr>
            <w:tcW w:w="1155" w:type="pct"/>
            <w:shd w:val="clear" w:color="auto" w:fill="auto"/>
            <w:noWrap/>
            <w:vAlign w:val="bottom"/>
            <w:hideMark/>
          </w:tcPr>
          <w:p w14:paraId="40CCF235" w14:textId="77777777" w:rsidR="00D8365A" w:rsidRPr="00362517" w:rsidRDefault="00D8365A" w:rsidP="00BF6BC7">
            <w:pPr>
              <w:tabs>
                <w:tab w:val="decimal" w:pos="1243"/>
              </w:tabs>
              <w:rPr>
                <w:lang w:eastAsia="ko-KR"/>
              </w:rPr>
            </w:pPr>
            <w:r w:rsidRPr="00362517">
              <w:t>1.7</w:t>
            </w:r>
          </w:p>
        </w:tc>
        <w:tc>
          <w:tcPr>
            <w:tcW w:w="1155" w:type="pct"/>
            <w:shd w:val="clear" w:color="auto" w:fill="auto"/>
            <w:noWrap/>
            <w:vAlign w:val="bottom"/>
            <w:hideMark/>
          </w:tcPr>
          <w:p w14:paraId="1174AF54" w14:textId="77777777" w:rsidR="00D8365A" w:rsidRPr="00362517" w:rsidRDefault="00D8365A" w:rsidP="00BF6BC7">
            <w:pPr>
              <w:tabs>
                <w:tab w:val="decimal" w:pos="1149"/>
              </w:tabs>
              <w:rPr>
                <w:lang w:eastAsia="ko-KR"/>
              </w:rPr>
            </w:pPr>
            <w:r w:rsidRPr="00362517">
              <w:t>2.6</w:t>
            </w:r>
          </w:p>
        </w:tc>
        <w:tc>
          <w:tcPr>
            <w:tcW w:w="1154" w:type="pct"/>
            <w:shd w:val="clear" w:color="auto" w:fill="auto"/>
            <w:noWrap/>
            <w:vAlign w:val="bottom"/>
            <w:hideMark/>
          </w:tcPr>
          <w:p w14:paraId="4476D559" w14:textId="77777777" w:rsidR="00D8365A" w:rsidRPr="00362517" w:rsidRDefault="00D8365A" w:rsidP="00BF6BC7">
            <w:pPr>
              <w:tabs>
                <w:tab w:val="decimal" w:pos="1068"/>
              </w:tabs>
              <w:rPr>
                <w:lang w:eastAsia="ko-KR"/>
              </w:rPr>
            </w:pPr>
            <w:r w:rsidRPr="00362517">
              <w:t>1.5</w:t>
            </w:r>
          </w:p>
        </w:tc>
      </w:tr>
      <w:tr w:rsidR="00D8365A" w:rsidRPr="00362517" w14:paraId="1CAE6D4C" w14:textId="77777777" w:rsidTr="007A2164">
        <w:trPr>
          <w:trHeight w:val="255"/>
        </w:trPr>
        <w:tc>
          <w:tcPr>
            <w:tcW w:w="1536" w:type="pct"/>
            <w:shd w:val="clear" w:color="auto" w:fill="auto"/>
            <w:hideMark/>
          </w:tcPr>
          <w:p w14:paraId="3FC36575" w14:textId="77777777" w:rsidR="00D8365A" w:rsidRPr="00362517" w:rsidRDefault="00D8365A" w:rsidP="00BF6BC7">
            <w:pPr>
              <w:rPr>
                <w:lang w:eastAsia="ko-KR"/>
              </w:rPr>
            </w:pPr>
            <w:r w:rsidRPr="00362517">
              <w:rPr>
                <w:lang w:eastAsia="ko-KR"/>
              </w:rPr>
              <w:t>Tennessee</w:t>
            </w:r>
          </w:p>
        </w:tc>
        <w:tc>
          <w:tcPr>
            <w:tcW w:w="1155" w:type="pct"/>
            <w:shd w:val="clear" w:color="auto" w:fill="auto"/>
            <w:noWrap/>
            <w:vAlign w:val="bottom"/>
            <w:hideMark/>
          </w:tcPr>
          <w:p w14:paraId="461807E1" w14:textId="77777777" w:rsidR="00D8365A" w:rsidRPr="00362517" w:rsidRDefault="00D8365A" w:rsidP="00BF6BC7">
            <w:pPr>
              <w:tabs>
                <w:tab w:val="decimal" w:pos="1243"/>
              </w:tabs>
              <w:rPr>
                <w:lang w:eastAsia="ko-KR"/>
              </w:rPr>
            </w:pPr>
            <w:r w:rsidRPr="00362517">
              <w:t>1.7</w:t>
            </w:r>
          </w:p>
        </w:tc>
        <w:tc>
          <w:tcPr>
            <w:tcW w:w="1155" w:type="pct"/>
            <w:shd w:val="clear" w:color="auto" w:fill="auto"/>
            <w:noWrap/>
            <w:vAlign w:val="bottom"/>
            <w:hideMark/>
          </w:tcPr>
          <w:p w14:paraId="22F31C6E" w14:textId="77777777" w:rsidR="00D8365A" w:rsidRPr="00362517" w:rsidRDefault="00D8365A" w:rsidP="00BF6BC7">
            <w:pPr>
              <w:tabs>
                <w:tab w:val="decimal" w:pos="1149"/>
              </w:tabs>
              <w:rPr>
                <w:lang w:eastAsia="ko-KR"/>
              </w:rPr>
            </w:pPr>
            <w:r w:rsidRPr="00362517">
              <w:t>2.5</w:t>
            </w:r>
          </w:p>
        </w:tc>
        <w:tc>
          <w:tcPr>
            <w:tcW w:w="1154" w:type="pct"/>
            <w:shd w:val="clear" w:color="auto" w:fill="auto"/>
            <w:noWrap/>
            <w:vAlign w:val="bottom"/>
            <w:hideMark/>
          </w:tcPr>
          <w:p w14:paraId="63966BB2" w14:textId="77777777" w:rsidR="00D8365A" w:rsidRPr="00362517" w:rsidRDefault="00D8365A" w:rsidP="00BF6BC7">
            <w:pPr>
              <w:tabs>
                <w:tab w:val="decimal" w:pos="1068"/>
              </w:tabs>
              <w:rPr>
                <w:lang w:eastAsia="ko-KR"/>
              </w:rPr>
            </w:pPr>
            <w:r w:rsidRPr="00362517">
              <w:t>1.5</w:t>
            </w:r>
          </w:p>
        </w:tc>
      </w:tr>
      <w:tr w:rsidR="00D8365A" w:rsidRPr="00362517" w14:paraId="2593D7B4" w14:textId="77777777" w:rsidTr="007A2164">
        <w:trPr>
          <w:trHeight w:val="255"/>
        </w:trPr>
        <w:tc>
          <w:tcPr>
            <w:tcW w:w="1536" w:type="pct"/>
            <w:shd w:val="clear" w:color="auto" w:fill="auto"/>
            <w:hideMark/>
          </w:tcPr>
          <w:p w14:paraId="6AA3CA15" w14:textId="77777777" w:rsidR="00D8365A" w:rsidRPr="00362517" w:rsidRDefault="00D8365A" w:rsidP="00BF6BC7">
            <w:pPr>
              <w:rPr>
                <w:lang w:eastAsia="ko-KR"/>
              </w:rPr>
            </w:pPr>
            <w:r w:rsidRPr="00362517">
              <w:rPr>
                <w:lang w:eastAsia="ko-KR"/>
              </w:rPr>
              <w:t>Texas</w:t>
            </w:r>
          </w:p>
        </w:tc>
        <w:tc>
          <w:tcPr>
            <w:tcW w:w="1155" w:type="pct"/>
            <w:shd w:val="clear" w:color="auto" w:fill="auto"/>
            <w:noWrap/>
            <w:vAlign w:val="bottom"/>
            <w:hideMark/>
          </w:tcPr>
          <w:p w14:paraId="288C80CA" w14:textId="77777777" w:rsidR="00D8365A" w:rsidRPr="00362517" w:rsidRDefault="00D8365A" w:rsidP="00BF6BC7">
            <w:pPr>
              <w:tabs>
                <w:tab w:val="decimal" w:pos="1243"/>
              </w:tabs>
              <w:rPr>
                <w:lang w:eastAsia="ko-KR"/>
              </w:rPr>
            </w:pPr>
            <w:r w:rsidRPr="00362517">
              <w:t>3.4</w:t>
            </w:r>
          </w:p>
        </w:tc>
        <w:tc>
          <w:tcPr>
            <w:tcW w:w="1155" w:type="pct"/>
            <w:shd w:val="clear" w:color="auto" w:fill="auto"/>
            <w:noWrap/>
            <w:vAlign w:val="bottom"/>
            <w:hideMark/>
          </w:tcPr>
          <w:p w14:paraId="31359435" w14:textId="77777777" w:rsidR="00D8365A" w:rsidRPr="00362517" w:rsidRDefault="00D8365A" w:rsidP="00BF6BC7">
            <w:pPr>
              <w:tabs>
                <w:tab w:val="decimal" w:pos="1149"/>
              </w:tabs>
              <w:rPr>
                <w:lang w:eastAsia="ko-KR"/>
              </w:rPr>
            </w:pPr>
            <w:r w:rsidRPr="00362517">
              <w:t>5.0</w:t>
            </w:r>
          </w:p>
        </w:tc>
        <w:tc>
          <w:tcPr>
            <w:tcW w:w="1154" w:type="pct"/>
            <w:shd w:val="clear" w:color="auto" w:fill="auto"/>
            <w:noWrap/>
            <w:vAlign w:val="bottom"/>
            <w:hideMark/>
          </w:tcPr>
          <w:p w14:paraId="6F839263" w14:textId="77777777" w:rsidR="00D8365A" w:rsidRPr="00362517" w:rsidRDefault="00D8365A" w:rsidP="00BF6BC7">
            <w:pPr>
              <w:tabs>
                <w:tab w:val="decimal" w:pos="1068"/>
              </w:tabs>
              <w:rPr>
                <w:lang w:eastAsia="ko-KR"/>
              </w:rPr>
            </w:pPr>
            <w:r w:rsidRPr="00362517">
              <w:t>3.1</w:t>
            </w:r>
          </w:p>
        </w:tc>
      </w:tr>
      <w:tr w:rsidR="00D8365A" w:rsidRPr="00362517" w14:paraId="203D16FF" w14:textId="77777777" w:rsidTr="007A2164">
        <w:trPr>
          <w:trHeight w:val="255"/>
        </w:trPr>
        <w:tc>
          <w:tcPr>
            <w:tcW w:w="1536" w:type="pct"/>
            <w:shd w:val="clear" w:color="auto" w:fill="auto"/>
            <w:hideMark/>
          </w:tcPr>
          <w:p w14:paraId="33C6D20F" w14:textId="77777777" w:rsidR="00D8365A" w:rsidRPr="00362517" w:rsidRDefault="00D8365A" w:rsidP="00BF6BC7">
            <w:pPr>
              <w:rPr>
                <w:lang w:eastAsia="ko-KR"/>
              </w:rPr>
            </w:pPr>
            <w:r w:rsidRPr="00362517">
              <w:rPr>
                <w:lang w:eastAsia="ko-KR"/>
              </w:rPr>
              <w:t>Utah</w:t>
            </w:r>
          </w:p>
        </w:tc>
        <w:tc>
          <w:tcPr>
            <w:tcW w:w="1155" w:type="pct"/>
            <w:shd w:val="clear" w:color="auto" w:fill="auto"/>
            <w:noWrap/>
            <w:vAlign w:val="bottom"/>
            <w:hideMark/>
          </w:tcPr>
          <w:p w14:paraId="6D754FBB" w14:textId="77777777" w:rsidR="00D8365A" w:rsidRPr="00362517" w:rsidRDefault="00D8365A" w:rsidP="00BF6BC7">
            <w:pPr>
              <w:tabs>
                <w:tab w:val="decimal" w:pos="1243"/>
              </w:tabs>
              <w:rPr>
                <w:lang w:eastAsia="ko-KR"/>
              </w:rPr>
            </w:pPr>
            <w:r w:rsidRPr="00362517">
              <w:t>2.1</w:t>
            </w:r>
          </w:p>
        </w:tc>
        <w:tc>
          <w:tcPr>
            <w:tcW w:w="1155" w:type="pct"/>
            <w:shd w:val="clear" w:color="auto" w:fill="auto"/>
            <w:noWrap/>
            <w:vAlign w:val="bottom"/>
            <w:hideMark/>
          </w:tcPr>
          <w:p w14:paraId="4880A14F" w14:textId="77777777" w:rsidR="00D8365A" w:rsidRPr="00362517" w:rsidRDefault="00D8365A" w:rsidP="00BF6BC7">
            <w:pPr>
              <w:tabs>
                <w:tab w:val="decimal" w:pos="1149"/>
              </w:tabs>
              <w:rPr>
                <w:lang w:eastAsia="ko-KR"/>
              </w:rPr>
            </w:pPr>
            <w:r w:rsidRPr="00362517">
              <w:t>3.2</w:t>
            </w:r>
          </w:p>
        </w:tc>
        <w:tc>
          <w:tcPr>
            <w:tcW w:w="1154" w:type="pct"/>
            <w:shd w:val="clear" w:color="auto" w:fill="auto"/>
            <w:noWrap/>
            <w:vAlign w:val="bottom"/>
            <w:hideMark/>
          </w:tcPr>
          <w:p w14:paraId="09B92E97" w14:textId="77777777" w:rsidR="00D8365A" w:rsidRPr="00362517" w:rsidRDefault="00D8365A" w:rsidP="00BF6BC7">
            <w:pPr>
              <w:tabs>
                <w:tab w:val="decimal" w:pos="1068"/>
              </w:tabs>
              <w:rPr>
                <w:lang w:eastAsia="ko-KR"/>
              </w:rPr>
            </w:pPr>
            <w:r w:rsidRPr="00362517">
              <w:t>1.9</w:t>
            </w:r>
          </w:p>
        </w:tc>
      </w:tr>
      <w:tr w:rsidR="00D8365A" w:rsidRPr="00362517" w14:paraId="6FBD1CE2" w14:textId="77777777" w:rsidTr="007A2164">
        <w:trPr>
          <w:trHeight w:val="255"/>
        </w:trPr>
        <w:tc>
          <w:tcPr>
            <w:tcW w:w="1536" w:type="pct"/>
            <w:shd w:val="clear" w:color="auto" w:fill="auto"/>
            <w:hideMark/>
          </w:tcPr>
          <w:p w14:paraId="62A7FAB1" w14:textId="77777777" w:rsidR="00D8365A" w:rsidRPr="00362517" w:rsidRDefault="00D8365A" w:rsidP="00BF6BC7">
            <w:pPr>
              <w:rPr>
                <w:lang w:eastAsia="ko-KR"/>
              </w:rPr>
            </w:pPr>
            <w:r w:rsidRPr="00362517">
              <w:rPr>
                <w:lang w:eastAsia="ko-KR"/>
              </w:rPr>
              <w:t>Vermont</w:t>
            </w:r>
            <w:r w:rsidRPr="00362517">
              <w:rPr>
                <w:vertAlign w:val="superscript"/>
                <w:lang w:eastAsia="ko-KR"/>
              </w:rPr>
              <w:t xml:space="preserve"> 1</w:t>
            </w:r>
          </w:p>
        </w:tc>
        <w:tc>
          <w:tcPr>
            <w:tcW w:w="1155" w:type="pct"/>
            <w:shd w:val="clear" w:color="auto" w:fill="auto"/>
            <w:noWrap/>
            <w:vAlign w:val="bottom"/>
            <w:hideMark/>
          </w:tcPr>
          <w:p w14:paraId="61495222"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54E0C987"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4EA01E74" w14:textId="77777777" w:rsidR="00D8365A" w:rsidRPr="00362517" w:rsidRDefault="00D8365A" w:rsidP="00BF6BC7">
            <w:pPr>
              <w:tabs>
                <w:tab w:val="decimal" w:pos="1068"/>
              </w:tabs>
              <w:rPr>
                <w:lang w:eastAsia="ko-KR"/>
              </w:rPr>
            </w:pPr>
            <w:r w:rsidRPr="00362517">
              <w:t>0</w:t>
            </w:r>
          </w:p>
        </w:tc>
      </w:tr>
      <w:tr w:rsidR="00D8365A" w:rsidRPr="00362517" w14:paraId="53719924" w14:textId="77777777" w:rsidTr="007A2164">
        <w:trPr>
          <w:trHeight w:val="255"/>
        </w:trPr>
        <w:tc>
          <w:tcPr>
            <w:tcW w:w="1536" w:type="pct"/>
            <w:shd w:val="clear" w:color="auto" w:fill="auto"/>
            <w:hideMark/>
          </w:tcPr>
          <w:p w14:paraId="4509F4A6" w14:textId="77777777" w:rsidR="00D8365A" w:rsidRPr="00362517" w:rsidRDefault="00D8365A" w:rsidP="00BF6BC7">
            <w:pPr>
              <w:rPr>
                <w:lang w:eastAsia="ko-KR"/>
              </w:rPr>
            </w:pPr>
            <w:r w:rsidRPr="00362517">
              <w:rPr>
                <w:lang w:eastAsia="ko-KR"/>
              </w:rPr>
              <w:t>Virginia</w:t>
            </w:r>
            <w:r w:rsidRPr="00362517">
              <w:rPr>
                <w:vertAlign w:val="superscript"/>
                <w:lang w:eastAsia="ko-KR"/>
              </w:rPr>
              <w:t xml:space="preserve"> 1</w:t>
            </w:r>
          </w:p>
        </w:tc>
        <w:tc>
          <w:tcPr>
            <w:tcW w:w="1155" w:type="pct"/>
            <w:shd w:val="clear" w:color="auto" w:fill="auto"/>
            <w:noWrap/>
            <w:vAlign w:val="bottom"/>
            <w:hideMark/>
          </w:tcPr>
          <w:p w14:paraId="29FB6989"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2D0C6F75"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511CA84E" w14:textId="77777777" w:rsidR="00D8365A" w:rsidRPr="00362517" w:rsidRDefault="00D8365A" w:rsidP="00BF6BC7">
            <w:pPr>
              <w:tabs>
                <w:tab w:val="decimal" w:pos="1068"/>
              </w:tabs>
              <w:rPr>
                <w:lang w:eastAsia="ko-KR"/>
              </w:rPr>
            </w:pPr>
            <w:r w:rsidRPr="00362517">
              <w:t>0</w:t>
            </w:r>
          </w:p>
        </w:tc>
      </w:tr>
      <w:tr w:rsidR="00D8365A" w:rsidRPr="00362517" w14:paraId="1995A2F7" w14:textId="77777777" w:rsidTr="007A2164">
        <w:trPr>
          <w:trHeight w:val="255"/>
        </w:trPr>
        <w:tc>
          <w:tcPr>
            <w:tcW w:w="1536" w:type="pct"/>
            <w:shd w:val="clear" w:color="auto" w:fill="auto"/>
            <w:hideMark/>
          </w:tcPr>
          <w:p w14:paraId="480CEDFE" w14:textId="77777777" w:rsidR="00D8365A" w:rsidRPr="00362517" w:rsidRDefault="00D8365A" w:rsidP="00BF6BC7">
            <w:pPr>
              <w:rPr>
                <w:lang w:eastAsia="ko-KR"/>
              </w:rPr>
            </w:pPr>
            <w:r w:rsidRPr="00362517">
              <w:rPr>
                <w:lang w:eastAsia="ko-KR"/>
              </w:rPr>
              <w:t>Washington</w:t>
            </w:r>
            <w:r w:rsidRPr="00362517">
              <w:rPr>
                <w:vertAlign w:val="superscript"/>
                <w:lang w:eastAsia="ko-KR"/>
              </w:rPr>
              <w:t xml:space="preserve"> 1</w:t>
            </w:r>
          </w:p>
        </w:tc>
        <w:tc>
          <w:tcPr>
            <w:tcW w:w="1155" w:type="pct"/>
            <w:shd w:val="clear" w:color="auto" w:fill="auto"/>
            <w:noWrap/>
            <w:vAlign w:val="bottom"/>
            <w:hideMark/>
          </w:tcPr>
          <w:p w14:paraId="3313030A"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7B686155"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6E6AFDC0" w14:textId="77777777" w:rsidR="00D8365A" w:rsidRPr="00362517" w:rsidRDefault="00D8365A" w:rsidP="00BF6BC7">
            <w:pPr>
              <w:tabs>
                <w:tab w:val="decimal" w:pos="1068"/>
              </w:tabs>
              <w:rPr>
                <w:lang w:eastAsia="ko-KR"/>
              </w:rPr>
            </w:pPr>
            <w:r w:rsidRPr="00362517">
              <w:t>0</w:t>
            </w:r>
          </w:p>
        </w:tc>
      </w:tr>
      <w:tr w:rsidR="00D8365A" w:rsidRPr="00362517" w14:paraId="1DF9233C" w14:textId="77777777" w:rsidTr="007A2164">
        <w:trPr>
          <w:trHeight w:val="255"/>
        </w:trPr>
        <w:tc>
          <w:tcPr>
            <w:tcW w:w="1536" w:type="pct"/>
            <w:shd w:val="clear" w:color="auto" w:fill="auto"/>
            <w:hideMark/>
          </w:tcPr>
          <w:p w14:paraId="1C99AD15" w14:textId="77777777" w:rsidR="00D8365A" w:rsidRPr="00362517" w:rsidRDefault="00D8365A" w:rsidP="00BF6BC7">
            <w:pPr>
              <w:rPr>
                <w:lang w:eastAsia="ko-KR"/>
              </w:rPr>
            </w:pPr>
            <w:r w:rsidRPr="00362517">
              <w:rPr>
                <w:lang w:eastAsia="ko-KR"/>
              </w:rPr>
              <w:t>West Virginia</w:t>
            </w:r>
          </w:p>
        </w:tc>
        <w:tc>
          <w:tcPr>
            <w:tcW w:w="1155" w:type="pct"/>
            <w:shd w:val="clear" w:color="auto" w:fill="auto"/>
            <w:noWrap/>
            <w:vAlign w:val="bottom"/>
            <w:hideMark/>
          </w:tcPr>
          <w:p w14:paraId="4E91BFD1" w14:textId="77777777" w:rsidR="00D8365A" w:rsidRPr="00362517" w:rsidRDefault="00D8365A" w:rsidP="00BF6BC7">
            <w:pPr>
              <w:tabs>
                <w:tab w:val="decimal" w:pos="1243"/>
              </w:tabs>
              <w:rPr>
                <w:lang w:eastAsia="ko-KR"/>
              </w:rPr>
            </w:pPr>
            <w:r w:rsidRPr="00362517">
              <w:t>0.5</w:t>
            </w:r>
          </w:p>
        </w:tc>
        <w:tc>
          <w:tcPr>
            <w:tcW w:w="1155" w:type="pct"/>
            <w:shd w:val="clear" w:color="auto" w:fill="auto"/>
            <w:noWrap/>
            <w:vAlign w:val="bottom"/>
            <w:hideMark/>
          </w:tcPr>
          <w:p w14:paraId="48788FD0" w14:textId="77777777" w:rsidR="00D8365A" w:rsidRPr="00362517" w:rsidRDefault="00D8365A" w:rsidP="00BF6BC7">
            <w:pPr>
              <w:tabs>
                <w:tab w:val="decimal" w:pos="1149"/>
              </w:tabs>
              <w:rPr>
                <w:lang w:eastAsia="ko-KR"/>
              </w:rPr>
            </w:pPr>
            <w:r w:rsidRPr="00362517">
              <w:t>0.7</w:t>
            </w:r>
          </w:p>
        </w:tc>
        <w:tc>
          <w:tcPr>
            <w:tcW w:w="1154" w:type="pct"/>
            <w:shd w:val="clear" w:color="auto" w:fill="auto"/>
            <w:noWrap/>
            <w:vAlign w:val="bottom"/>
            <w:hideMark/>
          </w:tcPr>
          <w:p w14:paraId="54320510" w14:textId="77777777" w:rsidR="00D8365A" w:rsidRPr="00362517" w:rsidRDefault="00D8365A" w:rsidP="00BF6BC7">
            <w:pPr>
              <w:tabs>
                <w:tab w:val="decimal" w:pos="1068"/>
              </w:tabs>
              <w:rPr>
                <w:lang w:eastAsia="ko-KR"/>
              </w:rPr>
            </w:pPr>
            <w:r w:rsidRPr="00362517">
              <w:t>0.5</w:t>
            </w:r>
          </w:p>
        </w:tc>
      </w:tr>
      <w:tr w:rsidR="00D8365A" w:rsidRPr="00362517" w14:paraId="4F043E4C" w14:textId="77777777" w:rsidTr="007A2164">
        <w:trPr>
          <w:trHeight w:val="255"/>
        </w:trPr>
        <w:tc>
          <w:tcPr>
            <w:tcW w:w="1536" w:type="pct"/>
            <w:shd w:val="clear" w:color="auto" w:fill="auto"/>
            <w:hideMark/>
          </w:tcPr>
          <w:p w14:paraId="79C98844" w14:textId="77777777" w:rsidR="00D8365A" w:rsidRPr="00362517" w:rsidRDefault="00D8365A" w:rsidP="00BF6BC7">
            <w:pPr>
              <w:rPr>
                <w:lang w:eastAsia="ko-KR"/>
              </w:rPr>
            </w:pPr>
            <w:r w:rsidRPr="00362517">
              <w:rPr>
                <w:lang w:eastAsia="ko-KR"/>
              </w:rPr>
              <w:t>Wisconsin</w:t>
            </w:r>
          </w:p>
        </w:tc>
        <w:tc>
          <w:tcPr>
            <w:tcW w:w="1155" w:type="pct"/>
            <w:shd w:val="clear" w:color="auto" w:fill="auto"/>
            <w:noWrap/>
            <w:vAlign w:val="bottom"/>
            <w:hideMark/>
          </w:tcPr>
          <w:p w14:paraId="437D7FE1" w14:textId="77777777" w:rsidR="00D8365A" w:rsidRPr="00362517" w:rsidRDefault="00D8365A" w:rsidP="00BF6BC7">
            <w:pPr>
              <w:tabs>
                <w:tab w:val="decimal" w:pos="1243"/>
              </w:tabs>
              <w:rPr>
                <w:lang w:eastAsia="ko-KR"/>
              </w:rPr>
            </w:pPr>
            <w:r w:rsidRPr="00362517">
              <w:t>3.5</w:t>
            </w:r>
          </w:p>
        </w:tc>
        <w:tc>
          <w:tcPr>
            <w:tcW w:w="1155" w:type="pct"/>
            <w:shd w:val="clear" w:color="auto" w:fill="auto"/>
            <w:noWrap/>
            <w:vAlign w:val="bottom"/>
            <w:hideMark/>
          </w:tcPr>
          <w:p w14:paraId="409FB939" w14:textId="77777777" w:rsidR="00D8365A" w:rsidRPr="00362517" w:rsidRDefault="00D8365A" w:rsidP="00BF6BC7">
            <w:pPr>
              <w:tabs>
                <w:tab w:val="decimal" w:pos="1149"/>
              </w:tabs>
              <w:rPr>
                <w:lang w:eastAsia="ko-KR"/>
              </w:rPr>
            </w:pPr>
            <w:r w:rsidRPr="00362517">
              <w:t>5.3</w:t>
            </w:r>
          </w:p>
        </w:tc>
        <w:tc>
          <w:tcPr>
            <w:tcW w:w="1154" w:type="pct"/>
            <w:shd w:val="clear" w:color="auto" w:fill="auto"/>
            <w:noWrap/>
            <w:vAlign w:val="bottom"/>
            <w:hideMark/>
          </w:tcPr>
          <w:p w14:paraId="4A919B6B" w14:textId="77777777" w:rsidR="00D8365A" w:rsidRPr="00362517" w:rsidRDefault="00D8365A" w:rsidP="00BF6BC7">
            <w:pPr>
              <w:tabs>
                <w:tab w:val="decimal" w:pos="1068"/>
              </w:tabs>
              <w:rPr>
                <w:lang w:eastAsia="ko-KR"/>
              </w:rPr>
            </w:pPr>
            <w:r w:rsidRPr="00362517">
              <w:t>3.2</w:t>
            </w:r>
          </w:p>
        </w:tc>
      </w:tr>
      <w:tr w:rsidR="00D8365A" w:rsidRPr="00362517" w14:paraId="09D8D48B" w14:textId="77777777" w:rsidTr="007A2164">
        <w:trPr>
          <w:trHeight w:val="255"/>
        </w:trPr>
        <w:tc>
          <w:tcPr>
            <w:tcW w:w="1536" w:type="pct"/>
            <w:shd w:val="clear" w:color="auto" w:fill="auto"/>
            <w:hideMark/>
          </w:tcPr>
          <w:p w14:paraId="70D6CF0F" w14:textId="77777777" w:rsidR="00D8365A" w:rsidRPr="00362517" w:rsidRDefault="00D8365A" w:rsidP="00BF6BC7">
            <w:pPr>
              <w:rPr>
                <w:lang w:eastAsia="ko-KR"/>
              </w:rPr>
            </w:pPr>
            <w:r w:rsidRPr="00362517">
              <w:rPr>
                <w:lang w:eastAsia="ko-KR"/>
              </w:rPr>
              <w:t>Wyoming</w:t>
            </w:r>
            <w:r w:rsidRPr="00362517">
              <w:rPr>
                <w:vertAlign w:val="superscript"/>
                <w:lang w:eastAsia="ko-KR"/>
              </w:rPr>
              <w:t xml:space="preserve"> 1</w:t>
            </w:r>
          </w:p>
        </w:tc>
        <w:tc>
          <w:tcPr>
            <w:tcW w:w="1155" w:type="pct"/>
            <w:shd w:val="clear" w:color="auto" w:fill="auto"/>
            <w:noWrap/>
            <w:vAlign w:val="bottom"/>
            <w:hideMark/>
          </w:tcPr>
          <w:p w14:paraId="7BD27066" w14:textId="77777777" w:rsidR="00D8365A" w:rsidRPr="00362517" w:rsidRDefault="00D8365A" w:rsidP="00BF6BC7">
            <w:pPr>
              <w:tabs>
                <w:tab w:val="decimal" w:pos="1243"/>
              </w:tabs>
              <w:rPr>
                <w:lang w:eastAsia="ko-KR"/>
              </w:rPr>
            </w:pPr>
            <w:r w:rsidRPr="00362517">
              <w:t>0</w:t>
            </w:r>
          </w:p>
        </w:tc>
        <w:tc>
          <w:tcPr>
            <w:tcW w:w="1155" w:type="pct"/>
            <w:shd w:val="clear" w:color="auto" w:fill="auto"/>
            <w:noWrap/>
            <w:vAlign w:val="bottom"/>
            <w:hideMark/>
          </w:tcPr>
          <w:p w14:paraId="532F064B" w14:textId="77777777" w:rsidR="00D8365A" w:rsidRPr="00362517" w:rsidRDefault="00D8365A" w:rsidP="00BF6BC7">
            <w:pPr>
              <w:tabs>
                <w:tab w:val="decimal" w:pos="1149"/>
              </w:tabs>
              <w:rPr>
                <w:lang w:eastAsia="ko-KR"/>
              </w:rPr>
            </w:pPr>
            <w:r w:rsidRPr="00362517">
              <w:t>0</w:t>
            </w:r>
          </w:p>
        </w:tc>
        <w:tc>
          <w:tcPr>
            <w:tcW w:w="1154" w:type="pct"/>
            <w:shd w:val="clear" w:color="auto" w:fill="auto"/>
            <w:noWrap/>
            <w:vAlign w:val="bottom"/>
            <w:hideMark/>
          </w:tcPr>
          <w:p w14:paraId="4E115438" w14:textId="77777777" w:rsidR="00D8365A" w:rsidRPr="00362517" w:rsidRDefault="00D8365A" w:rsidP="00BF6BC7">
            <w:pPr>
              <w:tabs>
                <w:tab w:val="decimal" w:pos="1068"/>
              </w:tabs>
              <w:rPr>
                <w:lang w:eastAsia="ko-KR"/>
              </w:rPr>
            </w:pPr>
            <w:r w:rsidRPr="00362517">
              <w:t>0</w:t>
            </w:r>
          </w:p>
        </w:tc>
      </w:tr>
      <w:tr w:rsidR="00D8365A" w:rsidRPr="00362517" w14:paraId="5E752677" w14:textId="77777777" w:rsidTr="007A2164">
        <w:trPr>
          <w:trHeight w:val="255"/>
        </w:trPr>
        <w:tc>
          <w:tcPr>
            <w:tcW w:w="1536" w:type="pct"/>
            <w:shd w:val="clear" w:color="auto" w:fill="auto"/>
            <w:hideMark/>
          </w:tcPr>
          <w:p w14:paraId="5E5E970F" w14:textId="77777777" w:rsidR="00D8365A" w:rsidRPr="00362517" w:rsidRDefault="00D8365A" w:rsidP="00BF6BC7">
            <w:pPr>
              <w:rPr>
                <w:lang w:eastAsia="ko-KR"/>
              </w:rPr>
            </w:pPr>
            <w:r w:rsidRPr="00362517">
              <w:rPr>
                <w:lang w:eastAsia="ko-KR"/>
              </w:rPr>
              <w:t>Puerto Rico</w:t>
            </w:r>
          </w:p>
        </w:tc>
        <w:tc>
          <w:tcPr>
            <w:tcW w:w="1155" w:type="pct"/>
            <w:shd w:val="clear" w:color="auto" w:fill="auto"/>
            <w:noWrap/>
            <w:vAlign w:val="bottom"/>
          </w:tcPr>
          <w:p w14:paraId="6DD60DFC" w14:textId="77777777" w:rsidR="00D8365A" w:rsidRPr="00362517" w:rsidRDefault="00D8365A" w:rsidP="00BF6BC7">
            <w:pPr>
              <w:tabs>
                <w:tab w:val="decimal" w:pos="1243"/>
              </w:tabs>
              <w:rPr>
                <w:lang w:eastAsia="ko-KR"/>
              </w:rPr>
            </w:pPr>
            <w:r w:rsidRPr="00362517">
              <w:rPr>
                <w:lang w:eastAsia="ko-KR"/>
              </w:rPr>
              <w:t>0.6</w:t>
            </w:r>
          </w:p>
        </w:tc>
        <w:tc>
          <w:tcPr>
            <w:tcW w:w="1155" w:type="pct"/>
            <w:shd w:val="clear" w:color="auto" w:fill="auto"/>
            <w:noWrap/>
            <w:vAlign w:val="bottom"/>
            <w:hideMark/>
          </w:tcPr>
          <w:p w14:paraId="47E38032" w14:textId="77777777" w:rsidR="00D8365A" w:rsidRPr="00362517" w:rsidRDefault="00D8365A" w:rsidP="00BF6BC7">
            <w:pPr>
              <w:tabs>
                <w:tab w:val="decimal" w:pos="1149"/>
              </w:tabs>
              <w:rPr>
                <w:lang w:eastAsia="ko-KR"/>
              </w:rPr>
            </w:pPr>
            <w:r w:rsidRPr="00362517">
              <w:rPr>
                <w:lang w:eastAsia="ko-KR"/>
              </w:rPr>
              <w:t>0.9</w:t>
            </w:r>
          </w:p>
        </w:tc>
        <w:tc>
          <w:tcPr>
            <w:tcW w:w="1154" w:type="pct"/>
            <w:shd w:val="clear" w:color="auto" w:fill="auto"/>
            <w:noWrap/>
            <w:vAlign w:val="bottom"/>
            <w:hideMark/>
          </w:tcPr>
          <w:p w14:paraId="7DB9DD8B" w14:textId="77777777" w:rsidR="00D8365A" w:rsidRPr="00362517" w:rsidRDefault="00D8365A" w:rsidP="00BF6BC7">
            <w:pPr>
              <w:tabs>
                <w:tab w:val="decimal" w:pos="1068"/>
              </w:tabs>
              <w:rPr>
                <w:lang w:eastAsia="ko-KR"/>
              </w:rPr>
            </w:pPr>
            <w:r w:rsidRPr="00362517">
              <w:rPr>
                <w:lang w:eastAsia="ko-KR"/>
              </w:rPr>
              <w:t>0.5</w:t>
            </w:r>
          </w:p>
        </w:tc>
      </w:tr>
      <w:tr w:rsidR="00D8365A" w:rsidRPr="00362517" w14:paraId="0AFE7BC7" w14:textId="77777777" w:rsidTr="007A2164">
        <w:trPr>
          <w:trHeight w:val="270"/>
        </w:trPr>
        <w:tc>
          <w:tcPr>
            <w:tcW w:w="1536" w:type="pct"/>
            <w:shd w:val="clear" w:color="auto" w:fill="auto"/>
            <w:hideMark/>
          </w:tcPr>
          <w:p w14:paraId="4F517E91" w14:textId="77777777" w:rsidR="00D8365A" w:rsidRPr="00362517" w:rsidRDefault="00D8365A" w:rsidP="00BF6BC7">
            <w:pPr>
              <w:rPr>
                <w:lang w:eastAsia="ko-KR"/>
              </w:rPr>
            </w:pPr>
            <w:r w:rsidRPr="00362517">
              <w:rPr>
                <w:lang w:eastAsia="ko-KR"/>
              </w:rPr>
              <w:t>Other Jurisdictions</w:t>
            </w:r>
          </w:p>
        </w:tc>
        <w:tc>
          <w:tcPr>
            <w:tcW w:w="1155" w:type="pct"/>
            <w:shd w:val="clear" w:color="auto" w:fill="auto"/>
            <w:noWrap/>
            <w:vAlign w:val="bottom"/>
          </w:tcPr>
          <w:p w14:paraId="04716AA1" w14:textId="77777777" w:rsidR="00D8365A" w:rsidRPr="00362517" w:rsidRDefault="00D8365A" w:rsidP="00BF6BC7">
            <w:pPr>
              <w:tabs>
                <w:tab w:val="decimal" w:pos="1243"/>
              </w:tabs>
              <w:rPr>
                <w:lang w:eastAsia="ko-KR"/>
              </w:rPr>
            </w:pPr>
            <w:r w:rsidRPr="00362517">
              <w:rPr>
                <w:lang w:eastAsia="ko-KR"/>
              </w:rPr>
              <w:t>0.6</w:t>
            </w:r>
          </w:p>
        </w:tc>
        <w:tc>
          <w:tcPr>
            <w:tcW w:w="1155" w:type="pct"/>
            <w:shd w:val="clear" w:color="auto" w:fill="auto"/>
            <w:noWrap/>
            <w:vAlign w:val="bottom"/>
            <w:hideMark/>
          </w:tcPr>
          <w:p w14:paraId="0E144FD3" w14:textId="77777777" w:rsidR="00D8365A" w:rsidRPr="00362517" w:rsidRDefault="00D8365A" w:rsidP="00BF6BC7">
            <w:pPr>
              <w:tabs>
                <w:tab w:val="decimal" w:pos="1149"/>
              </w:tabs>
              <w:rPr>
                <w:lang w:eastAsia="ko-KR"/>
              </w:rPr>
            </w:pPr>
            <w:r w:rsidRPr="00362517">
              <w:rPr>
                <w:lang w:eastAsia="ko-KR"/>
              </w:rPr>
              <w:t>0.9</w:t>
            </w:r>
          </w:p>
        </w:tc>
        <w:tc>
          <w:tcPr>
            <w:tcW w:w="1154" w:type="pct"/>
            <w:shd w:val="clear" w:color="auto" w:fill="auto"/>
            <w:noWrap/>
            <w:vAlign w:val="bottom"/>
            <w:hideMark/>
          </w:tcPr>
          <w:p w14:paraId="3C470102" w14:textId="77777777" w:rsidR="00D8365A" w:rsidRPr="00362517" w:rsidRDefault="00D8365A" w:rsidP="00BF6BC7">
            <w:pPr>
              <w:tabs>
                <w:tab w:val="decimal" w:pos="1068"/>
              </w:tabs>
              <w:rPr>
                <w:lang w:eastAsia="ko-KR"/>
              </w:rPr>
            </w:pPr>
            <w:r w:rsidRPr="00362517">
              <w:rPr>
                <w:lang w:eastAsia="ko-KR"/>
              </w:rPr>
              <w:t>0.5</w:t>
            </w:r>
          </w:p>
        </w:tc>
      </w:tr>
      <w:tr w:rsidR="00D8365A" w:rsidRPr="00362517" w14:paraId="479D0FF9" w14:textId="77777777" w:rsidTr="007A2164">
        <w:trPr>
          <w:trHeight w:val="270"/>
        </w:trPr>
        <w:tc>
          <w:tcPr>
            <w:tcW w:w="1536" w:type="pct"/>
            <w:shd w:val="clear" w:color="auto" w:fill="auto"/>
            <w:hideMark/>
          </w:tcPr>
          <w:p w14:paraId="5FDF30CC" w14:textId="77777777" w:rsidR="00D8365A" w:rsidRPr="00362517" w:rsidRDefault="00D8365A" w:rsidP="00BF6BC7">
            <w:pPr>
              <w:rPr>
                <w:b/>
                <w:bCs/>
                <w:lang w:eastAsia="ko-KR"/>
              </w:rPr>
            </w:pPr>
            <w:r w:rsidRPr="00362517">
              <w:rPr>
                <w:b/>
                <w:bCs/>
                <w:lang w:eastAsia="ko-KR"/>
              </w:rPr>
              <w:t>U.S.</w:t>
            </w:r>
          </w:p>
        </w:tc>
        <w:tc>
          <w:tcPr>
            <w:tcW w:w="1155" w:type="pct"/>
            <w:shd w:val="clear" w:color="auto" w:fill="auto"/>
            <w:noWrap/>
            <w:vAlign w:val="bottom"/>
            <w:hideMark/>
          </w:tcPr>
          <w:p w14:paraId="105FE219" w14:textId="77777777" w:rsidR="00D8365A" w:rsidRPr="00362517" w:rsidRDefault="00D8365A" w:rsidP="00BF6BC7">
            <w:pPr>
              <w:tabs>
                <w:tab w:val="decimal" w:pos="1243"/>
              </w:tabs>
              <w:rPr>
                <w:b/>
                <w:bCs/>
                <w:lang w:eastAsia="ko-KR"/>
              </w:rPr>
            </w:pPr>
            <w:r w:rsidRPr="00362517">
              <w:rPr>
                <w:b/>
                <w:bCs/>
                <w:lang w:eastAsia="ko-KR"/>
              </w:rPr>
              <w:t>48.9</w:t>
            </w:r>
          </w:p>
        </w:tc>
        <w:tc>
          <w:tcPr>
            <w:tcW w:w="1155" w:type="pct"/>
            <w:shd w:val="clear" w:color="auto" w:fill="auto"/>
            <w:noWrap/>
            <w:vAlign w:val="bottom"/>
            <w:hideMark/>
          </w:tcPr>
          <w:p w14:paraId="49718058" w14:textId="77777777" w:rsidR="00D8365A" w:rsidRPr="00362517" w:rsidRDefault="00D8365A" w:rsidP="00BF6BC7">
            <w:pPr>
              <w:tabs>
                <w:tab w:val="decimal" w:pos="1149"/>
              </w:tabs>
              <w:rPr>
                <w:b/>
                <w:bCs/>
                <w:lang w:eastAsia="ko-KR"/>
              </w:rPr>
            </w:pPr>
            <w:r w:rsidRPr="00362517">
              <w:rPr>
                <w:b/>
                <w:bCs/>
                <w:lang w:eastAsia="ko-KR"/>
              </w:rPr>
              <w:t>73.2</w:t>
            </w:r>
          </w:p>
        </w:tc>
        <w:tc>
          <w:tcPr>
            <w:tcW w:w="1154" w:type="pct"/>
            <w:shd w:val="clear" w:color="auto" w:fill="auto"/>
            <w:noWrap/>
            <w:vAlign w:val="bottom"/>
            <w:hideMark/>
          </w:tcPr>
          <w:p w14:paraId="225590B4" w14:textId="77777777" w:rsidR="00D8365A" w:rsidRPr="00362517" w:rsidRDefault="00D8365A" w:rsidP="00BF6BC7">
            <w:pPr>
              <w:tabs>
                <w:tab w:val="decimal" w:pos="1068"/>
              </w:tabs>
              <w:rPr>
                <w:b/>
                <w:bCs/>
                <w:lang w:eastAsia="ko-KR"/>
              </w:rPr>
            </w:pPr>
            <w:r w:rsidRPr="00362517">
              <w:rPr>
                <w:b/>
                <w:bCs/>
                <w:lang w:eastAsia="ko-KR"/>
              </w:rPr>
              <w:t>44.1</w:t>
            </w:r>
          </w:p>
        </w:tc>
      </w:tr>
    </w:tbl>
    <w:p w14:paraId="6F7AA157" w14:textId="77777777" w:rsidR="00D8365A" w:rsidRPr="00362517" w:rsidRDefault="00D8365A" w:rsidP="00BF6BC7">
      <w:pPr>
        <w:pStyle w:val="BodyText"/>
        <w:rPr>
          <w:sz w:val="22"/>
          <w:szCs w:val="22"/>
        </w:rPr>
      </w:pPr>
      <w:r w:rsidRPr="00362517">
        <w:rPr>
          <w:sz w:val="22"/>
          <w:szCs w:val="22"/>
        </w:rPr>
        <w:t>Source: EPA estimation.  Zeros indicate states that have imposed a minimum age requirement.</w:t>
      </w:r>
    </w:p>
    <w:p w14:paraId="4E8C774C" w14:textId="77777777" w:rsidR="00D8365A" w:rsidRPr="00362517" w:rsidRDefault="00D8365A" w:rsidP="00BF6BC7">
      <w:pPr>
        <w:pStyle w:val="BodyText"/>
        <w:ind w:left="360" w:hanging="360"/>
        <w:rPr>
          <w:sz w:val="22"/>
          <w:szCs w:val="22"/>
        </w:rPr>
      </w:pPr>
      <w:r w:rsidRPr="00362517">
        <w:rPr>
          <w:vertAlign w:val="superscript"/>
          <w:lang w:eastAsia="ko-KR"/>
        </w:rPr>
        <w:t>1</w:t>
      </w:r>
      <w:r w:rsidRPr="00362517">
        <w:rPr>
          <w:vertAlign w:val="superscript"/>
          <w:lang w:eastAsia="ko-KR"/>
        </w:rPr>
        <w:tab/>
      </w:r>
      <w:r w:rsidRPr="00362517">
        <w:rPr>
          <w:sz w:val="22"/>
          <w:szCs w:val="22"/>
        </w:rPr>
        <w:t>Minimum age of 18 required for commercial certification.</w:t>
      </w:r>
    </w:p>
    <w:p w14:paraId="7DC97FA3" w14:textId="77777777" w:rsidR="00D8365A" w:rsidRPr="00362517" w:rsidRDefault="00D8365A" w:rsidP="00BF6BC7"/>
    <w:p w14:paraId="36329909" w14:textId="77777777" w:rsidR="00D8365A" w:rsidRPr="00362517" w:rsidRDefault="00D8365A" w:rsidP="00BF6BC7">
      <w:pPr>
        <w:pStyle w:val="BodyText"/>
      </w:pPr>
      <w:r w:rsidRPr="00362517">
        <w:t xml:space="preserve">EPA also estimates the number of commercial applicators that will obtain and retain certification in new, application method-specific categories.  Table 3.3-3 presents the expected number of applicators in each of these categories: aerial, soil fumigation, and non-soil fumigation.  Many certifying authorities already have developed one or more of these certification categories.  For those certifying authorities and categories, EPA uses the average number of applicators, as reported to CPARD between 2009 and 2014. </w:t>
      </w:r>
    </w:p>
    <w:p w14:paraId="4E25BBD2" w14:textId="77777777" w:rsidR="00D8365A" w:rsidRPr="00362517" w:rsidRDefault="00D8365A" w:rsidP="00BF6BC7">
      <w:pPr>
        <w:pStyle w:val="BodyText"/>
      </w:pPr>
    </w:p>
    <w:p w14:paraId="18A3410E" w14:textId="77777777" w:rsidR="00D8365A" w:rsidRPr="00362517" w:rsidRDefault="00D8365A" w:rsidP="00BF6BC7">
      <w:pPr>
        <w:pStyle w:val="BodyText"/>
      </w:pPr>
      <w:r w:rsidRPr="00362517">
        <w:t>In order to estimate the number of existing aerial applicators in states without an aerial category, we regressed the number of aerial applicators in certifying authorities for which we had data against the number of certifications issued in agricultural plant protection, forestry, and turf categories, the number of acres of agricultural crops treated by air in the previous year, and several dummy variables for different parts of the country.  Acres treated in the previous year was included to reflect the demand for aerial applications which, if increasing, may increase the number of people seeking certification.  We do not include indicators for weather or other year-to-year fluctuations since obtaining and keeping a certification is a longer term business decision.  Data on acres treated by air comes from an annual market survey (proprietary) of pesticide use.  Observations were for each state and year, 2008 to 2014, for a total of 213 observations.  The estimated coefficients were used to predict the number of existing applicators in the rest of the certifying authorities.  For the certifying authorities with an aerial category, first time aerial applicators averaged 12 percent of existing applicators and that average value was used to predict the number of first time aerial applicators in the other certifying authorities.</w:t>
      </w:r>
    </w:p>
    <w:p w14:paraId="4A0380CA" w14:textId="77777777" w:rsidR="00D8365A" w:rsidRPr="00362517" w:rsidRDefault="00D8365A" w:rsidP="00BF6BC7"/>
    <w:p w14:paraId="0370A2E6" w14:textId="77777777" w:rsidR="00D8365A" w:rsidRPr="00362517" w:rsidRDefault="00D8365A" w:rsidP="00BF6BC7">
      <w:pPr>
        <w:pStyle w:val="Caption"/>
      </w:pPr>
      <w:r w:rsidRPr="00362517">
        <w:t>Table 3.3-3.  Expected Number of Commercial Applicators in Additional Categories.</w:t>
      </w:r>
    </w:p>
    <w:tbl>
      <w:tblPr>
        <w:tblStyle w:val="TableGrid"/>
        <w:tblW w:w="0" w:type="auto"/>
        <w:tblLayout w:type="fixed"/>
        <w:tblLook w:val="04A0" w:firstRow="1" w:lastRow="0" w:firstColumn="1" w:lastColumn="0" w:noHBand="0" w:noVBand="1"/>
      </w:tblPr>
      <w:tblGrid>
        <w:gridCol w:w="1885"/>
        <w:gridCol w:w="1244"/>
        <w:gridCol w:w="1244"/>
        <w:gridCol w:w="1244"/>
        <w:gridCol w:w="1244"/>
        <w:gridCol w:w="1244"/>
        <w:gridCol w:w="1245"/>
      </w:tblGrid>
      <w:tr w:rsidR="00D8365A" w:rsidRPr="00362517" w14:paraId="4EDE0730" w14:textId="77777777" w:rsidTr="007A2164">
        <w:tc>
          <w:tcPr>
            <w:tcW w:w="1885" w:type="dxa"/>
            <w:vMerge w:val="restart"/>
            <w:vAlign w:val="bottom"/>
          </w:tcPr>
          <w:p w14:paraId="1325F90C" w14:textId="77777777" w:rsidR="00D8365A" w:rsidRPr="00362517" w:rsidRDefault="00D8365A" w:rsidP="00BF6BC7">
            <w:pPr>
              <w:pStyle w:val="BodyText"/>
              <w:rPr>
                <w:rFonts w:cs="Times New Roman"/>
                <w:sz w:val="22"/>
                <w:szCs w:val="22"/>
              </w:rPr>
            </w:pPr>
            <w:r w:rsidRPr="00362517">
              <w:rPr>
                <w:rFonts w:cs="Times New Roman"/>
                <w:sz w:val="22"/>
                <w:szCs w:val="22"/>
              </w:rPr>
              <w:t>Jurisdiction</w:t>
            </w:r>
          </w:p>
        </w:tc>
        <w:tc>
          <w:tcPr>
            <w:tcW w:w="2488" w:type="dxa"/>
            <w:gridSpan w:val="2"/>
            <w:tcBorders>
              <w:bottom w:val="double" w:sz="4" w:space="0" w:color="auto"/>
            </w:tcBorders>
            <w:vAlign w:val="center"/>
          </w:tcPr>
          <w:p w14:paraId="32CFEA45" w14:textId="77777777" w:rsidR="00D8365A" w:rsidRPr="00362517" w:rsidRDefault="00D8365A" w:rsidP="00BF6BC7">
            <w:pPr>
              <w:pStyle w:val="BodyText"/>
              <w:jc w:val="center"/>
              <w:rPr>
                <w:rFonts w:cs="Times New Roman"/>
                <w:sz w:val="22"/>
                <w:szCs w:val="22"/>
              </w:rPr>
            </w:pPr>
            <w:r w:rsidRPr="00362517">
              <w:rPr>
                <w:rFonts w:cs="Times New Roman"/>
                <w:sz w:val="22"/>
                <w:szCs w:val="22"/>
              </w:rPr>
              <w:t>Aerial Applications</w:t>
            </w:r>
          </w:p>
        </w:tc>
        <w:tc>
          <w:tcPr>
            <w:tcW w:w="2488" w:type="dxa"/>
            <w:gridSpan w:val="2"/>
            <w:tcBorders>
              <w:bottom w:val="double" w:sz="4" w:space="0" w:color="auto"/>
            </w:tcBorders>
            <w:vAlign w:val="center"/>
          </w:tcPr>
          <w:p w14:paraId="6D5B39A6" w14:textId="77777777" w:rsidR="00D8365A" w:rsidRPr="00362517" w:rsidRDefault="00D8365A" w:rsidP="00BF6BC7">
            <w:pPr>
              <w:pStyle w:val="BodyText"/>
              <w:jc w:val="center"/>
              <w:rPr>
                <w:rFonts w:cs="Times New Roman"/>
                <w:sz w:val="22"/>
                <w:szCs w:val="22"/>
              </w:rPr>
            </w:pPr>
            <w:r w:rsidRPr="00362517">
              <w:rPr>
                <w:rFonts w:cs="Times New Roman"/>
                <w:sz w:val="22"/>
                <w:szCs w:val="22"/>
              </w:rPr>
              <w:t>Soil Fumigation</w:t>
            </w:r>
          </w:p>
        </w:tc>
        <w:tc>
          <w:tcPr>
            <w:tcW w:w="2489" w:type="dxa"/>
            <w:gridSpan w:val="2"/>
            <w:tcBorders>
              <w:bottom w:val="double" w:sz="4" w:space="0" w:color="auto"/>
            </w:tcBorders>
            <w:vAlign w:val="center"/>
          </w:tcPr>
          <w:p w14:paraId="5FBF7450" w14:textId="77777777" w:rsidR="00D8365A" w:rsidRPr="00362517" w:rsidRDefault="00D8365A" w:rsidP="00BF6BC7">
            <w:pPr>
              <w:pStyle w:val="BodyText"/>
              <w:jc w:val="center"/>
              <w:rPr>
                <w:rFonts w:cs="Times New Roman"/>
                <w:sz w:val="22"/>
                <w:szCs w:val="22"/>
              </w:rPr>
            </w:pPr>
            <w:r w:rsidRPr="00362517">
              <w:rPr>
                <w:rFonts w:cs="Times New Roman"/>
                <w:sz w:val="22"/>
                <w:szCs w:val="22"/>
              </w:rPr>
              <w:t>Non-Soil Fumigation</w:t>
            </w:r>
          </w:p>
        </w:tc>
      </w:tr>
      <w:tr w:rsidR="00D8365A" w:rsidRPr="00362517" w14:paraId="222D8E6C" w14:textId="77777777" w:rsidTr="007A2164">
        <w:tc>
          <w:tcPr>
            <w:tcW w:w="1885" w:type="dxa"/>
            <w:vMerge/>
            <w:tcBorders>
              <w:bottom w:val="double" w:sz="4" w:space="0" w:color="auto"/>
            </w:tcBorders>
            <w:vAlign w:val="bottom"/>
          </w:tcPr>
          <w:p w14:paraId="36C6AC62" w14:textId="77777777" w:rsidR="00D8365A" w:rsidRPr="00362517" w:rsidRDefault="00D8365A" w:rsidP="00BF6BC7">
            <w:pPr>
              <w:pStyle w:val="BodyText"/>
              <w:rPr>
                <w:rFonts w:cs="Times New Roman"/>
                <w:sz w:val="22"/>
                <w:szCs w:val="22"/>
              </w:rPr>
            </w:pPr>
          </w:p>
        </w:tc>
        <w:tc>
          <w:tcPr>
            <w:tcW w:w="1244" w:type="dxa"/>
            <w:tcBorders>
              <w:bottom w:val="double" w:sz="4" w:space="0" w:color="auto"/>
            </w:tcBorders>
            <w:vAlign w:val="center"/>
          </w:tcPr>
          <w:p w14:paraId="7ECFED4F" w14:textId="77777777" w:rsidR="00D8365A" w:rsidRPr="00362517" w:rsidRDefault="00D8365A" w:rsidP="00BF6BC7">
            <w:pPr>
              <w:pStyle w:val="BodyText"/>
              <w:jc w:val="center"/>
              <w:rPr>
                <w:rFonts w:cs="Times New Roman"/>
                <w:sz w:val="22"/>
                <w:szCs w:val="22"/>
              </w:rPr>
            </w:pPr>
            <w:r w:rsidRPr="00362517">
              <w:rPr>
                <w:rFonts w:cs="Times New Roman"/>
                <w:sz w:val="22"/>
                <w:szCs w:val="22"/>
              </w:rPr>
              <w:t>First-Time Applicators</w:t>
            </w:r>
          </w:p>
        </w:tc>
        <w:tc>
          <w:tcPr>
            <w:tcW w:w="1244" w:type="dxa"/>
            <w:tcBorders>
              <w:bottom w:val="double" w:sz="4" w:space="0" w:color="auto"/>
            </w:tcBorders>
            <w:vAlign w:val="center"/>
          </w:tcPr>
          <w:p w14:paraId="09CFFB5F" w14:textId="77777777" w:rsidR="00D8365A" w:rsidRPr="00362517" w:rsidRDefault="00D8365A" w:rsidP="00BF6BC7">
            <w:pPr>
              <w:pStyle w:val="BodyText"/>
              <w:jc w:val="center"/>
              <w:rPr>
                <w:rFonts w:cs="Times New Roman"/>
                <w:sz w:val="22"/>
                <w:szCs w:val="22"/>
              </w:rPr>
            </w:pPr>
            <w:r w:rsidRPr="00362517">
              <w:rPr>
                <w:rFonts w:cs="Times New Roman"/>
                <w:sz w:val="22"/>
                <w:szCs w:val="22"/>
              </w:rPr>
              <w:t>Existing Applicators</w:t>
            </w:r>
          </w:p>
        </w:tc>
        <w:tc>
          <w:tcPr>
            <w:tcW w:w="1244" w:type="dxa"/>
            <w:tcBorders>
              <w:bottom w:val="double" w:sz="4" w:space="0" w:color="auto"/>
            </w:tcBorders>
            <w:vAlign w:val="center"/>
          </w:tcPr>
          <w:p w14:paraId="0AEB0ECE" w14:textId="77777777" w:rsidR="00D8365A" w:rsidRPr="00362517" w:rsidRDefault="00D8365A" w:rsidP="00BF6BC7">
            <w:pPr>
              <w:pStyle w:val="BodyText"/>
              <w:jc w:val="center"/>
              <w:rPr>
                <w:rFonts w:cs="Times New Roman"/>
                <w:sz w:val="22"/>
                <w:szCs w:val="22"/>
              </w:rPr>
            </w:pPr>
            <w:r w:rsidRPr="00362517">
              <w:rPr>
                <w:rFonts w:cs="Times New Roman"/>
                <w:sz w:val="22"/>
                <w:szCs w:val="22"/>
              </w:rPr>
              <w:t>First-Time Applicators</w:t>
            </w:r>
          </w:p>
        </w:tc>
        <w:tc>
          <w:tcPr>
            <w:tcW w:w="1244" w:type="dxa"/>
            <w:tcBorders>
              <w:bottom w:val="double" w:sz="4" w:space="0" w:color="auto"/>
            </w:tcBorders>
            <w:vAlign w:val="center"/>
          </w:tcPr>
          <w:p w14:paraId="76A3BD83" w14:textId="77777777" w:rsidR="00D8365A" w:rsidRPr="00362517" w:rsidRDefault="00D8365A" w:rsidP="00BF6BC7">
            <w:pPr>
              <w:pStyle w:val="BodyText"/>
              <w:jc w:val="center"/>
              <w:rPr>
                <w:rFonts w:cs="Times New Roman"/>
                <w:sz w:val="22"/>
                <w:szCs w:val="22"/>
              </w:rPr>
            </w:pPr>
            <w:r w:rsidRPr="00362517">
              <w:rPr>
                <w:rFonts w:cs="Times New Roman"/>
                <w:sz w:val="22"/>
                <w:szCs w:val="22"/>
              </w:rPr>
              <w:t>Existing Applicators</w:t>
            </w:r>
          </w:p>
        </w:tc>
        <w:tc>
          <w:tcPr>
            <w:tcW w:w="1244" w:type="dxa"/>
            <w:tcBorders>
              <w:bottom w:val="double" w:sz="4" w:space="0" w:color="auto"/>
            </w:tcBorders>
            <w:vAlign w:val="center"/>
          </w:tcPr>
          <w:p w14:paraId="02AA5224" w14:textId="77777777" w:rsidR="00D8365A" w:rsidRPr="00362517" w:rsidRDefault="00D8365A" w:rsidP="00BF6BC7">
            <w:pPr>
              <w:pStyle w:val="BodyText"/>
              <w:jc w:val="center"/>
              <w:rPr>
                <w:rFonts w:cs="Times New Roman"/>
                <w:sz w:val="22"/>
                <w:szCs w:val="22"/>
              </w:rPr>
            </w:pPr>
            <w:r w:rsidRPr="00362517">
              <w:rPr>
                <w:rFonts w:cs="Times New Roman"/>
                <w:sz w:val="22"/>
                <w:szCs w:val="22"/>
              </w:rPr>
              <w:t>First-Time Applicators</w:t>
            </w:r>
          </w:p>
        </w:tc>
        <w:tc>
          <w:tcPr>
            <w:tcW w:w="1245" w:type="dxa"/>
            <w:tcBorders>
              <w:bottom w:val="double" w:sz="4" w:space="0" w:color="auto"/>
            </w:tcBorders>
            <w:vAlign w:val="center"/>
          </w:tcPr>
          <w:p w14:paraId="5B1DD2D1" w14:textId="77777777" w:rsidR="00D8365A" w:rsidRPr="00362517" w:rsidRDefault="00D8365A" w:rsidP="00BF6BC7">
            <w:pPr>
              <w:pStyle w:val="BodyText"/>
              <w:jc w:val="center"/>
              <w:rPr>
                <w:rFonts w:cs="Times New Roman"/>
                <w:sz w:val="22"/>
                <w:szCs w:val="22"/>
              </w:rPr>
            </w:pPr>
            <w:r w:rsidRPr="00362517">
              <w:rPr>
                <w:rFonts w:cs="Times New Roman"/>
                <w:sz w:val="22"/>
                <w:szCs w:val="22"/>
              </w:rPr>
              <w:t>Existing Applicators</w:t>
            </w:r>
          </w:p>
        </w:tc>
      </w:tr>
      <w:tr w:rsidR="00D8365A" w:rsidRPr="00362517" w14:paraId="4852E791" w14:textId="77777777" w:rsidTr="007A2164">
        <w:tc>
          <w:tcPr>
            <w:tcW w:w="1885" w:type="dxa"/>
            <w:tcBorders>
              <w:top w:val="double" w:sz="4" w:space="0" w:color="auto"/>
            </w:tcBorders>
          </w:tcPr>
          <w:p w14:paraId="48BD7E54" w14:textId="77777777" w:rsidR="00D8365A" w:rsidRPr="00362517" w:rsidRDefault="00D8365A" w:rsidP="00BF6BC7">
            <w:pPr>
              <w:pStyle w:val="BodyText"/>
              <w:rPr>
                <w:rFonts w:cs="Times New Roman"/>
                <w:sz w:val="22"/>
                <w:szCs w:val="22"/>
              </w:rPr>
            </w:pPr>
            <w:r w:rsidRPr="00362517">
              <w:rPr>
                <w:rFonts w:cs="Times New Roman"/>
                <w:sz w:val="22"/>
                <w:szCs w:val="22"/>
              </w:rPr>
              <w:t>Alabama</w:t>
            </w:r>
            <w:r w:rsidRPr="00362517">
              <w:rPr>
                <w:rFonts w:cs="Times New Roman"/>
                <w:sz w:val="22"/>
                <w:szCs w:val="22"/>
                <w:vertAlign w:val="superscript"/>
              </w:rPr>
              <w:t xml:space="preserve"> 2</w:t>
            </w:r>
          </w:p>
        </w:tc>
        <w:tc>
          <w:tcPr>
            <w:tcW w:w="1244" w:type="dxa"/>
            <w:tcBorders>
              <w:top w:val="double" w:sz="4" w:space="0" w:color="auto"/>
            </w:tcBorders>
          </w:tcPr>
          <w:p w14:paraId="28A44617" w14:textId="77777777" w:rsidR="00D8365A" w:rsidRPr="00362517" w:rsidRDefault="00D8365A" w:rsidP="00BF6BC7">
            <w:pPr>
              <w:tabs>
                <w:tab w:val="decimal" w:pos="734"/>
              </w:tabs>
              <w:rPr>
                <w:sz w:val="22"/>
                <w:szCs w:val="22"/>
              </w:rPr>
            </w:pPr>
            <w:r w:rsidRPr="00362517">
              <w:rPr>
                <w:sz w:val="22"/>
                <w:szCs w:val="22"/>
              </w:rPr>
              <w:t>12</w:t>
            </w:r>
          </w:p>
        </w:tc>
        <w:tc>
          <w:tcPr>
            <w:tcW w:w="1244" w:type="dxa"/>
            <w:tcBorders>
              <w:top w:val="double" w:sz="4" w:space="0" w:color="auto"/>
            </w:tcBorders>
          </w:tcPr>
          <w:p w14:paraId="4121B792" w14:textId="77777777" w:rsidR="00D8365A" w:rsidRPr="00362517" w:rsidRDefault="00D8365A" w:rsidP="00BF6BC7">
            <w:pPr>
              <w:tabs>
                <w:tab w:val="decimal" w:pos="727"/>
              </w:tabs>
              <w:rPr>
                <w:sz w:val="22"/>
                <w:szCs w:val="22"/>
              </w:rPr>
            </w:pPr>
            <w:r w:rsidRPr="00362517">
              <w:rPr>
                <w:sz w:val="22"/>
                <w:szCs w:val="22"/>
              </w:rPr>
              <w:t>99</w:t>
            </w:r>
          </w:p>
        </w:tc>
        <w:tc>
          <w:tcPr>
            <w:tcW w:w="1244" w:type="dxa"/>
            <w:tcBorders>
              <w:top w:val="double" w:sz="4" w:space="0" w:color="auto"/>
            </w:tcBorders>
          </w:tcPr>
          <w:p w14:paraId="458C465D" w14:textId="77777777" w:rsidR="00D8365A" w:rsidRPr="00362517" w:rsidRDefault="00D8365A" w:rsidP="00BF6BC7">
            <w:pPr>
              <w:tabs>
                <w:tab w:val="decimal" w:pos="720"/>
              </w:tabs>
              <w:rPr>
                <w:sz w:val="22"/>
                <w:szCs w:val="22"/>
              </w:rPr>
            </w:pPr>
            <w:r w:rsidRPr="00362517">
              <w:rPr>
                <w:sz w:val="22"/>
                <w:szCs w:val="22"/>
              </w:rPr>
              <w:t>1</w:t>
            </w:r>
          </w:p>
        </w:tc>
        <w:tc>
          <w:tcPr>
            <w:tcW w:w="1244" w:type="dxa"/>
            <w:tcBorders>
              <w:top w:val="double" w:sz="4" w:space="0" w:color="auto"/>
            </w:tcBorders>
          </w:tcPr>
          <w:p w14:paraId="31742DF6" w14:textId="77777777" w:rsidR="00D8365A" w:rsidRPr="00362517" w:rsidRDefault="00D8365A" w:rsidP="00BF6BC7">
            <w:pPr>
              <w:tabs>
                <w:tab w:val="decimal" w:pos="714"/>
              </w:tabs>
              <w:rPr>
                <w:sz w:val="22"/>
                <w:szCs w:val="22"/>
              </w:rPr>
            </w:pPr>
            <w:r w:rsidRPr="00362517">
              <w:rPr>
                <w:sz w:val="22"/>
                <w:szCs w:val="22"/>
              </w:rPr>
              <w:t>12</w:t>
            </w:r>
          </w:p>
        </w:tc>
        <w:tc>
          <w:tcPr>
            <w:tcW w:w="1244" w:type="dxa"/>
            <w:tcBorders>
              <w:top w:val="double" w:sz="4" w:space="0" w:color="auto"/>
            </w:tcBorders>
          </w:tcPr>
          <w:p w14:paraId="5113F77B" w14:textId="77777777" w:rsidR="00D8365A" w:rsidRPr="00362517" w:rsidRDefault="00D8365A" w:rsidP="00BF6BC7">
            <w:pPr>
              <w:tabs>
                <w:tab w:val="decimal" w:pos="719"/>
              </w:tabs>
              <w:rPr>
                <w:sz w:val="22"/>
                <w:szCs w:val="22"/>
              </w:rPr>
            </w:pPr>
            <w:r w:rsidRPr="00362517">
              <w:rPr>
                <w:sz w:val="22"/>
                <w:szCs w:val="22"/>
              </w:rPr>
              <w:t>4</w:t>
            </w:r>
          </w:p>
        </w:tc>
        <w:tc>
          <w:tcPr>
            <w:tcW w:w="1245" w:type="dxa"/>
            <w:tcBorders>
              <w:top w:val="double" w:sz="4" w:space="0" w:color="auto"/>
            </w:tcBorders>
          </w:tcPr>
          <w:p w14:paraId="0609FD9B" w14:textId="77777777" w:rsidR="00D8365A" w:rsidRPr="00362517" w:rsidRDefault="00D8365A" w:rsidP="00BF6BC7">
            <w:pPr>
              <w:tabs>
                <w:tab w:val="decimal" w:pos="725"/>
              </w:tabs>
              <w:rPr>
                <w:sz w:val="22"/>
                <w:szCs w:val="22"/>
              </w:rPr>
            </w:pPr>
            <w:r w:rsidRPr="00362517">
              <w:rPr>
                <w:sz w:val="22"/>
                <w:szCs w:val="22"/>
              </w:rPr>
              <w:t>60</w:t>
            </w:r>
          </w:p>
        </w:tc>
      </w:tr>
      <w:tr w:rsidR="00D8365A" w:rsidRPr="00362517" w14:paraId="2387838D" w14:textId="77777777" w:rsidTr="007A2164">
        <w:tc>
          <w:tcPr>
            <w:tcW w:w="1885" w:type="dxa"/>
          </w:tcPr>
          <w:p w14:paraId="2F8A91B9" w14:textId="77777777" w:rsidR="00D8365A" w:rsidRPr="00362517" w:rsidRDefault="00D8365A" w:rsidP="00BF6BC7">
            <w:pPr>
              <w:pStyle w:val="BodyText"/>
              <w:rPr>
                <w:rFonts w:cs="Times New Roman"/>
                <w:sz w:val="22"/>
                <w:szCs w:val="22"/>
              </w:rPr>
            </w:pPr>
            <w:r w:rsidRPr="00362517">
              <w:rPr>
                <w:rFonts w:cs="Times New Roman"/>
                <w:sz w:val="22"/>
                <w:szCs w:val="22"/>
              </w:rPr>
              <w:t>Alaska</w:t>
            </w:r>
            <w:r w:rsidRPr="00362517">
              <w:rPr>
                <w:rFonts w:cs="Times New Roman"/>
                <w:sz w:val="22"/>
                <w:szCs w:val="22"/>
                <w:vertAlign w:val="superscript"/>
              </w:rPr>
              <w:t xml:space="preserve"> 2 3</w:t>
            </w:r>
          </w:p>
        </w:tc>
        <w:tc>
          <w:tcPr>
            <w:tcW w:w="1244" w:type="dxa"/>
          </w:tcPr>
          <w:p w14:paraId="72053D32" w14:textId="77777777" w:rsidR="00D8365A" w:rsidRPr="00362517" w:rsidRDefault="00D8365A" w:rsidP="00BF6BC7">
            <w:pPr>
              <w:tabs>
                <w:tab w:val="decimal" w:pos="734"/>
              </w:tabs>
              <w:rPr>
                <w:sz w:val="22"/>
                <w:szCs w:val="22"/>
              </w:rPr>
            </w:pPr>
            <w:r w:rsidRPr="00362517">
              <w:rPr>
                <w:sz w:val="22"/>
                <w:szCs w:val="22"/>
              </w:rPr>
              <w:t>0</w:t>
            </w:r>
          </w:p>
        </w:tc>
        <w:tc>
          <w:tcPr>
            <w:tcW w:w="1244" w:type="dxa"/>
          </w:tcPr>
          <w:p w14:paraId="4E09A2F2" w14:textId="77777777" w:rsidR="00D8365A" w:rsidRPr="00362517" w:rsidRDefault="00D8365A" w:rsidP="00BF6BC7">
            <w:pPr>
              <w:tabs>
                <w:tab w:val="decimal" w:pos="727"/>
              </w:tabs>
              <w:rPr>
                <w:sz w:val="22"/>
                <w:szCs w:val="22"/>
              </w:rPr>
            </w:pPr>
            <w:r w:rsidRPr="00362517">
              <w:rPr>
                <w:sz w:val="22"/>
                <w:szCs w:val="22"/>
              </w:rPr>
              <w:t>4</w:t>
            </w:r>
          </w:p>
        </w:tc>
        <w:tc>
          <w:tcPr>
            <w:tcW w:w="1244" w:type="dxa"/>
          </w:tcPr>
          <w:p w14:paraId="62BCFA73" w14:textId="77777777" w:rsidR="00D8365A" w:rsidRPr="00362517" w:rsidRDefault="00D8365A" w:rsidP="00BF6BC7">
            <w:pPr>
              <w:tabs>
                <w:tab w:val="decimal" w:pos="720"/>
              </w:tabs>
              <w:rPr>
                <w:sz w:val="22"/>
                <w:szCs w:val="22"/>
              </w:rPr>
            </w:pPr>
            <w:r w:rsidRPr="00362517">
              <w:rPr>
                <w:sz w:val="22"/>
                <w:szCs w:val="22"/>
              </w:rPr>
              <w:t>0</w:t>
            </w:r>
          </w:p>
        </w:tc>
        <w:tc>
          <w:tcPr>
            <w:tcW w:w="1244" w:type="dxa"/>
          </w:tcPr>
          <w:p w14:paraId="06E0F422" w14:textId="77777777" w:rsidR="00D8365A" w:rsidRPr="00362517" w:rsidRDefault="00D8365A" w:rsidP="00BF6BC7">
            <w:pPr>
              <w:tabs>
                <w:tab w:val="decimal" w:pos="714"/>
              </w:tabs>
              <w:rPr>
                <w:sz w:val="22"/>
                <w:szCs w:val="22"/>
              </w:rPr>
            </w:pPr>
            <w:r w:rsidRPr="00362517">
              <w:rPr>
                <w:sz w:val="22"/>
                <w:szCs w:val="22"/>
              </w:rPr>
              <w:t>0</w:t>
            </w:r>
          </w:p>
        </w:tc>
        <w:tc>
          <w:tcPr>
            <w:tcW w:w="1244" w:type="dxa"/>
          </w:tcPr>
          <w:p w14:paraId="7F027478" w14:textId="77777777" w:rsidR="00D8365A" w:rsidRPr="00362517" w:rsidRDefault="00D8365A" w:rsidP="00BF6BC7">
            <w:pPr>
              <w:tabs>
                <w:tab w:val="decimal" w:pos="719"/>
              </w:tabs>
              <w:rPr>
                <w:sz w:val="22"/>
                <w:szCs w:val="22"/>
              </w:rPr>
            </w:pPr>
            <w:r w:rsidRPr="00362517">
              <w:rPr>
                <w:sz w:val="22"/>
                <w:szCs w:val="22"/>
              </w:rPr>
              <w:t>0</w:t>
            </w:r>
          </w:p>
        </w:tc>
        <w:tc>
          <w:tcPr>
            <w:tcW w:w="1245" w:type="dxa"/>
          </w:tcPr>
          <w:p w14:paraId="1C3B21AC" w14:textId="77777777" w:rsidR="00D8365A" w:rsidRPr="00362517" w:rsidRDefault="00D8365A" w:rsidP="00BF6BC7">
            <w:pPr>
              <w:tabs>
                <w:tab w:val="decimal" w:pos="725"/>
              </w:tabs>
              <w:rPr>
                <w:sz w:val="22"/>
                <w:szCs w:val="22"/>
              </w:rPr>
            </w:pPr>
            <w:r w:rsidRPr="00362517">
              <w:rPr>
                <w:sz w:val="22"/>
                <w:szCs w:val="22"/>
              </w:rPr>
              <w:t>0</w:t>
            </w:r>
          </w:p>
        </w:tc>
      </w:tr>
      <w:tr w:rsidR="00D8365A" w:rsidRPr="00362517" w14:paraId="3518F32C" w14:textId="77777777" w:rsidTr="007A2164">
        <w:tc>
          <w:tcPr>
            <w:tcW w:w="1885" w:type="dxa"/>
          </w:tcPr>
          <w:p w14:paraId="20CE7751" w14:textId="77777777" w:rsidR="00D8365A" w:rsidRPr="00362517" w:rsidRDefault="00D8365A" w:rsidP="00BF6BC7">
            <w:pPr>
              <w:pStyle w:val="BodyText"/>
              <w:rPr>
                <w:rFonts w:cs="Times New Roman"/>
                <w:sz w:val="22"/>
                <w:szCs w:val="22"/>
              </w:rPr>
            </w:pPr>
            <w:r w:rsidRPr="00362517">
              <w:rPr>
                <w:rFonts w:cs="Times New Roman"/>
                <w:sz w:val="22"/>
                <w:szCs w:val="22"/>
              </w:rPr>
              <w:t>Arizona</w:t>
            </w:r>
            <w:r w:rsidRPr="00362517">
              <w:rPr>
                <w:rFonts w:cs="Times New Roman"/>
                <w:sz w:val="22"/>
                <w:szCs w:val="22"/>
                <w:vertAlign w:val="superscript"/>
              </w:rPr>
              <w:t xml:space="preserve"> 1 2</w:t>
            </w:r>
          </w:p>
        </w:tc>
        <w:tc>
          <w:tcPr>
            <w:tcW w:w="1244" w:type="dxa"/>
          </w:tcPr>
          <w:p w14:paraId="2BC40FA8" w14:textId="77777777" w:rsidR="00D8365A" w:rsidRPr="00362517" w:rsidRDefault="00D8365A" w:rsidP="00BF6BC7">
            <w:pPr>
              <w:tabs>
                <w:tab w:val="decimal" w:pos="734"/>
              </w:tabs>
              <w:rPr>
                <w:sz w:val="22"/>
                <w:szCs w:val="22"/>
              </w:rPr>
            </w:pPr>
            <w:r w:rsidRPr="00362517">
              <w:rPr>
                <w:sz w:val="22"/>
                <w:szCs w:val="22"/>
              </w:rPr>
              <w:t>8</w:t>
            </w:r>
          </w:p>
        </w:tc>
        <w:tc>
          <w:tcPr>
            <w:tcW w:w="1244" w:type="dxa"/>
          </w:tcPr>
          <w:p w14:paraId="1B996079" w14:textId="77777777" w:rsidR="00D8365A" w:rsidRPr="00362517" w:rsidRDefault="00D8365A" w:rsidP="00BF6BC7">
            <w:pPr>
              <w:tabs>
                <w:tab w:val="decimal" w:pos="727"/>
              </w:tabs>
              <w:rPr>
                <w:sz w:val="22"/>
                <w:szCs w:val="22"/>
              </w:rPr>
            </w:pPr>
            <w:r w:rsidRPr="00362517">
              <w:rPr>
                <w:sz w:val="22"/>
                <w:szCs w:val="22"/>
              </w:rPr>
              <w:t>68</w:t>
            </w:r>
          </w:p>
        </w:tc>
        <w:tc>
          <w:tcPr>
            <w:tcW w:w="1244" w:type="dxa"/>
          </w:tcPr>
          <w:p w14:paraId="6616BD86" w14:textId="77777777" w:rsidR="00D8365A" w:rsidRPr="00362517" w:rsidRDefault="00D8365A" w:rsidP="00BF6BC7">
            <w:pPr>
              <w:tabs>
                <w:tab w:val="decimal" w:pos="720"/>
              </w:tabs>
              <w:rPr>
                <w:sz w:val="22"/>
                <w:szCs w:val="22"/>
              </w:rPr>
            </w:pPr>
            <w:r w:rsidRPr="00362517">
              <w:rPr>
                <w:sz w:val="22"/>
                <w:szCs w:val="22"/>
              </w:rPr>
              <w:t>8</w:t>
            </w:r>
          </w:p>
        </w:tc>
        <w:tc>
          <w:tcPr>
            <w:tcW w:w="1244" w:type="dxa"/>
          </w:tcPr>
          <w:p w14:paraId="1171A708" w14:textId="77777777" w:rsidR="00D8365A" w:rsidRPr="00362517" w:rsidRDefault="00D8365A" w:rsidP="00BF6BC7">
            <w:pPr>
              <w:tabs>
                <w:tab w:val="decimal" w:pos="714"/>
              </w:tabs>
              <w:rPr>
                <w:sz w:val="22"/>
                <w:szCs w:val="22"/>
              </w:rPr>
            </w:pPr>
            <w:r w:rsidRPr="00362517">
              <w:rPr>
                <w:sz w:val="22"/>
                <w:szCs w:val="22"/>
              </w:rPr>
              <w:t>75</w:t>
            </w:r>
          </w:p>
        </w:tc>
        <w:tc>
          <w:tcPr>
            <w:tcW w:w="1244" w:type="dxa"/>
          </w:tcPr>
          <w:p w14:paraId="5021A038" w14:textId="77777777" w:rsidR="00D8365A" w:rsidRPr="00362517" w:rsidRDefault="00D8365A" w:rsidP="00BF6BC7">
            <w:pPr>
              <w:tabs>
                <w:tab w:val="decimal" w:pos="719"/>
              </w:tabs>
              <w:rPr>
                <w:sz w:val="22"/>
                <w:szCs w:val="22"/>
              </w:rPr>
            </w:pPr>
            <w:r w:rsidRPr="00362517">
              <w:rPr>
                <w:sz w:val="22"/>
                <w:szCs w:val="22"/>
              </w:rPr>
              <w:t>19</w:t>
            </w:r>
          </w:p>
        </w:tc>
        <w:tc>
          <w:tcPr>
            <w:tcW w:w="1245" w:type="dxa"/>
          </w:tcPr>
          <w:p w14:paraId="350C54AB" w14:textId="77777777" w:rsidR="00D8365A" w:rsidRPr="00362517" w:rsidRDefault="00D8365A" w:rsidP="00BF6BC7">
            <w:pPr>
              <w:tabs>
                <w:tab w:val="decimal" w:pos="725"/>
              </w:tabs>
              <w:rPr>
                <w:sz w:val="22"/>
                <w:szCs w:val="22"/>
              </w:rPr>
            </w:pPr>
            <w:r w:rsidRPr="00362517">
              <w:rPr>
                <w:sz w:val="22"/>
                <w:szCs w:val="22"/>
              </w:rPr>
              <w:t>273</w:t>
            </w:r>
          </w:p>
        </w:tc>
      </w:tr>
      <w:tr w:rsidR="00D8365A" w:rsidRPr="00362517" w14:paraId="494EC93F" w14:textId="77777777" w:rsidTr="007A2164">
        <w:tc>
          <w:tcPr>
            <w:tcW w:w="1885" w:type="dxa"/>
          </w:tcPr>
          <w:p w14:paraId="1935AAAA" w14:textId="77777777" w:rsidR="00D8365A" w:rsidRPr="00362517" w:rsidRDefault="00D8365A" w:rsidP="00BF6BC7">
            <w:pPr>
              <w:pStyle w:val="BodyText"/>
              <w:rPr>
                <w:rFonts w:cs="Times New Roman"/>
                <w:sz w:val="22"/>
                <w:szCs w:val="22"/>
              </w:rPr>
            </w:pPr>
            <w:r w:rsidRPr="00362517">
              <w:rPr>
                <w:rFonts w:cs="Times New Roman"/>
                <w:sz w:val="22"/>
                <w:szCs w:val="22"/>
              </w:rPr>
              <w:t>Arkansas</w:t>
            </w:r>
            <w:r w:rsidRPr="00362517">
              <w:rPr>
                <w:rFonts w:cs="Times New Roman"/>
                <w:sz w:val="22"/>
                <w:szCs w:val="22"/>
                <w:vertAlign w:val="superscript"/>
              </w:rPr>
              <w:t xml:space="preserve"> 1</w:t>
            </w:r>
          </w:p>
        </w:tc>
        <w:tc>
          <w:tcPr>
            <w:tcW w:w="1244" w:type="dxa"/>
          </w:tcPr>
          <w:p w14:paraId="3AE100C4" w14:textId="77777777" w:rsidR="00D8365A" w:rsidRPr="00362517" w:rsidRDefault="00D8365A" w:rsidP="00BF6BC7">
            <w:pPr>
              <w:tabs>
                <w:tab w:val="decimal" w:pos="734"/>
              </w:tabs>
              <w:rPr>
                <w:sz w:val="22"/>
                <w:szCs w:val="22"/>
              </w:rPr>
            </w:pPr>
            <w:r w:rsidRPr="00362517">
              <w:rPr>
                <w:sz w:val="22"/>
                <w:szCs w:val="22"/>
              </w:rPr>
              <w:t>22</w:t>
            </w:r>
          </w:p>
        </w:tc>
        <w:tc>
          <w:tcPr>
            <w:tcW w:w="1244" w:type="dxa"/>
          </w:tcPr>
          <w:p w14:paraId="64E74434" w14:textId="77777777" w:rsidR="00D8365A" w:rsidRPr="00362517" w:rsidRDefault="00D8365A" w:rsidP="00BF6BC7">
            <w:pPr>
              <w:tabs>
                <w:tab w:val="decimal" w:pos="727"/>
              </w:tabs>
              <w:rPr>
                <w:sz w:val="22"/>
                <w:szCs w:val="22"/>
              </w:rPr>
            </w:pPr>
            <w:r w:rsidRPr="00362517">
              <w:rPr>
                <w:sz w:val="22"/>
                <w:szCs w:val="22"/>
              </w:rPr>
              <w:t>181</w:t>
            </w:r>
          </w:p>
        </w:tc>
        <w:tc>
          <w:tcPr>
            <w:tcW w:w="1244" w:type="dxa"/>
          </w:tcPr>
          <w:p w14:paraId="17307967" w14:textId="77777777" w:rsidR="00D8365A" w:rsidRPr="00362517" w:rsidRDefault="00D8365A" w:rsidP="00BF6BC7">
            <w:pPr>
              <w:tabs>
                <w:tab w:val="decimal" w:pos="720"/>
              </w:tabs>
              <w:rPr>
                <w:sz w:val="22"/>
                <w:szCs w:val="22"/>
              </w:rPr>
            </w:pPr>
            <w:r w:rsidRPr="00362517">
              <w:rPr>
                <w:sz w:val="22"/>
                <w:szCs w:val="22"/>
              </w:rPr>
              <w:t>4</w:t>
            </w:r>
          </w:p>
        </w:tc>
        <w:tc>
          <w:tcPr>
            <w:tcW w:w="1244" w:type="dxa"/>
          </w:tcPr>
          <w:p w14:paraId="39AE1738" w14:textId="77777777" w:rsidR="00D8365A" w:rsidRPr="00362517" w:rsidRDefault="00D8365A" w:rsidP="00BF6BC7">
            <w:pPr>
              <w:tabs>
                <w:tab w:val="decimal" w:pos="714"/>
              </w:tabs>
              <w:rPr>
                <w:sz w:val="22"/>
                <w:szCs w:val="22"/>
              </w:rPr>
            </w:pPr>
            <w:r w:rsidRPr="00362517">
              <w:rPr>
                <w:sz w:val="22"/>
                <w:szCs w:val="22"/>
              </w:rPr>
              <w:t>40</w:t>
            </w:r>
          </w:p>
        </w:tc>
        <w:tc>
          <w:tcPr>
            <w:tcW w:w="1244" w:type="dxa"/>
          </w:tcPr>
          <w:p w14:paraId="66BD9F06" w14:textId="77777777" w:rsidR="00D8365A" w:rsidRPr="00362517" w:rsidRDefault="00D8365A" w:rsidP="00BF6BC7">
            <w:pPr>
              <w:tabs>
                <w:tab w:val="decimal" w:pos="719"/>
              </w:tabs>
              <w:rPr>
                <w:sz w:val="22"/>
                <w:szCs w:val="22"/>
              </w:rPr>
            </w:pPr>
            <w:r w:rsidRPr="00362517">
              <w:rPr>
                <w:sz w:val="22"/>
                <w:szCs w:val="22"/>
              </w:rPr>
              <w:t>10</w:t>
            </w:r>
          </w:p>
        </w:tc>
        <w:tc>
          <w:tcPr>
            <w:tcW w:w="1245" w:type="dxa"/>
          </w:tcPr>
          <w:p w14:paraId="138AA7A9" w14:textId="77777777" w:rsidR="00D8365A" w:rsidRPr="00362517" w:rsidRDefault="00D8365A" w:rsidP="00BF6BC7">
            <w:pPr>
              <w:tabs>
                <w:tab w:val="decimal" w:pos="725"/>
              </w:tabs>
              <w:rPr>
                <w:sz w:val="22"/>
                <w:szCs w:val="22"/>
              </w:rPr>
            </w:pPr>
            <w:r w:rsidRPr="00362517">
              <w:rPr>
                <w:sz w:val="22"/>
                <w:szCs w:val="22"/>
              </w:rPr>
              <w:t>139</w:t>
            </w:r>
          </w:p>
        </w:tc>
      </w:tr>
      <w:tr w:rsidR="00D8365A" w:rsidRPr="00362517" w14:paraId="4662F4DE" w14:textId="77777777" w:rsidTr="007A2164">
        <w:tc>
          <w:tcPr>
            <w:tcW w:w="1885" w:type="dxa"/>
          </w:tcPr>
          <w:p w14:paraId="6E8B6155" w14:textId="77777777" w:rsidR="00D8365A" w:rsidRPr="00362517" w:rsidRDefault="00D8365A" w:rsidP="00BF6BC7">
            <w:pPr>
              <w:pStyle w:val="BodyText"/>
              <w:rPr>
                <w:rFonts w:cs="Times New Roman"/>
                <w:sz w:val="22"/>
                <w:szCs w:val="22"/>
              </w:rPr>
            </w:pPr>
            <w:r w:rsidRPr="00362517">
              <w:rPr>
                <w:rFonts w:cs="Times New Roman"/>
                <w:sz w:val="22"/>
                <w:szCs w:val="22"/>
              </w:rPr>
              <w:t>California</w:t>
            </w:r>
            <w:r w:rsidRPr="00362517">
              <w:rPr>
                <w:rFonts w:cs="Times New Roman"/>
                <w:sz w:val="22"/>
                <w:szCs w:val="22"/>
                <w:vertAlign w:val="superscript"/>
              </w:rPr>
              <w:t xml:space="preserve"> 3</w:t>
            </w:r>
          </w:p>
        </w:tc>
        <w:tc>
          <w:tcPr>
            <w:tcW w:w="1244" w:type="dxa"/>
          </w:tcPr>
          <w:p w14:paraId="7421E5D9" w14:textId="77777777" w:rsidR="00D8365A" w:rsidRPr="00362517" w:rsidRDefault="00D8365A" w:rsidP="00BF6BC7">
            <w:pPr>
              <w:tabs>
                <w:tab w:val="decimal" w:pos="734"/>
              </w:tabs>
              <w:rPr>
                <w:sz w:val="22"/>
                <w:szCs w:val="22"/>
              </w:rPr>
            </w:pPr>
            <w:r w:rsidRPr="00362517">
              <w:rPr>
                <w:sz w:val="22"/>
                <w:szCs w:val="22"/>
              </w:rPr>
              <w:t>51</w:t>
            </w:r>
          </w:p>
        </w:tc>
        <w:tc>
          <w:tcPr>
            <w:tcW w:w="1244" w:type="dxa"/>
          </w:tcPr>
          <w:p w14:paraId="537BAC4B" w14:textId="77777777" w:rsidR="00D8365A" w:rsidRPr="00362517" w:rsidRDefault="00D8365A" w:rsidP="00BF6BC7">
            <w:pPr>
              <w:tabs>
                <w:tab w:val="decimal" w:pos="727"/>
              </w:tabs>
              <w:rPr>
                <w:sz w:val="22"/>
                <w:szCs w:val="22"/>
              </w:rPr>
            </w:pPr>
            <w:r w:rsidRPr="00362517">
              <w:rPr>
                <w:sz w:val="22"/>
                <w:szCs w:val="22"/>
              </w:rPr>
              <w:t>425</w:t>
            </w:r>
          </w:p>
        </w:tc>
        <w:tc>
          <w:tcPr>
            <w:tcW w:w="1244" w:type="dxa"/>
          </w:tcPr>
          <w:p w14:paraId="4A8D99D4" w14:textId="77777777" w:rsidR="00D8365A" w:rsidRPr="00362517" w:rsidRDefault="00D8365A" w:rsidP="00BF6BC7">
            <w:pPr>
              <w:tabs>
                <w:tab w:val="decimal" w:pos="720"/>
              </w:tabs>
              <w:rPr>
                <w:sz w:val="22"/>
                <w:szCs w:val="22"/>
              </w:rPr>
            </w:pPr>
            <w:r w:rsidRPr="00362517">
              <w:rPr>
                <w:sz w:val="22"/>
                <w:szCs w:val="22"/>
              </w:rPr>
              <w:t>48</w:t>
            </w:r>
          </w:p>
        </w:tc>
        <w:tc>
          <w:tcPr>
            <w:tcW w:w="1244" w:type="dxa"/>
          </w:tcPr>
          <w:p w14:paraId="35533907" w14:textId="77777777" w:rsidR="00D8365A" w:rsidRPr="00362517" w:rsidRDefault="00D8365A" w:rsidP="00BF6BC7">
            <w:pPr>
              <w:tabs>
                <w:tab w:val="decimal" w:pos="714"/>
              </w:tabs>
              <w:rPr>
                <w:sz w:val="22"/>
                <w:szCs w:val="22"/>
              </w:rPr>
            </w:pPr>
            <w:r w:rsidRPr="00362517">
              <w:rPr>
                <w:sz w:val="22"/>
                <w:szCs w:val="22"/>
              </w:rPr>
              <w:t>437</w:t>
            </w:r>
          </w:p>
        </w:tc>
        <w:tc>
          <w:tcPr>
            <w:tcW w:w="1244" w:type="dxa"/>
          </w:tcPr>
          <w:p w14:paraId="54BF814E" w14:textId="77777777" w:rsidR="00D8365A" w:rsidRPr="00362517" w:rsidRDefault="00D8365A" w:rsidP="00BF6BC7">
            <w:pPr>
              <w:tabs>
                <w:tab w:val="decimal" w:pos="719"/>
              </w:tabs>
              <w:rPr>
                <w:sz w:val="22"/>
                <w:szCs w:val="22"/>
              </w:rPr>
            </w:pPr>
            <w:r w:rsidRPr="00362517">
              <w:rPr>
                <w:sz w:val="22"/>
                <w:szCs w:val="22"/>
              </w:rPr>
              <w:t>220</w:t>
            </w:r>
          </w:p>
        </w:tc>
        <w:tc>
          <w:tcPr>
            <w:tcW w:w="1245" w:type="dxa"/>
          </w:tcPr>
          <w:p w14:paraId="51D07D47" w14:textId="77777777" w:rsidR="00D8365A" w:rsidRPr="00362517" w:rsidRDefault="00D8365A" w:rsidP="00BF6BC7">
            <w:pPr>
              <w:tabs>
                <w:tab w:val="decimal" w:pos="725"/>
              </w:tabs>
              <w:rPr>
                <w:sz w:val="22"/>
                <w:szCs w:val="22"/>
              </w:rPr>
            </w:pPr>
            <w:r w:rsidRPr="00362517">
              <w:rPr>
                <w:sz w:val="22"/>
                <w:szCs w:val="22"/>
              </w:rPr>
              <w:t>3,142</w:t>
            </w:r>
          </w:p>
        </w:tc>
      </w:tr>
      <w:tr w:rsidR="00D8365A" w:rsidRPr="00362517" w14:paraId="061B0DE6" w14:textId="77777777" w:rsidTr="007A2164">
        <w:tc>
          <w:tcPr>
            <w:tcW w:w="1885" w:type="dxa"/>
          </w:tcPr>
          <w:p w14:paraId="5D58CDF3" w14:textId="77777777" w:rsidR="00D8365A" w:rsidRPr="00362517" w:rsidRDefault="00D8365A" w:rsidP="00BF6BC7">
            <w:pPr>
              <w:pStyle w:val="BodyText"/>
              <w:rPr>
                <w:rFonts w:cs="Times New Roman"/>
                <w:sz w:val="22"/>
                <w:szCs w:val="22"/>
              </w:rPr>
            </w:pPr>
            <w:r w:rsidRPr="00362517">
              <w:rPr>
                <w:rFonts w:cs="Times New Roman"/>
                <w:sz w:val="22"/>
                <w:szCs w:val="22"/>
              </w:rPr>
              <w:t>Colorado</w:t>
            </w:r>
            <w:r w:rsidRPr="00362517">
              <w:rPr>
                <w:rFonts w:cs="Times New Roman"/>
                <w:sz w:val="22"/>
                <w:szCs w:val="22"/>
                <w:vertAlign w:val="superscript"/>
              </w:rPr>
              <w:t xml:space="preserve"> 1 2</w:t>
            </w:r>
          </w:p>
        </w:tc>
        <w:tc>
          <w:tcPr>
            <w:tcW w:w="1244" w:type="dxa"/>
          </w:tcPr>
          <w:p w14:paraId="32E1D34C" w14:textId="77777777" w:rsidR="00D8365A" w:rsidRPr="00362517" w:rsidRDefault="00D8365A" w:rsidP="00BF6BC7">
            <w:pPr>
              <w:tabs>
                <w:tab w:val="decimal" w:pos="734"/>
              </w:tabs>
              <w:rPr>
                <w:sz w:val="22"/>
                <w:szCs w:val="22"/>
              </w:rPr>
            </w:pPr>
            <w:r w:rsidRPr="00362517">
              <w:rPr>
                <w:sz w:val="22"/>
                <w:szCs w:val="22"/>
              </w:rPr>
              <w:t>20</w:t>
            </w:r>
          </w:p>
        </w:tc>
        <w:tc>
          <w:tcPr>
            <w:tcW w:w="1244" w:type="dxa"/>
          </w:tcPr>
          <w:p w14:paraId="1C73D34B" w14:textId="77777777" w:rsidR="00D8365A" w:rsidRPr="00362517" w:rsidRDefault="00D8365A" w:rsidP="00BF6BC7">
            <w:pPr>
              <w:tabs>
                <w:tab w:val="decimal" w:pos="727"/>
              </w:tabs>
              <w:rPr>
                <w:sz w:val="22"/>
                <w:szCs w:val="22"/>
              </w:rPr>
            </w:pPr>
            <w:r w:rsidRPr="00362517">
              <w:rPr>
                <w:sz w:val="22"/>
                <w:szCs w:val="22"/>
              </w:rPr>
              <w:t>168</w:t>
            </w:r>
          </w:p>
        </w:tc>
        <w:tc>
          <w:tcPr>
            <w:tcW w:w="1244" w:type="dxa"/>
          </w:tcPr>
          <w:p w14:paraId="227D9F11" w14:textId="77777777" w:rsidR="00D8365A" w:rsidRPr="00362517" w:rsidRDefault="00D8365A" w:rsidP="00BF6BC7">
            <w:pPr>
              <w:tabs>
                <w:tab w:val="decimal" w:pos="720"/>
              </w:tabs>
              <w:rPr>
                <w:sz w:val="22"/>
                <w:szCs w:val="22"/>
              </w:rPr>
            </w:pPr>
            <w:r w:rsidRPr="00362517">
              <w:rPr>
                <w:sz w:val="22"/>
                <w:szCs w:val="22"/>
              </w:rPr>
              <w:t>0</w:t>
            </w:r>
          </w:p>
        </w:tc>
        <w:tc>
          <w:tcPr>
            <w:tcW w:w="1244" w:type="dxa"/>
          </w:tcPr>
          <w:p w14:paraId="484C1934" w14:textId="77777777" w:rsidR="00D8365A" w:rsidRPr="00362517" w:rsidRDefault="00D8365A" w:rsidP="00BF6BC7">
            <w:pPr>
              <w:tabs>
                <w:tab w:val="decimal" w:pos="714"/>
              </w:tabs>
              <w:rPr>
                <w:sz w:val="22"/>
                <w:szCs w:val="22"/>
              </w:rPr>
            </w:pPr>
            <w:r w:rsidRPr="00362517">
              <w:rPr>
                <w:sz w:val="22"/>
                <w:szCs w:val="22"/>
              </w:rPr>
              <w:t>0</w:t>
            </w:r>
          </w:p>
        </w:tc>
        <w:tc>
          <w:tcPr>
            <w:tcW w:w="1244" w:type="dxa"/>
          </w:tcPr>
          <w:p w14:paraId="2A6FCB6A" w14:textId="77777777" w:rsidR="00D8365A" w:rsidRPr="00362517" w:rsidRDefault="00D8365A" w:rsidP="00BF6BC7">
            <w:pPr>
              <w:tabs>
                <w:tab w:val="decimal" w:pos="719"/>
              </w:tabs>
              <w:rPr>
                <w:sz w:val="22"/>
                <w:szCs w:val="22"/>
              </w:rPr>
            </w:pPr>
            <w:r w:rsidRPr="00362517">
              <w:rPr>
                <w:sz w:val="22"/>
                <w:szCs w:val="22"/>
              </w:rPr>
              <w:t>7</w:t>
            </w:r>
          </w:p>
        </w:tc>
        <w:tc>
          <w:tcPr>
            <w:tcW w:w="1245" w:type="dxa"/>
          </w:tcPr>
          <w:p w14:paraId="1DDB6E16" w14:textId="77777777" w:rsidR="00D8365A" w:rsidRPr="00362517" w:rsidRDefault="00D8365A" w:rsidP="00BF6BC7">
            <w:pPr>
              <w:tabs>
                <w:tab w:val="decimal" w:pos="725"/>
              </w:tabs>
              <w:rPr>
                <w:sz w:val="22"/>
                <w:szCs w:val="22"/>
              </w:rPr>
            </w:pPr>
            <w:r w:rsidRPr="00362517">
              <w:rPr>
                <w:sz w:val="22"/>
                <w:szCs w:val="22"/>
              </w:rPr>
              <w:t>106</w:t>
            </w:r>
          </w:p>
        </w:tc>
      </w:tr>
      <w:tr w:rsidR="00D8365A" w:rsidRPr="00362517" w14:paraId="7662B5B8" w14:textId="77777777" w:rsidTr="007A2164">
        <w:tc>
          <w:tcPr>
            <w:tcW w:w="1885" w:type="dxa"/>
          </w:tcPr>
          <w:p w14:paraId="56F0E41B" w14:textId="77777777" w:rsidR="00D8365A" w:rsidRPr="00362517" w:rsidRDefault="00D8365A" w:rsidP="00BF6BC7">
            <w:pPr>
              <w:pStyle w:val="BodyText"/>
              <w:rPr>
                <w:rFonts w:cs="Times New Roman"/>
                <w:sz w:val="22"/>
                <w:szCs w:val="22"/>
              </w:rPr>
            </w:pPr>
            <w:r w:rsidRPr="00362517">
              <w:rPr>
                <w:rFonts w:cs="Times New Roman"/>
                <w:sz w:val="22"/>
                <w:szCs w:val="22"/>
              </w:rPr>
              <w:t>Connecticut</w:t>
            </w:r>
          </w:p>
        </w:tc>
        <w:tc>
          <w:tcPr>
            <w:tcW w:w="1244" w:type="dxa"/>
          </w:tcPr>
          <w:p w14:paraId="726BB872" w14:textId="77777777" w:rsidR="00D8365A" w:rsidRPr="00362517" w:rsidRDefault="00D8365A" w:rsidP="00BF6BC7">
            <w:pPr>
              <w:tabs>
                <w:tab w:val="decimal" w:pos="734"/>
              </w:tabs>
              <w:rPr>
                <w:sz w:val="22"/>
                <w:szCs w:val="22"/>
              </w:rPr>
            </w:pPr>
            <w:r w:rsidRPr="00362517">
              <w:rPr>
                <w:sz w:val="22"/>
                <w:szCs w:val="22"/>
              </w:rPr>
              <w:t>0</w:t>
            </w:r>
          </w:p>
        </w:tc>
        <w:tc>
          <w:tcPr>
            <w:tcW w:w="1244" w:type="dxa"/>
          </w:tcPr>
          <w:p w14:paraId="298FE90C" w14:textId="77777777" w:rsidR="00D8365A" w:rsidRPr="00362517" w:rsidRDefault="00D8365A" w:rsidP="00BF6BC7">
            <w:pPr>
              <w:tabs>
                <w:tab w:val="decimal" w:pos="727"/>
              </w:tabs>
              <w:rPr>
                <w:sz w:val="22"/>
                <w:szCs w:val="22"/>
              </w:rPr>
            </w:pPr>
            <w:r w:rsidRPr="00362517">
              <w:rPr>
                <w:sz w:val="22"/>
                <w:szCs w:val="22"/>
              </w:rPr>
              <w:t>2</w:t>
            </w:r>
          </w:p>
        </w:tc>
        <w:tc>
          <w:tcPr>
            <w:tcW w:w="1244" w:type="dxa"/>
          </w:tcPr>
          <w:p w14:paraId="10EC401D" w14:textId="77777777" w:rsidR="00D8365A" w:rsidRPr="00362517" w:rsidRDefault="00D8365A" w:rsidP="00BF6BC7">
            <w:pPr>
              <w:tabs>
                <w:tab w:val="decimal" w:pos="720"/>
              </w:tabs>
              <w:rPr>
                <w:sz w:val="22"/>
                <w:szCs w:val="22"/>
              </w:rPr>
            </w:pPr>
            <w:r w:rsidRPr="00362517">
              <w:rPr>
                <w:sz w:val="22"/>
                <w:szCs w:val="22"/>
              </w:rPr>
              <w:t>0</w:t>
            </w:r>
          </w:p>
        </w:tc>
        <w:tc>
          <w:tcPr>
            <w:tcW w:w="1244" w:type="dxa"/>
          </w:tcPr>
          <w:p w14:paraId="52644857" w14:textId="77777777" w:rsidR="00D8365A" w:rsidRPr="00362517" w:rsidRDefault="00D8365A" w:rsidP="00BF6BC7">
            <w:pPr>
              <w:tabs>
                <w:tab w:val="decimal" w:pos="714"/>
              </w:tabs>
              <w:rPr>
                <w:sz w:val="22"/>
                <w:szCs w:val="22"/>
              </w:rPr>
            </w:pPr>
            <w:r w:rsidRPr="00362517">
              <w:rPr>
                <w:sz w:val="22"/>
                <w:szCs w:val="22"/>
              </w:rPr>
              <w:t>2</w:t>
            </w:r>
          </w:p>
        </w:tc>
        <w:tc>
          <w:tcPr>
            <w:tcW w:w="1244" w:type="dxa"/>
          </w:tcPr>
          <w:p w14:paraId="6C380719" w14:textId="77777777" w:rsidR="00D8365A" w:rsidRPr="00362517" w:rsidRDefault="00D8365A" w:rsidP="00BF6BC7">
            <w:pPr>
              <w:tabs>
                <w:tab w:val="decimal" w:pos="719"/>
              </w:tabs>
              <w:rPr>
                <w:sz w:val="22"/>
                <w:szCs w:val="22"/>
              </w:rPr>
            </w:pPr>
            <w:r w:rsidRPr="00362517">
              <w:rPr>
                <w:sz w:val="22"/>
                <w:szCs w:val="22"/>
              </w:rPr>
              <w:t>1</w:t>
            </w:r>
          </w:p>
        </w:tc>
        <w:tc>
          <w:tcPr>
            <w:tcW w:w="1245" w:type="dxa"/>
          </w:tcPr>
          <w:p w14:paraId="3C752D96" w14:textId="77777777" w:rsidR="00D8365A" w:rsidRPr="00362517" w:rsidRDefault="00D8365A" w:rsidP="00BF6BC7">
            <w:pPr>
              <w:tabs>
                <w:tab w:val="decimal" w:pos="725"/>
              </w:tabs>
              <w:rPr>
                <w:sz w:val="22"/>
                <w:szCs w:val="22"/>
              </w:rPr>
            </w:pPr>
            <w:r w:rsidRPr="00362517">
              <w:rPr>
                <w:sz w:val="22"/>
                <w:szCs w:val="22"/>
              </w:rPr>
              <w:t>18</w:t>
            </w:r>
          </w:p>
        </w:tc>
      </w:tr>
      <w:tr w:rsidR="00D8365A" w:rsidRPr="00362517" w14:paraId="50B4888C" w14:textId="77777777" w:rsidTr="007A2164">
        <w:tc>
          <w:tcPr>
            <w:tcW w:w="1885" w:type="dxa"/>
          </w:tcPr>
          <w:p w14:paraId="43E25911" w14:textId="77777777" w:rsidR="00D8365A" w:rsidRPr="00362517" w:rsidRDefault="00D8365A" w:rsidP="00BF6BC7">
            <w:pPr>
              <w:pStyle w:val="BodyText"/>
              <w:rPr>
                <w:rFonts w:cs="Times New Roman"/>
                <w:sz w:val="22"/>
                <w:szCs w:val="22"/>
              </w:rPr>
            </w:pPr>
            <w:r w:rsidRPr="00362517">
              <w:rPr>
                <w:rFonts w:cs="Times New Roman"/>
                <w:sz w:val="22"/>
                <w:szCs w:val="22"/>
              </w:rPr>
              <w:t>Delaware</w:t>
            </w:r>
            <w:r w:rsidRPr="00362517">
              <w:rPr>
                <w:rFonts w:cs="Times New Roman"/>
                <w:sz w:val="22"/>
                <w:szCs w:val="22"/>
                <w:vertAlign w:val="superscript"/>
              </w:rPr>
              <w:t xml:space="preserve"> 1</w:t>
            </w:r>
          </w:p>
        </w:tc>
        <w:tc>
          <w:tcPr>
            <w:tcW w:w="1244" w:type="dxa"/>
          </w:tcPr>
          <w:p w14:paraId="5D7FB984" w14:textId="77777777" w:rsidR="00D8365A" w:rsidRPr="00362517" w:rsidRDefault="00D8365A" w:rsidP="00BF6BC7">
            <w:pPr>
              <w:tabs>
                <w:tab w:val="decimal" w:pos="734"/>
              </w:tabs>
              <w:rPr>
                <w:sz w:val="22"/>
                <w:szCs w:val="22"/>
              </w:rPr>
            </w:pPr>
            <w:r w:rsidRPr="00362517">
              <w:rPr>
                <w:sz w:val="22"/>
                <w:szCs w:val="22"/>
              </w:rPr>
              <w:t>6</w:t>
            </w:r>
          </w:p>
        </w:tc>
        <w:tc>
          <w:tcPr>
            <w:tcW w:w="1244" w:type="dxa"/>
          </w:tcPr>
          <w:p w14:paraId="07FCDCB7" w14:textId="77777777" w:rsidR="00D8365A" w:rsidRPr="00362517" w:rsidRDefault="00D8365A" w:rsidP="00BF6BC7">
            <w:pPr>
              <w:tabs>
                <w:tab w:val="decimal" w:pos="727"/>
              </w:tabs>
              <w:rPr>
                <w:sz w:val="22"/>
                <w:szCs w:val="22"/>
              </w:rPr>
            </w:pPr>
            <w:r w:rsidRPr="00362517">
              <w:rPr>
                <w:sz w:val="22"/>
                <w:szCs w:val="22"/>
              </w:rPr>
              <w:t>48</w:t>
            </w:r>
          </w:p>
        </w:tc>
        <w:tc>
          <w:tcPr>
            <w:tcW w:w="1244" w:type="dxa"/>
          </w:tcPr>
          <w:p w14:paraId="0AAC1134" w14:textId="77777777" w:rsidR="00D8365A" w:rsidRPr="00362517" w:rsidRDefault="00D8365A" w:rsidP="00BF6BC7">
            <w:pPr>
              <w:tabs>
                <w:tab w:val="decimal" w:pos="720"/>
              </w:tabs>
              <w:rPr>
                <w:sz w:val="22"/>
                <w:szCs w:val="22"/>
              </w:rPr>
            </w:pPr>
            <w:r w:rsidRPr="00362517">
              <w:rPr>
                <w:sz w:val="22"/>
                <w:szCs w:val="22"/>
              </w:rPr>
              <w:t>8</w:t>
            </w:r>
          </w:p>
        </w:tc>
        <w:tc>
          <w:tcPr>
            <w:tcW w:w="1244" w:type="dxa"/>
          </w:tcPr>
          <w:p w14:paraId="061CBEA0" w14:textId="77777777" w:rsidR="00D8365A" w:rsidRPr="00362517" w:rsidRDefault="00D8365A" w:rsidP="00BF6BC7">
            <w:pPr>
              <w:tabs>
                <w:tab w:val="decimal" w:pos="714"/>
              </w:tabs>
              <w:rPr>
                <w:sz w:val="22"/>
                <w:szCs w:val="22"/>
              </w:rPr>
            </w:pPr>
            <w:r w:rsidRPr="00362517">
              <w:rPr>
                <w:sz w:val="22"/>
                <w:szCs w:val="22"/>
              </w:rPr>
              <w:t>75</w:t>
            </w:r>
          </w:p>
        </w:tc>
        <w:tc>
          <w:tcPr>
            <w:tcW w:w="1244" w:type="dxa"/>
          </w:tcPr>
          <w:p w14:paraId="17C9C596" w14:textId="77777777" w:rsidR="00D8365A" w:rsidRPr="00362517" w:rsidRDefault="00D8365A" w:rsidP="00BF6BC7">
            <w:pPr>
              <w:tabs>
                <w:tab w:val="decimal" w:pos="719"/>
              </w:tabs>
              <w:rPr>
                <w:sz w:val="22"/>
                <w:szCs w:val="22"/>
              </w:rPr>
            </w:pPr>
            <w:r w:rsidRPr="00362517">
              <w:rPr>
                <w:sz w:val="22"/>
                <w:szCs w:val="22"/>
              </w:rPr>
              <w:t>6</w:t>
            </w:r>
          </w:p>
        </w:tc>
        <w:tc>
          <w:tcPr>
            <w:tcW w:w="1245" w:type="dxa"/>
          </w:tcPr>
          <w:p w14:paraId="32ADCD95" w14:textId="77777777" w:rsidR="00D8365A" w:rsidRPr="00362517" w:rsidRDefault="00D8365A" w:rsidP="00BF6BC7">
            <w:pPr>
              <w:tabs>
                <w:tab w:val="decimal" w:pos="725"/>
              </w:tabs>
              <w:rPr>
                <w:sz w:val="22"/>
                <w:szCs w:val="22"/>
              </w:rPr>
            </w:pPr>
            <w:r w:rsidRPr="00362517">
              <w:rPr>
                <w:sz w:val="22"/>
                <w:szCs w:val="22"/>
              </w:rPr>
              <w:t>87</w:t>
            </w:r>
          </w:p>
        </w:tc>
      </w:tr>
      <w:tr w:rsidR="00D8365A" w:rsidRPr="00362517" w14:paraId="0D6C947B" w14:textId="77777777" w:rsidTr="007A2164">
        <w:tc>
          <w:tcPr>
            <w:tcW w:w="1885" w:type="dxa"/>
          </w:tcPr>
          <w:p w14:paraId="38E73E46" w14:textId="77777777" w:rsidR="00D8365A" w:rsidRPr="00362517" w:rsidRDefault="00D8365A" w:rsidP="00BF6BC7">
            <w:pPr>
              <w:pStyle w:val="BodyText"/>
              <w:rPr>
                <w:rFonts w:cs="Times New Roman"/>
                <w:sz w:val="22"/>
                <w:szCs w:val="22"/>
              </w:rPr>
            </w:pPr>
            <w:r w:rsidRPr="00362517">
              <w:rPr>
                <w:rFonts w:cs="Times New Roman"/>
                <w:sz w:val="22"/>
                <w:szCs w:val="22"/>
              </w:rPr>
              <w:t>Florida</w:t>
            </w:r>
          </w:p>
        </w:tc>
        <w:tc>
          <w:tcPr>
            <w:tcW w:w="1244" w:type="dxa"/>
          </w:tcPr>
          <w:p w14:paraId="1A4CCDFC" w14:textId="77777777" w:rsidR="00D8365A" w:rsidRPr="00362517" w:rsidRDefault="00D8365A" w:rsidP="00BF6BC7">
            <w:pPr>
              <w:tabs>
                <w:tab w:val="decimal" w:pos="734"/>
              </w:tabs>
              <w:rPr>
                <w:sz w:val="22"/>
                <w:szCs w:val="22"/>
              </w:rPr>
            </w:pPr>
            <w:r w:rsidRPr="00362517">
              <w:rPr>
                <w:sz w:val="22"/>
                <w:szCs w:val="22"/>
              </w:rPr>
              <w:t>39</w:t>
            </w:r>
          </w:p>
        </w:tc>
        <w:tc>
          <w:tcPr>
            <w:tcW w:w="1244" w:type="dxa"/>
          </w:tcPr>
          <w:p w14:paraId="0F870C20" w14:textId="77777777" w:rsidR="00D8365A" w:rsidRPr="00362517" w:rsidRDefault="00D8365A" w:rsidP="00BF6BC7">
            <w:pPr>
              <w:tabs>
                <w:tab w:val="decimal" w:pos="727"/>
              </w:tabs>
              <w:rPr>
                <w:sz w:val="22"/>
                <w:szCs w:val="22"/>
              </w:rPr>
            </w:pPr>
            <w:r w:rsidRPr="00362517">
              <w:rPr>
                <w:sz w:val="22"/>
                <w:szCs w:val="22"/>
              </w:rPr>
              <w:t>326</w:t>
            </w:r>
          </w:p>
        </w:tc>
        <w:tc>
          <w:tcPr>
            <w:tcW w:w="1244" w:type="dxa"/>
          </w:tcPr>
          <w:p w14:paraId="4AE8D75B" w14:textId="77777777" w:rsidR="00D8365A" w:rsidRPr="00362517" w:rsidRDefault="00D8365A" w:rsidP="00BF6BC7">
            <w:pPr>
              <w:tabs>
                <w:tab w:val="decimal" w:pos="720"/>
              </w:tabs>
              <w:rPr>
                <w:sz w:val="22"/>
                <w:szCs w:val="22"/>
              </w:rPr>
            </w:pPr>
            <w:r w:rsidRPr="00362517">
              <w:rPr>
                <w:sz w:val="22"/>
                <w:szCs w:val="22"/>
              </w:rPr>
              <w:t>12</w:t>
            </w:r>
          </w:p>
        </w:tc>
        <w:tc>
          <w:tcPr>
            <w:tcW w:w="1244" w:type="dxa"/>
          </w:tcPr>
          <w:p w14:paraId="619A8C95" w14:textId="77777777" w:rsidR="00D8365A" w:rsidRPr="00362517" w:rsidRDefault="00D8365A" w:rsidP="00BF6BC7">
            <w:pPr>
              <w:tabs>
                <w:tab w:val="decimal" w:pos="714"/>
              </w:tabs>
              <w:rPr>
                <w:sz w:val="22"/>
                <w:szCs w:val="22"/>
              </w:rPr>
            </w:pPr>
            <w:r w:rsidRPr="00362517">
              <w:rPr>
                <w:sz w:val="22"/>
                <w:szCs w:val="22"/>
              </w:rPr>
              <w:t>111</w:t>
            </w:r>
          </w:p>
        </w:tc>
        <w:tc>
          <w:tcPr>
            <w:tcW w:w="1244" w:type="dxa"/>
          </w:tcPr>
          <w:p w14:paraId="011017C2" w14:textId="77777777" w:rsidR="00D8365A" w:rsidRPr="00362517" w:rsidRDefault="00D8365A" w:rsidP="00BF6BC7">
            <w:pPr>
              <w:tabs>
                <w:tab w:val="decimal" w:pos="719"/>
              </w:tabs>
              <w:rPr>
                <w:sz w:val="22"/>
                <w:szCs w:val="22"/>
              </w:rPr>
            </w:pPr>
            <w:r w:rsidRPr="00362517">
              <w:rPr>
                <w:sz w:val="22"/>
                <w:szCs w:val="22"/>
              </w:rPr>
              <w:t>433</w:t>
            </w:r>
          </w:p>
        </w:tc>
        <w:tc>
          <w:tcPr>
            <w:tcW w:w="1245" w:type="dxa"/>
          </w:tcPr>
          <w:p w14:paraId="616C28F8" w14:textId="77777777" w:rsidR="00D8365A" w:rsidRPr="00362517" w:rsidRDefault="00D8365A" w:rsidP="00BF6BC7">
            <w:pPr>
              <w:tabs>
                <w:tab w:val="decimal" w:pos="725"/>
              </w:tabs>
              <w:rPr>
                <w:sz w:val="22"/>
                <w:szCs w:val="22"/>
              </w:rPr>
            </w:pPr>
            <w:r w:rsidRPr="00362517">
              <w:rPr>
                <w:sz w:val="22"/>
                <w:szCs w:val="22"/>
              </w:rPr>
              <w:t>6,191</w:t>
            </w:r>
          </w:p>
        </w:tc>
      </w:tr>
      <w:tr w:rsidR="00D8365A" w:rsidRPr="00362517" w14:paraId="42342762" w14:textId="77777777" w:rsidTr="007A2164">
        <w:tc>
          <w:tcPr>
            <w:tcW w:w="1885" w:type="dxa"/>
          </w:tcPr>
          <w:p w14:paraId="1988DE38" w14:textId="77777777" w:rsidR="00D8365A" w:rsidRPr="00362517" w:rsidRDefault="00D8365A" w:rsidP="00BF6BC7">
            <w:pPr>
              <w:pStyle w:val="BodyText"/>
              <w:rPr>
                <w:rFonts w:cs="Times New Roman"/>
                <w:sz w:val="22"/>
                <w:szCs w:val="22"/>
              </w:rPr>
            </w:pPr>
            <w:r w:rsidRPr="00362517">
              <w:rPr>
                <w:rFonts w:cs="Times New Roman"/>
                <w:sz w:val="22"/>
                <w:szCs w:val="22"/>
              </w:rPr>
              <w:t>Georgia</w:t>
            </w:r>
            <w:r w:rsidRPr="00362517">
              <w:rPr>
                <w:rFonts w:cs="Times New Roman"/>
                <w:sz w:val="22"/>
                <w:szCs w:val="22"/>
                <w:vertAlign w:val="superscript"/>
              </w:rPr>
              <w:t xml:space="preserve"> 2</w:t>
            </w:r>
          </w:p>
        </w:tc>
        <w:tc>
          <w:tcPr>
            <w:tcW w:w="1244" w:type="dxa"/>
          </w:tcPr>
          <w:p w14:paraId="32C1D247" w14:textId="77777777" w:rsidR="00D8365A" w:rsidRPr="00362517" w:rsidRDefault="00D8365A" w:rsidP="00BF6BC7">
            <w:pPr>
              <w:tabs>
                <w:tab w:val="decimal" w:pos="734"/>
              </w:tabs>
              <w:rPr>
                <w:sz w:val="22"/>
                <w:szCs w:val="22"/>
              </w:rPr>
            </w:pPr>
            <w:r w:rsidRPr="00362517">
              <w:rPr>
                <w:sz w:val="22"/>
                <w:szCs w:val="22"/>
              </w:rPr>
              <w:t>34</w:t>
            </w:r>
          </w:p>
        </w:tc>
        <w:tc>
          <w:tcPr>
            <w:tcW w:w="1244" w:type="dxa"/>
          </w:tcPr>
          <w:p w14:paraId="50ACAFA7" w14:textId="77777777" w:rsidR="00D8365A" w:rsidRPr="00362517" w:rsidRDefault="00D8365A" w:rsidP="00BF6BC7">
            <w:pPr>
              <w:tabs>
                <w:tab w:val="decimal" w:pos="727"/>
              </w:tabs>
              <w:rPr>
                <w:sz w:val="22"/>
                <w:szCs w:val="22"/>
              </w:rPr>
            </w:pPr>
            <w:r w:rsidRPr="00362517">
              <w:rPr>
                <w:sz w:val="22"/>
                <w:szCs w:val="22"/>
              </w:rPr>
              <w:t>284</w:t>
            </w:r>
          </w:p>
        </w:tc>
        <w:tc>
          <w:tcPr>
            <w:tcW w:w="1244" w:type="dxa"/>
          </w:tcPr>
          <w:p w14:paraId="0BDB8CE9" w14:textId="77777777" w:rsidR="00D8365A" w:rsidRPr="00362517" w:rsidRDefault="00D8365A" w:rsidP="00BF6BC7">
            <w:pPr>
              <w:tabs>
                <w:tab w:val="decimal" w:pos="720"/>
              </w:tabs>
              <w:rPr>
                <w:sz w:val="22"/>
                <w:szCs w:val="22"/>
              </w:rPr>
            </w:pPr>
            <w:r w:rsidRPr="00362517">
              <w:rPr>
                <w:sz w:val="22"/>
                <w:szCs w:val="22"/>
              </w:rPr>
              <w:t>11</w:t>
            </w:r>
          </w:p>
        </w:tc>
        <w:tc>
          <w:tcPr>
            <w:tcW w:w="1244" w:type="dxa"/>
          </w:tcPr>
          <w:p w14:paraId="00B98810" w14:textId="77777777" w:rsidR="00D8365A" w:rsidRPr="00362517" w:rsidRDefault="00D8365A" w:rsidP="00BF6BC7">
            <w:pPr>
              <w:tabs>
                <w:tab w:val="decimal" w:pos="714"/>
              </w:tabs>
              <w:rPr>
                <w:sz w:val="22"/>
                <w:szCs w:val="22"/>
              </w:rPr>
            </w:pPr>
            <w:r w:rsidRPr="00362517">
              <w:rPr>
                <w:sz w:val="22"/>
                <w:szCs w:val="22"/>
              </w:rPr>
              <w:t>101</w:t>
            </w:r>
          </w:p>
        </w:tc>
        <w:tc>
          <w:tcPr>
            <w:tcW w:w="1244" w:type="dxa"/>
          </w:tcPr>
          <w:p w14:paraId="68A570E0" w14:textId="77777777" w:rsidR="00D8365A" w:rsidRPr="00362517" w:rsidRDefault="00D8365A" w:rsidP="00BF6BC7">
            <w:pPr>
              <w:tabs>
                <w:tab w:val="decimal" w:pos="719"/>
              </w:tabs>
              <w:rPr>
                <w:sz w:val="22"/>
                <w:szCs w:val="22"/>
              </w:rPr>
            </w:pPr>
            <w:r w:rsidRPr="00362517">
              <w:rPr>
                <w:sz w:val="22"/>
                <w:szCs w:val="22"/>
              </w:rPr>
              <w:t>17</w:t>
            </w:r>
          </w:p>
        </w:tc>
        <w:tc>
          <w:tcPr>
            <w:tcW w:w="1245" w:type="dxa"/>
          </w:tcPr>
          <w:p w14:paraId="2DE841E1" w14:textId="77777777" w:rsidR="00D8365A" w:rsidRPr="00362517" w:rsidRDefault="00D8365A" w:rsidP="00BF6BC7">
            <w:pPr>
              <w:tabs>
                <w:tab w:val="decimal" w:pos="725"/>
              </w:tabs>
              <w:rPr>
                <w:sz w:val="22"/>
                <w:szCs w:val="22"/>
              </w:rPr>
            </w:pPr>
            <w:r w:rsidRPr="00362517">
              <w:rPr>
                <w:sz w:val="22"/>
                <w:szCs w:val="22"/>
              </w:rPr>
              <w:t>248</w:t>
            </w:r>
          </w:p>
        </w:tc>
      </w:tr>
      <w:tr w:rsidR="00D8365A" w:rsidRPr="00362517" w14:paraId="1613131E" w14:textId="77777777" w:rsidTr="007A2164">
        <w:tc>
          <w:tcPr>
            <w:tcW w:w="1885" w:type="dxa"/>
          </w:tcPr>
          <w:p w14:paraId="65D7C1DA" w14:textId="77777777" w:rsidR="00D8365A" w:rsidRPr="00362517" w:rsidRDefault="00D8365A" w:rsidP="00BF6BC7">
            <w:pPr>
              <w:pStyle w:val="BodyText"/>
              <w:rPr>
                <w:rFonts w:cs="Times New Roman"/>
                <w:sz w:val="22"/>
                <w:szCs w:val="22"/>
              </w:rPr>
            </w:pPr>
            <w:r w:rsidRPr="00362517">
              <w:rPr>
                <w:rFonts w:cs="Times New Roman"/>
                <w:sz w:val="22"/>
                <w:szCs w:val="22"/>
              </w:rPr>
              <w:t>Hawaii</w:t>
            </w:r>
            <w:r w:rsidRPr="00362517">
              <w:rPr>
                <w:rFonts w:cs="Times New Roman"/>
                <w:sz w:val="22"/>
                <w:szCs w:val="22"/>
                <w:vertAlign w:val="superscript"/>
              </w:rPr>
              <w:t xml:space="preserve"> 2</w:t>
            </w:r>
          </w:p>
        </w:tc>
        <w:tc>
          <w:tcPr>
            <w:tcW w:w="1244" w:type="dxa"/>
          </w:tcPr>
          <w:p w14:paraId="2134AD93" w14:textId="77777777" w:rsidR="00D8365A" w:rsidRPr="00362517" w:rsidRDefault="00D8365A" w:rsidP="00BF6BC7">
            <w:pPr>
              <w:tabs>
                <w:tab w:val="decimal" w:pos="734"/>
              </w:tabs>
              <w:rPr>
                <w:sz w:val="22"/>
                <w:szCs w:val="22"/>
              </w:rPr>
            </w:pPr>
            <w:r w:rsidRPr="00362517">
              <w:rPr>
                <w:sz w:val="22"/>
                <w:szCs w:val="22"/>
              </w:rPr>
              <w:t>1</w:t>
            </w:r>
          </w:p>
        </w:tc>
        <w:tc>
          <w:tcPr>
            <w:tcW w:w="1244" w:type="dxa"/>
          </w:tcPr>
          <w:p w14:paraId="7CF3B106" w14:textId="77777777" w:rsidR="00D8365A" w:rsidRPr="00362517" w:rsidRDefault="00D8365A" w:rsidP="00BF6BC7">
            <w:pPr>
              <w:tabs>
                <w:tab w:val="decimal" w:pos="727"/>
              </w:tabs>
              <w:rPr>
                <w:sz w:val="22"/>
                <w:szCs w:val="22"/>
              </w:rPr>
            </w:pPr>
            <w:r w:rsidRPr="00362517">
              <w:rPr>
                <w:sz w:val="22"/>
                <w:szCs w:val="22"/>
              </w:rPr>
              <w:t>8</w:t>
            </w:r>
          </w:p>
        </w:tc>
        <w:tc>
          <w:tcPr>
            <w:tcW w:w="1244" w:type="dxa"/>
          </w:tcPr>
          <w:p w14:paraId="2BDB1E1B" w14:textId="77777777" w:rsidR="00D8365A" w:rsidRPr="00362517" w:rsidRDefault="00D8365A" w:rsidP="00BF6BC7">
            <w:pPr>
              <w:tabs>
                <w:tab w:val="decimal" w:pos="720"/>
              </w:tabs>
              <w:rPr>
                <w:sz w:val="22"/>
                <w:szCs w:val="22"/>
              </w:rPr>
            </w:pPr>
            <w:r w:rsidRPr="00362517">
              <w:rPr>
                <w:sz w:val="22"/>
                <w:szCs w:val="22"/>
              </w:rPr>
              <w:t>2</w:t>
            </w:r>
          </w:p>
        </w:tc>
        <w:tc>
          <w:tcPr>
            <w:tcW w:w="1244" w:type="dxa"/>
          </w:tcPr>
          <w:p w14:paraId="101EAD15" w14:textId="77777777" w:rsidR="00D8365A" w:rsidRPr="00362517" w:rsidRDefault="00D8365A" w:rsidP="00BF6BC7">
            <w:pPr>
              <w:tabs>
                <w:tab w:val="decimal" w:pos="714"/>
              </w:tabs>
              <w:rPr>
                <w:sz w:val="22"/>
                <w:szCs w:val="22"/>
              </w:rPr>
            </w:pPr>
            <w:r w:rsidRPr="00362517">
              <w:rPr>
                <w:sz w:val="22"/>
                <w:szCs w:val="22"/>
              </w:rPr>
              <w:t>19</w:t>
            </w:r>
          </w:p>
        </w:tc>
        <w:tc>
          <w:tcPr>
            <w:tcW w:w="1244" w:type="dxa"/>
          </w:tcPr>
          <w:p w14:paraId="03E2A5BF" w14:textId="77777777" w:rsidR="00D8365A" w:rsidRPr="00362517" w:rsidRDefault="00D8365A" w:rsidP="00BF6BC7">
            <w:pPr>
              <w:tabs>
                <w:tab w:val="decimal" w:pos="719"/>
              </w:tabs>
              <w:rPr>
                <w:sz w:val="22"/>
                <w:szCs w:val="22"/>
              </w:rPr>
            </w:pPr>
            <w:r w:rsidRPr="00362517">
              <w:rPr>
                <w:sz w:val="22"/>
                <w:szCs w:val="22"/>
              </w:rPr>
              <w:t>15</w:t>
            </w:r>
          </w:p>
        </w:tc>
        <w:tc>
          <w:tcPr>
            <w:tcW w:w="1245" w:type="dxa"/>
          </w:tcPr>
          <w:p w14:paraId="28FD3CD2" w14:textId="77777777" w:rsidR="00D8365A" w:rsidRPr="00362517" w:rsidRDefault="00D8365A" w:rsidP="00BF6BC7">
            <w:pPr>
              <w:tabs>
                <w:tab w:val="decimal" w:pos="725"/>
              </w:tabs>
              <w:rPr>
                <w:sz w:val="22"/>
                <w:szCs w:val="22"/>
              </w:rPr>
            </w:pPr>
            <w:r w:rsidRPr="00362517">
              <w:rPr>
                <w:sz w:val="22"/>
                <w:szCs w:val="22"/>
              </w:rPr>
              <w:t>217</w:t>
            </w:r>
          </w:p>
        </w:tc>
      </w:tr>
      <w:tr w:rsidR="00D8365A" w:rsidRPr="00362517" w14:paraId="6BB36A78" w14:textId="77777777" w:rsidTr="007A2164">
        <w:tc>
          <w:tcPr>
            <w:tcW w:w="1885" w:type="dxa"/>
          </w:tcPr>
          <w:p w14:paraId="74D11CAB" w14:textId="77777777" w:rsidR="00D8365A" w:rsidRPr="00362517" w:rsidRDefault="00D8365A" w:rsidP="00BF6BC7">
            <w:pPr>
              <w:pStyle w:val="BodyText"/>
              <w:rPr>
                <w:rFonts w:cs="Times New Roman"/>
                <w:sz w:val="22"/>
                <w:szCs w:val="22"/>
              </w:rPr>
            </w:pPr>
            <w:r w:rsidRPr="00362517">
              <w:rPr>
                <w:rFonts w:cs="Times New Roman"/>
                <w:sz w:val="22"/>
                <w:szCs w:val="22"/>
              </w:rPr>
              <w:t>Idaho</w:t>
            </w:r>
            <w:r w:rsidRPr="00362517">
              <w:rPr>
                <w:rFonts w:cs="Times New Roman"/>
                <w:sz w:val="22"/>
                <w:szCs w:val="22"/>
                <w:vertAlign w:val="superscript"/>
              </w:rPr>
              <w:t xml:space="preserve"> 1 3</w:t>
            </w:r>
          </w:p>
        </w:tc>
        <w:tc>
          <w:tcPr>
            <w:tcW w:w="1244" w:type="dxa"/>
          </w:tcPr>
          <w:p w14:paraId="1545C3DC" w14:textId="77777777" w:rsidR="00D8365A" w:rsidRPr="00362517" w:rsidRDefault="00D8365A" w:rsidP="00BF6BC7">
            <w:pPr>
              <w:tabs>
                <w:tab w:val="decimal" w:pos="734"/>
              </w:tabs>
              <w:rPr>
                <w:sz w:val="22"/>
                <w:szCs w:val="22"/>
              </w:rPr>
            </w:pPr>
            <w:r w:rsidRPr="00362517">
              <w:rPr>
                <w:sz w:val="22"/>
                <w:szCs w:val="22"/>
              </w:rPr>
              <w:t>29</w:t>
            </w:r>
          </w:p>
        </w:tc>
        <w:tc>
          <w:tcPr>
            <w:tcW w:w="1244" w:type="dxa"/>
          </w:tcPr>
          <w:p w14:paraId="30778C97" w14:textId="77777777" w:rsidR="00D8365A" w:rsidRPr="00362517" w:rsidRDefault="00D8365A" w:rsidP="00BF6BC7">
            <w:pPr>
              <w:tabs>
                <w:tab w:val="decimal" w:pos="727"/>
              </w:tabs>
              <w:rPr>
                <w:sz w:val="22"/>
                <w:szCs w:val="22"/>
              </w:rPr>
            </w:pPr>
            <w:r w:rsidRPr="00362517">
              <w:rPr>
                <w:sz w:val="22"/>
                <w:szCs w:val="22"/>
              </w:rPr>
              <w:t>238</w:t>
            </w:r>
          </w:p>
        </w:tc>
        <w:tc>
          <w:tcPr>
            <w:tcW w:w="1244" w:type="dxa"/>
          </w:tcPr>
          <w:p w14:paraId="75594323" w14:textId="77777777" w:rsidR="00D8365A" w:rsidRPr="00362517" w:rsidRDefault="00D8365A" w:rsidP="00BF6BC7">
            <w:pPr>
              <w:tabs>
                <w:tab w:val="decimal" w:pos="720"/>
              </w:tabs>
              <w:rPr>
                <w:sz w:val="22"/>
                <w:szCs w:val="22"/>
              </w:rPr>
            </w:pPr>
            <w:r w:rsidRPr="00362517">
              <w:rPr>
                <w:sz w:val="22"/>
                <w:szCs w:val="22"/>
              </w:rPr>
              <w:t>25</w:t>
            </w:r>
          </w:p>
        </w:tc>
        <w:tc>
          <w:tcPr>
            <w:tcW w:w="1244" w:type="dxa"/>
          </w:tcPr>
          <w:p w14:paraId="7C717E16" w14:textId="77777777" w:rsidR="00D8365A" w:rsidRPr="00362517" w:rsidRDefault="00D8365A" w:rsidP="00BF6BC7">
            <w:pPr>
              <w:tabs>
                <w:tab w:val="decimal" w:pos="714"/>
              </w:tabs>
              <w:rPr>
                <w:sz w:val="22"/>
                <w:szCs w:val="22"/>
              </w:rPr>
            </w:pPr>
            <w:r w:rsidRPr="00362517">
              <w:rPr>
                <w:sz w:val="22"/>
                <w:szCs w:val="22"/>
              </w:rPr>
              <w:t>223</w:t>
            </w:r>
          </w:p>
        </w:tc>
        <w:tc>
          <w:tcPr>
            <w:tcW w:w="1244" w:type="dxa"/>
          </w:tcPr>
          <w:p w14:paraId="28FF133F" w14:textId="77777777" w:rsidR="00D8365A" w:rsidRPr="00362517" w:rsidRDefault="00D8365A" w:rsidP="00BF6BC7">
            <w:pPr>
              <w:tabs>
                <w:tab w:val="decimal" w:pos="719"/>
              </w:tabs>
              <w:rPr>
                <w:sz w:val="22"/>
                <w:szCs w:val="22"/>
              </w:rPr>
            </w:pPr>
            <w:r w:rsidRPr="00362517">
              <w:rPr>
                <w:sz w:val="22"/>
                <w:szCs w:val="22"/>
              </w:rPr>
              <w:t>12</w:t>
            </w:r>
          </w:p>
        </w:tc>
        <w:tc>
          <w:tcPr>
            <w:tcW w:w="1245" w:type="dxa"/>
          </w:tcPr>
          <w:p w14:paraId="5C921819" w14:textId="77777777" w:rsidR="00D8365A" w:rsidRPr="00362517" w:rsidRDefault="00D8365A" w:rsidP="00BF6BC7">
            <w:pPr>
              <w:tabs>
                <w:tab w:val="decimal" w:pos="725"/>
              </w:tabs>
              <w:rPr>
                <w:sz w:val="22"/>
                <w:szCs w:val="22"/>
              </w:rPr>
            </w:pPr>
            <w:r w:rsidRPr="00362517">
              <w:rPr>
                <w:sz w:val="22"/>
                <w:szCs w:val="22"/>
              </w:rPr>
              <w:t>175</w:t>
            </w:r>
          </w:p>
        </w:tc>
      </w:tr>
      <w:tr w:rsidR="00D8365A" w:rsidRPr="00362517" w14:paraId="1AF6A236" w14:textId="77777777" w:rsidTr="007A2164">
        <w:tc>
          <w:tcPr>
            <w:tcW w:w="1885" w:type="dxa"/>
          </w:tcPr>
          <w:p w14:paraId="5D08734E" w14:textId="77777777" w:rsidR="00D8365A" w:rsidRPr="00362517" w:rsidRDefault="00D8365A" w:rsidP="00BF6BC7">
            <w:pPr>
              <w:pStyle w:val="BodyText"/>
              <w:rPr>
                <w:rFonts w:cs="Times New Roman"/>
                <w:sz w:val="22"/>
                <w:szCs w:val="22"/>
              </w:rPr>
            </w:pPr>
            <w:r w:rsidRPr="00362517">
              <w:rPr>
                <w:rFonts w:cs="Times New Roman"/>
                <w:sz w:val="22"/>
                <w:szCs w:val="22"/>
              </w:rPr>
              <w:t>Illinois</w:t>
            </w:r>
          </w:p>
        </w:tc>
        <w:tc>
          <w:tcPr>
            <w:tcW w:w="1244" w:type="dxa"/>
          </w:tcPr>
          <w:p w14:paraId="283C5EF7" w14:textId="77777777" w:rsidR="00D8365A" w:rsidRPr="00362517" w:rsidRDefault="00D8365A" w:rsidP="00BF6BC7">
            <w:pPr>
              <w:tabs>
                <w:tab w:val="decimal" w:pos="734"/>
              </w:tabs>
              <w:rPr>
                <w:sz w:val="22"/>
                <w:szCs w:val="22"/>
              </w:rPr>
            </w:pPr>
            <w:r w:rsidRPr="00362517">
              <w:rPr>
                <w:sz w:val="22"/>
                <w:szCs w:val="22"/>
              </w:rPr>
              <w:t>30</w:t>
            </w:r>
          </w:p>
        </w:tc>
        <w:tc>
          <w:tcPr>
            <w:tcW w:w="1244" w:type="dxa"/>
          </w:tcPr>
          <w:p w14:paraId="2F13E53A" w14:textId="77777777" w:rsidR="00D8365A" w:rsidRPr="00362517" w:rsidRDefault="00D8365A" w:rsidP="00BF6BC7">
            <w:pPr>
              <w:tabs>
                <w:tab w:val="decimal" w:pos="727"/>
              </w:tabs>
              <w:rPr>
                <w:sz w:val="22"/>
                <w:szCs w:val="22"/>
              </w:rPr>
            </w:pPr>
            <w:r w:rsidRPr="00362517">
              <w:rPr>
                <w:sz w:val="22"/>
                <w:szCs w:val="22"/>
              </w:rPr>
              <w:t>249</w:t>
            </w:r>
          </w:p>
        </w:tc>
        <w:tc>
          <w:tcPr>
            <w:tcW w:w="1244" w:type="dxa"/>
          </w:tcPr>
          <w:p w14:paraId="294D9E17" w14:textId="77777777" w:rsidR="00D8365A" w:rsidRPr="00362517" w:rsidRDefault="00D8365A" w:rsidP="00BF6BC7">
            <w:pPr>
              <w:tabs>
                <w:tab w:val="decimal" w:pos="720"/>
              </w:tabs>
              <w:rPr>
                <w:sz w:val="22"/>
                <w:szCs w:val="22"/>
              </w:rPr>
            </w:pPr>
            <w:r w:rsidRPr="00362517">
              <w:rPr>
                <w:sz w:val="22"/>
                <w:szCs w:val="22"/>
              </w:rPr>
              <w:t>1</w:t>
            </w:r>
          </w:p>
        </w:tc>
        <w:tc>
          <w:tcPr>
            <w:tcW w:w="1244" w:type="dxa"/>
          </w:tcPr>
          <w:p w14:paraId="21B69ECA" w14:textId="77777777" w:rsidR="00D8365A" w:rsidRPr="00362517" w:rsidRDefault="00D8365A" w:rsidP="00BF6BC7">
            <w:pPr>
              <w:tabs>
                <w:tab w:val="decimal" w:pos="714"/>
              </w:tabs>
              <w:rPr>
                <w:sz w:val="22"/>
                <w:szCs w:val="22"/>
              </w:rPr>
            </w:pPr>
            <w:r w:rsidRPr="00362517">
              <w:rPr>
                <w:sz w:val="22"/>
                <w:szCs w:val="22"/>
              </w:rPr>
              <w:t>9</w:t>
            </w:r>
          </w:p>
        </w:tc>
        <w:tc>
          <w:tcPr>
            <w:tcW w:w="1244" w:type="dxa"/>
          </w:tcPr>
          <w:p w14:paraId="75F67B54" w14:textId="77777777" w:rsidR="00D8365A" w:rsidRPr="00362517" w:rsidRDefault="00D8365A" w:rsidP="00BF6BC7">
            <w:pPr>
              <w:tabs>
                <w:tab w:val="decimal" w:pos="719"/>
              </w:tabs>
              <w:rPr>
                <w:sz w:val="22"/>
                <w:szCs w:val="22"/>
              </w:rPr>
            </w:pPr>
            <w:r w:rsidRPr="00362517">
              <w:rPr>
                <w:sz w:val="22"/>
                <w:szCs w:val="22"/>
              </w:rPr>
              <w:t>16</w:t>
            </w:r>
          </w:p>
        </w:tc>
        <w:tc>
          <w:tcPr>
            <w:tcW w:w="1245" w:type="dxa"/>
          </w:tcPr>
          <w:p w14:paraId="0BE63E74" w14:textId="77777777" w:rsidR="00D8365A" w:rsidRPr="00362517" w:rsidRDefault="00D8365A" w:rsidP="00BF6BC7">
            <w:pPr>
              <w:tabs>
                <w:tab w:val="decimal" w:pos="725"/>
              </w:tabs>
              <w:rPr>
                <w:sz w:val="22"/>
                <w:szCs w:val="22"/>
              </w:rPr>
            </w:pPr>
            <w:r w:rsidRPr="00362517">
              <w:rPr>
                <w:sz w:val="22"/>
                <w:szCs w:val="22"/>
              </w:rPr>
              <w:t>229</w:t>
            </w:r>
          </w:p>
        </w:tc>
      </w:tr>
      <w:tr w:rsidR="00D8365A" w:rsidRPr="00362517" w14:paraId="052F375C" w14:textId="77777777" w:rsidTr="007A2164">
        <w:tc>
          <w:tcPr>
            <w:tcW w:w="1885" w:type="dxa"/>
          </w:tcPr>
          <w:p w14:paraId="02B9C2B2" w14:textId="77777777" w:rsidR="00D8365A" w:rsidRPr="00362517" w:rsidRDefault="00D8365A" w:rsidP="00BF6BC7">
            <w:pPr>
              <w:pStyle w:val="BodyText"/>
              <w:rPr>
                <w:rFonts w:cs="Times New Roman"/>
                <w:sz w:val="22"/>
                <w:szCs w:val="22"/>
              </w:rPr>
            </w:pPr>
            <w:r w:rsidRPr="00362517">
              <w:rPr>
                <w:rFonts w:cs="Times New Roman"/>
                <w:sz w:val="22"/>
                <w:szCs w:val="22"/>
              </w:rPr>
              <w:t>Indiana</w:t>
            </w:r>
            <w:r w:rsidRPr="00362517">
              <w:rPr>
                <w:rFonts w:cs="Times New Roman"/>
                <w:sz w:val="22"/>
                <w:szCs w:val="22"/>
                <w:vertAlign w:val="superscript"/>
              </w:rPr>
              <w:t xml:space="preserve"> 2</w:t>
            </w:r>
          </w:p>
        </w:tc>
        <w:tc>
          <w:tcPr>
            <w:tcW w:w="1244" w:type="dxa"/>
          </w:tcPr>
          <w:p w14:paraId="2B6EC84F" w14:textId="77777777" w:rsidR="00D8365A" w:rsidRPr="00362517" w:rsidRDefault="00D8365A" w:rsidP="00BF6BC7">
            <w:pPr>
              <w:tabs>
                <w:tab w:val="decimal" w:pos="734"/>
              </w:tabs>
              <w:rPr>
                <w:sz w:val="22"/>
                <w:szCs w:val="22"/>
              </w:rPr>
            </w:pPr>
            <w:r w:rsidRPr="00362517">
              <w:rPr>
                <w:sz w:val="22"/>
                <w:szCs w:val="22"/>
              </w:rPr>
              <w:t>34</w:t>
            </w:r>
          </w:p>
        </w:tc>
        <w:tc>
          <w:tcPr>
            <w:tcW w:w="1244" w:type="dxa"/>
          </w:tcPr>
          <w:p w14:paraId="54074788" w14:textId="77777777" w:rsidR="00D8365A" w:rsidRPr="00362517" w:rsidRDefault="00D8365A" w:rsidP="00BF6BC7">
            <w:pPr>
              <w:tabs>
                <w:tab w:val="decimal" w:pos="727"/>
              </w:tabs>
              <w:rPr>
                <w:sz w:val="22"/>
                <w:szCs w:val="22"/>
              </w:rPr>
            </w:pPr>
            <w:r w:rsidRPr="00362517">
              <w:rPr>
                <w:sz w:val="22"/>
                <w:szCs w:val="22"/>
              </w:rPr>
              <w:t>283</w:t>
            </w:r>
          </w:p>
        </w:tc>
        <w:tc>
          <w:tcPr>
            <w:tcW w:w="1244" w:type="dxa"/>
          </w:tcPr>
          <w:p w14:paraId="36500C2A" w14:textId="77777777" w:rsidR="00D8365A" w:rsidRPr="00362517" w:rsidRDefault="00D8365A" w:rsidP="00BF6BC7">
            <w:pPr>
              <w:tabs>
                <w:tab w:val="decimal" w:pos="720"/>
              </w:tabs>
              <w:rPr>
                <w:sz w:val="22"/>
                <w:szCs w:val="22"/>
              </w:rPr>
            </w:pPr>
            <w:r w:rsidRPr="00362517">
              <w:rPr>
                <w:sz w:val="22"/>
                <w:szCs w:val="22"/>
              </w:rPr>
              <w:t>8</w:t>
            </w:r>
          </w:p>
        </w:tc>
        <w:tc>
          <w:tcPr>
            <w:tcW w:w="1244" w:type="dxa"/>
          </w:tcPr>
          <w:p w14:paraId="37EF8658" w14:textId="77777777" w:rsidR="00D8365A" w:rsidRPr="00362517" w:rsidRDefault="00D8365A" w:rsidP="00BF6BC7">
            <w:pPr>
              <w:tabs>
                <w:tab w:val="decimal" w:pos="714"/>
              </w:tabs>
              <w:rPr>
                <w:sz w:val="22"/>
                <w:szCs w:val="22"/>
              </w:rPr>
            </w:pPr>
            <w:r w:rsidRPr="00362517">
              <w:rPr>
                <w:sz w:val="22"/>
                <w:szCs w:val="22"/>
              </w:rPr>
              <w:t>76</w:t>
            </w:r>
          </w:p>
        </w:tc>
        <w:tc>
          <w:tcPr>
            <w:tcW w:w="1244" w:type="dxa"/>
          </w:tcPr>
          <w:p w14:paraId="7B01A4B3" w14:textId="77777777" w:rsidR="00D8365A" w:rsidRPr="00362517" w:rsidRDefault="00D8365A" w:rsidP="00BF6BC7">
            <w:pPr>
              <w:tabs>
                <w:tab w:val="decimal" w:pos="719"/>
              </w:tabs>
              <w:rPr>
                <w:sz w:val="22"/>
                <w:szCs w:val="22"/>
              </w:rPr>
            </w:pPr>
            <w:r w:rsidRPr="00362517">
              <w:rPr>
                <w:sz w:val="22"/>
                <w:szCs w:val="22"/>
              </w:rPr>
              <w:t>27</w:t>
            </w:r>
          </w:p>
        </w:tc>
        <w:tc>
          <w:tcPr>
            <w:tcW w:w="1245" w:type="dxa"/>
          </w:tcPr>
          <w:p w14:paraId="091852DA" w14:textId="77777777" w:rsidR="00D8365A" w:rsidRPr="00362517" w:rsidRDefault="00D8365A" w:rsidP="00BF6BC7">
            <w:pPr>
              <w:tabs>
                <w:tab w:val="decimal" w:pos="725"/>
              </w:tabs>
              <w:rPr>
                <w:sz w:val="22"/>
                <w:szCs w:val="22"/>
              </w:rPr>
            </w:pPr>
            <w:r w:rsidRPr="00362517">
              <w:rPr>
                <w:sz w:val="22"/>
                <w:szCs w:val="22"/>
              </w:rPr>
              <w:t>379</w:t>
            </w:r>
          </w:p>
        </w:tc>
      </w:tr>
      <w:tr w:rsidR="00D8365A" w:rsidRPr="00362517" w14:paraId="509FF5B6" w14:textId="77777777" w:rsidTr="007A2164">
        <w:tc>
          <w:tcPr>
            <w:tcW w:w="1885" w:type="dxa"/>
          </w:tcPr>
          <w:p w14:paraId="7F6B86CE" w14:textId="77777777" w:rsidR="00D8365A" w:rsidRPr="00362517" w:rsidRDefault="00D8365A" w:rsidP="00BF6BC7">
            <w:pPr>
              <w:pStyle w:val="BodyText"/>
              <w:rPr>
                <w:rFonts w:cs="Times New Roman"/>
                <w:sz w:val="22"/>
                <w:szCs w:val="22"/>
              </w:rPr>
            </w:pPr>
            <w:r w:rsidRPr="00362517">
              <w:rPr>
                <w:rFonts w:cs="Times New Roman"/>
                <w:sz w:val="22"/>
                <w:szCs w:val="22"/>
              </w:rPr>
              <w:t>Iowa</w:t>
            </w:r>
            <w:r w:rsidRPr="00362517">
              <w:rPr>
                <w:rFonts w:cs="Times New Roman"/>
                <w:sz w:val="22"/>
                <w:szCs w:val="22"/>
                <w:vertAlign w:val="superscript"/>
              </w:rPr>
              <w:t xml:space="preserve"> 2</w:t>
            </w:r>
          </w:p>
        </w:tc>
        <w:tc>
          <w:tcPr>
            <w:tcW w:w="1244" w:type="dxa"/>
          </w:tcPr>
          <w:p w14:paraId="5B1F8A7D" w14:textId="77777777" w:rsidR="00D8365A" w:rsidRPr="00362517" w:rsidRDefault="00D8365A" w:rsidP="00BF6BC7">
            <w:pPr>
              <w:tabs>
                <w:tab w:val="decimal" w:pos="734"/>
              </w:tabs>
              <w:rPr>
                <w:sz w:val="22"/>
                <w:szCs w:val="22"/>
              </w:rPr>
            </w:pPr>
            <w:r w:rsidRPr="00362517">
              <w:rPr>
                <w:sz w:val="22"/>
                <w:szCs w:val="22"/>
              </w:rPr>
              <w:t>97</w:t>
            </w:r>
          </w:p>
        </w:tc>
        <w:tc>
          <w:tcPr>
            <w:tcW w:w="1244" w:type="dxa"/>
          </w:tcPr>
          <w:p w14:paraId="6410CEC6" w14:textId="77777777" w:rsidR="00D8365A" w:rsidRPr="00362517" w:rsidRDefault="00D8365A" w:rsidP="00BF6BC7">
            <w:pPr>
              <w:tabs>
                <w:tab w:val="decimal" w:pos="727"/>
              </w:tabs>
              <w:rPr>
                <w:sz w:val="22"/>
                <w:szCs w:val="22"/>
              </w:rPr>
            </w:pPr>
            <w:r w:rsidRPr="00362517">
              <w:rPr>
                <w:sz w:val="22"/>
                <w:szCs w:val="22"/>
              </w:rPr>
              <w:t>811</w:t>
            </w:r>
          </w:p>
        </w:tc>
        <w:tc>
          <w:tcPr>
            <w:tcW w:w="1244" w:type="dxa"/>
          </w:tcPr>
          <w:p w14:paraId="73D97B50" w14:textId="77777777" w:rsidR="00D8365A" w:rsidRPr="00362517" w:rsidRDefault="00D8365A" w:rsidP="00BF6BC7">
            <w:pPr>
              <w:tabs>
                <w:tab w:val="decimal" w:pos="720"/>
              </w:tabs>
              <w:rPr>
                <w:sz w:val="22"/>
                <w:szCs w:val="22"/>
              </w:rPr>
            </w:pPr>
            <w:r w:rsidRPr="00362517">
              <w:rPr>
                <w:sz w:val="22"/>
                <w:szCs w:val="22"/>
              </w:rPr>
              <w:t>39</w:t>
            </w:r>
          </w:p>
        </w:tc>
        <w:tc>
          <w:tcPr>
            <w:tcW w:w="1244" w:type="dxa"/>
          </w:tcPr>
          <w:p w14:paraId="795C8FCA" w14:textId="77777777" w:rsidR="00D8365A" w:rsidRPr="00362517" w:rsidRDefault="00D8365A" w:rsidP="00BF6BC7">
            <w:pPr>
              <w:tabs>
                <w:tab w:val="decimal" w:pos="714"/>
              </w:tabs>
              <w:rPr>
                <w:sz w:val="22"/>
                <w:szCs w:val="22"/>
              </w:rPr>
            </w:pPr>
            <w:r w:rsidRPr="00362517">
              <w:rPr>
                <w:sz w:val="22"/>
                <w:szCs w:val="22"/>
              </w:rPr>
              <w:t>358</w:t>
            </w:r>
          </w:p>
        </w:tc>
        <w:tc>
          <w:tcPr>
            <w:tcW w:w="1244" w:type="dxa"/>
          </w:tcPr>
          <w:p w14:paraId="6F052F97" w14:textId="77777777" w:rsidR="00D8365A" w:rsidRPr="00362517" w:rsidRDefault="00D8365A" w:rsidP="00BF6BC7">
            <w:pPr>
              <w:tabs>
                <w:tab w:val="decimal" w:pos="719"/>
              </w:tabs>
              <w:rPr>
                <w:sz w:val="22"/>
                <w:szCs w:val="22"/>
              </w:rPr>
            </w:pPr>
            <w:r w:rsidRPr="00362517">
              <w:rPr>
                <w:sz w:val="22"/>
                <w:szCs w:val="22"/>
              </w:rPr>
              <w:t>42</w:t>
            </w:r>
          </w:p>
        </w:tc>
        <w:tc>
          <w:tcPr>
            <w:tcW w:w="1245" w:type="dxa"/>
          </w:tcPr>
          <w:p w14:paraId="34FFB3C2" w14:textId="77777777" w:rsidR="00D8365A" w:rsidRPr="00362517" w:rsidRDefault="00D8365A" w:rsidP="00BF6BC7">
            <w:pPr>
              <w:tabs>
                <w:tab w:val="decimal" w:pos="725"/>
              </w:tabs>
              <w:rPr>
                <w:sz w:val="22"/>
                <w:szCs w:val="22"/>
              </w:rPr>
            </w:pPr>
            <w:r w:rsidRPr="00362517">
              <w:rPr>
                <w:sz w:val="22"/>
                <w:szCs w:val="22"/>
              </w:rPr>
              <w:t>596</w:t>
            </w:r>
          </w:p>
        </w:tc>
      </w:tr>
      <w:tr w:rsidR="00D8365A" w:rsidRPr="00362517" w14:paraId="09B7BBC5" w14:textId="77777777" w:rsidTr="007A2164">
        <w:tc>
          <w:tcPr>
            <w:tcW w:w="1885" w:type="dxa"/>
          </w:tcPr>
          <w:p w14:paraId="23A237F6" w14:textId="77777777" w:rsidR="00D8365A" w:rsidRPr="00362517" w:rsidRDefault="00D8365A" w:rsidP="00BF6BC7">
            <w:pPr>
              <w:pStyle w:val="BodyText"/>
              <w:rPr>
                <w:rFonts w:cs="Times New Roman"/>
                <w:sz w:val="22"/>
                <w:szCs w:val="22"/>
              </w:rPr>
            </w:pPr>
            <w:r w:rsidRPr="00362517">
              <w:rPr>
                <w:rFonts w:cs="Times New Roman"/>
                <w:sz w:val="22"/>
                <w:szCs w:val="22"/>
              </w:rPr>
              <w:t>Kansas</w:t>
            </w:r>
            <w:r w:rsidRPr="00362517">
              <w:rPr>
                <w:rFonts w:cs="Times New Roman"/>
                <w:sz w:val="22"/>
                <w:szCs w:val="22"/>
                <w:vertAlign w:val="superscript"/>
              </w:rPr>
              <w:t xml:space="preserve"> 1 2 3</w:t>
            </w:r>
          </w:p>
        </w:tc>
        <w:tc>
          <w:tcPr>
            <w:tcW w:w="1244" w:type="dxa"/>
          </w:tcPr>
          <w:p w14:paraId="2149A0FA" w14:textId="77777777" w:rsidR="00D8365A" w:rsidRPr="00362517" w:rsidRDefault="00D8365A" w:rsidP="00BF6BC7">
            <w:pPr>
              <w:tabs>
                <w:tab w:val="decimal" w:pos="734"/>
              </w:tabs>
              <w:rPr>
                <w:sz w:val="22"/>
                <w:szCs w:val="22"/>
              </w:rPr>
            </w:pPr>
            <w:r w:rsidRPr="00362517">
              <w:rPr>
                <w:sz w:val="22"/>
                <w:szCs w:val="22"/>
              </w:rPr>
              <w:t>44</w:t>
            </w:r>
          </w:p>
        </w:tc>
        <w:tc>
          <w:tcPr>
            <w:tcW w:w="1244" w:type="dxa"/>
          </w:tcPr>
          <w:p w14:paraId="20B14AAC" w14:textId="77777777" w:rsidR="00D8365A" w:rsidRPr="00362517" w:rsidRDefault="00D8365A" w:rsidP="00BF6BC7">
            <w:pPr>
              <w:tabs>
                <w:tab w:val="decimal" w:pos="727"/>
              </w:tabs>
              <w:rPr>
                <w:sz w:val="22"/>
                <w:szCs w:val="22"/>
              </w:rPr>
            </w:pPr>
            <w:r w:rsidRPr="00362517">
              <w:rPr>
                <w:sz w:val="22"/>
                <w:szCs w:val="22"/>
              </w:rPr>
              <w:t>364</w:t>
            </w:r>
          </w:p>
        </w:tc>
        <w:tc>
          <w:tcPr>
            <w:tcW w:w="1244" w:type="dxa"/>
          </w:tcPr>
          <w:p w14:paraId="4C8A76A2" w14:textId="77777777" w:rsidR="00D8365A" w:rsidRPr="00362517" w:rsidRDefault="00D8365A" w:rsidP="00BF6BC7">
            <w:pPr>
              <w:tabs>
                <w:tab w:val="decimal" w:pos="720"/>
              </w:tabs>
              <w:rPr>
                <w:sz w:val="22"/>
                <w:szCs w:val="22"/>
              </w:rPr>
            </w:pPr>
            <w:r w:rsidRPr="00362517">
              <w:rPr>
                <w:sz w:val="22"/>
                <w:szCs w:val="22"/>
              </w:rPr>
              <w:t>8</w:t>
            </w:r>
          </w:p>
        </w:tc>
        <w:tc>
          <w:tcPr>
            <w:tcW w:w="1244" w:type="dxa"/>
          </w:tcPr>
          <w:p w14:paraId="76F60FFF" w14:textId="77777777" w:rsidR="00D8365A" w:rsidRPr="00362517" w:rsidRDefault="00D8365A" w:rsidP="00BF6BC7">
            <w:pPr>
              <w:tabs>
                <w:tab w:val="decimal" w:pos="714"/>
              </w:tabs>
              <w:rPr>
                <w:sz w:val="22"/>
                <w:szCs w:val="22"/>
              </w:rPr>
            </w:pPr>
            <w:r w:rsidRPr="00362517">
              <w:rPr>
                <w:sz w:val="22"/>
                <w:szCs w:val="22"/>
              </w:rPr>
              <w:t>75</w:t>
            </w:r>
          </w:p>
        </w:tc>
        <w:tc>
          <w:tcPr>
            <w:tcW w:w="1244" w:type="dxa"/>
          </w:tcPr>
          <w:p w14:paraId="58D0A019" w14:textId="77777777" w:rsidR="00D8365A" w:rsidRPr="00362517" w:rsidRDefault="00D8365A" w:rsidP="00BF6BC7">
            <w:pPr>
              <w:tabs>
                <w:tab w:val="decimal" w:pos="719"/>
              </w:tabs>
              <w:rPr>
                <w:sz w:val="22"/>
                <w:szCs w:val="22"/>
              </w:rPr>
            </w:pPr>
            <w:r w:rsidRPr="00362517">
              <w:rPr>
                <w:sz w:val="22"/>
                <w:szCs w:val="22"/>
              </w:rPr>
              <w:t>43</w:t>
            </w:r>
          </w:p>
        </w:tc>
        <w:tc>
          <w:tcPr>
            <w:tcW w:w="1245" w:type="dxa"/>
          </w:tcPr>
          <w:p w14:paraId="569ABFAA" w14:textId="77777777" w:rsidR="00D8365A" w:rsidRPr="00362517" w:rsidRDefault="00D8365A" w:rsidP="00BF6BC7">
            <w:pPr>
              <w:tabs>
                <w:tab w:val="decimal" w:pos="725"/>
              </w:tabs>
              <w:rPr>
                <w:sz w:val="22"/>
                <w:szCs w:val="22"/>
              </w:rPr>
            </w:pPr>
            <w:r w:rsidRPr="00362517">
              <w:rPr>
                <w:sz w:val="22"/>
                <w:szCs w:val="22"/>
              </w:rPr>
              <w:t>619</w:t>
            </w:r>
          </w:p>
        </w:tc>
      </w:tr>
      <w:tr w:rsidR="00D8365A" w:rsidRPr="00362517" w14:paraId="1FE0A2B3" w14:textId="77777777" w:rsidTr="007A2164">
        <w:tc>
          <w:tcPr>
            <w:tcW w:w="1885" w:type="dxa"/>
          </w:tcPr>
          <w:p w14:paraId="68AB3454" w14:textId="77777777" w:rsidR="00D8365A" w:rsidRPr="00362517" w:rsidRDefault="00D8365A" w:rsidP="00BF6BC7">
            <w:pPr>
              <w:pStyle w:val="BodyText"/>
              <w:rPr>
                <w:rFonts w:cs="Times New Roman"/>
                <w:sz w:val="22"/>
                <w:szCs w:val="22"/>
              </w:rPr>
            </w:pPr>
            <w:r w:rsidRPr="00362517">
              <w:rPr>
                <w:rFonts w:cs="Times New Roman"/>
                <w:sz w:val="22"/>
                <w:szCs w:val="22"/>
              </w:rPr>
              <w:t>Kentucky</w:t>
            </w:r>
            <w:r w:rsidRPr="00362517">
              <w:rPr>
                <w:rFonts w:cs="Times New Roman"/>
                <w:sz w:val="22"/>
                <w:szCs w:val="22"/>
                <w:vertAlign w:val="superscript"/>
              </w:rPr>
              <w:t xml:space="preserve"> 2</w:t>
            </w:r>
          </w:p>
        </w:tc>
        <w:tc>
          <w:tcPr>
            <w:tcW w:w="1244" w:type="dxa"/>
          </w:tcPr>
          <w:p w14:paraId="0B036A76" w14:textId="77777777" w:rsidR="00D8365A" w:rsidRPr="00362517" w:rsidRDefault="00D8365A" w:rsidP="00BF6BC7">
            <w:pPr>
              <w:tabs>
                <w:tab w:val="decimal" w:pos="734"/>
              </w:tabs>
              <w:rPr>
                <w:sz w:val="22"/>
                <w:szCs w:val="22"/>
              </w:rPr>
            </w:pPr>
            <w:r w:rsidRPr="00362517">
              <w:rPr>
                <w:sz w:val="22"/>
                <w:szCs w:val="22"/>
              </w:rPr>
              <w:t>9</w:t>
            </w:r>
          </w:p>
        </w:tc>
        <w:tc>
          <w:tcPr>
            <w:tcW w:w="1244" w:type="dxa"/>
          </w:tcPr>
          <w:p w14:paraId="1D17F295" w14:textId="77777777" w:rsidR="00D8365A" w:rsidRPr="00362517" w:rsidRDefault="00D8365A" w:rsidP="00BF6BC7">
            <w:pPr>
              <w:tabs>
                <w:tab w:val="decimal" w:pos="727"/>
              </w:tabs>
              <w:rPr>
                <w:sz w:val="22"/>
                <w:szCs w:val="22"/>
              </w:rPr>
            </w:pPr>
            <w:r w:rsidRPr="00362517">
              <w:rPr>
                <w:sz w:val="22"/>
                <w:szCs w:val="22"/>
              </w:rPr>
              <w:t>74</w:t>
            </w:r>
          </w:p>
        </w:tc>
        <w:tc>
          <w:tcPr>
            <w:tcW w:w="1244" w:type="dxa"/>
          </w:tcPr>
          <w:p w14:paraId="3AC1FD12" w14:textId="77777777" w:rsidR="00D8365A" w:rsidRPr="00362517" w:rsidRDefault="00D8365A" w:rsidP="00BF6BC7">
            <w:pPr>
              <w:tabs>
                <w:tab w:val="decimal" w:pos="720"/>
              </w:tabs>
              <w:rPr>
                <w:sz w:val="22"/>
                <w:szCs w:val="22"/>
              </w:rPr>
            </w:pPr>
            <w:r w:rsidRPr="00362517">
              <w:rPr>
                <w:sz w:val="22"/>
                <w:szCs w:val="22"/>
              </w:rPr>
              <w:t>3</w:t>
            </w:r>
          </w:p>
        </w:tc>
        <w:tc>
          <w:tcPr>
            <w:tcW w:w="1244" w:type="dxa"/>
          </w:tcPr>
          <w:p w14:paraId="3F166532" w14:textId="77777777" w:rsidR="00D8365A" w:rsidRPr="00362517" w:rsidRDefault="00D8365A" w:rsidP="00BF6BC7">
            <w:pPr>
              <w:tabs>
                <w:tab w:val="decimal" w:pos="714"/>
              </w:tabs>
              <w:rPr>
                <w:sz w:val="22"/>
                <w:szCs w:val="22"/>
              </w:rPr>
            </w:pPr>
            <w:r w:rsidRPr="00362517">
              <w:rPr>
                <w:sz w:val="22"/>
                <w:szCs w:val="22"/>
              </w:rPr>
              <w:t>29</w:t>
            </w:r>
          </w:p>
        </w:tc>
        <w:tc>
          <w:tcPr>
            <w:tcW w:w="1244" w:type="dxa"/>
          </w:tcPr>
          <w:p w14:paraId="5934F7D8" w14:textId="77777777" w:rsidR="00D8365A" w:rsidRPr="00362517" w:rsidRDefault="00D8365A" w:rsidP="00BF6BC7">
            <w:pPr>
              <w:tabs>
                <w:tab w:val="decimal" w:pos="719"/>
              </w:tabs>
              <w:rPr>
                <w:sz w:val="22"/>
                <w:szCs w:val="22"/>
              </w:rPr>
            </w:pPr>
            <w:r w:rsidRPr="00362517">
              <w:rPr>
                <w:sz w:val="22"/>
                <w:szCs w:val="22"/>
              </w:rPr>
              <w:t>33</w:t>
            </w:r>
          </w:p>
        </w:tc>
        <w:tc>
          <w:tcPr>
            <w:tcW w:w="1245" w:type="dxa"/>
          </w:tcPr>
          <w:p w14:paraId="6014FAA6" w14:textId="77777777" w:rsidR="00D8365A" w:rsidRPr="00362517" w:rsidRDefault="00D8365A" w:rsidP="00BF6BC7">
            <w:pPr>
              <w:tabs>
                <w:tab w:val="decimal" w:pos="725"/>
              </w:tabs>
              <w:rPr>
                <w:sz w:val="22"/>
                <w:szCs w:val="22"/>
              </w:rPr>
            </w:pPr>
            <w:r w:rsidRPr="00362517">
              <w:rPr>
                <w:sz w:val="22"/>
                <w:szCs w:val="22"/>
              </w:rPr>
              <w:t>476</w:t>
            </w:r>
          </w:p>
        </w:tc>
      </w:tr>
      <w:tr w:rsidR="00D8365A" w:rsidRPr="00362517" w14:paraId="080A4D47" w14:textId="77777777" w:rsidTr="007A2164">
        <w:tc>
          <w:tcPr>
            <w:tcW w:w="1885" w:type="dxa"/>
          </w:tcPr>
          <w:p w14:paraId="07CE7231" w14:textId="77777777" w:rsidR="00D8365A" w:rsidRPr="00362517" w:rsidRDefault="00D8365A" w:rsidP="00BF6BC7">
            <w:pPr>
              <w:pStyle w:val="BodyText"/>
              <w:rPr>
                <w:rFonts w:cs="Times New Roman"/>
                <w:sz w:val="22"/>
                <w:szCs w:val="22"/>
              </w:rPr>
            </w:pPr>
            <w:r w:rsidRPr="00362517">
              <w:rPr>
                <w:rFonts w:cs="Times New Roman"/>
                <w:sz w:val="22"/>
                <w:szCs w:val="22"/>
              </w:rPr>
              <w:t>Louisiana</w:t>
            </w:r>
            <w:r w:rsidRPr="00362517">
              <w:rPr>
                <w:rFonts w:cs="Times New Roman"/>
                <w:sz w:val="22"/>
                <w:szCs w:val="22"/>
                <w:vertAlign w:val="superscript"/>
              </w:rPr>
              <w:t xml:space="preserve"> 2 3</w:t>
            </w:r>
          </w:p>
        </w:tc>
        <w:tc>
          <w:tcPr>
            <w:tcW w:w="1244" w:type="dxa"/>
          </w:tcPr>
          <w:p w14:paraId="15FF6804" w14:textId="77777777" w:rsidR="00D8365A" w:rsidRPr="00362517" w:rsidRDefault="00D8365A" w:rsidP="00BF6BC7">
            <w:pPr>
              <w:tabs>
                <w:tab w:val="decimal" w:pos="734"/>
              </w:tabs>
              <w:rPr>
                <w:sz w:val="22"/>
                <w:szCs w:val="22"/>
              </w:rPr>
            </w:pPr>
            <w:r w:rsidRPr="00362517">
              <w:rPr>
                <w:sz w:val="22"/>
                <w:szCs w:val="22"/>
              </w:rPr>
              <w:t>46</w:t>
            </w:r>
          </w:p>
        </w:tc>
        <w:tc>
          <w:tcPr>
            <w:tcW w:w="1244" w:type="dxa"/>
          </w:tcPr>
          <w:p w14:paraId="02462D5C" w14:textId="77777777" w:rsidR="00D8365A" w:rsidRPr="00362517" w:rsidRDefault="00D8365A" w:rsidP="00BF6BC7">
            <w:pPr>
              <w:tabs>
                <w:tab w:val="decimal" w:pos="727"/>
              </w:tabs>
              <w:rPr>
                <w:sz w:val="22"/>
                <w:szCs w:val="22"/>
              </w:rPr>
            </w:pPr>
            <w:r w:rsidRPr="00362517">
              <w:rPr>
                <w:sz w:val="22"/>
                <w:szCs w:val="22"/>
              </w:rPr>
              <w:t>386</w:t>
            </w:r>
          </w:p>
        </w:tc>
        <w:tc>
          <w:tcPr>
            <w:tcW w:w="1244" w:type="dxa"/>
          </w:tcPr>
          <w:p w14:paraId="5946D5F9" w14:textId="77777777" w:rsidR="00D8365A" w:rsidRPr="00362517" w:rsidRDefault="00D8365A" w:rsidP="00BF6BC7">
            <w:pPr>
              <w:tabs>
                <w:tab w:val="decimal" w:pos="720"/>
              </w:tabs>
              <w:rPr>
                <w:sz w:val="22"/>
                <w:szCs w:val="22"/>
              </w:rPr>
            </w:pPr>
            <w:r w:rsidRPr="00362517">
              <w:rPr>
                <w:sz w:val="22"/>
                <w:szCs w:val="22"/>
              </w:rPr>
              <w:t>1</w:t>
            </w:r>
          </w:p>
        </w:tc>
        <w:tc>
          <w:tcPr>
            <w:tcW w:w="1244" w:type="dxa"/>
          </w:tcPr>
          <w:p w14:paraId="0D8B8A1A" w14:textId="77777777" w:rsidR="00D8365A" w:rsidRPr="00362517" w:rsidRDefault="00D8365A" w:rsidP="00BF6BC7">
            <w:pPr>
              <w:tabs>
                <w:tab w:val="decimal" w:pos="714"/>
              </w:tabs>
              <w:rPr>
                <w:sz w:val="22"/>
                <w:szCs w:val="22"/>
              </w:rPr>
            </w:pPr>
            <w:r w:rsidRPr="00362517">
              <w:rPr>
                <w:sz w:val="22"/>
                <w:szCs w:val="22"/>
              </w:rPr>
              <w:t>6</w:t>
            </w:r>
          </w:p>
        </w:tc>
        <w:tc>
          <w:tcPr>
            <w:tcW w:w="1244" w:type="dxa"/>
          </w:tcPr>
          <w:p w14:paraId="3D3DCD5B" w14:textId="77777777" w:rsidR="00D8365A" w:rsidRPr="00362517" w:rsidRDefault="00D8365A" w:rsidP="00BF6BC7">
            <w:pPr>
              <w:tabs>
                <w:tab w:val="decimal" w:pos="719"/>
              </w:tabs>
              <w:rPr>
                <w:sz w:val="22"/>
                <w:szCs w:val="22"/>
              </w:rPr>
            </w:pPr>
            <w:r w:rsidRPr="00362517">
              <w:rPr>
                <w:sz w:val="22"/>
                <w:szCs w:val="22"/>
              </w:rPr>
              <w:t>13</w:t>
            </w:r>
          </w:p>
        </w:tc>
        <w:tc>
          <w:tcPr>
            <w:tcW w:w="1245" w:type="dxa"/>
          </w:tcPr>
          <w:p w14:paraId="06FBE199" w14:textId="77777777" w:rsidR="00D8365A" w:rsidRPr="00362517" w:rsidRDefault="00D8365A" w:rsidP="00BF6BC7">
            <w:pPr>
              <w:tabs>
                <w:tab w:val="decimal" w:pos="725"/>
              </w:tabs>
              <w:rPr>
                <w:sz w:val="22"/>
                <w:szCs w:val="22"/>
              </w:rPr>
            </w:pPr>
            <w:r w:rsidRPr="00362517">
              <w:rPr>
                <w:sz w:val="22"/>
                <w:szCs w:val="22"/>
              </w:rPr>
              <w:t>191</w:t>
            </w:r>
          </w:p>
        </w:tc>
      </w:tr>
      <w:tr w:rsidR="00D8365A" w:rsidRPr="00362517" w14:paraId="7226D158" w14:textId="77777777" w:rsidTr="007A2164">
        <w:tc>
          <w:tcPr>
            <w:tcW w:w="1885" w:type="dxa"/>
          </w:tcPr>
          <w:p w14:paraId="0E435418" w14:textId="77777777" w:rsidR="00D8365A" w:rsidRPr="00362517" w:rsidRDefault="00D8365A" w:rsidP="00BF6BC7">
            <w:pPr>
              <w:pStyle w:val="BodyText"/>
              <w:rPr>
                <w:rFonts w:cs="Times New Roman"/>
                <w:sz w:val="22"/>
                <w:szCs w:val="22"/>
              </w:rPr>
            </w:pPr>
            <w:r w:rsidRPr="00362517">
              <w:rPr>
                <w:rFonts w:cs="Times New Roman"/>
                <w:sz w:val="22"/>
                <w:szCs w:val="22"/>
              </w:rPr>
              <w:t>Maine</w:t>
            </w:r>
            <w:r w:rsidRPr="00362517">
              <w:rPr>
                <w:rFonts w:cs="Times New Roman"/>
                <w:sz w:val="22"/>
                <w:szCs w:val="22"/>
                <w:vertAlign w:val="superscript"/>
              </w:rPr>
              <w:t xml:space="preserve"> 2</w:t>
            </w:r>
          </w:p>
        </w:tc>
        <w:tc>
          <w:tcPr>
            <w:tcW w:w="1244" w:type="dxa"/>
          </w:tcPr>
          <w:p w14:paraId="47FDD224" w14:textId="77777777" w:rsidR="00D8365A" w:rsidRPr="00362517" w:rsidRDefault="00D8365A" w:rsidP="00BF6BC7">
            <w:pPr>
              <w:tabs>
                <w:tab w:val="decimal" w:pos="734"/>
              </w:tabs>
              <w:rPr>
                <w:sz w:val="22"/>
                <w:szCs w:val="22"/>
              </w:rPr>
            </w:pPr>
            <w:r w:rsidRPr="00362517">
              <w:rPr>
                <w:sz w:val="22"/>
                <w:szCs w:val="22"/>
              </w:rPr>
              <w:t>3</w:t>
            </w:r>
          </w:p>
        </w:tc>
        <w:tc>
          <w:tcPr>
            <w:tcW w:w="1244" w:type="dxa"/>
          </w:tcPr>
          <w:p w14:paraId="6F739C79" w14:textId="77777777" w:rsidR="00D8365A" w:rsidRPr="00362517" w:rsidRDefault="00D8365A" w:rsidP="00BF6BC7">
            <w:pPr>
              <w:tabs>
                <w:tab w:val="decimal" w:pos="727"/>
              </w:tabs>
              <w:rPr>
                <w:sz w:val="22"/>
                <w:szCs w:val="22"/>
              </w:rPr>
            </w:pPr>
            <w:r w:rsidRPr="00362517">
              <w:rPr>
                <w:sz w:val="22"/>
                <w:szCs w:val="22"/>
              </w:rPr>
              <w:t>26</w:t>
            </w:r>
          </w:p>
        </w:tc>
        <w:tc>
          <w:tcPr>
            <w:tcW w:w="1244" w:type="dxa"/>
          </w:tcPr>
          <w:p w14:paraId="4146AF4A" w14:textId="77777777" w:rsidR="00D8365A" w:rsidRPr="00362517" w:rsidRDefault="00D8365A" w:rsidP="00BF6BC7">
            <w:pPr>
              <w:tabs>
                <w:tab w:val="decimal" w:pos="720"/>
              </w:tabs>
              <w:rPr>
                <w:sz w:val="22"/>
                <w:szCs w:val="22"/>
              </w:rPr>
            </w:pPr>
            <w:r w:rsidRPr="00362517">
              <w:rPr>
                <w:sz w:val="22"/>
                <w:szCs w:val="22"/>
              </w:rPr>
              <w:t>0</w:t>
            </w:r>
          </w:p>
        </w:tc>
        <w:tc>
          <w:tcPr>
            <w:tcW w:w="1244" w:type="dxa"/>
          </w:tcPr>
          <w:p w14:paraId="4FBF81EC" w14:textId="77777777" w:rsidR="00D8365A" w:rsidRPr="00362517" w:rsidRDefault="00D8365A" w:rsidP="00BF6BC7">
            <w:pPr>
              <w:tabs>
                <w:tab w:val="decimal" w:pos="714"/>
              </w:tabs>
              <w:rPr>
                <w:sz w:val="22"/>
                <w:szCs w:val="22"/>
              </w:rPr>
            </w:pPr>
            <w:r w:rsidRPr="00362517">
              <w:rPr>
                <w:sz w:val="22"/>
                <w:szCs w:val="22"/>
              </w:rPr>
              <w:t>0</w:t>
            </w:r>
          </w:p>
        </w:tc>
        <w:tc>
          <w:tcPr>
            <w:tcW w:w="1244" w:type="dxa"/>
          </w:tcPr>
          <w:p w14:paraId="00E824FD" w14:textId="77777777" w:rsidR="00D8365A" w:rsidRPr="00362517" w:rsidRDefault="00D8365A" w:rsidP="00BF6BC7">
            <w:pPr>
              <w:tabs>
                <w:tab w:val="decimal" w:pos="719"/>
              </w:tabs>
              <w:rPr>
                <w:sz w:val="22"/>
                <w:szCs w:val="22"/>
              </w:rPr>
            </w:pPr>
            <w:r w:rsidRPr="00362517">
              <w:rPr>
                <w:sz w:val="22"/>
                <w:szCs w:val="22"/>
              </w:rPr>
              <w:t>6</w:t>
            </w:r>
          </w:p>
        </w:tc>
        <w:tc>
          <w:tcPr>
            <w:tcW w:w="1245" w:type="dxa"/>
          </w:tcPr>
          <w:p w14:paraId="64DFA0C0" w14:textId="77777777" w:rsidR="00D8365A" w:rsidRPr="00362517" w:rsidRDefault="00D8365A" w:rsidP="00BF6BC7">
            <w:pPr>
              <w:tabs>
                <w:tab w:val="decimal" w:pos="725"/>
              </w:tabs>
              <w:rPr>
                <w:sz w:val="22"/>
                <w:szCs w:val="22"/>
              </w:rPr>
            </w:pPr>
            <w:r w:rsidRPr="00362517">
              <w:rPr>
                <w:sz w:val="22"/>
                <w:szCs w:val="22"/>
              </w:rPr>
              <w:t>81</w:t>
            </w:r>
          </w:p>
        </w:tc>
      </w:tr>
      <w:tr w:rsidR="00D8365A" w:rsidRPr="00362517" w14:paraId="38EEC1B6" w14:textId="77777777" w:rsidTr="007A2164">
        <w:tc>
          <w:tcPr>
            <w:tcW w:w="1885" w:type="dxa"/>
          </w:tcPr>
          <w:p w14:paraId="563A2257" w14:textId="77777777" w:rsidR="00D8365A" w:rsidRPr="00362517" w:rsidRDefault="00D8365A" w:rsidP="00BF6BC7">
            <w:pPr>
              <w:pStyle w:val="BodyText"/>
              <w:rPr>
                <w:rFonts w:cs="Times New Roman"/>
                <w:sz w:val="22"/>
                <w:szCs w:val="22"/>
              </w:rPr>
            </w:pPr>
            <w:r w:rsidRPr="00362517">
              <w:rPr>
                <w:rFonts w:cs="Times New Roman"/>
                <w:sz w:val="22"/>
                <w:szCs w:val="22"/>
              </w:rPr>
              <w:t>Maryland</w:t>
            </w:r>
            <w:r w:rsidRPr="00362517">
              <w:rPr>
                <w:rFonts w:cs="Times New Roman"/>
                <w:sz w:val="22"/>
                <w:szCs w:val="22"/>
                <w:vertAlign w:val="superscript"/>
              </w:rPr>
              <w:t xml:space="preserve"> 2</w:t>
            </w:r>
          </w:p>
        </w:tc>
        <w:tc>
          <w:tcPr>
            <w:tcW w:w="1244" w:type="dxa"/>
          </w:tcPr>
          <w:p w14:paraId="0F4449BC" w14:textId="77777777" w:rsidR="00D8365A" w:rsidRPr="00362517" w:rsidRDefault="00D8365A" w:rsidP="00BF6BC7">
            <w:pPr>
              <w:tabs>
                <w:tab w:val="decimal" w:pos="734"/>
              </w:tabs>
              <w:rPr>
                <w:sz w:val="22"/>
                <w:szCs w:val="22"/>
              </w:rPr>
            </w:pPr>
            <w:r w:rsidRPr="00362517">
              <w:rPr>
                <w:sz w:val="22"/>
                <w:szCs w:val="22"/>
              </w:rPr>
              <w:t>5</w:t>
            </w:r>
          </w:p>
        </w:tc>
        <w:tc>
          <w:tcPr>
            <w:tcW w:w="1244" w:type="dxa"/>
          </w:tcPr>
          <w:p w14:paraId="49CD7AE0" w14:textId="77777777" w:rsidR="00D8365A" w:rsidRPr="00362517" w:rsidRDefault="00D8365A" w:rsidP="00BF6BC7">
            <w:pPr>
              <w:tabs>
                <w:tab w:val="decimal" w:pos="727"/>
              </w:tabs>
              <w:rPr>
                <w:sz w:val="22"/>
                <w:szCs w:val="22"/>
              </w:rPr>
            </w:pPr>
            <w:r w:rsidRPr="00362517">
              <w:rPr>
                <w:sz w:val="22"/>
                <w:szCs w:val="22"/>
              </w:rPr>
              <w:t>45</w:t>
            </w:r>
          </w:p>
        </w:tc>
        <w:tc>
          <w:tcPr>
            <w:tcW w:w="1244" w:type="dxa"/>
          </w:tcPr>
          <w:p w14:paraId="6AEFCB73" w14:textId="77777777" w:rsidR="00D8365A" w:rsidRPr="00362517" w:rsidRDefault="00D8365A" w:rsidP="00BF6BC7">
            <w:pPr>
              <w:tabs>
                <w:tab w:val="decimal" w:pos="720"/>
              </w:tabs>
              <w:rPr>
                <w:sz w:val="22"/>
                <w:szCs w:val="22"/>
              </w:rPr>
            </w:pPr>
            <w:r w:rsidRPr="00362517">
              <w:rPr>
                <w:sz w:val="22"/>
                <w:szCs w:val="22"/>
              </w:rPr>
              <w:t>6</w:t>
            </w:r>
          </w:p>
        </w:tc>
        <w:tc>
          <w:tcPr>
            <w:tcW w:w="1244" w:type="dxa"/>
          </w:tcPr>
          <w:p w14:paraId="0C5CE015" w14:textId="77777777" w:rsidR="00D8365A" w:rsidRPr="00362517" w:rsidRDefault="00D8365A" w:rsidP="00BF6BC7">
            <w:pPr>
              <w:tabs>
                <w:tab w:val="decimal" w:pos="714"/>
              </w:tabs>
              <w:rPr>
                <w:sz w:val="22"/>
                <w:szCs w:val="22"/>
              </w:rPr>
            </w:pPr>
            <w:r w:rsidRPr="00362517">
              <w:rPr>
                <w:sz w:val="22"/>
                <w:szCs w:val="22"/>
              </w:rPr>
              <w:t>50</w:t>
            </w:r>
          </w:p>
        </w:tc>
        <w:tc>
          <w:tcPr>
            <w:tcW w:w="1244" w:type="dxa"/>
          </w:tcPr>
          <w:p w14:paraId="620D4F48" w14:textId="77777777" w:rsidR="00D8365A" w:rsidRPr="00362517" w:rsidRDefault="00D8365A" w:rsidP="00BF6BC7">
            <w:pPr>
              <w:tabs>
                <w:tab w:val="decimal" w:pos="719"/>
              </w:tabs>
              <w:rPr>
                <w:sz w:val="22"/>
                <w:szCs w:val="22"/>
              </w:rPr>
            </w:pPr>
            <w:r w:rsidRPr="00362517">
              <w:rPr>
                <w:sz w:val="22"/>
                <w:szCs w:val="22"/>
              </w:rPr>
              <w:t>98</w:t>
            </w:r>
          </w:p>
        </w:tc>
        <w:tc>
          <w:tcPr>
            <w:tcW w:w="1245" w:type="dxa"/>
          </w:tcPr>
          <w:p w14:paraId="33A76C33" w14:textId="77777777" w:rsidR="00D8365A" w:rsidRPr="00362517" w:rsidRDefault="00D8365A" w:rsidP="00BF6BC7">
            <w:pPr>
              <w:tabs>
                <w:tab w:val="decimal" w:pos="725"/>
              </w:tabs>
              <w:rPr>
                <w:sz w:val="22"/>
                <w:szCs w:val="22"/>
              </w:rPr>
            </w:pPr>
            <w:r w:rsidRPr="00362517">
              <w:rPr>
                <w:sz w:val="22"/>
                <w:szCs w:val="22"/>
              </w:rPr>
              <w:t>1,402</w:t>
            </w:r>
          </w:p>
        </w:tc>
      </w:tr>
      <w:tr w:rsidR="00D8365A" w:rsidRPr="00362517" w14:paraId="29AB41BB" w14:textId="77777777" w:rsidTr="007A2164">
        <w:tc>
          <w:tcPr>
            <w:tcW w:w="1885" w:type="dxa"/>
          </w:tcPr>
          <w:p w14:paraId="3A8A2D26" w14:textId="77777777" w:rsidR="00D8365A" w:rsidRPr="00362517" w:rsidRDefault="00D8365A" w:rsidP="00BF6BC7">
            <w:pPr>
              <w:pStyle w:val="BodyText"/>
              <w:rPr>
                <w:rFonts w:cs="Times New Roman"/>
                <w:sz w:val="22"/>
                <w:szCs w:val="22"/>
              </w:rPr>
            </w:pPr>
            <w:r w:rsidRPr="00362517">
              <w:rPr>
                <w:rFonts w:cs="Times New Roman"/>
                <w:sz w:val="22"/>
                <w:szCs w:val="22"/>
              </w:rPr>
              <w:t>Massachusetts</w:t>
            </w:r>
            <w:r w:rsidRPr="00362517">
              <w:rPr>
                <w:rFonts w:cs="Times New Roman"/>
                <w:sz w:val="22"/>
                <w:szCs w:val="22"/>
                <w:vertAlign w:val="superscript"/>
              </w:rPr>
              <w:t xml:space="preserve"> 2</w:t>
            </w:r>
          </w:p>
        </w:tc>
        <w:tc>
          <w:tcPr>
            <w:tcW w:w="1244" w:type="dxa"/>
          </w:tcPr>
          <w:p w14:paraId="61F2CFF6" w14:textId="77777777" w:rsidR="00D8365A" w:rsidRPr="00362517" w:rsidRDefault="00D8365A" w:rsidP="00BF6BC7">
            <w:pPr>
              <w:tabs>
                <w:tab w:val="decimal" w:pos="734"/>
              </w:tabs>
              <w:rPr>
                <w:sz w:val="22"/>
                <w:szCs w:val="22"/>
              </w:rPr>
            </w:pPr>
            <w:r w:rsidRPr="00362517">
              <w:rPr>
                <w:sz w:val="22"/>
                <w:szCs w:val="22"/>
              </w:rPr>
              <w:t>2</w:t>
            </w:r>
          </w:p>
        </w:tc>
        <w:tc>
          <w:tcPr>
            <w:tcW w:w="1244" w:type="dxa"/>
          </w:tcPr>
          <w:p w14:paraId="3B21034F" w14:textId="77777777" w:rsidR="00D8365A" w:rsidRPr="00362517" w:rsidRDefault="00D8365A" w:rsidP="00BF6BC7">
            <w:pPr>
              <w:tabs>
                <w:tab w:val="decimal" w:pos="727"/>
              </w:tabs>
              <w:rPr>
                <w:sz w:val="22"/>
                <w:szCs w:val="22"/>
              </w:rPr>
            </w:pPr>
            <w:r w:rsidRPr="00362517">
              <w:rPr>
                <w:sz w:val="22"/>
                <w:szCs w:val="22"/>
              </w:rPr>
              <w:t>17</w:t>
            </w:r>
          </w:p>
        </w:tc>
        <w:tc>
          <w:tcPr>
            <w:tcW w:w="1244" w:type="dxa"/>
          </w:tcPr>
          <w:p w14:paraId="7C88B999" w14:textId="77777777" w:rsidR="00D8365A" w:rsidRPr="00362517" w:rsidRDefault="00D8365A" w:rsidP="00BF6BC7">
            <w:pPr>
              <w:tabs>
                <w:tab w:val="decimal" w:pos="720"/>
              </w:tabs>
              <w:rPr>
                <w:sz w:val="22"/>
                <w:szCs w:val="22"/>
              </w:rPr>
            </w:pPr>
            <w:r w:rsidRPr="00362517">
              <w:rPr>
                <w:sz w:val="22"/>
                <w:szCs w:val="22"/>
              </w:rPr>
              <w:t>1</w:t>
            </w:r>
          </w:p>
        </w:tc>
        <w:tc>
          <w:tcPr>
            <w:tcW w:w="1244" w:type="dxa"/>
          </w:tcPr>
          <w:p w14:paraId="244522DC" w14:textId="77777777" w:rsidR="00D8365A" w:rsidRPr="00362517" w:rsidRDefault="00D8365A" w:rsidP="00BF6BC7">
            <w:pPr>
              <w:tabs>
                <w:tab w:val="decimal" w:pos="714"/>
              </w:tabs>
              <w:rPr>
                <w:sz w:val="22"/>
                <w:szCs w:val="22"/>
              </w:rPr>
            </w:pPr>
            <w:r w:rsidRPr="00362517">
              <w:rPr>
                <w:sz w:val="22"/>
                <w:szCs w:val="22"/>
              </w:rPr>
              <w:t>9</w:t>
            </w:r>
          </w:p>
        </w:tc>
        <w:tc>
          <w:tcPr>
            <w:tcW w:w="1244" w:type="dxa"/>
          </w:tcPr>
          <w:p w14:paraId="0B572A91" w14:textId="77777777" w:rsidR="00D8365A" w:rsidRPr="00362517" w:rsidRDefault="00D8365A" w:rsidP="00BF6BC7">
            <w:pPr>
              <w:tabs>
                <w:tab w:val="decimal" w:pos="719"/>
              </w:tabs>
              <w:rPr>
                <w:sz w:val="22"/>
                <w:szCs w:val="22"/>
              </w:rPr>
            </w:pPr>
            <w:r w:rsidRPr="00362517">
              <w:rPr>
                <w:sz w:val="22"/>
                <w:szCs w:val="22"/>
              </w:rPr>
              <w:t>3</w:t>
            </w:r>
          </w:p>
        </w:tc>
        <w:tc>
          <w:tcPr>
            <w:tcW w:w="1245" w:type="dxa"/>
          </w:tcPr>
          <w:p w14:paraId="2A08AB95" w14:textId="77777777" w:rsidR="00D8365A" w:rsidRPr="00362517" w:rsidRDefault="00D8365A" w:rsidP="00BF6BC7">
            <w:pPr>
              <w:tabs>
                <w:tab w:val="decimal" w:pos="725"/>
              </w:tabs>
              <w:rPr>
                <w:sz w:val="22"/>
                <w:szCs w:val="22"/>
              </w:rPr>
            </w:pPr>
            <w:r w:rsidRPr="00362517">
              <w:rPr>
                <w:sz w:val="22"/>
                <w:szCs w:val="22"/>
              </w:rPr>
              <w:t>39</w:t>
            </w:r>
          </w:p>
        </w:tc>
      </w:tr>
      <w:tr w:rsidR="00D8365A" w:rsidRPr="00362517" w14:paraId="2F80C6DF" w14:textId="77777777" w:rsidTr="007A2164">
        <w:tc>
          <w:tcPr>
            <w:tcW w:w="1885" w:type="dxa"/>
          </w:tcPr>
          <w:p w14:paraId="2A056B2B" w14:textId="77777777" w:rsidR="00D8365A" w:rsidRPr="00362517" w:rsidRDefault="00D8365A" w:rsidP="00BF6BC7">
            <w:pPr>
              <w:pStyle w:val="BodyText"/>
              <w:rPr>
                <w:rFonts w:cs="Times New Roman"/>
                <w:sz w:val="22"/>
                <w:szCs w:val="22"/>
              </w:rPr>
            </w:pPr>
            <w:r w:rsidRPr="00362517">
              <w:rPr>
                <w:rFonts w:cs="Times New Roman"/>
                <w:sz w:val="22"/>
                <w:szCs w:val="22"/>
              </w:rPr>
              <w:t>Michigan</w:t>
            </w:r>
            <w:r w:rsidRPr="00362517">
              <w:rPr>
                <w:rFonts w:cs="Times New Roman"/>
                <w:sz w:val="22"/>
                <w:szCs w:val="22"/>
                <w:vertAlign w:val="superscript"/>
              </w:rPr>
              <w:t xml:space="preserve"> 2 3</w:t>
            </w:r>
          </w:p>
        </w:tc>
        <w:tc>
          <w:tcPr>
            <w:tcW w:w="1244" w:type="dxa"/>
          </w:tcPr>
          <w:p w14:paraId="2CED07FF" w14:textId="77777777" w:rsidR="00D8365A" w:rsidRPr="00362517" w:rsidRDefault="00D8365A" w:rsidP="00BF6BC7">
            <w:pPr>
              <w:tabs>
                <w:tab w:val="decimal" w:pos="734"/>
              </w:tabs>
              <w:rPr>
                <w:sz w:val="22"/>
                <w:szCs w:val="22"/>
              </w:rPr>
            </w:pPr>
            <w:r w:rsidRPr="00362517">
              <w:rPr>
                <w:sz w:val="22"/>
                <w:szCs w:val="22"/>
              </w:rPr>
              <w:t>10</w:t>
            </w:r>
          </w:p>
        </w:tc>
        <w:tc>
          <w:tcPr>
            <w:tcW w:w="1244" w:type="dxa"/>
          </w:tcPr>
          <w:p w14:paraId="1C587E08" w14:textId="77777777" w:rsidR="00D8365A" w:rsidRPr="00362517" w:rsidRDefault="00D8365A" w:rsidP="00BF6BC7">
            <w:pPr>
              <w:tabs>
                <w:tab w:val="decimal" w:pos="727"/>
              </w:tabs>
              <w:rPr>
                <w:sz w:val="22"/>
                <w:szCs w:val="22"/>
              </w:rPr>
            </w:pPr>
            <w:r w:rsidRPr="00362517">
              <w:rPr>
                <w:sz w:val="22"/>
                <w:szCs w:val="22"/>
              </w:rPr>
              <w:t>80</w:t>
            </w:r>
          </w:p>
        </w:tc>
        <w:tc>
          <w:tcPr>
            <w:tcW w:w="1244" w:type="dxa"/>
          </w:tcPr>
          <w:p w14:paraId="09E7BBD2" w14:textId="77777777" w:rsidR="00D8365A" w:rsidRPr="00362517" w:rsidRDefault="00D8365A" w:rsidP="00BF6BC7">
            <w:pPr>
              <w:tabs>
                <w:tab w:val="decimal" w:pos="720"/>
              </w:tabs>
              <w:rPr>
                <w:sz w:val="22"/>
                <w:szCs w:val="22"/>
              </w:rPr>
            </w:pPr>
            <w:r w:rsidRPr="00362517">
              <w:rPr>
                <w:sz w:val="22"/>
                <w:szCs w:val="22"/>
              </w:rPr>
              <w:t>19</w:t>
            </w:r>
          </w:p>
        </w:tc>
        <w:tc>
          <w:tcPr>
            <w:tcW w:w="1244" w:type="dxa"/>
          </w:tcPr>
          <w:p w14:paraId="1A1D22A3" w14:textId="77777777" w:rsidR="00D8365A" w:rsidRPr="00362517" w:rsidRDefault="00D8365A" w:rsidP="00BF6BC7">
            <w:pPr>
              <w:tabs>
                <w:tab w:val="decimal" w:pos="714"/>
              </w:tabs>
              <w:rPr>
                <w:sz w:val="22"/>
                <w:szCs w:val="22"/>
              </w:rPr>
            </w:pPr>
            <w:r w:rsidRPr="00362517">
              <w:rPr>
                <w:sz w:val="22"/>
                <w:szCs w:val="22"/>
              </w:rPr>
              <w:t>176</w:t>
            </w:r>
          </w:p>
        </w:tc>
        <w:tc>
          <w:tcPr>
            <w:tcW w:w="1244" w:type="dxa"/>
          </w:tcPr>
          <w:p w14:paraId="6AC6754B" w14:textId="77777777" w:rsidR="00D8365A" w:rsidRPr="00362517" w:rsidRDefault="00D8365A" w:rsidP="00BF6BC7">
            <w:pPr>
              <w:tabs>
                <w:tab w:val="decimal" w:pos="719"/>
              </w:tabs>
              <w:rPr>
                <w:sz w:val="22"/>
                <w:szCs w:val="22"/>
              </w:rPr>
            </w:pPr>
            <w:r w:rsidRPr="00362517">
              <w:rPr>
                <w:sz w:val="22"/>
                <w:szCs w:val="22"/>
              </w:rPr>
              <w:t>32</w:t>
            </w:r>
          </w:p>
        </w:tc>
        <w:tc>
          <w:tcPr>
            <w:tcW w:w="1245" w:type="dxa"/>
          </w:tcPr>
          <w:p w14:paraId="5A8EB348" w14:textId="77777777" w:rsidR="00D8365A" w:rsidRPr="00362517" w:rsidRDefault="00D8365A" w:rsidP="00BF6BC7">
            <w:pPr>
              <w:tabs>
                <w:tab w:val="decimal" w:pos="725"/>
              </w:tabs>
              <w:rPr>
                <w:sz w:val="22"/>
                <w:szCs w:val="22"/>
              </w:rPr>
            </w:pPr>
            <w:r w:rsidRPr="00362517">
              <w:rPr>
                <w:sz w:val="22"/>
                <w:szCs w:val="22"/>
              </w:rPr>
              <w:t>461</w:t>
            </w:r>
          </w:p>
        </w:tc>
      </w:tr>
      <w:tr w:rsidR="00D8365A" w:rsidRPr="00362517" w14:paraId="6B35CE10" w14:textId="77777777" w:rsidTr="007A2164">
        <w:tc>
          <w:tcPr>
            <w:tcW w:w="1885" w:type="dxa"/>
          </w:tcPr>
          <w:p w14:paraId="7A5A1A32" w14:textId="77777777" w:rsidR="00D8365A" w:rsidRPr="00362517" w:rsidRDefault="00D8365A" w:rsidP="00BF6BC7">
            <w:pPr>
              <w:pStyle w:val="BodyText"/>
              <w:rPr>
                <w:rFonts w:cs="Times New Roman"/>
                <w:sz w:val="22"/>
                <w:szCs w:val="22"/>
              </w:rPr>
            </w:pPr>
            <w:r w:rsidRPr="00362517">
              <w:rPr>
                <w:rFonts w:cs="Times New Roman"/>
                <w:sz w:val="22"/>
                <w:szCs w:val="22"/>
              </w:rPr>
              <w:t>Minnesota</w:t>
            </w:r>
          </w:p>
        </w:tc>
        <w:tc>
          <w:tcPr>
            <w:tcW w:w="1244" w:type="dxa"/>
          </w:tcPr>
          <w:p w14:paraId="6DABF16A" w14:textId="77777777" w:rsidR="00D8365A" w:rsidRPr="00362517" w:rsidRDefault="00D8365A" w:rsidP="00BF6BC7">
            <w:pPr>
              <w:tabs>
                <w:tab w:val="decimal" w:pos="734"/>
              </w:tabs>
              <w:rPr>
                <w:sz w:val="22"/>
                <w:szCs w:val="22"/>
              </w:rPr>
            </w:pPr>
            <w:r w:rsidRPr="00362517">
              <w:rPr>
                <w:sz w:val="22"/>
                <w:szCs w:val="22"/>
              </w:rPr>
              <w:t>48</w:t>
            </w:r>
          </w:p>
        </w:tc>
        <w:tc>
          <w:tcPr>
            <w:tcW w:w="1244" w:type="dxa"/>
          </w:tcPr>
          <w:p w14:paraId="78595615" w14:textId="77777777" w:rsidR="00D8365A" w:rsidRPr="00362517" w:rsidRDefault="00D8365A" w:rsidP="00BF6BC7">
            <w:pPr>
              <w:tabs>
                <w:tab w:val="decimal" w:pos="727"/>
              </w:tabs>
              <w:rPr>
                <w:sz w:val="22"/>
                <w:szCs w:val="22"/>
              </w:rPr>
            </w:pPr>
            <w:r w:rsidRPr="00362517">
              <w:rPr>
                <w:sz w:val="22"/>
                <w:szCs w:val="22"/>
              </w:rPr>
              <w:t>398</w:t>
            </w:r>
          </w:p>
        </w:tc>
        <w:tc>
          <w:tcPr>
            <w:tcW w:w="1244" w:type="dxa"/>
          </w:tcPr>
          <w:p w14:paraId="16485719" w14:textId="77777777" w:rsidR="00D8365A" w:rsidRPr="00362517" w:rsidRDefault="00D8365A" w:rsidP="00BF6BC7">
            <w:pPr>
              <w:tabs>
                <w:tab w:val="decimal" w:pos="720"/>
              </w:tabs>
              <w:rPr>
                <w:sz w:val="22"/>
                <w:szCs w:val="22"/>
              </w:rPr>
            </w:pPr>
            <w:r w:rsidRPr="00362517">
              <w:rPr>
                <w:sz w:val="22"/>
                <w:szCs w:val="22"/>
              </w:rPr>
              <w:t>2</w:t>
            </w:r>
          </w:p>
        </w:tc>
        <w:tc>
          <w:tcPr>
            <w:tcW w:w="1244" w:type="dxa"/>
          </w:tcPr>
          <w:p w14:paraId="70420A1C" w14:textId="77777777" w:rsidR="00D8365A" w:rsidRPr="00362517" w:rsidRDefault="00D8365A" w:rsidP="00BF6BC7">
            <w:pPr>
              <w:tabs>
                <w:tab w:val="decimal" w:pos="714"/>
              </w:tabs>
              <w:rPr>
                <w:sz w:val="22"/>
                <w:szCs w:val="22"/>
              </w:rPr>
            </w:pPr>
            <w:r w:rsidRPr="00362517">
              <w:rPr>
                <w:sz w:val="22"/>
                <w:szCs w:val="22"/>
              </w:rPr>
              <w:t>19</w:t>
            </w:r>
          </w:p>
        </w:tc>
        <w:tc>
          <w:tcPr>
            <w:tcW w:w="1244" w:type="dxa"/>
          </w:tcPr>
          <w:p w14:paraId="308ABE92" w14:textId="77777777" w:rsidR="00D8365A" w:rsidRPr="00362517" w:rsidRDefault="00D8365A" w:rsidP="00BF6BC7">
            <w:pPr>
              <w:tabs>
                <w:tab w:val="decimal" w:pos="719"/>
              </w:tabs>
              <w:rPr>
                <w:sz w:val="22"/>
                <w:szCs w:val="22"/>
              </w:rPr>
            </w:pPr>
            <w:r w:rsidRPr="00362517">
              <w:rPr>
                <w:sz w:val="22"/>
                <w:szCs w:val="22"/>
              </w:rPr>
              <w:t>21</w:t>
            </w:r>
          </w:p>
        </w:tc>
        <w:tc>
          <w:tcPr>
            <w:tcW w:w="1245" w:type="dxa"/>
          </w:tcPr>
          <w:p w14:paraId="55BDBE2E" w14:textId="77777777" w:rsidR="00D8365A" w:rsidRPr="00362517" w:rsidRDefault="00D8365A" w:rsidP="00BF6BC7">
            <w:pPr>
              <w:tabs>
                <w:tab w:val="decimal" w:pos="725"/>
              </w:tabs>
              <w:rPr>
                <w:sz w:val="22"/>
                <w:szCs w:val="22"/>
              </w:rPr>
            </w:pPr>
            <w:r w:rsidRPr="00362517">
              <w:rPr>
                <w:sz w:val="22"/>
                <w:szCs w:val="22"/>
              </w:rPr>
              <w:t>305</w:t>
            </w:r>
          </w:p>
        </w:tc>
      </w:tr>
      <w:tr w:rsidR="00D8365A" w:rsidRPr="00362517" w14:paraId="31E4F973" w14:textId="77777777" w:rsidTr="007A2164">
        <w:tc>
          <w:tcPr>
            <w:tcW w:w="1885" w:type="dxa"/>
          </w:tcPr>
          <w:p w14:paraId="0A2F3679" w14:textId="77777777" w:rsidR="00D8365A" w:rsidRPr="00362517" w:rsidRDefault="00D8365A" w:rsidP="00BF6BC7">
            <w:pPr>
              <w:pStyle w:val="BodyText"/>
              <w:rPr>
                <w:rFonts w:cs="Times New Roman"/>
                <w:sz w:val="22"/>
                <w:szCs w:val="22"/>
              </w:rPr>
            </w:pPr>
            <w:r w:rsidRPr="00362517">
              <w:rPr>
                <w:rFonts w:cs="Times New Roman"/>
                <w:sz w:val="22"/>
                <w:szCs w:val="22"/>
              </w:rPr>
              <w:t>Mississippi</w:t>
            </w:r>
            <w:r w:rsidRPr="00362517">
              <w:rPr>
                <w:rFonts w:cs="Times New Roman"/>
                <w:sz w:val="22"/>
                <w:szCs w:val="22"/>
                <w:vertAlign w:val="superscript"/>
              </w:rPr>
              <w:t xml:space="preserve"> 2</w:t>
            </w:r>
          </w:p>
        </w:tc>
        <w:tc>
          <w:tcPr>
            <w:tcW w:w="1244" w:type="dxa"/>
          </w:tcPr>
          <w:p w14:paraId="504980C5" w14:textId="77777777" w:rsidR="00D8365A" w:rsidRPr="00362517" w:rsidRDefault="00D8365A" w:rsidP="00BF6BC7">
            <w:pPr>
              <w:tabs>
                <w:tab w:val="decimal" w:pos="734"/>
              </w:tabs>
              <w:rPr>
                <w:sz w:val="22"/>
                <w:szCs w:val="22"/>
              </w:rPr>
            </w:pPr>
            <w:r w:rsidRPr="00362517">
              <w:rPr>
                <w:sz w:val="22"/>
                <w:szCs w:val="22"/>
              </w:rPr>
              <w:t>28</w:t>
            </w:r>
          </w:p>
        </w:tc>
        <w:tc>
          <w:tcPr>
            <w:tcW w:w="1244" w:type="dxa"/>
          </w:tcPr>
          <w:p w14:paraId="2EDDE3FA" w14:textId="77777777" w:rsidR="00D8365A" w:rsidRPr="00362517" w:rsidRDefault="00D8365A" w:rsidP="00BF6BC7">
            <w:pPr>
              <w:tabs>
                <w:tab w:val="decimal" w:pos="727"/>
              </w:tabs>
              <w:rPr>
                <w:sz w:val="22"/>
                <w:szCs w:val="22"/>
              </w:rPr>
            </w:pPr>
            <w:r w:rsidRPr="00362517">
              <w:rPr>
                <w:sz w:val="22"/>
                <w:szCs w:val="22"/>
              </w:rPr>
              <w:t>233</w:t>
            </w:r>
          </w:p>
        </w:tc>
        <w:tc>
          <w:tcPr>
            <w:tcW w:w="1244" w:type="dxa"/>
          </w:tcPr>
          <w:p w14:paraId="117FC291" w14:textId="77777777" w:rsidR="00D8365A" w:rsidRPr="00362517" w:rsidRDefault="00D8365A" w:rsidP="00BF6BC7">
            <w:pPr>
              <w:tabs>
                <w:tab w:val="decimal" w:pos="720"/>
              </w:tabs>
              <w:rPr>
                <w:sz w:val="22"/>
                <w:szCs w:val="22"/>
              </w:rPr>
            </w:pPr>
            <w:r w:rsidRPr="00362517">
              <w:rPr>
                <w:sz w:val="22"/>
                <w:szCs w:val="22"/>
              </w:rPr>
              <w:t>1</w:t>
            </w:r>
          </w:p>
        </w:tc>
        <w:tc>
          <w:tcPr>
            <w:tcW w:w="1244" w:type="dxa"/>
          </w:tcPr>
          <w:p w14:paraId="6D57F8DC" w14:textId="77777777" w:rsidR="00D8365A" w:rsidRPr="00362517" w:rsidRDefault="00D8365A" w:rsidP="00BF6BC7">
            <w:pPr>
              <w:tabs>
                <w:tab w:val="decimal" w:pos="714"/>
              </w:tabs>
              <w:rPr>
                <w:sz w:val="22"/>
                <w:szCs w:val="22"/>
              </w:rPr>
            </w:pPr>
            <w:r w:rsidRPr="00362517">
              <w:rPr>
                <w:sz w:val="22"/>
                <w:szCs w:val="22"/>
              </w:rPr>
              <w:t>10</w:t>
            </w:r>
          </w:p>
        </w:tc>
        <w:tc>
          <w:tcPr>
            <w:tcW w:w="1244" w:type="dxa"/>
          </w:tcPr>
          <w:p w14:paraId="62F2F500" w14:textId="77777777" w:rsidR="00D8365A" w:rsidRPr="00362517" w:rsidRDefault="00D8365A" w:rsidP="00BF6BC7">
            <w:pPr>
              <w:tabs>
                <w:tab w:val="decimal" w:pos="719"/>
              </w:tabs>
              <w:rPr>
                <w:sz w:val="22"/>
                <w:szCs w:val="22"/>
              </w:rPr>
            </w:pPr>
            <w:r w:rsidRPr="00362517">
              <w:rPr>
                <w:sz w:val="22"/>
                <w:szCs w:val="22"/>
              </w:rPr>
              <w:t>4</w:t>
            </w:r>
          </w:p>
        </w:tc>
        <w:tc>
          <w:tcPr>
            <w:tcW w:w="1245" w:type="dxa"/>
          </w:tcPr>
          <w:p w14:paraId="1DADDC31" w14:textId="77777777" w:rsidR="00D8365A" w:rsidRPr="00362517" w:rsidRDefault="00D8365A" w:rsidP="00BF6BC7">
            <w:pPr>
              <w:tabs>
                <w:tab w:val="decimal" w:pos="725"/>
              </w:tabs>
              <w:rPr>
                <w:sz w:val="22"/>
                <w:szCs w:val="22"/>
              </w:rPr>
            </w:pPr>
            <w:r w:rsidRPr="00362517">
              <w:rPr>
                <w:sz w:val="22"/>
                <w:szCs w:val="22"/>
              </w:rPr>
              <w:t>63</w:t>
            </w:r>
          </w:p>
        </w:tc>
      </w:tr>
      <w:tr w:rsidR="00D8365A" w:rsidRPr="00362517" w14:paraId="59841B1F" w14:textId="77777777" w:rsidTr="007A2164">
        <w:tc>
          <w:tcPr>
            <w:tcW w:w="1885" w:type="dxa"/>
          </w:tcPr>
          <w:p w14:paraId="38428CB7" w14:textId="77777777" w:rsidR="00D8365A" w:rsidRPr="00362517" w:rsidRDefault="00D8365A" w:rsidP="00BF6BC7">
            <w:pPr>
              <w:pStyle w:val="BodyText"/>
              <w:rPr>
                <w:rFonts w:cs="Times New Roman"/>
                <w:sz w:val="22"/>
                <w:szCs w:val="22"/>
              </w:rPr>
            </w:pPr>
            <w:r w:rsidRPr="00362517">
              <w:rPr>
                <w:rFonts w:cs="Times New Roman"/>
                <w:sz w:val="22"/>
                <w:szCs w:val="22"/>
              </w:rPr>
              <w:t>Missouri</w:t>
            </w:r>
            <w:r w:rsidRPr="00362517">
              <w:rPr>
                <w:rFonts w:cs="Times New Roman"/>
                <w:sz w:val="22"/>
                <w:szCs w:val="22"/>
                <w:vertAlign w:val="superscript"/>
              </w:rPr>
              <w:t xml:space="preserve"> 1 2</w:t>
            </w:r>
          </w:p>
        </w:tc>
        <w:tc>
          <w:tcPr>
            <w:tcW w:w="1244" w:type="dxa"/>
          </w:tcPr>
          <w:p w14:paraId="6C1D1D72" w14:textId="77777777" w:rsidR="00D8365A" w:rsidRPr="00362517" w:rsidRDefault="00D8365A" w:rsidP="00BF6BC7">
            <w:pPr>
              <w:tabs>
                <w:tab w:val="decimal" w:pos="734"/>
              </w:tabs>
              <w:rPr>
                <w:sz w:val="22"/>
                <w:szCs w:val="22"/>
              </w:rPr>
            </w:pPr>
            <w:r w:rsidRPr="00362517">
              <w:rPr>
                <w:sz w:val="22"/>
                <w:szCs w:val="22"/>
              </w:rPr>
              <w:t>30</w:t>
            </w:r>
          </w:p>
        </w:tc>
        <w:tc>
          <w:tcPr>
            <w:tcW w:w="1244" w:type="dxa"/>
          </w:tcPr>
          <w:p w14:paraId="33FF9DDE" w14:textId="77777777" w:rsidR="00D8365A" w:rsidRPr="00362517" w:rsidRDefault="00D8365A" w:rsidP="00BF6BC7">
            <w:pPr>
              <w:tabs>
                <w:tab w:val="decimal" w:pos="727"/>
              </w:tabs>
              <w:rPr>
                <w:sz w:val="22"/>
                <w:szCs w:val="22"/>
              </w:rPr>
            </w:pPr>
            <w:r w:rsidRPr="00362517">
              <w:rPr>
                <w:sz w:val="22"/>
                <w:szCs w:val="22"/>
              </w:rPr>
              <w:t>251</w:t>
            </w:r>
          </w:p>
        </w:tc>
        <w:tc>
          <w:tcPr>
            <w:tcW w:w="1244" w:type="dxa"/>
          </w:tcPr>
          <w:p w14:paraId="70582670" w14:textId="77777777" w:rsidR="00D8365A" w:rsidRPr="00362517" w:rsidRDefault="00D8365A" w:rsidP="00BF6BC7">
            <w:pPr>
              <w:tabs>
                <w:tab w:val="decimal" w:pos="720"/>
              </w:tabs>
              <w:rPr>
                <w:sz w:val="22"/>
                <w:szCs w:val="22"/>
              </w:rPr>
            </w:pPr>
            <w:r w:rsidRPr="00362517">
              <w:rPr>
                <w:sz w:val="22"/>
                <w:szCs w:val="22"/>
              </w:rPr>
              <w:t>2</w:t>
            </w:r>
          </w:p>
        </w:tc>
        <w:tc>
          <w:tcPr>
            <w:tcW w:w="1244" w:type="dxa"/>
          </w:tcPr>
          <w:p w14:paraId="00C779E6" w14:textId="77777777" w:rsidR="00D8365A" w:rsidRPr="00362517" w:rsidRDefault="00D8365A" w:rsidP="00BF6BC7">
            <w:pPr>
              <w:tabs>
                <w:tab w:val="decimal" w:pos="714"/>
              </w:tabs>
              <w:rPr>
                <w:sz w:val="22"/>
                <w:szCs w:val="22"/>
              </w:rPr>
            </w:pPr>
            <w:r w:rsidRPr="00362517">
              <w:rPr>
                <w:sz w:val="22"/>
                <w:szCs w:val="22"/>
              </w:rPr>
              <w:t>16</w:t>
            </w:r>
          </w:p>
        </w:tc>
        <w:tc>
          <w:tcPr>
            <w:tcW w:w="1244" w:type="dxa"/>
          </w:tcPr>
          <w:p w14:paraId="7F9C0C8C" w14:textId="77777777" w:rsidR="00D8365A" w:rsidRPr="00362517" w:rsidRDefault="00D8365A" w:rsidP="00BF6BC7">
            <w:pPr>
              <w:tabs>
                <w:tab w:val="decimal" w:pos="719"/>
              </w:tabs>
              <w:rPr>
                <w:sz w:val="22"/>
                <w:szCs w:val="22"/>
              </w:rPr>
            </w:pPr>
            <w:r w:rsidRPr="00362517">
              <w:rPr>
                <w:sz w:val="22"/>
                <w:szCs w:val="22"/>
              </w:rPr>
              <w:t>29</w:t>
            </w:r>
          </w:p>
        </w:tc>
        <w:tc>
          <w:tcPr>
            <w:tcW w:w="1245" w:type="dxa"/>
          </w:tcPr>
          <w:p w14:paraId="209A4635" w14:textId="77777777" w:rsidR="00D8365A" w:rsidRPr="00362517" w:rsidRDefault="00D8365A" w:rsidP="00BF6BC7">
            <w:pPr>
              <w:tabs>
                <w:tab w:val="decimal" w:pos="725"/>
              </w:tabs>
              <w:rPr>
                <w:sz w:val="22"/>
                <w:szCs w:val="22"/>
              </w:rPr>
            </w:pPr>
            <w:r w:rsidRPr="00362517">
              <w:rPr>
                <w:sz w:val="22"/>
                <w:szCs w:val="22"/>
              </w:rPr>
              <w:t>411</w:t>
            </w:r>
          </w:p>
        </w:tc>
      </w:tr>
      <w:tr w:rsidR="00D8365A" w:rsidRPr="00362517" w14:paraId="571CB12B" w14:textId="77777777" w:rsidTr="007A2164">
        <w:tc>
          <w:tcPr>
            <w:tcW w:w="1885" w:type="dxa"/>
          </w:tcPr>
          <w:p w14:paraId="3C11531F" w14:textId="77777777" w:rsidR="00D8365A" w:rsidRPr="00362517" w:rsidRDefault="00D8365A" w:rsidP="00BF6BC7">
            <w:pPr>
              <w:pStyle w:val="BodyText"/>
              <w:rPr>
                <w:rFonts w:cs="Times New Roman"/>
                <w:sz w:val="22"/>
                <w:szCs w:val="22"/>
              </w:rPr>
            </w:pPr>
            <w:r w:rsidRPr="00362517">
              <w:rPr>
                <w:rFonts w:cs="Times New Roman"/>
                <w:sz w:val="22"/>
                <w:szCs w:val="22"/>
              </w:rPr>
              <w:t>Montana</w:t>
            </w:r>
            <w:r w:rsidRPr="00362517">
              <w:rPr>
                <w:rFonts w:cs="Times New Roman"/>
                <w:sz w:val="22"/>
                <w:szCs w:val="22"/>
                <w:vertAlign w:val="superscript"/>
              </w:rPr>
              <w:t xml:space="preserve"> 2 3</w:t>
            </w:r>
          </w:p>
        </w:tc>
        <w:tc>
          <w:tcPr>
            <w:tcW w:w="1244" w:type="dxa"/>
          </w:tcPr>
          <w:p w14:paraId="7FAEA473" w14:textId="77777777" w:rsidR="00D8365A" w:rsidRPr="00362517" w:rsidRDefault="00D8365A" w:rsidP="00BF6BC7">
            <w:pPr>
              <w:tabs>
                <w:tab w:val="decimal" w:pos="734"/>
              </w:tabs>
              <w:rPr>
                <w:sz w:val="22"/>
                <w:szCs w:val="22"/>
              </w:rPr>
            </w:pPr>
            <w:r w:rsidRPr="00362517">
              <w:rPr>
                <w:sz w:val="22"/>
                <w:szCs w:val="22"/>
              </w:rPr>
              <w:t>3</w:t>
            </w:r>
          </w:p>
        </w:tc>
        <w:tc>
          <w:tcPr>
            <w:tcW w:w="1244" w:type="dxa"/>
          </w:tcPr>
          <w:p w14:paraId="69E7C7F6" w14:textId="77777777" w:rsidR="00D8365A" w:rsidRPr="00362517" w:rsidRDefault="00D8365A" w:rsidP="00BF6BC7">
            <w:pPr>
              <w:tabs>
                <w:tab w:val="decimal" w:pos="727"/>
              </w:tabs>
              <w:rPr>
                <w:sz w:val="22"/>
                <w:szCs w:val="22"/>
              </w:rPr>
            </w:pPr>
            <w:r w:rsidRPr="00362517">
              <w:rPr>
                <w:sz w:val="22"/>
                <w:szCs w:val="22"/>
              </w:rPr>
              <w:t>26</w:t>
            </w:r>
          </w:p>
        </w:tc>
        <w:tc>
          <w:tcPr>
            <w:tcW w:w="1244" w:type="dxa"/>
          </w:tcPr>
          <w:p w14:paraId="7BEF0FB1" w14:textId="77777777" w:rsidR="00D8365A" w:rsidRPr="00362517" w:rsidRDefault="00D8365A" w:rsidP="00BF6BC7">
            <w:pPr>
              <w:tabs>
                <w:tab w:val="decimal" w:pos="720"/>
              </w:tabs>
              <w:rPr>
                <w:sz w:val="22"/>
                <w:szCs w:val="22"/>
              </w:rPr>
            </w:pPr>
            <w:r w:rsidRPr="00362517">
              <w:rPr>
                <w:sz w:val="22"/>
                <w:szCs w:val="22"/>
              </w:rPr>
              <w:t>0</w:t>
            </w:r>
          </w:p>
        </w:tc>
        <w:tc>
          <w:tcPr>
            <w:tcW w:w="1244" w:type="dxa"/>
          </w:tcPr>
          <w:p w14:paraId="1D39E5A6" w14:textId="77777777" w:rsidR="00D8365A" w:rsidRPr="00362517" w:rsidRDefault="00D8365A" w:rsidP="00BF6BC7">
            <w:pPr>
              <w:tabs>
                <w:tab w:val="decimal" w:pos="714"/>
              </w:tabs>
              <w:rPr>
                <w:sz w:val="22"/>
                <w:szCs w:val="22"/>
              </w:rPr>
            </w:pPr>
            <w:r w:rsidRPr="00362517">
              <w:rPr>
                <w:sz w:val="22"/>
                <w:szCs w:val="22"/>
              </w:rPr>
              <w:t>0</w:t>
            </w:r>
          </w:p>
        </w:tc>
        <w:tc>
          <w:tcPr>
            <w:tcW w:w="1244" w:type="dxa"/>
          </w:tcPr>
          <w:p w14:paraId="512BDDF5" w14:textId="77777777" w:rsidR="00D8365A" w:rsidRPr="00362517" w:rsidRDefault="00D8365A" w:rsidP="00BF6BC7">
            <w:pPr>
              <w:tabs>
                <w:tab w:val="decimal" w:pos="719"/>
              </w:tabs>
              <w:rPr>
                <w:sz w:val="22"/>
                <w:szCs w:val="22"/>
              </w:rPr>
            </w:pPr>
            <w:r w:rsidRPr="00362517">
              <w:rPr>
                <w:sz w:val="22"/>
                <w:szCs w:val="22"/>
              </w:rPr>
              <w:t>0</w:t>
            </w:r>
          </w:p>
        </w:tc>
        <w:tc>
          <w:tcPr>
            <w:tcW w:w="1245" w:type="dxa"/>
          </w:tcPr>
          <w:p w14:paraId="1AEED2E1" w14:textId="77777777" w:rsidR="00D8365A" w:rsidRPr="00362517" w:rsidRDefault="00D8365A" w:rsidP="00BF6BC7">
            <w:pPr>
              <w:tabs>
                <w:tab w:val="decimal" w:pos="725"/>
              </w:tabs>
              <w:rPr>
                <w:sz w:val="22"/>
                <w:szCs w:val="22"/>
              </w:rPr>
            </w:pPr>
            <w:r w:rsidRPr="00362517">
              <w:rPr>
                <w:sz w:val="22"/>
                <w:szCs w:val="22"/>
              </w:rPr>
              <w:t>0</w:t>
            </w:r>
          </w:p>
        </w:tc>
      </w:tr>
      <w:tr w:rsidR="00D8365A" w:rsidRPr="00362517" w14:paraId="6F0BA873" w14:textId="77777777" w:rsidTr="007A2164">
        <w:tc>
          <w:tcPr>
            <w:tcW w:w="1885" w:type="dxa"/>
          </w:tcPr>
          <w:p w14:paraId="02C597A4" w14:textId="77777777" w:rsidR="00D8365A" w:rsidRPr="00362517" w:rsidRDefault="00D8365A" w:rsidP="00BF6BC7">
            <w:pPr>
              <w:pStyle w:val="BodyText"/>
              <w:rPr>
                <w:rFonts w:cs="Times New Roman"/>
                <w:sz w:val="22"/>
                <w:szCs w:val="22"/>
              </w:rPr>
            </w:pPr>
            <w:r w:rsidRPr="00362517">
              <w:rPr>
                <w:rFonts w:cs="Times New Roman"/>
                <w:sz w:val="22"/>
                <w:szCs w:val="22"/>
              </w:rPr>
              <w:t>Nebraska</w:t>
            </w:r>
          </w:p>
        </w:tc>
        <w:tc>
          <w:tcPr>
            <w:tcW w:w="1244" w:type="dxa"/>
          </w:tcPr>
          <w:p w14:paraId="715719F5" w14:textId="77777777" w:rsidR="00D8365A" w:rsidRPr="00362517" w:rsidRDefault="00D8365A" w:rsidP="00BF6BC7">
            <w:pPr>
              <w:tabs>
                <w:tab w:val="decimal" w:pos="734"/>
              </w:tabs>
              <w:rPr>
                <w:sz w:val="22"/>
                <w:szCs w:val="22"/>
              </w:rPr>
            </w:pPr>
            <w:r w:rsidRPr="00362517">
              <w:rPr>
                <w:sz w:val="22"/>
                <w:szCs w:val="22"/>
              </w:rPr>
              <w:t>64</w:t>
            </w:r>
          </w:p>
        </w:tc>
        <w:tc>
          <w:tcPr>
            <w:tcW w:w="1244" w:type="dxa"/>
          </w:tcPr>
          <w:p w14:paraId="358BD2BA" w14:textId="77777777" w:rsidR="00D8365A" w:rsidRPr="00362517" w:rsidRDefault="00D8365A" w:rsidP="00BF6BC7">
            <w:pPr>
              <w:tabs>
                <w:tab w:val="decimal" w:pos="727"/>
              </w:tabs>
              <w:rPr>
                <w:sz w:val="22"/>
                <w:szCs w:val="22"/>
              </w:rPr>
            </w:pPr>
            <w:r w:rsidRPr="00362517">
              <w:rPr>
                <w:sz w:val="22"/>
                <w:szCs w:val="22"/>
              </w:rPr>
              <w:t>535</w:t>
            </w:r>
          </w:p>
        </w:tc>
        <w:tc>
          <w:tcPr>
            <w:tcW w:w="1244" w:type="dxa"/>
          </w:tcPr>
          <w:p w14:paraId="50200AC0" w14:textId="77777777" w:rsidR="00D8365A" w:rsidRPr="00362517" w:rsidRDefault="00D8365A" w:rsidP="00BF6BC7">
            <w:pPr>
              <w:tabs>
                <w:tab w:val="decimal" w:pos="720"/>
              </w:tabs>
              <w:rPr>
                <w:sz w:val="22"/>
                <w:szCs w:val="22"/>
              </w:rPr>
            </w:pPr>
            <w:r w:rsidRPr="00362517">
              <w:rPr>
                <w:sz w:val="22"/>
                <w:szCs w:val="22"/>
              </w:rPr>
              <w:t>1</w:t>
            </w:r>
          </w:p>
        </w:tc>
        <w:tc>
          <w:tcPr>
            <w:tcW w:w="1244" w:type="dxa"/>
          </w:tcPr>
          <w:p w14:paraId="78495824" w14:textId="77777777" w:rsidR="00D8365A" w:rsidRPr="00362517" w:rsidRDefault="00D8365A" w:rsidP="00BF6BC7">
            <w:pPr>
              <w:tabs>
                <w:tab w:val="decimal" w:pos="714"/>
              </w:tabs>
              <w:rPr>
                <w:sz w:val="22"/>
                <w:szCs w:val="22"/>
              </w:rPr>
            </w:pPr>
            <w:r w:rsidRPr="00362517">
              <w:rPr>
                <w:sz w:val="22"/>
                <w:szCs w:val="22"/>
              </w:rPr>
              <w:t>8</w:t>
            </w:r>
          </w:p>
        </w:tc>
        <w:tc>
          <w:tcPr>
            <w:tcW w:w="1244" w:type="dxa"/>
          </w:tcPr>
          <w:p w14:paraId="30C7489A" w14:textId="77777777" w:rsidR="00D8365A" w:rsidRPr="00362517" w:rsidRDefault="00D8365A" w:rsidP="00BF6BC7">
            <w:pPr>
              <w:tabs>
                <w:tab w:val="decimal" w:pos="719"/>
              </w:tabs>
              <w:rPr>
                <w:sz w:val="22"/>
                <w:szCs w:val="22"/>
              </w:rPr>
            </w:pPr>
            <w:r w:rsidRPr="00362517">
              <w:rPr>
                <w:sz w:val="22"/>
                <w:szCs w:val="22"/>
              </w:rPr>
              <w:t>31</w:t>
            </w:r>
          </w:p>
        </w:tc>
        <w:tc>
          <w:tcPr>
            <w:tcW w:w="1245" w:type="dxa"/>
          </w:tcPr>
          <w:p w14:paraId="68390898" w14:textId="77777777" w:rsidR="00D8365A" w:rsidRPr="00362517" w:rsidRDefault="00D8365A" w:rsidP="00BF6BC7">
            <w:pPr>
              <w:tabs>
                <w:tab w:val="decimal" w:pos="725"/>
              </w:tabs>
              <w:rPr>
                <w:sz w:val="22"/>
                <w:szCs w:val="22"/>
              </w:rPr>
            </w:pPr>
            <w:r w:rsidRPr="00362517">
              <w:rPr>
                <w:sz w:val="22"/>
                <w:szCs w:val="22"/>
              </w:rPr>
              <w:t>449</w:t>
            </w:r>
          </w:p>
        </w:tc>
      </w:tr>
      <w:tr w:rsidR="00D8365A" w:rsidRPr="00362517" w14:paraId="52487C4D" w14:textId="77777777" w:rsidTr="007A2164">
        <w:tc>
          <w:tcPr>
            <w:tcW w:w="1885" w:type="dxa"/>
          </w:tcPr>
          <w:p w14:paraId="2D4A3FEF" w14:textId="77777777" w:rsidR="00D8365A" w:rsidRPr="00362517" w:rsidRDefault="00D8365A" w:rsidP="00BF6BC7">
            <w:pPr>
              <w:pStyle w:val="BodyText"/>
              <w:rPr>
                <w:rFonts w:cs="Times New Roman"/>
                <w:sz w:val="22"/>
                <w:szCs w:val="22"/>
              </w:rPr>
            </w:pPr>
            <w:r w:rsidRPr="00362517">
              <w:rPr>
                <w:rFonts w:cs="Times New Roman"/>
                <w:sz w:val="22"/>
                <w:szCs w:val="22"/>
              </w:rPr>
              <w:t>Nevada</w:t>
            </w:r>
            <w:r w:rsidRPr="00362517">
              <w:rPr>
                <w:rFonts w:cs="Times New Roman"/>
                <w:sz w:val="22"/>
                <w:szCs w:val="22"/>
                <w:vertAlign w:val="superscript"/>
              </w:rPr>
              <w:t xml:space="preserve"> 1 2</w:t>
            </w:r>
          </w:p>
        </w:tc>
        <w:tc>
          <w:tcPr>
            <w:tcW w:w="1244" w:type="dxa"/>
          </w:tcPr>
          <w:p w14:paraId="14838CEB" w14:textId="77777777" w:rsidR="00D8365A" w:rsidRPr="00362517" w:rsidRDefault="00D8365A" w:rsidP="00BF6BC7">
            <w:pPr>
              <w:tabs>
                <w:tab w:val="decimal" w:pos="734"/>
              </w:tabs>
              <w:rPr>
                <w:sz w:val="22"/>
                <w:szCs w:val="22"/>
              </w:rPr>
            </w:pPr>
            <w:r w:rsidRPr="00362517">
              <w:rPr>
                <w:sz w:val="22"/>
                <w:szCs w:val="22"/>
              </w:rPr>
              <w:t>0</w:t>
            </w:r>
          </w:p>
        </w:tc>
        <w:tc>
          <w:tcPr>
            <w:tcW w:w="1244" w:type="dxa"/>
          </w:tcPr>
          <w:p w14:paraId="15C1C5BA" w14:textId="77777777" w:rsidR="00D8365A" w:rsidRPr="00362517" w:rsidRDefault="00D8365A" w:rsidP="00BF6BC7">
            <w:pPr>
              <w:tabs>
                <w:tab w:val="decimal" w:pos="727"/>
              </w:tabs>
              <w:rPr>
                <w:sz w:val="22"/>
                <w:szCs w:val="22"/>
              </w:rPr>
            </w:pPr>
            <w:r w:rsidRPr="00362517">
              <w:rPr>
                <w:sz w:val="22"/>
                <w:szCs w:val="22"/>
              </w:rPr>
              <w:t>0</w:t>
            </w:r>
          </w:p>
        </w:tc>
        <w:tc>
          <w:tcPr>
            <w:tcW w:w="1244" w:type="dxa"/>
          </w:tcPr>
          <w:p w14:paraId="45CB2672" w14:textId="77777777" w:rsidR="00D8365A" w:rsidRPr="00362517" w:rsidRDefault="00D8365A" w:rsidP="00BF6BC7">
            <w:pPr>
              <w:tabs>
                <w:tab w:val="decimal" w:pos="720"/>
              </w:tabs>
              <w:rPr>
                <w:sz w:val="22"/>
                <w:szCs w:val="22"/>
              </w:rPr>
            </w:pPr>
            <w:r w:rsidRPr="00362517">
              <w:rPr>
                <w:sz w:val="22"/>
                <w:szCs w:val="22"/>
              </w:rPr>
              <w:t>0</w:t>
            </w:r>
          </w:p>
        </w:tc>
        <w:tc>
          <w:tcPr>
            <w:tcW w:w="1244" w:type="dxa"/>
          </w:tcPr>
          <w:p w14:paraId="1D8EADE5" w14:textId="77777777" w:rsidR="00D8365A" w:rsidRPr="00362517" w:rsidRDefault="00D8365A" w:rsidP="00BF6BC7">
            <w:pPr>
              <w:tabs>
                <w:tab w:val="decimal" w:pos="714"/>
              </w:tabs>
              <w:rPr>
                <w:sz w:val="22"/>
                <w:szCs w:val="22"/>
              </w:rPr>
            </w:pPr>
            <w:r w:rsidRPr="00362517">
              <w:rPr>
                <w:sz w:val="22"/>
                <w:szCs w:val="22"/>
              </w:rPr>
              <w:t>0</w:t>
            </w:r>
          </w:p>
        </w:tc>
        <w:tc>
          <w:tcPr>
            <w:tcW w:w="1244" w:type="dxa"/>
          </w:tcPr>
          <w:p w14:paraId="05B1F2CD" w14:textId="77777777" w:rsidR="00D8365A" w:rsidRPr="00362517" w:rsidRDefault="00D8365A" w:rsidP="00BF6BC7">
            <w:pPr>
              <w:tabs>
                <w:tab w:val="decimal" w:pos="719"/>
              </w:tabs>
              <w:rPr>
                <w:sz w:val="22"/>
                <w:szCs w:val="22"/>
              </w:rPr>
            </w:pPr>
            <w:r w:rsidRPr="00362517">
              <w:rPr>
                <w:sz w:val="22"/>
                <w:szCs w:val="22"/>
              </w:rPr>
              <w:t>3</w:t>
            </w:r>
          </w:p>
        </w:tc>
        <w:tc>
          <w:tcPr>
            <w:tcW w:w="1245" w:type="dxa"/>
          </w:tcPr>
          <w:p w14:paraId="16BC5653" w14:textId="77777777" w:rsidR="00D8365A" w:rsidRPr="00362517" w:rsidRDefault="00D8365A" w:rsidP="00BF6BC7">
            <w:pPr>
              <w:tabs>
                <w:tab w:val="decimal" w:pos="725"/>
              </w:tabs>
              <w:rPr>
                <w:sz w:val="22"/>
                <w:szCs w:val="22"/>
              </w:rPr>
            </w:pPr>
            <w:r w:rsidRPr="00362517">
              <w:rPr>
                <w:sz w:val="22"/>
                <w:szCs w:val="22"/>
              </w:rPr>
              <w:t>47</w:t>
            </w:r>
          </w:p>
        </w:tc>
      </w:tr>
      <w:tr w:rsidR="00D8365A" w:rsidRPr="00362517" w14:paraId="111892B5" w14:textId="77777777" w:rsidTr="007A2164">
        <w:tc>
          <w:tcPr>
            <w:tcW w:w="1885" w:type="dxa"/>
          </w:tcPr>
          <w:p w14:paraId="41D5811F" w14:textId="77777777" w:rsidR="00D8365A" w:rsidRPr="00362517" w:rsidRDefault="00D8365A" w:rsidP="00BF6BC7">
            <w:pPr>
              <w:pStyle w:val="BodyText"/>
              <w:rPr>
                <w:rFonts w:cs="Times New Roman"/>
                <w:sz w:val="22"/>
                <w:szCs w:val="22"/>
              </w:rPr>
            </w:pPr>
            <w:r w:rsidRPr="00362517">
              <w:rPr>
                <w:rFonts w:cs="Times New Roman"/>
                <w:sz w:val="22"/>
                <w:szCs w:val="22"/>
              </w:rPr>
              <w:t>New Hampshire</w:t>
            </w:r>
            <w:r w:rsidRPr="00362517">
              <w:rPr>
                <w:rFonts w:cs="Times New Roman"/>
                <w:sz w:val="22"/>
                <w:szCs w:val="22"/>
                <w:vertAlign w:val="superscript"/>
              </w:rPr>
              <w:t xml:space="preserve"> 1 2</w:t>
            </w:r>
          </w:p>
        </w:tc>
        <w:tc>
          <w:tcPr>
            <w:tcW w:w="1244" w:type="dxa"/>
          </w:tcPr>
          <w:p w14:paraId="36C7525C" w14:textId="77777777" w:rsidR="00D8365A" w:rsidRPr="00362517" w:rsidRDefault="00D8365A" w:rsidP="00BF6BC7">
            <w:pPr>
              <w:tabs>
                <w:tab w:val="decimal" w:pos="734"/>
              </w:tabs>
              <w:rPr>
                <w:sz w:val="22"/>
                <w:szCs w:val="22"/>
              </w:rPr>
            </w:pPr>
            <w:r w:rsidRPr="00362517">
              <w:rPr>
                <w:sz w:val="22"/>
                <w:szCs w:val="22"/>
              </w:rPr>
              <w:t>3</w:t>
            </w:r>
          </w:p>
        </w:tc>
        <w:tc>
          <w:tcPr>
            <w:tcW w:w="1244" w:type="dxa"/>
          </w:tcPr>
          <w:p w14:paraId="17AF73EF" w14:textId="77777777" w:rsidR="00D8365A" w:rsidRPr="00362517" w:rsidRDefault="00D8365A" w:rsidP="00BF6BC7">
            <w:pPr>
              <w:tabs>
                <w:tab w:val="decimal" w:pos="727"/>
              </w:tabs>
              <w:rPr>
                <w:sz w:val="22"/>
                <w:szCs w:val="22"/>
              </w:rPr>
            </w:pPr>
            <w:r w:rsidRPr="00362517">
              <w:rPr>
                <w:sz w:val="22"/>
                <w:szCs w:val="22"/>
              </w:rPr>
              <w:t>24</w:t>
            </w:r>
          </w:p>
        </w:tc>
        <w:tc>
          <w:tcPr>
            <w:tcW w:w="1244" w:type="dxa"/>
          </w:tcPr>
          <w:p w14:paraId="40FF4980" w14:textId="77777777" w:rsidR="00D8365A" w:rsidRPr="00362517" w:rsidRDefault="00D8365A" w:rsidP="00BF6BC7">
            <w:pPr>
              <w:tabs>
                <w:tab w:val="decimal" w:pos="720"/>
              </w:tabs>
              <w:rPr>
                <w:sz w:val="22"/>
                <w:szCs w:val="22"/>
              </w:rPr>
            </w:pPr>
            <w:r w:rsidRPr="00362517">
              <w:rPr>
                <w:sz w:val="22"/>
                <w:szCs w:val="22"/>
              </w:rPr>
              <w:t>0</w:t>
            </w:r>
          </w:p>
        </w:tc>
        <w:tc>
          <w:tcPr>
            <w:tcW w:w="1244" w:type="dxa"/>
          </w:tcPr>
          <w:p w14:paraId="1CB39DC0" w14:textId="77777777" w:rsidR="00D8365A" w:rsidRPr="00362517" w:rsidRDefault="00D8365A" w:rsidP="00BF6BC7">
            <w:pPr>
              <w:tabs>
                <w:tab w:val="decimal" w:pos="714"/>
              </w:tabs>
              <w:rPr>
                <w:sz w:val="22"/>
                <w:szCs w:val="22"/>
              </w:rPr>
            </w:pPr>
            <w:r w:rsidRPr="00362517">
              <w:rPr>
                <w:sz w:val="22"/>
                <w:szCs w:val="22"/>
              </w:rPr>
              <w:t>0</w:t>
            </w:r>
          </w:p>
        </w:tc>
        <w:tc>
          <w:tcPr>
            <w:tcW w:w="1244" w:type="dxa"/>
          </w:tcPr>
          <w:p w14:paraId="31B797F5" w14:textId="77777777" w:rsidR="00D8365A" w:rsidRPr="00362517" w:rsidRDefault="00D8365A" w:rsidP="00BF6BC7">
            <w:pPr>
              <w:tabs>
                <w:tab w:val="decimal" w:pos="719"/>
              </w:tabs>
              <w:rPr>
                <w:sz w:val="22"/>
                <w:szCs w:val="22"/>
              </w:rPr>
            </w:pPr>
            <w:r w:rsidRPr="00362517">
              <w:rPr>
                <w:sz w:val="22"/>
                <w:szCs w:val="22"/>
              </w:rPr>
              <w:t>1</w:t>
            </w:r>
          </w:p>
        </w:tc>
        <w:tc>
          <w:tcPr>
            <w:tcW w:w="1245" w:type="dxa"/>
          </w:tcPr>
          <w:p w14:paraId="6B4D573C" w14:textId="77777777" w:rsidR="00D8365A" w:rsidRPr="00362517" w:rsidRDefault="00D8365A" w:rsidP="00BF6BC7">
            <w:pPr>
              <w:tabs>
                <w:tab w:val="decimal" w:pos="725"/>
              </w:tabs>
              <w:rPr>
                <w:sz w:val="22"/>
                <w:szCs w:val="22"/>
              </w:rPr>
            </w:pPr>
            <w:r w:rsidRPr="00362517">
              <w:rPr>
                <w:sz w:val="22"/>
                <w:szCs w:val="22"/>
              </w:rPr>
              <w:t>8</w:t>
            </w:r>
          </w:p>
        </w:tc>
      </w:tr>
      <w:tr w:rsidR="00D8365A" w:rsidRPr="00362517" w14:paraId="6C423308" w14:textId="77777777" w:rsidTr="007A2164">
        <w:tc>
          <w:tcPr>
            <w:tcW w:w="1885" w:type="dxa"/>
          </w:tcPr>
          <w:p w14:paraId="76C0F19B" w14:textId="77777777" w:rsidR="00D8365A" w:rsidRPr="00362517" w:rsidRDefault="00D8365A" w:rsidP="00BF6BC7">
            <w:pPr>
              <w:pStyle w:val="BodyText"/>
              <w:rPr>
                <w:rFonts w:cs="Times New Roman"/>
                <w:sz w:val="22"/>
                <w:szCs w:val="22"/>
              </w:rPr>
            </w:pPr>
            <w:r w:rsidRPr="00362517">
              <w:rPr>
                <w:rFonts w:cs="Times New Roman"/>
                <w:sz w:val="22"/>
                <w:szCs w:val="22"/>
              </w:rPr>
              <w:t>New Jersey</w:t>
            </w:r>
            <w:r w:rsidRPr="00362517">
              <w:rPr>
                <w:rFonts w:cs="Times New Roman"/>
                <w:sz w:val="22"/>
                <w:szCs w:val="22"/>
                <w:vertAlign w:val="superscript"/>
              </w:rPr>
              <w:t xml:space="preserve"> 2</w:t>
            </w:r>
          </w:p>
        </w:tc>
        <w:tc>
          <w:tcPr>
            <w:tcW w:w="1244" w:type="dxa"/>
          </w:tcPr>
          <w:p w14:paraId="6301CEED" w14:textId="77777777" w:rsidR="00D8365A" w:rsidRPr="00362517" w:rsidRDefault="00D8365A" w:rsidP="00BF6BC7">
            <w:pPr>
              <w:tabs>
                <w:tab w:val="decimal" w:pos="734"/>
              </w:tabs>
              <w:rPr>
                <w:sz w:val="22"/>
                <w:szCs w:val="22"/>
              </w:rPr>
            </w:pPr>
            <w:r w:rsidRPr="00362517">
              <w:rPr>
                <w:sz w:val="22"/>
                <w:szCs w:val="22"/>
              </w:rPr>
              <w:t>9</w:t>
            </w:r>
          </w:p>
        </w:tc>
        <w:tc>
          <w:tcPr>
            <w:tcW w:w="1244" w:type="dxa"/>
          </w:tcPr>
          <w:p w14:paraId="576C519B" w14:textId="77777777" w:rsidR="00D8365A" w:rsidRPr="00362517" w:rsidRDefault="00D8365A" w:rsidP="00BF6BC7">
            <w:pPr>
              <w:tabs>
                <w:tab w:val="decimal" w:pos="727"/>
              </w:tabs>
              <w:rPr>
                <w:sz w:val="22"/>
                <w:szCs w:val="22"/>
              </w:rPr>
            </w:pPr>
            <w:r w:rsidRPr="00362517">
              <w:rPr>
                <w:sz w:val="22"/>
                <w:szCs w:val="22"/>
              </w:rPr>
              <w:t>79</w:t>
            </w:r>
          </w:p>
        </w:tc>
        <w:tc>
          <w:tcPr>
            <w:tcW w:w="1244" w:type="dxa"/>
          </w:tcPr>
          <w:p w14:paraId="71839CA5" w14:textId="77777777" w:rsidR="00D8365A" w:rsidRPr="00362517" w:rsidRDefault="00D8365A" w:rsidP="00BF6BC7">
            <w:pPr>
              <w:tabs>
                <w:tab w:val="decimal" w:pos="720"/>
              </w:tabs>
              <w:rPr>
                <w:sz w:val="22"/>
                <w:szCs w:val="22"/>
              </w:rPr>
            </w:pPr>
            <w:r w:rsidRPr="00362517">
              <w:rPr>
                <w:sz w:val="22"/>
                <w:szCs w:val="22"/>
              </w:rPr>
              <w:t>6</w:t>
            </w:r>
          </w:p>
        </w:tc>
        <w:tc>
          <w:tcPr>
            <w:tcW w:w="1244" w:type="dxa"/>
          </w:tcPr>
          <w:p w14:paraId="611D5103" w14:textId="77777777" w:rsidR="00D8365A" w:rsidRPr="00362517" w:rsidRDefault="00D8365A" w:rsidP="00BF6BC7">
            <w:pPr>
              <w:tabs>
                <w:tab w:val="decimal" w:pos="714"/>
              </w:tabs>
              <w:rPr>
                <w:sz w:val="22"/>
                <w:szCs w:val="22"/>
              </w:rPr>
            </w:pPr>
            <w:r w:rsidRPr="00362517">
              <w:rPr>
                <w:sz w:val="22"/>
                <w:szCs w:val="22"/>
              </w:rPr>
              <w:t>54</w:t>
            </w:r>
          </w:p>
        </w:tc>
        <w:tc>
          <w:tcPr>
            <w:tcW w:w="1244" w:type="dxa"/>
          </w:tcPr>
          <w:p w14:paraId="3CB9CFA9" w14:textId="77777777" w:rsidR="00D8365A" w:rsidRPr="00362517" w:rsidRDefault="00D8365A" w:rsidP="00BF6BC7">
            <w:pPr>
              <w:tabs>
                <w:tab w:val="decimal" w:pos="719"/>
              </w:tabs>
              <w:rPr>
                <w:sz w:val="22"/>
                <w:szCs w:val="22"/>
              </w:rPr>
            </w:pPr>
            <w:r w:rsidRPr="00362517">
              <w:rPr>
                <w:sz w:val="22"/>
                <w:szCs w:val="22"/>
              </w:rPr>
              <w:t>9</w:t>
            </w:r>
          </w:p>
        </w:tc>
        <w:tc>
          <w:tcPr>
            <w:tcW w:w="1245" w:type="dxa"/>
          </w:tcPr>
          <w:p w14:paraId="3F604BA1" w14:textId="77777777" w:rsidR="00D8365A" w:rsidRPr="00362517" w:rsidRDefault="00D8365A" w:rsidP="00BF6BC7">
            <w:pPr>
              <w:tabs>
                <w:tab w:val="decimal" w:pos="725"/>
              </w:tabs>
              <w:rPr>
                <w:sz w:val="22"/>
                <w:szCs w:val="22"/>
              </w:rPr>
            </w:pPr>
            <w:r w:rsidRPr="00362517">
              <w:rPr>
                <w:sz w:val="22"/>
                <w:szCs w:val="22"/>
              </w:rPr>
              <w:t>131</w:t>
            </w:r>
          </w:p>
        </w:tc>
      </w:tr>
      <w:tr w:rsidR="00D8365A" w:rsidRPr="00362517" w14:paraId="03337A49" w14:textId="77777777" w:rsidTr="007A2164">
        <w:tc>
          <w:tcPr>
            <w:tcW w:w="1885" w:type="dxa"/>
          </w:tcPr>
          <w:p w14:paraId="42ACA80D" w14:textId="77777777" w:rsidR="00D8365A" w:rsidRPr="00362517" w:rsidRDefault="00D8365A" w:rsidP="00BF6BC7">
            <w:pPr>
              <w:pStyle w:val="BodyText"/>
              <w:rPr>
                <w:rFonts w:cs="Times New Roman"/>
                <w:sz w:val="22"/>
                <w:szCs w:val="22"/>
              </w:rPr>
            </w:pPr>
            <w:r w:rsidRPr="00362517">
              <w:rPr>
                <w:rFonts w:cs="Times New Roman"/>
                <w:sz w:val="22"/>
                <w:szCs w:val="22"/>
              </w:rPr>
              <w:t>New Mexico</w:t>
            </w:r>
            <w:r w:rsidRPr="00362517">
              <w:rPr>
                <w:rFonts w:cs="Times New Roman"/>
                <w:sz w:val="22"/>
                <w:szCs w:val="22"/>
                <w:vertAlign w:val="superscript"/>
              </w:rPr>
              <w:t xml:space="preserve"> 1 2</w:t>
            </w:r>
          </w:p>
        </w:tc>
        <w:tc>
          <w:tcPr>
            <w:tcW w:w="1244" w:type="dxa"/>
          </w:tcPr>
          <w:p w14:paraId="74B7D529" w14:textId="77777777" w:rsidR="00D8365A" w:rsidRPr="00362517" w:rsidRDefault="00D8365A" w:rsidP="00BF6BC7">
            <w:pPr>
              <w:tabs>
                <w:tab w:val="decimal" w:pos="734"/>
              </w:tabs>
              <w:rPr>
                <w:sz w:val="22"/>
                <w:szCs w:val="22"/>
              </w:rPr>
            </w:pPr>
            <w:r w:rsidRPr="00362517">
              <w:rPr>
                <w:sz w:val="22"/>
                <w:szCs w:val="22"/>
              </w:rPr>
              <w:t>2</w:t>
            </w:r>
          </w:p>
        </w:tc>
        <w:tc>
          <w:tcPr>
            <w:tcW w:w="1244" w:type="dxa"/>
          </w:tcPr>
          <w:p w14:paraId="4B7968F3" w14:textId="77777777" w:rsidR="00D8365A" w:rsidRPr="00362517" w:rsidRDefault="00D8365A" w:rsidP="00BF6BC7">
            <w:pPr>
              <w:tabs>
                <w:tab w:val="decimal" w:pos="727"/>
              </w:tabs>
              <w:rPr>
                <w:sz w:val="22"/>
                <w:szCs w:val="22"/>
              </w:rPr>
            </w:pPr>
            <w:r w:rsidRPr="00362517">
              <w:rPr>
                <w:sz w:val="22"/>
                <w:szCs w:val="22"/>
              </w:rPr>
              <w:t>18</w:t>
            </w:r>
          </w:p>
        </w:tc>
        <w:tc>
          <w:tcPr>
            <w:tcW w:w="1244" w:type="dxa"/>
          </w:tcPr>
          <w:p w14:paraId="0BBC1137" w14:textId="77777777" w:rsidR="00D8365A" w:rsidRPr="00362517" w:rsidRDefault="00D8365A" w:rsidP="00BF6BC7">
            <w:pPr>
              <w:tabs>
                <w:tab w:val="decimal" w:pos="720"/>
              </w:tabs>
              <w:rPr>
                <w:sz w:val="22"/>
                <w:szCs w:val="22"/>
              </w:rPr>
            </w:pPr>
            <w:r w:rsidRPr="00362517">
              <w:rPr>
                <w:sz w:val="22"/>
                <w:szCs w:val="22"/>
              </w:rPr>
              <w:t>1</w:t>
            </w:r>
          </w:p>
        </w:tc>
        <w:tc>
          <w:tcPr>
            <w:tcW w:w="1244" w:type="dxa"/>
          </w:tcPr>
          <w:p w14:paraId="48ED23C7" w14:textId="77777777" w:rsidR="00D8365A" w:rsidRPr="00362517" w:rsidRDefault="00D8365A" w:rsidP="00BF6BC7">
            <w:pPr>
              <w:tabs>
                <w:tab w:val="decimal" w:pos="714"/>
              </w:tabs>
              <w:rPr>
                <w:sz w:val="22"/>
                <w:szCs w:val="22"/>
              </w:rPr>
            </w:pPr>
            <w:r w:rsidRPr="00362517">
              <w:rPr>
                <w:sz w:val="22"/>
                <w:szCs w:val="22"/>
              </w:rPr>
              <w:t>12</w:t>
            </w:r>
          </w:p>
        </w:tc>
        <w:tc>
          <w:tcPr>
            <w:tcW w:w="1244" w:type="dxa"/>
          </w:tcPr>
          <w:p w14:paraId="4C8256FE" w14:textId="77777777" w:rsidR="00D8365A" w:rsidRPr="00362517" w:rsidRDefault="00D8365A" w:rsidP="00BF6BC7">
            <w:pPr>
              <w:tabs>
                <w:tab w:val="decimal" w:pos="719"/>
              </w:tabs>
              <w:rPr>
                <w:sz w:val="22"/>
                <w:szCs w:val="22"/>
              </w:rPr>
            </w:pPr>
            <w:r w:rsidRPr="00362517">
              <w:rPr>
                <w:sz w:val="22"/>
                <w:szCs w:val="22"/>
              </w:rPr>
              <w:t>5</w:t>
            </w:r>
          </w:p>
        </w:tc>
        <w:tc>
          <w:tcPr>
            <w:tcW w:w="1245" w:type="dxa"/>
          </w:tcPr>
          <w:p w14:paraId="3F5035F9" w14:textId="77777777" w:rsidR="00D8365A" w:rsidRPr="00362517" w:rsidRDefault="00D8365A" w:rsidP="00BF6BC7">
            <w:pPr>
              <w:tabs>
                <w:tab w:val="decimal" w:pos="725"/>
              </w:tabs>
              <w:rPr>
                <w:sz w:val="22"/>
                <w:szCs w:val="22"/>
              </w:rPr>
            </w:pPr>
            <w:r w:rsidRPr="00362517">
              <w:rPr>
                <w:sz w:val="22"/>
                <w:szCs w:val="22"/>
              </w:rPr>
              <w:t>67</w:t>
            </w:r>
          </w:p>
        </w:tc>
      </w:tr>
      <w:tr w:rsidR="00D8365A" w:rsidRPr="00362517" w14:paraId="29C749FF" w14:textId="77777777" w:rsidTr="007A2164">
        <w:tc>
          <w:tcPr>
            <w:tcW w:w="1885" w:type="dxa"/>
          </w:tcPr>
          <w:p w14:paraId="68E6FA6A" w14:textId="77777777" w:rsidR="00D8365A" w:rsidRPr="00362517" w:rsidRDefault="00D8365A" w:rsidP="00BF6BC7">
            <w:pPr>
              <w:pStyle w:val="BodyText"/>
              <w:rPr>
                <w:rFonts w:cs="Times New Roman"/>
                <w:sz w:val="22"/>
                <w:szCs w:val="22"/>
              </w:rPr>
            </w:pPr>
            <w:r w:rsidRPr="00362517">
              <w:rPr>
                <w:rFonts w:cs="Times New Roman"/>
                <w:sz w:val="22"/>
                <w:szCs w:val="22"/>
              </w:rPr>
              <w:t>New York</w:t>
            </w:r>
          </w:p>
        </w:tc>
        <w:tc>
          <w:tcPr>
            <w:tcW w:w="1244" w:type="dxa"/>
          </w:tcPr>
          <w:p w14:paraId="0021A1AF" w14:textId="77777777" w:rsidR="00D8365A" w:rsidRPr="00362517" w:rsidRDefault="00D8365A" w:rsidP="00BF6BC7">
            <w:pPr>
              <w:tabs>
                <w:tab w:val="decimal" w:pos="734"/>
              </w:tabs>
              <w:rPr>
                <w:sz w:val="22"/>
                <w:szCs w:val="22"/>
              </w:rPr>
            </w:pPr>
            <w:r w:rsidRPr="00362517">
              <w:rPr>
                <w:sz w:val="22"/>
                <w:szCs w:val="22"/>
              </w:rPr>
              <w:t>6</w:t>
            </w:r>
          </w:p>
        </w:tc>
        <w:tc>
          <w:tcPr>
            <w:tcW w:w="1244" w:type="dxa"/>
          </w:tcPr>
          <w:p w14:paraId="254473A5" w14:textId="77777777" w:rsidR="00D8365A" w:rsidRPr="00362517" w:rsidRDefault="00D8365A" w:rsidP="00BF6BC7">
            <w:pPr>
              <w:tabs>
                <w:tab w:val="decimal" w:pos="727"/>
              </w:tabs>
              <w:rPr>
                <w:sz w:val="22"/>
                <w:szCs w:val="22"/>
              </w:rPr>
            </w:pPr>
            <w:r w:rsidRPr="00362517">
              <w:rPr>
                <w:sz w:val="22"/>
                <w:szCs w:val="22"/>
              </w:rPr>
              <w:t>46</w:t>
            </w:r>
          </w:p>
        </w:tc>
        <w:tc>
          <w:tcPr>
            <w:tcW w:w="1244" w:type="dxa"/>
          </w:tcPr>
          <w:p w14:paraId="4E1535D7" w14:textId="77777777" w:rsidR="00D8365A" w:rsidRPr="00362517" w:rsidRDefault="00D8365A" w:rsidP="00BF6BC7">
            <w:pPr>
              <w:tabs>
                <w:tab w:val="decimal" w:pos="720"/>
              </w:tabs>
              <w:rPr>
                <w:sz w:val="22"/>
                <w:szCs w:val="22"/>
              </w:rPr>
            </w:pPr>
            <w:r w:rsidRPr="00362517">
              <w:rPr>
                <w:sz w:val="22"/>
                <w:szCs w:val="22"/>
              </w:rPr>
              <w:t>78</w:t>
            </w:r>
          </w:p>
        </w:tc>
        <w:tc>
          <w:tcPr>
            <w:tcW w:w="1244" w:type="dxa"/>
          </w:tcPr>
          <w:p w14:paraId="1EBF6A79" w14:textId="77777777" w:rsidR="00D8365A" w:rsidRPr="00362517" w:rsidRDefault="00D8365A" w:rsidP="00BF6BC7">
            <w:pPr>
              <w:tabs>
                <w:tab w:val="decimal" w:pos="714"/>
              </w:tabs>
              <w:rPr>
                <w:sz w:val="22"/>
                <w:szCs w:val="22"/>
              </w:rPr>
            </w:pPr>
            <w:r w:rsidRPr="00362517">
              <w:rPr>
                <w:sz w:val="22"/>
                <w:szCs w:val="22"/>
              </w:rPr>
              <w:t>709</w:t>
            </w:r>
          </w:p>
        </w:tc>
        <w:tc>
          <w:tcPr>
            <w:tcW w:w="1244" w:type="dxa"/>
          </w:tcPr>
          <w:p w14:paraId="306476FB" w14:textId="77777777" w:rsidR="00D8365A" w:rsidRPr="00362517" w:rsidRDefault="00D8365A" w:rsidP="00BF6BC7">
            <w:pPr>
              <w:tabs>
                <w:tab w:val="decimal" w:pos="719"/>
              </w:tabs>
              <w:rPr>
                <w:sz w:val="22"/>
                <w:szCs w:val="22"/>
              </w:rPr>
            </w:pPr>
            <w:r w:rsidRPr="00362517">
              <w:rPr>
                <w:sz w:val="22"/>
                <w:szCs w:val="22"/>
              </w:rPr>
              <w:t>12</w:t>
            </w:r>
          </w:p>
        </w:tc>
        <w:tc>
          <w:tcPr>
            <w:tcW w:w="1245" w:type="dxa"/>
          </w:tcPr>
          <w:p w14:paraId="1935388D" w14:textId="77777777" w:rsidR="00D8365A" w:rsidRPr="00362517" w:rsidRDefault="00D8365A" w:rsidP="00BF6BC7">
            <w:pPr>
              <w:tabs>
                <w:tab w:val="decimal" w:pos="725"/>
              </w:tabs>
              <w:rPr>
                <w:sz w:val="22"/>
                <w:szCs w:val="22"/>
              </w:rPr>
            </w:pPr>
            <w:r w:rsidRPr="00362517">
              <w:rPr>
                <w:sz w:val="22"/>
                <w:szCs w:val="22"/>
              </w:rPr>
              <w:t>167</w:t>
            </w:r>
          </w:p>
        </w:tc>
      </w:tr>
      <w:tr w:rsidR="00D8365A" w:rsidRPr="00362517" w14:paraId="35C3BB52" w14:textId="77777777" w:rsidTr="007A2164">
        <w:tc>
          <w:tcPr>
            <w:tcW w:w="1885" w:type="dxa"/>
          </w:tcPr>
          <w:p w14:paraId="5D6E8E22" w14:textId="77777777" w:rsidR="00D8365A" w:rsidRPr="00362517" w:rsidRDefault="00D8365A" w:rsidP="00BF6BC7">
            <w:pPr>
              <w:pStyle w:val="BodyText"/>
              <w:rPr>
                <w:rFonts w:cs="Times New Roman"/>
                <w:sz w:val="22"/>
                <w:szCs w:val="22"/>
              </w:rPr>
            </w:pPr>
            <w:r w:rsidRPr="00362517">
              <w:rPr>
                <w:rFonts w:cs="Times New Roman"/>
                <w:sz w:val="22"/>
                <w:szCs w:val="22"/>
              </w:rPr>
              <w:t>North Carolina</w:t>
            </w:r>
            <w:r w:rsidRPr="00362517">
              <w:rPr>
                <w:rFonts w:cs="Times New Roman"/>
                <w:sz w:val="22"/>
                <w:szCs w:val="22"/>
                <w:vertAlign w:val="superscript"/>
              </w:rPr>
              <w:t xml:space="preserve"> 1</w:t>
            </w:r>
          </w:p>
        </w:tc>
        <w:tc>
          <w:tcPr>
            <w:tcW w:w="1244" w:type="dxa"/>
          </w:tcPr>
          <w:p w14:paraId="754F87AA" w14:textId="77777777" w:rsidR="00D8365A" w:rsidRPr="00362517" w:rsidRDefault="00D8365A" w:rsidP="00BF6BC7">
            <w:pPr>
              <w:tabs>
                <w:tab w:val="decimal" w:pos="734"/>
              </w:tabs>
              <w:rPr>
                <w:sz w:val="22"/>
                <w:szCs w:val="22"/>
              </w:rPr>
            </w:pPr>
            <w:r w:rsidRPr="00362517">
              <w:rPr>
                <w:sz w:val="22"/>
                <w:szCs w:val="22"/>
              </w:rPr>
              <w:t>18</w:t>
            </w:r>
          </w:p>
        </w:tc>
        <w:tc>
          <w:tcPr>
            <w:tcW w:w="1244" w:type="dxa"/>
          </w:tcPr>
          <w:p w14:paraId="07147262" w14:textId="77777777" w:rsidR="00D8365A" w:rsidRPr="00362517" w:rsidRDefault="00D8365A" w:rsidP="00BF6BC7">
            <w:pPr>
              <w:tabs>
                <w:tab w:val="decimal" w:pos="727"/>
              </w:tabs>
              <w:rPr>
                <w:sz w:val="22"/>
                <w:szCs w:val="22"/>
              </w:rPr>
            </w:pPr>
            <w:r w:rsidRPr="00362517">
              <w:rPr>
                <w:sz w:val="22"/>
                <w:szCs w:val="22"/>
              </w:rPr>
              <w:t>153</w:t>
            </w:r>
          </w:p>
        </w:tc>
        <w:tc>
          <w:tcPr>
            <w:tcW w:w="1244" w:type="dxa"/>
          </w:tcPr>
          <w:p w14:paraId="3674C330" w14:textId="77777777" w:rsidR="00D8365A" w:rsidRPr="00362517" w:rsidRDefault="00D8365A" w:rsidP="00BF6BC7">
            <w:pPr>
              <w:tabs>
                <w:tab w:val="decimal" w:pos="720"/>
              </w:tabs>
              <w:rPr>
                <w:sz w:val="22"/>
                <w:szCs w:val="22"/>
              </w:rPr>
            </w:pPr>
            <w:r w:rsidRPr="00362517">
              <w:rPr>
                <w:sz w:val="22"/>
                <w:szCs w:val="22"/>
              </w:rPr>
              <w:t>4</w:t>
            </w:r>
          </w:p>
        </w:tc>
        <w:tc>
          <w:tcPr>
            <w:tcW w:w="1244" w:type="dxa"/>
          </w:tcPr>
          <w:p w14:paraId="3870DB02" w14:textId="77777777" w:rsidR="00D8365A" w:rsidRPr="00362517" w:rsidRDefault="00D8365A" w:rsidP="00BF6BC7">
            <w:pPr>
              <w:tabs>
                <w:tab w:val="decimal" w:pos="714"/>
              </w:tabs>
              <w:rPr>
                <w:sz w:val="22"/>
                <w:szCs w:val="22"/>
              </w:rPr>
            </w:pPr>
            <w:r w:rsidRPr="00362517">
              <w:rPr>
                <w:sz w:val="22"/>
                <w:szCs w:val="22"/>
              </w:rPr>
              <w:t>37</w:t>
            </w:r>
          </w:p>
        </w:tc>
        <w:tc>
          <w:tcPr>
            <w:tcW w:w="1244" w:type="dxa"/>
          </w:tcPr>
          <w:p w14:paraId="5C8EBC02" w14:textId="77777777" w:rsidR="00D8365A" w:rsidRPr="00362517" w:rsidRDefault="00D8365A" w:rsidP="00BF6BC7">
            <w:pPr>
              <w:tabs>
                <w:tab w:val="decimal" w:pos="719"/>
              </w:tabs>
              <w:rPr>
                <w:sz w:val="22"/>
                <w:szCs w:val="22"/>
              </w:rPr>
            </w:pPr>
            <w:r w:rsidRPr="00362517">
              <w:rPr>
                <w:sz w:val="22"/>
                <w:szCs w:val="22"/>
              </w:rPr>
              <w:t>13</w:t>
            </w:r>
          </w:p>
        </w:tc>
        <w:tc>
          <w:tcPr>
            <w:tcW w:w="1245" w:type="dxa"/>
          </w:tcPr>
          <w:p w14:paraId="6ACF8239" w14:textId="77777777" w:rsidR="00D8365A" w:rsidRPr="00362517" w:rsidRDefault="00D8365A" w:rsidP="00BF6BC7">
            <w:pPr>
              <w:tabs>
                <w:tab w:val="decimal" w:pos="725"/>
              </w:tabs>
              <w:rPr>
                <w:sz w:val="22"/>
                <w:szCs w:val="22"/>
              </w:rPr>
            </w:pPr>
            <w:r w:rsidRPr="00362517">
              <w:rPr>
                <w:sz w:val="22"/>
                <w:szCs w:val="22"/>
              </w:rPr>
              <w:t>181</w:t>
            </w:r>
          </w:p>
        </w:tc>
      </w:tr>
      <w:tr w:rsidR="00D8365A" w:rsidRPr="00362517" w14:paraId="34EBF9C3" w14:textId="77777777" w:rsidTr="007A2164">
        <w:tc>
          <w:tcPr>
            <w:tcW w:w="1885" w:type="dxa"/>
          </w:tcPr>
          <w:p w14:paraId="30F600F2" w14:textId="77777777" w:rsidR="00D8365A" w:rsidRPr="00362517" w:rsidRDefault="00D8365A" w:rsidP="00BF6BC7">
            <w:pPr>
              <w:pStyle w:val="BodyText"/>
              <w:rPr>
                <w:rFonts w:cs="Times New Roman"/>
                <w:sz w:val="22"/>
                <w:szCs w:val="22"/>
              </w:rPr>
            </w:pPr>
            <w:r w:rsidRPr="00362517">
              <w:rPr>
                <w:rFonts w:cs="Times New Roman"/>
                <w:sz w:val="22"/>
                <w:szCs w:val="22"/>
              </w:rPr>
              <w:t>North Dakota</w:t>
            </w:r>
          </w:p>
        </w:tc>
        <w:tc>
          <w:tcPr>
            <w:tcW w:w="1244" w:type="dxa"/>
          </w:tcPr>
          <w:p w14:paraId="688F1AAE" w14:textId="77777777" w:rsidR="00D8365A" w:rsidRPr="00362517" w:rsidRDefault="00D8365A" w:rsidP="00BF6BC7">
            <w:pPr>
              <w:tabs>
                <w:tab w:val="decimal" w:pos="734"/>
              </w:tabs>
              <w:rPr>
                <w:sz w:val="22"/>
                <w:szCs w:val="22"/>
              </w:rPr>
            </w:pPr>
            <w:r w:rsidRPr="00362517">
              <w:rPr>
                <w:sz w:val="22"/>
                <w:szCs w:val="22"/>
              </w:rPr>
              <w:t>44</w:t>
            </w:r>
          </w:p>
        </w:tc>
        <w:tc>
          <w:tcPr>
            <w:tcW w:w="1244" w:type="dxa"/>
          </w:tcPr>
          <w:p w14:paraId="54FF6C16" w14:textId="77777777" w:rsidR="00D8365A" w:rsidRPr="00362517" w:rsidRDefault="00D8365A" w:rsidP="00BF6BC7">
            <w:pPr>
              <w:tabs>
                <w:tab w:val="decimal" w:pos="727"/>
              </w:tabs>
              <w:rPr>
                <w:sz w:val="22"/>
                <w:szCs w:val="22"/>
              </w:rPr>
            </w:pPr>
            <w:r w:rsidRPr="00362517">
              <w:rPr>
                <w:sz w:val="22"/>
                <w:szCs w:val="22"/>
              </w:rPr>
              <w:t>363</w:t>
            </w:r>
          </w:p>
        </w:tc>
        <w:tc>
          <w:tcPr>
            <w:tcW w:w="1244" w:type="dxa"/>
          </w:tcPr>
          <w:p w14:paraId="65E270E4" w14:textId="77777777" w:rsidR="00D8365A" w:rsidRPr="00362517" w:rsidRDefault="00D8365A" w:rsidP="00BF6BC7">
            <w:pPr>
              <w:tabs>
                <w:tab w:val="decimal" w:pos="720"/>
              </w:tabs>
              <w:rPr>
                <w:sz w:val="22"/>
                <w:szCs w:val="22"/>
              </w:rPr>
            </w:pPr>
            <w:r w:rsidRPr="00362517">
              <w:rPr>
                <w:sz w:val="22"/>
                <w:szCs w:val="22"/>
              </w:rPr>
              <w:t>12</w:t>
            </w:r>
          </w:p>
        </w:tc>
        <w:tc>
          <w:tcPr>
            <w:tcW w:w="1244" w:type="dxa"/>
          </w:tcPr>
          <w:p w14:paraId="3B11C00F" w14:textId="77777777" w:rsidR="00D8365A" w:rsidRPr="00362517" w:rsidRDefault="00D8365A" w:rsidP="00BF6BC7">
            <w:pPr>
              <w:tabs>
                <w:tab w:val="decimal" w:pos="714"/>
              </w:tabs>
              <w:rPr>
                <w:sz w:val="22"/>
                <w:szCs w:val="22"/>
              </w:rPr>
            </w:pPr>
            <w:r w:rsidRPr="00362517">
              <w:rPr>
                <w:sz w:val="22"/>
                <w:szCs w:val="22"/>
              </w:rPr>
              <w:t>107</w:t>
            </w:r>
          </w:p>
        </w:tc>
        <w:tc>
          <w:tcPr>
            <w:tcW w:w="1244" w:type="dxa"/>
          </w:tcPr>
          <w:p w14:paraId="3301C223" w14:textId="77777777" w:rsidR="00D8365A" w:rsidRPr="00362517" w:rsidRDefault="00D8365A" w:rsidP="00BF6BC7">
            <w:pPr>
              <w:tabs>
                <w:tab w:val="decimal" w:pos="719"/>
              </w:tabs>
              <w:rPr>
                <w:sz w:val="22"/>
                <w:szCs w:val="22"/>
              </w:rPr>
            </w:pPr>
            <w:r w:rsidRPr="00362517">
              <w:rPr>
                <w:sz w:val="22"/>
                <w:szCs w:val="22"/>
              </w:rPr>
              <w:t>34</w:t>
            </w:r>
          </w:p>
        </w:tc>
        <w:tc>
          <w:tcPr>
            <w:tcW w:w="1245" w:type="dxa"/>
          </w:tcPr>
          <w:p w14:paraId="65818584" w14:textId="77777777" w:rsidR="00D8365A" w:rsidRPr="00362517" w:rsidRDefault="00D8365A" w:rsidP="00BF6BC7">
            <w:pPr>
              <w:tabs>
                <w:tab w:val="decimal" w:pos="725"/>
              </w:tabs>
              <w:rPr>
                <w:sz w:val="22"/>
                <w:szCs w:val="22"/>
              </w:rPr>
            </w:pPr>
            <w:r w:rsidRPr="00362517">
              <w:rPr>
                <w:sz w:val="22"/>
                <w:szCs w:val="22"/>
              </w:rPr>
              <w:t>482</w:t>
            </w:r>
          </w:p>
        </w:tc>
      </w:tr>
      <w:tr w:rsidR="00D8365A" w:rsidRPr="00362517" w14:paraId="10E2B192" w14:textId="77777777" w:rsidTr="007A2164">
        <w:tc>
          <w:tcPr>
            <w:tcW w:w="1885" w:type="dxa"/>
          </w:tcPr>
          <w:p w14:paraId="5BD97B64" w14:textId="77777777" w:rsidR="00D8365A" w:rsidRPr="00362517" w:rsidRDefault="00D8365A" w:rsidP="00BF6BC7">
            <w:pPr>
              <w:pStyle w:val="BodyText"/>
              <w:rPr>
                <w:rFonts w:cs="Times New Roman"/>
                <w:sz w:val="22"/>
                <w:szCs w:val="22"/>
              </w:rPr>
            </w:pPr>
            <w:r w:rsidRPr="00362517">
              <w:rPr>
                <w:rFonts w:cs="Times New Roman"/>
                <w:sz w:val="22"/>
                <w:szCs w:val="22"/>
              </w:rPr>
              <w:t>Ohio</w:t>
            </w:r>
          </w:p>
        </w:tc>
        <w:tc>
          <w:tcPr>
            <w:tcW w:w="1244" w:type="dxa"/>
          </w:tcPr>
          <w:p w14:paraId="415F8518" w14:textId="77777777" w:rsidR="00D8365A" w:rsidRPr="00362517" w:rsidRDefault="00D8365A" w:rsidP="00BF6BC7">
            <w:pPr>
              <w:tabs>
                <w:tab w:val="decimal" w:pos="734"/>
              </w:tabs>
              <w:rPr>
                <w:sz w:val="22"/>
                <w:szCs w:val="22"/>
              </w:rPr>
            </w:pPr>
            <w:r w:rsidRPr="00362517">
              <w:rPr>
                <w:sz w:val="22"/>
                <w:szCs w:val="22"/>
              </w:rPr>
              <w:t>12</w:t>
            </w:r>
          </w:p>
        </w:tc>
        <w:tc>
          <w:tcPr>
            <w:tcW w:w="1244" w:type="dxa"/>
          </w:tcPr>
          <w:p w14:paraId="0881B46D" w14:textId="77777777" w:rsidR="00D8365A" w:rsidRPr="00362517" w:rsidRDefault="00D8365A" w:rsidP="00BF6BC7">
            <w:pPr>
              <w:tabs>
                <w:tab w:val="decimal" w:pos="727"/>
              </w:tabs>
              <w:rPr>
                <w:sz w:val="22"/>
                <w:szCs w:val="22"/>
              </w:rPr>
            </w:pPr>
            <w:r w:rsidRPr="00362517">
              <w:rPr>
                <w:sz w:val="22"/>
                <w:szCs w:val="22"/>
              </w:rPr>
              <w:t>101</w:t>
            </w:r>
          </w:p>
        </w:tc>
        <w:tc>
          <w:tcPr>
            <w:tcW w:w="1244" w:type="dxa"/>
          </w:tcPr>
          <w:p w14:paraId="72F370BE" w14:textId="77777777" w:rsidR="00D8365A" w:rsidRPr="00362517" w:rsidRDefault="00D8365A" w:rsidP="00BF6BC7">
            <w:pPr>
              <w:tabs>
                <w:tab w:val="decimal" w:pos="720"/>
              </w:tabs>
              <w:rPr>
                <w:sz w:val="22"/>
                <w:szCs w:val="22"/>
              </w:rPr>
            </w:pPr>
            <w:r w:rsidRPr="00362517">
              <w:rPr>
                <w:sz w:val="22"/>
                <w:szCs w:val="22"/>
              </w:rPr>
              <w:t>7</w:t>
            </w:r>
          </w:p>
        </w:tc>
        <w:tc>
          <w:tcPr>
            <w:tcW w:w="1244" w:type="dxa"/>
          </w:tcPr>
          <w:p w14:paraId="00391D3E" w14:textId="77777777" w:rsidR="00D8365A" w:rsidRPr="00362517" w:rsidRDefault="00D8365A" w:rsidP="00BF6BC7">
            <w:pPr>
              <w:tabs>
                <w:tab w:val="decimal" w:pos="714"/>
              </w:tabs>
              <w:rPr>
                <w:sz w:val="22"/>
                <w:szCs w:val="22"/>
              </w:rPr>
            </w:pPr>
            <w:r w:rsidRPr="00362517">
              <w:rPr>
                <w:sz w:val="22"/>
                <w:szCs w:val="22"/>
              </w:rPr>
              <w:t>60</w:t>
            </w:r>
          </w:p>
        </w:tc>
        <w:tc>
          <w:tcPr>
            <w:tcW w:w="1244" w:type="dxa"/>
          </w:tcPr>
          <w:p w14:paraId="2A237C83" w14:textId="77777777" w:rsidR="00D8365A" w:rsidRPr="00362517" w:rsidRDefault="00D8365A" w:rsidP="00BF6BC7">
            <w:pPr>
              <w:tabs>
                <w:tab w:val="decimal" w:pos="719"/>
              </w:tabs>
              <w:rPr>
                <w:sz w:val="22"/>
                <w:szCs w:val="22"/>
              </w:rPr>
            </w:pPr>
            <w:r w:rsidRPr="00362517">
              <w:rPr>
                <w:sz w:val="22"/>
                <w:szCs w:val="22"/>
              </w:rPr>
              <w:t>27</w:t>
            </w:r>
          </w:p>
        </w:tc>
        <w:tc>
          <w:tcPr>
            <w:tcW w:w="1245" w:type="dxa"/>
          </w:tcPr>
          <w:p w14:paraId="2E6C6EC8" w14:textId="77777777" w:rsidR="00D8365A" w:rsidRPr="00362517" w:rsidRDefault="00D8365A" w:rsidP="00BF6BC7">
            <w:pPr>
              <w:tabs>
                <w:tab w:val="decimal" w:pos="725"/>
              </w:tabs>
              <w:rPr>
                <w:sz w:val="22"/>
                <w:szCs w:val="22"/>
              </w:rPr>
            </w:pPr>
            <w:r w:rsidRPr="00362517">
              <w:rPr>
                <w:sz w:val="22"/>
                <w:szCs w:val="22"/>
              </w:rPr>
              <w:t>379</w:t>
            </w:r>
          </w:p>
        </w:tc>
      </w:tr>
      <w:tr w:rsidR="00D8365A" w:rsidRPr="00362517" w14:paraId="5BF25629" w14:textId="77777777" w:rsidTr="007A2164">
        <w:tc>
          <w:tcPr>
            <w:tcW w:w="1885" w:type="dxa"/>
          </w:tcPr>
          <w:p w14:paraId="63C2E961" w14:textId="77777777" w:rsidR="00D8365A" w:rsidRPr="00362517" w:rsidRDefault="00D8365A" w:rsidP="00BF6BC7">
            <w:pPr>
              <w:pStyle w:val="BodyText"/>
              <w:rPr>
                <w:rFonts w:cs="Times New Roman"/>
                <w:sz w:val="22"/>
                <w:szCs w:val="22"/>
              </w:rPr>
            </w:pPr>
            <w:r w:rsidRPr="00362517">
              <w:rPr>
                <w:rFonts w:cs="Times New Roman"/>
                <w:sz w:val="22"/>
                <w:szCs w:val="22"/>
              </w:rPr>
              <w:t>Oklahoma</w:t>
            </w:r>
            <w:r w:rsidRPr="00362517">
              <w:rPr>
                <w:rFonts w:cs="Times New Roman"/>
                <w:sz w:val="22"/>
                <w:szCs w:val="22"/>
                <w:vertAlign w:val="superscript"/>
              </w:rPr>
              <w:t xml:space="preserve"> 1 2</w:t>
            </w:r>
          </w:p>
        </w:tc>
        <w:tc>
          <w:tcPr>
            <w:tcW w:w="1244" w:type="dxa"/>
          </w:tcPr>
          <w:p w14:paraId="4780290C" w14:textId="77777777" w:rsidR="00D8365A" w:rsidRPr="00362517" w:rsidRDefault="00D8365A" w:rsidP="00BF6BC7">
            <w:pPr>
              <w:tabs>
                <w:tab w:val="decimal" w:pos="734"/>
              </w:tabs>
              <w:rPr>
                <w:sz w:val="22"/>
                <w:szCs w:val="22"/>
              </w:rPr>
            </w:pPr>
            <w:r w:rsidRPr="00362517">
              <w:rPr>
                <w:sz w:val="22"/>
                <w:szCs w:val="22"/>
              </w:rPr>
              <w:t>47</w:t>
            </w:r>
          </w:p>
        </w:tc>
        <w:tc>
          <w:tcPr>
            <w:tcW w:w="1244" w:type="dxa"/>
          </w:tcPr>
          <w:p w14:paraId="1AB38009" w14:textId="77777777" w:rsidR="00D8365A" w:rsidRPr="00362517" w:rsidRDefault="00D8365A" w:rsidP="00BF6BC7">
            <w:pPr>
              <w:tabs>
                <w:tab w:val="decimal" w:pos="727"/>
              </w:tabs>
              <w:rPr>
                <w:sz w:val="22"/>
                <w:szCs w:val="22"/>
              </w:rPr>
            </w:pPr>
            <w:r w:rsidRPr="00362517">
              <w:rPr>
                <w:sz w:val="22"/>
                <w:szCs w:val="22"/>
              </w:rPr>
              <w:t>388</w:t>
            </w:r>
          </w:p>
        </w:tc>
        <w:tc>
          <w:tcPr>
            <w:tcW w:w="1244" w:type="dxa"/>
          </w:tcPr>
          <w:p w14:paraId="7343A877" w14:textId="77777777" w:rsidR="00D8365A" w:rsidRPr="00362517" w:rsidRDefault="00D8365A" w:rsidP="00BF6BC7">
            <w:pPr>
              <w:tabs>
                <w:tab w:val="decimal" w:pos="720"/>
              </w:tabs>
              <w:rPr>
                <w:sz w:val="22"/>
                <w:szCs w:val="22"/>
              </w:rPr>
            </w:pPr>
            <w:r w:rsidRPr="00362517">
              <w:rPr>
                <w:sz w:val="22"/>
                <w:szCs w:val="22"/>
              </w:rPr>
              <w:t>13</w:t>
            </w:r>
          </w:p>
        </w:tc>
        <w:tc>
          <w:tcPr>
            <w:tcW w:w="1244" w:type="dxa"/>
          </w:tcPr>
          <w:p w14:paraId="05A2DD36" w14:textId="77777777" w:rsidR="00D8365A" w:rsidRPr="00362517" w:rsidRDefault="00D8365A" w:rsidP="00BF6BC7">
            <w:pPr>
              <w:tabs>
                <w:tab w:val="decimal" w:pos="714"/>
              </w:tabs>
              <w:rPr>
                <w:sz w:val="22"/>
                <w:szCs w:val="22"/>
              </w:rPr>
            </w:pPr>
            <w:r w:rsidRPr="00362517">
              <w:rPr>
                <w:sz w:val="22"/>
                <w:szCs w:val="22"/>
              </w:rPr>
              <w:t>114</w:t>
            </w:r>
          </w:p>
        </w:tc>
        <w:tc>
          <w:tcPr>
            <w:tcW w:w="1244" w:type="dxa"/>
          </w:tcPr>
          <w:p w14:paraId="540D1D62" w14:textId="77777777" w:rsidR="00D8365A" w:rsidRPr="00362517" w:rsidRDefault="00D8365A" w:rsidP="00BF6BC7">
            <w:pPr>
              <w:tabs>
                <w:tab w:val="decimal" w:pos="719"/>
              </w:tabs>
              <w:rPr>
                <w:sz w:val="22"/>
                <w:szCs w:val="22"/>
              </w:rPr>
            </w:pPr>
            <w:r w:rsidRPr="00362517">
              <w:rPr>
                <w:sz w:val="22"/>
                <w:szCs w:val="22"/>
              </w:rPr>
              <w:t>52</w:t>
            </w:r>
          </w:p>
        </w:tc>
        <w:tc>
          <w:tcPr>
            <w:tcW w:w="1245" w:type="dxa"/>
          </w:tcPr>
          <w:p w14:paraId="162D1E5B" w14:textId="77777777" w:rsidR="00D8365A" w:rsidRPr="00362517" w:rsidRDefault="00D8365A" w:rsidP="00BF6BC7">
            <w:pPr>
              <w:tabs>
                <w:tab w:val="decimal" w:pos="725"/>
              </w:tabs>
              <w:rPr>
                <w:sz w:val="22"/>
                <w:szCs w:val="22"/>
              </w:rPr>
            </w:pPr>
            <w:r w:rsidRPr="00362517">
              <w:rPr>
                <w:sz w:val="22"/>
                <w:szCs w:val="22"/>
              </w:rPr>
              <w:t>747</w:t>
            </w:r>
          </w:p>
        </w:tc>
      </w:tr>
      <w:tr w:rsidR="00D8365A" w:rsidRPr="00362517" w14:paraId="1B98B05A" w14:textId="77777777" w:rsidTr="007A2164">
        <w:tc>
          <w:tcPr>
            <w:tcW w:w="1885" w:type="dxa"/>
          </w:tcPr>
          <w:p w14:paraId="7AE03935" w14:textId="77777777" w:rsidR="00D8365A" w:rsidRPr="00362517" w:rsidRDefault="00D8365A" w:rsidP="00BF6BC7">
            <w:pPr>
              <w:pStyle w:val="BodyText"/>
              <w:rPr>
                <w:rFonts w:cs="Times New Roman"/>
                <w:sz w:val="22"/>
                <w:szCs w:val="22"/>
              </w:rPr>
            </w:pPr>
            <w:r w:rsidRPr="00362517">
              <w:rPr>
                <w:rFonts w:cs="Times New Roman"/>
                <w:sz w:val="22"/>
                <w:szCs w:val="22"/>
              </w:rPr>
              <w:t>Oregon</w:t>
            </w:r>
            <w:r w:rsidRPr="00362517">
              <w:rPr>
                <w:rFonts w:cs="Times New Roman"/>
                <w:sz w:val="22"/>
                <w:szCs w:val="22"/>
                <w:vertAlign w:val="superscript"/>
              </w:rPr>
              <w:t xml:space="preserve"> 1</w:t>
            </w:r>
          </w:p>
        </w:tc>
        <w:tc>
          <w:tcPr>
            <w:tcW w:w="1244" w:type="dxa"/>
          </w:tcPr>
          <w:p w14:paraId="06FFB00D" w14:textId="77777777" w:rsidR="00D8365A" w:rsidRPr="00362517" w:rsidRDefault="00D8365A" w:rsidP="00BF6BC7">
            <w:pPr>
              <w:tabs>
                <w:tab w:val="decimal" w:pos="734"/>
              </w:tabs>
              <w:rPr>
                <w:sz w:val="22"/>
                <w:szCs w:val="22"/>
              </w:rPr>
            </w:pPr>
            <w:r w:rsidRPr="00362517">
              <w:rPr>
                <w:sz w:val="22"/>
                <w:szCs w:val="22"/>
              </w:rPr>
              <w:t>22</w:t>
            </w:r>
          </w:p>
        </w:tc>
        <w:tc>
          <w:tcPr>
            <w:tcW w:w="1244" w:type="dxa"/>
          </w:tcPr>
          <w:p w14:paraId="1A1197B3" w14:textId="77777777" w:rsidR="00D8365A" w:rsidRPr="00362517" w:rsidRDefault="00D8365A" w:rsidP="00BF6BC7">
            <w:pPr>
              <w:tabs>
                <w:tab w:val="decimal" w:pos="727"/>
              </w:tabs>
              <w:rPr>
                <w:sz w:val="22"/>
                <w:szCs w:val="22"/>
              </w:rPr>
            </w:pPr>
            <w:r w:rsidRPr="00362517">
              <w:rPr>
                <w:sz w:val="22"/>
                <w:szCs w:val="22"/>
              </w:rPr>
              <w:t>187</w:t>
            </w:r>
          </w:p>
        </w:tc>
        <w:tc>
          <w:tcPr>
            <w:tcW w:w="1244" w:type="dxa"/>
          </w:tcPr>
          <w:p w14:paraId="2FF5719D" w14:textId="77777777" w:rsidR="00D8365A" w:rsidRPr="00362517" w:rsidRDefault="00D8365A" w:rsidP="00BF6BC7">
            <w:pPr>
              <w:tabs>
                <w:tab w:val="decimal" w:pos="720"/>
              </w:tabs>
              <w:rPr>
                <w:sz w:val="22"/>
                <w:szCs w:val="22"/>
              </w:rPr>
            </w:pPr>
            <w:r w:rsidRPr="00362517">
              <w:rPr>
                <w:sz w:val="22"/>
                <w:szCs w:val="22"/>
              </w:rPr>
              <w:t>23</w:t>
            </w:r>
          </w:p>
        </w:tc>
        <w:tc>
          <w:tcPr>
            <w:tcW w:w="1244" w:type="dxa"/>
          </w:tcPr>
          <w:p w14:paraId="761467BA" w14:textId="77777777" w:rsidR="00D8365A" w:rsidRPr="00362517" w:rsidRDefault="00D8365A" w:rsidP="00BF6BC7">
            <w:pPr>
              <w:tabs>
                <w:tab w:val="decimal" w:pos="714"/>
              </w:tabs>
              <w:rPr>
                <w:sz w:val="22"/>
                <w:szCs w:val="22"/>
              </w:rPr>
            </w:pPr>
            <w:r w:rsidRPr="00362517">
              <w:rPr>
                <w:sz w:val="22"/>
                <w:szCs w:val="22"/>
              </w:rPr>
              <w:t>205</w:t>
            </w:r>
          </w:p>
        </w:tc>
        <w:tc>
          <w:tcPr>
            <w:tcW w:w="1244" w:type="dxa"/>
          </w:tcPr>
          <w:p w14:paraId="07DC46A8" w14:textId="77777777" w:rsidR="00D8365A" w:rsidRPr="00362517" w:rsidRDefault="00D8365A" w:rsidP="00BF6BC7">
            <w:pPr>
              <w:tabs>
                <w:tab w:val="decimal" w:pos="719"/>
              </w:tabs>
              <w:rPr>
                <w:sz w:val="22"/>
                <w:szCs w:val="22"/>
              </w:rPr>
            </w:pPr>
            <w:r w:rsidRPr="00362517">
              <w:rPr>
                <w:sz w:val="22"/>
                <w:szCs w:val="22"/>
              </w:rPr>
              <w:t>12</w:t>
            </w:r>
          </w:p>
        </w:tc>
        <w:tc>
          <w:tcPr>
            <w:tcW w:w="1245" w:type="dxa"/>
          </w:tcPr>
          <w:p w14:paraId="288F46B7" w14:textId="77777777" w:rsidR="00D8365A" w:rsidRPr="00362517" w:rsidRDefault="00D8365A" w:rsidP="00BF6BC7">
            <w:pPr>
              <w:tabs>
                <w:tab w:val="decimal" w:pos="725"/>
              </w:tabs>
              <w:rPr>
                <w:sz w:val="22"/>
                <w:szCs w:val="22"/>
              </w:rPr>
            </w:pPr>
            <w:r w:rsidRPr="00362517">
              <w:rPr>
                <w:sz w:val="22"/>
                <w:szCs w:val="22"/>
              </w:rPr>
              <w:t>176</w:t>
            </w:r>
          </w:p>
        </w:tc>
      </w:tr>
      <w:tr w:rsidR="00D8365A" w:rsidRPr="00362517" w14:paraId="3B1E28EF" w14:textId="77777777" w:rsidTr="007A2164">
        <w:tc>
          <w:tcPr>
            <w:tcW w:w="1885" w:type="dxa"/>
          </w:tcPr>
          <w:p w14:paraId="4BB22651" w14:textId="77777777" w:rsidR="00D8365A" w:rsidRPr="00362517" w:rsidRDefault="00D8365A" w:rsidP="00BF6BC7">
            <w:pPr>
              <w:pStyle w:val="BodyText"/>
              <w:rPr>
                <w:rFonts w:cs="Times New Roman"/>
                <w:sz w:val="22"/>
                <w:szCs w:val="22"/>
              </w:rPr>
            </w:pPr>
            <w:r w:rsidRPr="00362517">
              <w:rPr>
                <w:rFonts w:cs="Times New Roman"/>
                <w:sz w:val="22"/>
                <w:szCs w:val="22"/>
              </w:rPr>
              <w:t>Pennsylvania</w:t>
            </w:r>
          </w:p>
        </w:tc>
        <w:tc>
          <w:tcPr>
            <w:tcW w:w="1244" w:type="dxa"/>
          </w:tcPr>
          <w:p w14:paraId="0C74BF0E" w14:textId="77777777" w:rsidR="00D8365A" w:rsidRPr="00362517" w:rsidRDefault="00D8365A" w:rsidP="00BF6BC7">
            <w:pPr>
              <w:tabs>
                <w:tab w:val="decimal" w:pos="734"/>
              </w:tabs>
              <w:rPr>
                <w:sz w:val="22"/>
                <w:szCs w:val="22"/>
              </w:rPr>
            </w:pPr>
            <w:r w:rsidRPr="00362517">
              <w:rPr>
                <w:sz w:val="22"/>
                <w:szCs w:val="22"/>
              </w:rPr>
              <w:t>8</w:t>
            </w:r>
          </w:p>
        </w:tc>
        <w:tc>
          <w:tcPr>
            <w:tcW w:w="1244" w:type="dxa"/>
          </w:tcPr>
          <w:p w14:paraId="75D23674" w14:textId="77777777" w:rsidR="00D8365A" w:rsidRPr="00362517" w:rsidRDefault="00D8365A" w:rsidP="00BF6BC7">
            <w:pPr>
              <w:tabs>
                <w:tab w:val="decimal" w:pos="727"/>
              </w:tabs>
              <w:rPr>
                <w:sz w:val="22"/>
                <w:szCs w:val="22"/>
              </w:rPr>
            </w:pPr>
            <w:r w:rsidRPr="00362517">
              <w:rPr>
                <w:sz w:val="22"/>
                <w:szCs w:val="22"/>
              </w:rPr>
              <w:t>70</w:t>
            </w:r>
          </w:p>
        </w:tc>
        <w:tc>
          <w:tcPr>
            <w:tcW w:w="1244" w:type="dxa"/>
          </w:tcPr>
          <w:p w14:paraId="1C7FED17" w14:textId="77777777" w:rsidR="00D8365A" w:rsidRPr="00362517" w:rsidRDefault="00D8365A" w:rsidP="00BF6BC7">
            <w:pPr>
              <w:tabs>
                <w:tab w:val="decimal" w:pos="720"/>
              </w:tabs>
              <w:rPr>
                <w:sz w:val="22"/>
                <w:szCs w:val="22"/>
              </w:rPr>
            </w:pPr>
            <w:r w:rsidRPr="00362517">
              <w:rPr>
                <w:sz w:val="22"/>
                <w:szCs w:val="22"/>
              </w:rPr>
              <w:t>2</w:t>
            </w:r>
          </w:p>
        </w:tc>
        <w:tc>
          <w:tcPr>
            <w:tcW w:w="1244" w:type="dxa"/>
          </w:tcPr>
          <w:p w14:paraId="72B74306" w14:textId="77777777" w:rsidR="00D8365A" w:rsidRPr="00362517" w:rsidRDefault="00D8365A" w:rsidP="00BF6BC7">
            <w:pPr>
              <w:tabs>
                <w:tab w:val="decimal" w:pos="714"/>
              </w:tabs>
              <w:rPr>
                <w:sz w:val="22"/>
                <w:szCs w:val="22"/>
              </w:rPr>
            </w:pPr>
            <w:r w:rsidRPr="00362517">
              <w:rPr>
                <w:sz w:val="22"/>
                <w:szCs w:val="22"/>
              </w:rPr>
              <w:t>17</w:t>
            </w:r>
          </w:p>
        </w:tc>
        <w:tc>
          <w:tcPr>
            <w:tcW w:w="1244" w:type="dxa"/>
          </w:tcPr>
          <w:p w14:paraId="7B933BCE" w14:textId="77777777" w:rsidR="00D8365A" w:rsidRPr="00362517" w:rsidRDefault="00D8365A" w:rsidP="00BF6BC7">
            <w:pPr>
              <w:tabs>
                <w:tab w:val="decimal" w:pos="719"/>
              </w:tabs>
              <w:rPr>
                <w:sz w:val="22"/>
                <w:szCs w:val="22"/>
              </w:rPr>
            </w:pPr>
            <w:r w:rsidRPr="00362517">
              <w:rPr>
                <w:sz w:val="22"/>
                <w:szCs w:val="22"/>
              </w:rPr>
              <w:t>35</w:t>
            </w:r>
          </w:p>
        </w:tc>
        <w:tc>
          <w:tcPr>
            <w:tcW w:w="1245" w:type="dxa"/>
          </w:tcPr>
          <w:p w14:paraId="5A6A4D23" w14:textId="77777777" w:rsidR="00D8365A" w:rsidRPr="00362517" w:rsidRDefault="00D8365A" w:rsidP="00BF6BC7">
            <w:pPr>
              <w:tabs>
                <w:tab w:val="decimal" w:pos="725"/>
              </w:tabs>
              <w:rPr>
                <w:sz w:val="22"/>
                <w:szCs w:val="22"/>
              </w:rPr>
            </w:pPr>
            <w:r w:rsidRPr="00362517">
              <w:rPr>
                <w:sz w:val="22"/>
                <w:szCs w:val="22"/>
              </w:rPr>
              <w:t>498</w:t>
            </w:r>
          </w:p>
        </w:tc>
      </w:tr>
      <w:tr w:rsidR="00D8365A" w:rsidRPr="00362517" w14:paraId="7859AFA6" w14:textId="77777777" w:rsidTr="007A2164">
        <w:tc>
          <w:tcPr>
            <w:tcW w:w="1885" w:type="dxa"/>
          </w:tcPr>
          <w:p w14:paraId="0F151DE9" w14:textId="77777777" w:rsidR="00D8365A" w:rsidRPr="00362517" w:rsidRDefault="00D8365A" w:rsidP="00BF6BC7">
            <w:pPr>
              <w:pStyle w:val="BodyText"/>
              <w:rPr>
                <w:rFonts w:cs="Times New Roman"/>
                <w:sz w:val="22"/>
                <w:szCs w:val="22"/>
              </w:rPr>
            </w:pPr>
            <w:r w:rsidRPr="00362517">
              <w:rPr>
                <w:rFonts w:cs="Times New Roman"/>
                <w:sz w:val="22"/>
                <w:szCs w:val="22"/>
              </w:rPr>
              <w:t>Rhode Island</w:t>
            </w:r>
            <w:r w:rsidRPr="00362517">
              <w:rPr>
                <w:rFonts w:cs="Times New Roman"/>
                <w:sz w:val="22"/>
                <w:szCs w:val="22"/>
                <w:vertAlign w:val="superscript"/>
              </w:rPr>
              <w:t xml:space="preserve"> 1 2</w:t>
            </w:r>
          </w:p>
        </w:tc>
        <w:tc>
          <w:tcPr>
            <w:tcW w:w="1244" w:type="dxa"/>
          </w:tcPr>
          <w:p w14:paraId="38293941" w14:textId="77777777" w:rsidR="00D8365A" w:rsidRPr="00362517" w:rsidRDefault="00D8365A" w:rsidP="00BF6BC7">
            <w:pPr>
              <w:tabs>
                <w:tab w:val="decimal" w:pos="734"/>
              </w:tabs>
              <w:rPr>
                <w:sz w:val="22"/>
                <w:szCs w:val="22"/>
              </w:rPr>
            </w:pPr>
            <w:r w:rsidRPr="00362517">
              <w:rPr>
                <w:sz w:val="22"/>
                <w:szCs w:val="22"/>
              </w:rPr>
              <w:t>3</w:t>
            </w:r>
          </w:p>
        </w:tc>
        <w:tc>
          <w:tcPr>
            <w:tcW w:w="1244" w:type="dxa"/>
          </w:tcPr>
          <w:p w14:paraId="208642A4" w14:textId="77777777" w:rsidR="00D8365A" w:rsidRPr="00362517" w:rsidRDefault="00D8365A" w:rsidP="00BF6BC7">
            <w:pPr>
              <w:tabs>
                <w:tab w:val="decimal" w:pos="727"/>
              </w:tabs>
              <w:rPr>
                <w:sz w:val="22"/>
                <w:szCs w:val="22"/>
              </w:rPr>
            </w:pPr>
            <w:r w:rsidRPr="00362517">
              <w:rPr>
                <w:sz w:val="22"/>
                <w:szCs w:val="22"/>
              </w:rPr>
              <w:t>25</w:t>
            </w:r>
          </w:p>
        </w:tc>
        <w:tc>
          <w:tcPr>
            <w:tcW w:w="1244" w:type="dxa"/>
          </w:tcPr>
          <w:p w14:paraId="59B740C1" w14:textId="77777777" w:rsidR="00D8365A" w:rsidRPr="00362517" w:rsidRDefault="00D8365A" w:rsidP="00BF6BC7">
            <w:pPr>
              <w:tabs>
                <w:tab w:val="decimal" w:pos="720"/>
              </w:tabs>
              <w:rPr>
                <w:sz w:val="22"/>
                <w:szCs w:val="22"/>
              </w:rPr>
            </w:pPr>
            <w:r w:rsidRPr="00362517">
              <w:rPr>
                <w:sz w:val="22"/>
                <w:szCs w:val="22"/>
              </w:rPr>
              <w:t>0</w:t>
            </w:r>
          </w:p>
        </w:tc>
        <w:tc>
          <w:tcPr>
            <w:tcW w:w="1244" w:type="dxa"/>
          </w:tcPr>
          <w:p w14:paraId="663C0846" w14:textId="77777777" w:rsidR="00D8365A" w:rsidRPr="00362517" w:rsidRDefault="00D8365A" w:rsidP="00BF6BC7">
            <w:pPr>
              <w:tabs>
                <w:tab w:val="decimal" w:pos="714"/>
              </w:tabs>
              <w:rPr>
                <w:sz w:val="22"/>
                <w:szCs w:val="22"/>
              </w:rPr>
            </w:pPr>
            <w:r w:rsidRPr="00362517">
              <w:rPr>
                <w:sz w:val="22"/>
                <w:szCs w:val="22"/>
              </w:rPr>
              <w:t>0</w:t>
            </w:r>
          </w:p>
        </w:tc>
        <w:tc>
          <w:tcPr>
            <w:tcW w:w="1244" w:type="dxa"/>
          </w:tcPr>
          <w:p w14:paraId="28164F4E" w14:textId="77777777" w:rsidR="00D8365A" w:rsidRPr="00362517" w:rsidRDefault="00D8365A" w:rsidP="00BF6BC7">
            <w:pPr>
              <w:tabs>
                <w:tab w:val="decimal" w:pos="719"/>
              </w:tabs>
              <w:rPr>
                <w:sz w:val="22"/>
                <w:szCs w:val="22"/>
              </w:rPr>
            </w:pPr>
            <w:r w:rsidRPr="00362517">
              <w:rPr>
                <w:sz w:val="22"/>
                <w:szCs w:val="22"/>
              </w:rPr>
              <w:t>1</w:t>
            </w:r>
          </w:p>
        </w:tc>
        <w:tc>
          <w:tcPr>
            <w:tcW w:w="1245" w:type="dxa"/>
          </w:tcPr>
          <w:p w14:paraId="7AED300F" w14:textId="77777777" w:rsidR="00D8365A" w:rsidRPr="00362517" w:rsidRDefault="00D8365A" w:rsidP="00BF6BC7">
            <w:pPr>
              <w:tabs>
                <w:tab w:val="decimal" w:pos="725"/>
              </w:tabs>
              <w:rPr>
                <w:sz w:val="22"/>
                <w:szCs w:val="22"/>
              </w:rPr>
            </w:pPr>
            <w:r w:rsidRPr="00362517">
              <w:rPr>
                <w:sz w:val="22"/>
                <w:szCs w:val="22"/>
              </w:rPr>
              <w:t>10</w:t>
            </w:r>
          </w:p>
        </w:tc>
      </w:tr>
      <w:tr w:rsidR="00D8365A" w:rsidRPr="00362517" w14:paraId="5ADD7179" w14:textId="77777777" w:rsidTr="007A2164">
        <w:tc>
          <w:tcPr>
            <w:tcW w:w="1885" w:type="dxa"/>
          </w:tcPr>
          <w:p w14:paraId="23B46B6B" w14:textId="77777777" w:rsidR="00D8365A" w:rsidRPr="00362517" w:rsidRDefault="00D8365A" w:rsidP="00BF6BC7">
            <w:pPr>
              <w:pStyle w:val="BodyText"/>
              <w:rPr>
                <w:rFonts w:cs="Times New Roman"/>
                <w:sz w:val="22"/>
                <w:szCs w:val="22"/>
              </w:rPr>
            </w:pPr>
            <w:r w:rsidRPr="00362517">
              <w:rPr>
                <w:rFonts w:cs="Times New Roman"/>
                <w:sz w:val="22"/>
                <w:szCs w:val="22"/>
              </w:rPr>
              <w:t>South Carolina</w:t>
            </w:r>
            <w:r w:rsidRPr="00362517">
              <w:rPr>
                <w:rFonts w:cs="Times New Roman"/>
                <w:sz w:val="22"/>
                <w:szCs w:val="22"/>
                <w:vertAlign w:val="superscript"/>
              </w:rPr>
              <w:t xml:space="preserve"> 2</w:t>
            </w:r>
          </w:p>
        </w:tc>
        <w:tc>
          <w:tcPr>
            <w:tcW w:w="1244" w:type="dxa"/>
          </w:tcPr>
          <w:p w14:paraId="5B89A1F0" w14:textId="77777777" w:rsidR="00D8365A" w:rsidRPr="00362517" w:rsidRDefault="00D8365A" w:rsidP="00BF6BC7">
            <w:pPr>
              <w:tabs>
                <w:tab w:val="decimal" w:pos="734"/>
              </w:tabs>
              <w:rPr>
                <w:sz w:val="22"/>
                <w:szCs w:val="22"/>
              </w:rPr>
            </w:pPr>
            <w:r w:rsidRPr="00362517">
              <w:rPr>
                <w:sz w:val="22"/>
                <w:szCs w:val="22"/>
              </w:rPr>
              <w:t>11</w:t>
            </w:r>
          </w:p>
        </w:tc>
        <w:tc>
          <w:tcPr>
            <w:tcW w:w="1244" w:type="dxa"/>
          </w:tcPr>
          <w:p w14:paraId="4A166B9F" w14:textId="77777777" w:rsidR="00D8365A" w:rsidRPr="00362517" w:rsidRDefault="00D8365A" w:rsidP="00BF6BC7">
            <w:pPr>
              <w:tabs>
                <w:tab w:val="decimal" w:pos="727"/>
              </w:tabs>
              <w:rPr>
                <w:sz w:val="22"/>
                <w:szCs w:val="22"/>
              </w:rPr>
            </w:pPr>
            <w:r w:rsidRPr="00362517">
              <w:rPr>
                <w:sz w:val="22"/>
                <w:szCs w:val="22"/>
              </w:rPr>
              <w:t>88</w:t>
            </w:r>
          </w:p>
        </w:tc>
        <w:tc>
          <w:tcPr>
            <w:tcW w:w="1244" w:type="dxa"/>
          </w:tcPr>
          <w:p w14:paraId="592BA121" w14:textId="77777777" w:rsidR="00D8365A" w:rsidRPr="00362517" w:rsidRDefault="00D8365A" w:rsidP="00BF6BC7">
            <w:pPr>
              <w:tabs>
                <w:tab w:val="decimal" w:pos="720"/>
              </w:tabs>
              <w:rPr>
                <w:sz w:val="22"/>
                <w:szCs w:val="22"/>
              </w:rPr>
            </w:pPr>
            <w:r w:rsidRPr="00362517">
              <w:rPr>
                <w:sz w:val="22"/>
                <w:szCs w:val="22"/>
              </w:rPr>
              <w:t>0</w:t>
            </w:r>
          </w:p>
        </w:tc>
        <w:tc>
          <w:tcPr>
            <w:tcW w:w="1244" w:type="dxa"/>
          </w:tcPr>
          <w:p w14:paraId="79D15E2E" w14:textId="77777777" w:rsidR="00D8365A" w:rsidRPr="00362517" w:rsidRDefault="00D8365A" w:rsidP="00BF6BC7">
            <w:pPr>
              <w:tabs>
                <w:tab w:val="decimal" w:pos="714"/>
              </w:tabs>
              <w:rPr>
                <w:sz w:val="22"/>
                <w:szCs w:val="22"/>
              </w:rPr>
            </w:pPr>
            <w:r w:rsidRPr="00362517">
              <w:rPr>
                <w:sz w:val="22"/>
                <w:szCs w:val="22"/>
              </w:rPr>
              <w:t>1</w:t>
            </w:r>
          </w:p>
        </w:tc>
        <w:tc>
          <w:tcPr>
            <w:tcW w:w="1244" w:type="dxa"/>
          </w:tcPr>
          <w:p w14:paraId="7016F9D4" w14:textId="77777777" w:rsidR="00D8365A" w:rsidRPr="00362517" w:rsidRDefault="00D8365A" w:rsidP="00BF6BC7">
            <w:pPr>
              <w:tabs>
                <w:tab w:val="decimal" w:pos="719"/>
              </w:tabs>
              <w:rPr>
                <w:sz w:val="22"/>
                <w:szCs w:val="22"/>
              </w:rPr>
            </w:pPr>
            <w:r w:rsidRPr="00362517">
              <w:rPr>
                <w:sz w:val="22"/>
                <w:szCs w:val="22"/>
              </w:rPr>
              <w:t>12</w:t>
            </w:r>
          </w:p>
        </w:tc>
        <w:tc>
          <w:tcPr>
            <w:tcW w:w="1245" w:type="dxa"/>
          </w:tcPr>
          <w:p w14:paraId="3C7B223E" w14:textId="77777777" w:rsidR="00D8365A" w:rsidRPr="00362517" w:rsidRDefault="00D8365A" w:rsidP="00BF6BC7">
            <w:pPr>
              <w:tabs>
                <w:tab w:val="decimal" w:pos="725"/>
              </w:tabs>
              <w:rPr>
                <w:sz w:val="22"/>
                <w:szCs w:val="22"/>
              </w:rPr>
            </w:pPr>
            <w:r w:rsidRPr="00362517">
              <w:rPr>
                <w:sz w:val="22"/>
                <w:szCs w:val="22"/>
              </w:rPr>
              <w:t>175</w:t>
            </w:r>
          </w:p>
        </w:tc>
      </w:tr>
      <w:tr w:rsidR="00D8365A" w:rsidRPr="00362517" w14:paraId="114C5256" w14:textId="77777777" w:rsidTr="007A2164">
        <w:tc>
          <w:tcPr>
            <w:tcW w:w="1885" w:type="dxa"/>
          </w:tcPr>
          <w:p w14:paraId="7C571DB3" w14:textId="77777777" w:rsidR="00D8365A" w:rsidRPr="00362517" w:rsidRDefault="00D8365A" w:rsidP="00BF6BC7">
            <w:pPr>
              <w:pStyle w:val="BodyText"/>
              <w:rPr>
                <w:rFonts w:cs="Times New Roman"/>
                <w:sz w:val="22"/>
                <w:szCs w:val="22"/>
              </w:rPr>
            </w:pPr>
            <w:r w:rsidRPr="00362517">
              <w:rPr>
                <w:rFonts w:cs="Times New Roman"/>
                <w:sz w:val="22"/>
                <w:szCs w:val="22"/>
              </w:rPr>
              <w:t>South Dakota</w:t>
            </w:r>
            <w:r w:rsidRPr="00362517">
              <w:rPr>
                <w:rFonts w:cs="Times New Roman"/>
                <w:sz w:val="22"/>
                <w:szCs w:val="22"/>
                <w:vertAlign w:val="superscript"/>
              </w:rPr>
              <w:t xml:space="preserve"> 1</w:t>
            </w:r>
          </w:p>
        </w:tc>
        <w:tc>
          <w:tcPr>
            <w:tcW w:w="1244" w:type="dxa"/>
          </w:tcPr>
          <w:p w14:paraId="351B47B3" w14:textId="77777777" w:rsidR="00D8365A" w:rsidRPr="00362517" w:rsidRDefault="00D8365A" w:rsidP="00BF6BC7">
            <w:pPr>
              <w:tabs>
                <w:tab w:val="decimal" w:pos="734"/>
              </w:tabs>
              <w:rPr>
                <w:sz w:val="22"/>
                <w:szCs w:val="22"/>
              </w:rPr>
            </w:pPr>
            <w:r w:rsidRPr="00362517">
              <w:rPr>
                <w:sz w:val="22"/>
                <w:szCs w:val="22"/>
              </w:rPr>
              <w:t>36</w:t>
            </w:r>
          </w:p>
        </w:tc>
        <w:tc>
          <w:tcPr>
            <w:tcW w:w="1244" w:type="dxa"/>
          </w:tcPr>
          <w:p w14:paraId="729A789D" w14:textId="77777777" w:rsidR="00D8365A" w:rsidRPr="00362517" w:rsidRDefault="00D8365A" w:rsidP="00BF6BC7">
            <w:pPr>
              <w:tabs>
                <w:tab w:val="decimal" w:pos="727"/>
              </w:tabs>
              <w:rPr>
                <w:sz w:val="22"/>
                <w:szCs w:val="22"/>
              </w:rPr>
            </w:pPr>
            <w:r w:rsidRPr="00362517">
              <w:rPr>
                <w:sz w:val="22"/>
                <w:szCs w:val="22"/>
              </w:rPr>
              <w:t>303</w:t>
            </w:r>
          </w:p>
        </w:tc>
        <w:tc>
          <w:tcPr>
            <w:tcW w:w="1244" w:type="dxa"/>
          </w:tcPr>
          <w:p w14:paraId="2B121007" w14:textId="77777777" w:rsidR="00D8365A" w:rsidRPr="00362517" w:rsidRDefault="00D8365A" w:rsidP="00BF6BC7">
            <w:pPr>
              <w:tabs>
                <w:tab w:val="decimal" w:pos="720"/>
              </w:tabs>
              <w:rPr>
                <w:sz w:val="22"/>
                <w:szCs w:val="22"/>
              </w:rPr>
            </w:pPr>
            <w:r w:rsidRPr="00362517">
              <w:rPr>
                <w:sz w:val="22"/>
                <w:szCs w:val="22"/>
              </w:rPr>
              <w:t>9</w:t>
            </w:r>
          </w:p>
        </w:tc>
        <w:tc>
          <w:tcPr>
            <w:tcW w:w="1244" w:type="dxa"/>
          </w:tcPr>
          <w:p w14:paraId="6EFDB315" w14:textId="77777777" w:rsidR="00D8365A" w:rsidRPr="00362517" w:rsidRDefault="00D8365A" w:rsidP="00BF6BC7">
            <w:pPr>
              <w:tabs>
                <w:tab w:val="decimal" w:pos="714"/>
              </w:tabs>
              <w:rPr>
                <w:sz w:val="22"/>
                <w:szCs w:val="22"/>
              </w:rPr>
            </w:pPr>
            <w:r w:rsidRPr="00362517">
              <w:rPr>
                <w:sz w:val="22"/>
                <w:szCs w:val="22"/>
              </w:rPr>
              <w:t>83</w:t>
            </w:r>
          </w:p>
        </w:tc>
        <w:tc>
          <w:tcPr>
            <w:tcW w:w="1244" w:type="dxa"/>
          </w:tcPr>
          <w:p w14:paraId="15CC24F7" w14:textId="77777777" w:rsidR="00D8365A" w:rsidRPr="00362517" w:rsidRDefault="00D8365A" w:rsidP="00BF6BC7">
            <w:pPr>
              <w:tabs>
                <w:tab w:val="decimal" w:pos="719"/>
              </w:tabs>
              <w:rPr>
                <w:sz w:val="22"/>
                <w:szCs w:val="22"/>
              </w:rPr>
            </w:pPr>
            <w:r w:rsidRPr="00362517">
              <w:rPr>
                <w:sz w:val="22"/>
                <w:szCs w:val="22"/>
              </w:rPr>
              <w:t>16</w:t>
            </w:r>
          </w:p>
        </w:tc>
        <w:tc>
          <w:tcPr>
            <w:tcW w:w="1245" w:type="dxa"/>
          </w:tcPr>
          <w:p w14:paraId="53B2E6C7" w14:textId="77777777" w:rsidR="00D8365A" w:rsidRPr="00362517" w:rsidRDefault="00D8365A" w:rsidP="00BF6BC7">
            <w:pPr>
              <w:tabs>
                <w:tab w:val="decimal" w:pos="725"/>
              </w:tabs>
              <w:rPr>
                <w:sz w:val="22"/>
                <w:szCs w:val="22"/>
              </w:rPr>
            </w:pPr>
            <w:r w:rsidRPr="00362517">
              <w:rPr>
                <w:sz w:val="22"/>
                <w:szCs w:val="22"/>
              </w:rPr>
              <w:t>222</w:t>
            </w:r>
          </w:p>
        </w:tc>
      </w:tr>
      <w:tr w:rsidR="00D8365A" w:rsidRPr="00362517" w14:paraId="310FF482" w14:textId="77777777" w:rsidTr="007A2164">
        <w:tc>
          <w:tcPr>
            <w:tcW w:w="1885" w:type="dxa"/>
          </w:tcPr>
          <w:p w14:paraId="37FF7241" w14:textId="77777777" w:rsidR="00D8365A" w:rsidRPr="00362517" w:rsidRDefault="00D8365A" w:rsidP="00BF6BC7">
            <w:pPr>
              <w:pStyle w:val="BodyText"/>
              <w:rPr>
                <w:rFonts w:cs="Times New Roman"/>
                <w:sz w:val="22"/>
                <w:szCs w:val="22"/>
              </w:rPr>
            </w:pPr>
            <w:r w:rsidRPr="00362517">
              <w:rPr>
                <w:rFonts w:cs="Times New Roman"/>
                <w:sz w:val="22"/>
                <w:szCs w:val="22"/>
              </w:rPr>
              <w:t>Tennessee</w:t>
            </w:r>
            <w:r w:rsidRPr="00362517">
              <w:rPr>
                <w:rFonts w:cs="Times New Roman"/>
                <w:sz w:val="22"/>
                <w:szCs w:val="22"/>
                <w:vertAlign w:val="superscript"/>
              </w:rPr>
              <w:t xml:space="preserve"> 1 2 3</w:t>
            </w:r>
          </w:p>
        </w:tc>
        <w:tc>
          <w:tcPr>
            <w:tcW w:w="1244" w:type="dxa"/>
          </w:tcPr>
          <w:p w14:paraId="5DCEE640" w14:textId="77777777" w:rsidR="00D8365A" w:rsidRPr="00362517" w:rsidRDefault="00D8365A" w:rsidP="00BF6BC7">
            <w:pPr>
              <w:tabs>
                <w:tab w:val="decimal" w:pos="734"/>
              </w:tabs>
              <w:rPr>
                <w:sz w:val="22"/>
                <w:szCs w:val="22"/>
              </w:rPr>
            </w:pPr>
            <w:r w:rsidRPr="00362517">
              <w:rPr>
                <w:sz w:val="22"/>
                <w:szCs w:val="22"/>
              </w:rPr>
              <w:t>13</w:t>
            </w:r>
          </w:p>
        </w:tc>
        <w:tc>
          <w:tcPr>
            <w:tcW w:w="1244" w:type="dxa"/>
          </w:tcPr>
          <w:p w14:paraId="65641FC1" w14:textId="77777777" w:rsidR="00D8365A" w:rsidRPr="00362517" w:rsidRDefault="00D8365A" w:rsidP="00BF6BC7">
            <w:pPr>
              <w:tabs>
                <w:tab w:val="decimal" w:pos="727"/>
              </w:tabs>
              <w:rPr>
                <w:sz w:val="22"/>
                <w:szCs w:val="22"/>
              </w:rPr>
            </w:pPr>
            <w:r w:rsidRPr="00362517">
              <w:rPr>
                <w:sz w:val="22"/>
                <w:szCs w:val="22"/>
              </w:rPr>
              <w:t>110</w:t>
            </w:r>
          </w:p>
        </w:tc>
        <w:tc>
          <w:tcPr>
            <w:tcW w:w="1244" w:type="dxa"/>
          </w:tcPr>
          <w:p w14:paraId="4D232EA4" w14:textId="77777777" w:rsidR="00D8365A" w:rsidRPr="00362517" w:rsidRDefault="00D8365A" w:rsidP="00BF6BC7">
            <w:pPr>
              <w:tabs>
                <w:tab w:val="decimal" w:pos="720"/>
              </w:tabs>
              <w:rPr>
                <w:sz w:val="22"/>
                <w:szCs w:val="22"/>
              </w:rPr>
            </w:pPr>
            <w:r w:rsidRPr="00362517">
              <w:rPr>
                <w:sz w:val="22"/>
                <w:szCs w:val="22"/>
              </w:rPr>
              <w:t>2</w:t>
            </w:r>
          </w:p>
        </w:tc>
        <w:tc>
          <w:tcPr>
            <w:tcW w:w="1244" w:type="dxa"/>
          </w:tcPr>
          <w:p w14:paraId="59C12943" w14:textId="77777777" w:rsidR="00D8365A" w:rsidRPr="00362517" w:rsidRDefault="00D8365A" w:rsidP="00BF6BC7">
            <w:pPr>
              <w:tabs>
                <w:tab w:val="decimal" w:pos="714"/>
              </w:tabs>
              <w:rPr>
                <w:sz w:val="22"/>
                <w:szCs w:val="22"/>
              </w:rPr>
            </w:pPr>
            <w:r w:rsidRPr="00362517">
              <w:rPr>
                <w:sz w:val="22"/>
                <w:szCs w:val="22"/>
              </w:rPr>
              <w:t>14</w:t>
            </w:r>
          </w:p>
        </w:tc>
        <w:tc>
          <w:tcPr>
            <w:tcW w:w="1244" w:type="dxa"/>
          </w:tcPr>
          <w:p w14:paraId="6258C774" w14:textId="77777777" w:rsidR="00D8365A" w:rsidRPr="00362517" w:rsidRDefault="00D8365A" w:rsidP="00BF6BC7">
            <w:pPr>
              <w:tabs>
                <w:tab w:val="decimal" w:pos="719"/>
              </w:tabs>
              <w:rPr>
                <w:sz w:val="22"/>
                <w:szCs w:val="22"/>
              </w:rPr>
            </w:pPr>
            <w:r w:rsidRPr="00362517">
              <w:rPr>
                <w:sz w:val="22"/>
                <w:szCs w:val="22"/>
              </w:rPr>
              <w:t>22</w:t>
            </w:r>
          </w:p>
        </w:tc>
        <w:tc>
          <w:tcPr>
            <w:tcW w:w="1245" w:type="dxa"/>
          </w:tcPr>
          <w:p w14:paraId="02E89E5C" w14:textId="77777777" w:rsidR="00D8365A" w:rsidRPr="00362517" w:rsidRDefault="00D8365A" w:rsidP="00BF6BC7">
            <w:pPr>
              <w:tabs>
                <w:tab w:val="decimal" w:pos="725"/>
              </w:tabs>
              <w:rPr>
                <w:sz w:val="22"/>
                <w:szCs w:val="22"/>
              </w:rPr>
            </w:pPr>
            <w:r w:rsidRPr="00362517">
              <w:rPr>
                <w:sz w:val="22"/>
                <w:szCs w:val="22"/>
              </w:rPr>
              <w:t>318</w:t>
            </w:r>
          </w:p>
        </w:tc>
      </w:tr>
      <w:tr w:rsidR="00D8365A" w:rsidRPr="00362517" w14:paraId="639CC8ED" w14:textId="77777777" w:rsidTr="007A2164">
        <w:tc>
          <w:tcPr>
            <w:tcW w:w="1885" w:type="dxa"/>
          </w:tcPr>
          <w:p w14:paraId="4C23E4D6" w14:textId="77777777" w:rsidR="00D8365A" w:rsidRPr="00362517" w:rsidRDefault="00D8365A" w:rsidP="00BF6BC7">
            <w:pPr>
              <w:pStyle w:val="BodyText"/>
              <w:rPr>
                <w:rFonts w:cs="Times New Roman"/>
                <w:sz w:val="22"/>
                <w:szCs w:val="22"/>
              </w:rPr>
            </w:pPr>
            <w:r w:rsidRPr="00362517">
              <w:rPr>
                <w:rFonts w:cs="Times New Roman"/>
                <w:sz w:val="22"/>
                <w:szCs w:val="22"/>
              </w:rPr>
              <w:t>Texas</w:t>
            </w:r>
            <w:r w:rsidRPr="00362517">
              <w:rPr>
                <w:rFonts w:cs="Times New Roman"/>
                <w:sz w:val="22"/>
                <w:szCs w:val="22"/>
                <w:vertAlign w:val="superscript"/>
              </w:rPr>
              <w:t xml:space="preserve"> 2</w:t>
            </w:r>
          </w:p>
        </w:tc>
        <w:tc>
          <w:tcPr>
            <w:tcW w:w="1244" w:type="dxa"/>
          </w:tcPr>
          <w:p w14:paraId="180ECCC5" w14:textId="77777777" w:rsidR="00D8365A" w:rsidRPr="00362517" w:rsidRDefault="00D8365A" w:rsidP="00BF6BC7">
            <w:pPr>
              <w:tabs>
                <w:tab w:val="decimal" w:pos="734"/>
              </w:tabs>
              <w:rPr>
                <w:sz w:val="22"/>
                <w:szCs w:val="22"/>
              </w:rPr>
            </w:pPr>
            <w:r w:rsidRPr="00362517">
              <w:rPr>
                <w:sz w:val="22"/>
                <w:szCs w:val="22"/>
              </w:rPr>
              <w:t>64</w:t>
            </w:r>
          </w:p>
        </w:tc>
        <w:tc>
          <w:tcPr>
            <w:tcW w:w="1244" w:type="dxa"/>
          </w:tcPr>
          <w:p w14:paraId="0AD2720B" w14:textId="77777777" w:rsidR="00D8365A" w:rsidRPr="00362517" w:rsidRDefault="00D8365A" w:rsidP="00BF6BC7">
            <w:pPr>
              <w:tabs>
                <w:tab w:val="decimal" w:pos="727"/>
              </w:tabs>
              <w:rPr>
                <w:sz w:val="22"/>
                <w:szCs w:val="22"/>
              </w:rPr>
            </w:pPr>
            <w:r w:rsidRPr="00362517">
              <w:rPr>
                <w:sz w:val="22"/>
                <w:szCs w:val="22"/>
              </w:rPr>
              <w:t>533</w:t>
            </w:r>
          </w:p>
        </w:tc>
        <w:tc>
          <w:tcPr>
            <w:tcW w:w="1244" w:type="dxa"/>
          </w:tcPr>
          <w:p w14:paraId="466DC69E" w14:textId="77777777" w:rsidR="00D8365A" w:rsidRPr="00362517" w:rsidRDefault="00D8365A" w:rsidP="00BF6BC7">
            <w:pPr>
              <w:tabs>
                <w:tab w:val="decimal" w:pos="720"/>
              </w:tabs>
              <w:rPr>
                <w:sz w:val="22"/>
                <w:szCs w:val="22"/>
              </w:rPr>
            </w:pPr>
            <w:r w:rsidRPr="00362517">
              <w:rPr>
                <w:sz w:val="22"/>
                <w:szCs w:val="22"/>
              </w:rPr>
              <w:t>19</w:t>
            </w:r>
          </w:p>
        </w:tc>
        <w:tc>
          <w:tcPr>
            <w:tcW w:w="1244" w:type="dxa"/>
          </w:tcPr>
          <w:p w14:paraId="7C698532" w14:textId="77777777" w:rsidR="00D8365A" w:rsidRPr="00362517" w:rsidRDefault="00D8365A" w:rsidP="00BF6BC7">
            <w:pPr>
              <w:tabs>
                <w:tab w:val="decimal" w:pos="714"/>
              </w:tabs>
              <w:rPr>
                <w:sz w:val="22"/>
                <w:szCs w:val="22"/>
              </w:rPr>
            </w:pPr>
            <w:r w:rsidRPr="00362517">
              <w:rPr>
                <w:sz w:val="22"/>
                <w:szCs w:val="22"/>
              </w:rPr>
              <w:t>177</w:t>
            </w:r>
          </w:p>
        </w:tc>
        <w:tc>
          <w:tcPr>
            <w:tcW w:w="1244" w:type="dxa"/>
          </w:tcPr>
          <w:p w14:paraId="7727BB48" w14:textId="77777777" w:rsidR="00D8365A" w:rsidRPr="00362517" w:rsidRDefault="00D8365A" w:rsidP="00BF6BC7">
            <w:pPr>
              <w:tabs>
                <w:tab w:val="decimal" w:pos="719"/>
              </w:tabs>
              <w:rPr>
                <w:sz w:val="22"/>
                <w:szCs w:val="22"/>
              </w:rPr>
            </w:pPr>
            <w:r w:rsidRPr="00362517">
              <w:rPr>
                <w:sz w:val="22"/>
                <w:szCs w:val="22"/>
              </w:rPr>
              <w:t>70</w:t>
            </w:r>
          </w:p>
        </w:tc>
        <w:tc>
          <w:tcPr>
            <w:tcW w:w="1245" w:type="dxa"/>
          </w:tcPr>
          <w:p w14:paraId="4A48BD8E" w14:textId="77777777" w:rsidR="00D8365A" w:rsidRPr="00362517" w:rsidRDefault="00D8365A" w:rsidP="00BF6BC7">
            <w:pPr>
              <w:tabs>
                <w:tab w:val="decimal" w:pos="725"/>
              </w:tabs>
              <w:rPr>
                <w:sz w:val="22"/>
                <w:szCs w:val="22"/>
              </w:rPr>
            </w:pPr>
            <w:r w:rsidRPr="00362517">
              <w:rPr>
                <w:sz w:val="22"/>
                <w:szCs w:val="22"/>
              </w:rPr>
              <w:t>995</w:t>
            </w:r>
          </w:p>
        </w:tc>
      </w:tr>
      <w:tr w:rsidR="00D8365A" w:rsidRPr="00362517" w14:paraId="0D61673A" w14:textId="77777777" w:rsidTr="007A2164">
        <w:tc>
          <w:tcPr>
            <w:tcW w:w="1885" w:type="dxa"/>
          </w:tcPr>
          <w:p w14:paraId="10D50BDC" w14:textId="77777777" w:rsidR="00D8365A" w:rsidRPr="00362517" w:rsidRDefault="00D8365A" w:rsidP="00BF6BC7">
            <w:pPr>
              <w:pStyle w:val="BodyText"/>
              <w:rPr>
                <w:rFonts w:cs="Times New Roman"/>
                <w:sz w:val="22"/>
                <w:szCs w:val="22"/>
              </w:rPr>
            </w:pPr>
            <w:r w:rsidRPr="00362517">
              <w:rPr>
                <w:rFonts w:cs="Times New Roman"/>
                <w:sz w:val="22"/>
                <w:szCs w:val="22"/>
              </w:rPr>
              <w:t>Utah</w:t>
            </w:r>
            <w:r w:rsidRPr="00362517">
              <w:rPr>
                <w:rFonts w:cs="Times New Roman"/>
                <w:sz w:val="22"/>
                <w:szCs w:val="22"/>
                <w:vertAlign w:val="superscript"/>
              </w:rPr>
              <w:t xml:space="preserve"> 2</w:t>
            </w:r>
          </w:p>
        </w:tc>
        <w:tc>
          <w:tcPr>
            <w:tcW w:w="1244" w:type="dxa"/>
          </w:tcPr>
          <w:p w14:paraId="5834AFA4" w14:textId="77777777" w:rsidR="00D8365A" w:rsidRPr="00362517" w:rsidRDefault="00D8365A" w:rsidP="00BF6BC7">
            <w:pPr>
              <w:tabs>
                <w:tab w:val="decimal" w:pos="734"/>
              </w:tabs>
              <w:rPr>
                <w:sz w:val="22"/>
                <w:szCs w:val="22"/>
              </w:rPr>
            </w:pPr>
            <w:r w:rsidRPr="00362517">
              <w:rPr>
                <w:sz w:val="22"/>
                <w:szCs w:val="22"/>
              </w:rPr>
              <w:t>6</w:t>
            </w:r>
          </w:p>
        </w:tc>
        <w:tc>
          <w:tcPr>
            <w:tcW w:w="1244" w:type="dxa"/>
          </w:tcPr>
          <w:p w14:paraId="784313AC" w14:textId="77777777" w:rsidR="00D8365A" w:rsidRPr="00362517" w:rsidRDefault="00D8365A" w:rsidP="00BF6BC7">
            <w:pPr>
              <w:tabs>
                <w:tab w:val="decimal" w:pos="727"/>
              </w:tabs>
              <w:rPr>
                <w:sz w:val="22"/>
                <w:szCs w:val="22"/>
              </w:rPr>
            </w:pPr>
            <w:r w:rsidRPr="00362517">
              <w:rPr>
                <w:sz w:val="22"/>
                <w:szCs w:val="22"/>
              </w:rPr>
              <w:t>47</w:t>
            </w:r>
          </w:p>
        </w:tc>
        <w:tc>
          <w:tcPr>
            <w:tcW w:w="1244" w:type="dxa"/>
          </w:tcPr>
          <w:p w14:paraId="4056994E" w14:textId="77777777" w:rsidR="00D8365A" w:rsidRPr="00362517" w:rsidRDefault="00D8365A" w:rsidP="00BF6BC7">
            <w:pPr>
              <w:tabs>
                <w:tab w:val="decimal" w:pos="720"/>
              </w:tabs>
              <w:rPr>
                <w:sz w:val="22"/>
                <w:szCs w:val="22"/>
              </w:rPr>
            </w:pPr>
            <w:r w:rsidRPr="00362517">
              <w:rPr>
                <w:sz w:val="22"/>
                <w:szCs w:val="22"/>
              </w:rPr>
              <w:t>1</w:t>
            </w:r>
          </w:p>
        </w:tc>
        <w:tc>
          <w:tcPr>
            <w:tcW w:w="1244" w:type="dxa"/>
          </w:tcPr>
          <w:p w14:paraId="55442DDC" w14:textId="77777777" w:rsidR="00D8365A" w:rsidRPr="00362517" w:rsidRDefault="00D8365A" w:rsidP="00BF6BC7">
            <w:pPr>
              <w:tabs>
                <w:tab w:val="decimal" w:pos="714"/>
              </w:tabs>
              <w:rPr>
                <w:sz w:val="22"/>
                <w:szCs w:val="22"/>
              </w:rPr>
            </w:pPr>
            <w:r w:rsidRPr="00362517">
              <w:rPr>
                <w:sz w:val="22"/>
                <w:szCs w:val="22"/>
              </w:rPr>
              <w:t>12</w:t>
            </w:r>
          </w:p>
        </w:tc>
        <w:tc>
          <w:tcPr>
            <w:tcW w:w="1244" w:type="dxa"/>
          </w:tcPr>
          <w:p w14:paraId="33A039AC" w14:textId="77777777" w:rsidR="00D8365A" w:rsidRPr="00362517" w:rsidRDefault="00D8365A" w:rsidP="00BF6BC7">
            <w:pPr>
              <w:tabs>
                <w:tab w:val="decimal" w:pos="719"/>
              </w:tabs>
              <w:rPr>
                <w:sz w:val="22"/>
                <w:szCs w:val="22"/>
              </w:rPr>
            </w:pPr>
            <w:r w:rsidRPr="00362517">
              <w:rPr>
                <w:sz w:val="22"/>
                <w:szCs w:val="22"/>
              </w:rPr>
              <w:t>7</w:t>
            </w:r>
          </w:p>
        </w:tc>
        <w:tc>
          <w:tcPr>
            <w:tcW w:w="1245" w:type="dxa"/>
          </w:tcPr>
          <w:p w14:paraId="24D152C7" w14:textId="77777777" w:rsidR="00D8365A" w:rsidRPr="00362517" w:rsidRDefault="00D8365A" w:rsidP="00BF6BC7">
            <w:pPr>
              <w:tabs>
                <w:tab w:val="decimal" w:pos="725"/>
              </w:tabs>
              <w:rPr>
                <w:sz w:val="22"/>
                <w:szCs w:val="22"/>
              </w:rPr>
            </w:pPr>
            <w:r w:rsidRPr="00362517">
              <w:rPr>
                <w:sz w:val="22"/>
                <w:szCs w:val="22"/>
              </w:rPr>
              <w:t>99</w:t>
            </w:r>
          </w:p>
        </w:tc>
      </w:tr>
      <w:tr w:rsidR="00D8365A" w:rsidRPr="00362517" w14:paraId="646AA3ED" w14:textId="77777777" w:rsidTr="007A2164">
        <w:tc>
          <w:tcPr>
            <w:tcW w:w="1885" w:type="dxa"/>
          </w:tcPr>
          <w:p w14:paraId="6CC1C1C2" w14:textId="77777777" w:rsidR="00D8365A" w:rsidRPr="00362517" w:rsidRDefault="00D8365A" w:rsidP="00BF6BC7">
            <w:pPr>
              <w:pStyle w:val="BodyText"/>
              <w:rPr>
                <w:rFonts w:cs="Times New Roman"/>
                <w:sz w:val="22"/>
                <w:szCs w:val="22"/>
              </w:rPr>
            </w:pPr>
            <w:r w:rsidRPr="00362517">
              <w:rPr>
                <w:rFonts w:cs="Times New Roman"/>
                <w:sz w:val="22"/>
                <w:szCs w:val="22"/>
              </w:rPr>
              <w:t>Vermont</w:t>
            </w:r>
            <w:r w:rsidRPr="00362517">
              <w:rPr>
                <w:rFonts w:cs="Times New Roman"/>
                <w:sz w:val="22"/>
                <w:szCs w:val="22"/>
                <w:vertAlign w:val="superscript"/>
              </w:rPr>
              <w:t xml:space="preserve"> 2 3</w:t>
            </w:r>
          </w:p>
        </w:tc>
        <w:tc>
          <w:tcPr>
            <w:tcW w:w="1244" w:type="dxa"/>
          </w:tcPr>
          <w:p w14:paraId="60331753" w14:textId="77777777" w:rsidR="00D8365A" w:rsidRPr="00362517" w:rsidRDefault="00D8365A" w:rsidP="00BF6BC7">
            <w:pPr>
              <w:tabs>
                <w:tab w:val="decimal" w:pos="734"/>
              </w:tabs>
              <w:rPr>
                <w:sz w:val="22"/>
                <w:szCs w:val="22"/>
              </w:rPr>
            </w:pPr>
            <w:r w:rsidRPr="00362517">
              <w:rPr>
                <w:sz w:val="22"/>
                <w:szCs w:val="22"/>
              </w:rPr>
              <w:t>1</w:t>
            </w:r>
          </w:p>
        </w:tc>
        <w:tc>
          <w:tcPr>
            <w:tcW w:w="1244" w:type="dxa"/>
          </w:tcPr>
          <w:p w14:paraId="2312C211" w14:textId="77777777" w:rsidR="00D8365A" w:rsidRPr="00362517" w:rsidRDefault="00D8365A" w:rsidP="00BF6BC7">
            <w:pPr>
              <w:tabs>
                <w:tab w:val="decimal" w:pos="727"/>
              </w:tabs>
              <w:rPr>
                <w:sz w:val="22"/>
                <w:szCs w:val="22"/>
              </w:rPr>
            </w:pPr>
            <w:r w:rsidRPr="00362517">
              <w:rPr>
                <w:sz w:val="22"/>
                <w:szCs w:val="22"/>
              </w:rPr>
              <w:t>10</w:t>
            </w:r>
          </w:p>
        </w:tc>
        <w:tc>
          <w:tcPr>
            <w:tcW w:w="1244" w:type="dxa"/>
          </w:tcPr>
          <w:p w14:paraId="21ABC3C5" w14:textId="77777777" w:rsidR="00D8365A" w:rsidRPr="00362517" w:rsidRDefault="00D8365A" w:rsidP="00BF6BC7">
            <w:pPr>
              <w:tabs>
                <w:tab w:val="decimal" w:pos="720"/>
              </w:tabs>
              <w:rPr>
                <w:sz w:val="22"/>
                <w:szCs w:val="22"/>
              </w:rPr>
            </w:pPr>
            <w:r w:rsidRPr="00362517">
              <w:rPr>
                <w:sz w:val="22"/>
                <w:szCs w:val="22"/>
              </w:rPr>
              <w:t>0</w:t>
            </w:r>
          </w:p>
        </w:tc>
        <w:tc>
          <w:tcPr>
            <w:tcW w:w="1244" w:type="dxa"/>
          </w:tcPr>
          <w:p w14:paraId="55821BE1" w14:textId="77777777" w:rsidR="00D8365A" w:rsidRPr="00362517" w:rsidRDefault="00D8365A" w:rsidP="00BF6BC7">
            <w:pPr>
              <w:tabs>
                <w:tab w:val="decimal" w:pos="714"/>
              </w:tabs>
              <w:rPr>
                <w:sz w:val="22"/>
                <w:szCs w:val="22"/>
              </w:rPr>
            </w:pPr>
            <w:r w:rsidRPr="00362517">
              <w:rPr>
                <w:sz w:val="22"/>
                <w:szCs w:val="22"/>
              </w:rPr>
              <w:t>0</w:t>
            </w:r>
          </w:p>
        </w:tc>
        <w:tc>
          <w:tcPr>
            <w:tcW w:w="1244" w:type="dxa"/>
          </w:tcPr>
          <w:p w14:paraId="7B74733B" w14:textId="77777777" w:rsidR="00D8365A" w:rsidRPr="00362517" w:rsidRDefault="00D8365A" w:rsidP="00BF6BC7">
            <w:pPr>
              <w:tabs>
                <w:tab w:val="decimal" w:pos="719"/>
              </w:tabs>
              <w:rPr>
                <w:sz w:val="22"/>
                <w:szCs w:val="22"/>
              </w:rPr>
            </w:pPr>
            <w:r w:rsidRPr="00362517">
              <w:rPr>
                <w:sz w:val="22"/>
                <w:szCs w:val="22"/>
              </w:rPr>
              <w:t>0</w:t>
            </w:r>
          </w:p>
        </w:tc>
        <w:tc>
          <w:tcPr>
            <w:tcW w:w="1245" w:type="dxa"/>
          </w:tcPr>
          <w:p w14:paraId="3D759F3C" w14:textId="77777777" w:rsidR="00D8365A" w:rsidRPr="00362517" w:rsidRDefault="00D8365A" w:rsidP="00BF6BC7">
            <w:pPr>
              <w:tabs>
                <w:tab w:val="decimal" w:pos="725"/>
              </w:tabs>
              <w:rPr>
                <w:sz w:val="22"/>
                <w:szCs w:val="22"/>
              </w:rPr>
            </w:pPr>
            <w:r w:rsidRPr="00362517">
              <w:rPr>
                <w:sz w:val="22"/>
                <w:szCs w:val="22"/>
              </w:rPr>
              <w:t>0</w:t>
            </w:r>
          </w:p>
        </w:tc>
      </w:tr>
      <w:tr w:rsidR="00D8365A" w:rsidRPr="00362517" w14:paraId="5439DBDE" w14:textId="77777777" w:rsidTr="007A2164">
        <w:tc>
          <w:tcPr>
            <w:tcW w:w="1885" w:type="dxa"/>
          </w:tcPr>
          <w:p w14:paraId="6A1FA0D9" w14:textId="77777777" w:rsidR="00D8365A" w:rsidRPr="00362517" w:rsidRDefault="00D8365A" w:rsidP="00BF6BC7">
            <w:pPr>
              <w:pStyle w:val="BodyText"/>
              <w:rPr>
                <w:rFonts w:cs="Times New Roman"/>
                <w:sz w:val="22"/>
                <w:szCs w:val="22"/>
              </w:rPr>
            </w:pPr>
            <w:r w:rsidRPr="00362517">
              <w:rPr>
                <w:rFonts w:cs="Times New Roman"/>
                <w:sz w:val="22"/>
                <w:szCs w:val="22"/>
              </w:rPr>
              <w:t>Virginia</w:t>
            </w:r>
          </w:p>
        </w:tc>
        <w:tc>
          <w:tcPr>
            <w:tcW w:w="1244" w:type="dxa"/>
          </w:tcPr>
          <w:p w14:paraId="5A6A984C" w14:textId="77777777" w:rsidR="00D8365A" w:rsidRPr="00362517" w:rsidRDefault="00D8365A" w:rsidP="00BF6BC7">
            <w:pPr>
              <w:tabs>
                <w:tab w:val="decimal" w:pos="734"/>
              </w:tabs>
              <w:rPr>
                <w:sz w:val="22"/>
                <w:szCs w:val="22"/>
              </w:rPr>
            </w:pPr>
            <w:r w:rsidRPr="00362517">
              <w:rPr>
                <w:sz w:val="22"/>
                <w:szCs w:val="22"/>
              </w:rPr>
              <w:t>10</w:t>
            </w:r>
          </w:p>
        </w:tc>
        <w:tc>
          <w:tcPr>
            <w:tcW w:w="1244" w:type="dxa"/>
          </w:tcPr>
          <w:p w14:paraId="466171ED" w14:textId="77777777" w:rsidR="00D8365A" w:rsidRPr="00362517" w:rsidRDefault="00D8365A" w:rsidP="00BF6BC7">
            <w:pPr>
              <w:tabs>
                <w:tab w:val="decimal" w:pos="727"/>
              </w:tabs>
              <w:rPr>
                <w:sz w:val="22"/>
                <w:szCs w:val="22"/>
              </w:rPr>
            </w:pPr>
            <w:r w:rsidRPr="00362517">
              <w:rPr>
                <w:sz w:val="22"/>
                <w:szCs w:val="22"/>
              </w:rPr>
              <w:t>85</w:t>
            </w:r>
          </w:p>
        </w:tc>
        <w:tc>
          <w:tcPr>
            <w:tcW w:w="1244" w:type="dxa"/>
          </w:tcPr>
          <w:p w14:paraId="235C7488" w14:textId="77777777" w:rsidR="00D8365A" w:rsidRPr="00362517" w:rsidRDefault="00D8365A" w:rsidP="00BF6BC7">
            <w:pPr>
              <w:tabs>
                <w:tab w:val="decimal" w:pos="720"/>
              </w:tabs>
              <w:rPr>
                <w:sz w:val="22"/>
                <w:szCs w:val="22"/>
              </w:rPr>
            </w:pPr>
            <w:r w:rsidRPr="00362517">
              <w:rPr>
                <w:sz w:val="22"/>
                <w:szCs w:val="22"/>
              </w:rPr>
              <w:t>8</w:t>
            </w:r>
          </w:p>
        </w:tc>
        <w:tc>
          <w:tcPr>
            <w:tcW w:w="1244" w:type="dxa"/>
          </w:tcPr>
          <w:p w14:paraId="2CEF3A4F" w14:textId="77777777" w:rsidR="00D8365A" w:rsidRPr="00362517" w:rsidRDefault="00D8365A" w:rsidP="00BF6BC7">
            <w:pPr>
              <w:tabs>
                <w:tab w:val="decimal" w:pos="714"/>
              </w:tabs>
              <w:rPr>
                <w:sz w:val="22"/>
                <w:szCs w:val="22"/>
              </w:rPr>
            </w:pPr>
            <w:r w:rsidRPr="00362517">
              <w:rPr>
                <w:sz w:val="22"/>
                <w:szCs w:val="22"/>
              </w:rPr>
              <w:t>73</w:t>
            </w:r>
          </w:p>
        </w:tc>
        <w:tc>
          <w:tcPr>
            <w:tcW w:w="1244" w:type="dxa"/>
          </w:tcPr>
          <w:p w14:paraId="709CA550" w14:textId="77777777" w:rsidR="00D8365A" w:rsidRPr="00362517" w:rsidRDefault="00D8365A" w:rsidP="00BF6BC7">
            <w:pPr>
              <w:tabs>
                <w:tab w:val="decimal" w:pos="719"/>
              </w:tabs>
              <w:rPr>
                <w:sz w:val="22"/>
                <w:szCs w:val="22"/>
              </w:rPr>
            </w:pPr>
            <w:r w:rsidRPr="00362517">
              <w:rPr>
                <w:sz w:val="22"/>
                <w:szCs w:val="22"/>
              </w:rPr>
              <w:t>13</w:t>
            </w:r>
          </w:p>
        </w:tc>
        <w:tc>
          <w:tcPr>
            <w:tcW w:w="1245" w:type="dxa"/>
          </w:tcPr>
          <w:p w14:paraId="447EEC3E" w14:textId="77777777" w:rsidR="00D8365A" w:rsidRPr="00362517" w:rsidRDefault="00D8365A" w:rsidP="00BF6BC7">
            <w:pPr>
              <w:tabs>
                <w:tab w:val="decimal" w:pos="725"/>
              </w:tabs>
              <w:rPr>
                <w:sz w:val="22"/>
                <w:szCs w:val="22"/>
              </w:rPr>
            </w:pPr>
            <w:r w:rsidRPr="00362517">
              <w:rPr>
                <w:sz w:val="22"/>
                <w:szCs w:val="22"/>
              </w:rPr>
              <w:t>181</w:t>
            </w:r>
          </w:p>
        </w:tc>
      </w:tr>
      <w:tr w:rsidR="00D8365A" w:rsidRPr="00362517" w14:paraId="49515AEA" w14:textId="77777777" w:rsidTr="007A2164">
        <w:tc>
          <w:tcPr>
            <w:tcW w:w="1885" w:type="dxa"/>
          </w:tcPr>
          <w:p w14:paraId="4AB4A937" w14:textId="77777777" w:rsidR="00D8365A" w:rsidRPr="00362517" w:rsidRDefault="00D8365A" w:rsidP="00BF6BC7">
            <w:pPr>
              <w:pStyle w:val="BodyText"/>
              <w:rPr>
                <w:rFonts w:cs="Times New Roman"/>
                <w:sz w:val="22"/>
                <w:szCs w:val="22"/>
              </w:rPr>
            </w:pPr>
            <w:r w:rsidRPr="00362517">
              <w:rPr>
                <w:rFonts w:cs="Times New Roman"/>
                <w:sz w:val="22"/>
                <w:szCs w:val="22"/>
              </w:rPr>
              <w:t>Washington</w:t>
            </w:r>
            <w:r w:rsidRPr="00362517">
              <w:rPr>
                <w:rFonts w:cs="Times New Roman"/>
                <w:sz w:val="22"/>
                <w:szCs w:val="22"/>
                <w:vertAlign w:val="superscript"/>
              </w:rPr>
              <w:t xml:space="preserve"> 1</w:t>
            </w:r>
          </w:p>
        </w:tc>
        <w:tc>
          <w:tcPr>
            <w:tcW w:w="1244" w:type="dxa"/>
          </w:tcPr>
          <w:p w14:paraId="0FCC8D75" w14:textId="77777777" w:rsidR="00D8365A" w:rsidRPr="00362517" w:rsidRDefault="00D8365A" w:rsidP="00BF6BC7">
            <w:pPr>
              <w:tabs>
                <w:tab w:val="decimal" w:pos="734"/>
              </w:tabs>
              <w:rPr>
                <w:sz w:val="22"/>
                <w:szCs w:val="22"/>
              </w:rPr>
            </w:pPr>
            <w:r w:rsidRPr="00362517">
              <w:rPr>
                <w:sz w:val="22"/>
                <w:szCs w:val="22"/>
              </w:rPr>
              <w:t>53</w:t>
            </w:r>
          </w:p>
        </w:tc>
        <w:tc>
          <w:tcPr>
            <w:tcW w:w="1244" w:type="dxa"/>
          </w:tcPr>
          <w:p w14:paraId="355B7940" w14:textId="77777777" w:rsidR="00D8365A" w:rsidRPr="00362517" w:rsidRDefault="00D8365A" w:rsidP="00BF6BC7">
            <w:pPr>
              <w:tabs>
                <w:tab w:val="decimal" w:pos="727"/>
              </w:tabs>
              <w:rPr>
                <w:sz w:val="22"/>
                <w:szCs w:val="22"/>
              </w:rPr>
            </w:pPr>
            <w:r w:rsidRPr="00362517">
              <w:rPr>
                <w:sz w:val="22"/>
                <w:szCs w:val="22"/>
              </w:rPr>
              <w:t>440</w:t>
            </w:r>
          </w:p>
        </w:tc>
        <w:tc>
          <w:tcPr>
            <w:tcW w:w="1244" w:type="dxa"/>
          </w:tcPr>
          <w:p w14:paraId="11476B7D" w14:textId="77777777" w:rsidR="00D8365A" w:rsidRPr="00362517" w:rsidRDefault="00D8365A" w:rsidP="00BF6BC7">
            <w:pPr>
              <w:tabs>
                <w:tab w:val="decimal" w:pos="720"/>
              </w:tabs>
              <w:rPr>
                <w:sz w:val="22"/>
                <w:szCs w:val="22"/>
              </w:rPr>
            </w:pPr>
            <w:r w:rsidRPr="00362517">
              <w:rPr>
                <w:sz w:val="22"/>
                <w:szCs w:val="22"/>
              </w:rPr>
              <w:t>70</w:t>
            </w:r>
          </w:p>
        </w:tc>
        <w:tc>
          <w:tcPr>
            <w:tcW w:w="1244" w:type="dxa"/>
          </w:tcPr>
          <w:p w14:paraId="7BF348B6" w14:textId="77777777" w:rsidR="00D8365A" w:rsidRPr="00362517" w:rsidRDefault="00D8365A" w:rsidP="00BF6BC7">
            <w:pPr>
              <w:tabs>
                <w:tab w:val="decimal" w:pos="714"/>
              </w:tabs>
              <w:rPr>
                <w:sz w:val="22"/>
                <w:szCs w:val="22"/>
              </w:rPr>
            </w:pPr>
            <w:r w:rsidRPr="00362517">
              <w:rPr>
                <w:sz w:val="22"/>
                <w:szCs w:val="22"/>
              </w:rPr>
              <w:t>636</w:t>
            </w:r>
          </w:p>
        </w:tc>
        <w:tc>
          <w:tcPr>
            <w:tcW w:w="1244" w:type="dxa"/>
          </w:tcPr>
          <w:p w14:paraId="3F397810" w14:textId="77777777" w:rsidR="00D8365A" w:rsidRPr="00362517" w:rsidRDefault="00D8365A" w:rsidP="00BF6BC7">
            <w:pPr>
              <w:tabs>
                <w:tab w:val="decimal" w:pos="719"/>
              </w:tabs>
              <w:rPr>
                <w:sz w:val="22"/>
                <w:szCs w:val="22"/>
              </w:rPr>
            </w:pPr>
            <w:r w:rsidRPr="00362517">
              <w:rPr>
                <w:sz w:val="22"/>
                <w:szCs w:val="22"/>
              </w:rPr>
              <w:t>11</w:t>
            </w:r>
          </w:p>
        </w:tc>
        <w:tc>
          <w:tcPr>
            <w:tcW w:w="1245" w:type="dxa"/>
          </w:tcPr>
          <w:p w14:paraId="1ABFC0BA" w14:textId="77777777" w:rsidR="00D8365A" w:rsidRPr="00362517" w:rsidRDefault="00D8365A" w:rsidP="00BF6BC7">
            <w:pPr>
              <w:tabs>
                <w:tab w:val="decimal" w:pos="725"/>
              </w:tabs>
              <w:rPr>
                <w:sz w:val="22"/>
                <w:szCs w:val="22"/>
              </w:rPr>
            </w:pPr>
            <w:r w:rsidRPr="00362517">
              <w:rPr>
                <w:sz w:val="22"/>
                <w:szCs w:val="22"/>
              </w:rPr>
              <w:t>160</w:t>
            </w:r>
          </w:p>
        </w:tc>
      </w:tr>
      <w:tr w:rsidR="00D8365A" w:rsidRPr="00362517" w14:paraId="67CEC9A2" w14:textId="77777777" w:rsidTr="007A2164">
        <w:tc>
          <w:tcPr>
            <w:tcW w:w="1885" w:type="dxa"/>
          </w:tcPr>
          <w:p w14:paraId="51199774" w14:textId="77777777" w:rsidR="00D8365A" w:rsidRPr="00362517" w:rsidRDefault="00D8365A" w:rsidP="00BF6BC7">
            <w:pPr>
              <w:pStyle w:val="BodyText"/>
              <w:rPr>
                <w:rFonts w:cs="Times New Roman"/>
                <w:sz w:val="22"/>
                <w:szCs w:val="22"/>
              </w:rPr>
            </w:pPr>
            <w:r w:rsidRPr="00362517">
              <w:rPr>
                <w:rFonts w:cs="Times New Roman"/>
                <w:sz w:val="22"/>
                <w:szCs w:val="22"/>
              </w:rPr>
              <w:t>West Virginia</w:t>
            </w:r>
            <w:r w:rsidRPr="00362517">
              <w:rPr>
                <w:rFonts w:cs="Times New Roman"/>
                <w:sz w:val="22"/>
                <w:szCs w:val="22"/>
                <w:vertAlign w:val="superscript"/>
              </w:rPr>
              <w:t xml:space="preserve"> 1 2</w:t>
            </w:r>
          </w:p>
        </w:tc>
        <w:tc>
          <w:tcPr>
            <w:tcW w:w="1244" w:type="dxa"/>
          </w:tcPr>
          <w:p w14:paraId="5DD40BD0" w14:textId="77777777" w:rsidR="00D8365A" w:rsidRPr="00362517" w:rsidRDefault="00D8365A" w:rsidP="00BF6BC7">
            <w:pPr>
              <w:tabs>
                <w:tab w:val="decimal" w:pos="734"/>
              </w:tabs>
              <w:rPr>
                <w:sz w:val="22"/>
                <w:szCs w:val="22"/>
              </w:rPr>
            </w:pPr>
            <w:r w:rsidRPr="00362517">
              <w:rPr>
                <w:sz w:val="22"/>
                <w:szCs w:val="22"/>
              </w:rPr>
              <w:t>8</w:t>
            </w:r>
          </w:p>
        </w:tc>
        <w:tc>
          <w:tcPr>
            <w:tcW w:w="1244" w:type="dxa"/>
          </w:tcPr>
          <w:p w14:paraId="2AD62020" w14:textId="77777777" w:rsidR="00D8365A" w:rsidRPr="00362517" w:rsidRDefault="00D8365A" w:rsidP="00BF6BC7">
            <w:pPr>
              <w:tabs>
                <w:tab w:val="decimal" w:pos="727"/>
              </w:tabs>
              <w:rPr>
                <w:sz w:val="22"/>
                <w:szCs w:val="22"/>
              </w:rPr>
            </w:pPr>
            <w:r w:rsidRPr="00362517">
              <w:rPr>
                <w:sz w:val="22"/>
                <w:szCs w:val="22"/>
              </w:rPr>
              <w:t>64</w:t>
            </w:r>
          </w:p>
        </w:tc>
        <w:tc>
          <w:tcPr>
            <w:tcW w:w="1244" w:type="dxa"/>
          </w:tcPr>
          <w:p w14:paraId="739B453D" w14:textId="77777777" w:rsidR="00D8365A" w:rsidRPr="00362517" w:rsidRDefault="00D8365A" w:rsidP="00BF6BC7">
            <w:pPr>
              <w:tabs>
                <w:tab w:val="decimal" w:pos="720"/>
              </w:tabs>
              <w:rPr>
                <w:sz w:val="22"/>
                <w:szCs w:val="22"/>
              </w:rPr>
            </w:pPr>
            <w:r w:rsidRPr="00362517">
              <w:rPr>
                <w:sz w:val="22"/>
                <w:szCs w:val="22"/>
              </w:rPr>
              <w:t>0</w:t>
            </w:r>
          </w:p>
        </w:tc>
        <w:tc>
          <w:tcPr>
            <w:tcW w:w="1244" w:type="dxa"/>
          </w:tcPr>
          <w:p w14:paraId="26BC184B" w14:textId="77777777" w:rsidR="00D8365A" w:rsidRPr="00362517" w:rsidRDefault="00D8365A" w:rsidP="00BF6BC7">
            <w:pPr>
              <w:tabs>
                <w:tab w:val="decimal" w:pos="714"/>
              </w:tabs>
              <w:rPr>
                <w:sz w:val="22"/>
                <w:szCs w:val="22"/>
              </w:rPr>
            </w:pPr>
            <w:r w:rsidRPr="00362517">
              <w:rPr>
                <w:sz w:val="22"/>
                <w:szCs w:val="22"/>
              </w:rPr>
              <w:t>0</w:t>
            </w:r>
          </w:p>
        </w:tc>
        <w:tc>
          <w:tcPr>
            <w:tcW w:w="1244" w:type="dxa"/>
          </w:tcPr>
          <w:p w14:paraId="18FCB4B7" w14:textId="77777777" w:rsidR="00D8365A" w:rsidRPr="00362517" w:rsidRDefault="00D8365A" w:rsidP="00BF6BC7">
            <w:pPr>
              <w:tabs>
                <w:tab w:val="decimal" w:pos="719"/>
              </w:tabs>
              <w:rPr>
                <w:sz w:val="22"/>
                <w:szCs w:val="22"/>
              </w:rPr>
            </w:pPr>
            <w:r w:rsidRPr="00362517">
              <w:rPr>
                <w:sz w:val="22"/>
                <w:szCs w:val="22"/>
              </w:rPr>
              <w:t>3</w:t>
            </w:r>
          </w:p>
        </w:tc>
        <w:tc>
          <w:tcPr>
            <w:tcW w:w="1245" w:type="dxa"/>
          </w:tcPr>
          <w:p w14:paraId="31AD7E30" w14:textId="77777777" w:rsidR="00D8365A" w:rsidRPr="00362517" w:rsidRDefault="00D8365A" w:rsidP="00BF6BC7">
            <w:pPr>
              <w:tabs>
                <w:tab w:val="decimal" w:pos="725"/>
              </w:tabs>
              <w:rPr>
                <w:sz w:val="22"/>
                <w:szCs w:val="22"/>
              </w:rPr>
            </w:pPr>
            <w:r w:rsidRPr="00362517">
              <w:rPr>
                <w:sz w:val="22"/>
                <w:szCs w:val="22"/>
              </w:rPr>
              <w:t>40</w:t>
            </w:r>
          </w:p>
        </w:tc>
      </w:tr>
      <w:tr w:rsidR="00D8365A" w:rsidRPr="00362517" w14:paraId="503E00FB" w14:textId="77777777" w:rsidTr="007A2164">
        <w:tc>
          <w:tcPr>
            <w:tcW w:w="1885" w:type="dxa"/>
          </w:tcPr>
          <w:p w14:paraId="031A2FA9" w14:textId="77777777" w:rsidR="00D8365A" w:rsidRPr="00362517" w:rsidRDefault="00D8365A" w:rsidP="00BF6BC7">
            <w:pPr>
              <w:pStyle w:val="BodyText"/>
              <w:rPr>
                <w:rFonts w:cs="Times New Roman"/>
                <w:sz w:val="22"/>
                <w:szCs w:val="22"/>
              </w:rPr>
            </w:pPr>
            <w:r w:rsidRPr="00362517">
              <w:rPr>
                <w:rFonts w:cs="Times New Roman"/>
                <w:sz w:val="22"/>
                <w:szCs w:val="22"/>
              </w:rPr>
              <w:t>Wisconsin</w:t>
            </w:r>
          </w:p>
        </w:tc>
        <w:tc>
          <w:tcPr>
            <w:tcW w:w="1244" w:type="dxa"/>
          </w:tcPr>
          <w:p w14:paraId="1EA317C6" w14:textId="77777777" w:rsidR="00D8365A" w:rsidRPr="00362517" w:rsidRDefault="00D8365A" w:rsidP="00BF6BC7">
            <w:pPr>
              <w:tabs>
                <w:tab w:val="decimal" w:pos="734"/>
              </w:tabs>
              <w:rPr>
                <w:sz w:val="22"/>
                <w:szCs w:val="22"/>
              </w:rPr>
            </w:pPr>
            <w:r w:rsidRPr="00362517">
              <w:rPr>
                <w:sz w:val="22"/>
                <w:szCs w:val="22"/>
              </w:rPr>
              <w:t>9</w:t>
            </w:r>
          </w:p>
        </w:tc>
        <w:tc>
          <w:tcPr>
            <w:tcW w:w="1244" w:type="dxa"/>
          </w:tcPr>
          <w:p w14:paraId="71D3D54E" w14:textId="77777777" w:rsidR="00D8365A" w:rsidRPr="00362517" w:rsidRDefault="00D8365A" w:rsidP="00BF6BC7">
            <w:pPr>
              <w:tabs>
                <w:tab w:val="decimal" w:pos="727"/>
              </w:tabs>
              <w:rPr>
                <w:sz w:val="22"/>
                <w:szCs w:val="22"/>
              </w:rPr>
            </w:pPr>
            <w:r w:rsidRPr="00362517">
              <w:rPr>
                <w:sz w:val="22"/>
                <w:szCs w:val="22"/>
              </w:rPr>
              <w:t>71</w:t>
            </w:r>
          </w:p>
        </w:tc>
        <w:tc>
          <w:tcPr>
            <w:tcW w:w="1244" w:type="dxa"/>
          </w:tcPr>
          <w:p w14:paraId="66AB0207" w14:textId="77777777" w:rsidR="00D8365A" w:rsidRPr="00362517" w:rsidRDefault="00D8365A" w:rsidP="00BF6BC7">
            <w:pPr>
              <w:tabs>
                <w:tab w:val="decimal" w:pos="720"/>
              </w:tabs>
              <w:rPr>
                <w:sz w:val="22"/>
                <w:szCs w:val="22"/>
              </w:rPr>
            </w:pPr>
            <w:r w:rsidRPr="00362517">
              <w:rPr>
                <w:sz w:val="22"/>
                <w:szCs w:val="22"/>
              </w:rPr>
              <w:t>8</w:t>
            </w:r>
          </w:p>
        </w:tc>
        <w:tc>
          <w:tcPr>
            <w:tcW w:w="1244" w:type="dxa"/>
          </w:tcPr>
          <w:p w14:paraId="4979A793" w14:textId="77777777" w:rsidR="00D8365A" w:rsidRPr="00362517" w:rsidRDefault="00D8365A" w:rsidP="00BF6BC7">
            <w:pPr>
              <w:tabs>
                <w:tab w:val="decimal" w:pos="714"/>
              </w:tabs>
              <w:rPr>
                <w:sz w:val="22"/>
                <w:szCs w:val="22"/>
              </w:rPr>
            </w:pPr>
            <w:r w:rsidRPr="00362517">
              <w:rPr>
                <w:sz w:val="22"/>
                <w:szCs w:val="22"/>
              </w:rPr>
              <w:t>69</w:t>
            </w:r>
          </w:p>
        </w:tc>
        <w:tc>
          <w:tcPr>
            <w:tcW w:w="1244" w:type="dxa"/>
          </w:tcPr>
          <w:p w14:paraId="5B1E94DB" w14:textId="77777777" w:rsidR="00D8365A" w:rsidRPr="00362517" w:rsidRDefault="00D8365A" w:rsidP="00BF6BC7">
            <w:pPr>
              <w:tabs>
                <w:tab w:val="decimal" w:pos="719"/>
              </w:tabs>
              <w:rPr>
                <w:sz w:val="22"/>
                <w:szCs w:val="22"/>
              </w:rPr>
            </w:pPr>
            <w:r w:rsidRPr="00362517">
              <w:rPr>
                <w:sz w:val="22"/>
                <w:szCs w:val="22"/>
              </w:rPr>
              <w:t>14</w:t>
            </w:r>
          </w:p>
        </w:tc>
        <w:tc>
          <w:tcPr>
            <w:tcW w:w="1245" w:type="dxa"/>
          </w:tcPr>
          <w:p w14:paraId="3F418953" w14:textId="77777777" w:rsidR="00D8365A" w:rsidRPr="00362517" w:rsidRDefault="00D8365A" w:rsidP="00BF6BC7">
            <w:pPr>
              <w:tabs>
                <w:tab w:val="decimal" w:pos="725"/>
              </w:tabs>
              <w:rPr>
                <w:sz w:val="22"/>
                <w:szCs w:val="22"/>
              </w:rPr>
            </w:pPr>
            <w:r w:rsidRPr="00362517">
              <w:rPr>
                <w:sz w:val="22"/>
                <w:szCs w:val="22"/>
              </w:rPr>
              <w:t>194</w:t>
            </w:r>
          </w:p>
        </w:tc>
      </w:tr>
      <w:tr w:rsidR="00D8365A" w:rsidRPr="00362517" w14:paraId="6D3D95AC" w14:textId="77777777" w:rsidTr="007A2164">
        <w:tc>
          <w:tcPr>
            <w:tcW w:w="1885" w:type="dxa"/>
          </w:tcPr>
          <w:p w14:paraId="75B87020" w14:textId="77777777" w:rsidR="00D8365A" w:rsidRPr="00362517" w:rsidRDefault="00D8365A" w:rsidP="00BF6BC7">
            <w:pPr>
              <w:pStyle w:val="BodyText"/>
              <w:rPr>
                <w:rFonts w:cs="Times New Roman"/>
                <w:sz w:val="22"/>
                <w:szCs w:val="22"/>
              </w:rPr>
            </w:pPr>
            <w:r w:rsidRPr="00362517">
              <w:rPr>
                <w:rFonts w:cs="Times New Roman"/>
                <w:sz w:val="22"/>
                <w:szCs w:val="22"/>
              </w:rPr>
              <w:t>Wyoming</w:t>
            </w:r>
            <w:r w:rsidRPr="00362517">
              <w:rPr>
                <w:rFonts w:cs="Times New Roman"/>
                <w:sz w:val="22"/>
                <w:szCs w:val="22"/>
                <w:vertAlign w:val="superscript"/>
              </w:rPr>
              <w:t xml:space="preserve"> 2</w:t>
            </w:r>
          </w:p>
        </w:tc>
        <w:tc>
          <w:tcPr>
            <w:tcW w:w="1244" w:type="dxa"/>
          </w:tcPr>
          <w:p w14:paraId="3FB27EC0" w14:textId="77777777" w:rsidR="00D8365A" w:rsidRPr="00362517" w:rsidRDefault="00D8365A" w:rsidP="00BF6BC7">
            <w:pPr>
              <w:tabs>
                <w:tab w:val="decimal" w:pos="734"/>
              </w:tabs>
              <w:rPr>
                <w:sz w:val="22"/>
                <w:szCs w:val="22"/>
              </w:rPr>
            </w:pPr>
            <w:r w:rsidRPr="00362517">
              <w:rPr>
                <w:sz w:val="22"/>
                <w:szCs w:val="22"/>
              </w:rPr>
              <w:t>5</w:t>
            </w:r>
          </w:p>
        </w:tc>
        <w:tc>
          <w:tcPr>
            <w:tcW w:w="1244" w:type="dxa"/>
          </w:tcPr>
          <w:p w14:paraId="3DB560CB" w14:textId="77777777" w:rsidR="00D8365A" w:rsidRPr="00362517" w:rsidRDefault="00D8365A" w:rsidP="00BF6BC7">
            <w:pPr>
              <w:tabs>
                <w:tab w:val="decimal" w:pos="727"/>
              </w:tabs>
              <w:rPr>
                <w:sz w:val="22"/>
                <w:szCs w:val="22"/>
              </w:rPr>
            </w:pPr>
            <w:r w:rsidRPr="00362517">
              <w:rPr>
                <w:sz w:val="22"/>
                <w:szCs w:val="22"/>
              </w:rPr>
              <w:t>43</w:t>
            </w:r>
          </w:p>
        </w:tc>
        <w:tc>
          <w:tcPr>
            <w:tcW w:w="1244" w:type="dxa"/>
          </w:tcPr>
          <w:p w14:paraId="724F2BCD" w14:textId="77777777" w:rsidR="00D8365A" w:rsidRPr="00362517" w:rsidRDefault="00D8365A" w:rsidP="00BF6BC7">
            <w:pPr>
              <w:tabs>
                <w:tab w:val="decimal" w:pos="720"/>
              </w:tabs>
              <w:rPr>
                <w:sz w:val="22"/>
                <w:szCs w:val="22"/>
              </w:rPr>
            </w:pPr>
            <w:r w:rsidRPr="00362517">
              <w:rPr>
                <w:sz w:val="22"/>
                <w:szCs w:val="22"/>
              </w:rPr>
              <w:t>3</w:t>
            </w:r>
          </w:p>
        </w:tc>
        <w:tc>
          <w:tcPr>
            <w:tcW w:w="1244" w:type="dxa"/>
          </w:tcPr>
          <w:p w14:paraId="6250526E" w14:textId="77777777" w:rsidR="00D8365A" w:rsidRPr="00362517" w:rsidRDefault="00D8365A" w:rsidP="00BF6BC7">
            <w:pPr>
              <w:tabs>
                <w:tab w:val="decimal" w:pos="714"/>
              </w:tabs>
              <w:rPr>
                <w:sz w:val="22"/>
                <w:szCs w:val="22"/>
              </w:rPr>
            </w:pPr>
            <w:r w:rsidRPr="00362517">
              <w:rPr>
                <w:sz w:val="22"/>
                <w:szCs w:val="22"/>
              </w:rPr>
              <w:t>30</w:t>
            </w:r>
          </w:p>
        </w:tc>
        <w:tc>
          <w:tcPr>
            <w:tcW w:w="1244" w:type="dxa"/>
          </w:tcPr>
          <w:p w14:paraId="3E7722A6" w14:textId="77777777" w:rsidR="00D8365A" w:rsidRPr="00362517" w:rsidRDefault="00D8365A" w:rsidP="00BF6BC7">
            <w:pPr>
              <w:tabs>
                <w:tab w:val="decimal" w:pos="719"/>
              </w:tabs>
              <w:rPr>
                <w:sz w:val="22"/>
                <w:szCs w:val="22"/>
              </w:rPr>
            </w:pPr>
            <w:r w:rsidRPr="00362517">
              <w:rPr>
                <w:sz w:val="22"/>
                <w:szCs w:val="22"/>
              </w:rPr>
              <w:t>3</w:t>
            </w:r>
          </w:p>
        </w:tc>
        <w:tc>
          <w:tcPr>
            <w:tcW w:w="1245" w:type="dxa"/>
          </w:tcPr>
          <w:p w14:paraId="7B79083A" w14:textId="77777777" w:rsidR="00D8365A" w:rsidRPr="00362517" w:rsidRDefault="00D8365A" w:rsidP="00BF6BC7">
            <w:pPr>
              <w:tabs>
                <w:tab w:val="decimal" w:pos="725"/>
              </w:tabs>
              <w:rPr>
                <w:sz w:val="22"/>
                <w:szCs w:val="22"/>
              </w:rPr>
            </w:pPr>
            <w:r w:rsidRPr="00362517">
              <w:rPr>
                <w:sz w:val="22"/>
                <w:szCs w:val="22"/>
              </w:rPr>
              <w:t>42</w:t>
            </w:r>
          </w:p>
        </w:tc>
      </w:tr>
      <w:tr w:rsidR="00D8365A" w:rsidRPr="00362517" w14:paraId="5B90D322" w14:textId="77777777" w:rsidTr="007A2164">
        <w:tc>
          <w:tcPr>
            <w:tcW w:w="1885" w:type="dxa"/>
          </w:tcPr>
          <w:p w14:paraId="6EA3EA62" w14:textId="77777777" w:rsidR="00D8365A" w:rsidRPr="00362517" w:rsidRDefault="00D8365A" w:rsidP="00BF6BC7">
            <w:pPr>
              <w:pStyle w:val="BodyText"/>
              <w:rPr>
                <w:rFonts w:cs="Times New Roman"/>
                <w:sz w:val="22"/>
                <w:szCs w:val="22"/>
              </w:rPr>
            </w:pPr>
            <w:r w:rsidRPr="00362517">
              <w:rPr>
                <w:rFonts w:cs="Times New Roman"/>
                <w:sz w:val="22"/>
                <w:szCs w:val="22"/>
              </w:rPr>
              <w:t>Puerto Rico</w:t>
            </w:r>
            <w:r w:rsidRPr="00362517">
              <w:rPr>
                <w:rFonts w:cs="Times New Roman"/>
                <w:sz w:val="22"/>
                <w:szCs w:val="22"/>
                <w:vertAlign w:val="superscript"/>
              </w:rPr>
              <w:t xml:space="preserve"> 1 2 3</w:t>
            </w:r>
          </w:p>
        </w:tc>
        <w:tc>
          <w:tcPr>
            <w:tcW w:w="1244" w:type="dxa"/>
            <w:vAlign w:val="bottom"/>
          </w:tcPr>
          <w:p w14:paraId="21639808" w14:textId="77777777" w:rsidR="00D8365A" w:rsidRPr="00362517" w:rsidRDefault="00D8365A" w:rsidP="00BF6BC7">
            <w:pPr>
              <w:pStyle w:val="BodyText"/>
              <w:tabs>
                <w:tab w:val="decimal" w:pos="734"/>
              </w:tabs>
              <w:rPr>
                <w:rFonts w:cs="Times New Roman"/>
                <w:sz w:val="22"/>
                <w:szCs w:val="22"/>
              </w:rPr>
            </w:pPr>
            <w:r w:rsidRPr="00362517">
              <w:rPr>
                <w:rFonts w:cs="Times New Roman"/>
                <w:sz w:val="22"/>
                <w:szCs w:val="22"/>
              </w:rPr>
              <w:t>9</w:t>
            </w:r>
          </w:p>
        </w:tc>
        <w:tc>
          <w:tcPr>
            <w:tcW w:w="1244" w:type="dxa"/>
          </w:tcPr>
          <w:p w14:paraId="04CC2A13" w14:textId="77777777" w:rsidR="00D8365A" w:rsidRPr="00362517" w:rsidRDefault="00D8365A" w:rsidP="00BF6BC7">
            <w:pPr>
              <w:pStyle w:val="BodyText"/>
              <w:tabs>
                <w:tab w:val="decimal" w:pos="727"/>
              </w:tabs>
              <w:rPr>
                <w:rFonts w:cs="Times New Roman"/>
                <w:sz w:val="22"/>
                <w:szCs w:val="22"/>
              </w:rPr>
            </w:pPr>
            <w:r w:rsidRPr="00362517">
              <w:rPr>
                <w:rFonts w:cs="Times New Roman"/>
                <w:sz w:val="22"/>
                <w:szCs w:val="22"/>
              </w:rPr>
              <w:t>77</w:t>
            </w:r>
          </w:p>
        </w:tc>
        <w:tc>
          <w:tcPr>
            <w:tcW w:w="1244" w:type="dxa"/>
          </w:tcPr>
          <w:p w14:paraId="2776D31A" w14:textId="77777777" w:rsidR="00D8365A" w:rsidRPr="00362517" w:rsidRDefault="00D8365A" w:rsidP="00BF6BC7">
            <w:pPr>
              <w:pStyle w:val="BodyText"/>
              <w:tabs>
                <w:tab w:val="decimal" w:pos="720"/>
              </w:tabs>
              <w:rPr>
                <w:rFonts w:cs="Times New Roman"/>
                <w:sz w:val="22"/>
                <w:szCs w:val="22"/>
              </w:rPr>
            </w:pPr>
            <w:r w:rsidRPr="00362517">
              <w:rPr>
                <w:rFonts w:cs="Times New Roman"/>
                <w:sz w:val="22"/>
                <w:szCs w:val="22"/>
              </w:rPr>
              <w:t>3</w:t>
            </w:r>
          </w:p>
        </w:tc>
        <w:tc>
          <w:tcPr>
            <w:tcW w:w="1244" w:type="dxa"/>
            <w:vAlign w:val="bottom"/>
          </w:tcPr>
          <w:p w14:paraId="148D48C4" w14:textId="77777777" w:rsidR="00D8365A" w:rsidRPr="00362517" w:rsidRDefault="00D8365A" w:rsidP="00BF6BC7">
            <w:pPr>
              <w:pStyle w:val="BodyText"/>
              <w:tabs>
                <w:tab w:val="decimal" w:pos="714"/>
              </w:tabs>
              <w:rPr>
                <w:rFonts w:cs="Times New Roman"/>
                <w:sz w:val="22"/>
                <w:szCs w:val="22"/>
              </w:rPr>
            </w:pPr>
            <w:r w:rsidRPr="00362517">
              <w:rPr>
                <w:rFonts w:cs="Times New Roman"/>
                <w:sz w:val="22"/>
                <w:szCs w:val="22"/>
              </w:rPr>
              <w:t>29</w:t>
            </w:r>
          </w:p>
        </w:tc>
        <w:tc>
          <w:tcPr>
            <w:tcW w:w="1244" w:type="dxa"/>
            <w:vAlign w:val="bottom"/>
          </w:tcPr>
          <w:p w14:paraId="0B2D4326" w14:textId="77777777" w:rsidR="00D8365A" w:rsidRPr="00362517" w:rsidRDefault="00D8365A" w:rsidP="00BF6BC7">
            <w:pPr>
              <w:pStyle w:val="BodyText"/>
              <w:tabs>
                <w:tab w:val="decimal" w:pos="719"/>
              </w:tabs>
              <w:rPr>
                <w:rFonts w:cs="Times New Roman"/>
                <w:sz w:val="22"/>
                <w:szCs w:val="22"/>
              </w:rPr>
            </w:pPr>
            <w:r w:rsidRPr="00362517">
              <w:rPr>
                <w:rFonts w:cs="Times New Roman"/>
                <w:sz w:val="22"/>
                <w:szCs w:val="22"/>
              </w:rPr>
              <w:t>0</w:t>
            </w:r>
          </w:p>
        </w:tc>
        <w:tc>
          <w:tcPr>
            <w:tcW w:w="1245" w:type="dxa"/>
            <w:vAlign w:val="bottom"/>
          </w:tcPr>
          <w:p w14:paraId="6275C844" w14:textId="77777777" w:rsidR="00D8365A" w:rsidRPr="00362517" w:rsidRDefault="00D8365A" w:rsidP="00BF6BC7">
            <w:pPr>
              <w:pStyle w:val="BodyText"/>
              <w:tabs>
                <w:tab w:val="decimal" w:pos="725"/>
              </w:tabs>
              <w:rPr>
                <w:rFonts w:cs="Times New Roman"/>
                <w:sz w:val="22"/>
                <w:szCs w:val="22"/>
              </w:rPr>
            </w:pPr>
            <w:r w:rsidRPr="00362517">
              <w:rPr>
                <w:rFonts w:cs="Times New Roman"/>
                <w:sz w:val="22"/>
                <w:szCs w:val="22"/>
              </w:rPr>
              <w:t>0</w:t>
            </w:r>
          </w:p>
        </w:tc>
      </w:tr>
      <w:tr w:rsidR="00D8365A" w:rsidRPr="00362517" w14:paraId="540B7C5E" w14:textId="77777777" w:rsidTr="007A2164">
        <w:tc>
          <w:tcPr>
            <w:tcW w:w="1885" w:type="dxa"/>
            <w:tcBorders>
              <w:bottom w:val="single" w:sz="12" w:space="0" w:color="auto"/>
            </w:tcBorders>
          </w:tcPr>
          <w:p w14:paraId="5E00B7E9" w14:textId="77777777" w:rsidR="00D8365A" w:rsidRPr="00362517" w:rsidRDefault="00D8365A" w:rsidP="00BF6BC7">
            <w:pPr>
              <w:pStyle w:val="BodyText"/>
              <w:rPr>
                <w:rFonts w:cs="Times New Roman"/>
                <w:sz w:val="22"/>
                <w:szCs w:val="22"/>
              </w:rPr>
            </w:pPr>
            <w:r w:rsidRPr="00362517">
              <w:rPr>
                <w:rFonts w:cs="Times New Roman"/>
                <w:sz w:val="22"/>
                <w:szCs w:val="22"/>
              </w:rPr>
              <w:t xml:space="preserve">Other </w:t>
            </w:r>
          </w:p>
          <w:p w14:paraId="5C9C4973" w14:textId="77777777" w:rsidR="00D8365A" w:rsidRPr="00362517" w:rsidRDefault="00D8365A" w:rsidP="00BF6BC7">
            <w:pPr>
              <w:pStyle w:val="BodyText"/>
              <w:rPr>
                <w:rFonts w:cs="Times New Roman"/>
                <w:sz w:val="22"/>
                <w:szCs w:val="22"/>
              </w:rPr>
            </w:pPr>
            <w:r w:rsidRPr="00362517">
              <w:rPr>
                <w:rFonts w:cs="Times New Roman"/>
                <w:sz w:val="22"/>
                <w:szCs w:val="22"/>
              </w:rPr>
              <w:t>Jurisdictions</w:t>
            </w:r>
            <w:r w:rsidRPr="00362517">
              <w:rPr>
                <w:rFonts w:cs="Times New Roman"/>
                <w:sz w:val="22"/>
                <w:szCs w:val="22"/>
                <w:vertAlign w:val="superscript"/>
              </w:rPr>
              <w:t xml:space="preserve"> 1 2 3</w:t>
            </w:r>
          </w:p>
        </w:tc>
        <w:tc>
          <w:tcPr>
            <w:tcW w:w="1244" w:type="dxa"/>
            <w:tcBorders>
              <w:bottom w:val="single" w:sz="12" w:space="0" w:color="auto"/>
            </w:tcBorders>
            <w:vAlign w:val="center"/>
          </w:tcPr>
          <w:p w14:paraId="72BA9884" w14:textId="77777777" w:rsidR="00D8365A" w:rsidRPr="00362517" w:rsidRDefault="00D8365A" w:rsidP="00BF6BC7">
            <w:pPr>
              <w:pStyle w:val="BodyText"/>
              <w:tabs>
                <w:tab w:val="decimal" w:pos="734"/>
              </w:tabs>
              <w:rPr>
                <w:rFonts w:cs="Times New Roman"/>
                <w:sz w:val="22"/>
                <w:szCs w:val="22"/>
              </w:rPr>
            </w:pPr>
            <w:r w:rsidRPr="00362517">
              <w:rPr>
                <w:rFonts w:cs="Times New Roman"/>
                <w:sz w:val="22"/>
                <w:szCs w:val="22"/>
              </w:rPr>
              <w:t>12</w:t>
            </w:r>
          </w:p>
        </w:tc>
        <w:tc>
          <w:tcPr>
            <w:tcW w:w="1244" w:type="dxa"/>
            <w:tcBorders>
              <w:bottom w:val="single" w:sz="12" w:space="0" w:color="auto"/>
            </w:tcBorders>
            <w:vAlign w:val="center"/>
          </w:tcPr>
          <w:p w14:paraId="7B79F4B0" w14:textId="77777777" w:rsidR="00D8365A" w:rsidRPr="00362517" w:rsidRDefault="00D8365A" w:rsidP="00BF6BC7">
            <w:pPr>
              <w:pStyle w:val="BodyText"/>
              <w:tabs>
                <w:tab w:val="decimal" w:pos="727"/>
              </w:tabs>
              <w:rPr>
                <w:rFonts w:cs="Times New Roman"/>
                <w:sz w:val="22"/>
                <w:szCs w:val="22"/>
              </w:rPr>
            </w:pPr>
            <w:r w:rsidRPr="00362517">
              <w:rPr>
                <w:rFonts w:cs="Times New Roman"/>
                <w:sz w:val="22"/>
                <w:szCs w:val="22"/>
              </w:rPr>
              <w:t>99</w:t>
            </w:r>
          </w:p>
        </w:tc>
        <w:tc>
          <w:tcPr>
            <w:tcW w:w="1244" w:type="dxa"/>
            <w:tcBorders>
              <w:bottom w:val="single" w:sz="12" w:space="0" w:color="auto"/>
            </w:tcBorders>
            <w:vAlign w:val="center"/>
          </w:tcPr>
          <w:p w14:paraId="10AD0425" w14:textId="77777777" w:rsidR="00D8365A" w:rsidRPr="00362517" w:rsidRDefault="00D8365A" w:rsidP="00BF6BC7">
            <w:pPr>
              <w:pStyle w:val="BodyText"/>
              <w:tabs>
                <w:tab w:val="decimal" w:pos="720"/>
              </w:tabs>
              <w:rPr>
                <w:rFonts w:cs="Times New Roman"/>
                <w:sz w:val="22"/>
                <w:szCs w:val="22"/>
              </w:rPr>
            </w:pPr>
            <w:r w:rsidRPr="00362517">
              <w:rPr>
                <w:rFonts w:cs="Times New Roman"/>
                <w:sz w:val="22"/>
                <w:szCs w:val="22"/>
              </w:rPr>
              <w:t>2</w:t>
            </w:r>
          </w:p>
        </w:tc>
        <w:tc>
          <w:tcPr>
            <w:tcW w:w="1244" w:type="dxa"/>
            <w:tcBorders>
              <w:bottom w:val="single" w:sz="12" w:space="0" w:color="auto"/>
            </w:tcBorders>
            <w:vAlign w:val="center"/>
          </w:tcPr>
          <w:p w14:paraId="5884AAD3" w14:textId="77777777" w:rsidR="00D8365A" w:rsidRPr="00362517" w:rsidRDefault="00D8365A" w:rsidP="00BF6BC7">
            <w:pPr>
              <w:pStyle w:val="BodyText"/>
              <w:tabs>
                <w:tab w:val="decimal" w:pos="714"/>
              </w:tabs>
              <w:rPr>
                <w:rFonts w:cs="Times New Roman"/>
                <w:sz w:val="22"/>
                <w:szCs w:val="22"/>
              </w:rPr>
            </w:pPr>
            <w:r w:rsidRPr="00362517">
              <w:rPr>
                <w:rFonts w:cs="Times New Roman"/>
                <w:sz w:val="22"/>
                <w:szCs w:val="22"/>
              </w:rPr>
              <w:t>22</w:t>
            </w:r>
          </w:p>
        </w:tc>
        <w:tc>
          <w:tcPr>
            <w:tcW w:w="1244" w:type="dxa"/>
            <w:tcBorders>
              <w:bottom w:val="single" w:sz="12" w:space="0" w:color="auto"/>
            </w:tcBorders>
            <w:vAlign w:val="center"/>
          </w:tcPr>
          <w:p w14:paraId="749A4102" w14:textId="77777777" w:rsidR="00D8365A" w:rsidRPr="00362517" w:rsidRDefault="00D8365A" w:rsidP="00BF6BC7">
            <w:pPr>
              <w:pStyle w:val="BodyText"/>
              <w:tabs>
                <w:tab w:val="decimal" w:pos="719"/>
              </w:tabs>
              <w:rPr>
                <w:rFonts w:cs="Times New Roman"/>
                <w:sz w:val="22"/>
                <w:szCs w:val="22"/>
              </w:rPr>
            </w:pPr>
            <w:r w:rsidRPr="00362517">
              <w:rPr>
                <w:rFonts w:cs="Times New Roman"/>
                <w:sz w:val="22"/>
                <w:szCs w:val="22"/>
              </w:rPr>
              <w:t>12</w:t>
            </w:r>
          </w:p>
        </w:tc>
        <w:tc>
          <w:tcPr>
            <w:tcW w:w="1245" w:type="dxa"/>
            <w:tcBorders>
              <w:bottom w:val="single" w:sz="12" w:space="0" w:color="auto"/>
            </w:tcBorders>
            <w:vAlign w:val="center"/>
          </w:tcPr>
          <w:p w14:paraId="5CBCDA31" w14:textId="77777777" w:rsidR="00D8365A" w:rsidRPr="00362517" w:rsidRDefault="00D8365A" w:rsidP="00BF6BC7">
            <w:pPr>
              <w:pStyle w:val="BodyText"/>
              <w:tabs>
                <w:tab w:val="decimal" w:pos="725"/>
              </w:tabs>
              <w:rPr>
                <w:rFonts w:cs="Times New Roman"/>
                <w:sz w:val="22"/>
                <w:szCs w:val="22"/>
              </w:rPr>
            </w:pPr>
            <w:r w:rsidRPr="00362517">
              <w:rPr>
                <w:rFonts w:cs="Times New Roman"/>
                <w:sz w:val="22"/>
                <w:szCs w:val="22"/>
              </w:rPr>
              <w:t>175</w:t>
            </w:r>
          </w:p>
        </w:tc>
      </w:tr>
      <w:tr w:rsidR="00D8365A" w:rsidRPr="00362517" w14:paraId="5D9906CA" w14:textId="77777777" w:rsidTr="007A2164">
        <w:tc>
          <w:tcPr>
            <w:tcW w:w="1885" w:type="dxa"/>
            <w:tcBorders>
              <w:top w:val="single" w:sz="12" w:space="0" w:color="auto"/>
              <w:bottom w:val="single" w:sz="12" w:space="0" w:color="auto"/>
            </w:tcBorders>
          </w:tcPr>
          <w:p w14:paraId="57AEF192" w14:textId="77777777" w:rsidR="00D8365A" w:rsidRPr="00362517" w:rsidRDefault="00D8365A" w:rsidP="00BF6BC7">
            <w:pPr>
              <w:pStyle w:val="BodyText"/>
              <w:rPr>
                <w:rFonts w:cs="Times New Roman"/>
                <w:b/>
                <w:sz w:val="22"/>
                <w:szCs w:val="22"/>
              </w:rPr>
            </w:pPr>
            <w:r w:rsidRPr="00362517">
              <w:rPr>
                <w:rFonts w:cs="Times New Roman"/>
                <w:b/>
                <w:sz w:val="22"/>
                <w:szCs w:val="22"/>
              </w:rPr>
              <w:t>U.S.</w:t>
            </w:r>
          </w:p>
        </w:tc>
        <w:tc>
          <w:tcPr>
            <w:tcW w:w="1244" w:type="dxa"/>
            <w:tcBorders>
              <w:top w:val="single" w:sz="12" w:space="0" w:color="auto"/>
              <w:bottom w:val="single" w:sz="12" w:space="0" w:color="auto"/>
            </w:tcBorders>
            <w:vAlign w:val="bottom"/>
          </w:tcPr>
          <w:p w14:paraId="6D765C8E" w14:textId="77777777" w:rsidR="00D8365A" w:rsidRPr="00362517" w:rsidRDefault="00D8365A" w:rsidP="00BF6BC7">
            <w:pPr>
              <w:pStyle w:val="BodyText"/>
              <w:tabs>
                <w:tab w:val="decimal" w:pos="734"/>
              </w:tabs>
              <w:rPr>
                <w:rFonts w:cs="Times New Roman"/>
                <w:b/>
                <w:sz w:val="22"/>
                <w:szCs w:val="22"/>
              </w:rPr>
            </w:pPr>
            <w:r w:rsidRPr="00362517">
              <w:rPr>
                <w:rFonts w:cs="Times New Roman"/>
                <w:b/>
                <w:sz w:val="22"/>
                <w:szCs w:val="22"/>
              </w:rPr>
              <w:t>1,086</w:t>
            </w:r>
          </w:p>
        </w:tc>
        <w:tc>
          <w:tcPr>
            <w:tcW w:w="1244" w:type="dxa"/>
            <w:tcBorders>
              <w:top w:val="single" w:sz="12" w:space="0" w:color="auto"/>
              <w:bottom w:val="single" w:sz="12" w:space="0" w:color="auto"/>
            </w:tcBorders>
          </w:tcPr>
          <w:p w14:paraId="70C9B0B7" w14:textId="77777777" w:rsidR="00D8365A" w:rsidRPr="00362517" w:rsidRDefault="00D8365A" w:rsidP="00BF6BC7">
            <w:pPr>
              <w:pStyle w:val="BodyText"/>
              <w:tabs>
                <w:tab w:val="decimal" w:pos="727"/>
              </w:tabs>
              <w:rPr>
                <w:rFonts w:cs="Times New Roman"/>
                <w:b/>
                <w:sz w:val="22"/>
                <w:szCs w:val="22"/>
              </w:rPr>
            </w:pPr>
            <w:r w:rsidRPr="00362517">
              <w:rPr>
                <w:rFonts w:cs="Times New Roman"/>
                <w:b/>
                <w:sz w:val="22"/>
                <w:szCs w:val="22"/>
              </w:rPr>
              <w:t>9,049</w:t>
            </w:r>
          </w:p>
        </w:tc>
        <w:tc>
          <w:tcPr>
            <w:tcW w:w="1244" w:type="dxa"/>
            <w:tcBorders>
              <w:top w:val="single" w:sz="12" w:space="0" w:color="auto"/>
              <w:bottom w:val="single" w:sz="12" w:space="0" w:color="auto"/>
            </w:tcBorders>
          </w:tcPr>
          <w:p w14:paraId="048D4383" w14:textId="77777777" w:rsidR="00D8365A" w:rsidRPr="00362517" w:rsidRDefault="00D8365A" w:rsidP="00BF6BC7">
            <w:pPr>
              <w:pStyle w:val="BodyText"/>
              <w:tabs>
                <w:tab w:val="decimal" w:pos="720"/>
              </w:tabs>
              <w:rPr>
                <w:rFonts w:cs="Times New Roman"/>
                <w:b/>
                <w:sz w:val="22"/>
                <w:szCs w:val="22"/>
              </w:rPr>
            </w:pPr>
            <w:r w:rsidRPr="00362517">
              <w:rPr>
                <w:rFonts w:cs="Times New Roman"/>
                <w:b/>
                <w:sz w:val="22"/>
                <w:szCs w:val="22"/>
              </w:rPr>
              <w:t>484</w:t>
            </w:r>
          </w:p>
        </w:tc>
        <w:tc>
          <w:tcPr>
            <w:tcW w:w="1244" w:type="dxa"/>
            <w:tcBorders>
              <w:top w:val="single" w:sz="12" w:space="0" w:color="auto"/>
              <w:bottom w:val="single" w:sz="12" w:space="0" w:color="auto"/>
            </w:tcBorders>
            <w:vAlign w:val="bottom"/>
          </w:tcPr>
          <w:p w14:paraId="3A63A2C6" w14:textId="77777777" w:rsidR="00D8365A" w:rsidRPr="00362517" w:rsidRDefault="00D8365A" w:rsidP="00BF6BC7">
            <w:pPr>
              <w:pStyle w:val="BodyText"/>
              <w:tabs>
                <w:tab w:val="decimal" w:pos="714"/>
              </w:tabs>
              <w:rPr>
                <w:rFonts w:cs="Times New Roman"/>
                <w:b/>
                <w:sz w:val="22"/>
                <w:szCs w:val="22"/>
              </w:rPr>
            </w:pPr>
            <w:r w:rsidRPr="00362517">
              <w:rPr>
                <w:rFonts w:cs="Times New Roman"/>
                <w:b/>
                <w:sz w:val="22"/>
                <w:szCs w:val="22"/>
              </w:rPr>
              <w:t>4,400</w:t>
            </w:r>
          </w:p>
        </w:tc>
        <w:tc>
          <w:tcPr>
            <w:tcW w:w="1244" w:type="dxa"/>
            <w:tcBorders>
              <w:top w:val="single" w:sz="12" w:space="0" w:color="auto"/>
              <w:bottom w:val="single" w:sz="12" w:space="0" w:color="auto"/>
            </w:tcBorders>
            <w:vAlign w:val="bottom"/>
          </w:tcPr>
          <w:p w14:paraId="1B6869E3" w14:textId="77777777" w:rsidR="00D8365A" w:rsidRPr="00362517" w:rsidRDefault="00D8365A" w:rsidP="00BF6BC7">
            <w:pPr>
              <w:pStyle w:val="BodyText"/>
              <w:tabs>
                <w:tab w:val="decimal" w:pos="719"/>
              </w:tabs>
              <w:rPr>
                <w:rFonts w:cs="Times New Roman"/>
                <w:b/>
                <w:sz w:val="22"/>
                <w:szCs w:val="22"/>
              </w:rPr>
            </w:pPr>
            <w:r w:rsidRPr="00362517">
              <w:rPr>
                <w:rFonts w:cs="Times New Roman"/>
                <w:b/>
                <w:sz w:val="22"/>
                <w:szCs w:val="22"/>
              </w:rPr>
              <w:t>1,529</w:t>
            </w:r>
          </w:p>
        </w:tc>
        <w:tc>
          <w:tcPr>
            <w:tcW w:w="1245" w:type="dxa"/>
            <w:tcBorders>
              <w:top w:val="single" w:sz="12" w:space="0" w:color="auto"/>
              <w:bottom w:val="single" w:sz="12" w:space="0" w:color="auto"/>
            </w:tcBorders>
            <w:vAlign w:val="bottom"/>
          </w:tcPr>
          <w:p w14:paraId="0FB2E8C8" w14:textId="77777777" w:rsidR="00D8365A" w:rsidRPr="00362517" w:rsidRDefault="00D8365A" w:rsidP="00BF6BC7">
            <w:pPr>
              <w:pStyle w:val="BodyText"/>
              <w:tabs>
                <w:tab w:val="decimal" w:pos="725"/>
              </w:tabs>
              <w:rPr>
                <w:rFonts w:cs="Times New Roman"/>
                <w:b/>
                <w:sz w:val="22"/>
                <w:szCs w:val="22"/>
              </w:rPr>
            </w:pPr>
            <w:r w:rsidRPr="00362517">
              <w:rPr>
                <w:rFonts w:cs="Times New Roman"/>
                <w:b/>
                <w:sz w:val="22"/>
                <w:szCs w:val="22"/>
              </w:rPr>
              <w:t>21,849</w:t>
            </w:r>
          </w:p>
        </w:tc>
      </w:tr>
    </w:tbl>
    <w:p w14:paraId="52A64DD2" w14:textId="77777777" w:rsidR="00D8365A" w:rsidRPr="00362517" w:rsidRDefault="00D8365A" w:rsidP="00BF6BC7">
      <w:pPr>
        <w:pStyle w:val="BodyText"/>
        <w:rPr>
          <w:sz w:val="22"/>
          <w:szCs w:val="22"/>
        </w:rPr>
      </w:pPr>
      <w:r w:rsidRPr="00362517">
        <w:rPr>
          <w:sz w:val="22"/>
          <w:szCs w:val="22"/>
        </w:rPr>
        <w:t>Source:  CPARD (2015) and EPA estimation.</w:t>
      </w:r>
    </w:p>
    <w:p w14:paraId="51045458" w14:textId="77777777" w:rsidR="00D8365A" w:rsidRPr="00362517" w:rsidRDefault="00D8365A" w:rsidP="00BF6BC7">
      <w:pPr>
        <w:pStyle w:val="BodyText"/>
        <w:ind w:left="360" w:hanging="360"/>
        <w:rPr>
          <w:sz w:val="22"/>
          <w:szCs w:val="22"/>
        </w:rPr>
      </w:pPr>
      <w:r w:rsidRPr="00362517">
        <w:rPr>
          <w:vertAlign w:val="superscript"/>
        </w:rPr>
        <w:t>1</w:t>
      </w:r>
      <w:r w:rsidRPr="00362517">
        <w:rPr>
          <w:sz w:val="20"/>
          <w:szCs w:val="20"/>
        </w:rPr>
        <w:tab/>
      </w:r>
      <w:r w:rsidRPr="00362517">
        <w:rPr>
          <w:sz w:val="22"/>
          <w:szCs w:val="22"/>
        </w:rPr>
        <w:t>No commercial aerial category; estimated number of applicators.  Federal agencies may have established an aerial application category (e.g., the Department of Defense), but do not report the number of certifications issued.</w:t>
      </w:r>
    </w:p>
    <w:p w14:paraId="2E2492C1" w14:textId="77777777" w:rsidR="00D8365A" w:rsidRPr="00362517" w:rsidRDefault="00D8365A" w:rsidP="00BF6BC7">
      <w:pPr>
        <w:pStyle w:val="BodyText"/>
        <w:ind w:left="360" w:hanging="360"/>
        <w:rPr>
          <w:sz w:val="22"/>
          <w:szCs w:val="22"/>
        </w:rPr>
      </w:pPr>
      <w:r w:rsidRPr="00362517">
        <w:rPr>
          <w:sz w:val="22"/>
          <w:szCs w:val="22"/>
          <w:vertAlign w:val="superscript"/>
        </w:rPr>
        <w:t>2</w:t>
      </w:r>
      <w:r w:rsidRPr="00362517">
        <w:rPr>
          <w:sz w:val="22"/>
          <w:szCs w:val="22"/>
        </w:rPr>
        <w:tab/>
        <w:t>No commercial soil fumigation category; estimated number of applicators.</w:t>
      </w:r>
    </w:p>
    <w:p w14:paraId="4C1EC756" w14:textId="77777777" w:rsidR="00D8365A" w:rsidRPr="00362517" w:rsidRDefault="00D8365A" w:rsidP="00BF6BC7">
      <w:pPr>
        <w:pStyle w:val="BodyText"/>
        <w:ind w:left="360" w:hanging="360"/>
        <w:rPr>
          <w:sz w:val="22"/>
          <w:szCs w:val="22"/>
        </w:rPr>
      </w:pPr>
      <w:r w:rsidRPr="00362517">
        <w:rPr>
          <w:sz w:val="22"/>
          <w:szCs w:val="22"/>
          <w:vertAlign w:val="superscript"/>
        </w:rPr>
        <w:t>3</w:t>
      </w:r>
      <w:r w:rsidRPr="00362517">
        <w:rPr>
          <w:sz w:val="22"/>
          <w:szCs w:val="22"/>
        </w:rPr>
        <w:tab/>
        <w:t>No commercial non-soil fumigation category; estimated number of applicators.</w:t>
      </w:r>
    </w:p>
    <w:p w14:paraId="53D2042F" w14:textId="77777777" w:rsidR="00D8365A" w:rsidRPr="00362517" w:rsidRDefault="00D8365A" w:rsidP="00BF6BC7"/>
    <w:p w14:paraId="3AF76607" w14:textId="77777777" w:rsidR="00D8365A" w:rsidRPr="00362517" w:rsidRDefault="00D8365A" w:rsidP="00BF6BC7">
      <w:pPr>
        <w:pStyle w:val="BodyText"/>
      </w:pPr>
      <w:r w:rsidRPr="00362517">
        <w:t>Table 3.3-3 also presents the expected number of commercial applicators who have or will obtain certification in soil and non-soil fumigation.  Seventeen states have a soil fumigation category from which we can extrapolate to other states.  As with aerial application, we estimate a regression model where the number of applicators with a soil fumigation certification is hypothesized to be a function of the number of applicators in agricultural plant protection, forestry, and turf, as well as the crop acres fumigated by commercial firms the previous year.  Data on crop treatments come from a proprietary market survey conducted annually.  For the years 2008 to 2014, we have 104 observations with complete data.  Initial certifications in soil fumigation average 11 percent of the existing certifications.</w:t>
      </w:r>
    </w:p>
    <w:p w14:paraId="4011E40C" w14:textId="77777777" w:rsidR="00D8365A" w:rsidRPr="00362517" w:rsidRDefault="00D8365A" w:rsidP="00BF6BC7"/>
    <w:p w14:paraId="09668178" w14:textId="77777777" w:rsidR="00D8365A" w:rsidRPr="00362517" w:rsidRDefault="00D8365A" w:rsidP="00BF6BC7">
      <w:pPr>
        <w:pStyle w:val="BodyText"/>
      </w:pPr>
      <w:r w:rsidRPr="00362517">
        <w:t xml:space="preserve">Most jurisdictions have a category for non-soil fumigation by commercial applicators; some even have separate categories for fumigation of structures and fumigation of commodities.  The regression model for non-soil fumigation included the number of applicators in agricultural plant protection and in the industrial, institutional, and structural category.  The latter is quite broad and we included a dummy variable for states issuing more than 3,000 certifications in that category as many states subdivide it into more specialized areas.  We also included a variable for acres of grain harvested in the previous year, as an indicator of commodity fumigation, but the estimated coefficient was not significant.  There are 270 observations.  Initial certifications in non-soil fumigation average seven percent of the existing certifications. </w:t>
      </w:r>
    </w:p>
    <w:p w14:paraId="3C819BA8" w14:textId="77777777" w:rsidR="00D8365A" w:rsidRPr="00362517" w:rsidRDefault="00D8365A" w:rsidP="00BF6BC7"/>
    <w:p w14:paraId="533D454F" w14:textId="77777777" w:rsidR="00D8365A" w:rsidRPr="00362517" w:rsidRDefault="00D8365A" w:rsidP="00BF6BC7">
      <w:pPr>
        <w:pStyle w:val="Heading3"/>
      </w:pPr>
      <w:bookmarkStart w:id="144" w:name="_Toc395788103"/>
      <w:bookmarkStart w:id="145" w:name="_Toc396483159"/>
      <w:bookmarkStart w:id="146" w:name="_Toc452020140"/>
      <w:bookmarkStart w:id="147" w:name="_Toc456270163"/>
      <w:bookmarkStart w:id="148" w:name="_Toc468872079"/>
      <w:r w:rsidRPr="00362517">
        <w:t>3.3.2</w:t>
      </w:r>
      <w:r w:rsidRPr="00362517">
        <w:tab/>
        <w:t>Noncertified applicators working under the direct supervision of commercial applicators</w:t>
      </w:r>
      <w:bookmarkEnd w:id="144"/>
      <w:bookmarkEnd w:id="145"/>
      <w:bookmarkEnd w:id="146"/>
      <w:bookmarkEnd w:id="147"/>
      <w:bookmarkEnd w:id="148"/>
    </w:p>
    <w:p w14:paraId="7098DA43" w14:textId="77777777" w:rsidR="00D8365A" w:rsidRPr="00362517" w:rsidRDefault="00D8365A" w:rsidP="00BF6BC7"/>
    <w:p w14:paraId="32FA3221" w14:textId="77777777" w:rsidR="00D8365A" w:rsidRPr="00362517" w:rsidRDefault="00D8365A" w:rsidP="00BF6BC7">
      <w:pPr>
        <w:pStyle w:val="BodyText"/>
      </w:pPr>
      <w:r w:rsidRPr="00362517">
        <w:t xml:space="preserve">Data on the number of noncertified applicators applying RUPs under the direct supervision of commercial applicators (“noncertified applicators”) are not available in CPARD.  Therefore, EPA used data from the Bureau of Labor Statistics, by state, on employment in occupations related to pest control (BLS, 2015).  To estimate the number of noncertified applicators, EPA averaged the total number of people employed as pest control workers in each state in the Agricultural Support Sector, the Structures and Buildings and Turf Sector, the Construction Sector, and in Federal, State, and Local Governments, from 2012 to 2014, and subtracted the average number of certified applicators in the state over the same time period.  This approach sometimes resulted in negative numbers.  For example, in the case of Kentucky, BLS reports an average of 8,853 people employed in pest control.  However, Kentucky reports an average of 13,959 commercial applicators over the same period.  Therefore, as one alternative, EPA calculated the number of noncertified applicators assuming three noncertified applicators for every existing commercial applicator.  In the case of Kentucky, the six-year average number of commercial applicators is 11,384, resulting in an estimate of 34,151 noncertified applicators.  As a second alternative approach, we made a calculation where different categories of applicators will have different numbers of noncertified applicators.  For example, there may be three noncertified applicators for every applicator in the turf category (e.g., a golf course or landscaping enterprise) but public health applicators will not have noncertified applicators.  This approach resulted in an estimate of 28,281 noncertified applicators in Kentucky.  If the estimated number of noncertified applicators in a state based on the BLS data appeared reasonable, defined as at least half the value but not more than twice the value of the alternative approaches, EPA utilizes the number derived with the BLS data.  This was the case for 23 states.  In 26 states, Puerto Rico, and the other jurisdictions, the approach utilizing the BLS data was negative or unreasonably small in comparison to the other approaches.  In those cases, we used the lesser of the two numbers calculated from the number of applicators or number and type of certifications.  For Kentucky, therefore, we use the estimate of 28,281 noncertified applicators based on the number and type of certifications.  Overall, estimates in half the jurisdictions are based on the number of applicators and half are based on the number and type of certifications.  Only in Massachusetts did the number of noncertified applicators based on BLS data appear unreasonably large.  For that jurisdiction, we employ the greater of the two numbers calculated using the alternative approaches, which happened to be the estimate based on the number and type of certifications.  </w:t>
      </w:r>
    </w:p>
    <w:p w14:paraId="4361E425" w14:textId="77777777" w:rsidR="00D8365A" w:rsidRPr="00362517" w:rsidRDefault="00D8365A" w:rsidP="00BF6BC7">
      <w:pPr>
        <w:pStyle w:val="BodyText"/>
      </w:pPr>
    </w:p>
    <w:p w14:paraId="1D7A3636" w14:textId="77777777" w:rsidR="00D8365A" w:rsidRPr="00362517" w:rsidRDefault="00D8365A" w:rsidP="00BF6BC7">
      <w:pPr>
        <w:pStyle w:val="BodyText"/>
      </w:pPr>
      <w:r w:rsidRPr="00362517">
        <w:t>Finally, based on the state regulations, four states (Iowa, Minnesota, New Hampshire, and South Dakota) do not allow noncertified applicators to apply RUPs.  The number of noncertified applicators in those states is set to zero.  Estimated numbers of noncertified applicators are presented in Table 3.3-4.  The total number of noncertified applicators in the U.S. is estimated to be nearly 930,000 people.</w:t>
      </w:r>
    </w:p>
    <w:p w14:paraId="747E7621" w14:textId="77777777" w:rsidR="00D8365A" w:rsidRPr="00362517" w:rsidRDefault="00D8365A" w:rsidP="00BF6BC7"/>
    <w:p w14:paraId="3286B8E4" w14:textId="77777777" w:rsidR="00D8365A" w:rsidRPr="00362517" w:rsidRDefault="00D8365A" w:rsidP="00BF6BC7">
      <w:pPr>
        <w:pStyle w:val="Caption"/>
      </w:pPr>
      <w:r w:rsidRPr="00362517">
        <w:t>Table 3.3-4:</w:t>
      </w:r>
      <w:r w:rsidRPr="00362517">
        <w:tab/>
        <w:t xml:space="preserve">Estimated Number of Noncertified Applicators </w:t>
      </w:r>
      <w:r w:rsidRPr="00362517">
        <w:rPr>
          <w:caps/>
        </w:rPr>
        <w:t>A</w:t>
      </w:r>
      <w:r w:rsidRPr="00362517">
        <w:t>pplying RUPs under Direct Supervision of Commercial Applicators, by Jurisdiction</w:t>
      </w:r>
    </w:p>
    <w:tbl>
      <w:tblPr>
        <w:tblStyle w:val="TableGrid"/>
        <w:tblW w:w="9360" w:type="dxa"/>
        <w:tblLook w:val="04A0" w:firstRow="1" w:lastRow="0" w:firstColumn="1" w:lastColumn="0" w:noHBand="0" w:noVBand="1"/>
      </w:tblPr>
      <w:tblGrid>
        <w:gridCol w:w="2245"/>
        <w:gridCol w:w="1565"/>
        <w:gridCol w:w="1964"/>
        <w:gridCol w:w="1964"/>
        <w:gridCol w:w="1622"/>
      </w:tblGrid>
      <w:tr w:rsidR="00D8365A" w:rsidRPr="00362517" w14:paraId="59FD5D66" w14:textId="77777777" w:rsidTr="007A2164">
        <w:tc>
          <w:tcPr>
            <w:tcW w:w="2245" w:type="dxa"/>
            <w:tcBorders>
              <w:bottom w:val="double" w:sz="4" w:space="0" w:color="auto"/>
            </w:tcBorders>
            <w:vAlign w:val="bottom"/>
          </w:tcPr>
          <w:p w14:paraId="756FC1B1" w14:textId="77777777" w:rsidR="00D8365A" w:rsidRPr="00362517" w:rsidRDefault="00D8365A" w:rsidP="00BF6BC7">
            <w:pPr>
              <w:pStyle w:val="BodyText"/>
            </w:pPr>
            <w:r w:rsidRPr="00362517">
              <w:t>Jurisdiction</w:t>
            </w:r>
          </w:p>
        </w:tc>
        <w:tc>
          <w:tcPr>
            <w:tcW w:w="1565" w:type="dxa"/>
            <w:tcBorders>
              <w:bottom w:val="double" w:sz="4" w:space="0" w:color="auto"/>
            </w:tcBorders>
          </w:tcPr>
          <w:p w14:paraId="5B668C59" w14:textId="77777777" w:rsidR="00D8365A" w:rsidRPr="00362517" w:rsidRDefault="00D8365A" w:rsidP="00BF6BC7">
            <w:pPr>
              <w:pStyle w:val="BodyText"/>
              <w:jc w:val="center"/>
              <w:rPr>
                <w:sz w:val="22"/>
                <w:szCs w:val="22"/>
              </w:rPr>
            </w:pPr>
            <w:r w:rsidRPr="00362517">
              <w:t>Total</w:t>
            </w:r>
          </w:p>
        </w:tc>
        <w:tc>
          <w:tcPr>
            <w:tcW w:w="1964" w:type="dxa"/>
            <w:tcBorders>
              <w:bottom w:val="double" w:sz="4" w:space="0" w:color="auto"/>
            </w:tcBorders>
          </w:tcPr>
          <w:p w14:paraId="082325A7" w14:textId="77777777" w:rsidR="00D8365A" w:rsidRPr="00362517" w:rsidRDefault="00D8365A" w:rsidP="00BF6BC7">
            <w:pPr>
              <w:pStyle w:val="BodyText"/>
              <w:jc w:val="center"/>
            </w:pPr>
            <w:r w:rsidRPr="00362517">
              <w:t>Agricultural Support Sector</w:t>
            </w:r>
          </w:p>
        </w:tc>
        <w:tc>
          <w:tcPr>
            <w:tcW w:w="1964" w:type="dxa"/>
            <w:tcBorders>
              <w:bottom w:val="double" w:sz="4" w:space="0" w:color="auto"/>
            </w:tcBorders>
          </w:tcPr>
          <w:p w14:paraId="476819AF" w14:textId="77777777" w:rsidR="00D8365A" w:rsidRPr="00362517" w:rsidRDefault="00D8365A" w:rsidP="00BF6BC7">
            <w:pPr>
              <w:pStyle w:val="BodyText"/>
              <w:jc w:val="center"/>
            </w:pPr>
            <w:r w:rsidRPr="00362517">
              <w:t>Non-Agricultural Pest Control</w:t>
            </w:r>
          </w:p>
        </w:tc>
        <w:tc>
          <w:tcPr>
            <w:tcW w:w="1622" w:type="dxa"/>
            <w:tcBorders>
              <w:bottom w:val="double" w:sz="4" w:space="0" w:color="auto"/>
            </w:tcBorders>
          </w:tcPr>
          <w:p w14:paraId="7FAE3A3E" w14:textId="77777777" w:rsidR="00D8365A" w:rsidRPr="00362517" w:rsidRDefault="00D8365A" w:rsidP="00BF6BC7">
            <w:pPr>
              <w:pStyle w:val="BodyText"/>
              <w:jc w:val="center"/>
              <w:rPr>
                <w:sz w:val="22"/>
                <w:szCs w:val="22"/>
              </w:rPr>
            </w:pPr>
            <w:r w:rsidRPr="00362517">
              <w:t>Less than 18 Years of Age</w:t>
            </w:r>
          </w:p>
        </w:tc>
      </w:tr>
      <w:tr w:rsidR="00D8365A" w:rsidRPr="00362517" w14:paraId="0944F7CE" w14:textId="77777777" w:rsidTr="007A2164">
        <w:tc>
          <w:tcPr>
            <w:tcW w:w="2245" w:type="dxa"/>
            <w:tcBorders>
              <w:top w:val="double" w:sz="4" w:space="0" w:color="auto"/>
            </w:tcBorders>
          </w:tcPr>
          <w:p w14:paraId="67F4FC13" w14:textId="77777777" w:rsidR="00D8365A" w:rsidRPr="00362517" w:rsidRDefault="00D8365A" w:rsidP="00BF6BC7">
            <w:pPr>
              <w:pStyle w:val="BodyText"/>
            </w:pPr>
            <w:r w:rsidRPr="00362517">
              <w:t>Alabama</w:t>
            </w:r>
            <w:r w:rsidRPr="00362517">
              <w:rPr>
                <w:rFonts w:cs="Times New Roman"/>
                <w:sz w:val="22"/>
                <w:szCs w:val="22"/>
                <w:vertAlign w:val="superscript"/>
              </w:rPr>
              <w:t xml:space="preserve"> 1</w:t>
            </w:r>
          </w:p>
        </w:tc>
        <w:tc>
          <w:tcPr>
            <w:tcW w:w="1565" w:type="dxa"/>
            <w:tcBorders>
              <w:top w:val="double" w:sz="4" w:space="0" w:color="auto"/>
            </w:tcBorders>
          </w:tcPr>
          <w:p w14:paraId="3C7765EE" w14:textId="77777777" w:rsidR="00D8365A" w:rsidRPr="00362517" w:rsidRDefault="00D8365A" w:rsidP="00BF6BC7">
            <w:pPr>
              <w:tabs>
                <w:tab w:val="decimal" w:pos="1135"/>
              </w:tabs>
            </w:pPr>
            <w:r w:rsidRPr="00362517">
              <w:t>9,330</w:t>
            </w:r>
          </w:p>
        </w:tc>
        <w:tc>
          <w:tcPr>
            <w:tcW w:w="1964" w:type="dxa"/>
            <w:tcBorders>
              <w:top w:val="double" w:sz="4" w:space="0" w:color="auto"/>
            </w:tcBorders>
          </w:tcPr>
          <w:p w14:paraId="4B8E2D0F" w14:textId="77777777" w:rsidR="00D8365A" w:rsidRPr="00362517" w:rsidRDefault="00D8365A" w:rsidP="00BF6BC7">
            <w:pPr>
              <w:tabs>
                <w:tab w:val="decimal" w:pos="1223"/>
              </w:tabs>
            </w:pPr>
            <w:r w:rsidRPr="00362517">
              <w:t>40</w:t>
            </w:r>
          </w:p>
        </w:tc>
        <w:tc>
          <w:tcPr>
            <w:tcW w:w="1964" w:type="dxa"/>
            <w:tcBorders>
              <w:top w:val="double" w:sz="4" w:space="0" w:color="auto"/>
            </w:tcBorders>
          </w:tcPr>
          <w:p w14:paraId="28636ADF" w14:textId="77777777" w:rsidR="00D8365A" w:rsidRPr="00362517" w:rsidRDefault="00D8365A" w:rsidP="00BF6BC7">
            <w:pPr>
              <w:tabs>
                <w:tab w:val="decimal" w:pos="1238"/>
              </w:tabs>
            </w:pPr>
            <w:r w:rsidRPr="00362517">
              <w:t>9,289</w:t>
            </w:r>
          </w:p>
        </w:tc>
        <w:tc>
          <w:tcPr>
            <w:tcW w:w="1622" w:type="dxa"/>
            <w:tcBorders>
              <w:top w:val="double" w:sz="4" w:space="0" w:color="auto"/>
            </w:tcBorders>
          </w:tcPr>
          <w:p w14:paraId="0907BF5D" w14:textId="77777777" w:rsidR="00D8365A" w:rsidRPr="00362517" w:rsidRDefault="00D8365A" w:rsidP="00BF6BC7">
            <w:pPr>
              <w:tabs>
                <w:tab w:val="decimal" w:pos="969"/>
              </w:tabs>
            </w:pPr>
            <w:r w:rsidRPr="00362517">
              <w:t>61</w:t>
            </w:r>
          </w:p>
        </w:tc>
      </w:tr>
      <w:tr w:rsidR="00D8365A" w:rsidRPr="00362517" w14:paraId="02D136FB" w14:textId="77777777" w:rsidTr="007A2164">
        <w:tc>
          <w:tcPr>
            <w:tcW w:w="2245" w:type="dxa"/>
          </w:tcPr>
          <w:p w14:paraId="35E342F9" w14:textId="77777777" w:rsidR="00D8365A" w:rsidRPr="00362517" w:rsidRDefault="00D8365A" w:rsidP="00BF6BC7">
            <w:pPr>
              <w:pStyle w:val="BodyText"/>
            </w:pPr>
            <w:r w:rsidRPr="00362517">
              <w:t>Alaska</w:t>
            </w:r>
            <w:r w:rsidRPr="00362517">
              <w:rPr>
                <w:rFonts w:cs="Times New Roman"/>
                <w:sz w:val="22"/>
                <w:szCs w:val="22"/>
                <w:vertAlign w:val="superscript"/>
              </w:rPr>
              <w:t xml:space="preserve"> 1</w:t>
            </w:r>
          </w:p>
        </w:tc>
        <w:tc>
          <w:tcPr>
            <w:tcW w:w="1565" w:type="dxa"/>
          </w:tcPr>
          <w:p w14:paraId="6A8D1994" w14:textId="77777777" w:rsidR="00D8365A" w:rsidRPr="00362517" w:rsidRDefault="00D8365A" w:rsidP="00BF6BC7">
            <w:pPr>
              <w:tabs>
                <w:tab w:val="decimal" w:pos="1135"/>
              </w:tabs>
            </w:pPr>
            <w:r w:rsidRPr="00362517">
              <w:t>617</w:t>
            </w:r>
          </w:p>
        </w:tc>
        <w:tc>
          <w:tcPr>
            <w:tcW w:w="1964" w:type="dxa"/>
          </w:tcPr>
          <w:p w14:paraId="421B3BC6" w14:textId="77777777" w:rsidR="00D8365A" w:rsidRPr="00362517" w:rsidRDefault="00D8365A" w:rsidP="00BF6BC7">
            <w:pPr>
              <w:tabs>
                <w:tab w:val="decimal" w:pos="1223"/>
              </w:tabs>
            </w:pPr>
            <w:r w:rsidRPr="00362517">
              <w:t>0</w:t>
            </w:r>
          </w:p>
        </w:tc>
        <w:tc>
          <w:tcPr>
            <w:tcW w:w="1964" w:type="dxa"/>
          </w:tcPr>
          <w:p w14:paraId="29D1022F" w14:textId="77777777" w:rsidR="00D8365A" w:rsidRPr="00362517" w:rsidRDefault="00D8365A" w:rsidP="00BF6BC7">
            <w:pPr>
              <w:tabs>
                <w:tab w:val="decimal" w:pos="1238"/>
              </w:tabs>
            </w:pPr>
            <w:r w:rsidRPr="00362517">
              <w:t>617</w:t>
            </w:r>
          </w:p>
        </w:tc>
        <w:tc>
          <w:tcPr>
            <w:tcW w:w="1622" w:type="dxa"/>
          </w:tcPr>
          <w:p w14:paraId="524D8417" w14:textId="77777777" w:rsidR="00D8365A" w:rsidRPr="00362517" w:rsidRDefault="00D8365A" w:rsidP="00BF6BC7">
            <w:pPr>
              <w:tabs>
                <w:tab w:val="decimal" w:pos="969"/>
              </w:tabs>
            </w:pPr>
            <w:r w:rsidRPr="00362517">
              <w:t>4</w:t>
            </w:r>
          </w:p>
        </w:tc>
      </w:tr>
      <w:tr w:rsidR="00D8365A" w:rsidRPr="00362517" w14:paraId="79F0C860" w14:textId="77777777" w:rsidTr="007A2164">
        <w:tc>
          <w:tcPr>
            <w:tcW w:w="2245" w:type="dxa"/>
          </w:tcPr>
          <w:p w14:paraId="2F36FFBF" w14:textId="77777777" w:rsidR="00D8365A" w:rsidRPr="00362517" w:rsidRDefault="00D8365A" w:rsidP="00BF6BC7">
            <w:pPr>
              <w:pStyle w:val="BodyText"/>
            </w:pPr>
            <w:r w:rsidRPr="00362517">
              <w:t>Arizona</w:t>
            </w:r>
            <w:r w:rsidRPr="00362517">
              <w:rPr>
                <w:rFonts w:cs="Times New Roman"/>
                <w:sz w:val="22"/>
                <w:szCs w:val="22"/>
                <w:vertAlign w:val="superscript"/>
              </w:rPr>
              <w:t xml:space="preserve"> 1</w:t>
            </w:r>
          </w:p>
        </w:tc>
        <w:tc>
          <w:tcPr>
            <w:tcW w:w="1565" w:type="dxa"/>
          </w:tcPr>
          <w:p w14:paraId="6BFDFD94" w14:textId="77777777" w:rsidR="00D8365A" w:rsidRPr="00362517" w:rsidRDefault="00D8365A" w:rsidP="00BF6BC7">
            <w:pPr>
              <w:tabs>
                <w:tab w:val="decimal" w:pos="1135"/>
              </w:tabs>
            </w:pPr>
            <w:r w:rsidRPr="00362517">
              <w:t>13,548</w:t>
            </w:r>
          </w:p>
        </w:tc>
        <w:tc>
          <w:tcPr>
            <w:tcW w:w="1964" w:type="dxa"/>
          </w:tcPr>
          <w:p w14:paraId="09F61AA5" w14:textId="77777777" w:rsidR="00D8365A" w:rsidRPr="00362517" w:rsidRDefault="00D8365A" w:rsidP="00BF6BC7">
            <w:pPr>
              <w:tabs>
                <w:tab w:val="decimal" w:pos="1223"/>
              </w:tabs>
            </w:pPr>
            <w:r w:rsidRPr="00362517">
              <w:t>162</w:t>
            </w:r>
          </w:p>
        </w:tc>
        <w:tc>
          <w:tcPr>
            <w:tcW w:w="1964" w:type="dxa"/>
          </w:tcPr>
          <w:p w14:paraId="4168D36E" w14:textId="77777777" w:rsidR="00D8365A" w:rsidRPr="00362517" w:rsidRDefault="00D8365A" w:rsidP="00BF6BC7">
            <w:pPr>
              <w:tabs>
                <w:tab w:val="decimal" w:pos="1238"/>
              </w:tabs>
            </w:pPr>
            <w:r w:rsidRPr="00362517">
              <w:t>13,387</w:t>
            </w:r>
          </w:p>
        </w:tc>
        <w:tc>
          <w:tcPr>
            <w:tcW w:w="1622" w:type="dxa"/>
          </w:tcPr>
          <w:p w14:paraId="6D83F23C" w14:textId="77777777" w:rsidR="00D8365A" w:rsidRPr="00362517" w:rsidRDefault="00D8365A" w:rsidP="00BF6BC7">
            <w:pPr>
              <w:tabs>
                <w:tab w:val="decimal" w:pos="969"/>
              </w:tabs>
            </w:pPr>
            <w:r w:rsidRPr="00362517">
              <w:t>88</w:t>
            </w:r>
          </w:p>
        </w:tc>
      </w:tr>
      <w:tr w:rsidR="00D8365A" w:rsidRPr="00362517" w14:paraId="43AC0957" w14:textId="77777777" w:rsidTr="007A2164">
        <w:tc>
          <w:tcPr>
            <w:tcW w:w="2245" w:type="dxa"/>
          </w:tcPr>
          <w:p w14:paraId="25441053" w14:textId="77777777" w:rsidR="00D8365A" w:rsidRPr="00362517" w:rsidRDefault="00D8365A" w:rsidP="00BF6BC7">
            <w:pPr>
              <w:pStyle w:val="BodyText"/>
            </w:pPr>
            <w:r w:rsidRPr="00362517">
              <w:t>Arkansas</w:t>
            </w:r>
            <w:r w:rsidRPr="00362517">
              <w:rPr>
                <w:rFonts w:cs="Times New Roman"/>
                <w:sz w:val="22"/>
                <w:szCs w:val="22"/>
                <w:vertAlign w:val="superscript"/>
              </w:rPr>
              <w:t xml:space="preserve"> 3</w:t>
            </w:r>
          </w:p>
        </w:tc>
        <w:tc>
          <w:tcPr>
            <w:tcW w:w="1565" w:type="dxa"/>
          </w:tcPr>
          <w:p w14:paraId="3F3306F6" w14:textId="77777777" w:rsidR="00D8365A" w:rsidRPr="00362517" w:rsidRDefault="00D8365A" w:rsidP="00BF6BC7">
            <w:pPr>
              <w:tabs>
                <w:tab w:val="decimal" w:pos="1135"/>
              </w:tabs>
            </w:pPr>
            <w:r w:rsidRPr="00362517">
              <w:t>6,877</w:t>
            </w:r>
          </w:p>
        </w:tc>
        <w:tc>
          <w:tcPr>
            <w:tcW w:w="1964" w:type="dxa"/>
          </w:tcPr>
          <w:p w14:paraId="239ED7CC" w14:textId="77777777" w:rsidR="00D8365A" w:rsidRPr="00362517" w:rsidRDefault="00D8365A" w:rsidP="00BF6BC7">
            <w:pPr>
              <w:tabs>
                <w:tab w:val="decimal" w:pos="1223"/>
              </w:tabs>
            </w:pPr>
            <w:r w:rsidRPr="00362517">
              <w:t>155</w:t>
            </w:r>
          </w:p>
        </w:tc>
        <w:tc>
          <w:tcPr>
            <w:tcW w:w="1964" w:type="dxa"/>
          </w:tcPr>
          <w:p w14:paraId="1FC96B14" w14:textId="77777777" w:rsidR="00D8365A" w:rsidRPr="00362517" w:rsidRDefault="00D8365A" w:rsidP="00BF6BC7">
            <w:pPr>
              <w:tabs>
                <w:tab w:val="decimal" w:pos="1238"/>
              </w:tabs>
            </w:pPr>
            <w:r w:rsidRPr="00362517">
              <w:t>6,722</w:t>
            </w:r>
          </w:p>
        </w:tc>
        <w:tc>
          <w:tcPr>
            <w:tcW w:w="1622" w:type="dxa"/>
          </w:tcPr>
          <w:p w14:paraId="0D1D9A10" w14:textId="77777777" w:rsidR="00D8365A" w:rsidRPr="00362517" w:rsidRDefault="00D8365A" w:rsidP="00BF6BC7">
            <w:pPr>
              <w:tabs>
                <w:tab w:val="decimal" w:pos="969"/>
              </w:tabs>
            </w:pPr>
            <w:r w:rsidRPr="00362517">
              <w:t>45</w:t>
            </w:r>
          </w:p>
        </w:tc>
      </w:tr>
      <w:tr w:rsidR="00D8365A" w:rsidRPr="00362517" w14:paraId="6622C9EB" w14:textId="77777777" w:rsidTr="007A2164">
        <w:tc>
          <w:tcPr>
            <w:tcW w:w="2245" w:type="dxa"/>
          </w:tcPr>
          <w:p w14:paraId="39EF2AEB" w14:textId="77777777" w:rsidR="00D8365A" w:rsidRPr="00362517" w:rsidRDefault="00D8365A" w:rsidP="00BF6BC7">
            <w:pPr>
              <w:pStyle w:val="BodyText"/>
            </w:pPr>
            <w:r w:rsidRPr="00362517">
              <w:t>California</w:t>
            </w:r>
            <w:r w:rsidRPr="00362517">
              <w:rPr>
                <w:rFonts w:cs="Times New Roman"/>
                <w:sz w:val="22"/>
                <w:szCs w:val="22"/>
                <w:vertAlign w:val="superscript"/>
              </w:rPr>
              <w:t xml:space="preserve"> 1</w:t>
            </w:r>
          </w:p>
        </w:tc>
        <w:tc>
          <w:tcPr>
            <w:tcW w:w="1565" w:type="dxa"/>
          </w:tcPr>
          <w:p w14:paraId="274E4AD2" w14:textId="77777777" w:rsidR="00D8365A" w:rsidRPr="00362517" w:rsidRDefault="00D8365A" w:rsidP="00BF6BC7">
            <w:pPr>
              <w:tabs>
                <w:tab w:val="decimal" w:pos="1135"/>
              </w:tabs>
            </w:pPr>
            <w:r w:rsidRPr="00362517">
              <w:t>75,332</w:t>
            </w:r>
          </w:p>
        </w:tc>
        <w:tc>
          <w:tcPr>
            <w:tcW w:w="1964" w:type="dxa"/>
          </w:tcPr>
          <w:p w14:paraId="01991EC7" w14:textId="77777777" w:rsidR="00D8365A" w:rsidRPr="00362517" w:rsidRDefault="00D8365A" w:rsidP="00BF6BC7">
            <w:pPr>
              <w:tabs>
                <w:tab w:val="decimal" w:pos="1223"/>
              </w:tabs>
            </w:pPr>
            <w:r w:rsidRPr="00362517">
              <w:t>3,907</w:t>
            </w:r>
          </w:p>
        </w:tc>
        <w:tc>
          <w:tcPr>
            <w:tcW w:w="1964" w:type="dxa"/>
          </w:tcPr>
          <w:p w14:paraId="6A3E6C84" w14:textId="77777777" w:rsidR="00D8365A" w:rsidRPr="00362517" w:rsidRDefault="00D8365A" w:rsidP="00BF6BC7">
            <w:pPr>
              <w:tabs>
                <w:tab w:val="decimal" w:pos="1238"/>
              </w:tabs>
            </w:pPr>
            <w:r w:rsidRPr="00362517">
              <w:t>71,424</w:t>
            </w:r>
          </w:p>
        </w:tc>
        <w:tc>
          <w:tcPr>
            <w:tcW w:w="1622" w:type="dxa"/>
          </w:tcPr>
          <w:p w14:paraId="77D5F4F1" w14:textId="77777777" w:rsidR="00D8365A" w:rsidRPr="00362517" w:rsidRDefault="00D8365A" w:rsidP="00BF6BC7">
            <w:pPr>
              <w:tabs>
                <w:tab w:val="decimal" w:pos="969"/>
              </w:tabs>
            </w:pPr>
            <w:r w:rsidRPr="00362517">
              <w:t>491</w:t>
            </w:r>
          </w:p>
        </w:tc>
      </w:tr>
      <w:tr w:rsidR="00D8365A" w:rsidRPr="00362517" w14:paraId="2E05FED3" w14:textId="77777777" w:rsidTr="007A2164">
        <w:tc>
          <w:tcPr>
            <w:tcW w:w="2245" w:type="dxa"/>
          </w:tcPr>
          <w:p w14:paraId="5FA92CB0" w14:textId="77777777" w:rsidR="00D8365A" w:rsidRPr="00362517" w:rsidRDefault="00D8365A" w:rsidP="00BF6BC7">
            <w:pPr>
              <w:pStyle w:val="BodyText"/>
            </w:pPr>
            <w:r w:rsidRPr="00362517">
              <w:t>Colorado</w:t>
            </w:r>
            <w:r w:rsidRPr="00362517">
              <w:rPr>
                <w:rFonts w:cs="Times New Roman"/>
                <w:sz w:val="22"/>
                <w:szCs w:val="22"/>
                <w:vertAlign w:val="superscript"/>
              </w:rPr>
              <w:t xml:space="preserve"> 1</w:t>
            </w:r>
          </w:p>
        </w:tc>
        <w:tc>
          <w:tcPr>
            <w:tcW w:w="1565" w:type="dxa"/>
          </w:tcPr>
          <w:p w14:paraId="7824407D" w14:textId="77777777" w:rsidR="00D8365A" w:rsidRPr="00362517" w:rsidRDefault="00D8365A" w:rsidP="00BF6BC7">
            <w:pPr>
              <w:tabs>
                <w:tab w:val="decimal" w:pos="1135"/>
              </w:tabs>
            </w:pPr>
            <w:r w:rsidRPr="00362517">
              <w:t>15,277</w:t>
            </w:r>
          </w:p>
        </w:tc>
        <w:tc>
          <w:tcPr>
            <w:tcW w:w="1964" w:type="dxa"/>
          </w:tcPr>
          <w:p w14:paraId="21CAF279" w14:textId="77777777" w:rsidR="00D8365A" w:rsidRPr="00362517" w:rsidRDefault="00D8365A" w:rsidP="00BF6BC7">
            <w:pPr>
              <w:tabs>
                <w:tab w:val="decimal" w:pos="1223"/>
              </w:tabs>
            </w:pPr>
            <w:r w:rsidRPr="00362517">
              <w:t>49</w:t>
            </w:r>
          </w:p>
        </w:tc>
        <w:tc>
          <w:tcPr>
            <w:tcW w:w="1964" w:type="dxa"/>
          </w:tcPr>
          <w:p w14:paraId="01C4D790" w14:textId="77777777" w:rsidR="00D8365A" w:rsidRPr="00362517" w:rsidRDefault="00D8365A" w:rsidP="00BF6BC7">
            <w:pPr>
              <w:tabs>
                <w:tab w:val="decimal" w:pos="1238"/>
              </w:tabs>
            </w:pPr>
            <w:r w:rsidRPr="00362517">
              <w:t>15,229</w:t>
            </w:r>
          </w:p>
        </w:tc>
        <w:tc>
          <w:tcPr>
            <w:tcW w:w="1622" w:type="dxa"/>
          </w:tcPr>
          <w:p w14:paraId="778E6D5A" w14:textId="77777777" w:rsidR="00D8365A" w:rsidRPr="00362517" w:rsidRDefault="00D8365A" w:rsidP="00BF6BC7">
            <w:pPr>
              <w:tabs>
                <w:tab w:val="decimal" w:pos="969"/>
              </w:tabs>
            </w:pPr>
            <w:r w:rsidRPr="00362517">
              <w:t>100</w:t>
            </w:r>
          </w:p>
        </w:tc>
      </w:tr>
      <w:tr w:rsidR="00D8365A" w:rsidRPr="00362517" w14:paraId="025F186A" w14:textId="77777777" w:rsidTr="007A2164">
        <w:tc>
          <w:tcPr>
            <w:tcW w:w="2245" w:type="dxa"/>
          </w:tcPr>
          <w:p w14:paraId="370DA910" w14:textId="77777777" w:rsidR="00D8365A" w:rsidRPr="00362517" w:rsidRDefault="00D8365A" w:rsidP="00BF6BC7">
            <w:pPr>
              <w:pStyle w:val="BodyText"/>
            </w:pPr>
            <w:r w:rsidRPr="00362517">
              <w:t>Connecticut</w:t>
            </w:r>
            <w:r w:rsidRPr="00362517">
              <w:rPr>
                <w:rFonts w:cs="Times New Roman"/>
                <w:sz w:val="22"/>
                <w:szCs w:val="22"/>
                <w:vertAlign w:val="superscript"/>
              </w:rPr>
              <w:t xml:space="preserve"> 1</w:t>
            </w:r>
          </w:p>
        </w:tc>
        <w:tc>
          <w:tcPr>
            <w:tcW w:w="1565" w:type="dxa"/>
          </w:tcPr>
          <w:p w14:paraId="221B9E6F" w14:textId="77777777" w:rsidR="00D8365A" w:rsidRPr="00362517" w:rsidRDefault="00D8365A" w:rsidP="00BF6BC7">
            <w:pPr>
              <w:tabs>
                <w:tab w:val="decimal" w:pos="1135"/>
              </w:tabs>
            </w:pPr>
            <w:r w:rsidRPr="00362517">
              <w:t>10,059</w:t>
            </w:r>
          </w:p>
        </w:tc>
        <w:tc>
          <w:tcPr>
            <w:tcW w:w="1964" w:type="dxa"/>
          </w:tcPr>
          <w:p w14:paraId="1899D714" w14:textId="77777777" w:rsidR="00D8365A" w:rsidRPr="00362517" w:rsidRDefault="00D8365A" w:rsidP="00BF6BC7">
            <w:pPr>
              <w:tabs>
                <w:tab w:val="decimal" w:pos="1223"/>
              </w:tabs>
            </w:pPr>
            <w:r w:rsidRPr="00362517">
              <w:t>0</w:t>
            </w:r>
          </w:p>
        </w:tc>
        <w:tc>
          <w:tcPr>
            <w:tcW w:w="1964" w:type="dxa"/>
          </w:tcPr>
          <w:p w14:paraId="60DCCA11" w14:textId="77777777" w:rsidR="00D8365A" w:rsidRPr="00362517" w:rsidRDefault="00D8365A" w:rsidP="00BF6BC7">
            <w:pPr>
              <w:tabs>
                <w:tab w:val="decimal" w:pos="1238"/>
              </w:tabs>
            </w:pPr>
            <w:r w:rsidRPr="00362517">
              <w:t>10,059</w:t>
            </w:r>
          </w:p>
        </w:tc>
        <w:tc>
          <w:tcPr>
            <w:tcW w:w="1622" w:type="dxa"/>
          </w:tcPr>
          <w:p w14:paraId="1140EA09" w14:textId="77777777" w:rsidR="00D8365A" w:rsidRPr="00362517" w:rsidRDefault="00D8365A" w:rsidP="00BF6BC7">
            <w:pPr>
              <w:tabs>
                <w:tab w:val="decimal" w:pos="969"/>
              </w:tabs>
            </w:pPr>
            <w:r w:rsidRPr="00362517">
              <w:t>66</w:t>
            </w:r>
          </w:p>
        </w:tc>
      </w:tr>
      <w:tr w:rsidR="00D8365A" w:rsidRPr="00362517" w14:paraId="7A4AAB12" w14:textId="77777777" w:rsidTr="007A2164">
        <w:tc>
          <w:tcPr>
            <w:tcW w:w="2245" w:type="dxa"/>
          </w:tcPr>
          <w:p w14:paraId="15385661" w14:textId="77777777" w:rsidR="00D8365A" w:rsidRPr="00362517" w:rsidRDefault="00D8365A" w:rsidP="00BF6BC7">
            <w:pPr>
              <w:pStyle w:val="BodyText"/>
            </w:pPr>
            <w:r w:rsidRPr="00362517">
              <w:t>Delaware</w:t>
            </w:r>
            <w:r w:rsidRPr="00362517">
              <w:rPr>
                <w:rFonts w:cs="Times New Roman"/>
                <w:sz w:val="22"/>
                <w:szCs w:val="22"/>
                <w:vertAlign w:val="superscript"/>
              </w:rPr>
              <w:t xml:space="preserve"> 2</w:t>
            </w:r>
          </w:p>
        </w:tc>
        <w:tc>
          <w:tcPr>
            <w:tcW w:w="1565" w:type="dxa"/>
          </w:tcPr>
          <w:p w14:paraId="2D567FBD" w14:textId="77777777" w:rsidR="00D8365A" w:rsidRPr="00362517" w:rsidRDefault="00D8365A" w:rsidP="00BF6BC7">
            <w:pPr>
              <w:tabs>
                <w:tab w:val="decimal" w:pos="1135"/>
              </w:tabs>
            </w:pPr>
            <w:r w:rsidRPr="00362517">
              <w:t>5,318</w:t>
            </w:r>
          </w:p>
        </w:tc>
        <w:tc>
          <w:tcPr>
            <w:tcW w:w="1964" w:type="dxa"/>
          </w:tcPr>
          <w:p w14:paraId="6A6F3E7D" w14:textId="77777777" w:rsidR="00D8365A" w:rsidRPr="00362517" w:rsidRDefault="00D8365A" w:rsidP="00BF6BC7">
            <w:pPr>
              <w:tabs>
                <w:tab w:val="decimal" w:pos="1223"/>
              </w:tabs>
            </w:pPr>
            <w:r w:rsidRPr="00362517">
              <w:t>0</w:t>
            </w:r>
          </w:p>
        </w:tc>
        <w:tc>
          <w:tcPr>
            <w:tcW w:w="1964" w:type="dxa"/>
          </w:tcPr>
          <w:p w14:paraId="48BD3087" w14:textId="77777777" w:rsidR="00D8365A" w:rsidRPr="00362517" w:rsidRDefault="00D8365A" w:rsidP="00BF6BC7">
            <w:pPr>
              <w:tabs>
                <w:tab w:val="decimal" w:pos="1238"/>
              </w:tabs>
            </w:pPr>
            <w:r w:rsidRPr="00362517">
              <w:t>5,318</w:t>
            </w:r>
          </w:p>
        </w:tc>
        <w:tc>
          <w:tcPr>
            <w:tcW w:w="1622" w:type="dxa"/>
          </w:tcPr>
          <w:p w14:paraId="1CFB9332" w14:textId="77777777" w:rsidR="00D8365A" w:rsidRPr="00362517" w:rsidRDefault="00D8365A" w:rsidP="00BF6BC7">
            <w:pPr>
              <w:tabs>
                <w:tab w:val="decimal" w:pos="969"/>
              </w:tabs>
            </w:pPr>
            <w:r w:rsidRPr="00362517">
              <w:t>35</w:t>
            </w:r>
          </w:p>
        </w:tc>
      </w:tr>
      <w:tr w:rsidR="00D8365A" w:rsidRPr="00362517" w14:paraId="58D2AA0A" w14:textId="77777777" w:rsidTr="007A2164">
        <w:tc>
          <w:tcPr>
            <w:tcW w:w="2245" w:type="dxa"/>
          </w:tcPr>
          <w:p w14:paraId="1D91BD70" w14:textId="77777777" w:rsidR="00D8365A" w:rsidRPr="00362517" w:rsidRDefault="00D8365A" w:rsidP="00BF6BC7">
            <w:pPr>
              <w:pStyle w:val="BodyText"/>
            </w:pPr>
            <w:r w:rsidRPr="00362517">
              <w:t>Florida</w:t>
            </w:r>
            <w:r w:rsidRPr="00362517">
              <w:rPr>
                <w:rFonts w:cs="Times New Roman"/>
                <w:sz w:val="22"/>
                <w:szCs w:val="22"/>
                <w:vertAlign w:val="superscript"/>
              </w:rPr>
              <w:t xml:space="preserve"> 1</w:t>
            </w:r>
          </w:p>
        </w:tc>
        <w:tc>
          <w:tcPr>
            <w:tcW w:w="1565" w:type="dxa"/>
          </w:tcPr>
          <w:p w14:paraId="7B1D3ABD" w14:textId="77777777" w:rsidR="00D8365A" w:rsidRPr="00362517" w:rsidRDefault="00D8365A" w:rsidP="00BF6BC7">
            <w:pPr>
              <w:tabs>
                <w:tab w:val="decimal" w:pos="1135"/>
              </w:tabs>
            </w:pPr>
            <w:r w:rsidRPr="00362517">
              <w:t>68,247</w:t>
            </w:r>
          </w:p>
        </w:tc>
        <w:tc>
          <w:tcPr>
            <w:tcW w:w="1964" w:type="dxa"/>
          </w:tcPr>
          <w:p w14:paraId="2B6368AF" w14:textId="77777777" w:rsidR="00D8365A" w:rsidRPr="00362517" w:rsidRDefault="00D8365A" w:rsidP="00BF6BC7">
            <w:pPr>
              <w:tabs>
                <w:tab w:val="decimal" w:pos="1223"/>
              </w:tabs>
            </w:pPr>
            <w:r w:rsidRPr="00362517">
              <w:t>966</w:t>
            </w:r>
          </w:p>
        </w:tc>
        <w:tc>
          <w:tcPr>
            <w:tcW w:w="1964" w:type="dxa"/>
          </w:tcPr>
          <w:p w14:paraId="1FB3DD83" w14:textId="77777777" w:rsidR="00D8365A" w:rsidRPr="00362517" w:rsidRDefault="00D8365A" w:rsidP="00BF6BC7">
            <w:pPr>
              <w:tabs>
                <w:tab w:val="decimal" w:pos="1238"/>
              </w:tabs>
            </w:pPr>
            <w:r w:rsidRPr="00362517">
              <w:t>67,281</w:t>
            </w:r>
          </w:p>
        </w:tc>
        <w:tc>
          <w:tcPr>
            <w:tcW w:w="1622" w:type="dxa"/>
          </w:tcPr>
          <w:p w14:paraId="5245BF8F" w14:textId="77777777" w:rsidR="00D8365A" w:rsidRPr="00362517" w:rsidRDefault="00D8365A" w:rsidP="00BF6BC7">
            <w:pPr>
              <w:tabs>
                <w:tab w:val="decimal" w:pos="969"/>
              </w:tabs>
            </w:pPr>
            <w:r w:rsidRPr="00362517">
              <w:t>445</w:t>
            </w:r>
          </w:p>
        </w:tc>
      </w:tr>
      <w:tr w:rsidR="00D8365A" w:rsidRPr="00362517" w14:paraId="674C546D" w14:textId="77777777" w:rsidTr="007A2164">
        <w:tc>
          <w:tcPr>
            <w:tcW w:w="2245" w:type="dxa"/>
          </w:tcPr>
          <w:p w14:paraId="24D21A5A" w14:textId="77777777" w:rsidR="00D8365A" w:rsidRPr="00362517" w:rsidRDefault="00D8365A" w:rsidP="00BF6BC7">
            <w:pPr>
              <w:pStyle w:val="BodyText"/>
            </w:pPr>
            <w:r w:rsidRPr="00362517">
              <w:t>Georgia</w:t>
            </w:r>
            <w:r w:rsidRPr="00362517">
              <w:rPr>
                <w:rFonts w:cs="Times New Roman"/>
                <w:sz w:val="22"/>
                <w:szCs w:val="22"/>
                <w:vertAlign w:val="superscript"/>
              </w:rPr>
              <w:t xml:space="preserve"> 1</w:t>
            </w:r>
          </w:p>
        </w:tc>
        <w:tc>
          <w:tcPr>
            <w:tcW w:w="1565" w:type="dxa"/>
          </w:tcPr>
          <w:p w14:paraId="2B49A492" w14:textId="77777777" w:rsidR="00D8365A" w:rsidRPr="00362517" w:rsidRDefault="00D8365A" w:rsidP="00BF6BC7">
            <w:pPr>
              <w:tabs>
                <w:tab w:val="decimal" w:pos="1135"/>
              </w:tabs>
            </w:pPr>
            <w:r w:rsidRPr="00362517">
              <w:t>17,670</w:t>
            </w:r>
          </w:p>
        </w:tc>
        <w:tc>
          <w:tcPr>
            <w:tcW w:w="1964" w:type="dxa"/>
          </w:tcPr>
          <w:p w14:paraId="433B3F85" w14:textId="77777777" w:rsidR="00D8365A" w:rsidRPr="00362517" w:rsidRDefault="00D8365A" w:rsidP="00BF6BC7">
            <w:pPr>
              <w:tabs>
                <w:tab w:val="decimal" w:pos="1223"/>
              </w:tabs>
            </w:pPr>
            <w:r w:rsidRPr="00362517">
              <w:t>169</w:t>
            </w:r>
          </w:p>
        </w:tc>
        <w:tc>
          <w:tcPr>
            <w:tcW w:w="1964" w:type="dxa"/>
          </w:tcPr>
          <w:p w14:paraId="530099EC" w14:textId="77777777" w:rsidR="00D8365A" w:rsidRPr="00362517" w:rsidRDefault="00D8365A" w:rsidP="00BF6BC7">
            <w:pPr>
              <w:tabs>
                <w:tab w:val="decimal" w:pos="1238"/>
              </w:tabs>
            </w:pPr>
            <w:r w:rsidRPr="00362517">
              <w:t>17,501</w:t>
            </w:r>
          </w:p>
        </w:tc>
        <w:tc>
          <w:tcPr>
            <w:tcW w:w="1622" w:type="dxa"/>
          </w:tcPr>
          <w:p w14:paraId="591DCCF2" w14:textId="77777777" w:rsidR="00D8365A" w:rsidRPr="00362517" w:rsidRDefault="00D8365A" w:rsidP="00BF6BC7">
            <w:pPr>
              <w:tabs>
                <w:tab w:val="decimal" w:pos="969"/>
              </w:tabs>
            </w:pPr>
            <w:r w:rsidRPr="00362517">
              <w:t>115</w:t>
            </w:r>
          </w:p>
        </w:tc>
      </w:tr>
      <w:tr w:rsidR="00D8365A" w:rsidRPr="00362517" w14:paraId="18E46D2D" w14:textId="77777777" w:rsidTr="007A2164">
        <w:tc>
          <w:tcPr>
            <w:tcW w:w="2245" w:type="dxa"/>
          </w:tcPr>
          <w:p w14:paraId="764FC4BE" w14:textId="77777777" w:rsidR="00D8365A" w:rsidRPr="00362517" w:rsidRDefault="00D8365A" w:rsidP="00BF6BC7">
            <w:pPr>
              <w:pStyle w:val="BodyText"/>
            </w:pPr>
            <w:r w:rsidRPr="00362517">
              <w:t>Hawaii</w:t>
            </w:r>
            <w:r w:rsidRPr="00362517">
              <w:rPr>
                <w:rFonts w:cs="Times New Roman"/>
                <w:sz w:val="22"/>
                <w:szCs w:val="22"/>
                <w:vertAlign w:val="superscript"/>
              </w:rPr>
              <w:t xml:space="preserve"> 1</w:t>
            </w:r>
          </w:p>
        </w:tc>
        <w:tc>
          <w:tcPr>
            <w:tcW w:w="1565" w:type="dxa"/>
          </w:tcPr>
          <w:p w14:paraId="6D3BA37C" w14:textId="77777777" w:rsidR="00D8365A" w:rsidRPr="00362517" w:rsidRDefault="00D8365A" w:rsidP="00BF6BC7">
            <w:pPr>
              <w:tabs>
                <w:tab w:val="decimal" w:pos="1135"/>
              </w:tabs>
            </w:pPr>
            <w:r w:rsidRPr="00362517">
              <w:t>3,950</w:t>
            </w:r>
          </w:p>
        </w:tc>
        <w:tc>
          <w:tcPr>
            <w:tcW w:w="1964" w:type="dxa"/>
          </w:tcPr>
          <w:p w14:paraId="23FBACA2" w14:textId="77777777" w:rsidR="00D8365A" w:rsidRPr="00362517" w:rsidRDefault="00D8365A" w:rsidP="00BF6BC7">
            <w:pPr>
              <w:tabs>
                <w:tab w:val="decimal" w:pos="1223"/>
              </w:tabs>
            </w:pPr>
            <w:r w:rsidRPr="00362517">
              <w:t>11</w:t>
            </w:r>
          </w:p>
        </w:tc>
        <w:tc>
          <w:tcPr>
            <w:tcW w:w="1964" w:type="dxa"/>
          </w:tcPr>
          <w:p w14:paraId="091A7B93" w14:textId="77777777" w:rsidR="00D8365A" w:rsidRPr="00362517" w:rsidRDefault="00D8365A" w:rsidP="00BF6BC7">
            <w:pPr>
              <w:tabs>
                <w:tab w:val="decimal" w:pos="1238"/>
              </w:tabs>
            </w:pPr>
            <w:r w:rsidRPr="00362517">
              <w:t>3,939</w:t>
            </w:r>
          </w:p>
        </w:tc>
        <w:tc>
          <w:tcPr>
            <w:tcW w:w="1622" w:type="dxa"/>
          </w:tcPr>
          <w:p w14:paraId="58037D22" w14:textId="77777777" w:rsidR="00D8365A" w:rsidRPr="00362517" w:rsidRDefault="00D8365A" w:rsidP="00BF6BC7">
            <w:pPr>
              <w:tabs>
                <w:tab w:val="decimal" w:pos="969"/>
              </w:tabs>
            </w:pPr>
            <w:r w:rsidRPr="00362517">
              <w:t>26</w:t>
            </w:r>
          </w:p>
        </w:tc>
      </w:tr>
      <w:tr w:rsidR="00D8365A" w:rsidRPr="00362517" w14:paraId="7420E519" w14:textId="77777777" w:rsidTr="007A2164">
        <w:tc>
          <w:tcPr>
            <w:tcW w:w="2245" w:type="dxa"/>
          </w:tcPr>
          <w:p w14:paraId="0E3D1970" w14:textId="77777777" w:rsidR="00D8365A" w:rsidRPr="00362517" w:rsidRDefault="00D8365A" w:rsidP="00BF6BC7">
            <w:pPr>
              <w:pStyle w:val="BodyText"/>
            </w:pPr>
            <w:r w:rsidRPr="00362517">
              <w:t>Idaho</w:t>
            </w:r>
            <w:r w:rsidRPr="00362517">
              <w:rPr>
                <w:rFonts w:cs="Times New Roman"/>
                <w:sz w:val="22"/>
                <w:szCs w:val="22"/>
                <w:vertAlign w:val="superscript"/>
              </w:rPr>
              <w:t xml:space="preserve"> 2</w:t>
            </w:r>
          </w:p>
        </w:tc>
        <w:tc>
          <w:tcPr>
            <w:tcW w:w="1565" w:type="dxa"/>
          </w:tcPr>
          <w:p w14:paraId="5905991B" w14:textId="77777777" w:rsidR="00D8365A" w:rsidRPr="00362517" w:rsidRDefault="00D8365A" w:rsidP="00BF6BC7">
            <w:pPr>
              <w:tabs>
                <w:tab w:val="decimal" w:pos="1135"/>
              </w:tabs>
            </w:pPr>
            <w:r w:rsidRPr="00362517">
              <w:t>11,135</w:t>
            </w:r>
          </w:p>
        </w:tc>
        <w:tc>
          <w:tcPr>
            <w:tcW w:w="1964" w:type="dxa"/>
          </w:tcPr>
          <w:p w14:paraId="46CF7C39" w14:textId="77777777" w:rsidR="00D8365A" w:rsidRPr="00362517" w:rsidRDefault="00D8365A" w:rsidP="00BF6BC7">
            <w:pPr>
              <w:tabs>
                <w:tab w:val="decimal" w:pos="1223"/>
              </w:tabs>
            </w:pPr>
            <w:r w:rsidRPr="00362517">
              <w:t>302</w:t>
            </w:r>
          </w:p>
        </w:tc>
        <w:tc>
          <w:tcPr>
            <w:tcW w:w="1964" w:type="dxa"/>
          </w:tcPr>
          <w:p w14:paraId="20DD6143" w14:textId="77777777" w:rsidR="00D8365A" w:rsidRPr="00362517" w:rsidRDefault="00D8365A" w:rsidP="00BF6BC7">
            <w:pPr>
              <w:tabs>
                <w:tab w:val="decimal" w:pos="1238"/>
              </w:tabs>
            </w:pPr>
            <w:r w:rsidRPr="00362517">
              <w:t>10,833</w:t>
            </w:r>
          </w:p>
        </w:tc>
        <w:tc>
          <w:tcPr>
            <w:tcW w:w="1622" w:type="dxa"/>
          </w:tcPr>
          <w:p w14:paraId="67E916E9" w14:textId="77777777" w:rsidR="00D8365A" w:rsidRPr="00362517" w:rsidRDefault="00D8365A" w:rsidP="00BF6BC7">
            <w:pPr>
              <w:tabs>
                <w:tab w:val="decimal" w:pos="969"/>
              </w:tabs>
            </w:pPr>
            <w:r w:rsidRPr="00362517">
              <w:t>73</w:t>
            </w:r>
          </w:p>
        </w:tc>
      </w:tr>
      <w:tr w:rsidR="00D8365A" w:rsidRPr="00362517" w14:paraId="1AE98DB7" w14:textId="77777777" w:rsidTr="007A2164">
        <w:tc>
          <w:tcPr>
            <w:tcW w:w="2245" w:type="dxa"/>
          </w:tcPr>
          <w:p w14:paraId="2D01E4F9" w14:textId="77777777" w:rsidR="00D8365A" w:rsidRPr="00362517" w:rsidRDefault="00D8365A" w:rsidP="00BF6BC7">
            <w:pPr>
              <w:pStyle w:val="BodyText"/>
            </w:pPr>
            <w:r w:rsidRPr="00362517">
              <w:t>Illinois</w:t>
            </w:r>
            <w:r w:rsidRPr="00362517">
              <w:rPr>
                <w:rFonts w:cs="Times New Roman"/>
                <w:sz w:val="22"/>
                <w:szCs w:val="22"/>
                <w:vertAlign w:val="superscript"/>
              </w:rPr>
              <w:t xml:space="preserve"> 1</w:t>
            </w:r>
          </w:p>
        </w:tc>
        <w:tc>
          <w:tcPr>
            <w:tcW w:w="1565" w:type="dxa"/>
          </w:tcPr>
          <w:p w14:paraId="3CB9E5B8" w14:textId="77777777" w:rsidR="00D8365A" w:rsidRPr="00362517" w:rsidRDefault="00D8365A" w:rsidP="00BF6BC7">
            <w:pPr>
              <w:tabs>
                <w:tab w:val="decimal" w:pos="1135"/>
              </w:tabs>
            </w:pPr>
            <w:r w:rsidRPr="00362517">
              <w:t>20,617</w:t>
            </w:r>
          </w:p>
        </w:tc>
        <w:tc>
          <w:tcPr>
            <w:tcW w:w="1964" w:type="dxa"/>
          </w:tcPr>
          <w:p w14:paraId="42AEA5B3" w14:textId="77777777" w:rsidR="00D8365A" w:rsidRPr="00362517" w:rsidRDefault="00D8365A" w:rsidP="00BF6BC7">
            <w:pPr>
              <w:tabs>
                <w:tab w:val="decimal" w:pos="1223"/>
              </w:tabs>
            </w:pPr>
            <w:r w:rsidRPr="00362517">
              <w:t>147</w:t>
            </w:r>
          </w:p>
        </w:tc>
        <w:tc>
          <w:tcPr>
            <w:tcW w:w="1964" w:type="dxa"/>
          </w:tcPr>
          <w:p w14:paraId="4117A669" w14:textId="77777777" w:rsidR="00D8365A" w:rsidRPr="00362517" w:rsidRDefault="00D8365A" w:rsidP="00BF6BC7">
            <w:pPr>
              <w:tabs>
                <w:tab w:val="decimal" w:pos="1238"/>
              </w:tabs>
            </w:pPr>
            <w:r w:rsidRPr="00362517">
              <w:t>20,470</w:t>
            </w:r>
          </w:p>
        </w:tc>
        <w:tc>
          <w:tcPr>
            <w:tcW w:w="1622" w:type="dxa"/>
          </w:tcPr>
          <w:p w14:paraId="4357D094" w14:textId="77777777" w:rsidR="00D8365A" w:rsidRPr="00362517" w:rsidRDefault="00D8365A" w:rsidP="00BF6BC7">
            <w:pPr>
              <w:tabs>
                <w:tab w:val="decimal" w:pos="969"/>
              </w:tabs>
            </w:pPr>
            <w:r w:rsidRPr="00362517">
              <w:t>134</w:t>
            </w:r>
          </w:p>
        </w:tc>
      </w:tr>
      <w:tr w:rsidR="00D8365A" w:rsidRPr="00362517" w14:paraId="68A4B224" w14:textId="77777777" w:rsidTr="007A2164">
        <w:tc>
          <w:tcPr>
            <w:tcW w:w="2245" w:type="dxa"/>
          </w:tcPr>
          <w:p w14:paraId="0CEE780E" w14:textId="77777777" w:rsidR="00D8365A" w:rsidRPr="00362517" w:rsidRDefault="00D8365A" w:rsidP="00BF6BC7">
            <w:pPr>
              <w:pStyle w:val="BodyText"/>
            </w:pPr>
            <w:r w:rsidRPr="00362517">
              <w:t>Indiana</w:t>
            </w:r>
            <w:r w:rsidRPr="00362517">
              <w:rPr>
                <w:rFonts w:cs="Times New Roman"/>
                <w:sz w:val="22"/>
                <w:szCs w:val="22"/>
                <w:vertAlign w:val="superscript"/>
              </w:rPr>
              <w:t xml:space="preserve"> 2</w:t>
            </w:r>
          </w:p>
        </w:tc>
        <w:tc>
          <w:tcPr>
            <w:tcW w:w="1565" w:type="dxa"/>
          </w:tcPr>
          <w:p w14:paraId="33806B02" w14:textId="77777777" w:rsidR="00D8365A" w:rsidRPr="00362517" w:rsidRDefault="00D8365A" w:rsidP="00BF6BC7">
            <w:pPr>
              <w:tabs>
                <w:tab w:val="decimal" w:pos="1135"/>
              </w:tabs>
            </w:pPr>
            <w:r w:rsidRPr="00362517">
              <w:t>26,213</w:t>
            </w:r>
          </w:p>
        </w:tc>
        <w:tc>
          <w:tcPr>
            <w:tcW w:w="1964" w:type="dxa"/>
          </w:tcPr>
          <w:p w14:paraId="6095EEDC" w14:textId="77777777" w:rsidR="00D8365A" w:rsidRPr="00362517" w:rsidRDefault="00D8365A" w:rsidP="00BF6BC7">
            <w:pPr>
              <w:tabs>
                <w:tab w:val="decimal" w:pos="1223"/>
              </w:tabs>
            </w:pPr>
            <w:r w:rsidRPr="00362517">
              <w:t>102</w:t>
            </w:r>
          </w:p>
        </w:tc>
        <w:tc>
          <w:tcPr>
            <w:tcW w:w="1964" w:type="dxa"/>
          </w:tcPr>
          <w:p w14:paraId="72F96488" w14:textId="77777777" w:rsidR="00D8365A" w:rsidRPr="00362517" w:rsidRDefault="00D8365A" w:rsidP="00BF6BC7">
            <w:pPr>
              <w:tabs>
                <w:tab w:val="decimal" w:pos="1238"/>
              </w:tabs>
            </w:pPr>
            <w:r w:rsidRPr="00362517">
              <w:t>26,111</w:t>
            </w:r>
          </w:p>
        </w:tc>
        <w:tc>
          <w:tcPr>
            <w:tcW w:w="1622" w:type="dxa"/>
          </w:tcPr>
          <w:p w14:paraId="6492A3D9" w14:textId="77777777" w:rsidR="00D8365A" w:rsidRPr="00362517" w:rsidRDefault="00D8365A" w:rsidP="00BF6BC7">
            <w:pPr>
              <w:tabs>
                <w:tab w:val="decimal" w:pos="969"/>
              </w:tabs>
            </w:pPr>
            <w:r w:rsidRPr="00362517">
              <w:t>171</w:t>
            </w:r>
          </w:p>
        </w:tc>
      </w:tr>
      <w:tr w:rsidR="00D8365A" w:rsidRPr="00362517" w14:paraId="22AAA0BD" w14:textId="77777777" w:rsidTr="007A2164">
        <w:tc>
          <w:tcPr>
            <w:tcW w:w="2245" w:type="dxa"/>
          </w:tcPr>
          <w:p w14:paraId="11530804" w14:textId="77777777" w:rsidR="00D8365A" w:rsidRPr="00362517" w:rsidRDefault="00D8365A" w:rsidP="00BF6BC7">
            <w:pPr>
              <w:pStyle w:val="BodyText"/>
            </w:pPr>
            <w:r w:rsidRPr="00362517">
              <w:t>Iowa</w:t>
            </w:r>
            <w:r w:rsidRPr="00362517">
              <w:rPr>
                <w:rFonts w:cs="Times New Roman"/>
                <w:sz w:val="22"/>
                <w:szCs w:val="22"/>
                <w:vertAlign w:val="superscript"/>
              </w:rPr>
              <w:t xml:space="preserve"> 4</w:t>
            </w:r>
          </w:p>
        </w:tc>
        <w:tc>
          <w:tcPr>
            <w:tcW w:w="1565" w:type="dxa"/>
          </w:tcPr>
          <w:p w14:paraId="39673B60" w14:textId="77777777" w:rsidR="00D8365A" w:rsidRPr="00362517" w:rsidRDefault="00D8365A" w:rsidP="00BF6BC7">
            <w:pPr>
              <w:tabs>
                <w:tab w:val="decimal" w:pos="1135"/>
              </w:tabs>
            </w:pPr>
            <w:r w:rsidRPr="00362517">
              <w:t>0</w:t>
            </w:r>
          </w:p>
        </w:tc>
        <w:tc>
          <w:tcPr>
            <w:tcW w:w="1964" w:type="dxa"/>
          </w:tcPr>
          <w:p w14:paraId="485D9503" w14:textId="77777777" w:rsidR="00D8365A" w:rsidRPr="00362517" w:rsidRDefault="00D8365A" w:rsidP="00BF6BC7">
            <w:pPr>
              <w:tabs>
                <w:tab w:val="decimal" w:pos="1223"/>
              </w:tabs>
            </w:pPr>
            <w:r w:rsidRPr="00362517">
              <w:t>0</w:t>
            </w:r>
          </w:p>
        </w:tc>
        <w:tc>
          <w:tcPr>
            <w:tcW w:w="1964" w:type="dxa"/>
          </w:tcPr>
          <w:p w14:paraId="492A6456" w14:textId="77777777" w:rsidR="00D8365A" w:rsidRPr="00362517" w:rsidRDefault="00D8365A" w:rsidP="00BF6BC7">
            <w:pPr>
              <w:tabs>
                <w:tab w:val="decimal" w:pos="1238"/>
              </w:tabs>
            </w:pPr>
            <w:r w:rsidRPr="00362517">
              <w:t>0</w:t>
            </w:r>
          </w:p>
        </w:tc>
        <w:tc>
          <w:tcPr>
            <w:tcW w:w="1622" w:type="dxa"/>
          </w:tcPr>
          <w:p w14:paraId="7A5825AF" w14:textId="77777777" w:rsidR="00D8365A" w:rsidRPr="00362517" w:rsidRDefault="00D8365A" w:rsidP="00BF6BC7">
            <w:pPr>
              <w:tabs>
                <w:tab w:val="decimal" w:pos="969"/>
              </w:tabs>
            </w:pPr>
            <w:r w:rsidRPr="00362517">
              <w:t>0</w:t>
            </w:r>
          </w:p>
        </w:tc>
      </w:tr>
      <w:tr w:rsidR="00D8365A" w:rsidRPr="00362517" w14:paraId="622C13E3" w14:textId="77777777" w:rsidTr="007A2164">
        <w:tc>
          <w:tcPr>
            <w:tcW w:w="2245" w:type="dxa"/>
          </w:tcPr>
          <w:p w14:paraId="06E53760" w14:textId="77777777" w:rsidR="00D8365A" w:rsidRPr="00362517" w:rsidRDefault="00D8365A" w:rsidP="00BF6BC7">
            <w:pPr>
              <w:pStyle w:val="BodyText"/>
            </w:pPr>
            <w:r w:rsidRPr="00362517">
              <w:t>Kansas</w:t>
            </w:r>
            <w:r w:rsidRPr="00362517">
              <w:rPr>
                <w:rFonts w:cs="Times New Roman"/>
                <w:sz w:val="22"/>
                <w:szCs w:val="22"/>
                <w:vertAlign w:val="superscript"/>
              </w:rPr>
              <w:t xml:space="preserve"> 2</w:t>
            </w:r>
          </w:p>
        </w:tc>
        <w:tc>
          <w:tcPr>
            <w:tcW w:w="1565" w:type="dxa"/>
          </w:tcPr>
          <w:p w14:paraId="228A00A5" w14:textId="77777777" w:rsidR="00D8365A" w:rsidRPr="00362517" w:rsidRDefault="00D8365A" w:rsidP="00BF6BC7">
            <w:pPr>
              <w:tabs>
                <w:tab w:val="decimal" w:pos="1135"/>
              </w:tabs>
            </w:pPr>
            <w:r w:rsidRPr="00362517">
              <w:t>15,704</w:t>
            </w:r>
          </w:p>
        </w:tc>
        <w:tc>
          <w:tcPr>
            <w:tcW w:w="1964" w:type="dxa"/>
          </w:tcPr>
          <w:p w14:paraId="23477835" w14:textId="77777777" w:rsidR="00D8365A" w:rsidRPr="00362517" w:rsidRDefault="00D8365A" w:rsidP="00BF6BC7">
            <w:pPr>
              <w:tabs>
                <w:tab w:val="decimal" w:pos="1223"/>
              </w:tabs>
            </w:pPr>
            <w:r w:rsidRPr="00362517">
              <w:t>32</w:t>
            </w:r>
          </w:p>
        </w:tc>
        <w:tc>
          <w:tcPr>
            <w:tcW w:w="1964" w:type="dxa"/>
          </w:tcPr>
          <w:p w14:paraId="07DB60EC" w14:textId="77777777" w:rsidR="00D8365A" w:rsidRPr="00362517" w:rsidRDefault="00D8365A" w:rsidP="00BF6BC7">
            <w:pPr>
              <w:tabs>
                <w:tab w:val="decimal" w:pos="1238"/>
              </w:tabs>
            </w:pPr>
            <w:r w:rsidRPr="00362517">
              <w:t>15,672</w:t>
            </w:r>
          </w:p>
        </w:tc>
        <w:tc>
          <w:tcPr>
            <w:tcW w:w="1622" w:type="dxa"/>
          </w:tcPr>
          <w:p w14:paraId="06220525" w14:textId="77777777" w:rsidR="00D8365A" w:rsidRPr="00362517" w:rsidRDefault="00D8365A" w:rsidP="00BF6BC7">
            <w:pPr>
              <w:tabs>
                <w:tab w:val="decimal" w:pos="969"/>
              </w:tabs>
            </w:pPr>
            <w:r w:rsidRPr="00362517">
              <w:t>102</w:t>
            </w:r>
          </w:p>
        </w:tc>
      </w:tr>
      <w:tr w:rsidR="00D8365A" w:rsidRPr="00362517" w14:paraId="13724E62" w14:textId="77777777" w:rsidTr="007A2164">
        <w:tc>
          <w:tcPr>
            <w:tcW w:w="2245" w:type="dxa"/>
          </w:tcPr>
          <w:p w14:paraId="5003D530" w14:textId="77777777" w:rsidR="00D8365A" w:rsidRPr="00362517" w:rsidRDefault="00D8365A" w:rsidP="00BF6BC7">
            <w:pPr>
              <w:pStyle w:val="BodyText"/>
            </w:pPr>
            <w:r w:rsidRPr="00362517">
              <w:t>Kentucky</w:t>
            </w:r>
            <w:r w:rsidRPr="00362517">
              <w:rPr>
                <w:rFonts w:cs="Times New Roman"/>
                <w:sz w:val="22"/>
                <w:szCs w:val="22"/>
                <w:vertAlign w:val="superscript"/>
              </w:rPr>
              <w:t xml:space="preserve"> 3</w:t>
            </w:r>
          </w:p>
        </w:tc>
        <w:tc>
          <w:tcPr>
            <w:tcW w:w="1565" w:type="dxa"/>
          </w:tcPr>
          <w:p w14:paraId="3E167797" w14:textId="77777777" w:rsidR="00D8365A" w:rsidRPr="00362517" w:rsidRDefault="00D8365A" w:rsidP="00BF6BC7">
            <w:pPr>
              <w:tabs>
                <w:tab w:val="decimal" w:pos="1135"/>
              </w:tabs>
            </w:pPr>
            <w:r w:rsidRPr="00362517">
              <w:t>28,281</w:t>
            </w:r>
          </w:p>
        </w:tc>
        <w:tc>
          <w:tcPr>
            <w:tcW w:w="1964" w:type="dxa"/>
          </w:tcPr>
          <w:p w14:paraId="7EF6BDEF" w14:textId="77777777" w:rsidR="00D8365A" w:rsidRPr="00362517" w:rsidRDefault="00D8365A" w:rsidP="00BF6BC7">
            <w:pPr>
              <w:tabs>
                <w:tab w:val="decimal" w:pos="1223"/>
              </w:tabs>
            </w:pPr>
            <w:r w:rsidRPr="00362517">
              <w:t>628</w:t>
            </w:r>
          </w:p>
        </w:tc>
        <w:tc>
          <w:tcPr>
            <w:tcW w:w="1964" w:type="dxa"/>
          </w:tcPr>
          <w:p w14:paraId="5AE1711C" w14:textId="77777777" w:rsidR="00D8365A" w:rsidRPr="00362517" w:rsidRDefault="00D8365A" w:rsidP="00BF6BC7">
            <w:pPr>
              <w:tabs>
                <w:tab w:val="decimal" w:pos="1238"/>
              </w:tabs>
            </w:pPr>
            <w:r w:rsidRPr="00362517">
              <w:t>27,653</w:t>
            </w:r>
          </w:p>
        </w:tc>
        <w:tc>
          <w:tcPr>
            <w:tcW w:w="1622" w:type="dxa"/>
          </w:tcPr>
          <w:p w14:paraId="15BD1F9C" w14:textId="77777777" w:rsidR="00D8365A" w:rsidRPr="00362517" w:rsidRDefault="00D8365A" w:rsidP="00BF6BC7">
            <w:pPr>
              <w:tabs>
                <w:tab w:val="decimal" w:pos="969"/>
              </w:tabs>
            </w:pPr>
            <w:r w:rsidRPr="00362517">
              <w:t>184</w:t>
            </w:r>
          </w:p>
        </w:tc>
      </w:tr>
      <w:tr w:rsidR="00D8365A" w:rsidRPr="00362517" w14:paraId="470E98E3" w14:textId="77777777" w:rsidTr="007A2164">
        <w:tc>
          <w:tcPr>
            <w:tcW w:w="2245" w:type="dxa"/>
          </w:tcPr>
          <w:p w14:paraId="2335CD9C" w14:textId="77777777" w:rsidR="00D8365A" w:rsidRPr="00362517" w:rsidRDefault="00D8365A" w:rsidP="00BF6BC7">
            <w:pPr>
              <w:pStyle w:val="BodyText"/>
            </w:pPr>
            <w:r w:rsidRPr="00362517">
              <w:t>Louisiana</w:t>
            </w:r>
            <w:r w:rsidRPr="00362517">
              <w:rPr>
                <w:rFonts w:cs="Times New Roman"/>
                <w:sz w:val="22"/>
                <w:szCs w:val="22"/>
                <w:vertAlign w:val="superscript"/>
              </w:rPr>
              <w:t xml:space="preserve"> 3</w:t>
            </w:r>
          </w:p>
        </w:tc>
        <w:tc>
          <w:tcPr>
            <w:tcW w:w="1565" w:type="dxa"/>
          </w:tcPr>
          <w:p w14:paraId="621DA280" w14:textId="77777777" w:rsidR="00D8365A" w:rsidRPr="00362517" w:rsidRDefault="00D8365A" w:rsidP="00BF6BC7">
            <w:pPr>
              <w:tabs>
                <w:tab w:val="decimal" w:pos="1135"/>
              </w:tabs>
            </w:pPr>
            <w:r w:rsidRPr="00362517">
              <w:t>9,327</w:t>
            </w:r>
          </w:p>
        </w:tc>
        <w:tc>
          <w:tcPr>
            <w:tcW w:w="1964" w:type="dxa"/>
          </w:tcPr>
          <w:p w14:paraId="25EFF79F" w14:textId="77777777" w:rsidR="00D8365A" w:rsidRPr="00362517" w:rsidRDefault="00D8365A" w:rsidP="00BF6BC7">
            <w:pPr>
              <w:tabs>
                <w:tab w:val="decimal" w:pos="1223"/>
              </w:tabs>
            </w:pPr>
            <w:r w:rsidRPr="00362517">
              <w:t>118</w:t>
            </w:r>
          </w:p>
        </w:tc>
        <w:tc>
          <w:tcPr>
            <w:tcW w:w="1964" w:type="dxa"/>
          </w:tcPr>
          <w:p w14:paraId="01FB508E" w14:textId="77777777" w:rsidR="00D8365A" w:rsidRPr="00362517" w:rsidRDefault="00D8365A" w:rsidP="00BF6BC7">
            <w:pPr>
              <w:tabs>
                <w:tab w:val="decimal" w:pos="1238"/>
              </w:tabs>
            </w:pPr>
            <w:r w:rsidRPr="00362517">
              <w:t>9,209</w:t>
            </w:r>
          </w:p>
        </w:tc>
        <w:tc>
          <w:tcPr>
            <w:tcW w:w="1622" w:type="dxa"/>
          </w:tcPr>
          <w:p w14:paraId="214DF722" w14:textId="77777777" w:rsidR="00D8365A" w:rsidRPr="00362517" w:rsidRDefault="00D8365A" w:rsidP="00BF6BC7">
            <w:pPr>
              <w:tabs>
                <w:tab w:val="decimal" w:pos="969"/>
              </w:tabs>
            </w:pPr>
            <w:r w:rsidRPr="00362517">
              <w:t>61</w:t>
            </w:r>
          </w:p>
        </w:tc>
      </w:tr>
      <w:tr w:rsidR="00D8365A" w:rsidRPr="00362517" w14:paraId="171C7453" w14:textId="77777777" w:rsidTr="007A2164">
        <w:tc>
          <w:tcPr>
            <w:tcW w:w="2245" w:type="dxa"/>
          </w:tcPr>
          <w:p w14:paraId="160C1C87" w14:textId="77777777" w:rsidR="00D8365A" w:rsidRPr="00362517" w:rsidRDefault="00D8365A" w:rsidP="00BF6BC7">
            <w:pPr>
              <w:pStyle w:val="BodyText"/>
            </w:pPr>
            <w:r w:rsidRPr="00362517">
              <w:t>Maine</w:t>
            </w:r>
            <w:r w:rsidRPr="00362517">
              <w:rPr>
                <w:rFonts w:cs="Times New Roman"/>
                <w:sz w:val="22"/>
                <w:szCs w:val="22"/>
                <w:vertAlign w:val="superscript"/>
              </w:rPr>
              <w:t xml:space="preserve"> 1</w:t>
            </w:r>
          </w:p>
        </w:tc>
        <w:tc>
          <w:tcPr>
            <w:tcW w:w="1565" w:type="dxa"/>
          </w:tcPr>
          <w:p w14:paraId="69AF1546" w14:textId="77777777" w:rsidR="00D8365A" w:rsidRPr="00362517" w:rsidRDefault="00D8365A" w:rsidP="00BF6BC7">
            <w:pPr>
              <w:tabs>
                <w:tab w:val="decimal" w:pos="1135"/>
              </w:tabs>
            </w:pPr>
            <w:r w:rsidRPr="00362517">
              <w:t>2,744</w:t>
            </w:r>
          </w:p>
        </w:tc>
        <w:tc>
          <w:tcPr>
            <w:tcW w:w="1964" w:type="dxa"/>
          </w:tcPr>
          <w:p w14:paraId="7CCFFB0A" w14:textId="77777777" w:rsidR="00D8365A" w:rsidRPr="00362517" w:rsidRDefault="00D8365A" w:rsidP="00BF6BC7">
            <w:pPr>
              <w:tabs>
                <w:tab w:val="decimal" w:pos="1223"/>
              </w:tabs>
            </w:pPr>
            <w:r w:rsidRPr="00362517">
              <w:t>0</w:t>
            </w:r>
          </w:p>
        </w:tc>
        <w:tc>
          <w:tcPr>
            <w:tcW w:w="1964" w:type="dxa"/>
          </w:tcPr>
          <w:p w14:paraId="51DE9BF4" w14:textId="77777777" w:rsidR="00D8365A" w:rsidRPr="00362517" w:rsidRDefault="00D8365A" w:rsidP="00BF6BC7">
            <w:pPr>
              <w:tabs>
                <w:tab w:val="decimal" w:pos="1238"/>
              </w:tabs>
            </w:pPr>
            <w:r w:rsidRPr="00362517">
              <w:t>2,744</w:t>
            </w:r>
          </w:p>
        </w:tc>
        <w:tc>
          <w:tcPr>
            <w:tcW w:w="1622" w:type="dxa"/>
          </w:tcPr>
          <w:p w14:paraId="6411BA14" w14:textId="77777777" w:rsidR="00D8365A" w:rsidRPr="00362517" w:rsidRDefault="00D8365A" w:rsidP="00BF6BC7">
            <w:pPr>
              <w:tabs>
                <w:tab w:val="decimal" w:pos="969"/>
              </w:tabs>
            </w:pPr>
            <w:r w:rsidRPr="00362517">
              <w:t>18</w:t>
            </w:r>
          </w:p>
        </w:tc>
      </w:tr>
      <w:tr w:rsidR="00D8365A" w:rsidRPr="00362517" w14:paraId="509EC0E1" w14:textId="77777777" w:rsidTr="007A2164">
        <w:tc>
          <w:tcPr>
            <w:tcW w:w="2245" w:type="dxa"/>
          </w:tcPr>
          <w:p w14:paraId="39A74C93" w14:textId="77777777" w:rsidR="00D8365A" w:rsidRPr="00362517" w:rsidRDefault="00D8365A" w:rsidP="00BF6BC7">
            <w:pPr>
              <w:pStyle w:val="BodyText"/>
            </w:pPr>
            <w:r w:rsidRPr="00362517">
              <w:t>Maryland</w:t>
            </w:r>
            <w:r w:rsidRPr="00362517">
              <w:rPr>
                <w:rFonts w:cs="Times New Roman"/>
                <w:sz w:val="22"/>
                <w:szCs w:val="22"/>
                <w:vertAlign w:val="superscript"/>
              </w:rPr>
              <w:t xml:space="preserve"> 1 5</w:t>
            </w:r>
          </w:p>
        </w:tc>
        <w:tc>
          <w:tcPr>
            <w:tcW w:w="1565" w:type="dxa"/>
          </w:tcPr>
          <w:p w14:paraId="6231749F" w14:textId="77777777" w:rsidR="00D8365A" w:rsidRPr="00362517" w:rsidRDefault="00D8365A" w:rsidP="00BF6BC7">
            <w:pPr>
              <w:tabs>
                <w:tab w:val="decimal" w:pos="1135"/>
              </w:tabs>
            </w:pPr>
            <w:r w:rsidRPr="00362517">
              <w:t>16,381</w:t>
            </w:r>
          </w:p>
        </w:tc>
        <w:tc>
          <w:tcPr>
            <w:tcW w:w="1964" w:type="dxa"/>
          </w:tcPr>
          <w:p w14:paraId="1E53F412" w14:textId="77777777" w:rsidR="00D8365A" w:rsidRPr="00362517" w:rsidRDefault="00D8365A" w:rsidP="00BF6BC7">
            <w:pPr>
              <w:tabs>
                <w:tab w:val="decimal" w:pos="1223"/>
              </w:tabs>
            </w:pPr>
            <w:r w:rsidRPr="00362517">
              <w:t>0</w:t>
            </w:r>
          </w:p>
        </w:tc>
        <w:tc>
          <w:tcPr>
            <w:tcW w:w="1964" w:type="dxa"/>
          </w:tcPr>
          <w:p w14:paraId="15C71721" w14:textId="77777777" w:rsidR="00D8365A" w:rsidRPr="00362517" w:rsidRDefault="00D8365A" w:rsidP="00BF6BC7">
            <w:pPr>
              <w:tabs>
                <w:tab w:val="decimal" w:pos="1238"/>
              </w:tabs>
            </w:pPr>
            <w:r w:rsidRPr="00362517">
              <w:t>16,381</w:t>
            </w:r>
          </w:p>
        </w:tc>
        <w:tc>
          <w:tcPr>
            <w:tcW w:w="1622" w:type="dxa"/>
          </w:tcPr>
          <w:p w14:paraId="11CF167F" w14:textId="77777777" w:rsidR="00D8365A" w:rsidRPr="00362517" w:rsidRDefault="00D8365A" w:rsidP="00BF6BC7">
            <w:pPr>
              <w:tabs>
                <w:tab w:val="decimal" w:pos="969"/>
              </w:tabs>
            </w:pPr>
            <w:r w:rsidRPr="00362517">
              <w:t>0</w:t>
            </w:r>
          </w:p>
        </w:tc>
      </w:tr>
      <w:tr w:rsidR="00D8365A" w:rsidRPr="00362517" w14:paraId="36293EF6" w14:textId="77777777" w:rsidTr="007A2164">
        <w:tc>
          <w:tcPr>
            <w:tcW w:w="2245" w:type="dxa"/>
          </w:tcPr>
          <w:p w14:paraId="755A6129" w14:textId="77777777" w:rsidR="00D8365A" w:rsidRPr="00362517" w:rsidRDefault="00D8365A" w:rsidP="00BF6BC7">
            <w:pPr>
              <w:pStyle w:val="BodyText"/>
            </w:pPr>
            <w:r w:rsidRPr="00362517">
              <w:t>Massachusetts</w:t>
            </w:r>
            <w:r w:rsidRPr="00362517">
              <w:rPr>
                <w:rFonts w:cs="Times New Roman"/>
                <w:sz w:val="22"/>
                <w:szCs w:val="22"/>
                <w:vertAlign w:val="superscript"/>
              </w:rPr>
              <w:t xml:space="preserve"> 3 5</w:t>
            </w:r>
          </w:p>
        </w:tc>
        <w:tc>
          <w:tcPr>
            <w:tcW w:w="1565" w:type="dxa"/>
          </w:tcPr>
          <w:p w14:paraId="274E518A" w14:textId="77777777" w:rsidR="00D8365A" w:rsidRPr="00362517" w:rsidRDefault="00D8365A" w:rsidP="00BF6BC7">
            <w:pPr>
              <w:tabs>
                <w:tab w:val="decimal" w:pos="1135"/>
              </w:tabs>
            </w:pPr>
            <w:r w:rsidRPr="00362517">
              <w:t>6,910</w:t>
            </w:r>
          </w:p>
        </w:tc>
        <w:tc>
          <w:tcPr>
            <w:tcW w:w="1964" w:type="dxa"/>
          </w:tcPr>
          <w:p w14:paraId="029AE77D" w14:textId="77777777" w:rsidR="00D8365A" w:rsidRPr="00362517" w:rsidRDefault="00D8365A" w:rsidP="00BF6BC7">
            <w:pPr>
              <w:tabs>
                <w:tab w:val="decimal" w:pos="1223"/>
              </w:tabs>
            </w:pPr>
            <w:r w:rsidRPr="00362517">
              <w:t>0</w:t>
            </w:r>
          </w:p>
        </w:tc>
        <w:tc>
          <w:tcPr>
            <w:tcW w:w="1964" w:type="dxa"/>
          </w:tcPr>
          <w:p w14:paraId="0BAF5D69" w14:textId="77777777" w:rsidR="00D8365A" w:rsidRPr="00362517" w:rsidRDefault="00D8365A" w:rsidP="00BF6BC7">
            <w:pPr>
              <w:tabs>
                <w:tab w:val="decimal" w:pos="1238"/>
              </w:tabs>
            </w:pPr>
            <w:r w:rsidRPr="00362517">
              <w:t>6,910</w:t>
            </w:r>
          </w:p>
        </w:tc>
        <w:tc>
          <w:tcPr>
            <w:tcW w:w="1622" w:type="dxa"/>
          </w:tcPr>
          <w:p w14:paraId="619F450F" w14:textId="77777777" w:rsidR="00D8365A" w:rsidRPr="00362517" w:rsidRDefault="00D8365A" w:rsidP="00BF6BC7">
            <w:pPr>
              <w:tabs>
                <w:tab w:val="decimal" w:pos="969"/>
              </w:tabs>
            </w:pPr>
            <w:r w:rsidRPr="00362517">
              <w:t>0</w:t>
            </w:r>
          </w:p>
        </w:tc>
      </w:tr>
      <w:tr w:rsidR="00D8365A" w:rsidRPr="00362517" w14:paraId="407F62DD" w14:textId="77777777" w:rsidTr="007A2164">
        <w:tc>
          <w:tcPr>
            <w:tcW w:w="2245" w:type="dxa"/>
          </w:tcPr>
          <w:p w14:paraId="67612AD9" w14:textId="77777777" w:rsidR="00D8365A" w:rsidRPr="00362517" w:rsidRDefault="00D8365A" w:rsidP="00BF6BC7">
            <w:pPr>
              <w:pStyle w:val="BodyText"/>
            </w:pPr>
            <w:r w:rsidRPr="00362517">
              <w:t>Michigan</w:t>
            </w:r>
            <w:r w:rsidRPr="00362517">
              <w:rPr>
                <w:rFonts w:cs="Times New Roman"/>
                <w:sz w:val="22"/>
                <w:szCs w:val="22"/>
                <w:vertAlign w:val="superscript"/>
              </w:rPr>
              <w:t xml:space="preserve"> 2</w:t>
            </w:r>
          </w:p>
        </w:tc>
        <w:tc>
          <w:tcPr>
            <w:tcW w:w="1565" w:type="dxa"/>
          </w:tcPr>
          <w:p w14:paraId="15B5AB9D" w14:textId="77777777" w:rsidR="00D8365A" w:rsidRPr="00362517" w:rsidRDefault="00D8365A" w:rsidP="00BF6BC7">
            <w:pPr>
              <w:tabs>
                <w:tab w:val="decimal" w:pos="1135"/>
              </w:tabs>
            </w:pPr>
            <w:r w:rsidRPr="00362517">
              <w:t>37,164</w:t>
            </w:r>
          </w:p>
        </w:tc>
        <w:tc>
          <w:tcPr>
            <w:tcW w:w="1964" w:type="dxa"/>
          </w:tcPr>
          <w:p w14:paraId="75856546" w14:textId="77777777" w:rsidR="00D8365A" w:rsidRPr="00362517" w:rsidRDefault="00D8365A" w:rsidP="00BF6BC7">
            <w:pPr>
              <w:tabs>
                <w:tab w:val="decimal" w:pos="1223"/>
              </w:tabs>
            </w:pPr>
            <w:r w:rsidRPr="00362517">
              <w:t>72</w:t>
            </w:r>
          </w:p>
        </w:tc>
        <w:tc>
          <w:tcPr>
            <w:tcW w:w="1964" w:type="dxa"/>
          </w:tcPr>
          <w:p w14:paraId="198B13F6" w14:textId="77777777" w:rsidR="00D8365A" w:rsidRPr="00362517" w:rsidRDefault="00D8365A" w:rsidP="00BF6BC7">
            <w:pPr>
              <w:tabs>
                <w:tab w:val="decimal" w:pos="1238"/>
              </w:tabs>
            </w:pPr>
            <w:r w:rsidRPr="00362517">
              <w:t>37,092</w:t>
            </w:r>
          </w:p>
        </w:tc>
        <w:tc>
          <w:tcPr>
            <w:tcW w:w="1622" w:type="dxa"/>
          </w:tcPr>
          <w:p w14:paraId="07897CA4" w14:textId="77777777" w:rsidR="00D8365A" w:rsidRPr="00362517" w:rsidRDefault="00D8365A" w:rsidP="00BF6BC7">
            <w:pPr>
              <w:tabs>
                <w:tab w:val="decimal" w:pos="969"/>
              </w:tabs>
            </w:pPr>
            <w:r w:rsidRPr="00362517">
              <w:t>242</w:t>
            </w:r>
          </w:p>
        </w:tc>
      </w:tr>
      <w:tr w:rsidR="00D8365A" w:rsidRPr="00362517" w14:paraId="2C1DE534" w14:textId="77777777" w:rsidTr="007A2164">
        <w:tc>
          <w:tcPr>
            <w:tcW w:w="2245" w:type="dxa"/>
          </w:tcPr>
          <w:p w14:paraId="72009678" w14:textId="77777777" w:rsidR="00D8365A" w:rsidRPr="00362517" w:rsidRDefault="00D8365A" w:rsidP="00BF6BC7">
            <w:pPr>
              <w:pStyle w:val="BodyText"/>
            </w:pPr>
            <w:r w:rsidRPr="00362517">
              <w:t>Minnesota</w:t>
            </w:r>
            <w:r w:rsidRPr="00362517">
              <w:rPr>
                <w:rFonts w:cs="Times New Roman"/>
                <w:sz w:val="22"/>
                <w:szCs w:val="22"/>
                <w:vertAlign w:val="superscript"/>
              </w:rPr>
              <w:t xml:space="preserve"> 4</w:t>
            </w:r>
          </w:p>
        </w:tc>
        <w:tc>
          <w:tcPr>
            <w:tcW w:w="1565" w:type="dxa"/>
          </w:tcPr>
          <w:p w14:paraId="1B995FCC" w14:textId="77777777" w:rsidR="00D8365A" w:rsidRPr="00362517" w:rsidRDefault="00D8365A" w:rsidP="00BF6BC7">
            <w:pPr>
              <w:tabs>
                <w:tab w:val="decimal" w:pos="1135"/>
              </w:tabs>
            </w:pPr>
            <w:r w:rsidRPr="00362517">
              <w:t>0</w:t>
            </w:r>
          </w:p>
        </w:tc>
        <w:tc>
          <w:tcPr>
            <w:tcW w:w="1964" w:type="dxa"/>
          </w:tcPr>
          <w:p w14:paraId="65FCE5A8" w14:textId="77777777" w:rsidR="00D8365A" w:rsidRPr="00362517" w:rsidRDefault="00D8365A" w:rsidP="00BF6BC7">
            <w:pPr>
              <w:tabs>
                <w:tab w:val="decimal" w:pos="1223"/>
              </w:tabs>
            </w:pPr>
            <w:r w:rsidRPr="00362517">
              <w:t>0</w:t>
            </w:r>
          </w:p>
        </w:tc>
        <w:tc>
          <w:tcPr>
            <w:tcW w:w="1964" w:type="dxa"/>
          </w:tcPr>
          <w:p w14:paraId="320341FD" w14:textId="77777777" w:rsidR="00D8365A" w:rsidRPr="00362517" w:rsidRDefault="00D8365A" w:rsidP="00BF6BC7">
            <w:pPr>
              <w:tabs>
                <w:tab w:val="decimal" w:pos="1238"/>
              </w:tabs>
            </w:pPr>
            <w:r w:rsidRPr="00362517">
              <w:t>0</w:t>
            </w:r>
          </w:p>
        </w:tc>
        <w:tc>
          <w:tcPr>
            <w:tcW w:w="1622" w:type="dxa"/>
          </w:tcPr>
          <w:p w14:paraId="4207463A" w14:textId="77777777" w:rsidR="00D8365A" w:rsidRPr="00362517" w:rsidRDefault="00D8365A" w:rsidP="00BF6BC7">
            <w:pPr>
              <w:tabs>
                <w:tab w:val="decimal" w:pos="969"/>
              </w:tabs>
            </w:pPr>
            <w:r w:rsidRPr="00362517">
              <w:t>0</w:t>
            </w:r>
          </w:p>
        </w:tc>
      </w:tr>
      <w:tr w:rsidR="00D8365A" w:rsidRPr="00362517" w14:paraId="5FB93E60" w14:textId="77777777" w:rsidTr="007A2164">
        <w:tc>
          <w:tcPr>
            <w:tcW w:w="2245" w:type="dxa"/>
          </w:tcPr>
          <w:p w14:paraId="11EED655" w14:textId="77777777" w:rsidR="00D8365A" w:rsidRPr="00362517" w:rsidRDefault="00D8365A" w:rsidP="00BF6BC7">
            <w:pPr>
              <w:pStyle w:val="BodyText"/>
            </w:pPr>
            <w:r w:rsidRPr="00362517">
              <w:t>Mississippi</w:t>
            </w:r>
            <w:r w:rsidRPr="00362517">
              <w:rPr>
                <w:rFonts w:cs="Times New Roman"/>
                <w:sz w:val="22"/>
                <w:szCs w:val="22"/>
                <w:vertAlign w:val="superscript"/>
              </w:rPr>
              <w:t xml:space="preserve"> 1</w:t>
            </w:r>
          </w:p>
        </w:tc>
        <w:tc>
          <w:tcPr>
            <w:tcW w:w="1565" w:type="dxa"/>
          </w:tcPr>
          <w:p w14:paraId="12A13793" w14:textId="77777777" w:rsidR="00D8365A" w:rsidRPr="00362517" w:rsidRDefault="00D8365A" w:rsidP="00BF6BC7">
            <w:pPr>
              <w:tabs>
                <w:tab w:val="decimal" w:pos="1135"/>
              </w:tabs>
            </w:pPr>
            <w:r w:rsidRPr="00362517">
              <w:t>2,857</w:t>
            </w:r>
          </w:p>
        </w:tc>
        <w:tc>
          <w:tcPr>
            <w:tcW w:w="1964" w:type="dxa"/>
          </w:tcPr>
          <w:p w14:paraId="4DDDBAD3" w14:textId="77777777" w:rsidR="00D8365A" w:rsidRPr="00362517" w:rsidRDefault="00D8365A" w:rsidP="00BF6BC7">
            <w:pPr>
              <w:tabs>
                <w:tab w:val="decimal" w:pos="1223"/>
              </w:tabs>
            </w:pPr>
            <w:r w:rsidRPr="00362517">
              <w:t>32</w:t>
            </w:r>
          </w:p>
        </w:tc>
        <w:tc>
          <w:tcPr>
            <w:tcW w:w="1964" w:type="dxa"/>
          </w:tcPr>
          <w:p w14:paraId="4E5501E0" w14:textId="77777777" w:rsidR="00D8365A" w:rsidRPr="00362517" w:rsidRDefault="00D8365A" w:rsidP="00BF6BC7">
            <w:pPr>
              <w:tabs>
                <w:tab w:val="decimal" w:pos="1238"/>
              </w:tabs>
            </w:pPr>
            <w:r w:rsidRPr="00362517">
              <w:t>2,825</w:t>
            </w:r>
          </w:p>
        </w:tc>
        <w:tc>
          <w:tcPr>
            <w:tcW w:w="1622" w:type="dxa"/>
          </w:tcPr>
          <w:p w14:paraId="2E35C452" w14:textId="77777777" w:rsidR="00D8365A" w:rsidRPr="00362517" w:rsidRDefault="00D8365A" w:rsidP="00BF6BC7">
            <w:pPr>
              <w:tabs>
                <w:tab w:val="decimal" w:pos="969"/>
              </w:tabs>
            </w:pPr>
            <w:r w:rsidRPr="00362517">
              <w:t>19</w:t>
            </w:r>
          </w:p>
        </w:tc>
      </w:tr>
      <w:tr w:rsidR="00D8365A" w:rsidRPr="00362517" w14:paraId="687932BB" w14:textId="77777777" w:rsidTr="007A2164">
        <w:tc>
          <w:tcPr>
            <w:tcW w:w="2245" w:type="dxa"/>
          </w:tcPr>
          <w:p w14:paraId="609AD8BE" w14:textId="77777777" w:rsidR="00D8365A" w:rsidRPr="00362517" w:rsidRDefault="00D8365A" w:rsidP="00BF6BC7">
            <w:pPr>
              <w:pStyle w:val="BodyText"/>
            </w:pPr>
            <w:r w:rsidRPr="00362517">
              <w:t>Missouri</w:t>
            </w:r>
            <w:r w:rsidRPr="00362517">
              <w:rPr>
                <w:rFonts w:cs="Times New Roman"/>
                <w:sz w:val="22"/>
                <w:szCs w:val="22"/>
                <w:vertAlign w:val="superscript"/>
              </w:rPr>
              <w:t xml:space="preserve"> 3</w:t>
            </w:r>
          </w:p>
        </w:tc>
        <w:tc>
          <w:tcPr>
            <w:tcW w:w="1565" w:type="dxa"/>
          </w:tcPr>
          <w:p w14:paraId="2F79D222" w14:textId="77777777" w:rsidR="00D8365A" w:rsidRPr="00362517" w:rsidRDefault="00D8365A" w:rsidP="00BF6BC7">
            <w:pPr>
              <w:tabs>
                <w:tab w:val="decimal" w:pos="1135"/>
              </w:tabs>
            </w:pPr>
            <w:r w:rsidRPr="00362517">
              <w:t>20,326</w:t>
            </w:r>
          </w:p>
        </w:tc>
        <w:tc>
          <w:tcPr>
            <w:tcW w:w="1964" w:type="dxa"/>
          </w:tcPr>
          <w:p w14:paraId="6F7F2569" w14:textId="77777777" w:rsidR="00D8365A" w:rsidRPr="00362517" w:rsidRDefault="00D8365A" w:rsidP="00BF6BC7">
            <w:pPr>
              <w:tabs>
                <w:tab w:val="decimal" w:pos="1223"/>
              </w:tabs>
            </w:pPr>
            <w:r w:rsidRPr="00362517">
              <w:t>291</w:t>
            </w:r>
          </w:p>
        </w:tc>
        <w:tc>
          <w:tcPr>
            <w:tcW w:w="1964" w:type="dxa"/>
          </w:tcPr>
          <w:p w14:paraId="7BCB1CC9" w14:textId="77777777" w:rsidR="00D8365A" w:rsidRPr="00362517" w:rsidRDefault="00D8365A" w:rsidP="00BF6BC7">
            <w:pPr>
              <w:tabs>
                <w:tab w:val="decimal" w:pos="1238"/>
              </w:tabs>
            </w:pPr>
            <w:r w:rsidRPr="00362517">
              <w:t>20,035</w:t>
            </w:r>
          </w:p>
        </w:tc>
        <w:tc>
          <w:tcPr>
            <w:tcW w:w="1622" w:type="dxa"/>
          </w:tcPr>
          <w:p w14:paraId="3A1C3DBC" w14:textId="77777777" w:rsidR="00D8365A" w:rsidRPr="00362517" w:rsidRDefault="00D8365A" w:rsidP="00BF6BC7">
            <w:pPr>
              <w:tabs>
                <w:tab w:val="decimal" w:pos="969"/>
              </w:tabs>
            </w:pPr>
            <w:r w:rsidRPr="00362517">
              <w:t>133</w:t>
            </w:r>
          </w:p>
        </w:tc>
      </w:tr>
      <w:tr w:rsidR="00D8365A" w:rsidRPr="00362517" w14:paraId="4B081A14" w14:textId="77777777" w:rsidTr="007A2164">
        <w:tc>
          <w:tcPr>
            <w:tcW w:w="2245" w:type="dxa"/>
          </w:tcPr>
          <w:p w14:paraId="0C9C1D2F" w14:textId="77777777" w:rsidR="00D8365A" w:rsidRPr="00362517" w:rsidRDefault="00D8365A" w:rsidP="00BF6BC7">
            <w:pPr>
              <w:pStyle w:val="BodyText"/>
            </w:pPr>
            <w:r w:rsidRPr="00362517">
              <w:t>Montana</w:t>
            </w:r>
            <w:r w:rsidRPr="00362517">
              <w:rPr>
                <w:rFonts w:cs="Times New Roman"/>
                <w:sz w:val="22"/>
                <w:szCs w:val="22"/>
                <w:vertAlign w:val="superscript"/>
              </w:rPr>
              <w:t xml:space="preserve"> 3</w:t>
            </w:r>
          </w:p>
        </w:tc>
        <w:tc>
          <w:tcPr>
            <w:tcW w:w="1565" w:type="dxa"/>
          </w:tcPr>
          <w:p w14:paraId="5C18411B" w14:textId="77777777" w:rsidR="00D8365A" w:rsidRPr="00362517" w:rsidRDefault="00D8365A" w:rsidP="00BF6BC7">
            <w:pPr>
              <w:tabs>
                <w:tab w:val="decimal" w:pos="1135"/>
              </w:tabs>
            </w:pPr>
            <w:r w:rsidRPr="00362517">
              <w:t>3,805</w:t>
            </w:r>
          </w:p>
        </w:tc>
        <w:tc>
          <w:tcPr>
            <w:tcW w:w="1964" w:type="dxa"/>
          </w:tcPr>
          <w:p w14:paraId="29868905" w14:textId="77777777" w:rsidR="00D8365A" w:rsidRPr="00362517" w:rsidRDefault="00D8365A" w:rsidP="00BF6BC7">
            <w:pPr>
              <w:tabs>
                <w:tab w:val="decimal" w:pos="1223"/>
              </w:tabs>
            </w:pPr>
            <w:r w:rsidRPr="00362517">
              <w:t>110</w:t>
            </w:r>
          </w:p>
        </w:tc>
        <w:tc>
          <w:tcPr>
            <w:tcW w:w="1964" w:type="dxa"/>
          </w:tcPr>
          <w:p w14:paraId="294340FC" w14:textId="77777777" w:rsidR="00D8365A" w:rsidRPr="00362517" w:rsidRDefault="00D8365A" w:rsidP="00BF6BC7">
            <w:pPr>
              <w:tabs>
                <w:tab w:val="decimal" w:pos="1238"/>
              </w:tabs>
            </w:pPr>
            <w:r w:rsidRPr="00362517">
              <w:t>3,695</w:t>
            </w:r>
          </w:p>
        </w:tc>
        <w:tc>
          <w:tcPr>
            <w:tcW w:w="1622" w:type="dxa"/>
          </w:tcPr>
          <w:p w14:paraId="1420D7EB" w14:textId="77777777" w:rsidR="00D8365A" w:rsidRPr="00362517" w:rsidRDefault="00D8365A" w:rsidP="00BF6BC7">
            <w:pPr>
              <w:tabs>
                <w:tab w:val="decimal" w:pos="969"/>
              </w:tabs>
            </w:pPr>
            <w:r w:rsidRPr="00362517">
              <w:t>25</w:t>
            </w:r>
          </w:p>
        </w:tc>
      </w:tr>
      <w:tr w:rsidR="00D8365A" w:rsidRPr="00362517" w14:paraId="49FB9424" w14:textId="77777777" w:rsidTr="007A2164">
        <w:tc>
          <w:tcPr>
            <w:tcW w:w="2245" w:type="dxa"/>
          </w:tcPr>
          <w:p w14:paraId="10DD4497" w14:textId="77777777" w:rsidR="00D8365A" w:rsidRPr="00362517" w:rsidRDefault="00D8365A" w:rsidP="00BF6BC7">
            <w:pPr>
              <w:pStyle w:val="BodyText"/>
            </w:pPr>
            <w:r w:rsidRPr="00362517">
              <w:t>Nebraska</w:t>
            </w:r>
            <w:r w:rsidRPr="00362517">
              <w:rPr>
                <w:rFonts w:cs="Times New Roman"/>
                <w:sz w:val="22"/>
                <w:szCs w:val="22"/>
                <w:vertAlign w:val="superscript"/>
              </w:rPr>
              <w:t xml:space="preserve"> 3</w:t>
            </w:r>
          </w:p>
        </w:tc>
        <w:tc>
          <w:tcPr>
            <w:tcW w:w="1565" w:type="dxa"/>
          </w:tcPr>
          <w:p w14:paraId="139D07BC" w14:textId="77777777" w:rsidR="00D8365A" w:rsidRPr="00362517" w:rsidRDefault="00D8365A" w:rsidP="00BF6BC7">
            <w:pPr>
              <w:tabs>
                <w:tab w:val="decimal" w:pos="1135"/>
              </w:tabs>
            </w:pPr>
            <w:r w:rsidRPr="00362517">
              <w:t>23,323</w:t>
            </w:r>
          </w:p>
        </w:tc>
        <w:tc>
          <w:tcPr>
            <w:tcW w:w="1964" w:type="dxa"/>
          </w:tcPr>
          <w:p w14:paraId="0A3E7797" w14:textId="77777777" w:rsidR="00D8365A" w:rsidRPr="00362517" w:rsidRDefault="00D8365A" w:rsidP="00BF6BC7">
            <w:pPr>
              <w:tabs>
                <w:tab w:val="decimal" w:pos="1223"/>
              </w:tabs>
            </w:pPr>
            <w:r w:rsidRPr="00362517">
              <w:t>43</w:t>
            </w:r>
          </w:p>
        </w:tc>
        <w:tc>
          <w:tcPr>
            <w:tcW w:w="1964" w:type="dxa"/>
          </w:tcPr>
          <w:p w14:paraId="197E897D" w14:textId="77777777" w:rsidR="00D8365A" w:rsidRPr="00362517" w:rsidRDefault="00D8365A" w:rsidP="00BF6BC7">
            <w:pPr>
              <w:tabs>
                <w:tab w:val="decimal" w:pos="1238"/>
              </w:tabs>
            </w:pPr>
            <w:r w:rsidRPr="00362517">
              <w:t>23,280</w:t>
            </w:r>
          </w:p>
        </w:tc>
        <w:tc>
          <w:tcPr>
            <w:tcW w:w="1622" w:type="dxa"/>
          </w:tcPr>
          <w:p w14:paraId="266D4BA4" w14:textId="77777777" w:rsidR="00D8365A" w:rsidRPr="00362517" w:rsidRDefault="00D8365A" w:rsidP="00BF6BC7">
            <w:pPr>
              <w:tabs>
                <w:tab w:val="decimal" w:pos="969"/>
              </w:tabs>
            </w:pPr>
            <w:r w:rsidRPr="00362517">
              <w:t>152</w:t>
            </w:r>
          </w:p>
        </w:tc>
      </w:tr>
      <w:tr w:rsidR="00D8365A" w:rsidRPr="00362517" w14:paraId="72D19CA6" w14:textId="77777777" w:rsidTr="007A2164">
        <w:tc>
          <w:tcPr>
            <w:tcW w:w="2245" w:type="dxa"/>
          </w:tcPr>
          <w:p w14:paraId="536F0072" w14:textId="77777777" w:rsidR="00D8365A" w:rsidRPr="00362517" w:rsidRDefault="00D8365A" w:rsidP="00BF6BC7">
            <w:pPr>
              <w:pStyle w:val="BodyText"/>
            </w:pPr>
            <w:r w:rsidRPr="00362517">
              <w:t>Nevada</w:t>
            </w:r>
            <w:r w:rsidRPr="00362517">
              <w:rPr>
                <w:rFonts w:cs="Times New Roman"/>
                <w:sz w:val="22"/>
                <w:szCs w:val="22"/>
                <w:vertAlign w:val="superscript"/>
              </w:rPr>
              <w:t xml:space="preserve"> 1</w:t>
            </w:r>
          </w:p>
        </w:tc>
        <w:tc>
          <w:tcPr>
            <w:tcW w:w="1565" w:type="dxa"/>
          </w:tcPr>
          <w:p w14:paraId="6470E74F" w14:textId="77777777" w:rsidR="00D8365A" w:rsidRPr="00362517" w:rsidRDefault="00D8365A" w:rsidP="00BF6BC7">
            <w:pPr>
              <w:tabs>
                <w:tab w:val="decimal" w:pos="1135"/>
              </w:tabs>
            </w:pPr>
            <w:r w:rsidRPr="00362517">
              <w:t>7,921</w:t>
            </w:r>
          </w:p>
        </w:tc>
        <w:tc>
          <w:tcPr>
            <w:tcW w:w="1964" w:type="dxa"/>
          </w:tcPr>
          <w:p w14:paraId="5A66AFFE" w14:textId="77777777" w:rsidR="00D8365A" w:rsidRPr="00362517" w:rsidRDefault="00D8365A" w:rsidP="00BF6BC7">
            <w:pPr>
              <w:tabs>
                <w:tab w:val="decimal" w:pos="1223"/>
              </w:tabs>
            </w:pPr>
            <w:r w:rsidRPr="00362517">
              <w:t>0</w:t>
            </w:r>
          </w:p>
        </w:tc>
        <w:tc>
          <w:tcPr>
            <w:tcW w:w="1964" w:type="dxa"/>
          </w:tcPr>
          <w:p w14:paraId="307A8B80" w14:textId="77777777" w:rsidR="00D8365A" w:rsidRPr="00362517" w:rsidRDefault="00D8365A" w:rsidP="00BF6BC7">
            <w:pPr>
              <w:tabs>
                <w:tab w:val="decimal" w:pos="1238"/>
              </w:tabs>
            </w:pPr>
            <w:r w:rsidRPr="00362517">
              <w:t>7,921</w:t>
            </w:r>
          </w:p>
        </w:tc>
        <w:tc>
          <w:tcPr>
            <w:tcW w:w="1622" w:type="dxa"/>
          </w:tcPr>
          <w:p w14:paraId="68467A60" w14:textId="77777777" w:rsidR="00D8365A" w:rsidRPr="00362517" w:rsidRDefault="00D8365A" w:rsidP="00BF6BC7">
            <w:pPr>
              <w:tabs>
                <w:tab w:val="decimal" w:pos="969"/>
              </w:tabs>
            </w:pPr>
            <w:r w:rsidRPr="00362517">
              <w:t>52</w:t>
            </w:r>
          </w:p>
        </w:tc>
      </w:tr>
      <w:tr w:rsidR="00D8365A" w:rsidRPr="00362517" w14:paraId="0FB1950D" w14:textId="77777777" w:rsidTr="007A2164">
        <w:tc>
          <w:tcPr>
            <w:tcW w:w="2245" w:type="dxa"/>
          </w:tcPr>
          <w:p w14:paraId="6E737C18" w14:textId="77777777" w:rsidR="00D8365A" w:rsidRPr="00362517" w:rsidRDefault="00D8365A" w:rsidP="00BF6BC7">
            <w:pPr>
              <w:pStyle w:val="BodyText"/>
            </w:pPr>
            <w:r w:rsidRPr="00362517">
              <w:t>New Hampshire</w:t>
            </w:r>
            <w:r w:rsidRPr="00362517">
              <w:rPr>
                <w:rFonts w:cs="Times New Roman"/>
                <w:sz w:val="22"/>
                <w:szCs w:val="22"/>
                <w:vertAlign w:val="superscript"/>
              </w:rPr>
              <w:t xml:space="preserve"> 4</w:t>
            </w:r>
          </w:p>
        </w:tc>
        <w:tc>
          <w:tcPr>
            <w:tcW w:w="1565" w:type="dxa"/>
          </w:tcPr>
          <w:p w14:paraId="5F6CA538" w14:textId="77777777" w:rsidR="00D8365A" w:rsidRPr="00362517" w:rsidRDefault="00D8365A" w:rsidP="00BF6BC7">
            <w:pPr>
              <w:tabs>
                <w:tab w:val="decimal" w:pos="1135"/>
              </w:tabs>
            </w:pPr>
            <w:r w:rsidRPr="00362517">
              <w:t>0</w:t>
            </w:r>
          </w:p>
        </w:tc>
        <w:tc>
          <w:tcPr>
            <w:tcW w:w="1964" w:type="dxa"/>
          </w:tcPr>
          <w:p w14:paraId="660B42F6" w14:textId="77777777" w:rsidR="00D8365A" w:rsidRPr="00362517" w:rsidRDefault="00D8365A" w:rsidP="00BF6BC7">
            <w:pPr>
              <w:tabs>
                <w:tab w:val="decimal" w:pos="1223"/>
              </w:tabs>
            </w:pPr>
            <w:r w:rsidRPr="00362517">
              <w:t>0</w:t>
            </w:r>
          </w:p>
        </w:tc>
        <w:tc>
          <w:tcPr>
            <w:tcW w:w="1964" w:type="dxa"/>
          </w:tcPr>
          <w:p w14:paraId="5914CD9A" w14:textId="77777777" w:rsidR="00D8365A" w:rsidRPr="00362517" w:rsidRDefault="00D8365A" w:rsidP="00BF6BC7">
            <w:pPr>
              <w:tabs>
                <w:tab w:val="decimal" w:pos="1238"/>
              </w:tabs>
            </w:pPr>
            <w:r w:rsidRPr="00362517">
              <w:t>0</w:t>
            </w:r>
          </w:p>
        </w:tc>
        <w:tc>
          <w:tcPr>
            <w:tcW w:w="1622" w:type="dxa"/>
          </w:tcPr>
          <w:p w14:paraId="0E207EEA" w14:textId="77777777" w:rsidR="00D8365A" w:rsidRPr="00362517" w:rsidRDefault="00D8365A" w:rsidP="00BF6BC7">
            <w:pPr>
              <w:tabs>
                <w:tab w:val="decimal" w:pos="969"/>
              </w:tabs>
            </w:pPr>
            <w:r w:rsidRPr="00362517">
              <w:t>0</w:t>
            </w:r>
          </w:p>
        </w:tc>
      </w:tr>
      <w:tr w:rsidR="00D8365A" w:rsidRPr="00362517" w14:paraId="01882423" w14:textId="77777777" w:rsidTr="007A2164">
        <w:tc>
          <w:tcPr>
            <w:tcW w:w="2245" w:type="dxa"/>
          </w:tcPr>
          <w:p w14:paraId="2AAFD67C" w14:textId="77777777" w:rsidR="00D8365A" w:rsidRPr="00362517" w:rsidRDefault="00D8365A" w:rsidP="00BF6BC7">
            <w:pPr>
              <w:pStyle w:val="BodyText"/>
            </w:pPr>
            <w:r w:rsidRPr="00362517">
              <w:t>New Jersey</w:t>
            </w:r>
            <w:r w:rsidRPr="00362517">
              <w:rPr>
                <w:rFonts w:cs="Times New Roman"/>
                <w:sz w:val="22"/>
                <w:szCs w:val="22"/>
                <w:vertAlign w:val="superscript"/>
              </w:rPr>
              <w:t xml:space="preserve"> 1 5</w:t>
            </w:r>
          </w:p>
        </w:tc>
        <w:tc>
          <w:tcPr>
            <w:tcW w:w="1565" w:type="dxa"/>
          </w:tcPr>
          <w:p w14:paraId="36C426D1" w14:textId="77777777" w:rsidR="00D8365A" w:rsidRPr="00362517" w:rsidRDefault="00D8365A" w:rsidP="00BF6BC7">
            <w:pPr>
              <w:tabs>
                <w:tab w:val="decimal" w:pos="1135"/>
              </w:tabs>
            </w:pPr>
            <w:r w:rsidRPr="00362517">
              <w:t>19,342</w:t>
            </w:r>
          </w:p>
        </w:tc>
        <w:tc>
          <w:tcPr>
            <w:tcW w:w="1964" w:type="dxa"/>
          </w:tcPr>
          <w:p w14:paraId="1E11FC9D" w14:textId="77777777" w:rsidR="00D8365A" w:rsidRPr="00362517" w:rsidRDefault="00D8365A" w:rsidP="00BF6BC7">
            <w:pPr>
              <w:tabs>
                <w:tab w:val="decimal" w:pos="1223"/>
              </w:tabs>
            </w:pPr>
            <w:r w:rsidRPr="00362517">
              <w:t>21</w:t>
            </w:r>
          </w:p>
        </w:tc>
        <w:tc>
          <w:tcPr>
            <w:tcW w:w="1964" w:type="dxa"/>
          </w:tcPr>
          <w:p w14:paraId="3314E0F6" w14:textId="77777777" w:rsidR="00D8365A" w:rsidRPr="00362517" w:rsidRDefault="00D8365A" w:rsidP="00BF6BC7">
            <w:pPr>
              <w:tabs>
                <w:tab w:val="decimal" w:pos="1238"/>
              </w:tabs>
            </w:pPr>
            <w:r w:rsidRPr="00362517">
              <w:t>19,321</w:t>
            </w:r>
          </w:p>
        </w:tc>
        <w:tc>
          <w:tcPr>
            <w:tcW w:w="1622" w:type="dxa"/>
          </w:tcPr>
          <w:p w14:paraId="4307139C" w14:textId="77777777" w:rsidR="00D8365A" w:rsidRPr="00362517" w:rsidRDefault="00D8365A" w:rsidP="00BF6BC7">
            <w:pPr>
              <w:tabs>
                <w:tab w:val="decimal" w:pos="969"/>
              </w:tabs>
            </w:pPr>
            <w:r w:rsidRPr="00362517">
              <w:t>0</w:t>
            </w:r>
          </w:p>
        </w:tc>
      </w:tr>
      <w:tr w:rsidR="00D8365A" w:rsidRPr="00362517" w14:paraId="06DCD258" w14:textId="77777777" w:rsidTr="007A2164">
        <w:tc>
          <w:tcPr>
            <w:tcW w:w="2245" w:type="dxa"/>
          </w:tcPr>
          <w:p w14:paraId="5EDF0BBC" w14:textId="77777777" w:rsidR="00D8365A" w:rsidRPr="00362517" w:rsidRDefault="00D8365A" w:rsidP="00BF6BC7">
            <w:pPr>
              <w:pStyle w:val="BodyText"/>
            </w:pPr>
            <w:r w:rsidRPr="00362517">
              <w:t>New Mexico</w:t>
            </w:r>
            <w:r w:rsidRPr="00362517">
              <w:rPr>
                <w:rFonts w:cs="Times New Roman"/>
                <w:sz w:val="22"/>
                <w:szCs w:val="22"/>
                <w:vertAlign w:val="superscript"/>
              </w:rPr>
              <w:t xml:space="preserve"> 1</w:t>
            </w:r>
          </w:p>
        </w:tc>
        <w:tc>
          <w:tcPr>
            <w:tcW w:w="1565" w:type="dxa"/>
          </w:tcPr>
          <w:p w14:paraId="2DD20DE8" w14:textId="77777777" w:rsidR="00D8365A" w:rsidRPr="00362517" w:rsidRDefault="00D8365A" w:rsidP="00BF6BC7">
            <w:pPr>
              <w:tabs>
                <w:tab w:val="decimal" w:pos="1135"/>
              </w:tabs>
            </w:pPr>
            <w:r w:rsidRPr="00362517">
              <w:t>2,724</w:t>
            </w:r>
          </w:p>
        </w:tc>
        <w:tc>
          <w:tcPr>
            <w:tcW w:w="1964" w:type="dxa"/>
          </w:tcPr>
          <w:p w14:paraId="6E6C3DB8" w14:textId="77777777" w:rsidR="00D8365A" w:rsidRPr="00362517" w:rsidRDefault="00D8365A" w:rsidP="00BF6BC7">
            <w:pPr>
              <w:tabs>
                <w:tab w:val="decimal" w:pos="1223"/>
              </w:tabs>
            </w:pPr>
            <w:r w:rsidRPr="00362517">
              <w:t>64</w:t>
            </w:r>
          </w:p>
        </w:tc>
        <w:tc>
          <w:tcPr>
            <w:tcW w:w="1964" w:type="dxa"/>
          </w:tcPr>
          <w:p w14:paraId="49889DC6" w14:textId="77777777" w:rsidR="00D8365A" w:rsidRPr="00362517" w:rsidRDefault="00D8365A" w:rsidP="00BF6BC7">
            <w:pPr>
              <w:tabs>
                <w:tab w:val="decimal" w:pos="1238"/>
              </w:tabs>
            </w:pPr>
            <w:r w:rsidRPr="00362517">
              <w:t>2,660</w:t>
            </w:r>
          </w:p>
        </w:tc>
        <w:tc>
          <w:tcPr>
            <w:tcW w:w="1622" w:type="dxa"/>
          </w:tcPr>
          <w:p w14:paraId="19199E5B" w14:textId="77777777" w:rsidR="00D8365A" w:rsidRPr="00362517" w:rsidRDefault="00D8365A" w:rsidP="00BF6BC7">
            <w:pPr>
              <w:tabs>
                <w:tab w:val="decimal" w:pos="969"/>
              </w:tabs>
            </w:pPr>
            <w:r w:rsidRPr="00362517">
              <w:t>18</w:t>
            </w:r>
          </w:p>
        </w:tc>
      </w:tr>
      <w:tr w:rsidR="00D8365A" w:rsidRPr="00362517" w14:paraId="3859EE50" w14:textId="77777777" w:rsidTr="007A2164">
        <w:tc>
          <w:tcPr>
            <w:tcW w:w="2245" w:type="dxa"/>
          </w:tcPr>
          <w:p w14:paraId="607E1FCE" w14:textId="77777777" w:rsidR="00D8365A" w:rsidRPr="00362517" w:rsidRDefault="00D8365A" w:rsidP="00BF6BC7">
            <w:pPr>
              <w:pStyle w:val="BodyText"/>
            </w:pPr>
            <w:r w:rsidRPr="00362517">
              <w:t>New York</w:t>
            </w:r>
            <w:r w:rsidRPr="00362517">
              <w:rPr>
                <w:rFonts w:cs="Times New Roman"/>
                <w:sz w:val="22"/>
                <w:szCs w:val="22"/>
                <w:vertAlign w:val="superscript"/>
              </w:rPr>
              <w:t xml:space="preserve"> 3</w:t>
            </w:r>
          </w:p>
        </w:tc>
        <w:tc>
          <w:tcPr>
            <w:tcW w:w="1565" w:type="dxa"/>
          </w:tcPr>
          <w:p w14:paraId="6197179F" w14:textId="77777777" w:rsidR="00D8365A" w:rsidRPr="00362517" w:rsidRDefault="00D8365A" w:rsidP="00BF6BC7">
            <w:pPr>
              <w:tabs>
                <w:tab w:val="decimal" w:pos="1135"/>
              </w:tabs>
            </w:pPr>
            <w:r w:rsidRPr="00362517">
              <w:t>51,971</w:t>
            </w:r>
          </w:p>
        </w:tc>
        <w:tc>
          <w:tcPr>
            <w:tcW w:w="1964" w:type="dxa"/>
          </w:tcPr>
          <w:p w14:paraId="7C721D47" w14:textId="77777777" w:rsidR="00D8365A" w:rsidRPr="00362517" w:rsidRDefault="00D8365A" w:rsidP="00BF6BC7">
            <w:pPr>
              <w:tabs>
                <w:tab w:val="decimal" w:pos="1223"/>
              </w:tabs>
            </w:pPr>
            <w:r w:rsidRPr="00362517">
              <w:t>60</w:t>
            </w:r>
          </w:p>
        </w:tc>
        <w:tc>
          <w:tcPr>
            <w:tcW w:w="1964" w:type="dxa"/>
          </w:tcPr>
          <w:p w14:paraId="40DA29EC" w14:textId="77777777" w:rsidR="00D8365A" w:rsidRPr="00362517" w:rsidRDefault="00D8365A" w:rsidP="00BF6BC7">
            <w:pPr>
              <w:tabs>
                <w:tab w:val="decimal" w:pos="1238"/>
              </w:tabs>
            </w:pPr>
            <w:r w:rsidRPr="00362517">
              <w:t>51,911</w:t>
            </w:r>
          </w:p>
        </w:tc>
        <w:tc>
          <w:tcPr>
            <w:tcW w:w="1622" w:type="dxa"/>
          </w:tcPr>
          <w:p w14:paraId="0C8729C4" w14:textId="77777777" w:rsidR="00D8365A" w:rsidRPr="00362517" w:rsidRDefault="00D8365A" w:rsidP="00BF6BC7">
            <w:pPr>
              <w:tabs>
                <w:tab w:val="decimal" w:pos="969"/>
              </w:tabs>
            </w:pPr>
            <w:r w:rsidRPr="00362517">
              <w:t>339</w:t>
            </w:r>
          </w:p>
        </w:tc>
      </w:tr>
      <w:tr w:rsidR="00D8365A" w:rsidRPr="00362517" w14:paraId="021DC4EF" w14:textId="77777777" w:rsidTr="007A2164">
        <w:tc>
          <w:tcPr>
            <w:tcW w:w="2245" w:type="dxa"/>
          </w:tcPr>
          <w:p w14:paraId="6D18500C" w14:textId="77777777" w:rsidR="00D8365A" w:rsidRPr="00362517" w:rsidRDefault="00D8365A" w:rsidP="00BF6BC7">
            <w:pPr>
              <w:pStyle w:val="BodyText"/>
            </w:pPr>
            <w:r w:rsidRPr="00362517">
              <w:t>North Carolina</w:t>
            </w:r>
            <w:r w:rsidRPr="00362517">
              <w:rPr>
                <w:rFonts w:cs="Times New Roman"/>
                <w:sz w:val="22"/>
                <w:szCs w:val="22"/>
                <w:vertAlign w:val="superscript"/>
              </w:rPr>
              <w:t xml:space="preserve"> 2</w:t>
            </w:r>
          </w:p>
        </w:tc>
        <w:tc>
          <w:tcPr>
            <w:tcW w:w="1565" w:type="dxa"/>
          </w:tcPr>
          <w:p w14:paraId="58C3C628" w14:textId="77777777" w:rsidR="00D8365A" w:rsidRPr="00362517" w:rsidRDefault="00D8365A" w:rsidP="00BF6BC7">
            <w:pPr>
              <w:tabs>
                <w:tab w:val="decimal" w:pos="1135"/>
              </w:tabs>
            </w:pPr>
            <w:r w:rsidRPr="00362517">
              <w:t>53,223</w:t>
            </w:r>
          </w:p>
        </w:tc>
        <w:tc>
          <w:tcPr>
            <w:tcW w:w="1964" w:type="dxa"/>
          </w:tcPr>
          <w:p w14:paraId="6995D8A7" w14:textId="77777777" w:rsidR="00D8365A" w:rsidRPr="00362517" w:rsidRDefault="00D8365A" w:rsidP="00BF6BC7">
            <w:pPr>
              <w:tabs>
                <w:tab w:val="decimal" w:pos="1223"/>
              </w:tabs>
            </w:pPr>
            <w:r w:rsidRPr="00362517">
              <w:t>261</w:t>
            </w:r>
          </w:p>
        </w:tc>
        <w:tc>
          <w:tcPr>
            <w:tcW w:w="1964" w:type="dxa"/>
          </w:tcPr>
          <w:p w14:paraId="34A55CA1" w14:textId="77777777" w:rsidR="00D8365A" w:rsidRPr="00362517" w:rsidRDefault="00D8365A" w:rsidP="00BF6BC7">
            <w:pPr>
              <w:tabs>
                <w:tab w:val="decimal" w:pos="1238"/>
              </w:tabs>
            </w:pPr>
            <w:r w:rsidRPr="00362517">
              <w:t>52,961</w:t>
            </w:r>
          </w:p>
        </w:tc>
        <w:tc>
          <w:tcPr>
            <w:tcW w:w="1622" w:type="dxa"/>
          </w:tcPr>
          <w:p w14:paraId="46DF5DC9" w14:textId="77777777" w:rsidR="00D8365A" w:rsidRPr="00362517" w:rsidRDefault="00D8365A" w:rsidP="00BF6BC7">
            <w:pPr>
              <w:tabs>
                <w:tab w:val="decimal" w:pos="969"/>
              </w:tabs>
            </w:pPr>
            <w:r w:rsidRPr="00362517">
              <w:t>347</w:t>
            </w:r>
          </w:p>
        </w:tc>
      </w:tr>
      <w:tr w:rsidR="00D8365A" w:rsidRPr="00362517" w14:paraId="4060AB50" w14:textId="77777777" w:rsidTr="007A2164">
        <w:tc>
          <w:tcPr>
            <w:tcW w:w="2245" w:type="dxa"/>
          </w:tcPr>
          <w:p w14:paraId="4B18C14A" w14:textId="77777777" w:rsidR="00D8365A" w:rsidRPr="00362517" w:rsidRDefault="00D8365A" w:rsidP="00BF6BC7">
            <w:pPr>
              <w:pStyle w:val="BodyText"/>
            </w:pPr>
            <w:r w:rsidRPr="00362517">
              <w:t>North Dakota</w:t>
            </w:r>
            <w:r w:rsidRPr="00362517">
              <w:rPr>
                <w:rFonts w:cs="Times New Roman"/>
                <w:sz w:val="22"/>
                <w:szCs w:val="22"/>
                <w:vertAlign w:val="superscript"/>
              </w:rPr>
              <w:t xml:space="preserve"> 3</w:t>
            </w:r>
          </w:p>
        </w:tc>
        <w:tc>
          <w:tcPr>
            <w:tcW w:w="1565" w:type="dxa"/>
          </w:tcPr>
          <w:p w14:paraId="0FBC2422" w14:textId="77777777" w:rsidR="00D8365A" w:rsidRPr="00362517" w:rsidRDefault="00D8365A" w:rsidP="00BF6BC7">
            <w:pPr>
              <w:tabs>
                <w:tab w:val="decimal" w:pos="1135"/>
              </w:tabs>
            </w:pPr>
            <w:r w:rsidRPr="00362517">
              <w:t>13,638</w:t>
            </w:r>
          </w:p>
        </w:tc>
        <w:tc>
          <w:tcPr>
            <w:tcW w:w="1964" w:type="dxa"/>
          </w:tcPr>
          <w:p w14:paraId="3FC2D437" w14:textId="77777777" w:rsidR="00D8365A" w:rsidRPr="00362517" w:rsidRDefault="00D8365A" w:rsidP="00BF6BC7">
            <w:pPr>
              <w:tabs>
                <w:tab w:val="decimal" w:pos="1223"/>
              </w:tabs>
            </w:pPr>
            <w:r w:rsidRPr="00362517">
              <w:t>337</w:t>
            </w:r>
          </w:p>
        </w:tc>
        <w:tc>
          <w:tcPr>
            <w:tcW w:w="1964" w:type="dxa"/>
          </w:tcPr>
          <w:p w14:paraId="30540DBC" w14:textId="77777777" w:rsidR="00D8365A" w:rsidRPr="00362517" w:rsidRDefault="00D8365A" w:rsidP="00BF6BC7">
            <w:pPr>
              <w:tabs>
                <w:tab w:val="decimal" w:pos="1238"/>
              </w:tabs>
            </w:pPr>
            <w:r w:rsidRPr="00362517">
              <w:t>13,301</w:t>
            </w:r>
          </w:p>
        </w:tc>
        <w:tc>
          <w:tcPr>
            <w:tcW w:w="1622" w:type="dxa"/>
          </w:tcPr>
          <w:p w14:paraId="239FB147" w14:textId="77777777" w:rsidR="00D8365A" w:rsidRPr="00362517" w:rsidRDefault="00D8365A" w:rsidP="00BF6BC7">
            <w:pPr>
              <w:tabs>
                <w:tab w:val="decimal" w:pos="969"/>
              </w:tabs>
            </w:pPr>
            <w:r w:rsidRPr="00362517">
              <w:t>89</w:t>
            </w:r>
          </w:p>
        </w:tc>
      </w:tr>
      <w:tr w:rsidR="00D8365A" w:rsidRPr="00362517" w14:paraId="00359161" w14:textId="77777777" w:rsidTr="007A2164">
        <w:tc>
          <w:tcPr>
            <w:tcW w:w="2245" w:type="dxa"/>
          </w:tcPr>
          <w:p w14:paraId="5798F095" w14:textId="77777777" w:rsidR="00D8365A" w:rsidRPr="00362517" w:rsidRDefault="00D8365A" w:rsidP="00BF6BC7">
            <w:pPr>
              <w:pStyle w:val="BodyText"/>
            </w:pPr>
            <w:r w:rsidRPr="00362517">
              <w:t>Ohio</w:t>
            </w:r>
            <w:r w:rsidRPr="00362517">
              <w:rPr>
                <w:rFonts w:cs="Times New Roman"/>
                <w:sz w:val="22"/>
                <w:szCs w:val="22"/>
                <w:vertAlign w:val="superscript"/>
              </w:rPr>
              <w:t xml:space="preserve"> 1</w:t>
            </w:r>
          </w:p>
        </w:tc>
        <w:tc>
          <w:tcPr>
            <w:tcW w:w="1565" w:type="dxa"/>
          </w:tcPr>
          <w:p w14:paraId="215259C6" w14:textId="77777777" w:rsidR="00D8365A" w:rsidRPr="00362517" w:rsidRDefault="00D8365A" w:rsidP="00BF6BC7">
            <w:pPr>
              <w:tabs>
                <w:tab w:val="decimal" w:pos="1135"/>
              </w:tabs>
            </w:pPr>
            <w:r w:rsidRPr="00362517">
              <w:t>17,775</w:t>
            </w:r>
          </w:p>
        </w:tc>
        <w:tc>
          <w:tcPr>
            <w:tcW w:w="1964" w:type="dxa"/>
          </w:tcPr>
          <w:p w14:paraId="6F4ACC01" w14:textId="77777777" w:rsidR="00D8365A" w:rsidRPr="00362517" w:rsidRDefault="00D8365A" w:rsidP="00BF6BC7">
            <w:pPr>
              <w:tabs>
                <w:tab w:val="decimal" w:pos="1223"/>
              </w:tabs>
            </w:pPr>
            <w:r w:rsidRPr="00362517">
              <w:t>12</w:t>
            </w:r>
          </w:p>
        </w:tc>
        <w:tc>
          <w:tcPr>
            <w:tcW w:w="1964" w:type="dxa"/>
          </w:tcPr>
          <w:p w14:paraId="238142B8" w14:textId="77777777" w:rsidR="00D8365A" w:rsidRPr="00362517" w:rsidRDefault="00D8365A" w:rsidP="00BF6BC7">
            <w:pPr>
              <w:tabs>
                <w:tab w:val="decimal" w:pos="1238"/>
              </w:tabs>
            </w:pPr>
            <w:r w:rsidRPr="00362517">
              <w:t>17,763</w:t>
            </w:r>
          </w:p>
        </w:tc>
        <w:tc>
          <w:tcPr>
            <w:tcW w:w="1622" w:type="dxa"/>
          </w:tcPr>
          <w:p w14:paraId="30E9462A" w14:textId="77777777" w:rsidR="00D8365A" w:rsidRPr="00362517" w:rsidRDefault="00D8365A" w:rsidP="00BF6BC7">
            <w:pPr>
              <w:tabs>
                <w:tab w:val="decimal" w:pos="969"/>
              </w:tabs>
            </w:pPr>
            <w:r w:rsidRPr="00362517">
              <w:t>116</w:t>
            </w:r>
          </w:p>
        </w:tc>
      </w:tr>
      <w:tr w:rsidR="00D8365A" w:rsidRPr="00362517" w14:paraId="7AEE9910" w14:textId="77777777" w:rsidTr="007A2164">
        <w:tc>
          <w:tcPr>
            <w:tcW w:w="2245" w:type="dxa"/>
          </w:tcPr>
          <w:p w14:paraId="2216DABB" w14:textId="77777777" w:rsidR="00D8365A" w:rsidRPr="00362517" w:rsidRDefault="00D8365A" w:rsidP="00BF6BC7">
            <w:pPr>
              <w:pStyle w:val="BodyText"/>
            </w:pPr>
            <w:r w:rsidRPr="00362517">
              <w:t>Oklahoma</w:t>
            </w:r>
            <w:r w:rsidRPr="00362517">
              <w:rPr>
                <w:rFonts w:cs="Times New Roman"/>
                <w:sz w:val="22"/>
                <w:szCs w:val="22"/>
                <w:vertAlign w:val="superscript"/>
              </w:rPr>
              <w:t xml:space="preserve"> 2</w:t>
            </w:r>
          </w:p>
        </w:tc>
        <w:tc>
          <w:tcPr>
            <w:tcW w:w="1565" w:type="dxa"/>
          </w:tcPr>
          <w:p w14:paraId="61D1FD04" w14:textId="77777777" w:rsidR="00D8365A" w:rsidRPr="00362517" w:rsidRDefault="00D8365A" w:rsidP="00BF6BC7">
            <w:pPr>
              <w:tabs>
                <w:tab w:val="decimal" w:pos="1135"/>
              </w:tabs>
            </w:pPr>
            <w:r w:rsidRPr="00362517">
              <w:t>28,043</w:t>
            </w:r>
          </w:p>
        </w:tc>
        <w:tc>
          <w:tcPr>
            <w:tcW w:w="1964" w:type="dxa"/>
          </w:tcPr>
          <w:p w14:paraId="4FE47CCF" w14:textId="77777777" w:rsidR="00D8365A" w:rsidRPr="00362517" w:rsidRDefault="00D8365A" w:rsidP="00BF6BC7">
            <w:pPr>
              <w:tabs>
                <w:tab w:val="decimal" w:pos="1223"/>
              </w:tabs>
            </w:pPr>
            <w:r w:rsidRPr="00362517">
              <w:t>0</w:t>
            </w:r>
          </w:p>
        </w:tc>
        <w:tc>
          <w:tcPr>
            <w:tcW w:w="1964" w:type="dxa"/>
          </w:tcPr>
          <w:p w14:paraId="0B9502CB" w14:textId="77777777" w:rsidR="00D8365A" w:rsidRPr="00362517" w:rsidRDefault="00D8365A" w:rsidP="00BF6BC7">
            <w:pPr>
              <w:tabs>
                <w:tab w:val="decimal" w:pos="1238"/>
              </w:tabs>
            </w:pPr>
            <w:r w:rsidRPr="00362517">
              <w:t>28,043</w:t>
            </w:r>
          </w:p>
        </w:tc>
        <w:tc>
          <w:tcPr>
            <w:tcW w:w="1622" w:type="dxa"/>
          </w:tcPr>
          <w:p w14:paraId="6E98E74E" w14:textId="77777777" w:rsidR="00D8365A" w:rsidRPr="00362517" w:rsidRDefault="00D8365A" w:rsidP="00BF6BC7">
            <w:pPr>
              <w:tabs>
                <w:tab w:val="decimal" w:pos="969"/>
              </w:tabs>
            </w:pPr>
            <w:r w:rsidRPr="00362517">
              <w:t>183</w:t>
            </w:r>
          </w:p>
        </w:tc>
      </w:tr>
      <w:tr w:rsidR="00D8365A" w:rsidRPr="00362517" w14:paraId="0BF2F0CF" w14:textId="77777777" w:rsidTr="007A2164">
        <w:tc>
          <w:tcPr>
            <w:tcW w:w="2245" w:type="dxa"/>
          </w:tcPr>
          <w:p w14:paraId="2E72F339" w14:textId="77777777" w:rsidR="00D8365A" w:rsidRPr="00362517" w:rsidRDefault="00D8365A" w:rsidP="00BF6BC7">
            <w:pPr>
              <w:pStyle w:val="BodyText"/>
            </w:pPr>
            <w:r w:rsidRPr="00362517">
              <w:t>Oregon</w:t>
            </w:r>
            <w:r w:rsidRPr="00362517">
              <w:rPr>
                <w:rFonts w:cs="Times New Roman"/>
                <w:sz w:val="22"/>
                <w:szCs w:val="22"/>
                <w:vertAlign w:val="superscript"/>
              </w:rPr>
              <w:t xml:space="preserve"> 2</w:t>
            </w:r>
          </w:p>
        </w:tc>
        <w:tc>
          <w:tcPr>
            <w:tcW w:w="1565" w:type="dxa"/>
          </w:tcPr>
          <w:p w14:paraId="0AE9A7A7" w14:textId="77777777" w:rsidR="00D8365A" w:rsidRPr="00362517" w:rsidRDefault="00D8365A" w:rsidP="00BF6BC7">
            <w:pPr>
              <w:tabs>
                <w:tab w:val="decimal" w:pos="1135"/>
              </w:tabs>
            </w:pPr>
            <w:r w:rsidRPr="00362517">
              <w:t>13,379</w:t>
            </w:r>
          </w:p>
        </w:tc>
        <w:tc>
          <w:tcPr>
            <w:tcW w:w="1964" w:type="dxa"/>
          </w:tcPr>
          <w:p w14:paraId="40D17242" w14:textId="77777777" w:rsidR="00D8365A" w:rsidRPr="00362517" w:rsidRDefault="00D8365A" w:rsidP="00BF6BC7">
            <w:pPr>
              <w:tabs>
                <w:tab w:val="decimal" w:pos="1223"/>
              </w:tabs>
            </w:pPr>
            <w:r w:rsidRPr="00362517">
              <w:t>183</w:t>
            </w:r>
          </w:p>
        </w:tc>
        <w:tc>
          <w:tcPr>
            <w:tcW w:w="1964" w:type="dxa"/>
          </w:tcPr>
          <w:p w14:paraId="3E19177B" w14:textId="77777777" w:rsidR="00D8365A" w:rsidRPr="00362517" w:rsidRDefault="00D8365A" w:rsidP="00BF6BC7">
            <w:pPr>
              <w:tabs>
                <w:tab w:val="decimal" w:pos="1238"/>
              </w:tabs>
            </w:pPr>
            <w:r w:rsidRPr="00362517">
              <w:t>13,195</w:t>
            </w:r>
          </w:p>
        </w:tc>
        <w:tc>
          <w:tcPr>
            <w:tcW w:w="1622" w:type="dxa"/>
          </w:tcPr>
          <w:p w14:paraId="63A6AACA" w14:textId="77777777" w:rsidR="00D8365A" w:rsidRPr="00362517" w:rsidRDefault="00D8365A" w:rsidP="00BF6BC7">
            <w:pPr>
              <w:tabs>
                <w:tab w:val="decimal" w:pos="969"/>
              </w:tabs>
            </w:pPr>
            <w:r w:rsidRPr="00362517">
              <w:t>87</w:t>
            </w:r>
          </w:p>
        </w:tc>
      </w:tr>
      <w:tr w:rsidR="00D8365A" w:rsidRPr="00362517" w14:paraId="5B73735F" w14:textId="77777777" w:rsidTr="007A2164">
        <w:tc>
          <w:tcPr>
            <w:tcW w:w="2245" w:type="dxa"/>
          </w:tcPr>
          <w:p w14:paraId="020CFE7C" w14:textId="77777777" w:rsidR="00D8365A" w:rsidRPr="00362517" w:rsidRDefault="00D8365A" w:rsidP="00BF6BC7">
            <w:pPr>
              <w:pStyle w:val="BodyText"/>
            </w:pPr>
            <w:r w:rsidRPr="00362517">
              <w:t>Pennsylvania</w:t>
            </w:r>
            <w:r w:rsidRPr="00362517">
              <w:rPr>
                <w:rFonts w:cs="Times New Roman"/>
                <w:sz w:val="22"/>
                <w:szCs w:val="22"/>
                <w:vertAlign w:val="superscript"/>
              </w:rPr>
              <w:t xml:space="preserve"> 2</w:t>
            </w:r>
          </w:p>
        </w:tc>
        <w:tc>
          <w:tcPr>
            <w:tcW w:w="1565" w:type="dxa"/>
          </w:tcPr>
          <w:p w14:paraId="478B80E3" w14:textId="77777777" w:rsidR="00D8365A" w:rsidRPr="00362517" w:rsidRDefault="00D8365A" w:rsidP="00BF6BC7">
            <w:pPr>
              <w:tabs>
                <w:tab w:val="decimal" w:pos="1135"/>
              </w:tabs>
            </w:pPr>
            <w:r w:rsidRPr="00362517">
              <w:t>41,968</w:t>
            </w:r>
          </w:p>
        </w:tc>
        <w:tc>
          <w:tcPr>
            <w:tcW w:w="1964" w:type="dxa"/>
          </w:tcPr>
          <w:p w14:paraId="4DDC53E4" w14:textId="77777777" w:rsidR="00D8365A" w:rsidRPr="00362517" w:rsidRDefault="00D8365A" w:rsidP="00BF6BC7">
            <w:pPr>
              <w:tabs>
                <w:tab w:val="decimal" w:pos="1223"/>
              </w:tabs>
            </w:pPr>
            <w:r w:rsidRPr="00362517">
              <w:t>166</w:t>
            </w:r>
          </w:p>
        </w:tc>
        <w:tc>
          <w:tcPr>
            <w:tcW w:w="1964" w:type="dxa"/>
          </w:tcPr>
          <w:p w14:paraId="188B30FD" w14:textId="77777777" w:rsidR="00D8365A" w:rsidRPr="00362517" w:rsidRDefault="00D8365A" w:rsidP="00BF6BC7">
            <w:pPr>
              <w:tabs>
                <w:tab w:val="decimal" w:pos="1238"/>
              </w:tabs>
            </w:pPr>
            <w:r w:rsidRPr="00362517">
              <w:t>41,802</w:t>
            </w:r>
          </w:p>
        </w:tc>
        <w:tc>
          <w:tcPr>
            <w:tcW w:w="1622" w:type="dxa"/>
          </w:tcPr>
          <w:p w14:paraId="2EE3279D" w14:textId="77777777" w:rsidR="00D8365A" w:rsidRPr="00362517" w:rsidRDefault="00D8365A" w:rsidP="00BF6BC7">
            <w:pPr>
              <w:tabs>
                <w:tab w:val="decimal" w:pos="969"/>
              </w:tabs>
            </w:pPr>
            <w:r w:rsidRPr="00362517">
              <w:t>274</w:t>
            </w:r>
          </w:p>
        </w:tc>
      </w:tr>
      <w:tr w:rsidR="00D8365A" w:rsidRPr="00362517" w14:paraId="763E9EC2" w14:textId="77777777" w:rsidTr="007A2164">
        <w:tc>
          <w:tcPr>
            <w:tcW w:w="2245" w:type="dxa"/>
          </w:tcPr>
          <w:p w14:paraId="771DEC55" w14:textId="77777777" w:rsidR="00D8365A" w:rsidRPr="00362517" w:rsidRDefault="00D8365A" w:rsidP="00BF6BC7">
            <w:pPr>
              <w:pStyle w:val="BodyText"/>
            </w:pPr>
            <w:r w:rsidRPr="00362517">
              <w:t>Rhode Island</w:t>
            </w:r>
            <w:r w:rsidRPr="00362517">
              <w:rPr>
                <w:rFonts w:cs="Times New Roman"/>
                <w:sz w:val="22"/>
                <w:szCs w:val="22"/>
                <w:vertAlign w:val="superscript"/>
              </w:rPr>
              <w:t xml:space="preserve"> 1</w:t>
            </w:r>
          </w:p>
        </w:tc>
        <w:tc>
          <w:tcPr>
            <w:tcW w:w="1565" w:type="dxa"/>
          </w:tcPr>
          <w:p w14:paraId="52007D80" w14:textId="77777777" w:rsidR="00D8365A" w:rsidRPr="00362517" w:rsidRDefault="00D8365A" w:rsidP="00BF6BC7">
            <w:pPr>
              <w:tabs>
                <w:tab w:val="decimal" w:pos="1135"/>
              </w:tabs>
            </w:pPr>
            <w:r w:rsidRPr="00362517">
              <w:t>3,156</w:t>
            </w:r>
          </w:p>
        </w:tc>
        <w:tc>
          <w:tcPr>
            <w:tcW w:w="1964" w:type="dxa"/>
          </w:tcPr>
          <w:p w14:paraId="77DB84D1" w14:textId="77777777" w:rsidR="00D8365A" w:rsidRPr="00362517" w:rsidRDefault="00D8365A" w:rsidP="00BF6BC7">
            <w:pPr>
              <w:tabs>
                <w:tab w:val="decimal" w:pos="1223"/>
              </w:tabs>
            </w:pPr>
            <w:r w:rsidRPr="00362517">
              <w:t>0</w:t>
            </w:r>
          </w:p>
        </w:tc>
        <w:tc>
          <w:tcPr>
            <w:tcW w:w="1964" w:type="dxa"/>
          </w:tcPr>
          <w:p w14:paraId="3B8346A7" w14:textId="77777777" w:rsidR="00D8365A" w:rsidRPr="00362517" w:rsidRDefault="00D8365A" w:rsidP="00BF6BC7">
            <w:pPr>
              <w:tabs>
                <w:tab w:val="decimal" w:pos="1238"/>
              </w:tabs>
            </w:pPr>
            <w:r w:rsidRPr="00362517">
              <w:t>3,156</w:t>
            </w:r>
          </w:p>
        </w:tc>
        <w:tc>
          <w:tcPr>
            <w:tcW w:w="1622" w:type="dxa"/>
          </w:tcPr>
          <w:p w14:paraId="363A50E8" w14:textId="77777777" w:rsidR="00D8365A" w:rsidRPr="00362517" w:rsidRDefault="00D8365A" w:rsidP="00BF6BC7">
            <w:pPr>
              <w:tabs>
                <w:tab w:val="decimal" w:pos="969"/>
              </w:tabs>
            </w:pPr>
            <w:r w:rsidRPr="00362517">
              <w:t>21</w:t>
            </w:r>
          </w:p>
        </w:tc>
      </w:tr>
      <w:tr w:rsidR="00D8365A" w:rsidRPr="00362517" w14:paraId="468C10D9" w14:textId="77777777" w:rsidTr="007A2164">
        <w:tc>
          <w:tcPr>
            <w:tcW w:w="2245" w:type="dxa"/>
          </w:tcPr>
          <w:p w14:paraId="5B5D6772" w14:textId="77777777" w:rsidR="00D8365A" w:rsidRPr="00362517" w:rsidRDefault="00D8365A" w:rsidP="00BF6BC7">
            <w:pPr>
              <w:pStyle w:val="BodyText"/>
            </w:pPr>
            <w:r w:rsidRPr="00362517">
              <w:t>South Carolina</w:t>
            </w:r>
            <w:r w:rsidRPr="00362517">
              <w:rPr>
                <w:rFonts w:cs="Times New Roman"/>
                <w:sz w:val="22"/>
                <w:szCs w:val="22"/>
                <w:vertAlign w:val="superscript"/>
              </w:rPr>
              <w:t xml:space="preserve"> 1</w:t>
            </w:r>
          </w:p>
        </w:tc>
        <w:tc>
          <w:tcPr>
            <w:tcW w:w="1565" w:type="dxa"/>
          </w:tcPr>
          <w:p w14:paraId="29565AB4" w14:textId="77777777" w:rsidR="00D8365A" w:rsidRPr="00362517" w:rsidRDefault="00D8365A" w:rsidP="00BF6BC7">
            <w:pPr>
              <w:tabs>
                <w:tab w:val="decimal" w:pos="1135"/>
              </w:tabs>
            </w:pPr>
            <w:r w:rsidRPr="00362517">
              <w:t>8,993</w:t>
            </w:r>
          </w:p>
        </w:tc>
        <w:tc>
          <w:tcPr>
            <w:tcW w:w="1964" w:type="dxa"/>
          </w:tcPr>
          <w:p w14:paraId="70E28082" w14:textId="77777777" w:rsidR="00D8365A" w:rsidRPr="00362517" w:rsidRDefault="00D8365A" w:rsidP="00BF6BC7">
            <w:pPr>
              <w:tabs>
                <w:tab w:val="decimal" w:pos="1223"/>
              </w:tabs>
            </w:pPr>
            <w:r w:rsidRPr="00362517">
              <w:t>30</w:t>
            </w:r>
          </w:p>
        </w:tc>
        <w:tc>
          <w:tcPr>
            <w:tcW w:w="1964" w:type="dxa"/>
          </w:tcPr>
          <w:p w14:paraId="3C68E241" w14:textId="77777777" w:rsidR="00D8365A" w:rsidRPr="00362517" w:rsidRDefault="00D8365A" w:rsidP="00BF6BC7">
            <w:pPr>
              <w:tabs>
                <w:tab w:val="decimal" w:pos="1238"/>
              </w:tabs>
            </w:pPr>
            <w:r w:rsidRPr="00362517">
              <w:t>8,963</w:t>
            </w:r>
          </w:p>
        </w:tc>
        <w:tc>
          <w:tcPr>
            <w:tcW w:w="1622" w:type="dxa"/>
          </w:tcPr>
          <w:p w14:paraId="1EBCA82A" w14:textId="77777777" w:rsidR="00D8365A" w:rsidRPr="00362517" w:rsidRDefault="00D8365A" w:rsidP="00BF6BC7">
            <w:pPr>
              <w:tabs>
                <w:tab w:val="decimal" w:pos="969"/>
              </w:tabs>
            </w:pPr>
            <w:r w:rsidRPr="00362517">
              <w:t>59</w:t>
            </w:r>
          </w:p>
        </w:tc>
      </w:tr>
      <w:tr w:rsidR="00D8365A" w:rsidRPr="00362517" w14:paraId="7ADC2F58" w14:textId="77777777" w:rsidTr="007A2164">
        <w:tc>
          <w:tcPr>
            <w:tcW w:w="2245" w:type="dxa"/>
          </w:tcPr>
          <w:p w14:paraId="066F3A83" w14:textId="77777777" w:rsidR="00D8365A" w:rsidRPr="00362517" w:rsidRDefault="00D8365A" w:rsidP="00BF6BC7">
            <w:pPr>
              <w:pStyle w:val="BodyText"/>
            </w:pPr>
            <w:r w:rsidRPr="00362517">
              <w:t>South Dakota</w:t>
            </w:r>
            <w:r w:rsidRPr="00362517">
              <w:rPr>
                <w:rFonts w:cs="Times New Roman"/>
                <w:sz w:val="22"/>
                <w:szCs w:val="22"/>
                <w:vertAlign w:val="superscript"/>
              </w:rPr>
              <w:t xml:space="preserve"> 4</w:t>
            </w:r>
          </w:p>
        </w:tc>
        <w:tc>
          <w:tcPr>
            <w:tcW w:w="1565" w:type="dxa"/>
          </w:tcPr>
          <w:p w14:paraId="742479B8" w14:textId="77777777" w:rsidR="00D8365A" w:rsidRPr="00362517" w:rsidRDefault="00D8365A" w:rsidP="00BF6BC7">
            <w:pPr>
              <w:tabs>
                <w:tab w:val="decimal" w:pos="1135"/>
              </w:tabs>
            </w:pPr>
            <w:r w:rsidRPr="00362517">
              <w:t>0</w:t>
            </w:r>
          </w:p>
        </w:tc>
        <w:tc>
          <w:tcPr>
            <w:tcW w:w="1964" w:type="dxa"/>
          </w:tcPr>
          <w:p w14:paraId="365E88A5" w14:textId="77777777" w:rsidR="00D8365A" w:rsidRPr="00362517" w:rsidRDefault="00D8365A" w:rsidP="00BF6BC7">
            <w:pPr>
              <w:tabs>
                <w:tab w:val="decimal" w:pos="1223"/>
              </w:tabs>
            </w:pPr>
            <w:r w:rsidRPr="00362517">
              <w:t>0</w:t>
            </w:r>
          </w:p>
        </w:tc>
        <w:tc>
          <w:tcPr>
            <w:tcW w:w="1964" w:type="dxa"/>
          </w:tcPr>
          <w:p w14:paraId="63AD0512" w14:textId="77777777" w:rsidR="00D8365A" w:rsidRPr="00362517" w:rsidRDefault="00D8365A" w:rsidP="00BF6BC7">
            <w:pPr>
              <w:tabs>
                <w:tab w:val="decimal" w:pos="1238"/>
              </w:tabs>
            </w:pPr>
            <w:r w:rsidRPr="00362517">
              <w:t>0</w:t>
            </w:r>
          </w:p>
        </w:tc>
        <w:tc>
          <w:tcPr>
            <w:tcW w:w="1622" w:type="dxa"/>
          </w:tcPr>
          <w:p w14:paraId="7FA8694A" w14:textId="77777777" w:rsidR="00D8365A" w:rsidRPr="00362517" w:rsidRDefault="00D8365A" w:rsidP="00BF6BC7">
            <w:pPr>
              <w:tabs>
                <w:tab w:val="decimal" w:pos="969"/>
              </w:tabs>
            </w:pPr>
            <w:r w:rsidRPr="00362517">
              <w:t>0</w:t>
            </w:r>
          </w:p>
        </w:tc>
      </w:tr>
      <w:tr w:rsidR="00D8365A" w:rsidRPr="00362517" w14:paraId="60670081" w14:textId="77777777" w:rsidTr="007A2164">
        <w:tc>
          <w:tcPr>
            <w:tcW w:w="2245" w:type="dxa"/>
          </w:tcPr>
          <w:p w14:paraId="6C113FB9" w14:textId="77777777" w:rsidR="00D8365A" w:rsidRPr="00362517" w:rsidRDefault="00D8365A" w:rsidP="00BF6BC7">
            <w:pPr>
              <w:pStyle w:val="BodyText"/>
            </w:pPr>
            <w:r w:rsidRPr="00362517">
              <w:t>Tennessee</w:t>
            </w:r>
            <w:r w:rsidRPr="00362517">
              <w:rPr>
                <w:rFonts w:cs="Times New Roman"/>
                <w:sz w:val="22"/>
                <w:szCs w:val="22"/>
                <w:vertAlign w:val="superscript"/>
              </w:rPr>
              <w:t xml:space="preserve"> 3</w:t>
            </w:r>
          </w:p>
        </w:tc>
        <w:tc>
          <w:tcPr>
            <w:tcW w:w="1565" w:type="dxa"/>
          </w:tcPr>
          <w:p w14:paraId="6CC686AD" w14:textId="77777777" w:rsidR="00D8365A" w:rsidRPr="00362517" w:rsidRDefault="00D8365A" w:rsidP="00BF6BC7">
            <w:pPr>
              <w:tabs>
                <w:tab w:val="decimal" w:pos="1135"/>
              </w:tabs>
            </w:pPr>
            <w:r w:rsidRPr="00362517">
              <w:t>23,622</w:t>
            </w:r>
          </w:p>
        </w:tc>
        <w:tc>
          <w:tcPr>
            <w:tcW w:w="1964" w:type="dxa"/>
          </w:tcPr>
          <w:p w14:paraId="17299F66" w14:textId="77777777" w:rsidR="00D8365A" w:rsidRPr="00362517" w:rsidRDefault="00D8365A" w:rsidP="00BF6BC7">
            <w:pPr>
              <w:tabs>
                <w:tab w:val="decimal" w:pos="1223"/>
              </w:tabs>
            </w:pPr>
            <w:r w:rsidRPr="00362517">
              <w:t>35</w:t>
            </w:r>
          </w:p>
        </w:tc>
        <w:tc>
          <w:tcPr>
            <w:tcW w:w="1964" w:type="dxa"/>
          </w:tcPr>
          <w:p w14:paraId="32D4CBF8" w14:textId="77777777" w:rsidR="00D8365A" w:rsidRPr="00362517" w:rsidRDefault="00D8365A" w:rsidP="00BF6BC7">
            <w:pPr>
              <w:tabs>
                <w:tab w:val="decimal" w:pos="1238"/>
              </w:tabs>
            </w:pPr>
            <w:r w:rsidRPr="00362517">
              <w:t>23,587</w:t>
            </w:r>
          </w:p>
        </w:tc>
        <w:tc>
          <w:tcPr>
            <w:tcW w:w="1622" w:type="dxa"/>
          </w:tcPr>
          <w:p w14:paraId="28A1C09D" w14:textId="77777777" w:rsidR="00D8365A" w:rsidRPr="00362517" w:rsidRDefault="00D8365A" w:rsidP="00BF6BC7">
            <w:pPr>
              <w:tabs>
                <w:tab w:val="decimal" w:pos="969"/>
              </w:tabs>
            </w:pPr>
            <w:r w:rsidRPr="00362517">
              <w:t>154</w:t>
            </w:r>
          </w:p>
        </w:tc>
      </w:tr>
      <w:tr w:rsidR="00D8365A" w:rsidRPr="00362517" w14:paraId="41F6FB65" w14:textId="77777777" w:rsidTr="007A2164">
        <w:tc>
          <w:tcPr>
            <w:tcW w:w="2245" w:type="dxa"/>
          </w:tcPr>
          <w:p w14:paraId="6A8B3AEA" w14:textId="77777777" w:rsidR="00D8365A" w:rsidRPr="00362517" w:rsidRDefault="00D8365A" w:rsidP="00BF6BC7">
            <w:pPr>
              <w:pStyle w:val="BodyText"/>
            </w:pPr>
            <w:r w:rsidRPr="00362517">
              <w:t>Texas</w:t>
            </w:r>
            <w:r w:rsidRPr="00362517">
              <w:rPr>
                <w:rFonts w:cs="Times New Roman"/>
                <w:sz w:val="22"/>
                <w:szCs w:val="22"/>
                <w:vertAlign w:val="superscript"/>
              </w:rPr>
              <w:t xml:space="preserve"> 1</w:t>
            </w:r>
          </w:p>
        </w:tc>
        <w:tc>
          <w:tcPr>
            <w:tcW w:w="1565" w:type="dxa"/>
          </w:tcPr>
          <w:p w14:paraId="7A600BFB" w14:textId="77777777" w:rsidR="00D8365A" w:rsidRPr="00362517" w:rsidRDefault="00D8365A" w:rsidP="00BF6BC7">
            <w:pPr>
              <w:tabs>
                <w:tab w:val="decimal" w:pos="1135"/>
              </w:tabs>
            </w:pPr>
            <w:r w:rsidRPr="00362517">
              <w:t>56,310</w:t>
            </w:r>
          </w:p>
        </w:tc>
        <w:tc>
          <w:tcPr>
            <w:tcW w:w="1964" w:type="dxa"/>
          </w:tcPr>
          <w:p w14:paraId="51B88861" w14:textId="77777777" w:rsidR="00D8365A" w:rsidRPr="00362517" w:rsidRDefault="00D8365A" w:rsidP="00BF6BC7">
            <w:pPr>
              <w:tabs>
                <w:tab w:val="decimal" w:pos="1223"/>
              </w:tabs>
            </w:pPr>
            <w:r w:rsidRPr="00362517">
              <w:t>566</w:t>
            </w:r>
          </w:p>
        </w:tc>
        <w:tc>
          <w:tcPr>
            <w:tcW w:w="1964" w:type="dxa"/>
          </w:tcPr>
          <w:p w14:paraId="2F54D62B" w14:textId="77777777" w:rsidR="00D8365A" w:rsidRPr="00362517" w:rsidRDefault="00D8365A" w:rsidP="00BF6BC7">
            <w:pPr>
              <w:tabs>
                <w:tab w:val="decimal" w:pos="1238"/>
              </w:tabs>
            </w:pPr>
            <w:r w:rsidRPr="00362517">
              <w:t>55,744</w:t>
            </w:r>
          </w:p>
        </w:tc>
        <w:tc>
          <w:tcPr>
            <w:tcW w:w="1622" w:type="dxa"/>
          </w:tcPr>
          <w:p w14:paraId="64A8FCCC" w14:textId="77777777" w:rsidR="00D8365A" w:rsidRPr="00362517" w:rsidRDefault="00D8365A" w:rsidP="00BF6BC7">
            <w:pPr>
              <w:tabs>
                <w:tab w:val="decimal" w:pos="969"/>
              </w:tabs>
            </w:pPr>
            <w:r w:rsidRPr="00362517">
              <w:t>367</w:t>
            </w:r>
          </w:p>
        </w:tc>
      </w:tr>
      <w:tr w:rsidR="00D8365A" w:rsidRPr="00362517" w14:paraId="59603614" w14:textId="77777777" w:rsidTr="007A2164">
        <w:tc>
          <w:tcPr>
            <w:tcW w:w="2245" w:type="dxa"/>
          </w:tcPr>
          <w:p w14:paraId="3B173100" w14:textId="77777777" w:rsidR="00D8365A" w:rsidRPr="00362517" w:rsidRDefault="00D8365A" w:rsidP="00BF6BC7">
            <w:pPr>
              <w:pStyle w:val="BodyText"/>
            </w:pPr>
            <w:r w:rsidRPr="00362517">
              <w:t>Utah</w:t>
            </w:r>
            <w:r w:rsidRPr="00362517">
              <w:rPr>
                <w:rFonts w:cs="Times New Roman"/>
                <w:sz w:val="22"/>
                <w:szCs w:val="22"/>
                <w:vertAlign w:val="superscript"/>
              </w:rPr>
              <w:t xml:space="preserve"> 1</w:t>
            </w:r>
          </w:p>
        </w:tc>
        <w:tc>
          <w:tcPr>
            <w:tcW w:w="1565" w:type="dxa"/>
          </w:tcPr>
          <w:p w14:paraId="03BFA8A4" w14:textId="77777777" w:rsidR="00D8365A" w:rsidRPr="00362517" w:rsidRDefault="00D8365A" w:rsidP="00BF6BC7">
            <w:pPr>
              <w:tabs>
                <w:tab w:val="decimal" w:pos="1135"/>
              </w:tabs>
            </w:pPr>
            <w:r w:rsidRPr="00362517">
              <w:t>5,378</w:t>
            </w:r>
          </w:p>
        </w:tc>
        <w:tc>
          <w:tcPr>
            <w:tcW w:w="1964" w:type="dxa"/>
          </w:tcPr>
          <w:p w14:paraId="6AB554AC" w14:textId="77777777" w:rsidR="00D8365A" w:rsidRPr="00362517" w:rsidRDefault="00D8365A" w:rsidP="00BF6BC7">
            <w:pPr>
              <w:tabs>
                <w:tab w:val="decimal" w:pos="1223"/>
              </w:tabs>
            </w:pPr>
            <w:r w:rsidRPr="00362517">
              <w:t>0</w:t>
            </w:r>
          </w:p>
        </w:tc>
        <w:tc>
          <w:tcPr>
            <w:tcW w:w="1964" w:type="dxa"/>
          </w:tcPr>
          <w:p w14:paraId="497E340F" w14:textId="77777777" w:rsidR="00D8365A" w:rsidRPr="00362517" w:rsidRDefault="00D8365A" w:rsidP="00BF6BC7">
            <w:pPr>
              <w:tabs>
                <w:tab w:val="decimal" w:pos="1238"/>
              </w:tabs>
            </w:pPr>
            <w:r w:rsidRPr="00362517">
              <w:t>5,378</w:t>
            </w:r>
          </w:p>
        </w:tc>
        <w:tc>
          <w:tcPr>
            <w:tcW w:w="1622" w:type="dxa"/>
          </w:tcPr>
          <w:p w14:paraId="099FFAAB" w14:textId="77777777" w:rsidR="00D8365A" w:rsidRPr="00362517" w:rsidRDefault="00D8365A" w:rsidP="00BF6BC7">
            <w:pPr>
              <w:tabs>
                <w:tab w:val="decimal" w:pos="969"/>
              </w:tabs>
            </w:pPr>
            <w:r w:rsidRPr="00362517">
              <w:t>35</w:t>
            </w:r>
          </w:p>
        </w:tc>
      </w:tr>
      <w:tr w:rsidR="00D8365A" w:rsidRPr="00362517" w14:paraId="3F15262B" w14:textId="77777777" w:rsidTr="007A2164">
        <w:tc>
          <w:tcPr>
            <w:tcW w:w="2245" w:type="dxa"/>
          </w:tcPr>
          <w:p w14:paraId="5B0793CD" w14:textId="77777777" w:rsidR="00D8365A" w:rsidRPr="00362517" w:rsidRDefault="00D8365A" w:rsidP="00BF6BC7">
            <w:pPr>
              <w:pStyle w:val="BodyText"/>
            </w:pPr>
            <w:r w:rsidRPr="00362517">
              <w:t>Vermont</w:t>
            </w:r>
            <w:r w:rsidRPr="00362517">
              <w:rPr>
                <w:rFonts w:cs="Times New Roman"/>
                <w:sz w:val="22"/>
                <w:szCs w:val="22"/>
                <w:vertAlign w:val="superscript"/>
              </w:rPr>
              <w:t xml:space="preserve"> 2 5</w:t>
            </w:r>
          </w:p>
        </w:tc>
        <w:tc>
          <w:tcPr>
            <w:tcW w:w="1565" w:type="dxa"/>
          </w:tcPr>
          <w:p w14:paraId="4CBE06F3" w14:textId="77777777" w:rsidR="00D8365A" w:rsidRPr="00362517" w:rsidRDefault="00D8365A" w:rsidP="00BF6BC7">
            <w:pPr>
              <w:tabs>
                <w:tab w:val="decimal" w:pos="1135"/>
              </w:tabs>
            </w:pPr>
            <w:r w:rsidRPr="00362517">
              <w:t>2,636</w:t>
            </w:r>
          </w:p>
        </w:tc>
        <w:tc>
          <w:tcPr>
            <w:tcW w:w="1964" w:type="dxa"/>
          </w:tcPr>
          <w:p w14:paraId="311D6C33" w14:textId="77777777" w:rsidR="00D8365A" w:rsidRPr="00362517" w:rsidRDefault="00D8365A" w:rsidP="00BF6BC7">
            <w:pPr>
              <w:tabs>
                <w:tab w:val="decimal" w:pos="1223"/>
              </w:tabs>
            </w:pPr>
            <w:r w:rsidRPr="00362517">
              <w:t>0</w:t>
            </w:r>
          </w:p>
        </w:tc>
        <w:tc>
          <w:tcPr>
            <w:tcW w:w="1964" w:type="dxa"/>
          </w:tcPr>
          <w:p w14:paraId="50CCA4C9" w14:textId="77777777" w:rsidR="00D8365A" w:rsidRPr="00362517" w:rsidRDefault="00D8365A" w:rsidP="00BF6BC7">
            <w:pPr>
              <w:tabs>
                <w:tab w:val="decimal" w:pos="1238"/>
              </w:tabs>
            </w:pPr>
            <w:r w:rsidRPr="00362517">
              <w:t>2,636</w:t>
            </w:r>
          </w:p>
        </w:tc>
        <w:tc>
          <w:tcPr>
            <w:tcW w:w="1622" w:type="dxa"/>
          </w:tcPr>
          <w:p w14:paraId="55DA9F11" w14:textId="77777777" w:rsidR="00D8365A" w:rsidRPr="00362517" w:rsidRDefault="00D8365A" w:rsidP="00BF6BC7">
            <w:pPr>
              <w:tabs>
                <w:tab w:val="decimal" w:pos="969"/>
              </w:tabs>
            </w:pPr>
            <w:r w:rsidRPr="00362517">
              <w:t>0</w:t>
            </w:r>
          </w:p>
        </w:tc>
      </w:tr>
      <w:tr w:rsidR="00D8365A" w:rsidRPr="00362517" w14:paraId="4036C3C4" w14:textId="77777777" w:rsidTr="007A2164">
        <w:tc>
          <w:tcPr>
            <w:tcW w:w="2245" w:type="dxa"/>
          </w:tcPr>
          <w:p w14:paraId="2966150B" w14:textId="77777777" w:rsidR="00D8365A" w:rsidRPr="00362517" w:rsidRDefault="00D8365A" w:rsidP="00BF6BC7">
            <w:pPr>
              <w:pStyle w:val="BodyText"/>
            </w:pPr>
            <w:r w:rsidRPr="00362517">
              <w:t>Virginia</w:t>
            </w:r>
            <w:r w:rsidRPr="00362517">
              <w:rPr>
                <w:rFonts w:cs="Times New Roman"/>
                <w:sz w:val="22"/>
                <w:szCs w:val="22"/>
                <w:vertAlign w:val="superscript"/>
              </w:rPr>
              <w:t xml:space="preserve"> 1 5</w:t>
            </w:r>
          </w:p>
        </w:tc>
        <w:tc>
          <w:tcPr>
            <w:tcW w:w="1565" w:type="dxa"/>
          </w:tcPr>
          <w:p w14:paraId="4C41FD2B" w14:textId="77777777" w:rsidR="00D8365A" w:rsidRPr="00362517" w:rsidRDefault="00D8365A" w:rsidP="00BF6BC7">
            <w:pPr>
              <w:tabs>
                <w:tab w:val="decimal" w:pos="1135"/>
              </w:tabs>
            </w:pPr>
            <w:r w:rsidRPr="00362517">
              <w:t>22,023</w:t>
            </w:r>
          </w:p>
        </w:tc>
        <w:tc>
          <w:tcPr>
            <w:tcW w:w="1964" w:type="dxa"/>
          </w:tcPr>
          <w:p w14:paraId="1A9A40FA" w14:textId="77777777" w:rsidR="00D8365A" w:rsidRPr="00362517" w:rsidRDefault="00D8365A" w:rsidP="00BF6BC7">
            <w:pPr>
              <w:tabs>
                <w:tab w:val="decimal" w:pos="1223"/>
              </w:tabs>
            </w:pPr>
            <w:r w:rsidRPr="00362517">
              <w:t>41</w:t>
            </w:r>
          </w:p>
        </w:tc>
        <w:tc>
          <w:tcPr>
            <w:tcW w:w="1964" w:type="dxa"/>
          </w:tcPr>
          <w:p w14:paraId="2ABB6EF1" w14:textId="77777777" w:rsidR="00D8365A" w:rsidRPr="00362517" w:rsidRDefault="00D8365A" w:rsidP="00BF6BC7">
            <w:pPr>
              <w:tabs>
                <w:tab w:val="decimal" w:pos="1238"/>
              </w:tabs>
            </w:pPr>
            <w:r w:rsidRPr="00362517">
              <w:t>21,982</w:t>
            </w:r>
          </w:p>
        </w:tc>
        <w:tc>
          <w:tcPr>
            <w:tcW w:w="1622" w:type="dxa"/>
          </w:tcPr>
          <w:p w14:paraId="739BEF43" w14:textId="77777777" w:rsidR="00D8365A" w:rsidRPr="00362517" w:rsidRDefault="00D8365A" w:rsidP="00BF6BC7">
            <w:pPr>
              <w:tabs>
                <w:tab w:val="decimal" w:pos="969"/>
              </w:tabs>
            </w:pPr>
            <w:r w:rsidRPr="00362517">
              <w:t>0</w:t>
            </w:r>
          </w:p>
        </w:tc>
      </w:tr>
      <w:tr w:rsidR="00D8365A" w:rsidRPr="00362517" w14:paraId="46EAA898" w14:textId="77777777" w:rsidTr="007A2164">
        <w:tc>
          <w:tcPr>
            <w:tcW w:w="2245" w:type="dxa"/>
          </w:tcPr>
          <w:p w14:paraId="10011BBC" w14:textId="77777777" w:rsidR="00D8365A" w:rsidRPr="00362517" w:rsidRDefault="00D8365A" w:rsidP="00BF6BC7">
            <w:pPr>
              <w:pStyle w:val="BodyText"/>
            </w:pPr>
            <w:r w:rsidRPr="00362517">
              <w:t>Washington</w:t>
            </w:r>
            <w:r w:rsidRPr="00362517">
              <w:rPr>
                <w:rFonts w:cs="Times New Roman"/>
                <w:sz w:val="22"/>
                <w:szCs w:val="22"/>
                <w:vertAlign w:val="superscript"/>
              </w:rPr>
              <w:t xml:space="preserve"> 2</w:t>
            </w:r>
          </w:p>
        </w:tc>
        <w:tc>
          <w:tcPr>
            <w:tcW w:w="1565" w:type="dxa"/>
          </w:tcPr>
          <w:p w14:paraId="1591B37F" w14:textId="77777777" w:rsidR="00D8365A" w:rsidRPr="00362517" w:rsidRDefault="00D8365A" w:rsidP="00BF6BC7">
            <w:pPr>
              <w:tabs>
                <w:tab w:val="decimal" w:pos="1135"/>
              </w:tabs>
            </w:pPr>
            <w:r w:rsidRPr="00362517">
              <w:t>43,707</w:t>
            </w:r>
          </w:p>
        </w:tc>
        <w:tc>
          <w:tcPr>
            <w:tcW w:w="1964" w:type="dxa"/>
          </w:tcPr>
          <w:p w14:paraId="119FCB75" w14:textId="77777777" w:rsidR="00D8365A" w:rsidRPr="00362517" w:rsidRDefault="00D8365A" w:rsidP="00BF6BC7">
            <w:pPr>
              <w:tabs>
                <w:tab w:val="decimal" w:pos="1223"/>
              </w:tabs>
            </w:pPr>
            <w:r w:rsidRPr="00362517">
              <w:t>887</w:t>
            </w:r>
          </w:p>
        </w:tc>
        <w:tc>
          <w:tcPr>
            <w:tcW w:w="1964" w:type="dxa"/>
          </w:tcPr>
          <w:p w14:paraId="3A4D0372" w14:textId="77777777" w:rsidR="00D8365A" w:rsidRPr="00362517" w:rsidRDefault="00D8365A" w:rsidP="00BF6BC7">
            <w:pPr>
              <w:tabs>
                <w:tab w:val="decimal" w:pos="1238"/>
              </w:tabs>
            </w:pPr>
            <w:r w:rsidRPr="00362517">
              <w:t>42,819</w:t>
            </w:r>
          </w:p>
        </w:tc>
        <w:tc>
          <w:tcPr>
            <w:tcW w:w="1622" w:type="dxa"/>
          </w:tcPr>
          <w:p w14:paraId="378A123E" w14:textId="77777777" w:rsidR="00D8365A" w:rsidRPr="00362517" w:rsidRDefault="00D8365A" w:rsidP="00BF6BC7">
            <w:pPr>
              <w:tabs>
                <w:tab w:val="decimal" w:pos="969"/>
              </w:tabs>
            </w:pPr>
            <w:r w:rsidRPr="00362517">
              <w:t>285</w:t>
            </w:r>
          </w:p>
        </w:tc>
      </w:tr>
      <w:tr w:rsidR="00D8365A" w:rsidRPr="00362517" w14:paraId="737CD36E" w14:textId="77777777" w:rsidTr="007A2164">
        <w:tc>
          <w:tcPr>
            <w:tcW w:w="2245" w:type="dxa"/>
          </w:tcPr>
          <w:p w14:paraId="3352A16B" w14:textId="77777777" w:rsidR="00D8365A" w:rsidRPr="00362517" w:rsidRDefault="00D8365A" w:rsidP="00BF6BC7">
            <w:pPr>
              <w:pStyle w:val="BodyText"/>
            </w:pPr>
            <w:r w:rsidRPr="00362517">
              <w:t>West Virginia</w:t>
            </w:r>
            <w:r w:rsidRPr="00362517">
              <w:rPr>
                <w:rFonts w:cs="Times New Roman"/>
                <w:sz w:val="22"/>
                <w:szCs w:val="22"/>
                <w:vertAlign w:val="superscript"/>
              </w:rPr>
              <w:t xml:space="preserve"> 3 5</w:t>
            </w:r>
          </w:p>
        </w:tc>
        <w:tc>
          <w:tcPr>
            <w:tcW w:w="1565" w:type="dxa"/>
          </w:tcPr>
          <w:p w14:paraId="04074351" w14:textId="77777777" w:rsidR="00D8365A" w:rsidRPr="00362517" w:rsidRDefault="00D8365A" w:rsidP="00BF6BC7">
            <w:pPr>
              <w:tabs>
                <w:tab w:val="decimal" w:pos="1135"/>
              </w:tabs>
            </w:pPr>
            <w:r w:rsidRPr="00362517">
              <w:t>4,649</w:t>
            </w:r>
          </w:p>
        </w:tc>
        <w:tc>
          <w:tcPr>
            <w:tcW w:w="1964" w:type="dxa"/>
          </w:tcPr>
          <w:p w14:paraId="25AE2BCE" w14:textId="77777777" w:rsidR="00D8365A" w:rsidRPr="00362517" w:rsidRDefault="00D8365A" w:rsidP="00BF6BC7">
            <w:pPr>
              <w:tabs>
                <w:tab w:val="decimal" w:pos="1223"/>
              </w:tabs>
            </w:pPr>
            <w:r w:rsidRPr="00362517">
              <w:t>0</w:t>
            </w:r>
          </w:p>
        </w:tc>
        <w:tc>
          <w:tcPr>
            <w:tcW w:w="1964" w:type="dxa"/>
          </w:tcPr>
          <w:p w14:paraId="25D34C36" w14:textId="77777777" w:rsidR="00D8365A" w:rsidRPr="00362517" w:rsidRDefault="00D8365A" w:rsidP="00BF6BC7">
            <w:pPr>
              <w:tabs>
                <w:tab w:val="decimal" w:pos="1238"/>
              </w:tabs>
            </w:pPr>
            <w:r w:rsidRPr="00362517">
              <w:t>4,649</w:t>
            </w:r>
          </w:p>
        </w:tc>
        <w:tc>
          <w:tcPr>
            <w:tcW w:w="1622" w:type="dxa"/>
          </w:tcPr>
          <w:p w14:paraId="361F8D4F" w14:textId="77777777" w:rsidR="00D8365A" w:rsidRPr="00362517" w:rsidRDefault="00D8365A" w:rsidP="00BF6BC7">
            <w:pPr>
              <w:tabs>
                <w:tab w:val="decimal" w:pos="969"/>
              </w:tabs>
            </w:pPr>
            <w:r w:rsidRPr="00362517">
              <w:t>0</w:t>
            </w:r>
          </w:p>
        </w:tc>
      </w:tr>
      <w:tr w:rsidR="00D8365A" w:rsidRPr="00362517" w14:paraId="6F2F6086" w14:textId="77777777" w:rsidTr="007A2164">
        <w:tc>
          <w:tcPr>
            <w:tcW w:w="2245" w:type="dxa"/>
          </w:tcPr>
          <w:p w14:paraId="16C82AF5" w14:textId="77777777" w:rsidR="00D8365A" w:rsidRPr="00362517" w:rsidRDefault="00D8365A" w:rsidP="00BF6BC7">
            <w:pPr>
              <w:pStyle w:val="BodyText"/>
            </w:pPr>
            <w:r w:rsidRPr="00362517">
              <w:t>Wisconsin</w:t>
            </w:r>
            <w:r w:rsidRPr="00362517">
              <w:rPr>
                <w:rFonts w:cs="Times New Roman"/>
                <w:sz w:val="22"/>
                <w:szCs w:val="22"/>
                <w:vertAlign w:val="superscript"/>
              </w:rPr>
              <w:t xml:space="preserve"> 3</w:t>
            </w:r>
          </w:p>
        </w:tc>
        <w:tc>
          <w:tcPr>
            <w:tcW w:w="1565" w:type="dxa"/>
          </w:tcPr>
          <w:p w14:paraId="1824C68F" w14:textId="77777777" w:rsidR="00D8365A" w:rsidRPr="00362517" w:rsidRDefault="00D8365A" w:rsidP="00BF6BC7">
            <w:pPr>
              <w:tabs>
                <w:tab w:val="decimal" w:pos="1135"/>
              </w:tabs>
            </w:pPr>
            <w:r w:rsidRPr="00362517">
              <w:t>30,819</w:t>
            </w:r>
          </w:p>
        </w:tc>
        <w:tc>
          <w:tcPr>
            <w:tcW w:w="1964" w:type="dxa"/>
          </w:tcPr>
          <w:p w14:paraId="55E20F59" w14:textId="77777777" w:rsidR="00D8365A" w:rsidRPr="00362517" w:rsidRDefault="00D8365A" w:rsidP="00BF6BC7">
            <w:pPr>
              <w:tabs>
                <w:tab w:val="decimal" w:pos="1223"/>
              </w:tabs>
            </w:pPr>
            <w:r w:rsidRPr="00362517">
              <w:t>176</w:t>
            </w:r>
          </w:p>
        </w:tc>
        <w:tc>
          <w:tcPr>
            <w:tcW w:w="1964" w:type="dxa"/>
          </w:tcPr>
          <w:p w14:paraId="5C73BA66" w14:textId="77777777" w:rsidR="00D8365A" w:rsidRPr="00362517" w:rsidRDefault="00D8365A" w:rsidP="00BF6BC7">
            <w:pPr>
              <w:tabs>
                <w:tab w:val="decimal" w:pos="1238"/>
              </w:tabs>
            </w:pPr>
            <w:r w:rsidRPr="00362517">
              <w:t>30,643</w:t>
            </w:r>
          </w:p>
        </w:tc>
        <w:tc>
          <w:tcPr>
            <w:tcW w:w="1622" w:type="dxa"/>
          </w:tcPr>
          <w:p w14:paraId="5EC2B890" w14:textId="77777777" w:rsidR="00D8365A" w:rsidRPr="00362517" w:rsidRDefault="00D8365A" w:rsidP="00BF6BC7">
            <w:pPr>
              <w:tabs>
                <w:tab w:val="decimal" w:pos="969"/>
              </w:tabs>
            </w:pPr>
            <w:r w:rsidRPr="00362517">
              <w:t>201</w:t>
            </w:r>
          </w:p>
        </w:tc>
      </w:tr>
      <w:tr w:rsidR="00D8365A" w:rsidRPr="00362517" w14:paraId="407D7729" w14:textId="77777777" w:rsidTr="007A2164">
        <w:tc>
          <w:tcPr>
            <w:tcW w:w="2245" w:type="dxa"/>
          </w:tcPr>
          <w:p w14:paraId="0796EA52" w14:textId="77777777" w:rsidR="00D8365A" w:rsidRPr="00362517" w:rsidRDefault="00D8365A" w:rsidP="00BF6BC7">
            <w:pPr>
              <w:pStyle w:val="BodyText"/>
            </w:pPr>
            <w:r w:rsidRPr="00362517">
              <w:t>Wyoming</w:t>
            </w:r>
            <w:r w:rsidRPr="00362517">
              <w:rPr>
                <w:rFonts w:cs="Times New Roman"/>
                <w:sz w:val="22"/>
                <w:szCs w:val="22"/>
                <w:vertAlign w:val="superscript"/>
              </w:rPr>
              <w:t xml:space="preserve"> 2</w:t>
            </w:r>
          </w:p>
        </w:tc>
        <w:tc>
          <w:tcPr>
            <w:tcW w:w="1565" w:type="dxa"/>
          </w:tcPr>
          <w:p w14:paraId="43A80629" w14:textId="77777777" w:rsidR="00D8365A" w:rsidRPr="00362517" w:rsidRDefault="00D8365A" w:rsidP="00BF6BC7">
            <w:pPr>
              <w:tabs>
                <w:tab w:val="decimal" w:pos="1135"/>
              </w:tabs>
            </w:pPr>
            <w:r w:rsidRPr="00362517">
              <w:t>4,708</w:t>
            </w:r>
          </w:p>
        </w:tc>
        <w:tc>
          <w:tcPr>
            <w:tcW w:w="1964" w:type="dxa"/>
          </w:tcPr>
          <w:p w14:paraId="2001197B" w14:textId="77777777" w:rsidR="00D8365A" w:rsidRPr="00362517" w:rsidRDefault="00D8365A" w:rsidP="00BF6BC7">
            <w:pPr>
              <w:tabs>
                <w:tab w:val="decimal" w:pos="1223"/>
              </w:tabs>
            </w:pPr>
            <w:r w:rsidRPr="00362517">
              <w:t>0</w:t>
            </w:r>
          </w:p>
        </w:tc>
        <w:tc>
          <w:tcPr>
            <w:tcW w:w="1964" w:type="dxa"/>
          </w:tcPr>
          <w:p w14:paraId="653B3B34" w14:textId="77777777" w:rsidR="00D8365A" w:rsidRPr="00362517" w:rsidRDefault="00D8365A" w:rsidP="00BF6BC7">
            <w:pPr>
              <w:tabs>
                <w:tab w:val="decimal" w:pos="1238"/>
              </w:tabs>
            </w:pPr>
            <w:r w:rsidRPr="00362517">
              <w:t>4,708</w:t>
            </w:r>
          </w:p>
        </w:tc>
        <w:tc>
          <w:tcPr>
            <w:tcW w:w="1622" w:type="dxa"/>
          </w:tcPr>
          <w:p w14:paraId="2C5B2A96" w14:textId="77777777" w:rsidR="00D8365A" w:rsidRPr="00362517" w:rsidRDefault="00D8365A" w:rsidP="00BF6BC7">
            <w:pPr>
              <w:tabs>
                <w:tab w:val="decimal" w:pos="969"/>
              </w:tabs>
            </w:pPr>
            <w:r w:rsidRPr="00362517">
              <w:t>31</w:t>
            </w:r>
          </w:p>
        </w:tc>
      </w:tr>
      <w:tr w:rsidR="00D8365A" w:rsidRPr="00362517" w14:paraId="56AC8671" w14:textId="77777777" w:rsidTr="007A2164">
        <w:tc>
          <w:tcPr>
            <w:tcW w:w="2245" w:type="dxa"/>
          </w:tcPr>
          <w:p w14:paraId="2851425A" w14:textId="77777777" w:rsidR="00D8365A" w:rsidRPr="00362517" w:rsidRDefault="00D8365A" w:rsidP="00BF6BC7">
            <w:pPr>
              <w:pStyle w:val="BodyText"/>
            </w:pPr>
            <w:r w:rsidRPr="00362517">
              <w:t>Puerto Rico</w:t>
            </w:r>
            <w:r w:rsidRPr="00362517">
              <w:rPr>
                <w:rFonts w:cs="Times New Roman"/>
                <w:sz w:val="22"/>
                <w:szCs w:val="22"/>
                <w:vertAlign w:val="superscript"/>
              </w:rPr>
              <w:t xml:space="preserve"> 2</w:t>
            </w:r>
          </w:p>
        </w:tc>
        <w:tc>
          <w:tcPr>
            <w:tcW w:w="1565" w:type="dxa"/>
            <w:vAlign w:val="center"/>
          </w:tcPr>
          <w:p w14:paraId="506B4418" w14:textId="77777777" w:rsidR="00D8365A" w:rsidRPr="00362517" w:rsidRDefault="00D8365A" w:rsidP="00BF6BC7">
            <w:pPr>
              <w:pStyle w:val="BodyText"/>
              <w:tabs>
                <w:tab w:val="decimal" w:pos="1135"/>
              </w:tabs>
              <w:rPr>
                <w:sz w:val="22"/>
                <w:szCs w:val="22"/>
              </w:rPr>
            </w:pPr>
            <w:r w:rsidRPr="00362517">
              <w:t>17,803</w:t>
            </w:r>
          </w:p>
        </w:tc>
        <w:tc>
          <w:tcPr>
            <w:tcW w:w="1964" w:type="dxa"/>
          </w:tcPr>
          <w:p w14:paraId="3E203EE9" w14:textId="77777777" w:rsidR="00D8365A" w:rsidRPr="00362517" w:rsidRDefault="00D8365A" w:rsidP="00BF6BC7">
            <w:pPr>
              <w:pStyle w:val="BodyText"/>
              <w:tabs>
                <w:tab w:val="decimal" w:pos="1223"/>
              </w:tabs>
            </w:pPr>
            <w:r w:rsidRPr="00362517">
              <w:t>0</w:t>
            </w:r>
          </w:p>
        </w:tc>
        <w:tc>
          <w:tcPr>
            <w:tcW w:w="1964" w:type="dxa"/>
          </w:tcPr>
          <w:p w14:paraId="761A4396" w14:textId="77777777" w:rsidR="00D8365A" w:rsidRPr="00362517" w:rsidRDefault="00D8365A" w:rsidP="00BF6BC7">
            <w:pPr>
              <w:pStyle w:val="BodyText"/>
              <w:tabs>
                <w:tab w:val="decimal" w:pos="1238"/>
              </w:tabs>
            </w:pPr>
            <w:r w:rsidRPr="00362517">
              <w:t>17,803</w:t>
            </w:r>
          </w:p>
        </w:tc>
        <w:tc>
          <w:tcPr>
            <w:tcW w:w="1622" w:type="dxa"/>
            <w:vAlign w:val="center"/>
          </w:tcPr>
          <w:p w14:paraId="689FD49D" w14:textId="77777777" w:rsidR="00D8365A" w:rsidRPr="00362517" w:rsidRDefault="00D8365A" w:rsidP="00BF6BC7">
            <w:pPr>
              <w:pStyle w:val="BodyText"/>
              <w:tabs>
                <w:tab w:val="decimal" w:pos="969"/>
              </w:tabs>
              <w:rPr>
                <w:sz w:val="22"/>
                <w:szCs w:val="22"/>
              </w:rPr>
            </w:pPr>
            <w:r w:rsidRPr="00362517">
              <w:t>116</w:t>
            </w:r>
          </w:p>
        </w:tc>
      </w:tr>
      <w:tr w:rsidR="00D8365A" w:rsidRPr="00362517" w14:paraId="014F2752" w14:textId="77777777" w:rsidTr="007A2164">
        <w:tc>
          <w:tcPr>
            <w:tcW w:w="2245" w:type="dxa"/>
            <w:tcBorders>
              <w:bottom w:val="single" w:sz="12" w:space="0" w:color="auto"/>
            </w:tcBorders>
          </w:tcPr>
          <w:p w14:paraId="33AE7D1C" w14:textId="77777777" w:rsidR="00D8365A" w:rsidRPr="00362517" w:rsidRDefault="00D8365A" w:rsidP="00BF6BC7">
            <w:pPr>
              <w:pStyle w:val="BodyText"/>
            </w:pPr>
            <w:r w:rsidRPr="00362517">
              <w:t>Other Jurisdictions</w:t>
            </w:r>
            <w:r w:rsidRPr="00362517">
              <w:rPr>
                <w:rFonts w:cs="Times New Roman"/>
                <w:sz w:val="22"/>
                <w:szCs w:val="22"/>
                <w:vertAlign w:val="superscript"/>
              </w:rPr>
              <w:t xml:space="preserve"> 3</w:t>
            </w:r>
          </w:p>
        </w:tc>
        <w:tc>
          <w:tcPr>
            <w:tcW w:w="1565" w:type="dxa"/>
            <w:tcBorders>
              <w:bottom w:val="single" w:sz="12" w:space="0" w:color="auto"/>
            </w:tcBorders>
            <w:vAlign w:val="center"/>
          </w:tcPr>
          <w:p w14:paraId="48026FC4" w14:textId="77777777" w:rsidR="00D8365A" w:rsidRPr="00362517" w:rsidRDefault="00D8365A" w:rsidP="00BF6BC7">
            <w:pPr>
              <w:pStyle w:val="BodyText"/>
              <w:tabs>
                <w:tab w:val="decimal" w:pos="1135"/>
              </w:tabs>
              <w:rPr>
                <w:sz w:val="22"/>
                <w:szCs w:val="22"/>
              </w:rPr>
            </w:pPr>
            <w:r w:rsidRPr="00362517">
              <w:t>4,271</w:t>
            </w:r>
          </w:p>
        </w:tc>
        <w:tc>
          <w:tcPr>
            <w:tcW w:w="1964" w:type="dxa"/>
            <w:tcBorders>
              <w:bottom w:val="single" w:sz="12" w:space="0" w:color="auto"/>
            </w:tcBorders>
          </w:tcPr>
          <w:p w14:paraId="20868ED1" w14:textId="77777777" w:rsidR="00D8365A" w:rsidRPr="00362517" w:rsidRDefault="00D8365A" w:rsidP="00BF6BC7">
            <w:pPr>
              <w:pStyle w:val="BodyText"/>
              <w:tabs>
                <w:tab w:val="decimal" w:pos="1223"/>
              </w:tabs>
            </w:pPr>
            <w:r w:rsidRPr="00362517">
              <w:t>0</w:t>
            </w:r>
          </w:p>
        </w:tc>
        <w:tc>
          <w:tcPr>
            <w:tcW w:w="1964" w:type="dxa"/>
            <w:tcBorders>
              <w:bottom w:val="single" w:sz="12" w:space="0" w:color="auto"/>
            </w:tcBorders>
          </w:tcPr>
          <w:p w14:paraId="6521AEE2" w14:textId="77777777" w:rsidR="00D8365A" w:rsidRPr="00362517" w:rsidRDefault="00D8365A" w:rsidP="00BF6BC7">
            <w:pPr>
              <w:pStyle w:val="BodyText"/>
              <w:tabs>
                <w:tab w:val="decimal" w:pos="1238"/>
              </w:tabs>
            </w:pPr>
            <w:r w:rsidRPr="00362517">
              <w:t>4,271</w:t>
            </w:r>
          </w:p>
        </w:tc>
        <w:tc>
          <w:tcPr>
            <w:tcW w:w="1622" w:type="dxa"/>
            <w:tcBorders>
              <w:bottom w:val="single" w:sz="12" w:space="0" w:color="auto"/>
            </w:tcBorders>
            <w:vAlign w:val="center"/>
          </w:tcPr>
          <w:p w14:paraId="583EEE77" w14:textId="77777777" w:rsidR="00D8365A" w:rsidRPr="00362517" w:rsidRDefault="00D8365A" w:rsidP="00BF6BC7">
            <w:pPr>
              <w:pStyle w:val="BodyText"/>
              <w:tabs>
                <w:tab w:val="decimal" w:pos="969"/>
              </w:tabs>
              <w:rPr>
                <w:sz w:val="22"/>
                <w:szCs w:val="22"/>
              </w:rPr>
            </w:pPr>
            <w:r w:rsidRPr="00362517">
              <w:t>25</w:t>
            </w:r>
          </w:p>
        </w:tc>
      </w:tr>
      <w:tr w:rsidR="00D8365A" w:rsidRPr="00362517" w14:paraId="1A167A68" w14:textId="77777777" w:rsidTr="007A2164">
        <w:tc>
          <w:tcPr>
            <w:tcW w:w="2245" w:type="dxa"/>
            <w:tcBorders>
              <w:top w:val="single" w:sz="12" w:space="0" w:color="auto"/>
              <w:bottom w:val="single" w:sz="12" w:space="0" w:color="auto"/>
            </w:tcBorders>
          </w:tcPr>
          <w:p w14:paraId="54A43155" w14:textId="77777777" w:rsidR="00D8365A" w:rsidRPr="00362517" w:rsidRDefault="00D8365A" w:rsidP="00BF6BC7">
            <w:pPr>
              <w:pStyle w:val="BodyText"/>
              <w:rPr>
                <w:b/>
              </w:rPr>
            </w:pPr>
            <w:r w:rsidRPr="00362517">
              <w:rPr>
                <w:b/>
              </w:rPr>
              <w:t>U.S.</w:t>
            </w:r>
          </w:p>
        </w:tc>
        <w:tc>
          <w:tcPr>
            <w:tcW w:w="1565" w:type="dxa"/>
            <w:tcBorders>
              <w:top w:val="single" w:sz="12" w:space="0" w:color="auto"/>
              <w:bottom w:val="single" w:sz="12" w:space="0" w:color="auto"/>
            </w:tcBorders>
            <w:vAlign w:val="center"/>
          </w:tcPr>
          <w:p w14:paraId="3A055ABA" w14:textId="77777777" w:rsidR="00D8365A" w:rsidRPr="00362517" w:rsidRDefault="00D8365A" w:rsidP="00BF6BC7">
            <w:pPr>
              <w:pStyle w:val="BodyText"/>
              <w:tabs>
                <w:tab w:val="decimal" w:pos="1135"/>
              </w:tabs>
              <w:rPr>
                <w:b/>
                <w:sz w:val="22"/>
                <w:szCs w:val="22"/>
              </w:rPr>
            </w:pPr>
            <w:r w:rsidRPr="00362517">
              <w:rPr>
                <w:b/>
              </w:rPr>
              <w:t>929,065</w:t>
            </w:r>
          </w:p>
        </w:tc>
        <w:tc>
          <w:tcPr>
            <w:tcW w:w="1964" w:type="dxa"/>
            <w:tcBorders>
              <w:top w:val="single" w:sz="12" w:space="0" w:color="auto"/>
              <w:bottom w:val="single" w:sz="12" w:space="0" w:color="auto"/>
            </w:tcBorders>
          </w:tcPr>
          <w:p w14:paraId="7A76767F" w14:textId="77777777" w:rsidR="00D8365A" w:rsidRPr="00362517" w:rsidRDefault="00D8365A" w:rsidP="00BF6BC7">
            <w:pPr>
              <w:pStyle w:val="BodyText"/>
              <w:tabs>
                <w:tab w:val="decimal" w:pos="1223"/>
              </w:tabs>
              <w:rPr>
                <w:b/>
              </w:rPr>
            </w:pPr>
            <w:r w:rsidRPr="00362517">
              <w:rPr>
                <w:b/>
              </w:rPr>
              <w:t>10,174</w:t>
            </w:r>
          </w:p>
        </w:tc>
        <w:tc>
          <w:tcPr>
            <w:tcW w:w="1964" w:type="dxa"/>
            <w:tcBorders>
              <w:top w:val="single" w:sz="12" w:space="0" w:color="auto"/>
              <w:bottom w:val="single" w:sz="12" w:space="0" w:color="auto"/>
            </w:tcBorders>
          </w:tcPr>
          <w:p w14:paraId="2DACD9AD" w14:textId="77777777" w:rsidR="00D8365A" w:rsidRPr="00362517" w:rsidRDefault="00D8365A" w:rsidP="00BF6BC7">
            <w:pPr>
              <w:pStyle w:val="BodyText"/>
              <w:tabs>
                <w:tab w:val="decimal" w:pos="1238"/>
              </w:tabs>
              <w:rPr>
                <w:b/>
              </w:rPr>
            </w:pPr>
            <w:r w:rsidRPr="00362517">
              <w:rPr>
                <w:b/>
              </w:rPr>
              <w:t>918,892</w:t>
            </w:r>
          </w:p>
        </w:tc>
        <w:tc>
          <w:tcPr>
            <w:tcW w:w="1622" w:type="dxa"/>
            <w:tcBorders>
              <w:top w:val="single" w:sz="12" w:space="0" w:color="auto"/>
              <w:bottom w:val="single" w:sz="12" w:space="0" w:color="auto"/>
            </w:tcBorders>
            <w:vAlign w:val="center"/>
          </w:tcPr>
          <w:p w14:paraId="5B279F48" w14:textId="77777777" w:rsidR="00D8365A" w:rsidRPr="00362517" w:rsidRDefault="00D8365A" w:rsidP="00BF6BC7">
            <w:pPr>
              <w:pStyle w:val="BodyText"/>
              <w:tabs>
                <w:tab w:val="decimal" w:pos="969"/>
              </w:tabs>
              <w:rPr>
                <w:b/>
                <w:sz w:val="22"/>
                <w:szCs w:val="22"/>
              </w:rPr>
            </w:pPr>
            <w:r w:rsidRPr="00362517">
              <w:rPr>
                <w:b/>
              </w:rPr>
              <w:t>5,589</w:t>
            </w:r>
          </w:p>
        </w:tc>
      </w:tr>
    </w:tbl>
    <w:p w14:paraId="6B6294D0" w14:textId="77777777" w:rsidR="00D8365A" w:rsidRPr="00362517" w:rsidRDefault="00D8365A" w:rsidP="00BF6BC7">
      <w:pPr>
        <w:pStyle w:val="BodyText"/>
        <w:rPr>
          <w:sz w:val="22"/>
          <w:szCs w:val="22"/>
        </w:rPr>
      </w:pPr>
      <w:r w:rsidRPr="00362517">
        <w:rPr>
          <w:sz w:val="22"/>
          <w:szCs w:val="22"/>
        </w:rPr>
        <w:t>Source:  EPA estimation based on BLS (2015) and CPARD (2015).</w:t>
      </w:r>
    </w:p>
    <w:p w14:paraId="3FF3CFC5" w14:textId="77777777" w:rsidR="00D8365A" w:rsidRPr="00362517" w:rsidRDefault="00D8365A" w:rsidP="00BF6BC7">
      <w:pPr>
        <w:pStyle w:val="BodyText"/>
        <w:ind w:left="360" w:hanging="360"/>
        <w:rPr>
          <w:sz w:val="22"/>
          <w:szCs w:val="22"/>
        </w:rPr>
      </w:pPr>
      <w:r w:rsidRPr="00362517">
        <w:rPr>
          <w:vertAlign w:val="superscript"/>
        </w:rPr>
        <w:t>1</w:t>
      </w:r>
      <w:r w:rsidRPr="00362517">
        <w:rPr>
          <w:sz w:val="20"/>
          <w:szCs w:val="20"/>
        </w:rPr>
        <w:tab/>
      </w:r>
      <w:r w:rsidRPr="00362517">
        <w:rPr>
          <w:sz w:val="22"/>
          <w:szCs w:val="22"/>
        </w:rPr>
        <w:t>Estimate based on employment in pest control reported in BLS, less number of certified applicators.</w:t>
      </w:r>
    </w:p>
    <w:p w14:paraId="07769B1A" w14:textId="77777777" w:rsidR="00D8365A" w:rsidRPr="00362517" w:rsidRDefault="00D8365A" w:rsidP="00BF6BC7">
      <w:pPr>
        <w:pStyle w:val="BodyText"/>
        <w:ind w:left="360" w:hanging="360"/>
        <w:rPr>
          <w:sz w:val="22"/>
          <w:szCs w:val="22"/>
        </w:rPr>
      </w:pPr>
      <w:r w:rsidRPr="00362517">
        <w:rPr>
          <w:vertAlign w:val="superscript"/>
        </w:rPr>
        <w:t>2</w:t>
      </w:r>
      <w:r w:rsidRPr="00362517">
        <w:rPr>
          <w:sz w:val="22"/>
          <w:szCs w:val="22"/>
        </w:rPr>
        <w:tab/>
        <w:t>Assumes an average of three noncertified applicators for every certified applicator.</w:t>
      </w:r>
    </w:p>
    <w:p w14:paraId="6C28E273" w14:textId="77777777" w:rsidR="00D8365A" w:rsidRPr="00362517" w:rsidRDefault="00D8365A" w:rsidP="00BF6BC7">
      <w:pPr>
        <w:pStyle w:val="BodyText"/>
        <w:ind w:left="360" w:hanging="360"/>
        <w:rPr>
          <w:sz w:val="22"/>
          <w:szCs w:val="22"/>
        </w:rPr>
      </w:pPr>
      <w:r w:rsidRPr="00362517">
        <w:rPr>
          <w:vertAlign w:val="superscript"/>
        </w:rPr>
        <w:t>3</w:t>
      </w:r>
      <w:r w:rsidRPr="00362517">
        <w:rPr>
          <w:sz w:val="22"/>
          <w:szCs w:val="22"/>
        </w:rPr>
        <w:tab/>
        <w:t>Assumes the number of noncertified applicators varies across certification category.</w:t>
      </w:r>
    </w:p>
    <w:p w14:paraId="778443D8" w14:textId="77777777" w:rsidR="00D8365A" w:rsidRPr="00362517" w:rsidRDefault="00D8365A" w:rsidP="00BF6BC7">
      <w:pPr>
        <w:pStyle w:val="BodyText"/>
        <w:ind w:left="360" w:hanging="360"/>
        <w:rPr>
          <w:sz w:val="22"/>
          <w:szCs w:val="22"/>
        </w:rPr>
      </w:pPr>
      <w:r w:rsidRPr="00362517">
        <w:rPr>
          <w:vertAlign w:val="superscript"/>
        </w:rPr>
        <w:t>4</w:t>
      </w:r>
      <w:r w:rsidRPr="00362517">
        <w:rPr>
          <w:sz w:val="22"/>
          <w:szCs w:val="22"/>
        </w:rPr>
        <w:tab/>
        <w:t>State prohibits noncertified applicators from applying RUPs.</w:t>
      </w:r>
    </w:p>
    <w:p w14:paraId="282BAF3B" w14:textId="77777777" w:rsidR="00D8365A" w:rsidRPr="00362517" w:rsidRDefault="00D8365A" w:rsidP="00BF6BC7">
      <w:pPr>
        <w:pStyle w:val="BodyText"/>
        <w:ind w:left="360" w:hanging="360"/>
        <w:rPr>
          <w:sz w:val="22"/>
          <w:szCs w:val="22"/>
        </w:rPr>
      </w:pPr>
      <w:r w:rsidRPr="00362517">
        <w:rPr>
          <w:vertAlign w:val="superscript"/>
        </w:rPr>
        <w:t>5</w:t>
      </w:r>
      <w:r w:rsidRPr="00362517">
        <w:rPr>
          <w:sz w:val="22"/>
          <w:szCs w:val="22"/>
        </w:rPr>
        <w:tab/>
        <w:t>State minimum age of 18 for noncertified applicators applying RUPs.</w:t>
      </w:r>
    </w:p>
    <w:p w14:paraId="2EEE245B" w14:textId="77777777" w:rsidR="00D8365A" w:rsidRPr="00362517" w:rsidRDefault="00D8365A" w:rsidP="00BF6BC7"/>
    <w:p w14:paraId="00F57A33" w14:textId="77777777" w:rsidR="00D8365A" w:rsidRPr="00362517" w:rsidRDefault="00D8365A" w:rsidP="00BF6BC7">
      <w:r w:rsidRPr="00362517">
        <w:t>EPA also estimates there are 10,174 noncertified applicators in the agricultural sector and 918,892 in the non-agricultural sectors.  Under the final revisions to the Certification requirements, noncertified applicators must undergo pesticide safety training.  Noncertified applicators in the agricultural sector will be in compliance with this requirement as they are also subject to training provisions under the Worker Protection Standard (WPS).  To estimate the number of noncertified applicators already subject to the WPS requirement, EPA multiplies the total number of noncertified applicators by the proportion of people employed in pest control in the Agricultural Support Sector out of all pest control employment reported in the BLS data (2015).  Several states have no reported employment in pest control within the Agricultural Support Sector including the New England states, but also states such as Maryland, Delaware, Nevada, Oklahoma, Utah, West Virginia, and Wyoming where employment would be expected.  Therefore, the number of noncertified applicators in compliance with the training requirement in the baseline is likely underestimated.  In the Economic Analysis of the Worker Protection Standard Revisions (EPA, 2015), EPA estimated there are approximately 14,000 pesticide handlers employed by commercial pesticide handling establishments, but did not estimate the number of handlers for each state.</w:t>
      </w:r>
    </w:p>
    <w:p w14:paraId="645DA069" w14:textId="77777777" w:rsidR="00D8365A" w:rsidRPr="00362517" w:rsidRDefault="00D8365A" w:rsidP="00BF6BC7"/>
    <w:p w14:paraId="76DFCA96" w14:textId="657DBBFE" w:rsidR="00D8365A" w:rsidRPr="00362517" w:rsidRDefault="00D8365A" w:rsidP="00BF6BC7">
      <w:pPr>
        <w:pStyle w:val="BodyText"/>
      </w:pPr>
      <w:r w:rsidRPr="00362517">
        <w:t>The number of noncertified adolescents applying RUPs under the direct supervision of a commercial applicator is also of interest, given that EPA is establishing a minimum age of 18.  According to the Current Population Survey (BLS, 2016b), over the 2012 to 2014 time period, an average of 76,700 people were employed in pest control occupations within the category of Building and Grounds Cleaning and Maintenance, of which 1,000 were aged 16 to 19 inclusive.  This category is representative of the turf and ornamental and the industrial, institutional, and structural category which houses the majority of commercial applicators.  Assuming a uniform distribution across the years, about 500 adolescents, aged 16 and 17, are employed in pest control, or 0.65 percent of the 76,700 persons employed.  We apply this percentage across all states to estimate the number of noncertified 16 and 17 year olds applying RUPs under the direct supervision of a commercial applicator.  For Federal Agencies, we assume there are no adolescents working under the supervision of a certified applicator.  We are likely overestimating the number of adolescents applying RUPs, since 18 and 19 year olds probably make up more than half of the employed persons in this age group.  Several states have set a minimum age of 18 for applying RUPs.  As shown in Table 3.3-4, EPA estimates about 5,600 adolescents UTS of commercial applicators.</w:t>
      </w:r>
    </w:p>
    <w:p w14:paraId="026BDE1F" w14:textId="77777777" w:rsidR="00D8365A" w:rsidRPr="00362517" w:rsidRDefault="00D8365A" w:rsidP="00BF6BC7"/>
    <w:p w14:paraId="7F350806" w14:textId="77777777" w:rsidR="00D8365A" w:rsidRPr="00362517" w:rsidRDefault="00D8365A" w:rsidP="00BF6BC7"/>
    <w:p w14:paraId="3081DA4D" w14:textId="77777777" w:rsidR="00D8365A" w:rsidRPr="00362517" w:rsidRDefault="00D8365A" w:rsidP="00BF6BC7">
      <w:pPr>
        <w:pStyle w:val="Heading3"/>
      </w:pPr>
      <w:bookmarkStart w:id="149" w:name="_Toc395788104"/>
      <w:bookmarkStart w:id="150" w:name="_Toc396483160"/>
      <w:bookmarkStart w:id="151" w:name="_Toc452020141"/>
      <w:bookmarkStart w:id="152" w:name="_Toc456270164"/>
      <w:bookmarkStart w:id="153" w:name="_Toc468872080"/>
      <w:r w:rsidRPr="00362517">
        <w:t>3.3.3</w:t>
      </w:r>
      <w:r w:rsidRPr="00362517">
        <w:tab/>
        <w:t>Private applicators</w:t>
      </w:r>
      <w:bookmarkEnd w:id="149"/>
      <w:bookmarkEnd w:id="150"/>
      <w:bookmarkEnd w:id="151"/>
      <w:bookmarkEnd w:id="152"/>
      <w:bookmarkEnd w:id="153"/>
    </w:p>
    <w:p w14:paraId="00A079CB" w14:textId="77777777" w:rsidR="00D8365A" w:rsidRPr="00362517" w:rsidRDefault="00D8365A" w:rsidP="00BF6BC7"/>
    <w:p w14:paraId="276D0E9B" w14:textId="77777777" w:rsidR="00D8365A" w:rsidRPr="00362517" w:rsidRDefault="00D8365A" w:rsidP="00BF6BC7">
      <w:pPr>
        <w:pStyle w:val="BodyText"/>
      </w:pPr>
      <w:r w:rsidRPr="00362517">
        <w:t xml:space="preserve">The number of private applicators is also reported to CPARD by the certifying authorities.  To assess the possibility of a trend, the total number of private applicators in the U.S. from 2008 to 2014 was regressed against a time variable.  The estimated coefficient on time for the number of initial certifications was positive, but not was statistically significant, while that for existing applicators was negative and statistically significant.  Given the limited time series and conflicting results, EPA estimates the number of private applicators affected by changes to the Certification regulations as the simple average over the 2009 to 2014 period, </w:t>
      </w:r>
      <w:r w:rsidRPr="00362517">
        <w:rPr>
          <w:i/>
        </w:rPr>
        <w:t>i.e.</w:t>
      </w:r>
      <w:r w:rsidRPr="00362517">
        <w:t>, no trend over time for either first-time or existing private applicators.  As with the number of commercial applicators, data from 2008 was excluded because of some reporting problems or lack of reporting.  Table 3.3-5 presents the numbers for private applicators in each jurisdiction.</w:t>
      </w:r>
    </w:p>
    <w:p w14:paraId="1DD60A15" w14:textId="77777777" w:rsidR="00D8365A" w:rsidRPr="00362517" w:rsidRDefault="00D8365A" w:rsidP="00BF6BC7"/>
    <w:p w14:paraId="374D8855" w14:textId="77777777" w:rsidR="00D8365A" w:rsidRPr="00362517" w:rsidRDefault="00D8365A" w:rsidP="00BF6BC7">
      <w:pPr>
        <w:pStyle w:val="Caption"/>
      </w:pPr>
      <w:r w:rsidRPr="00362517">
        <w:t>Table 3.3-5:</w:t>
      </w:r>
      <w:r w:rsidRPr="00362517">
        <w:tab/>
        <w:t>Private Applicators, by Jurisdiction</w:t>
      </w:r>
    </w:p>
    <w:tbl>
      <w:tblPr>
        <w:tblW w:w="9360" w:type="dxa"/>
        <w:tblInd w:w="20" w:type="dxa"/>
        <w:tblLook w:val="04A0" w:firstRow="1" w:lastRow="0" w:firstColumn="1" w:lastColumn="0" w:noHBand="0" w:noVBand="1"/>
      </w:tblPr>
      <w:tblGrid>
        <w:gridCol w:w="3138"/>
        <w:gridCol w:w="3143"/>
        <w:gridCol w:w="3079"/>
      </w:tblGrid>
      <w:tr w:rsidR="00D8365A" w:rsidRPr="00362517" w14:paraId="35055E51" w14:textId="77777777" w:rsidTr="007A2164">
        <w:trPr>
          <w:trHeight w:val="270"/>
        </w:trPr>
        <w:tc>
          <w:tcPr>
            <w:tcW w:w="1676" w:type="pct"/>
            <w:tcBorders>
              <w:top w:val="single" w:sz="4" w:space="0" w:color="auto"/>
              <w:left w:val="single" w:sz="4" w:space="0" w:color="auto"/>
              <w:bottom w:val="double" w:sz="6" w:space="0" w:color="auto"/>
              <w:right w:val="single" w:sz="4" w:space="0" w:color="auto"/>
            </w:tcBorders>
            <w:shd w:val="clear" w:color="auto" w:fill="auto"/>
            <w:noWrap/>
            <w:hideMark/>
          </w:tcPr>
          <w:p w14:paraId="3473E5A8" w14:textId="77777777" w:rsidR="00D8365A" w:rsidRPr="00362517" w:rsidRDefault="00D8365A" w:rsidP="00BF6BC7">
            <w:pPr>
              <w:rPr>
                <w:b/>
                <w:lang w:eastAsia="ko-KR"/>
              </w:rPr>
            </w:pPr>
            <w:r w:rsidRPr="00362517">
              <w:rPr>
                <w:b/>
                <w:lang w:eastAsia="ko-KR"/>
              </w:rPr>
              <w:t>Jurisdiction</w:t>
            </w:r>
          </w:p>
        </w:tc>
        <w:tc>
          <w:tcPr>
            <w:tcW w:w="1679" w:type="pct"/>
            <w:tcBorders>
              <w:top w:val="single" w:sz="4" w:space="0" w:color="auto"/>
              <w:left w:val="nil"/>
              <w:bottom w:val="double" w:sz="6" w:space="0" w:color="auto"/>
              <w:right w:val="single" w:sz="4" w:space="0" w:color="auto"/>
            </w:tcBorders>
            <w:shd w:val="clear" w:color="auto" w:fill="auto"/>
            <w:noWrap/>
            <w:hideMark/>
          </w:tcPr>
          <w:p w14:paraId="5D3E25D0" w14:textId="77777777" w:rsidR="00D8365A" w:rsidRPr="00362517" w:rsidRDefault="00D8365A" w:rsidP="00BF6BC7">
            <w:pPr>
              <w:jc w:val="center"/>
              <w:rPr>
                <w:b/>
                <w:lang w:eastAsia="ko-KR"/>
              </w:rPr>
            </w:pPr>
            <w:r w:rsidRPr="00362517">
              <w:rPr>
                <w:b/>
                <w:lang w:eastAsia="ko-KR"/>
              </w:rPr>
              <w:t>First-Time Applicators</w:t>
            </w:r>
          </w:p>
        </w:tc>
        <w:tc>
          <w:tcPr>
            <w:tcW w:w="1645" w:type="pct"/>
            <w:tcBorders>
              <w:top w:val="single" w:sz="4" w:space="0" w:color="auto"/>
              <w:left w:val="nil"/>
              <w:bottom w:val="double" w:sz="6" w:space="0" w:color="auto"/>
              <w:right w:val="single" w:sz="4" w:space="0" w:color="auto"/>
            </w:tcBorders>
            <w:shd w:val="clear" w:color="auto" w:fill="auto"/>
            <w:noWrap/>
            <w:hideMark/>
          </w:tcPr>
          <w:p w14:paraId="343D76DA" w14:textId="77777777" w:rsidR="00D8365A" w:rsidRPr="00362517" w:rsidRDefault="00D8365A" w:rsidP="00BF6BC7">
            <w:pPr>
              <w:jc w:val="center"/>
              <w:rPr>
                <w:b/>
                <w:lang w:eastAsia="ko-KR"/>
              </w:rPr>
            </w:pPr>
            <w:r w:rsidRPr="00362517">
              <w:rPr>
                <w:b/>
                <w:lang w:eastAsia="ko-KR"/>
              </w:rPr>
              <w:t>Existing Applicators</w:t>
            </w:r>
          </w:p>
        </w:tc>
      </w:tr>
      <w:tr w:rsidR="00D8365A" w:rsidRPr="00362517" w14:paraId="309DC7CD" w14:textId="77777777" w:rsidTr="007A2164">
        <w:trPr>
          <w:trHeight w:val="270"/>
        </w:trPr>
        <w:tc>
          <w:tcPr>
            <w:tcW w:w="1676" w:type="pct"/>
            <w:tcBorders>
              <w:top w:val="nil"/>
              <w:left w:val="single" w:sz="4" w:space="0" w:color="auto"/>
              <w:bottom w:val="single" w:sz="4" w:space="0" w:color="auto"/>
              <w:right w:val="single" w:sz="4" w:space="0" w:color="auto"/>
            </w:tcBorders>
            <w:shd w:val="clear" w:color="auto" w:fill="auto"/>
            <w:hideMark/>
          </w:tcPr>
          <w:p w14:paraId="2A000A17" w14:textId="77777777" w:rsidR="00D8365A" w:rsidRPr="00362517" w:rsidRDefault="00D8365A" w:rsidP="00BF6BC7">
            <w:pPr>
              <w:rPr>
                <w:lang w:eastAsia="ko-KR"/>
              </w:rPr>
            </w:pPr>
            <w:r w:rsidRPr="00362517">
              <w:rPr>
                <w:lang w:eastAsia="ko-KR"/>
              </w:rPr>
              <w:t>Alabama</w:t>
            </w:r>
          </w:p>
        </w:tc>
        <w:tc>
          <w:tcPr>
            <w:tcW w:w="1679" w:type="pct"/>
            <w:tcBorders>
              <w:top w:val="nil"/>
              <w:left w:val="nil"/>
              <w:bottom w:val="single" w:sz="4" w:space="0" w:color="auto"/>
              <w:right w:val="single" w:sz="4" w:space="0" w:color="auto"/>
            </w:tcBorders>
            <w:shd w:val="clear" w:color="auto" w:fill="auto"/>
            <w:noWrap/>
            <w:hideMark/>
          </w:tcPr>
          <w:p w14:paraId="5E8FE4D4" w14:textId="77777777" w:rsidR="00D8365A" w:rsidRPr="00362517" w:rsidRDefault="00D8365A" w:rsidP="00BF6BC7">
            <w:pPr>
              <w:tabs>
                <w:tab w:val="decimal" w:pos="2251"/>
              </w:tabs>
            </w:pPr>
            <w:r w:rsidRPr="00362517">
              <w:t>633</w:t>
            </w:r>
          </w:p>
        </w:tc>
        <w:tc>
          <w:tcPr>
            <w:tcW w:w="1645" w:type="pct"/>
            <w:tcBorders>
              <w:top w:val="nil"/>
              <w:left w:val="nil"/>
              <w:bottom w:val="single" w:sz="4" w:space="0" w:color="auto"/>
              <w:right w:val="single" w:sz="4" w:space="0" w:color="auto"/>
            </w:tcBorders>
            <w:shd w:val="clear" w:color="auto" w:fill="auto"/>
            <w:noWrap/>
            <w:hideMark/>
          </w:tcPr>
          <w:p w14:paraId="514A7600" w14:textId="77777777" w:rsidR="00D8365A" w:rsidRPr="00362517" w:rsidRDefault="00D8365A" w:rsidP="00BF6BC7">
            <w:pPr>
              <w:tabs>
                <w:tab w:val="decimal" w:pos="2001"/>
              </w:tabs>
            </w:pPr>
            <w:r w:rsidRPr="00362517">
              <w:t>4,914</w:t>
            </w:r>
          </w:p>
        </w:tc>
      </w:tr>
      <w:tr w:rsidR="00D8365A" w:rsidRPr="00362517" w14:paraId="584217D2"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3006C93B" w14:textId="77777777" w:rsidR="00D8365A" w:rsidRPr="00362517" w:rsidRDefault="00D8365A" w:rsidP="00BF6BC7">
            <w:pPr>
              <w:rPr>
                <w:lang w:eastAsia="ko-KR"/>
              </w:rPr>
            </w:pPr>
            <w:r w:rsidRPr="00362517">
              <w:rPr>
                <w:lang w:eastAsia="ko-KR"/>
              </w:rPr>
              <w:t>Alaska</w:t>
            </w:r>
          </w:p>
        </w:tc>
        <w:tc>
          <w:tcPr>
            <w:tcW w:w="1679" w:type="pct"/>
            <w:tcBorders>
              <w:top w:val="nil"/>
              <w:left w:val="nil"/>
              <w:bottom w:val="single" w:sz="4" w:space="0" w:color="auto"/>
              <w:right w:val="single" w:sz="4" w:space="0" w:color="auto"/>
            </w:tcBorders>
            <w:shd w:val="clear" w:color="auto" w:fill="auto"/>
            <w:noWrap/>
            <w:hideMark/>
          </w:tcPr>
          <w:p w14:paraId="0F62BA66" w14:textId="77777777" w:rsidR="00D8365A" w:rsidRPr="00362517" w:rsidRDefault="00D8365A" w:rsidP="00BF6BC7">
            <w:pPr>
              <w:tabs>
                <w:tab w:val="decimal" w:pos="2251"/>
              </w:tabs>
            </w:pPr>
            <w:r w:rsidRPr="00362517">
              <w:t>6</w:t>
            </w:r>
          </w:p>
        </w:tc>
        <w:tc>
          <w:tcPr>
            <w:tcW w:w="1645" w:type="pct"/>
            <w:tcBorders>
              <w:top w:val="nil"/>
              <w:left w:val="nil"/>
              <w:bottom w:val="single" w:sz="4" w:space="0" w:color="auto"/>
              <w:right w:val="single" w:sz="4" w:space="0" w:color="auto"/>
            </w:tcBorders>
            <w:shd w:val="clear" w:color="auto" w:fill="auto"/>
            <w:noWrap/>
            <w:hideMark/>
          </w:tcPr>
          <w:p w14:paraId="599585FD" w14:textId="77777777" w:rsidR="00D8365A" w:rsidRPr="00362517" w:rsidRDefault="00D8365A" w:rsidP="00BF6BC7">
            <w:pPr>
              <w:tabs>
                <w:tab w:val="decimal" w:pos="2001"/>
              </w:tabs>
            </w:pPr>
            <w:r w:rsidRPr="00362517">
              <w:t>72</w:t>
            </w:r>
          </w:p>
        </w:tc>
      </w:tr>
      <w:tr w:rsidR="00D8365A" w:rsidRPr="00362517" w14:paraId="4C68BD51"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7A98B61E" w14:textId="77777777" w:rsidR="00D8365A" w:rsidRPr="00362517" w:rsidRDefault="00D8365A" w:rsidP="00BF6BC7">
            <w:pPr>
              <w:rPr>
                <w:lang w:eastAsia="ko-KR"/>
              </w:rPr>
            </w:pPr>
            <w:r w:rsidRPr="00362517">
              <w:rPr>
                <w:lang w:eastAsia="ko-KR"/>
              </w:rPr>
              <w:t>Arizona</w:t>
            </w:r>
          </w:p>
        </w:tc>
        <w:tc>
          <w:tcPr>
            <w:tcW w:w="1679" w:type="pct"/>
            <w:tcBorders>
              <w:top w:val="nil"/>
              <w:left w:val="nil"/>
              <w:bottom w:val="single" w:sz="4" w:space="0" w:color="auto"/>
              <w:right w:val="single" w:sz="4" w:space="0" w:color="auto"/>
            </w:tcBorders>
            <w:shd w:val="clear" w:color="auto" w:fill="auto"/>
            <w:noWrap/>
            <w:hideMark/>
          </w:tcPr>
          <w:p w14:paraId="4F8F8D24" w14:textId="77777777" w:rsidR="00D8365A" w:rsidRPr="00362517" w:rsidRDefault="00D8365A" w:rsidP="00BF6BC7">
            <w:pPr>
              <w:tabs>
                <w:tab w:val="decimal" w:pos="2251"/>
              </w:tabs>
            </w:pPr>
            <w:r w:rsidRPr="00362517">
              <w:t>75</w:t>
            </w:r>
          </w:p>
        </w:tc>
        <w:tc>
          <w:tcPr>
            <w:tcW w:w="1645" w:type="pct"/>
            <w:tcBorders>
              <w:top w:val="nil"/>
              <w:left w:val="nil"/>
              <w:bottom w:val="single" w:sz="4" w:space="0" w:color="auto"/>
              <w:right w:val="single" w:sz="4" w:space="0" w:color="auto"/>
            </w:tcBorders>
            <w:shd w:val="clear" w:color="auto" w:fill="auto"/>
            <w:noWrap/>
            <w:hideMark/>
          </w:tcPr>
          <w:p w14:paraId="51267BD0" w14:textId="77777777" w:rsidR="00D8365A" w:rsidRPr="00362517" w:rsidRDefault="00D8365A" w:rsidP="00BF6BC7">
            <w:pPr>
              <w:tabs>
                <w:tab w:val="decimal" w:pos="2001"/>
              </w:tabs>
            </w:pPr>
            <w:r w:rsidRPr="00362517">
              <w:t>372</w:t>
            </w:r>
          </w:p>
        </w:tc>
      </w:tr>
      <w:tr w:rsidR="00D8365A" w:rsidRPr="00362517" w14:paraId="1F8924C6"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6933B5B3" w14:textId="77777777" w:rsidR="00D8365A" w:rsidRPr="00362517" w:rsidRDefault="00D8365A" w:rsidP="00BF6BC7">
            <w:pPr>
              <w:rPr>
                <w:lang w:eastAsia="ko-KR"/>
              </w:rPr>
            </w:pPr>
            <w:r w:rsidRPr="00362517">
              <w:rPr>
                <w:lang w:eastAsia="ko-KR"/>
              </w:rPr>
              <w:t>Arkansas</w:t>
            </w:r>
          </w:p>
        </w:tc>
        <w:tc>
          <w:tcPr>
            <w:tcW w:w="1679" w:type="pct"/>
            <w:tcBorders>
              <w:top w:val="nil"/>
              <w:left w:val="nil"/>
              <w:bottom w:val="single" w:sz="4" w:space="0" w:color="auto"/>
              <w:right w:val="single" w:sz="4" w:space="0" w:color="auto"/>
            </w:tcBorders>
            <w:shd w:val="clear" w:color="auto" w:fill="auto"/>
            <w:noWrap/>
            <w:hideMark/>
          </w:tcPr>
          <w:p w14:paraId="7FCE75BB" w14:textId="77777777" w:rsidR="00D8365A" w:rsidRPr="00362517" w:rsidRDefault="00D8365A" w:rsidP="00BF6BC7">
            <w:pPr>
              <w:tabs>
                <w:tab w:val="decimal" w:pos="2251"/>
              </w:tabs>
            </w:pPr>
            <w:r w:rsidRPr="00362517">
              <w:t>1,462</w:t>
            </w:r>
          </w:p>
        </w:tc>
        <w:tc>
          <w:tcPr>
            <w:tcW w:w="1645" w:type="pct"/>
            <w:tcBorders>
              <w:top w:val="nil"/>
              <w:left w:val="nil"/>
              <w:bottom w:val="single" w:sz="4" w:space="0" w:color="auto"/>
              <w:right w:val="single" w:sz="4" w:space="0" w:color="auto"/>
            </w:tcBorders>
            <w:shd w:val="clear" w:color="auto" w:fill="auto"/>
            <w:noWrap/>
            <w:hideMark/>
          </w:tcPr>
          <w:p w14:paraId="2E8781BE" w14:textId="77777777" w:rsidR="00D8365A" w:rsidRPr="00362517" w:rsidRDefault="00D8365A" w:rsidP="00BF6BC7">
            <w:pPr>
              <w:tabs>
                <w:tab w:val="decimal" w:pos="2001"/>
              </w:tabs>
            </w:pPr>
            <w:r w:rsidRPr="00362517">
              <w:t>19,417</w:t>
            </w:r>
          </w:p>
        </w:tc>
      </w:tr>
      <w:tr w:rsidR="00D8365A" w:rsidRPr="00362517" w14:paraId="5EBCAA62"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6B549618" w14:textId="77777777" w:rsidR="00D8365A" w:rsidRPr="00362517" w:rsidRDefault="00D8365A" w:rsidP="00BF6BC7">
            <w:pPr>
              <w:rPr>
                <w:lang w:eastAsia="ko-KR"/>
              </w:rPr>
            </w:pPr>
            <w:r w:rsidRPr="00362517">
              <w:rPr>
                <w:lang w:eastAsia="ko-KR"/>
              </w:rPr>
              <w:t>California</w:t>
            </w:r>
          </w:p>
        </w:tc>
        <w:tc>
          <w:tcPr>
            <w:tcW w:w="1679" w:type="pct"/>
            <w:tcBorders>
              <w:top w:val="nil"/>
              <w:left w:val="nil"/>
              <w:bottom w:val="single" w:sz="4" w:space="0" w:color="auto"/>
              <w:right w:val="single" w:sz="4" w:space="0" w:color="auto"/>
            </w:tcBorders>
            <w:shd w:val="clear" w:color="auto" w:fill="auto"/>
            <w:noWrap/>
            <w:hideMark/>
          </w:tcPr>
          <w:p w14:paraId="270F1294" w14:textId="77777777" w:rsidR="00D8365A" w:rsidRPr="00362517" w:rsidRDefault="00D8365A" w:rsidP="00BF6BC7">
            <w:pPr>
              <w:tabs>
                <w:tab w:val="decimal" w:pos="2251"/>
              </w:tabs>
            </w:pPr>
            <w:r w:rsidRPr="00362517">
              <w:t>1,241</w:t>
            </w:r>
          </w:p>
        </w:tc>
        <w:tc>
          <w:tcPr>
            <w:tcW w:w="1645" w:type="pct"/>
            <w:tcBorders>
              <w:top w:val="nil"/>
              <w:left w:val="nil"/>
              <w:bottom w:val="single" w:sz="4" w:space="0" w:color="auto"/>
              <w:right w:val="single" w:sz="4" w:space="0" w:color="auto"/>
            </w:tcBorders>
            <w:shd w:val="clear" w:color="auto" w:fill="auto"/>
            <w:noWrap/>
            <w:hideMark/>
          </w:tcPr>
          <w:p w14:paraId="084874FC" w14:textId="77777777" w:rsidR="00D8365A" w:rsidRPr="00362517" w:rsidRDefault="00D8365A" w:rsidP="00BF6BC7">
            <w:pPr>
              <w:tabs>
                <w:tab w:val="decimal" w:pos="2001"/>
              </w:tabs>
            </w:pPr>
            <w:r w:rsidRPr="00362517">
              <w:t>17,275</w:t>
            </w:r>
          </w:p>
        </w:tc>
      </w:tr>
      <w:tr w:rsidR="00D8365A" w:rsidRPr="00362517" w14:paraId="1D3ABF3E"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06E14C58" w14:textId="77777777" w:rsidR="00D8365A" w:rsidRPr="00362517" w:rsidRDefault="00D8365A" w:rsidP="00BF6BC7">
            <w:pPr>
              <w:rPr>
                <w:lang w:eastAsia="ko-KR"/>
              </w:rPr>
            </w:pPr>
            <w:r w:rsidRPr="00362517">
              <w:rPr>
                <w:lang w:eastAsia="ko-KR"/>
              </w:rPr>
              <w:t>Colorado</w:t>
            </w:r>
          </w:p>
        </w:tc>
        <w:tc>
          <w:tcPr>
            <w:tcW w:w="1679" w:type="pct"/>
            <w:tcBorders>
              <w:top w:val="nil"/>
              <w:left w:val="nil"/>
              <w:bottom w:val="single" w:sz="4" w:space="0" w:color="auto"/>
              <w:right w:val="single" w:sz="4" w:space="0" w:color="auto"/>
            </w:tcBorders>
            <w:shd w:val="clear" w:color="auto" w:fill="auto"/>
            <w:noWrap/>
            <w:hideMark/>
          </w:tcPr>
          <w:p w14:paraId="0C3A7E2D" w14:textId="77777777" w:rsidR="00D8365A" w:rsidRPr="00362517" w:rsidRDefault="00D8365A" w:rsidP="00BF6BC7">
            <w:pPr>
              <w:tabs>
                <w:tab w:val="decimal" w:pos="2251"/>
              </w:tabs>
            </w:pPr>
            <w:r w:rsidRPr="00362517">
              <w:t>375</w:t>
            </w:r>
          </w:p>
        </w:tc>
        <w:tc>
          <w:tcPr>
            <w:tcW w:w="1645" w:type="pct"/>
            <w:tcBorders>
              <w:top w:val="nil"/>
              <w:left w:val="nil"/>
              <w:bottom w:val="single" w:sz="4" w:space="0" w:color="auto"/>
              <w:right w:val="single" w:sz="4" w:space="0" w:color="auto"/>
            </w:tcBorders>
            <w:shd w:val="clear" w:color="auto" w:fill="auto"/>
            <w:noWrap/>
            <w:hideMark/>
          </w:tcPr>
          <w:p w14:paraId="3B072C49" w14:textId="77777777" w:rsidR="00D8365A" w:rsidRPr="00362517" w:rsidRDefault="00D8365A" w:rsidP="00BF6BC7">
            <w:pPr>
              <w:tabs>
                <w:tab w:val="decimal" w:pos="2001"/>
              </w:tabs>
            </w:pPr>
            <w:r w:rsidRPr="00362517">
              <w:t>4,955</w:t>
            </w:r>
          </w:p>
        </w:tc>
      </w:tr>
      <w:tr w:rsidR="00D8365A" w:rsidRPr="00362517" w14:paraId="46F5177E"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71C77561" w14:textId="77777777" w:rsidR="00D8365A" w:rsidRPr="00362517" w:rsidRDefault="00D8365A" w:rsidP="00BF6BC7">
            <w:pPr>
              <w:rPr>
                <w:lang w:eastAsia="ko-KR"/>
              </w:rPr>
            </w:pPr>
            <w:r w:rsidRPr="00362517">
              <w:rPr>
                <w:lang w:eastAsia="ko-KR"/>
              </w:rPr>
              <w:t>Connecticut</w:t>
            </w:r>
          </w:p>
        </w:tc>
        <w:tc>
          <w:tcPr>
            <w:tcW w:w="1679" w:type="pct"/>
            <w:tcBorders>
              <w:top w:val="nil"/>
              <w:left w:val="nil"/>
              <w:bottom w:val="single" w:sz="4" w:space="0" w:color="auto"/>
              <w:right w:val="single" w:sz="4" w:space="0" w:color="auto"/>
            </w:tcBorders>
            <w:shd w:val="clear" w:color="auto" w:fill="auto"/>
            <w:noWrap/>
            <w:hideMark/>
          </w:tcPr>
          <w:p w14:paraId="0BEEEB80" w14:textId="77777777" w:rsidR="00D8365A" w:rsidRPr="00362517" w:rsidRDefault="00D8365A" w:rsidP="00BF6BC7">
            <w:pPr>
              <w:tabs>
                <w:tab w:val="decimal" w:pos="2251"/>
              </w:tabs>
            </w:pPr>
            <w:r w:rsidRPr="00362517">
              <w:t>21</w:t>
            </w:r>
          </w:p>
        </w:tc>
        <w:tc>
          <w:tcPr>
            <w:tcW w:w="1645" w:type="pct"/>
            <w:tcBorders>
              <w:top w:val="nil"/>
              <w:left w:val="nil"/>
              <w:bottom w:val="single" w:sz="4" w:space="0" w:color="auto"/>
              <w:right w:val="single" w:sz="4" w:space="0" w:color="auto"/>
            </w:tcBorders>
            <w:shd w:val="clear" w:color="auto" w:fill="auto"/>
            <w:noWrap/>
            <w:hideMark/>
          </w:tcPr>
          <w:p w14:paraId="67CD3848" w14:textId="77777777" w:rsidR="00D8365A" w:rsidRPr="00362517" w:rsidRDefault="00D8365A" w:rsidP="00BF6BC7">
            <w:pPr>
              <w:tabs>
                <w:tab w:val="decimal" w:pos="2001"/>
              </w:tabs>
            </w:pPr>
            <w:r w:rsidRPr="00362517">
              <w:t>522</w:t>
            </w:r>
          </w:p>
        </w:tc>
      </w:tr>
      <w:tr w:rsidR="00D8365A" w:rsidRPr="00362517" w14:paraId="07AE6362"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439327D9" w14:textId="77777777" w:rsidR="00D8365A" w:rsidRPr="00362517" w:rsidRDefault="00D8365A" w:rsidP="00BF6BC7">
            <w:pPr>
              <w:rPr>
                <w:lang w:eastAsia="ko-KR"/>
              </w:rPr>
            </w:pPr>
            <w:r w:rsidRPr="00362517">
              <w:rPr>
                <w:lang w:eastAsia="ko-KR"/>
              </w:rPr>
              <w:t>Delaware</w:t>
            </w:r>
          </w:p>
        </w:tc>
        <w:tc>
          <w:tcPr>
            <w:tcW w:w="1679" w:type="pct"/>
            <w:tcBorders>
              <w:top w:val="nil"/>
              <w:left w:val="nil"/>
              <w:bottom w:val="single" w:sz="4" w:space="0" w:color="auto"/>
              <w:right w:val="single" w:sz="4" w:space="0" w:color="auto"/>
            </w:tcBorders>
            <w:shd w:val="clear" w:color="auto" w:fill="auto"/>
            <w:noWrap/>
            <w:hideMark/>
          </w:tcPr>
          <w:p w14:paraId="7F6C78F5" w14:textId="77777777" w:rsidR="00D8365A" w:rsidRPr="00362517" w:rsidRDefault="00D8365A" w:rsidP="00BF6BC7">
            <w:pPr>
              <w:tabs>
                <w:tab w:val="decimal" w:pos="2251"/>
              </w:tabs>
            </w:pPr>
            <w:r w:rsidRPr="00362517">
              <w:t>80</w:t>
            </w:r>
          </w:p>
        </w:tc>
        <w:tc>
          <w:tcPr>
            <w:tcW w:w="1645" w:type="pct"/>
            <w:tcBorders>
              <w:top w:val="nil"/>
              <w:left w:val="nil"/>
              <w:bottom w:val="single" w:sz="4" w:space="0" w:color="auto"/>
              <w:right w:val="single" w:sz="4" w:space="0" w:color="auto"/>
            </w:tcBorders>
            <w:shd w:val="clear" w:color="auto" w:fill="auto"/>
            <w:noWrap/>
            <w:hideMark/>
          </w:tcPr>
          <w:p w14:paraId="7F6959FE" w14:textId="77777777" w:rsidR="00D8365A" w:rsidRPr="00362517" w:rsidRDefault="00D8365A" w:rsidP="00BF6BC7">
            <w:pPr>
              <w:tabs>
                <w:tab w:val="decimal" w:pos="2001"/>
              </w:tabs>
            </w:pPr>
            <w:r w:rsidRPr="00362517">
              <w:t>634</w:t>
            </w:r>
          </w:p>
        </w:tc>
      </w:tr>
      <w:tr w:rsidR="00D8365A" w:rsidRPr="00362517" w14:paraId="367DFF2C"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48274EB0" w14:textId="77777777" w:rsidR="00D8365A" w:rsidRPr="00362517" w:rsidRDefault="00D8365A" w:rsidP="00BF6BC7">
            <w:pPr>
              <w:rPr>
                <w:lang w:eastAsia="ko-KR"/>
              </w:rPr>
            </w:pPr>
            <w:r w:rsidRPr="00362517">
              <w:rPr>
                <w:lang w:eastAsia="ko-KR"/>
              </w:rPr>
              <w:t>Florida</w:t>
            </w:r>
          </w:p>
        </w:tc>
        <w:tc>
          <w:tcPr>
            <w:tcW w:w="1679" w:type="pct"/>
            <w:tcBorders>
              <w:top w:val="nil"/>
              <w:left w:val="nil"/>
              <w:bottom w:val="single" w:sz="4" w:space="0" w:color="auto"/>
              <w:right w:val="single" w:sz="4" w:space="0" w:color="auto"/>
            </w:tcBorders>
            <w:shd w:val="clear" w:color="auto" w:fill="auto"/>
            <w:noWrap/>
            <w:hideMark/>
          </w:tcPr>
          <w:p w14:paraId="27029699" w14:textId="77777777" w:rsidR="00D8365A" w:rsidRPr="00362517" w:rsidRDefault="00D8365A" w:rsidP="00BF6BC7">
            <w:pPr>
              <w:tabs>
                <w:tab w:val="decimal" w:pos="2251"/>
              </w:tabs>
            </w:pPr>
            <w:r w:rsidRPr="00362517">
              <w:t>338</w:t>
            </w:r>
          </w:p>
        </w:tc>
        <w:tc>
          <w:tcPr>
            <w:tcW w:w="1645" w:type="pct"/>
            <w:tcBorders>
              <w:top w:val="nil"/>
              <w:left w:val="nil"/>
              <w:bottom w:val="single" w:sz="4" w:space="0" w:color="auto"/>
              <w:right w:val="single" w:sz="4" w:space="0" w:color="auto"/>
            </w:tcBorders>
            <w:shd w:val="clear" w:color="auto" w:fill="auto"/>
            <w:noWrap/>
            <w:hideMark/>
          </w:tcPr>
          <w:p w14:paraId="29582B33" w14:textId="77777777" w:rsidR="00D8365A" w:rsidRPr="00362517" w:rsidRDefault="00D8365A" w:rsidP="00BF6BC7">
            <w:pPr>
              <w:tabs>
                <w:tab w:val="decimal" w:pos="2001"/>
              </w:tabs>
            </w:pPr>
            <w:r w:rsidRPr="00362517">
              <w:t>3,649</w:t>
            </w:r>
          </w:p>
        </w:tc>
      </w:tr>
      <w:tr w:rsidR="00D8365A" w:rsidRPr="00362517" w14:paraId="16A810BD"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1AB304F1" w14:textId="77777777" w:rsidR="00D8365A" w:rsidRPr="00362517" w:rsidRDefault="00D8365A" w:rsidP="00BF6BC7">
            <w:pPr>
              <w:rPr>
                <w:lang w:eastAsia="ko-KR"/>
              </w:rPr>
            </w:pPr>
            <w:r w:rsidRPr="00362517">
              <w:rPr>
                <w:lang w:eastAsia="ko-KR"/>
              </w:rPr>
              <w:t>Georgia</w:t>
            </w:r>
          </w:p>
        </w:tc>
        <w:tc>
          <w:tcPr>
            <w:tcW w:w="1679" w:type="pct"/>
            <w:tcBorders>
              <w:top w:val="nil"/>
              <w:left w:val="nil"/>
              <w:bottom w:val="single" w:sz="4" w:space="0" w:color="auto"/>
              <w:right w:val="single" w:sz="4" w:space="0" w:color="auto"/>
            </w:tcBorders>
            <w:shd w:val="clear" w:color="auto" w:fill="auto"/>
            <w:noWrap/>
            <w:hideMark/>
          </w:tcPr>
          <w:p w14:paraId="60D14FBD" w14:textId="77777777" w:rsidR="00D8365A" w:rsidRPr="00362517" w:rsidRDefault="00D8365A" w:rsidP="00BF6BC7">
            <w:pPr>
              <w:tabs>
                <w:tab w:val="decimal" w:pos="2251"/>
              </w:tabs>
            </w:pPr>
            <w:r w:rsidRPr="00362517">
              <w:t>1,672</w:t>
            </w:r>
          </w:p>
        </w:tc>
        <w:tc>
          <w:tcPr>
            <w:tcW w:w="1645" w:type="pct"/>
            <w:tcBorders>
              <w:top w:val="nil"/>
              <w:left w:val="nil"/>
              <w:bottom w:val="single" w:sz="4" w:space="0" w:color="auto"/>
              <w:right w:val="single" w:sz="4" w:space="0" w:color="auto"/>
            </w:tcBorders>
            <w:shd w:val="clear" w:color="auto" w:fill="auto"/>
            <w:noWrap/>
            <w:hideMark/>
          </w:tcPr>
          <w:p w14:paraId="58ECFCB8" w14:textId="77777777" w:rsidR="00D8365A" w:rsidRPr="00362517" w:rsidRDefault="00D8365A" w:rsidP="00BF6BC7">
            <w:pPr>
              <w:tabs>
                <w:tab w:val="decimal" w:pos="2001"/>
              </w:tabs>
            </w:pPr>
            <w:r w:rsidRPr="00362517">
              <w:t>17,305</w:t>
            </w:r>
          </w:p>
        </w:tc>
      </w:tr>
      <w:tr w:rsidR="00D8365A" w:rsidRPr="00362517" w14:paraId="5992CC04"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4896D9BB" w14:textId="77777777" w:rsidR="00D8365A" w:rsidRPr="00362517" w:rsidRDefault="00D8365A" w:rsidP="00BF6BC7">
            <w:pPr>
              <w:rPr>
                <w:lang w:eastAsia="ko-KR"/>
              </w:rPr>
            </w:pPr>
            <w:r w:rsidRPr="00362517">
              <w:rPr>
                <w:lang w:eastAsia="ko-KR"/>
              </w:rPr>
              <w:t>Hawaii</w:t>
            </w:r>
          </w:p>
        </w:tc>
        <w:tc>
          <w:tcPr>
            <w:tcW w:w="1679" w:type="pct"/>
            <w:tcBorders>
              <w:top w:val="nil"/>
              <w:left w:val="nil"/>
              <w:bottom w:val="single" w:sz="4" w:space="0" w:color="auto"/>
              <w:right w:val="single" w:sz="4" w:space="0" w:color="auto"/>
            </w:tcBorders>
            <w:shd w:val="clear" w:color="auto" w:fill="auto"/>
            <w:noWrap/>
            <w:hideMark/>
          </w:tcPr>
          <w:p w14:paraId="5E2BC82D" w14:textId="77777777" w:rsidR="00D8365A" w:rsidRPr="00362517" w:rsidRDefault="00D8365A" w:rsidP="00BF6BC7">
            <w:pPr>
              <w:tabs>
                <w:tab w:val="decimal" w:pos="2251"/>
              </w:tabs>
            </w:pPr>
            <w:r w:rsidRPr="00362517">
              <w:t>33</w:t>
            </w:r>
          </w:p>
        </w:tc>
        <w:tc>
          <w:tcPr>
            <w:tcW w:w="1645" w:type="pct"/>
            <w:tcBorders>
              <w:top w:val="nil"/>
              <w:left w:val="nil"/>
              <w:bottom w:val="single" w:sz="4" w:space="0" w:color="auto"/>
              <w:right w:val="single" w:sz="4" w:space="0" w:color="auto"/>
            </w:tcBorders>
            <w:shd w:val="clear" w:color="auto" w:fill="auto"/>
            <w:noWrap/>
            <w:hideMark/>
          </w:tcPr>
          <w:p w14:paraId="50AB601B" w14:textId="77777777" w:rsidR="00D8365A" w:rsidRPr="00362517" w:rsidRDefault="00D8365A" w:rsidP="00BF6BC7">
            <w:pPr>
              <w:tabs>
                <w:tab w:val="decimal" w:pos="2001"/>
              </w:tabs>
            </w:pPr>
            <w:r w:rsidRPr="00362517">
              <w:t>387</w:t>
            </w:r>
          </w:p>
        </w:tc>
      </w:tr>
      <w:tr w:rsidR="00D8365A" w:rsidRPr="00362517" w14:paraId="19DAB754"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6FA997FB" w14:textId="77777777" w:rsidR="00D8365A" w:rsidRPr="00362517" w:rsidRDefault="00D8365A" w:rsidP="00BF6BC7">
            <w:pPr>
              <w:rPr>
                <w:lang w:eastAsia="ko-KR"/>
              </w:rPr>
            </w:pPr>
            <w:r w:rsidRPr="00362517">
              <w:rPr>
                <w:lang w:eastAsia="ko-KR"/>
              </w:rPr>
              <w:t>Idaho</w:t>
            </w:r>
          </w:p>
        </w:tc>
        <w:tc>
          <w:tcPr>
            <w:tcW w:w="1679" w:type="pct"/>
            <w:tcBorders>
              <w:top w:val="nil"/>
              <w:left w:val="nil"/>
              <w:bottom w:val="single" w:sz="4" w:space="0" w:color="auto"/>
              <w:right w:val="single" w:sz="4" w:space="0" w:color="auto"/>
            </w:tcBorders>
            <w:shd w:val="clear" w:color="auto" w:fill="auto"/>
            <w:noWrap/>
            <w:hideMark/>
          </w:tcPr>
          <w:p w14:paraId="583872EA" w14:textId="77777777" w:rsidR="00D8365A" w:rsidRPr="00362517" w:rsidRDefault="00D8365A" w:rsidP="00BF6BC7">
            <w:pPr>
              <w:tabs>
                <w:tab w:val="decimal" w:pos="2251"/>
              </w:tabs>
            </w:pPr>
            <w:r w:rsidRPr="00362517">
              <w:t>134</w:t>
            </w:r>
          </w:p>
        </w:tc>
        <w:tc>
          <w:tcPr>
            <w:tcW w:w="1645" w:type="pct"/>
            <w:tcBorders>
              <w:top w:val="nil"/>
              <w:left w:val="nil"/>
              <w:bottom w:val="single" w:sz="4" w:space="0" w:color="auto"/>
              <w:right w:val="single" w:sz="4" w:space="0" w:color="auto"/>
            </w:tcBorders>
            <w:shd w:val="clear" w:color="auto" w:fill="auto"/>
            <w:noWrap/>
            <w:hideMark/>
          </w:tcPr>
          <w:p w14:paraId="089D693B" w14:textId="77777777" w:rsidR="00D8365A" w:rsidRPr="00362517" w:rsidRDefault="00D8365A" w:rsidP="00BF6BC7">
            <w:pPr>
              <w:tabs>
                <w:tab w:val="decimal" w:pos="2001"/>
              </w:tabs>
            </w:pPr>
            <w:r w:rsidRPr="00362517">
              <w:t>3,401</w:t>
            </w:r>
          </w:p>
        </w:tc>
      </w:tr>
      <w:tr w:rsidR="00D8365A" w:rsidRPr="00362517" w14:paraId="1277F474"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76B7E283" w14:textId="77777777" w:rsidR="00D8365A" w:rsidRPr="00362517" w:rsidRDefault="00D8365A" w:rsidP="00BF6BC7">
            <w:pPr>
              <w:rPr>
                <w:lang w:eastAsia="ko-KR"/>
              </w:rPr>
            </w:pPr>
            <w:r w:rsidRPr="00362517">
              <w:rPr>
                <w:lang w:eastAsia="ko-KR"/>
              </w:rPr>
              <w:t>Illinois</w:t>
            </w:r>
          </w:p>
        </w:tc>
        <w:tc>
          <w:tcPr>
            <w:tcW w:w="1679" w:type="pct"/>
            <w:tcBorders>
              <w:top w:val="nil"/>
              <w:left w:val="nil"/>
              <w:bottom w:val="single" w:sz="4" w:space="0" w:color="auto"/>
              <w:right w:val="single" w:sz="4" w:space="0" w:color="auto"/>
            </w:tcBorders>
            <w:shd w:val="clear" w:color="auto" w:fill="auto"/>
            <w:noWrap/>
            <w:hideMark/>
          </w:tcPr>
          <w:p w14:paraId="0779A2FF" w14:textId="77777777" w:rsidR="00D8365A" w:rsidRPr="00362517" w:rsidRDefault="00D8365A" w:rsidP="00BF6BC7">
            <w:pPr>
              <w:tabs>
                <w:tab w:val="decimal" w:pos="2251"/>
              </w:tabs>
            </w:pPr>
            <w:r w:rsidRPr="00362517">
              <w:t>1,086</w:t>
            </w:r>
          </w:p>
        </w:tc>
        <w:tc>
          <w:tcPr>
            <w:tcW w:w="1645" w:type="pct"/>
            <w:tcBorders>
              <w:top w:val="nil"/>
              <w:left w:val="nil"/>
              <w:bottom w:val="single" w:sz="4" w:space="0" w:color="auto"/>
              <w:right w:val="single" w:sz="4" w:space="0" w:color="auto"/>
            </w:tcBorders>
            <w:shd w:val="clear" w:color="auto" w:fill="auto"/>
            <w:noWrap/>
            <w:hideMark/>
          </w:tcPr>
          <w:p w14:paraId="606EB739" w14:textId="77777777" w:rsidR="00D8365A" w:rsidRPr="00362517" w:rsidRDefault="00D8365A" w:rsidP="00BF6BC7">
            <w:pPr>
              <w:tabs>
                <w:tab w:val="decimal" w:pos="2001"/>
              </w:tabs>
            </w:pPr>
            <w:r w:rsidRPr="00362517">
              <w:t>15,755</w:t>
            </w:r>
          </w:p>
        </w:tc>
      </w:tr>
      <w:tr w:rsidR="00D8365A" w:rsidRPr="00362517" w14:paraId="7FEDDBF1"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1EE9CB74" w14:textId="77777777" w:rsidR="00D8365A" w:rsidRPr="00362517" w:rsidRDefault="00D8365A" w:rsidP="00BF6BC7">
            <w:pPr>
              <w:rPr>
                <w:lang w:eastAsia="ko-KR"/>
              </w:rPr>
            </w:pPr>
            <w:r w:rsidRPr="00362517">
              <w:rPr>
                <w:lang w:eastAsia="ko-KR"/>
              </w:rPr>
              <w:t>Indiana</w:t>
            </w:r>
          </w:p>
        </w:tc>
        <w:tc>
          <w:tcPr>
            <w:tcW w:w="1679" w:type="pct"/>
            <w:tcBorders>
              <w:top w:val="nil"/>
              <w:left w:val="nil"/>
              <w:bottom w:val="single" w:sz="4" w:space="0" w:color="auto"/>
              <w:right w:val="single" w:sz="4" w:space="0" w:color="auto"/>
            </w:tcBorders>
            <w:shd w:val="clear" w:color="auto" w:fill="auto"/>
            <w:noWrap/>
            <w:hideMark/>
          </w:tcPr>
          <w:p w14:paraId="0A2ED54B" w14:textId="77777777" w:rsidR="00D8365A" w:rsidRPr="00362517" w:rsidRDefault="00D8365A" w:rsidP="00BF6BC7">
            <w:pPr>
              <w:tabs>
                <w:tab w:val="decimal" w:pos="2251"/>
              </w:tabs>
            </w:pPr>
            <w:r w:rsidRPr="00362517">
              <w:t>751</w:t>
            </w:r>
          </w:p>
        </w:tc>
        <w:tc>
          <w:tcPr>
            <w:tcW w:w="1645" w:type="pct"/>
            <w:tcBorders>
              <w:top w:val="nil"/>
              <w:left w:val="nil"/>
              <w:bottom w:val="single" w:sz="4" w:space="0" w:color="auto"/>
              <w:right w:val="single" w:sz="4" w:space="0" w:color="auto"/>
            </w:tcBorders>
            <w:shd w:val="clear" w:color="auto" w:fill="auto"/>
            <w:noWrap/>
            <w:hideMark/>
          </w:tcPr>
          <w:p w14:paraId="41B961E8" w14:textId="77777777" w:rsidR="00D8365A" w:rsidRPr="00362517" w:rsidRDefault="00D8365A" w:rsidP="00BF6BC7">
            <w:pPr>
              <w:tabs>
                <w:tab w:val="decimal" w:pos="2001"/>
              </w:tabs>
            </w:pPr>
            <w:r w:rsidRPr="00362517">
              <w:t>11,961</w:t>
            </w:r>
          </w:p>
        </w:tc>
      </w:tr>
      <w:tr w:rsidR="00D8365A" w:rsidRPr="00362517" w14:paraId="573D56F4"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631BA482" w14:textId="77777777" w:rsidR="00D8365A" w:rsidRPr="00362517" w:rsidRDefault="00D8365A" w:rsidP="00BF6BC7">
            <w:pPr>
              <w:rPr>
                <w:lang w:eastAsia="ko-KR"/>
              </w:rPr>
            </w:pPr>
            <w:r w:rsidRPr="00362517">
              <w:rPr>
                <w:lang w:eastAsia="ko-KR"/>
              </w:rPr>
              <w:t>Iowa</w:t>
            </w:r>
          </w:p>
        </w:tc>
        <w:tc>
          <w:tcPr>
            <w:tcW w:w="1679" w:type="pct"/>
            <w:tcBorders>
              <w:top w:val="nil"/>
              <w:left w:val="nil"/>
              <w:bottom w:val="single" w:sz="4" w:space="0" w:color="auto"/>
              <w:right w:val="single" w:sz="4" w:space="0" w:color="auto"/>
            </w:tcBorders>
            <w:shd w:val="clear" w:color="auto" w:fill="auto"/>
            <w:noWrap/>
            <w:hideMark/>
          </w:tcPr>
          <w:p w14:paraId="36830816" w14:textId="77777777" w:rsidR="00D8365A" w:rsidRPr="00362517" w:rsidRDefault="00D8365A" w:rsidP="00BF6BC7">
            <w:pPr>
              <w:tabs>
                <w:tab w:val="decimal" w:pos="2251"/>
              </w:tabs>
            </w:pPr>
            <w:r w:rsidRPr="00362517">
              <w:t>721</w:t>
            </w:r>
          </w:p>
        </w:tc>
        <w:tc>
          <w:tcPr>
            <w:tcW w:w="1645" w:type="pct"/>
            <w:tcBorders>
              <w:top w:val="nil"/>
              <w:left w:val="nil"/>
              <w:bottom w:val="single" w:sz="4" w:space="0" w:color="auto"/>
              <w:right w:val="single" w:sz="4" w:space="0" w:color="auto"/>
            </w:tcBorders>
            <w:shd w:val="clear" w:color="auto" w:fill="auto"/>
            <w:noWrap/>
            <w:hideMark/>
          </w:tcPr>
          <w:p w14:paraId="5BDA0D4E" w14:textId="77777777" w:rsidR="00D8365A" w:rsidRPr="00362517" w:rsidRDefault="00D8365A" w:rsidP="00BF6BC7">
            <w:pPr>
              <w:tabs>
                <w:tab w:val="decimal" w:pos="2001"/>
              </w:tabs>
            </w:pPr>
            <w:r w:rsidRPr="00362517">
              <w:t>21,793</w:t>
            </w:r>
          </w:p>
        </w:tc>
      </w:tr>
      <w:tr w:rsidR="00D8365A" w:rsidRPr="00362517" w14:paraId="095D5ADB"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673DC4E0" w14:textId="77777777" w:rsidR="00D8365A" w:rsidRPr="00362517" w:rsidRDefault="00D8365A" w:rsidP="00BF6BC7">
            <w:pPr>
              <w:rPr>
                <w:lang w:eastAsia="ko-KR"/>
              </w:rPr>
            </w:pPr>
            <w:r w:rsidRPr="00362517">
              <w:rPr>
                <w:lang w:eastAsia="ko-KR"/>
              </w:rPr>
              <w:t>Kansas</w:t>
            </w:r>
          </w:p>
        </w:tc>
        <w:tc>
          <w:tcPr>
            <w:tcW w:w="1679" w:type="pct"/>
            <w:tcBorders>
              <w:top w:val="nil"/>
              <w:left w:val="nil"/>
              <w:bottom w:val="single" w:sz="4" w:space="0" w:color="auto"/>
              <w:right w:val="single" w:sz="4" w:space="0" w:color="auto"/>
            </w:tcBorders>
            <w:shd w:val="clear" w:color="auto" w:fill="auto"/>
            <w:noWrap/>
            <w:hideMark/>
          </w:tcPr>
          <w:p w14:paraId="47B6B757" w14:textId="77777777" w:rsidR="00D8365A" w:rsidRPr="00362517" w:rsidRDefault="00D8365A" w:rsidP="00BF6BC7">
            <w:pPr>
              <w:tabs>
                <w:tab w:val="decimal" w:pos="2251"/>
              </w:tabs>
            </w:pPr>
            <w:r w:rsidRPr="00362517">
              <w:t>1,099</w:t>
            </w:r>
          </w:p>
        </w:tc>
        <w:tc>
          <w:tcPr>
            <w:tcW w:w="1645" w:type="pct"/>
            <w:tcBorders>
              <w:top w:val="nil"/>
              <w:left w:val="nil"/>
              <w:bottom w:val="single" w:sz="4" w:space="0" w:color="auto"/>
              <w:right w:val="single" w:sz="4" w:space="0" w:color="auto"/>
            </w:tcBorders>
            <w:shd w:val="clear" w:color="auto" w:fill="auto"/>
            <w:noWrap/>
            <w:hideMark/>
          </w:tcPr>
          <w:p w14:paraId="47A46902" w14:textId="77777777" w:rsidR="00D8365A" w:rsidRPr="00362517" w:rsidRDefault="00D8365A" w:rsidP="00BF6BC7">
            <w:pPr>
              <w:tabs>
                <w:tab w:val="decimal" w:pos="2001"/>
              </w:tabs>
            </w:pPr>
            <w:r w:rsidRPr="00362517">
              <w:t>13,674</w:t>
            </w:r>
          </w:p>
        </w:tc>
      </w:tr>
      <w:tr w:rsidR="00D8365A" w:rsidRPr="00362517" w14:paraId="69B1F65A"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5D7330F7" w14:textId="77777777" w:rsidR="00D8365A" w:rsidRPr="00362517" w:rsidRDefault="00D8365A" w:rsidP="00BF6BC7">
            <w:pPr>
              <w:rPr>
                <w:lang w:eastAsia="ko-KR"/>
              </w:rPr>
            </w:pPr>
            <w:r w:rsidRPr="00362517">
              <w:rPr>
                <w:lang w:eastAsia="ko-KR"/>
              </w:rPr>
              <w:t>Kentucky</w:t>
            </w:r>
          </w:p>
        </w:tc>
        <w:tc>
          <w:tcPr>
            <w:tcW w:w="1679" w:type="pct"/>
            <w:tcBorders>
              <w:top w:val="nil"/>
              <w:left w:val="nil"/>
              <w:bottom w:val="single" w:sz="4" w:space="0" w:color="auto"/>
              <w:right w:val="single" w:sz="4" w:space="0" w:color="auto"/>
            </w:tcBorders>
            <w:shd w:val="clear" w:color="auto" w:fill="auto"/>
            <w:noWrap/>
            <w:hideMark/>
          </w:tcPr>
          <w:p w14:paraId="272A506B" w14:textId="77777777" w:rsidR="00D8365A" w:rsidRPr="00362517" w:rsidRDefault="00D8365A" w:rsidP="00BF6BC7">
            <w:pPr>
              <w:tabs>
                <w:tab w:val="decimal" w:pos="2251"/>
              </w:tabs>
            </w:pPr>
            <w:r w:rsidRPr="00362517">
              <w:t>2,338</w:t>
            </w:r>
          </w:p>
        </w:tc>
        <w:tc>
          <w:tcPr>
            <w:tcW w:w="1645" w:type="pct"/>
            <w:tcBorders>
              <w:top w:val="nil"/>
              <w:left w:val="nil"/>
              <w:bottom w:val="single" w:sz="4" w:space="0" w:color="auto"/>
              <w:right w:val="single" w:sz="4" w:space="0" w:color="auto"/>
            </w:tcBorders>
            <w:shd w:val="clear" w:color="auto" w:fill="auto"/>
            <w:noWrap/>
            <w:hideMark/>
          </w:tcPr>
          <w:p w14:paraId="1D5BE6CD" w14:textId="77777777" w:rsidR="00D8365A" w:rsidRPr="00362517" w:rsidRDefault="00D8365A" w:rsidP="00BF6BC7">
            <w:pPr>
              <w:tabs>
                <w:tab w:val="decimal" w:pos="2001"/>
              </w:tabs>
            </w:pPr>
            <w:r w:rsidRPr="00362517">
              <w:t>10,883</w:t>
            </w:r>
          </w:p>
        </w:tc>
      </w:tr>
      <w:tr w:rsidR="00D8365A" w:rsidRPr="00362517" w14:paraId="47ECA13E"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6B44B728" w14:textId="77777777" w:rsidR="00D8365A" w:rsidRPr="00362517" w:rsidRDefault="00D8365A" w:rsidP="00BF6BC7">
            <w:pPr>
              <w:rPr>
                <w:lang w:eastAsia="ko-KR"/>
              </w:rPr>
            </w:pPr>
            <w:r w:rsidRPr="00362517">
              <w:rPr>
                <w:lang w:eastAsia="ko-KR"/>
              </w:rPr>
              <w:t>Louisiana</w:t>
            </w:r>
          </w:p>
        </w:tc>
        <w:tc>
          <w:tcPr>
            <w:tcW w:w="1679" w:type="pct"/>
            <w:tcBorders>
              <w:top w:val="nil"/>
              <w:left w:val="nil"/>
              <w:bottom w:val="single" w:sz="4" w:space="0" w:color="auto"/>
              <w:right w:val="single" w:sz="4" w:space="0" w:color="auto"/>
            </w:tcBorders>
            <w:shd w:val="clear" w:color="auto" w:fill="auto"/>
            <w:noWrap/>
            <w:hideMark/>
          </w:tcPr>
          <w:p w14:paraId="463358EA" w14:textId="77777777" w:rsidR="00D8365A" w:rsidRPr="00362517" w:rsidRDefault="00D8365A" w:rsidP="00BF6BC7">
            <w:pPr>
              <w:tabs>
                <w:tab w:val="decimal" w:pos="2251"/>
              </w:tabs>
            </w:pPr>
            <w:r w:rsidRPr="00362517">
              <w:t>377</w:t>
            </w:r>
          </w:p>
        </w:tc>
        <w:tc>
          <w:tcPr>
            <w:tcW w:w="1645" w:type="pct"/>
            <w:tcBorders>
              <w:top w:val="nil"/>
              <w:left w:val="nil"/>
              <w:bottom w:val="single" w:sz="4" w:space="0" w:color="auto"/>
              <w:right w:val="single" w:sz="4" w:space="0" w:color="auto"/>
            </w:tcBorders>
            <w:shd w:val="clear" w:color="auto" w:fill="auto"/>
            <w:noWrap/>
            <w:hideMark/>
          </w:tcPr>
          <w:p w14:paraId="3AE6EBB0" w14:textId="77777777" w:rsidR="00D8365A" w:rsidRPr="00362517" w:rsidRDefault="00D8365A" w:rsidP="00BF6BC7">
            <w:pPr>
              <w:tabs>
                <w:tab w:val="decimal" w:pos="2001"/>
              </w:tabs>
            </w:pPr>
            <w:r w:rsidRPr="00362517">
              <w:t>7,229</w:t>
            </w:r>
          </w:p>
        </w:tc>
      </w:tr>
      <w:tr w:rsidR="00D8365A" w:rsidRPr="00362517" w14:paraId="1B542ADD"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5BF2AD59" w14:textId="77777777" w:rsidR="00D8365A" w:rsidRPr="00362517" w:rsidRDefault="00D8365A" w:rsidP="00BF6BC7">
            <w:pPr>
              <w:rPr>
                <w:lang w:eastAsia="ko-KR"/>
              </w:rPr>
            </w:pPr>
            <w:r w:rsidRPr="00362517">
              <w:rPr>
                <w:lang w:eastAsia="ko-KR"/>
              </w:rPr>
              <w:t>Maine</w:t>
            </w:r>
          </w:p>
        </w:tc>
        <w:tc>
          <w:tcPr>
            <w:tcW w:w="1679" w:type="pct"/>
            <w:tcBorders>
              <w:top w:val="nil"/>
              <w:left w:val="nil"/>
              <w:bottom w:val="single" w:sz="4" w:space="0" w:color="auto"/>
              <w:right w:val="single" w:sz="4" w:space="0" w:color="auto"/>
            </w:tcBorders>
            <w:shd w:val="clear" w:color="auto" w:fill="auto"/>
            <w:noWrap/>
            <w:hideMark/>
          </w:tcPr>
          <w:p w14:paraId="07F129C5" w14:textId="77777777" w:rsidR="00D8365A" w:rsidRPr="00362517" w:rsidRDefault="00D8365A" w:rsidP="00BF6BC7">
            <w:pPr>
              <w:tabs>
                <w:tab w:val="decimal" w:pos="2251"/>
              </w:tabs>
            </w:pPr>
            <w:r w:rsidRPr="00362517">
              <w:t>82</w:t>
            </w:r>
          </w:p>
        </w:tc>
        <w:tc>
          <w:tcPr>
            <w:tcW w:w="1645" w:type="pct"/>
            <w:tcBorders>
              <w:top w:val="nil"/>
              <w:left w:val="nil"/>
              <w:bottom w:val="single" w:sz="4" w:space="0" w:color="auto"/>
              <w:right w:val="single" w:sz="4" w:space="0" w:color="auto"/>
            </w:tcBorders>
            <w:shd w:val="clear" w:color="auto" w:fill="auto"/>
            <w:noWrap/>
            <w:hideMark/>
          </w:tcPr>
          <w:p w14:paraId="49DC1666" w14:textId="77777777" w:rsidR="00D8365A" w:rsidRPr="00362517" w:rsidRDefault="00D8365A" w:rsidP="00BF6BC7">
            <w:pPr>
              <w:tabs>
                <w:tab w:val="decimal" w:pos="2001"/>
              </w:tabs>
            </w:pPr>
            <w:r w:rsidRPr="00362517">
              <w:t>1,081</w:t>
            </w:r>
          </w:p>
        </w:tc>
      </w:tr>
      <w:tr w:rsidR="00D8365A" w:rsidRPr="00362517" w14:paraId="41EF30BB"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06FD11AB" w14:textId="77777777" w:rsidR="00D8365A" w:rsidRPr="00362517" w:rsidRDefault="00D8365A" w:rsidP="00BF6BC7">
            <w:pPr>
              <w:rPr>
                <w:lang w:eastAsia="ko-KR"/>
              </w:rPr>
            </w:pPr>
            <w:r w:rsidRPr="00362517">
              <w:rPr>
                <w:lang w:eastAsia="ko-KR"/>
              </w:rPr>
              <w:t>Maryland</w:t>
            </w:r>
          </w:p>
        </w:tc>
        <w:tc>
          <w:tcPr>
            <w:tcW w:w="1679" w:type="pct"/>
            <w:tcBorders>
              <w:top w:val="nil"/>
              <w:left w:val="nil"/>
              <w:bottom w:val="single" w:sz="4" w:space="0" w:color="auto"/>
              <w:right w:val="single" w:sz="4" w:space="0" w:color="auto"/>
            </w:tcBorders>
            <w:shd w:val="clear" w:color="auto" w:fill="auto"/>
            <w:noWrap/>
            <w:hideMark/>
          </w:tcPr>
          <w:p w14:paraId="359B7522" w14:textId="77777777" w:rsidR="00D8365A" w:rsidRPr="00362517" w:rsidRDefault="00D8365A" w:rsidP="00BF6BC7">
            <w:pPr>
              <w:tabs>
                <w:tab w:val="decimal" w:pos="2251"/>
              </w:tabs>
            </w:pPr>
            <w:r w:rsidRPr="00362517">
              <w:t>115</w:t>
            </w:r>
          </w:p>
        </w:tc>
        <w:tc>
          <w:tcPr>
            <w:tcW w:w="1645" w:type="pct"/>
            <w:tcBorders>
              <w:top w:val="nil"/>
              <w:left w:val="nil"/>
              <w:bottom w:val="single" w:sz="4" w:space="0" w:color="auto"/>
              <w:right w:val="single" w:sz="4" w:space="0" w:color="auto"/>
            </w:tcBorders>
            <w:shd w:val="clear" w:color="auto" w:fill="auto"/>
            <w:noWrap/>
            <w:hideMark/>
          </w:tcPr>
          <w:p w14:paraId="27E9730B" w14:textId="77777777" w:rsidR="00D8365A" w:rsidRPr="00362517" w:rsidRDefault="00D8365A" w:rsidP="00BF6BC7">
            <w:pPr>
              <w:tabs>
                <w:tab w:val="decimal" w:pos="2001"/>
              </w:tabs>
            </w:pPr>
            <w:r w:rsidRPr="00362517">
              <w:t>3,174</w:t>
            </w:r>
          </w:p>
        </w:tc>
      </w:tr>
      <w:tr w:rsidR="00D8365A" w:rsidRPr="00362517" w14:paraId="6C950F8D"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102D5792" w14:textId="77777777" w:rsidR="00D8365A" w:rsidRPr="00362517" w:rsidRDefault="00D8365A" w:rsidP="00BF6BC7">
            <w:pPr>
              <w:rPr>
                <w:lang w:eastAsia="ko-KR"/>
              </w:rPr>
            </w:pPr>
            <w:r w:rsidRPr="00362517">
              <w:rPr>
                <w:lang w:eastAsia="ko-KR"/>
              </w:rPr>
              <w:t>Massachusetts</w:t>
            </w:r>
          </w:p>
        </w:tc>
        <w:tc>
          <w:tcPr>
            <w:tcW w:w="1679" w:type="pct"/>
            <w:tcBorders>
              <w:top w:val="nil"/>
              <w:left w:val="nil"/>
              <w:bottom w:val="single" w:sz="4" w:space="0" w:color="auto"/>
              <w:right w:val="single" w:sz="4" w:space="0" w:color="auto"/>
            </w:tcBorders>
            <w:shd w:val="clear" w:color="auto" w:fill="auto"/>
            <w:noWrap/>
            <w:hideMark/>
          </w:tcPr>
          <w:p w14:paraId="36852327" w14:textId="77777777" w:rsidR="00D8365A" w:rsidRPr="00362517" w:rsidRDefault="00D8365A" w:rsidP="00BF6BC7">
            <w:pPr>
              <w:tabs>
                <w:tab w:val="decimal" w:pos="2251"/>
              </w:tabs>
            </w:pPr>
            <w:r w:rsidRPr="00362517">
              <w:t>80</w:t>
            </w:r>
          </w:p>
        </w:tc>
        <w:tc>
          <w:tcPr>
            <w:tcW w:w="1645" w:type="pct"/>
            <w:tcBorders>
              <w:top w:val="nil"/>
              <w:left w:val="nil"/>
              <w:bottom w:val="single" w:sz="4" w:space="0" w:color="auto"/>
              <w:right w:val="single" w:sz="4" w:space="0" w:color="auto"/>
            </w:tcBorders>
            <w:shd w:val="clear" w:color="auto" w:fill="auto"/>
            <w:noWrap/>
            <w:hideMark/>
          </w:tcPr>
          <w:p w14:paraId="2CA261F7" w14:textId="77777777" w:rsidR="00D8365A" w:rsidRPr="00362517" w:rsidRDefault="00D8365A" w:rsidP="00BF6BC7">
            <w:pPr>
              <w:tabs>
                <w:tab w:val="decimal" w:pos="2001"/>
              </w:tabs>
            </w:pPr>
            <w:r w:rsidRPr="00362517">
              <w:t>1,025</w:t>
            </w:r>
          </w:p>
        </w:tc>
      </w:tr>
      <w:tr w:rsidR="00D8365A" w:rsidRPr="00362517" w14:paraId="2EEA7C8B"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2D8297B9" w14:textId="77777777" w:rsidR="00D8365A" w:rsidRPr="00362517" w:rsidRDefault="00D8365A" w:rsidP="00BF6BC7">
            <w:pPr>
              <w:rPr>
                <w:lang w:eastAsia="ko-KR"/>
              </w:rPr>
            </w:pPr>
            <w:r w:rsidRPr="00362517">
              <w:rPr>
                <w:lang w:eastAsia="ko-KR"/>
              </w:rPr>
              <w:t>Michigan</w:t>
            </w:r>
          </w:p>
        </w:tc>
        <w:tc>
          <w:tcPr>
            <w:tcW w:w="1679" w:type="pct"/>
            <w:tcBorders>
              <w:top w:val="nil"/>
              <w:left w:val="nil"/>
              <w:bottom w:val="single" w:sz="4" w:space="0" w:color="auto"/>
              <w:right w:val="single" w:sz="4" w:space="0" w:color="auto"/>
            </w:tcBorders>
            <w:shd w:val="clear" w:color="auto" w:fill="auto"/>
            <w:noWrap/>
            <w:hideMark/>
          </w:tcPr>
          <w:p w14:paraId="060365A8" w14:textId="77777777" w:rsidR="00D8365A" w:rsidRPr="00362517" w:rsidRDefault="00D8365A" w:rsidP="00BF6BC7">
            <w:pPr>
              <w:tabs>
                <w:tab w:val="decimal" w:pos="2251"/>
              </w:tabs>
            </w:pPr>
            <w:r w:rsidRPr="00362517">
              <w:t>489</w:t>
            </w:r>
          </w:p>
        </w:tc>
        <w:tc>
          <w:tcPr>
            <w:tcW w:w="1645" w:type="pct"/>
            <w:tcBorders>
              <w:top w:val="nil"/>
              <w:left w:val="nil"/>
              <w:bottom w:val="single" w:sz="4" w:space="0" w:color="auto"/>
              <w:right w:val="single" w:sz="4" w:space="0" w:color="auto"/>
            </w:tcBorders>
            <w:shd w:val="clear" w:color="auto" w:fill="auto"/>
            <w:noWrap/>
            <w:hideMark/>
          </w:tcPr>
          <w:p w14:paraId="4B5FA284" w14:textId="77777777" w:rsidR="00D8365A" w:rsidRPr="00362517" w:rsidRDefault="00D8365A" w:rsidP="00BF6BC7">
            <w:pPr>
              <w:tabs>
                <w:tab w:val="decimal" w:pos="2001"/>
              </w:tabs>
            </w:pPr>
            <w:r w:rsidRPr="00362517">
              <w:t>7,009</w:t>
            </w:r>
          </w:p>
        </w:tc>
      </w:tr>
      <w:tr w:rsidR="00D8365A" w:rsidRPr="00362517" w14:paraId="6EBD5610"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74B8AB1F" w14:textId="77777777" w:rsidR="00D8365A" w:rsidRPr="00362517" w:rsidRDefault="00D8365A" w:rsidP="00BF6BC7">
            <w:pPr>
              <w:rPr>
                <w:lang w:eastAsia="ko-KR"/>
              </w:rPr>
            </w:pPr>
            <w:r w:rsidRPr="00362517">
              <w:rPr>
                <w:lang w:eastAsia="ko-KR"/>
              </w:rPr>
              <w:t>Minnesota</w:t>
            </w:r>
          </w:p>
        </w:tc>
        <w:tc>
          <w:tcPr>
            <w:tcW w:w="1679" w:type="pct"/>
            <w:tcBorders>
              <w:top w:val="nil"/>
              <w:left w:val="nil"/>
              <w:bottom w:val="single" w:sz="4" w:space="0" w:color="auto"/>
              <w:right w:val="single" w:sz="4" w:space="0" w:color="auto"/>
            </w:tcBorders>
            <w:shd w:val="clear" w:color="auto" w:fill="auto"/>
            <w:noWrap/>
            <w:hideMark/>
          </w:tcPr>
          <w:p w14:paraId="6B89C12A" w14:textId="77777777" w:rsidR="00D8365A" w:rsidRPr="00362517" w:rsidRDefault="00D8365A" w:rsidP="00BF6BC7">
            <w:pPr>
              <w:tabs>
                <w:tab w:val="decimal" w:pos="2251"/>
              </w:tabs>
            </w:pPr>
            <w:r w:rsidRPr="00362517">
              <w:t>722</w:t>
            </w:r>
          </w:p>
        </w:tc>
        <w:tc>
          <w:tcPr>
            <w:tcW w:w="1645" w:type="pct"/>
            <w:tcBorders>
              <w:top w:val="nil"/>
              <w:left w:val="nil"/>
              <w:bottom w:val="single" w:sz="4" w:space="0" w:color="auto"/>
              <w:right w:val="single" w:sz="4" w:space="0" w:color="auto"/>
            </w:tcBorders>
            <w:shd w:val="clear" w:color="auto" w:fill="auto"/>
            <w:noWrap/>
            <w:hideMark/>
          </w:tcPr>
          <w:p w14:paraId="1EC460AC" w14:textId="77777777" w:rsidR="00D8365A" w:rsidRPr="00362517" w:rsidRDefault="00D8365A" w:rsidP="00BF6BC7">
            <w:pPr>
              <w:tabs>
                <w:tab w:val="decimal" w:pos="2001"/>
              </w:tabs>
            </w:pPr>
            <w:r w:rsidRPr="00362517">
              <w:t>16,503</w:t>
            </w:r>
          </w:p>
        </w:tc>
      </w:tr>
      <w:tr w:rsidR="00D8365A" w:rsidRPr="00362517" w14:paraId="05C0AF00"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709B8AC3" w14:textId="77777777" w:rsidR="00D8365A" w:rsidRPr="00362517" w:rsidRDefault="00D8365A" w:rsidP="00BF6BC7">
            <w:pPr>
              <w:rPr>
                <w:lang w:eastAsia="ko-KR"/>
              </w:rPr>
            </w:pPr>
            <w:r w:rsidRPr="00362517">
              <w:rPr>
                <w:lang w:eastAsia="ko-KR"/>
              </w:rPr>
              <w:t>Mississippi</w:t>
            </w:r>
          </w:p>
        </w:tc>
        <w:tc>
          <w:tcPr>
            <w:tcW w:w="1679" w:type="pct"/>
            <w:tcBorders>
              <w:top w:val="nil"/>
              <w:left w:val="nil"/>
              <w:bottom w:val="single" w:sz="4" w:space="0" w:color="auto"/>
              <w:right w:val="single" w:sz="4" w:space="0" w:color="auto"/>
            </w:tcBorders>
            <w:shd w:val="clear" w:color="auto" w:fill="auto"/>
            <w:noWrap/>
            <w:hideMark/>
          </w:tcPr>
          <w:p w14:paraId="1A274ADC" w14:textId="77777777" w:rsidR="00D8365A" w:rsidRPr="00362517" w:rsidRDefault="00D8365A" w:rsidP="00BF6BC7">
            <w:pPr>
              <w:tabs>
                <w:tab w:val="decimal" w:pos="2251"/>
              </w:tabs>
            </w:pPr>
            <w:r w:rsidRPr="00362517">
              <w:t>1,317</w:t>
            </w:r>
          </w:p>
        </w:tc>
        <w:tc>
          <w:tcPr>
            <w:tcW w:w="1645" w:type="pct"/>
            <w:tcBorders>
              <w:top w:val="nil"/>
              <w:left w:val="nil"/>
              <w:bottom w:val="single" w:sz="4" w:space="0" w:color="auto"/>
              <w:right w:val="single" w:sz="4" w:space="0" w:color="auto"/>
            </w:tcBorders>
            <w:shd w:val="clear" w:color="auto" w:fill="auto"/>
            <w:noWrap/>
            <w:hideMark/>
          </w:tcPr>
          <w:p w14:paraId="706FA2AD" w14:textId="77777777" w:rsidR="00D8365A" w:rsidRPr="00362517" w:rsidRDefault="00D8365A" w:rsidP="00BF6BC7">
            <w:pPr>
              <w:tabs>
                <w:tab w:val="decimal" w:pos="2001"/>
              </w:tabs>
            </w:pPr>
            <w:r w:rsidRPr="00362517">
              <w:t>9,179</w:t>
            </w:r>
          </w:p>
        </w:tc>
      </w:tr>
      <w:tr w:rsidR="00D8365A" w:rsidRPr="00362517" w14:paraId="39D79E45"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4C06590F" w14:textId="77777777" w:rsidR="00D8365A" w:rsidRPr="00362517" w:rsidRDefault="00D8365A" w:rsidP="00BF6BC7">
            <w:pPr>
              <w:rPr>
                <w:lang w:eastAsia="ko-KR"/>
              </w:rPr>
            </w:pPr>
            <w:r w:rsidRPr="00362517">
              <w:rPr>
                <w:lang w:eastAsia="ko-KR"/>
              </w:rPr>
              <w:t>Missouri</w:t>
            </w:r>
          </w:p>
        </w:tc>
        <w:tc>
          <w:tcPr>
            <w:tcW w:w="1679" w:type="pct"/>
            <w:tcBorders>
              <w:top w:val="nil"/>
              <w:left w:val="nil"/>
              <w:bottom w:val="single" w:sz="4" w:space="0" w:color="auto"/>
              <w:right w:val="single" w:sz="4" w:space="0" w:color="auto"/>
            </w:tcBorders>
            <w:shd w:val="clear" w:color="auto" w:fill="auto"/>
            <w:noWrap/>
            <w:hideMark/>
          </w:tcPr>
          <w:p w14:paraId="2A9367EC" w14:textId="77777777" w:rsidR="00D8365A" w:rsidRPr="00362517" w:rsidRDefault="00D8365A" w:rsidP="00BF6BC7">
            <w:pPr>
              <w:tabs>
                <w:tab w:val="decimal" w:pos="2251"/>
              </w:tabs>
            </w:pPr>
            <w:r w:rsidRPr="00362517">
              <w:t>1,570</w:t>
            </w:r>
          </w:p>
        </w:tc>
        <w:tc>
          <w:tcPr>
            <w:tcW w:w="1645" w:type="pct"/>
            <w:tcBorders>
              <w:top w:val="nil"/>
              <w:left w:val="nil"/>
              <w:bottom w:val="single" w:sz="4" w:space="0" w:color="auto"/>
              <w:right w:val="single" w:sz="4" w:space="0" w:color="auto"/>
            </w:tcBorders>
            <w:shd w:val="clear" w:color="auto" w:fill="auto"/>
            <w:noWrap/>
            <w:hideMark/>
          </w:tcPr>
          <w:p w14:paraId="7406898B" w14:textId="77777777" w:rsidR="00D8365A" w:rsidRPr="00362517" w:rsidRDefault="00D8365A" w:rsidP="00BF6BC7">
            <w:pPr>
              <w:tabs>
                <w:tab w:val="decimal" w:pos="2001"/>
              </w:tabs>
            </w:pPr>
            <w:r w:rsidRPr="00362517">
              <w:t>19,723</w:t>
            </w:r>
          </w:p>
        </w:tc>
      </w:tr>
      <w:tr w:rsidR="00D8365A" w:rsidRPr="00362517" w14:paraId="04632059"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1FDF91D0" w14:textId="77777777" w:rsidR="00D8365A" w:rsidRPr="00362517" w:rsidRDefault="00D8365A" w:rsidP="00BF6BC7">
            <w:pPr>
              <w:rPr>
                <w:lang w:eastAsia="ko-KR"/>
              </w:rPr>
            </w:pPr>
            <w:r w:rsidRPr="00362517">
              <w:rPr>
                <w:lang w:eastAsia="ko-KR"/>
              </w:rPr>
              <w:t>Montana</w:t>
            </w:r>
          </w:p>
        </w:tc>
        <w:tc>
          <w:tcPr>
            <w:tcW w:w="1679" w:type="pct"/>
            <w:tcBorders>
              <w:top w:val="nil"/>
              <w:left w:val="nil"/>
              <w:bottom w:val="single" w:sz="4" w:space="0" w:color="auto"/>
              <w:right w:val="single" w:sz="4" w:space="0" w:color="auto"/>
            </w:tcBorders>
            <w:shd w:val="clear" w:color="auto" w:fill="auto"/>
            <w:noWrap/>
            <w:hideMark/>
          </w:tcPr>
          <w:p w14:paraId="5EE99CBF" w14:textId="77777777" w:rsidR="00D8365A" w:rsidRPr="00362517" w:rsidRDefault="00D8365A" w:rsidP="00BF6BC7">
            <w:pPr>
              <w:tabs>
                <w:tab w:val="decimal" w:pos="2251"/>
              </w:tabs>
            </w:pPr>
            <w:r w:rsidRPr="00362517">
              <w:t>237</w:t>
            </w:r>
          </w:p>
        </w:tc>
        <w:tc>
          <w:tcPr>
            <w:tcW w:w="1645" w:type="pct"/>
            <w:tcBorders>
              <w:top w:val="nil"/>
              <w:left w:val="nil"/>
              <w:bottom w:val="single" w:sz="4" w:space="0" w:color="auto"/>
              <w:right w:val="single" w:sz="4" w:space="0" w:color="auto"/>
            </w:tcBorders>
            <w:shd w:val="clear" w:color="auto" w:fill="auto"/>
            <w:noWrap/>
            <w:hideMark/>
          </w:tcPr>
          <w:p w14:paraId="432F3077" w14:textId="77777777" w:rsidR="00D8365A" w:rsidRPr="00362517" w:rsidRDefault="00D8365A" w:rsidP="00BF6BC7">
            <w:pPr>
              <w:tabs>
                <w:tab w:val="decimal" w:pos="2001"/>
              </w:tabs>
            </w:pPr>
            <w:r w:rsidRPr="00362517">
              <w:t>5,896</w:t>
            </w:r>
          </w:p>
        </w:tc>
      </w:tr>
      <w:tr w:rsidR="00D8365A" w:rsidRPr="00362517" w14:paraId="22AF37AB"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69DCA503" w14:textId="77777777" w:rsidR="00D8365A" w:rsidRPr="00362517" w:rsidRDefault="00D8365A" w:rsidP="00BF6BC7">
            <w:pPr>
              <w:rPr>
                <w:lang w:eastAsia="ko-KR"/>
              </w:rPr>
            </w:pPr>
            <w:r w:rsidRPr="00362517">
              <w:rPr>
                <w:lang w:eastAsia="ko-KR"/>
              </w:rPr>
              <w:t>Nebraska</w:t>
            </w:r>
          </w:p>
        </w:tc>
        <w:tc>
          <w:tcPr>
            <w:tcW w:w="1679" w:type="pct"/>
            <w:tcBorders>
              <w:top w:val="nil"/>
              <w:left w:val="nil"/>
              <w:bottom w:val="single" w:sz="4" w:space="0" w:color="auto"/>
              <w:right w:val="single" w:sz="4" w:space="0" w:color="auto"/>
            </w:tcBorders>
            <w:shd w:val="clear" w:color="auto" w:fill="auto"/>
            <w:noWrap/>
            <w:hideMark/>
          </w:tcPr>
          <w:p w14:paraId="50B34426" w14:textId="77777777" w:rsidR="00D8365A" w:rsidRPr="00362517" w:rsidRDefault="00D8365A" w:rsidP="00BF6BC7">
            <w:pPr>
              <w:tabs>
                <w:tab w:val="decimal" w:pos="2251"/>
              </w:tabs>
            </w:pPr>
            <w:r w:rsidRPr="00362517">
              <w:t>785</w:t>
            </w:r>
          </w:p>
        </w:tc>
        <w:tc>
          <w:tcPr>
            <w:tcW w:w="1645" w:type="pct"/>
            <w:tcBorders>
              <w:top w:val="nil"/>
              <w:left w:val="nil"/>
              <w:bottom w:val="single" w:sz="4" w:space="0" w:color="auto"/>
              <w:right w:val="single" w:sz="4" w:space="0" w:color="auto"/>
            </w:tcBorders>
            <w:shd w:val="clear" w:color="auto" w:fill="auto"/>
            <w:noWrap/>
            <w:hideMark/>
          </w:tcPr>
          <w:p w14:paraId="084A3A67" w14:textId="77777777" w:rsidR="00D8365A" w:rsidRPr="00362517" w:rsidRDefault="00D8365A" w:rsidP="00BF6BC7">
            <w:pPr>
              <w:tabs>
                <w:tab w:val="decimal" w:pos="2001"/>
              </w:tabs>
            </w:pPr>
            <w:r w:rsidRPr="00362517">
              <w:t>20,812</w:t>
            </w:r>
          </w:p>
        </w:tc>
      </w:tr>
      <w:tr w:rsidR="00D8365A" w:rsidRPr="00362517" w14:paraId="6C05C14E"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36F76214" w14:textId="77777777" w:rsidR="00D8365A" w:rsidRPr="00362517" w:rsidRDefault="00D8365A" w:rsidP="00BF6BC7">
            <w:pPr>
              <w:rPr>
                <w:lang w:eastAsia="ko-KR"/>
              </w:rPr>
            </w:pPr>
            <w:r w:rsidRPr="00362517">
              <w:rPr>
                <w:lang w:eastAsia="ko-KR"/>
              </w:rPr>
              <w:t>Nevada</w:t>
            </w:r>
          </w:p>
        </w:tc>
        <w:tc>
          <w:tcPr>
            <w:tcW w:w="1679" w:type="pct"/>
            <w:tcBorders>
              <w:top w:val="nil"/>
              <w:left w:val="nil"/>
              <w:bottom w:val="single" w:sz="4" w:space="0" w:color="auto"/>
              <w:right w:val="single" w:sz="4" w:space="0" w:color="auto"/>
            </w:tcBorders>
            <w:shd w:val="clear" w:color="auto" w:fill="auto"/>
            <w:noWrap/>
            <w:hideMark/>
          </w:tcPr>
          <w:p w14:paraId="4B7A73A1" w14:textId="77777777" w:rsidR="00D8365A" w:rsidRPr="00362517" w:rsidRDefault="00D8365A" w:rsidP="00BF6BC7">
            <w:pPr>
              <w:tabs>
                <w:tab w:val="decimal" w:pos="2251"/>
              </w:tabs>
            </w:pPr>
            <w:r w:rsidRPr="00362517">
              <w:t>50</w:t>
            </w:r>
          </w:p>
        </w:tc>
        <w:tc>
          <w:tcPr>
            <w:tcW w:w="1645" w:type="pct"/>
            <w:tcBorders>
              <w:top w:val="nil"/>
              <w:left w:val="nil"/>
              <w:bottom w:val="single" w:sz="4" w:space="0" w:color="auto"/>
              <w:right w:val="single" w:sz="4" w:space="0" w:color="auto"/>
            </w:tcBorders>
            <w:shd w:val="clear" w:color="auto" w:fill="auto"/>
            <w:noWrap/>
            <w:hideMark/>
          </w:tcPr>
          <w:p w14:paraId="33B2C394" w14:textId="77777777" w:rsidR="00D8365A" w:rsidRPr="00362517" w:rsidRDefault="00D8365A" w:rsidP="00BF6BC7">
            <w:pPr>
              <w:tabs>
                <w:tab w:val="decimal" w:pos="2001"/>
              </w:tabs>
            </w:pPr>
            <w:r w:rsidRPr="00362517">
              <w:t>256</w:t>
            </w:r>
          </w:p>
        </w:tc>
      </w:tr>
      <w:tr w:rsidR="00D8365A" w:rsidRPr="00362517" w14:paraId="252CE0DB"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33D5C48C" w14:textId="77777777" w:rsidR="00D8365A" w:rsidRPr="00362517" w:rsidRDefault="00D8365A" w:rsidP="00BF6BC7">
            <w:pPr>
              <w:rPr>
                <w:lang w:eastAsia="ko-KR"/>
              </w:rPr>
            </w:pPr>
            <w:r w:rsidRPr="00362517">
              <w:rPr>
                <w:lang w:eastAsia="ko-KR"/>
              </w:rPr>
              <w:t>New Hampshire</w:t>
            </w:r>
          </w:p>
        </w:tc>
        <w:tc>
          <w:tcPr>
            <w:tcW w:w="1679" w:type="pct"/>
            <w:tcBorders>
              <w:top w:val="nil"/>
              <w:left w:val="nil"/>
              <w:bottom w:val="single" w:sz="4" w:space="0" w:color="auto"/>
              <w:right w:val="single" w:sz="4" w:space="0" w:color="auto"/>
            </w:tcBorders>
            <w:shd w:val="clear" w:color="auto" w:fill="auto"/>
            <w:noWrap/>
            <w:hideMark/>
          </w:tcPr>
          <w:p w14:paraId="2AE20866" w14:textId="77777777" w:rsidR="00D8365A" w:rsidRPr="00362517" w:rsidRDefault="00D8365A" w:rsidP="00BF6BC7">
            <w:pPr>
              <w:tabs>
                <w:tab w:val="decimal" w:pos="2251"/>
              </w:tabs>
            </w:pPr>
            <w:r w:rsidRPr="00362517">
              <w:t>36</w:t>
            </w:r>
          </w:p>
        </w:tc>
        <w:tc>
          <w:tcPr>
            <w:tcW w:w="1645" w:type="pct"/>
            <w:tcBorders>
              <w:top w:val="nil"/>
              <w:left w:val="nil"/>
              <w:bottom w:val="single" w:sz="4" w:space="0" w:color="auto"/>
              <w:right w:val="single" w:sz="4" w:space="0" w:color="auto"/>
            </w:tcBorders>
            <w:shd w:val="clear" w:color="auto" w:fill="auto"/>
            <w:noWrap/>
            <w:hideMark/>
          </w:tcPr>
          <w:p w14:paraId="3C690D38" w14:textId="77777777" w:rsidR="00D8365A" w:rsidRPr="00362517" w:rsidRDefault="00D8365A" w:rsidP="00BF6BC7">
            <w:pPr>
              <w:tabs>
                <w:tab w:val="decimal" w:pos="2001"/>
              </w:tabs>
            </w:pPr>
            <w:r w:rsidRPr="00362517">
              <w:t>466</w:t>
            </w:r>
          </w:p>
        </w:tc>
      </w:tr>
      <w:tr w:rsidR="00D8365A" w:rsidRPr="00362517" w14:paraId="3FA3511C"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45BAFE49" w14:textId="77777777" w:rsidR="00D8365A" w:rsidRPr="00362517" w:rsidRDefault="00D8365A" w:rsidP="00BF6BC7">
            <w:pPr>
              <w:rPr>
                <w:lang w:eastAsia="ko-KR"/>
              </w:rPr>
            </w:pPr>
            <w:r w:rsidRPr="00362517">
              <w:rPr>
                <w:lang w:eastAsia="ko-KR"/>
              </w:rPr>
              <w:t>New Jersey</w:t>
            </w:r>
          </w:p>
        </w:tc>
        <w:tc>
          <w:tcPr>
            <w:tcW w:w="1679" w:type="pct"/>
            <w:tcBorders>
              <w:top w:val="nil"/>
              <w:left w:val="nil"/>
              <w:bottom w:val="single" w:sz="4" w:space="0" w:color="auto"/>
              <w:right w:val="single" w:sz="4" w:space="0" w:color="auto"/>
            </w:tcBorders>
            <w:shd w:val="clear" w:color="auto" w:fill="auto"/>
            <w:noWrap/>
            <w:hideMark/>
          </w:tcPr>
          <w:p w14:paraId="31BA105C" w14:textId="77777777" w:rsidR="00D8365A" w:rsidRPr="00362517" w:rsidRDefault="00D8365A" w:rsidP="00BF6BC7">
            <w:pPr>
              <w:tabs>
                <w:tab w:val="decimal" w:pos="2251"/>
              </w:tabs>
            </w:pPr>
            <w:r w:rsidRPr="00362517">
              <w:t>201</w:t>
            </w:r>
          </w:p>
        </w:tc>
        <w:tc>
          <w:tcPr>
            <w:tcW w:w="1645" w:type="pct"/>
            <w:tcBorders>
              <w:top w:val="nil"/>
              <w:left w:val="nil"/>
              <w:bottom w:val="single" w:sz="4" w:space="0" w:color="auto"/>
              <w:right w:val="single" w:sz="4" w:space="0" w:color="auto"/>
            </w:tcBorders>
            <w:shd w:val="clear" w:color="auto" w:fill="auto"/>
            <w:noWrap/>
            <w:hideMark/>
          </w:tcPr>
          <w:p w14:paraId="4A126B18" w14:textId="77777777" w:rsidR="00D8365A" w:rsidRPr="00362517" w:rsidRDefault="00D8365A" w:rsidP="00BF6BC7">
            <w:pPr>
              <w:tabs>
                <w:tab w:val="decimal" w:pos="2001"/>
              </w:tabs>
            </w:pPr>
            <w:r w:rsidRPr="00362517">
              <w:t>1,561</w:t>
            </w:r>
          </w:p>
        </w:tc>
      </w:tr>
      <w:tr w:rsidR="00D8365A" w:rsidRPr="00362517" w14:paraId="0418412E"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776B6D65" w14:textId="77777777" w:rsidR="00D8365A" w:rsidRPr="00362517" w:rsidRDefault="00D8365A" w:rsidP="00BF6BC7">
            <w:pPr>
              <w:rPr>
                <w:lang w:eastAsia="ko-KR"/>
              </w:rPr>
            </w:pPr>
            <w:r w:rsidRPr="00362517">
              <w:rPr>
                <w:lang w:eastAsia="ko-KR"/>
              </w:rPr>
              <w:t>New Mexico</w:t>
            </w:r>
          </w:p>
        </w:tc>
        <w:tc>
          <w:tcPr>
            <w:tcW w:w="1679" w:type="pct"/>
            <w:tcBorders>
              <w:top w:val="nil"/>
              <w:left w:val="nil"/>
              <w:bottom w:val="single" w:sz="4" w:space="0" w:color="auto"/>
              <w:right w:val="single" w:sz="4" w:space="0" w:color="auto"/>
            </w:tcBorders>
            <w:shd w:val="clear" w:color="auto" w:fill="auto"/>
            <w:noWrap/>
            <w:hideMark/>
          </w:tcPr>
          <w:p w14:paraId="6F50ADCE" w14:textId="77777777" w:rsidR="00D8365A" w:rsidRPr="00362517" w:rsidRDefault="00D8365A" w:rsidP="00BF6BC7">
            <w:pPr>
              <w:tabs>
                <w:tab w:val="decimal" w:pos="2251"/>
              </w:tabs>
            </w:pPr>
            <w:r w:rsidRPr="00362517">
              <w:t>223</w:t>
            </w:r>
          </w:p>
        </w:tc>
        <w:tc>
          <w:tcPr>
            <w:tcW w:w="1645" w:type="pct"/>
            <w:tcBorders>
              <w:top w:val="nil"/>
              <w:left w:val="nil"/>
              <w:bottom w:val="single" w:sz="4" w:space="0" w:color="auto"/>
              <w:right w:val="single" w:sz="4" w:space="0" w:color="auto"/>
            </w:tcBorders>
            <w:shd w:val="clear" w:color="auto" w:fill="auto"/>
            <w:noWrap/>
            <w:hideMark/>
          </w:tcPr>
          <w:p w14:paraId="0528AA41" w14:textId="77777777" w:rsidR="00D8365A" w:rsidRPr="00362517" w:rsidRDefault="00D8365A" w:rsidP="00BF6BC7">
            <w:pPr>
              <w:tabs>
                <w:tab w:val="decimal" w:pos="2001"/>
              </w:tabs>
            </w:pPr>
            <w:r w:rsidRPr="00362517">
              <w:t>2,410</w:t>
            </w:r>
          </w:p>
        </w:tc>
      </w:tr>
      <w:tr w:rsidR="00D8365A" w:rsidRPr="00362517" w14:paraId="29226ED9"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318932B7" w14:textId="77777777" w:rsidR="00D8365A" w:rsidRPr="00362517" w:rsidRDefault="00D8365A" w:rsidP="00BF6BC7">
            <w:pPr>
              <w:rPr>
                <w:lang w:eastAsia="ko-KR"/>
              </w:rPr>
            </w:pPr>
            <w:r w:rsidRPr="00362517">
              <w:rPr>
                <w:lang w:eastAsia="ko-KR"/>
              </w:rPr>
              <w:t>New York</w:t>
            </w:r>
          </w:p>
        </w:tc>
        <w:tc>
          <w:tcPr>
            <w:tcW w:w="1679" w:type="pct"/>
            <w:tcBorders>
              <w:top w:val="nil"/>
              <w:left w:val="nil"/>
              <w:bottom w:val="single" w:sz="4" w:space="0" w:color="auto"/>
              <w:right w:val="single" w:sz="4" w:space="0" w:color="auto"/>
            </w:tcBorders>
            <w:shd w:val="clear" w:color="auto" w:fill="auto"/>
            <w:noWrap/>
            <w:hideMark/>
          </w:tcPr>
          <w:p w14:paraId="776B6860" w14:textId="77777777" w:rsidR="00D8365A" w:rsidRPr="00362517" w:rsidRDefault="00D8365A" w:rsidP="00BF6BC7">
            <w:pPr>
              <w:tabs>
                <w:tab w:val="decimal" w:pos="2251"/>
              </w:tabs>
            </w:pPr>
            <w:r w:rsidRPr="00362517">
              <w:t>253</w:t>
            </w:r>
          </w:p>
        </w:tc>
        <w:tc>
          <w:tcPr>
            <w:tcW w:w="1645" w:type="pct"/>
            <w:tcBorders>
              <w:top w:val="nil"/>
              <w:left w:val="nil"/>
              <w:bottom w:val="single" w:sz="4" w:space="0" w:color="auto"/>
              <w:right w:val="single" w:sz="4" w:space="0" w:color="auto"/>
            </w:tcBorders>
            <w:shd w:val="clear" w:color="auto" w:fill="auto"/>
            <w:noWrap/>
            <w:hideMark/>
          </w:tcPr>
          <w:p w14:paraId="6E90192B" w14:textId="77777777" w:rsidR="00D8365A" w:rsidRPr="00362517" w:rsidRDefault="00D8365A" w:rsidP="00BF6BC7">
            <w:pPr>
              <w:tabs>
                <w:tab w:val="decimal" w:pos="2001"/>
              </w:tabs>
            </w:pPr>
            <w:r w:rsidRPr="00362517">
              <w:t>6,619</w:t>
            </w:r>
          </w:p>
        </w:tc>
      </w:tr>
      <w:tr w:rsidR="00D8365A" w:rsidRPr="00362517" w14:paraId="5FE26028"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290347C9" w14:textId="77777777" w:rsidR="00D8365A" w:rsidRPr="00362517" w:rsidRDefault="00D8365A" w:rsidP="00BF6BC7">
            <w:pPr>
              <w:rPr>
                <w:lang w:eastAsia="ko-KR"/>
              </w:rPr>
            </w:pPr>
            <w:r w:rsidRPr="00362517">
              <w:rPr>
                <w:lang w:eastAsia="ko-KR"/>
              </w:rPr>
              <w:t>North Carolina</w:t>
            </w:r>
          </w:p>
        </w:tc>
        <w:tc>
          <w:tcPr>
            <w:tcW w:w="1679" w:type="pct"/>
            <w:tcBorders>
              <w:top w:val="nil"/>
              <w:left w:val="nil"/>
              <w:bottom w:val="single" w:sz="4" w:space="0" w:color="auto"/>
              <w:right w:val="single" w:sz="4" w:space="0" w:color="auto"/>
            </w:tcBorders>
            <w:shd w:val="clear" w:color="auto" w:fill="auto"/>
            <w:noWrap/>
            <w:hideMark/>
          </w:tcPr>
          <w:p w14:paraId="7DE5B266" w14:textId="77777777" w:rsidR="00D8365A" w:rsidRPr="00362517" w:rsidRDefault="00D8365A" w:rsidP="00BF6BC7">
            <w:pPr>
              <w:tabs>
                <w:tab w:val="decimal" w:pos="2251"/>
              </w:tabs>
            </w:pPr>
            <w:r w:rsidRPr="00362517">
              <w:t>480</w:t>
            </w:r>
          </w:p>
        </w:tc>
        <w:tc>
          <w:tcPr>
            <w:tcW w:w="1645" w:type="pct"/>
            <w:tcBorders>
              <w:top w:val="nil"/>
              <w:left w:val="nil"/>
              <w:bottom w:val="single" w:sz="4" w:space="0" w:color="auto"/>
              <w:right w:val="single" w:sz="4" w:space="0" w:color="auto"/>
            </w:tcBorders>
            <w:shd w:val="clear" w:color="auto" w:fill="auto"/>
            <w:noWrap/>
            <w:hideMark/>
          </w:tcPr>
          <w:p w14:paraId="6FF9DEB9" w14:textId="77777777" w:rsidR="00D8365A" w:rsidRPr="00362517" w:rsidRDefault="00D8365A" w:rsidP="00BF6BC7">
            <w:pPr>
              <w:tabs>
                <w:tab w:val="decimal" w:pos="2001"/>
              </w:tabs>
            </w:pPr>
            <w:r w:rsidRPr="00362517">
              <w:t>15,397</w:t>
            </w:r>
          </w:p>
        </w:tc>
      </w:tr>
      <w:tr w:rsidR="00D8365A" w:rsidRPr="00362517" w14:paraId="3BBC2C50"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0A8FCF9A" w14:textId="77777777" w:rsidR="00D8365A" w:rsidRPr="00362517" w:rsidRDefault="00D8365A" w:rsidP="00BF6BC7">
            <w:pPr>
              <w:rPr>
                <w:lang w:eastAsia="ko-KR"/>
              </w:rPr>
            </w:pPr>
            <w:r w:rsidRPr="00362517">
              <w:rPr>
                <w:lang w:eastAsia="ko-KR"/>
              </w:rPr>
              <w:t>North Dakota</w:t>
            </w:r>
          </w:p>
        </w:tc>
        <w:tc>
          <w:tcPr>
            <w:tcW w:w="1679" w:type="pct"/>
            <w:tcBorders>
              <w:top w:val="nil"/>
              <w:left w:val="nil"/>
              <w:bottom w:val="single" w:sz="4" w:space="0" w:color="auto"/>
              <w:right w:val="single" w:sz="4" w:space="0" w:color="auto"/>
            </w:tcBorders>
            <w:shd w:val="clear" w:color="auto" w:fill="auto"/>
            <w:noWrap/>
            <w:hideMark/>
          </w:tcPr>
          <w:p w14:paraId="4A1BFE18" w14:textId="77777777" w:rsidR="00D8365A" w:rsidRPr="00362517" w:rsidRDefault="00D8365A" w:rsidP="00BF6BC7">
            <w:pPr>
              <w:tabs>
                <w:tab w:val="decimal" w:pos="2251"/>
              </w:tabs>
            </w:pPr>
            <w:r w:rsidRPr="00362517">
              <w:t>922</w:t>
            </w:r>
          </w:p>
        </w:tc>
        <w:tc>
          <w:tcPr>
            <w:tcW w:w="1645" w:type="pct"/>
            <w:tcBorders>
              <w:top w:val="nil"/>
              <w:left w:val="nil"/>
              <w:bottom w:val="single" w:sz="4" w:space="0" w:color="auto"/>
              <w:right w:val="single" w:sz="4" w:space="0" w:color="auto"/>
            </w:tcBorders>
            <w:shd w:val="clear" w:color="auto" w:fill="auto"/>
            <w:noWrap/>
            <w:hideMark/>
          </w:tcPr>
          <w:p w14:paraId="2EEFAC92" w14:textId="77777777" w:rsidR="00D8365A" w:rsidRPr="00362517" w:rsidRDefault="00D8365A" w:rsidP="00BF6BC7">
            <w:pPr>
              <w:tabs>
                <w:tab w:val="decimal" w:pos="2001"/>
              </w:tabs>
            </w:pPr>
            <w:r w:rsidRPr="00362517">
              <w:t>10,700</w:t>
            </w:r>
          </w:p>
        </w:tc>
      </w:tr>
      <w:tr w:rsidR="00D8365A" w:rsidRPr="00362517" w14:paraId="5D1B045C"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3CFCD9A5" w14:textId="77777777" w:rsidR="00D8365A" w:rsidRPr="00362517" w:rsidRDefault="00D8365A" w:rsidP="00BF6BC7">
            <w:pPr>
              <w:rPr>
                <w:lang w:eastAsia="ko-KR"/>
              </w:rPr>
            </w:pPr>
            <w:r w:rsidRPr="00362517">
              <w:rPr>
                <w:lang w:eastAsia="ko-KR"/>
              </w:rPr>
              <w:t>Ohio</w:t>
            </w:r>
          </w:p>
        </w:tc>
        <w:tc>
          <w:tcPr>
            <w:tcW w:w="1679" w:type="pct"/>
            <w:tcBorders>
              <w:top w:val="nil"/>
              <w:left w:val="nil"/>
              <w:bottom w:val="single" w:sz="4" w:space="0" w:color="auto"/>
              <w:right w:val="single" w:sz="4" w:space="0" w:color="auto"/>
            </w:tcBorders>
            <w:shd w:val="clear" w:color="auto" w:fill="auto"/>
            <w:noWrap/>
            <w:hideMark/>
          </w:tcPr>
          <w:p w14:paraId="4B366DF3" w14:textId="77777777" w:rsidR="00D8365A" w:rsidRPr="00362517" w:rsidRDefault="00D8365A" w:rsidP="00BF6BC7">
            <w:pPr>
              <w:tabs>
                <w:tab w:val="decimal" w:pos="2251"/>
              </w:tabs>
            </w:pPr>
            <w:r w:rsidRPr="00362517">
              <w:t>289</w:t>
            </w:r>
          </w:p>
        </w:tc>
        <w:tc>
          <w:tcPr>
            <w:tcW w:w="1645" w:type="pct"/>
            <w:tcBorders>
              <w:top w:val="nil"/>
              <w:left w:val="nil"/>
              <w:bottom w:val="single" w:sz="4" w:space="0" w:color="auto"/>
              <w:right w:val="single" w:sz="4" w:space="0" w:color="auto"/>
            </w:tcBorders>
            <w:shd w:val="clear" w:color="auto" w:fill="auto"/>
            <w:noWrap/>
            <w:hideMark/>
          </w:tcPr>
          <w:p w14:paraId="0224E969" w14:textId="77777777" w:rsidR="00D8365A" w:rsidRPr="00362517" w:rsidRDefault="00D8365A" w:rsidP="00BF6BC7">
            <w:pPr>
              <w:tabs>
                <w:tab w:val="decimal" w:pos="2001"/>
              </w:tabs>
            </w:pPr>
            <w:r w:rsidRPr="00362517">
              <w:t>14,285</w:t>
            </w:r>
          </w:p>
        </w:tc>
      </w:tr>
      <w:tr w:rsidR="00D8365A" w:rsidRPr="00362517" w14:paraId="74396AD0"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7083257F" w14:textId="77777777" w:rsidR="00D8365A" w:rsidRPr="00362517" w:rsidRDefault="00D8365A" w:rsidP="00BF6BC7">
            <w:pPr>
              <w:rPr>
                <w:lang w:eastAsia="ko-KR"/>
              </w:rPr>
            </w:pPr>
            <w:r w:rsidRPr="00362517">
              <w:rPr>
                <w:lang w:eastAsia="ko-KR"/>
              </w:rPr>
              <w:t>Oklahoma</w:t>
            </w:r>
          </w:p>
        </w:tc>
        <w:tc>
          <w:tcPr>
            <w:tcW w:w="1679" w:type="pct"/>
            <w:tcBorders>
              <w:top w:val="nil"/>
              <w:left w:val="nil"/>
              <w:bottom w:val="single" w:sz="4" w:space="0" w:color="auto"/>
              <w:right w:val="single" w:sz="4" w:space="0" w:color="auto"/>
            </w:tcBorders>
            <w:shd w:val="clear" w:color="auto" w:fill="auto"/>
            <w:noWrap/>
            <w:hideMark/>
          </w:tcPr>
          <w:p w14:paraId="72427571" w14:textId="77777777" w:rsidR="00D8365A" w:rsidRPr="00362517" w:rsidRDefault="00D8365A" w:rsidP="00BF6BC7">
            <w:pPr>
              <w:tabs>
                <w:tab w:val="decimal" w:pos="2251"/>
              </w:tabs>
            </w:pPr>
            <w:r w:rsidRPr="00362517">
              <w:t>1,804</w:t>
            </w:r>
          </w:p>
        </w:tc>
        <w:tc>
          <w:tcPr>
            <w:tcW w:w="1645" w:type="pct"/>
            <w:tcBorders>
              <w:top w:val="nil"/>
              <w:left w:val="nil"/>
              <w:bottom w:val="single" w:sz="4" w:space="0" w:color="auto"/>
              <w:right w:val="single" w:sz="4" w:space="0" w:color="auto"/>
            </w:tcBorders>
            <w:shd w:val="clear" w:color="auto" w:fill="auto"/>
            <w:noWrap/>
            <w:hideMark/>
          </w:tcPr>
          <w:p w14:paraId="7AA05713" w14:textId="77777777" w:rsidR="00D8365A" w:rsidRPr="00362517" w:rsidRDefault="00D8365A" w:rsidP="00BF6BC7">
            <w:pPr>
              <w:tabs>
                <w:tab w:val="decimal" w:pos="2001"/>
              </w:tabs>
            </w:pPr>
            <w:r w:rsidRPr="00362517">
              <w:t>11,059</w:t>
            </w:r>
          </w:p>
        </w:tc>
      </w:tr>
      <w:tr w:rsidR="00D8365A" w:rsidRPr="00362517" w14:paraId="757D5E13"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59C39197" w14:textId="77777777" w:rsidR="00D8365A" w:rsidRPr="00362517" w:rsidRDefault="00D8365A" w:rsidP="00BF6BC7">
            <w:pPr>
              <w:rPr>
                <w:lang w:eastAsia="ko-KR"/>
              </w:rPr>
            </w:pPr>
            <w:r w:rsidRPr="00362517">
              <w:rPr>
                <w:lang w:eastAsia="ko-KR"/>
              </w:rPr>
              <w:t>Oregon</w:t>
            </w:r>
          </w:p>
        </w:tc>
        <w:tc>
          <w:tcPr>
            <w:tcW w:w="1679" w:type="pct"/>
            <w:tcBorders>
              <w:top w:val="nil"/>
              <w:left w:val="nil"/>
              <w:bottom w:val="single" w:sz="4" w:space="0" w:color="auto"/>
              <w:right w:val="single" w:sz="4" w:space="0" w:color="auto"/>
            </w:tcBorders>
            <w:shd w:val="clear" w:color="auto" w:fill="auto"/>
            <w:noWrap/>
            <w:hideMark/>
          </w:tcPr>
          <w:p w14:paraId="3EB53A94" w14:textId="77777777" w:rsidR="00D8365A" w:rsidRPr="00362517" w:rsidRDefault="00D8365A" w:rsidP="00BF6BC7">
            <w:pPr>
              <w:tabs>
                <w:tab w:val="decimal" w:pos="2251"/>
              </w:tabs>
            </w:pPr>
            <w:r w:rsidRPr="00362517">
              <w:t>169</w:t>
            </w:r>
          </w:p>
        </w:tc>
        <w:tc>
          <w:tcPr>
            <w:tcW w:w="1645" w:type="pct"/>
            <w:tcBorders>
              <w:top w:val="nil"/>
              <w:left w:val="nil"/>
              <w:bottom w:val="single" w:sz="4" w:space="0" w:color="auto"/>
              <w:right w:val="single" w:sz="4" w:space="0" w:color="auto"/>
            </w:tcBorders>
            <w:shd w:val="clear" w:color="auto" w:fill="auto"/>
            <w:noWrap/>
            <w:hideMark/>
          </w:tcPr>
          <w:p w14:paraId="499508BF" w14:textId="77777777" w:rsidR="00D8365A" w:rsidRPr="00362517" w:rsidRDefault="00D8365A" w:rsidP="00BF6BC7">
            <w:pPr>
              <w:tabs>
                <w:tab w:val="decimal" w:pos="2001"/>
              </w:tabs>
            </w:pPr>
            <w:r w:rsidRPr="00362517">
              <w:t>4,021</w:t>
            </w:r>
          </w:p>
        </w:tc>
      </w:tr>
      <w:tr w:rsidR="00D8365A" w:rsidRPr="00362517" w14:paraId="1BABAF8E"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658F052C" w14:textId="77777777" w:rsidR="00D8365A" w:rsidRPr="00362517" w:rsidRDefault="00D8365A" w:rsidP="00BF6BC7">
            <w:pPr>
              <w:rPr>
                <w:lang w:eastAsia="ko-KR"/>
              </w:rPr>
            </w:pPr>
            <w:r w:rsidRPr="00362517">
              <w:rPr>
                <w:lang w:eastAsia="ko-KR"/>
              </w:rPr>
              <w:t>Pennsylvania</w:t>
            </w:r>
          </w:p>
        </w:tc>
        <w:tc>
          <w:tcPr>
            <w:tcW w:w="1679" w:type="pct"/>
            <w:tcBorders>
              <w:top w:val="nil"/>
              <w:left w:val="nil"/>
              <w:bottom w:val="single" w:sz="4" w:space="0" w:color="auto"/>
              <w:right w:val="single" w:sz="4" w:space="0" w:color="auto"/>
            </w:tcBorders>
            <w:shd w:val="clear" w:color="auto" w:fill="auto"/>
            <w:noWrap/>
            <w:hideMark/>
          </w:tcPr>
          <w:p w14:paraId="3AC65601" w14:textId="77777777" w:rsidR="00D8365A" w:rsidRPr="00362517" w:rsidRDefault="00D8365A" w:rsidP="00BF6BC7">
            <w:pPr>
              <w:tabs>
                <w:tab w:val="decimal" w:pos="2251"/>
              </w:tabs>
            </w:pPr>
            <w:r w:rsidRPr="00362517">
              <w:t>692</w:t>
            </w:r>
          </w:p>
        </w:tc>
        <w:tc>
          <w:tcPr>
            <w:tcW w:w="1645" w:type="pct"/>
            <w:tcBorders>
              <w:top w:val="nil"/>
              <w:left w:val="nil"/>
              <w:bottom w:val="single" w:sz="4" w:space="0" w:color="auto"/>
              <w:right w:val="single" w:sz="4" w:space="0" w:color="auto"/>
            </w:tcBorders>
            <w:shd w:val="clear" w:color="auto" w:fill="auto"/>
            <w:noWrap/>
            <w:hideMark/>
          </w:tcPr>
          <w:p w14:paraId="65DE4937" w14:textId="77777777" w:rsidR="00D8365A" w:rsidRPr="00362517" w:rsidRDefault="00D8365A" w:rsidP="00BF6BC7">
            <w:pPr>
              <w:tabs>
                <w:tab w:val="decimal" w:pos="2001"/>
              </w:tabs>
            </w:pPr>
            <w:r w:rsidRPr="00362517">
              <w:t>17,326</w:t>
            </w:r>
          </w:p>
        </w:tc>
      </w:tr>
      <w:tr w:rsidR="00D8365A" w:rsidRPr="00362517" w14:paraId="6FDA2664"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247A95A2" w14:textId="77777777" w:rsidR="00D8365A" w:rsidRPr="00362517" w:rsidRDefault="00D8365A" w:rsidP="00BF6BC7">
            <w:pPr>
              <w:rPr>
                <w:lang w:eastAsia="ko-KR"/>
              </w:rPr>
            </w:pPr>
            <w:r w:rsidRPr="00362517">
              <w:rPr>
                <w:lang w:eastAsia="ko-KR"/>
              </w:rPr>
              <w:t>Rhode Island</w:t>
            </w:r>
          </w:p>
        </w:tc>
        <w:tc>
          <w:tcPr>
            <w:tcW w:w="1679" w:type="pct"/>
            <w:tcBorders>
              <w:top w:val="nil"/>
              <w:left w:val="nil"/>
              <w:bottom w:val="single" w:sz="4" w:space="0" w:color="auto"/>
              <w:right w:val="single" w:sz="4" w:space="0" w:color="auto"/>
            </w:tcBorders>
            <w:shd w:val="clear" w:color="auto" w:fill="auto"/>
            <w:noWrap/>
            <w:hideMark/>
          </w:tcPr>
          <w:p w14:paraId="0DCB206D" w14:textId="77777777" w:rsidR="00D8365A" w:rsidRPr="00362517" w:rsidRDefault="00D8365A" w:rsidP="00BF6BC7">
            <w:pPr>
              <w:tabs>
                <w:tab w:val="decimal" w:pos="2251"/>
              </w:tabs>
            </w:pPr>
            <w:r w:rsidRPr="00362517">
              <w:t>6</w:t>
            </w:r>
          </w:p>
        </w:tc>
        <w:tc>
          <w:tcPr>
            <w:tcW w:w="1645" w:type="pct"/>
            <w:tcBorders>
              <w:top w:val="nil"/>
              <w:left w:val="nil"/>
              <w:bottom w:val="single" w:sz="4" w:space="0" w:color="auto"/>
              <w:right w:val="single" w:sz="4" w:space="0" w:color="auto"/>
            </w:tcBorders>
            <w:shd w:val="clear" w:color="auto" w:fill="auto"/>
            <w:noWrap/>
            <w:hideMark/>
          </w:tcPr>
          <w:p w14:paraId="44A7AE65" w14:textId="77777777" w:rsidR="00D8365A" w:rsidRPr="00362517" w:rsidRDefault="00D8365A" w:rsidP="00BF6BC7">
            <w:pPr>
              <w:tabs>
                <w:tab w:val="decimal" w:pos="2001"/>
              </w:tabs>
            </w:pPr>
            <w:r w:rsidRPr="00362517">
              <w:t>175</w:t>
            </w:r>
          </w:p>
        </w:tc>
      </w:tr>
      <w:tr w:rsidR="00D8365A" w:rsidRPr="00362517" w14:paraId="5F03FDF3"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1EFFB208" w14:textId="77777777" w:rsidR="00D8365A" w:rsidRPr="00362517" w:rsidRDefault="00D8365A" w:rsidP="00BF6BC7">
            <w:pPr>
              <w:rPr>
                <w:lang w:eastAsia="ko-KR"/>
              </w:rPr>
            </w:pPr>
            <w:r w:rsidRPr="00362517">
              <w:rPr>
                <w:lang w:eastAsia="ko-KR"/>
              </w:rPr>
              <w:t>South Carolina</w:t>
            </w:r>
          </w:p>
        </w:tc>
        <w:tc>
          <w:tcPr>
            <w:tcW w:w="1679" w:type="pct"/>
            <w:tcBorders>
              <w:top w:val="nil"/>
              <w:left w:val="nil"/>
              <w:bottom w:val="single" w:sz="4" w:space="0" w:color="auto"/>
              <w:right w:val="single" w:sz="4" w:space="0" w:color="auto"/>
            </w:tcBorders>
            <w:shd w:val="clear" w:color="auto" w:fill="auto"/>
            <w:noWrap/>
            <w:hideMark/>
          </w:tcPr>
          <w:p w14:paraId="525D9F5E" w14:textId="77777777" w:rsidR="00D8365A" w:rsidRPr="00362517" w:rsidRDefault="00D8365A" w:rsidP="00BF6BC7">
            <w:pPr>
              <w:tabs>
                <w:tab w:val="decimal" w:pos="2251"/>
              </w:tabs>
            </w:pPr>
            <w:r w:rsidRPr="00362517">
              <w:t>733</w:t>
            </w:r>
          </w:p>
        </w:tc>
        <w:tc>
          <w:tcPr>
            <w:tcW w:w="1645" w:type="pct"/>
            <w:tcBorders>
              <w:top w:val="nil"/>
              <w:left w:val="nil"/>
              <w:bottom w:val="single" w:sz="4" w:space="0" w:color="auto"/>
              <w:right w:val="single" w:sz="4" w:space="0" w:color="auto"/>
            </w:tcBorders>
            <w:shd w:val="clear" w:color="auto" w:fill="auto"/>
            <w:noWrap/>
            <w:hideMark/>
          </w:tcPr>
          <w:p w14:paraId="6CB7B768" w14:textId="77777777" w:rsidR="00D8365A" w:rsidRPr="00362517" w:rsidRDefault="00D8365A" w:rsidP="00BF6BC7">
            <w:pPr>
              <w:tabs>
                <w:tab w:val="decimal" w:pos="2001"/>
              </w:tabs>
            </w:pPr>
            <w:r w:rsidRPr="00362517">
              <w:t>5,735</w:t>
            </w:r>
          </w:p>
        </w:tc>
      </w:tr>
      <w:tr w:rsidR="00D8365A" w:rsidRPr="00362517" w14:paraId="02B230EA"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37324625" w14:textId="77777777" w:rsidR="00D8365A" w:rsidRPr="00362517" w:rsidRDefault="00D8365A" w:rsidP="00BF6BC7">
            <w:pPr>
              <w:rPr>
                <w:lang w:eastAsia="ko-KR"/>
              </w:rPr>
            </w:pPr>
            <w:r w:rsidRPr="00362517">
              <w:rPr>
                <w:lang w:eastAsia="ko-KR"/>
              </w:rPr>
              <w:t>South Dakota</w:t>
            </w:r>
          </w:p>
        </w:tc>
        <w:tc>
          <w:tcPr>
            <w:tcW w:w="1679" w:type="pct"/>
            <w:tcBorders>
              <w:top w:val="nil"/>
              <w:left w:val="nil"/>
              <w:bottom w:val="single" w:sz="4" w:space="0" w:color="auto"/>
              <w:right w:val="single" w:sz="4" w:space="0" w:color="auto"/>
            </w:tcBorders>
            <w:shd w:val="clear" w:color="auto" w:fill="auto"/>
            <w:noWrap/>
            <w:hideMark/>
          </w:tcPr>
          <w:p w14:paraId="1EB9BE61" w14:textId="77777777" w:rsidR="00D8365A" w:rsidRPr="00362517" w:rsidRDefault="00D8365A" w:rsidP="00BF6BC7">
            <w:pPr>
              <w:tabs>
                <w:tab w:val="decimal" w:pos="2251"/>
              </w:tabs>
            </w:pPr>
            <w:r w:rsidRPr="00362517">
              <w:t>2,244</w:t>
            </w:r>
          </w:p>
        </w:tc>
        <w:tc>
          <w:tcPr>
            <w:tcW w:w="1645" w:type="pct"/>
            <w:tcBorders>
              <w:top w:val="nil"/>
              <w:left w:val="nil"/>
              <w:bottom w:val="single" w:sz="4" w:space="0" w:color="auto"/>
              <w:right w:val="single" w:sz="4" w:space="0" w:color="auto"/>
            </w:tcBorders>
            <w:shd w:val="clear" w:color="auto" w:fill="auto"/>
            <w:noWrap/>
            <w:hideMark/>
          </w:tcPr>
          <w:p w14:paraId="56C946E9" w14:textId="77777777" w:rsidR="00D8365A" w:rsidRPr="00362517" w:rsidRDefault="00D8365A" w:rsidP="00BF6BC7">
            <w:pPr>
              <w:tabs>
                <w:tab w:val="decimal" w:pos="2001"/>
              </w:tabs>
            </w:pPr>
            <w:r w:rsidRPr="00362517">
              <w:t>14,203</w:t>
            </w:r>
          </w:p>
        </w:tc>
      </w:tr>
      <w:tr w:rsidR="00D8365A" w:rsidRPr="00362517" w14:paraId="2BDFDB82"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090B3370" w14:textId="77777777" w:rsidR="00D8365A" w:rsidRPr="00362517" w:rsidRDefault="00D8365A" w:rsidP="00BF6BC7">
            <w:pPr>
              <w:rPr>
                <w:lang w:eastAsia="ko-KR"/>
              </w:rPr>
            </w:pPr>
            <w:r w:rsidRPr="00362517">
              <w:rPr>
                <w:lang w:eastAsia="ko-KR"/>
              </w:rPr>
              <w:t>Tennessee</w:t>
            </w:r>
          </w:p>
        </w:tc>
        <w:tc>
          <w:tcPr>
            <w:tcW w:w="1679" w:type="pct"/>
            <w:tcBorders>
              <w:top w:val="nil"/>
              <w:left w:val="nil"/>
              <w:bottom w:val="single" w:sz="4" w:space="0" w:color="auto"/>
              <w:right w:val="single" w:sz="4" w:space="0" w:color="auto"/>
            </w:tcBorders>
            <w:shd w:val="clear" w:color="auto" w:fill="auto"/>
            <w:noWrap/>
            <w:hideMark/>
          </w:tcPr>
          <w:p w14:paraId="0DC10C89" w14:textId="77777777" w:rsidR="00D8365A" w:rsidRPr="00362517" w:rsidRDefault="00D8365A" w:rsidP="00BF6BC7">
            <w:pPr>
              <w:tabs>
                <w:tab w:val="decimal" w:pos="2251"/>
              </w:tabs>
            </w:pPr>
            <w:r w:rsidRPr="00362517">
              <w:t>391</w:t>
            </w:r>
          </w:p>
        </w:tc>
        <w:tc>
          <w:tcPr>
            <w:tcW w:w="1645" w:type="pct"/>
            <w:tcBorders>
              <w:top w:val="nil"/>
              <w:left w:val="nil"/>
              <w:bottom w:val="single" w:sz="4" w:space="0" w:color="auto"/>
              <w:right w:val="single" w:sz="4" w:space="0" w:color="auto"/>
            </w:tcBorders>
            <w:shd w:val="clear" w:color="auto" w:fill="auto"/>
            <w:noWrap/>
            <w:hideMark/>
          </w:tcPr>
          <w:p w14:paraId="420A9AC2" w14:textId="77777777" w:rsidR="00D8365A" w:rsidRPr="00362517" w:rsidRDefault="00D8365A" w:rsidP="00BF6BC7">
            <w:pPr>
              <w:tabs>
                <w:tab w:val="decimal" w:pos="2001"/>
              </w:tabs>
            </w:pPr>
            <w:r w:rsidRPr="00362517">
              <w:t>10,242</w:t>
            </w:r>
          </w:p>
        </w:tc>
      </w:tr>
      <w:tr w:rsidR="00D8365A" w:rsidRPr="00362517" w14:paraId="54F5B163"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45F4CFE9" w14:textId="77777777" w:rsidR="00D8365A" w:rsidRPr="00362517" w:rsidRDefault="00D8365A" w:rsidP="00BF6BC7">
            <w:pPr>
              <w:rPr>
                <w:lang w:eastAsia="ko-KR"/>
              </w:rPr>
            </w:pPr>
            <w:r w:rsidRPr="00362517">
              <w:rPr>
                <w:lang w:eastAsia="ko-KR"/>
              </w:rPr>
              <w:t>Texas</w:t>
            </w:r>
          </w:p>
        </w:tc>
        <w:tc>
          <w:tcPr>
            <w:tcW w:w="1679" w:type="pct"/>
            <w:tcBorders>
              <w:top w:val="nil"/>
              <w:left w:val="nil"/>
              <w:bottom w:val="single" w:sz="4" w:space="0" w:color="auto"/>
              <w:right w:val="single" w:sz="4" w:space="0" w:color="auto"/>
            </w:tcBorders>
            <w:shd w:val="clear" w:color="auto" w:fill="auto"/>
            <w:noWrap/>
            <w:hideMark/>
          </w:tcPr>
          <w:p w14:paraId="5BD8F4A3" w14:textId="77777777" w:rsidR="00D8365A" w:rsidRPr="00362517" w:rsidRDefault="00D8365A" w:rsidP="00BF6BC7">
            <w:pPr>
              <w:tabs>
                <w:tab w:val="decimal" w:pos="2251"/>
              </w:tabs>
            </w:pPr>
            <w:r w:rsidRPr="00362517">
              <w:t>2,987</w:t>
            </w:r>
          </w:p>
        </w:tc>
        <w:tc>
          <w:tcPr>
            <w:tcW w:w="1645" w:type="pct"/>
            <w:tcBorders>
              <w:top w:val="nil"/>
              <w:left w:val="nil"/>
              <w:bottom w:val="single" w:sz="4" w:space="0" w:color="auto"/>
              <w:right w:val="single" w:sz="4" w:space="0" w:color="auto"/>
            </w:tcBorders>
            <w:shd w:val="clear" w:color="auto" w:fill="auto"/>
            <w:noWrap/>
            <w:hideMark/>
          </w:tcPr>
          <w:p w14:paraId="2D2DE6A2" w14:textId="77777777" w:rsidR="00D8365A" w:rsidRPr="00362517" w:rsidRDefault="00D8365A" w:rsidP="00BF6BC7">
            <w:pPr>
              <w:tabs>
                <w:tab w:val="decimal" w:pos="2001"/>
              </w:tabs>
            </w:pPr>
            <w:r w:rsidRPr="00362517">
              <w:t>40,405</w:t>
            </w:r>
          </w:p>
        </w:tc>
      </w:tr>
      <w:tr w:rsidR="00D8365A" w:rsidRPr="00362517" w14:paraId="0B724D5C"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70A30950" w14:textId="77777777" w:rsidR="00D8365A" w:rsidRPr="00362517" w:rsidRDefault="00D8365A" w:rsidP="00BF6BC7">
            <w:pPr>
              <w:rPr>
                <w:lang w:eastAsia="ko-KR"/>
              </w:rPr>
            </w:pPr>
            <w:r w:rsidRPr="00362517">
              <w:rPr>
                <w:lang w:eastAsia="ko-KR"/>
              </w:rPr>
              <w:t>Utah</w:t>
            </w:r>
          </w:p>
        </w:tc>
        <w:tc>
          <w:tcPr>
            <w:tcW w:w="1679" w:type="pct"/>
            <w:tcBorders>
              <w:top w:val="nil"/>
              <w:left w:val="nil"/>
              <w:bottom w:val="single" w:sz="4" w:space="0" w:color="auto"/>
              <w:right w:val="single" w:sz="4" w:space="0" w:color="auto"/>
            </w:tcBorders>
            <w:shd w:val="clear" w:color="auto" w:fill="auto"/>
            <w:noWrap/>
            <w:hideMark/>
          </w:tcPr>
          <w:p w14:paraId="39A946E9" w14:textId="77777777" w:rsidR="00D8365A" w:rsidRPr="00362517" w:rsidRDefault="00D8365A" w:rsidP="00BF6BC7">
            <w:pPr>
              <w:tabs>
                <w:tab w:val="decimal" w:pos="2251"/>
              </w:tabs>
            </w:pPr>
            <w:r w:rsidRPr="00362517">
              <w:t>665</w:t>
            </w:r>
          </w:p>
        </w:tc>
        <w:tc>
          <w:tcPr>
            <w:tcW w:w="1645" w:type="pct"/>
            <w:tcBorders>
              <w:top w:val="nil"/>
              <w:left w:val="nil"/>
              <w:bottom w:val="single" w:sz="4" w:space="0" w:color="auto"/>
              <w:right w:val="single" w:sz="4" w:space="0" w:color="auto"/>
            </w:tcBorders>
            <w:shd w:val="clear" w:color="auto" w:fill="auto"/>
            <w:noWrap/>
            <w:hideMark/>
          </w:tcPr>
          <w:p w14:paraId="2E12346F" w14:textId="77777777" w:rsidR="00D8365A" w:rsidRPr="00362517" w:rsidRDefault="00D8365A" w:rsidP="00BF6BC7">
            <w:pPr>
              <w:tabs>
                <w:tab w:val="decimal" w:pos="2001"/>
              </w:tabs>
            </w:pPr>
            <w:r w:rsidRPr="00362517">
              <w:t>1,190</w:t>
            </w:r>
          </w:p>
        </w:tc>
      </w:tr>
      <w:tr w:rsidR="00D8365A" w:rsidRPr="00362517" w14:paraId="07F28D5F"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3B0E7D64" w14:textId="77777777" w:rsidR="00D8365A" w:rsidRPr="00362517" w:rsidRDefault="00D8365A" w:rsidP="00BF6BC7">
            <w:pPr>
              <w:rPr>
                <w:lang w:eastAsia="ko-KR"/>
              </w:rPr>
            </w:pPr>
            <w:r w:rsidRPr="00362517">
              <w:rPr>
                <w:lang w:eastAsia="ko-KR"/>
              </w:rPr>
              <w:t>Vermont</w:t>
            </w:r>
          </w:p>
        </w:tc>
        <w:tc>
          <w:tcPr>
            <w:tcW w:w="1679" w:type="pct"/>
            <w:tcBorders>
              <w:top w:val="nil"/>
              <w:left w:val="nil"/>
              <w:bottom w:val="single" w:sz="4" w:space="0" w:color="auto"/>
              <w:right w:val="single" w:sz="4" w:space="0" w:color="auto"/>
            </w:tcBorders>
            <w:shd w:val="clear" w:color="auto" w:fill="auto"/>
            <w:noWrap/>
            <w:hideMark/>
          </w:tcPr>
          <w:p w14:paraId="35ED3D4B" w14:textId="77777777" w:rsidR="00D8365A" w:rsidRPr="00362517" w:rsidRDefault="00D8365A" w:rsidP="00BF6BC7">
            <w:pPr>
              <w:tabs>
                <w:tab w:val="decimal" w:pos="2251"/>
              </w:tabs>
            </w:pPr>
            <w:r w:rsidRPr="00362517">
              <w:t>45</w:t>
            </w:r>
          </w:p>
        </w:tc>
        <w:tc>
          <w:tcPr>
            <w:tcW w:w="1645" w:type="pct"/>
            <w:tcBorders>
              <w:top w:val="nil"/>
              <w:left w:val="nil"/>
              <w:bottom w:val="single" w:sz="4" w:space="0" w:color="auto"/>
              <w:right w:val="single" w:sz="4" w:space="0" w:color="auto"/>
            </w:tcBorders>
            <w:shd w:val="clear" w:color="auto" w:fill="auto"/>
            <w:noWrap/>
            <w:hideMark/>
          </w:tcPr>
          <w:p w14:paraId="69554986" w14:textId="77777777" w:rsidR="00D8365A" w:rsidRPr="00362517" w:rsidRDefault="00D8365A" w:rsidP="00BF6BC7">
            <w:pPr>
              <w:tabs>
                <w:tab w:val="decimal" w:pos="2001"/>
              </w:tabs>
            </w:pPr>
            <w:r w:rsidRPr="00362517">
              <w:t>527</w:t>
            </w:r>
          </w:p>
        </w:tc>
      </w:tr>
      <w:tr w:rsidR="00D8365A" w:rsidRPr="00362517" w14:paraId="43A71F66"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7F263A5E" w14:textId="77777777" w:rsidR="00D8365A" w:rsidRPr="00362517" w:rsidRDefault="00D8365A" w:rsidP="00BF6BC7">
            <w:pPr>
              <w:rPr>
                <w:lang w:eastAsia="ko-KR"/>
              </w:rPr>
            </w:pPr>
            <w:r w:rsidRPr="00362517">
              <w:rPr>
                <w:lang w:eastAsia="ko-KR"/>
              </w:rPr>
              <w:t>Virginia</w:t>
            </w:r>
          </w:p>
        </w:tc>
        <w:tc>
          <w:tcPr>
            <w:tcW w:w="1679" w:type="pct"/>
            <w:tcBorders>
              <w:top w:val="nil"/>
              <w:left w:val="nil"/>
              <w:bottom w:val="single" w:sz="4" w:space="0" w:color="auto"/>
              <w:right w:val="single" w:sz="4" w:space="0" w:color="auto"/>
            </w:tcBorders>
            <w:shd w:val="clear" w:color="auto" w:fill="auto"/>
            <w:noWrap/>
            <w:hideMark/>
          </w:tcPr>
          <w:p w14:paraId="789A2593" w14:textId="77777777" w:rsidR="00D8365A" w:rsidRPr="00362517" w:rsidRDefault="00D8365A" w:rsidP="00BF6BC7">
            <w:pPr>
              <w:tabs>
                <w:tab w:val="decimal" w:pos="2251"/>
              </w:tabs>
            </w:pPr>
            <w:r w:rsidRPr="00362517">
              <w:t>1,023</w:t>
            </w:r>
          </w:p>
        </w:tc>
        <w:tc>
          <w:tcPr>
            <w:tcW w:w="1645" w:type="pct"/>
            <w:tcBorders>
              <w:top w:val="nil"/>
              <w:left w:val="nil"/>
              <w:bottom w:val="single" w:sz="4" w:space="0" w:color="auto"/>
              <w:right w:val="single" w:sz="4" w:space="0" w:color="auto"/>
            </w:tcBorders>
            <w:shd w:val="clear" w:color="auto" w:fill="auto"/>
            <w:noWrap/>
            <w:hideMark/>
          </w:tcPr>
          <w:p w14:paraId="4CA07B4D" w14:textId="77777777" w:rsidR="00D8365A" w:rsidRPr="00362517" w:rsidRDefault="00D8365A" w:rsidP="00BF6BC7">
            <w:pPr>
              <w:tabs>
                <w:tab w:val="decimal" w:pos="2001"/>
              </w:tabs>
            </w:pPr>
            <w:r w:rsidRPr="00362517">
              <w:t>5,483</w:t>
            </w:r>
          </w:p>
        </w:tc>
      </w:tr>
      <w:tr w:rsidR="00D8365A" w:rsidRPr="00362517" w14:paraId="2FDC9060"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7D6C7181" w14:textId="77777777" w:rsidR="00D8365A" w:rsidRPr="00362517" w:rsidRDefault="00D8365A" w:rsidP="00BF6BC7">
            <w:pPr>
              <w:rPr>
                <w:lang w:eastAsia="ko-KR"/>
              </w:rPr>
            </w:pPr>
            <w:r w:rsidRPr="00362517">
              <w:rPr>
                <w:lang w:eastAsia="ko-KR"/>
              </w:rPr>
              <w:t>Washington</w:t>
            </w:r>
          </w:p>
        </w:tc>
        <w:tc>
          <w:tcPr>
            <w:tcW w:w="1679" w:type="pct"/>
            <w:tcBorders>
              <w:top w:val="nil"/>
              <w:left w:val="nil"/>
              <w:bottom w:val="single" w:sz="4" w:space="0" w:color="auto"/>
              <w:right w:val="single" w:sz="4" w:space="0" w:color="auto"/>
            </w:tcBorders>
            <w:shd w:val="clear" w:color="auto" w:fill="auto"/>
            <w:noWrap/>
            <w:hideMark/>
          </w:tcPr>
          <w:p w14:paraId="444B5FD1" w14:textId="77777777" w:rsidR="00D8365A" w:rsidRPr="00362517" w:rsidRDefault="00D8365A" w:rsidP="00BF6BC7">
            <w:pPr>
              <w:tabs>
                <w:tab w:val="decimal" w:pos="2251"/>
              </w:tabs>
            </w:pPr>
            <w:r w:rsidRPr="00362517">
              <w:t>669</w:t>
            </w:r>
          </w:p>
        </w:tc>
        <w:tc>
          <w:tcPr>
            <w:tcW w:w="1645" w:type="pct"/>
            <w:tcBorders>
              <w:top w:val="nil"/>
              <w:left w:val="nil"/>
              <w:bottom w:val="single" w:sz="4" w:space="0" w:color="auto"/>
              <w:right w:val="single" w:sz="4" w:space="0" w:color="auto"/>
            </w:tcBorders>
            <w:shd w:val="clear" w:color="auto" w:fill="auto"/>
            <w:noWrap/>
            <w:hideMark/>
          </w:tcPr>
          <w:p w14:paraId="1AA7BBCE" w14:textId="77777777" w:rsidR="00D8365A" w:rsidRPr="00362517" w:rsidRDefault="00D8365A" w:rsidP="00BF6BC7">
            <w:pPr>
              <w:tabs>
                <w:tab w:val="decimal" w:pos="2001"/>
              </w:tabs>
            </w:pPr>
            <w:r w:rsidRPr="00362517">
              <w:t>13,177</w:t>
            </w:r>
          </w:p>
        </w:tc>
      </w:tr>
      <w:tr w:rsidR="00D8365A" w:rsidRPr="00362517" w14:paraId="71AA2A2D"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3B9B71BE" w14:textId="77777777" w:rsidR="00D8365A" w:rsidRPr="00362517" w:rsidRDefault="00D8365A" w:rsidP="00BF6BC7">
            <w:pPr>
              <w:rPr>
                <w:lang w:eastAsia="ko-KR"/>
              </w:rPr>
            </w:pPr>
            <w:r w:rsidRPr="00362517">
              <w:rPr>
                <w:lang w:eastAsia="ko-KR"/>
              </w:rPr>
              <w:t>West Virginia</w:t>
            </w:r>
          </w:p>
        </w:tc>
        <w:tc>
          <w:tcPr>
            <w:tcW w:w="1679" w:type="pct"/>
            <w:tcBorders>
              <w:top w:val="nil"/>
              <w:left w:val="nil"/>
              <w:bottom w:val="single" w:sz="4" w:space="0" w:color="auto"/>
              <w:right w:val="single" w:sz="4" w:space="0" w:color="auto"/>
            </w:tcBorders>
            <w:shd w:val="clear" w:color="auto" w:fill="auto"/>
            <w:noWrap/>
            <w:hideMark/>
          </w:tcPr>
          <w:p w14:paraId="556748B5" w14:textId="77777777" w:rsidR="00D8365A" w:rsidRPr="00362517" w:rsidRDefault="00D8365A" w:rsidP="00BF6BC7">
            <w:pPr>
              <w:tabs>
                <w:tab w:val="decimal" w:pos="2251"/>
              </w:tabs>
            </w:pPr>
            <w:r w:rsidRPr="00362517">
              <w:t>71</w:t>
            </w:r>
          </w:p>
        </w:tc>
        <w:tc>
          <w:tcPr>
            <w:tcW w:w="1645" w:type="pct"/>
            <w:tcBorders>
              <w:top w:val="nil"/>
              <w:left w:val="nil"/>
              <w:bottom w:val="single" w:sz="4" w:space="0" w:color="auto"/>
              <w:right w:val="single" w:sz="4" w:space="0" w:color="auto"/>
            </w:tcBorders>
            <w:shd w:val="clear" w:color="auto" w:fill="auto"/>
            <w:noWrap/>
            <w:hideMark/>
          </w:tcPr>
          <w:p w14:paraId="765D3AEA" w14:textId="77777777" w:rsidR="00D8365A" w:rsidRPr="00362517" w:rsidRDefault="00D8365A" w:rsidP="00BF6BC7">
            <w:pPr>
              <w:tabs>
                <w:tab w:val="decimal" w:pos="2001"/>
              </w:tabs>
            </w:pPr>
            <w:r w:rsidRPr="00362517">
              <w:t>1,153</w:t>
            </w:r>
          </w:p>
        </w:tc>
      </w:tr>
      <w:tr w:rsidR="00D8365A" w:rsidRPr="00362517" w14:paraId="48DA6EFE"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2820F443" w14:textId="77777777" w:rsidR="00D8365A" w:rsidRPr="00362517" w:rsidRDefault="00D8365A" w:rsidP="00BF6BC7">
            <w:pPr>
              <w:rPr>
                <w:lang w:eastAsia="ko-KR"/>
              </w:rPr>
            </w:pPr>
            <w:r w:rsidRPr="00362517">
              <w:rPr>
                <w:lang w:eastAsia="ko-KR"/>
              </w:rPr>
              <w:t>Wisconsin</w:t>
            </w:r>
          </w:p>
        </w:tc>
        <w:tc>
          <w:tcPr>
            <w:tcW w:w="1679" w:type="pct"/>
            <w:tcBorders>
              <w:top w:val="nil"/>
              <w:left w:val="nil"/>
              <w:bottom w:val="single" w:sz="4" w:space="0" w:color="auto"/>
              <w:right w:val="single" w:sz="4" w:space="0" w:color="auto"/>
            </w:tcBorders>
            <w:shd w:val="clear" w:color="auto" w:fill="auto"/>
            <w:noWrap/>
            <w:hideMark/>
          </w:tcPr>
          <w:p w14:paraId="1347882F" w14:textId="77777777" w:rsidR="00D8365A" w:rsidRPr="00362517" w:rsidRDefault="00D8365A" w:rsidP="00BF6BC7">
            <w:pPr>
              <w:tabs>
                <w:tab w:val="decimal" w:pos="2251"/>
              </w:tabs>
            </w:pPr>
            <w:r w:rsidRPr="00362517">
              <w:t>1,029</w:t>
            </w:r>
          </w:p>
        </w:tc>
        <w:tc>
          <w:tcPr>
            <w:tcW w:w="1645" w:type="pct"/>
            <w:tcBorders>
              <w:top w:val="nil"/>
              <w:left w:val="nil"/>
              <w:bottom w:val="single" w:sz="4" w:space="0" w:color="auto"/>
              <w:right w:val="single" w:sz="4" w:space="0" w:color="auto"/>
            </w:tcBorders>
            <w:shd w:val="clear" w:color="auto" w:fill="auto"/>
            <w:noWrap/>
            <w:hideMark/>
          </w:tcPr>
          <w:p w14:paraId="3A401E62" w14:textId="77777777" w:rsidR="00D8365A" w:rsidRPr="00362517" w:rsidRDefault="00D8365A" w:rsidP="00BF6BC7">
            <w:pPr>
              <w:tabs>
                <w:tab w:val="decimal" w:pos="2001"/>
              </w:tabs>
            </w:pPr>
            <w:r w:rsidRPr="00362517">
              <w:t>12,711</w:t>
            </w:r>
          </w:p>
        </w:tc>
      </w:tr>
      <w:tr w:rsidR="00D8365A" w:rsidRPr="00362517" w14:paraId="145D949D"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7EE0D47F" w14:textId="77777777" w:rsidR="00D8365A" w:rsidRPr="00362517" w:rsidRDefault="00D8365A" w:rsidP="00BF6BC7">
            <w:pPr>
              <w:rPr>
                <w:lang w:eastAsia="ko-KR"/>
              </w:rPr>
            </w:pPr>
            <w:r w:rsidRPr="00362517">
              <w:rPr>
                <w:lang w:eastAsia="ko-KR"/>
              </w:rPr>
              <w:t>Wyoming</w:t>
            </w:r>
          </w:p>
        </w:tc>
        <w:tc>
          <w:tcPr>
            <w:tcW w:w="1679" w:type="pct"/>
            <w:tcBorders>
              <w:top w:val="nil"/>
              <w:left w:val="nil"/>
              <w:bottom w:val="single" w:sz="4" w:space="0" w:color="auto"/>
              <w:right w:val="single" w:sz="4" w:space="0" w:color="auto"/>
            </w:tcBorders>
            <w:shd w:val="clear" w:color="auto" w:fill="auto"/>
            <w:noWrap/>
            <w:hideMark/>
          </w:tcPr>
          <w:p w14:paraId="1244FE41" w14:textId="77777777" w:rsidR="00D8365A" w:rsidRPr="00362517" w:rsidRDefault="00D8365A" w:rsidP="00BF6BC7">
            <w:pPr>
              <w:tabs>
                <w:tab w:val="decimal" w:pos="2251"/>
              </w:tabs>
            </w:pPr>
            <w:r w:rsidRPr="00362517">
              <w:t>375</w:t>
            </w:r>
          </w:p>
        </w:tc>
        <w:tc>
          <w:tcPr>
            <w:tcW w:w="1645" w:type="pct"/>
            <w:tcBorders>
              <w:top w:val="nil"/>
              <w:left w:val="nil"/>
              <w:bottom w:val="single" w:sz="4" w:space="0" w:color="auto"/>
              <w:right w:val="single" w:sz="4" w:space="0" w:color="auto"/>
            </w:tcBorders>
            <w:shd w:val="clear" w:color="auto" w:fill="auto"/>
            <w:noWrap/>
            <w:hideMark/>
          </w:tcPr>
          <w:p w14:paraId="7BDACFAA" w14:textId="77777777" w:rsidR="00D8365A" w:rsidRPr="00362517" w:rsidRDefault="00D8365A" w:rsidP="00BF6BC7">
            <w:pPr>
              <w:tabs>
                <w:tab w:val="decimal" w:pos="2001"/>
              </w:tabs>
            </w:pPr>
            <w:r w:rsidRPr="00362517">
              <w:t>4,216</w:t>
            </w:r>
          </w:p>
        </w:tc>
      </w:tr>
      <w:tr w:rsidR="00D8365A" w:rsidRPr="00362517" w14:paraId="378CB304" w14:textId="77777777" w:rsidTr="007A2164">
        <w:trPr>
          <w:trHeight w:val="255"/>
        </w:trPr>
        <w:tc>
          <w:tcPr>
            <w:tcW w:w="1676" w:type="pct"/>
            <w:tcBorders>
              <w:top w:val="nil"/>
              <w:left w:val="single" w:sz="4" w:space="0" w:color="auto"/>
              <w:bottom w:val="single" w:sz="4" w:space="0" w:color="auto"/>
              <w:right w:val="single" w:sz="4" w:space="0" w:color="auto"/>
            </w:tcBorders>
            <w:shd w:val="clear" w:color="auto" w:fill="auto"/>
            <w:hideMark/>
          </w:tcPr>
          <w:p w14:paraId="651AF538" w14:textId="77777777" w:rsidR="00D8365A" w:rsidRPr="00362517" w:rsidRDefault="00D8365A" w:rsidP="00BF6BC7">
            <w:pPr>
              <w:rPr>
                <w:lang w:eastAsia="ko-KR"/>
              </w:rPr>
            </w:pPr>
            <w:r w:rsidRPr="00362517">
              <w:rPr>
                <w:lang w:eastAsia="ko-KR"/>
              </w:rPr>
              <w:t>Puerto Rico</w:t>
            </w:r>
          </w:p>
        </w:tc>
        <w:tc>
          <w:tcPr>
            <w:tcW w:w="1679" w:type="pct"/>
            <w:tcBorders>
              <w:top w:val="nil"/>
              <w:left w:val="nil"/>
              <w:bottom w:val="single" w:sz="4" w:space="0" w:color="auto"/>
              <w:right w:val="single" w:sz="4" w:space="0" w:color="auto"/>
            </w:tcBorders>
            <w:shd w:val="clear" w:color="auto" w:fill="auto"/>
            <w:noWrap/>
            <w:vAlign w:val="center"/>
            <w:hideMark/>
          </w:tcPr>
          <w:p w14:paraId="563E494C" w14:textId="77777777" w:rsidR="00D8365A" w:rsidRPr="00362517" w:rsidRDefault="00D8365A" w:rsidP="00BF6BC7">
            <w:pPr>
              <w:tabs>
                <w:tab w:val="decimal" w:pos="2251"/>
              </w:tabs>
              <w:rPr>
                <w:lang w:eastAsia="ko-KR"/>
              </w:rPr>
            </w:pPr>
            <w:r w:rsidRPr="00362517">
              <w:rPr>
                <w:lang w:eastAsia="ko-KR"/>
              </w:rPr>
              <w:t>769</w:t>
            </w:r>
          </w:p>
        </w:tc>
        <w:tc>
          <w:tcPr>
            <w:tcW w:w="1645" w:type="pct"/>
            <w:tcBorders>
              <w:top w:val="nil"/>
              <w:left w:val="nil"/>
              <w:bottom w:val="single" w:sz="4" w:space="0" w:color="auto"/>
              <w:right w:val="single" w:sz="4" w:space="0" w:color="auto"/>
            </w:tcBorders>
            <w:shd w:val="clear" w:color="auto" w:fill="auto"/>
            <w:noWrap/>
            <w:vAlign w:val="center"/>
            <w:hideMark/>
          </w:tcPr>
          <w:p w14:paraId="2E8ECE4A" w14:textId="77777777" w:rsidR="00D8365A" w:rsidRPr="00362517" w:rsidRDefault="00D8365A" w:rsidP="00BF6BC7">
            <w:pPr>
              <w:tabs>
                <w:tab w:val="decimal" w:pos="2001"/>
              </w:tabs>
              <w:rPr>
                <w:lang w:eastAsia="ko-KR"/>
              </w:rPr>
            </w:pPr>
            <w:r w:rsidRPr="00362517">
              <w:rPr>
                <w:lang w:eastAsia="ko-KR"/>
              </w:rPr>
              <w:t>16,728</w:t>
            </w:r>
          </w:p>
        </w:tc>
      </w:tr>
      <w:tr w:rsidR="00D8365A" w:rsidRPr="00362517" w14:paraId="5A99B8C3" w14:textId="77777777" w:rsidTr="007A2164">
        <w:trPr>
          <w:trHeight w:val="270"/>
        </w:trPr>
        <w:tc>
          <w:tcPr>
            <w:tcW w:w="1676" w:type="pct"/>
            <w:tcBorders>
              <w:top w:val="single" w:sz="4" w:space="0" w:color="auto"/>
              <w:left w:val="single" w:sz="4" w:space="0" w:color="auto"/>
              <w:bottom w:val="single" w:sz="4" w:space="0" w:color="auto"/>
              <w:right w:val="single" w:sz="4" w:space="0" w:color="auto"/>
            </w:tcBorders>
            <w:shd w:val="clear" w:color="auto" w:fill="auto"/>
            <w:hideMark/>
          </w:tcPr>
          <w:p w14:paraId="2BBC7AE5" w14:textId="77777777" w:rsidR="00D8365A" w:rsidRPr="00362517" w:rsidRDefault="00D8365A" w:rsidP="00BF6BC7">
            <w:pPr>
              <w:rPr>
                <w:lang w:eastAsia="ko-KR"/>
              </w:rPr>
            </w:pPr>
            <w:r w:rsidRPr="00362517">
              <w:rPr>
                <w:lang w:eastAsia="ko-KR"/>
              </w:rPr>
              <w:t>Other Jurisdictions</w:t>
            </w:r>
          </w:p>
        </w:tc>
        <w:tc>
          <w:tcPr>
            <w:tcW w:w="1679" w:type="pct"/>
            <w:tcBorders>
              <w:top w:val="single" w:sz="4" w:space="0" w:color="auto"/>
              <w:left w:val="nil"/>
              <w:bottom w:val="single" w:sz="4" w:space="0" w:color="auto"/>
              <w:right w:val="single" w:sz="4" w:space="0" w:color="auto"/>
            </w:tcBorders>
            <w:shd w:val="clear" w:color="auto" w:fill="auto"/>
            <w:noWrap/>
            <w:vAlign w:val="center"/>
            <w:hideMark/>
          </w:tcPr>
          <w:p w14:paraId="78C35FE1" w14:textId="77777777" w:rsidR="00D8365A" w:rsidRPr="00362517" w:rsidRDefault="00D8365A" w:rsidP="00BF6BC7">
            <w:pPr>
              <w:tabs>
                <w:tab w:val="decimal" w:pos="2251"/>
              </w:tabs>
              <w:rPr>
                <w:lang w:eastAsia="ko-KR"/>
              </w:rPr>
            </w:pPr>
            <w:r w:rsidRPr="00362517">
              <w:rPr>
                <w:lang w:eastAsia="ko-KR"/>
              </w:rPr>
              <w:t>108</w:t>
            </w:r>
          </w:p>
        </w:tc>
        <w:tc>
          <w:tcPr>
            <w:tcW w:w="1645" w:type="pct"/>
            <w:tcBorders>
              <w:top w:val="single" w:sz="4" w:space="0" w:color="auto"/>
              <w:left w:val="nil"/>
              <w:bottom w:val="single" w:sz="4" w:space="0" w:color="auto"/>
              <w:right w:val="single" w:sz="4" w:space="0" w:color="auto"/>
            </w:tcBorders>
            <w:shd w:val="clear" w:color="auto" w:fill="auto"/>
            <w:noWrap/>
            <w:vAlign w:val="center"/>
            <w:hideMark/>
          </w:tcPr>
          <w:p w14:paraId="7A423FE2" w14:textId="77777777" w:rsidR="00D8365A" w:rsidRPr="00362517" w:rsidRDefault="00D8365A" w:rsidP="00BF6BC7">
            <w:pPr>
              <w:tabs>
                <w:tab w:val="decimal" w:pos="2001"/>
              </w:tabs>
              <w:rPr>
                <w:lang w:eastAsia="ko-KR"/>
              </w:rPr>
            </w:pPr>
            <w:r w:rsidRPr="00362517">
              <w:rPr>
                <w:lang w:eastAsia="ko-KR"/>
              </w:rPr>
              <w:t>213</w:t>
            </w:r>
          </w:p>
        </w:tc>
      </w:tr>
      <w:tr w:rsidR="00D8365A" w:rsidRPr="00362517" w14:paraId="250DE984" w14:textId="77777777" w:rsidTr="007A2164">
        <w:trPr>
          <w:trHeight w:val="270"/>
        </w:trPr>
        <w:tc>
          <w:tcPr>
            <w:tcW w:w="1676" w:type="pct"/>
            <w:tcBorders>
              <w:top w:val="single" w:sz="4" w:space="0" w:color="auto"/>
              <w:left w:val="single" w:sz="4" w:space="0" w:color="auto"/>
              <w:bottom w:val="single" w:sz="4" w:space="0" w:color="auto"/>
              <w:right w:val="single" w:sz="4" w:space="0" w:color="auto"/>
            </w:tcBorders>
            <w:shd w:val="clear" w:color="auto" w:fill="auto"/>
            <w:hideMark/>
          </w:tcPr>
          <w:p w14:paraId="5651EDD3" w14:textId="77777777" w:rsidR="00D8365A" w:rsidRPr="00362517" w:rsidRDefault="00D8365A" w:rsidP="00BF6BC7">
            <w:pPr>
              <w:rPr>
                <w:b/>
                <w:bCs/>
                <w:lang w:eastAsia="ko-KR"/>
              </w:rPr>
            </w:pPr>
            <w:r w:rsidRPr="00362517">
              <w:rPr>
                <w:b/>
                <w:bCs/>
                <w:lang w:eastAsia="ko-KR"/>
              </w:rPr>
              <w:t>U.S.</w:t>
            </w:r>
          </w:p>
        </w:tc>
        <w:tc>
          <w:tcPr>
            <w:tcW w:w="1679" w:type="pct"/>
            <w:tcBorders>
              <w:top w:val="single" w:sz="4" w:space="0" w:color="auto"/>
              <w:left w:val="nil"/>
              <w:bottom w:val="single" w:sz="4" w:space="0" w:color="auto"/>
              <w:right w:val="single" w:sz="4" w:space="0" w:color="auto"/>
            </w:tcBorders>
            <w:shd w:val="clear" w:color="auto" w:fill="auto"/>
            <w:noWrap/>
            <w:vAlign w:val="center"/>
            <w:hideMark/>
          </w:tcPr>
          <w:p w14:paraId="201DA174" w14:textId="77777777" w:rsidR="00D8365A" w:rsidRPr="00362517" w:rsidRDefault="00D8365A" w:rsidP="00BF6BC7">
            <w:pPr>
              <w:tabs>
                <w:tab w:val="decimal" w:pos="2251"/>
              </w:tabs>
              <w:rPr>
                <w:b/>
                <w:bCs/>
                <w:lang w:eastAsia="ko-KR"/>
              </w:rPr>
            </w:pPr>
            <w:r w:rsidRPr="00362517">
              <w:rPr>
                <w:b/>
                <w:bCs/>
                <w:lang w:eastAsia="ko-KR"/>
              </w:rPr>
              <w:t>34,071</w:t>
            </w:r>
          </w:p>
        </w:tc>
        <w:tc>
          <w:tcPr>
            <w:tcW w:w="1645" w:type="pct"/>
            <w:tcBorders>
              <w:top w:val="single" w:sz="4" w:space="0" w:color="auto"/>
              <w:left w:val="nil"/>
              <w:bottom w:val="single" w:sz="4" w:space="0" w:color="auto"/>
              <w:right w:val="single" w:sz="4" w:space="0" w:color="auto"/>
            </w:tcBorders>
            <w:shd w:val="clear" w:color="auto" w:fill="auto"/>
            <w:noWrap/>
            <w:vAlign w:val="center"/>
            <w:hideMark/>
          </w:tcPr>
          <w:p w14:paraId="2BC7A4E7" w14:textId="77777777" w:rsidR="00D8365A" w:rsidRPr="00362517" w:rsidRDefault="00D8365A" w:rsidP="00BF6BC7">
            <w:pPr>
              <w:tabs>
                <w:tab w:val="decimal" w:pos="2001"/>
              </w:tabs>
              <w:rPr>
                <w:b/>
                <w:bCs/>
                <w:lang w:eastAsia="ko-KR"/>
              </w:rPr>
            </w:pPr>
            <w:r w:rsidRPr="00362517">
              <w:rPr>
                <w:b/>
                <w:bCs/>
                <w:lang w:eastAsia="ko-KR"/>
              </w:rPr>
              <w:t>448,854</w:t>
            </w:r>
          </w:p>
        </w:tc>
      </w:tr>
    </w:tbl>
    <w:p w14:paraId="21C43E41" w14:textId="77777777" w:rsidR="00D8365A" w:rsidRPr="00362517" w:rsidRDefault="00D8365A" w:rsidP="00BF6BC7">
      <w:pPr>
        <w:pStyle w:val="Source"/>
        <w:rPr>
          <w:sz w:val="22"/>
          <w:szCs w:val="22"/>
        </w:rPr>
      </w:pPr>
      <w:r w:rsidRPr="00362517">
        <w:rPr>
          <w:sz w:val="22"/>
          <w:szCs w:val="22"/>
        </w:rPr>
        <w:t>Source: Certification Plan and Reporting Database (CPARD) 2015.</w:t>
      </w:r>
    </w:p>
    <w:p w14:paraId="0094FA2A" w14:textId="77777777" w:rsidR="00D8365A" w:rsidRPr="00362517" w:rsidRDefault="00D8365A" w:rsidP="00BF6BC7"/>
    <w:p w14:paraId="6E4DD9B9" w14:textId="16CD5446" w:rsidR="00D8365A" w:rsidRPr="00362517" w:rsidRDefault="00D8365A" w:rsidP="00BF6BC7">
      <w:pPr>
        <w:pStyle w:val="BodyText"/>
      </w:pPr>
      <w:r w:rsidRPr="00362517">
        <w:t xml:space="preserve">As with commercial applicators, CPARD does not provide information on the age of private applicators.  Since private applicators are often the owner or operator of a farm, EPA bases its estimates of adolescent applicators on the number of principal operators under the age of 25, as reported in the 2012 Census of Agriculture (NASS, 2014c).  EPA also recognizes that there are adolescents involved in 4-H and Future Farmers of America and other vocational programs that may use RUPs as part of their training, but EPA does not have information about their ages. Given that the age distribution is probably heavily skewed to operators in their early 20s rather than mid- to late-teens, we assume 0.5 percent of principal operators under the age of 25 are 14 and obtain initial certification as a private applicator, 0.75 percent are 15 and 16 and will be certified, and one percent are 17 years old with certification.  Not all principal operators will be certified applicators since not all farms use pesticides, much less RUPs.  However, there are other situations where an adolescent may be a certified applicator.  Many certifying authorities have age restrictions, however, typically either 16 or 18 years of age and we adjust our estimates accordingly.  Where the minimum age is 16, we assume that all adolescents who would otherwise have obtained certification by that age will do so.  Table 3.3-6 presents the estimated adolescent private applicators.  Included is an estimate of adolescents hired as a private applicator.  The above approach applies to family members only.  Hired adolescents with certification as a private applicator on farms are likely very rare.  According to the National Agricultural Worker Survey (DoL, 2011), only about 2.3 percent of those handling any kind of pesticide were under 18 and fewer would handle RUPs.  Moreover, revisions to the WPS have been finalized, including a requirement that all hired pesticide handlers (i.e., other than family members) must be 18.  The WPS applies to crop production, but there may be a few applicators employed to apply RUPs for livestock production.  For the </w:t>
      </w:r>
      <w:r w:rsidR="000C0407">
        <w:t>E</w:t>
      </w:r>
      <w:r w:rsidRPr="00362517">
        <w:t xml:space="preserve">conomic </w:t>
      </w:r>
      <w:r w:rsidR="000C0407">
        <w:t>A</w:t>
      </w:r>
      <w:r w:rsidRPr="00362517">
        <w:t>nalysis of the proposed certification requirements, EPA assumed that hired 17 year-olds may obtain certification, at a rate of 25 percent of the number of family members obtaining certification at that age.  To estimate the number of private certified applicators working on livestock operations, we weight the result by the proportion of commercial certifications for livestock protection out of all commercial certifications issued for crop and livestock protection.</w:t>
      </w:r>
    </w:p>
    <w:p w14:paraId="3BA67E74" w14:textId="77777777" w:rsidR="00D8365A" w:rsidRPr="00362517" w:rsidRDefault="00D8365A" w:rsidP="00BF6BC7"/>
    <w:p w14:paraId="7D4DEAE6" w14:textId="77777777" w:rsidR="00D8365A" w:rsidRPr="00362517" w:rsidRDefault="00D8365A" w:rsidP="00BF6BC7">
      <w:pPr>
        <w:pStyle w:val="BodyText"/>
      </w:pPr>
      <w:r w:rsidRPr="00362517">
        <w:rPr>
          <w:rStyle w:val="CaptionChar"/>
        </w:rPr>
        <w:t>Table 3.3-</w:t>
      </w:r>
      <w:r w:rsidRPr="00362517">
        <w:rPr>
          <w:rStyle w:val="CaptionChar"/>
          <w:rFonts w:eastAsiaTheme="majorEastAsia"/>
        </w:rPr>
        <w:t>6</w:t>
      </w:r>
      <w:r w:rsidRPr="00362517">
        <w:rPr>
          <w:rStyle w:val="CaptionChar"/>
        </w:rPr>
        <w:t>.  Estimated Number of Private Applicators under 18 Years of Age</w:t>
      </w:r>
      <w:r w:rsidRPr="00362517">
        <w:t>.</w:t>
      </w:r>
    </w:p>
    <w:tbl>
      <w:tblPr>
        <w:tblStyle w:val="TableGrid"/>
        <w:tblW w:w="5000" w:type="pct"/>
        <w:tblLook w:val="04A0" w:firstRow="1" w:lastRow="0" w:firstColumn="1" w:lastColumn="0" w:noHBand="0" w:noVBand="1"/>
      </w:tblPr>
      <w:tblGrid>
        <w:gridCol w:w="1975"/>
        <w:gridCol w:w="1475"/>
        <w:gridCol w:w="1404"/>
        <w:gridCol w:w="1545"/>
        <w:gridCol w:w="1425"/>
        <w:gridCol w:w="1526"/>
      </w:tblGrid>
      <w:tr w:rsidR="00D8365A" w:rsidRPr="00362517" w14:paraId="27323F99" w14:textId="77777777" w:rsidTr="007A2164">
        <w:tc>
          <w:tcPr>
            <w:tcW w:w="1056" w:type="pct"/>
            <w:vMerge w:val="restart"/>
            <w:vAlign w:val="bottom"/>
          </w:tcPr>
          <w:p w14:paraId="313973B0" w14:textId="77777777" w:rsidR="00D8365A" w:rsidRPr="00362517" w:rsidRDefault="00D8365A" w:rsidP="00BF6BC7">
            <w:pPr>
              <w:pStyle w:val="BodyText"/>
              <w:rPr>
                <w:sz w:val="22"/>
                <w:szCs w:val="22"/>
              </w:rPr>
            </w:pPr>
            <w:r w:rsidRPr="00362517">
              <w:t>Jurisdiction</w:t>
            </w:r>
          </w:p>
        </w:tc>
        <w:tc>
          <w:tcPr>
            <w:tcW w:w="1540" w:type="pct"/>
            <w:gridSpan w:val="2"/>
            <w:vAlign w:val="bottom"/>
          </w:tcPr>
          <w:p w14:paraId="041803C7" w14:textId="77777777" w:rsidR="00D8365A" w:rsidRPr="00362517" w:rsidRDefault="00D8365A" w:rsidP="00BF6BC7">
            <w:pPr>
              <w:pStyle w:val="BodyText"/>
              <w:jc w:val="center"/>
              <w:rPr>
                <w:sz w:val="22"/>
                <w:szCs w:val="22"/>
              </w:rPr>
            </w:pPr>
            <w:r w:rsidRPr="00362517">
              <w:t>First-Time Applicators, Family</w:t>
            </w:r>
          </w:p>
        </w:tc>
        <w:tc>
          <w:tcPr>
            <w:tcW w:w="1588" w:type="pct"/>
            <w:gridSpan w:val="2"/>
            <w:vAlign w:val="bottom"/>
          </w:tcPr>
          <w:p w14:paraId="28559ECB" w14:textId="77777777" w:rsidR="00D8365A" w:rsidRPr="00362517" w:rsidRDefault="00D8365A" w:rsidP="00BF6BC7">
            <w:pPr>
              <w:pStyle w:val="BodyText"/>
              <w:jc w:val="center"/>
              <w:rPr>
                <w:sz w:val="22"/>
                <w:szCs w:val="22"/>
              </w:rPr>
            </w:pPr>
            <w:r w:rsidRPr="00362517">
              <w:t>Existing Applicators, Family</w:t>
            </w:r>
          </w:p>
        </w:tc>
        <w:tc>
          <w:tcPr>
            <w:tcW w:w="816" w:type="pct"/>
            <w:vAlign w:val="bottom"/>
          </w:tcPr>
          <w:p w14:paraId="77B99FBE" w14:textId="77777777" w:rsidR="00D8365A" w:rsidRPr="00362517" w:rsidRDefault="00D8365A" w:rsidP="00BF6BC7">
            <w:pPr>
              <w:pStyle w:val="BodyText"/>
              <w:jc w:val="center"/>
              <w:rPr>
                <w:sz w:val="22"/>
                <w:szCs w:val="22"/>
              </w:rPr>
            </w:pPr>
            <w:r w:rsidRPr="00362517">
              <w:t>First-Time Applicators, Hired</w:t>
            </w:r>
          </w:p>
        </w:tc>
      </w:tr>
      <w:tr w:rsidR="00D8365A" w:rsidRPr="00362517" w14:paraId="2A6669DB" w14:textId="77777777" w:rsidTr="007A2164">
        <w:tc>
          <w:tcPr>
            <w:tcW w:w="1056" w:type="pct"/>
            <w:vMerge/>
            <w:tcBorders>
              <w:bottom w:val="double" w:sz="4" w:space="0" w:color="auto"/>
            </w:tcBorders>
            <w:vAlign w:val="bottom"/>
          </w:tcPr>
          <w:p w14:paraId="4DBEA8EC" w14:textId="77777777" w:rsidR="00D8365A" w:rsidRPr="00362517" w:rsidRDefault="00D8365A" w:rsidP="00BF6BC7">
            <w:pPr>
              <w:pStyle w:val="BodyText"/>
            </w:pPr>
          </w:p>
        </w:tc>
        <w:tc>
          <w:tcPr>
            <w:tcW w:w="789" w:type="pct"/>
            <w:tcBorders>
              <w:bottom w:val="double" w:sz="4" w:space="0" w:color="auto"/>
            </w:tcBorders>
            <w:vAlign w:val="bottom"/>
          </w:tcPr>
          <w:p w14:paraId="2663457F" w14:textId="77777777" w:rsidR="00D8365A" w:rsidRPr="00362517" w:rsidRDefault="00D8365A" w:rsidP="00BF6BC7">
            <w:pPr>
              <w:pStyle w:val="BodyText"/>
              <w:jc w:val="center"/>
            </w:pPr>
            <w:r w:rsidRPr="00362517">
              <w:t>&lt; 16 YO</w:t>
            </w:r>
          </w:p>
        </w:tc>
        <w:tc>
          <w:tcPr>
            <w:tcW w:w="751" w:type="pct"/>
            <w:tcBorders>
              <w:bottom w:val="double" w:sz="4" w:space="0" w:color="auto"/>
            </w:tcBorders>
            <w:vAlign w:val="bottom"/>
          </w:tcPr>
          <w:p w14:paraId="496DD1DB" w14:textId="77777777" w:rsidR="00D8365A" w:rsidRPr="00362517" w:rsidRDefault="00D8365A" w:rsidP="00BF6BC7">
            <w:pPr>
              <w:pStyle w:val="BodyText"/>
              <w:jc w:val="center"/>
            </w:pPr>
            <w:r w:rsidRPr="00362517">
              <w:t>16-17 YO</w:t>
            </w:r>
          </w:p>
        </w:tc>
        <w:tc>
          <w:tcPr>
            <w:tcW w:w="826" w:type="pct"/>
            <w:tcBorders>
              <w:bottom w:val="double" w:sz="4" w:space="0" w:color="auto"/>
            </w:tcBorders>
            <w:vAlign w:val="bottom"/>
          </w:tcPr>
          <w:p w14:paraId="1518ABA8" w14:textId="77777777" w:rsidR="00D8365A" w:rsidRPr="00362517" w:rsidRDefault="00D8365A" w:rsidP="00BF6BC7">
            <w:pPr>
              <w:pStyle w:val="BodyText"/>
              <w:jc w:val="center"/>
            </w:pPr>
            <w:r w:rsidRPr="00362517">
              <w:t>&lt; 16 YO</w:t>
            </w:r>
          </w:p>
        </w:tc>
        <w:tc>
          <w:tcPr>
            <w:tcW w:w="762" w:type="pct"/>
            <w:tcBorders>
              <w:bottom w:val="double" w:sz="4" w:space="0" w:color="auto"/>
            </w:tcBorders>
            <w:vAlign w:val="bottom"/>
          </w:tcPr>
          <w:p w14:paraId="6E7E117D" w14:textId="77777777" w:rsidR="00D8365A" w:rsidRPr="00362517" w:rsidRDefault="00D8365A" w:rsidP="00BF6BC7">
            <w:pPr>
              <w:pStyle w:val="BodyText"/>
              <w:jc w:val="center"/>
            </w:pPr>
            <w:r w:rsidRPr="00362517">
              <w:t>16-17 YO</w:t>
            </w:r>
          </w:p>
        </w:tc>
        <w:tc>
          <w:tcPr>
            <w:tcW w:w="816" w:type="pct"/>
            <w:tcBorders>
              <w:bottom w:val="double" w:sz="4" w:space="0" w:color="auto"/>
            </w:tcBorders>
            <w:vAlign w:val="bottom"/>
          </w:tcPr>
          <w:p w14:paraId="7571D0DB" w14:textId="77777777" w:rsidR="00D8365A" w:rsidRPr="00362517" w:rsidRDefault="00D8365A" w:rsidP="00BF6BC7">
            <w:pPr>
              <w:pStyle w:val="BodyText"/>
              <w:jc w:val="center"/>
            </w:pPr>
            <w:r w:rsidRPr="00362517">
              <w:t>16-17 YO</w:t>
            </w:r>
          </w:p>
        </w:tc>
      </w:tr>
      <w:tr w:rsidR="00D8365A" w:rsidRPr="00362517" w14:paraId="31FF6375" w14:textId="77777777" w:rsidTr="007A2164">
        <w:tc>
          <w:tcPr>
            <w:tcW w:w="1056" w:type="pct"/>
            <w:tcBorders>
              <w:top w:val="double" w:sz="4" w:space="0" w:color="auto"/>
            </w:tcBorders>
          </w:tcPr>
          <w:p w14:paraId="35F7B99F" w14:textId="77777777" w:rsidR="00D8365A" w:rsidRPr="00362517" w:rsidRDefault="00D8365A" w:rsidP="00BF6BC7">
            <w:pPr>
              <w:pStyle w:val="BodyText"/>
            </w:pPr>
            <w:r w:rsidRPr="00362517">
              <w:t>Alabama</w:t>
            </w:r>
            <w:r w:rsidRPr="00362517">
              <w:rPr>
                <w:rFonts w:cs="Times New Roman"/>
                <w:sz w:val="22"/>
                <w:szCs w:val="22"/>
                <w:vertAlign w:val="superscript"/>
              </w:rPr>
              <w:t xml:space="preserve"> 1</w:t>
            </w:r>
          </w:p>
        </w:tc>
        <w:tc>
          <w:tcPr>
            <w:tcW w:w="789" w:type="pct"/>
            <w:tcBorders>
              <w:top w:val="double" w:sz="4" w:space="0" w:color="auto"/>
            </w:tcBorders>
            <w:tcMar>
              <w:left w:w="115" w:type="dxa"/>
              <w:right w:w="576" w:type="dxa"/>
            </w:tcMar>
            <w:vAlign w:val="bottom"/>
          </w:tcPr>
          <w:p w14:paraId="7B98D20A" w14:textId="77777777" w:rsidR="00D8365A" w:rsidRPr="00362517" w:rsidRDefault="00D8365A" w:rsidP="00BF6BC7">
            <w:pPr>
              <w:jc w:val="right"/>
            </w:pPr>
            <w:r w:rsidRPr="00362517">
              <w:t>0.0</w:t>
            </w:r>
          </w:p>
        </w:tc>
        <w:tc>
          <w:tcPr>
            <w:tcW w:w="751" w:type="pct"/>
            <w:tcBorders>
              <w:top w:val="double" w:sz="4" w:space="0" w:color="auto"/>
            </w:tcBorders>
            <w:tcMar>
              <w:left w:w="115" w:type="dxa"/>
              <w:right w:w="576" w:type="dxa"/>
            </w:tcMar>
            <w:vAlign w:val="bottom"/>
          </w:tcPr>
          <w:p w14:paraId="30BEBC33" w14:textId="77777777" w:rsidR="00D8365A" w:rsidRPr="00362517" w:rsidRDefault="00D8365A" w:rsidP="00BF6BC7">
            <w:pPr>
              <w:jc w:val="right"/>
            </w:pPr>
            <w:r w:rsidRPr="00362517">
              <w:t>0.0</w:t>
            </w:r>
          </w:p>
        </w:tc>
        <w:tc>
          <w:tcPr>
            <w:tcW w:w="826" w:type="pct"/>
            <w:tcBorders>
              <w:top w:val="double" w:sz="4" w:space="0" w:color="auto"/>
            </w:tcBorders>
            <w:tcMar>
              <w:left w:w="115" w:type="dxa"/>
              <w:right w:w="576" w:type="dxa"/>
            </w:tcMar>
            <w:vAlign w:val="bottom"/>
          </w:tcPr>
          <w:p w14:paraId="2046C007" w14:textId="77777777" w:rsidR="00D8365A" w:rsidRPr="00362517" w:rsidRDefault="00D8365A" w:rsidP="00BF6BC7">
            <w:pPr>
              <w:jc w:val="right"/>
            </w:pPr>
            <w:r w:rsidRPr="00362517">
              <w:t>0.0</w:t>
            </w:r>
          </w:p>
        </w:tc>
        <w:tc>
          <w:tcPr>
            <w:tcW w:w="762" w:type="pct"/>
            <w:tcBorders>
              <w:top w:val="double" w:sz="4" w:space="0" w:color="auto"/>
            </w:tcBorders>
            <w:tcMar>
              <w:left w:w="115" w:type="dxa"/>
              <w:right w:w="576" w:type="dxa"/>
            </w:tcMar>
            <w:vAlign w:val="bottom"/>
          </w:tcPr>
          <w:p w14:paraId="55419BAB" w14:textId="77777777" w:rsidR="00D8365A" w:rsidRPr="00362517" w:rsidRDefault="00D8365A" w:rsidP="00BF6BC7">
            <w:pPr>
              <w:jc w:val="right"/>
            </w:pPr>
            <w:r w:rsidRPr="00362517">
              <w:t>0.0</w:t>
            </w:r>
          </w:p>
        </w:tc>
        <w:tc>
          <w:tcPr>
            <w:tcW w:w="816" w:type="pct"/>
            <w:tcBorders>
              <w:top w:val="double" w:sz="4" w:space="0" w:color="auto"/>
            </w:tcBorders>
            <w:tcMar>
              <w:left w:w="115" w:type="dxa"/>
              <w:right w:w="576" w:type="dxa"/>
            </w:tcMar>
            <w:vAlign w:val="bottom"/>
          </w:tcPr>
          <w:p w14:paraId="50FDC1C4" w14:textId="77777777" w:rsidR="00D8365A" w:rsidRPr="00362517" w:rsidRDefault="00D8365A" w:rsidP="00BF6BC7">
            <w:pPr>
              <w:jc w:val="right"/>
            </w:pPr>
            <w:r w:rsidRPr="00362517">
              <w:t>0.0</w:t>
            </w:r>
          </w:p>
        </w:tc>
      </w:tr>
      <w:tr w:rsidR="00D8365A" w:rsidRPr="00362517" w14:paraId="03E58A8C" w14:textId="77777777" w:rsidTr="007A2164">
        <w:tc>
          <w:tcPr>
            <w:tcW w:w="1056" w:type="pct"/>
          </w:tcPr>
          <w:p w14:paraId="2D973E85" w14:textId="77777777" w:rsidR="00D8365A" w:rsidRPr="00362517" w:rsidRDefault="00D8365A" w:rsidP="00BF6BC7">
            <w:pPr>
              <w:pStyle w:val="BodyText"/>
            </w:pPr>
            <w:r w:rsidRPr="00362517">
              <w:t>Alaska</w:t>
            </w:r>
          </w:p>
        </w:tc>
        <w:tc>
          <w:tcPr>
            <w:tcW w:w="789" w:type="pct"/>
            <w:tcMar>
              <w:left w:w="115" w:type="dxa"/>
              <w:right w:w="576" w:type="dxa"/>
            </w:tcMar>
            <w:vAlign w:val="bottom"/>
          </w:tcPr>
          <w:p w14:paraId="1E4644F1" w14:textId="77777777" w:rsidR="00D8365A" w:rsidRPr="00362517" w:rsidRDefault="00D8365A" w:rsidP="00BF6BC7">
            <w:pPr>
              <w:jc w:val="right"/>
            </w:pPr>
            <w:r w:rsidRPr="00362517">
              <w:t>0.0</w:t>
            </w:r>
          </w:p>
        </w:tc>
        <w:tc>
          <w:tcPr>
            <w:tcW w:w="751" w:type="pct"/>
            <w:tcMar>
              <w:left w:w="115" w:type="dxa"/>
              <w:right w:w="576" w:type="dxa"/>
            </w:tcMar>
            <w:vAlign w:val="bottom"/>
          </w:tcPr>
          <w:p w14:paraId="08CF961D" w14:textId="77777777" w:rsidR="00D8365A" w:rsidRPr="00362517" w:rsidRDefault="00D8365A" w:rsidP="00BF6BC7">
            <w:pPr>
              <w:jc w:val="right"/>
            </w:pPr>
            <w:r w:rsidRPr="00362517">
              <w:t>0.1</w:t>
            </w:r>
          </w:p>
        </w:tc>
        <w:tc>
          <w:tcPr>
            <w:tcW w:w="826" w:type="pct"/>
            <w:tcMar>
              <w:left w:w="115" w:type="dxa"/>
              <w:right w:w="576" w:type="dxa"/>
            </w:tcMar>
            <w:vAlign w:val="bottom"/>
          </w:tcPr>
          <w:p w14:paraId="1EBE91BB" w14:textId="77777777" w:rsidR="00D8365A" w:rsidRPr="00362517" w:rsidRDefault="00D8365A" w:rsidP="00BF6BC7">
            <w:pPr>
              <w:jc w:val="right"/>
            </w:pPr>
            <w:r w:rsidRPr="00362517">
              <w:t>0.0</w:t>
            </w:r>
          </w:p>
        </w:tc>
        <w:tc>
          <w:tcPr>
            <w:tcW w:w="762" w:type="pct"/>
            <w:tcMar>
              <w:left w:w="115" w:type="dxa"/>
              <w:right w:w="576" w:type="dxa"/>
            </w:tcMar>
            <w:vAlign w:val="bottom"/>
          </w:tcPr>
          <w:p w14:paraId="0FE97972" w14:textId="77777777" w:rsidR="00D8365A" w:rsidRPr="00362517" w:rsidRDefault="00D8365A" w:rsidP="00BF6BC7">
            <w:pPr>
              <w:jc w:val="right"/>
            </w:pPr>
            <w:r w:rsidRPr="00362517">
              <w:t>0.0</w:t>
            </w:r>
          </w:p>
        </w:tc>
        <w:tc>
          <w:tcPr>
            <w:tcW w:w="816" w:type="pct"/>
            <w:tcMar>
              <w:left w:w="115" w:type="dxa"/>
              <w:right w:w="576" w:type="dxa"/>
            </w:tcMar>
            <w:vAlign w:val="bottom"/>
          </w:tcPr>
          <w:p w14:paraId="0AE4BAF9" w14:textId="77777777" w:rsidR="00D8365A" w:rsidRPr="00362517" w:rsidRDefault="00D8365A" w:rsidP="00BF6BC7">
            <w:pPr>
              <w:jc w:val="right"/>
            </w:pPr>
            <w:r w:rsidRPr="00362517">
              <w:t>0.0</w:t>
            </w:r>
          </w:p>
        </w:tc>
      </w:tr>
      <w:tr w:rsidR="00D8365A" w:rsidRPr="00362517" w14:paraId="323B8EB3" w14:textId="77777777" w:rsidTr="007A2164">
        <w:tc>
          <w:tcPr>
            <w:tcW w:w="1056" w:type="pct"/>
          </w:tcPr>
          <w:p w14:paraId="1800D728" w14:textId="77777777" w:rsidR="00D8365A" w:rsidRPr="00362517" w:rsidRDefault="00D8365A" w:rsidP="00BF6BC7">
            <w:pPr>
              <w:pStyle w:val="BodyText"/>
            </w:pPr>
            <w:r w:rsidRPr="00362517">
              <w:t>Arizona</w:t>
            </w:r>
          </w:p>
        </w:tc>
        <w:tc>
          <w:tcPr>
            <w:tcW w:w="789" w:type="pct"/>
            <w:tcMar>
              <w:left w:w="115" w:type="dxa"/>
              <w:right w:w="576" w:type="dxa"/>
            </w:tcMar>
            <w:vAlign w:val="bottom"/>
          </w:tcPr>
          <w:p w14:paraId="734AD924" w14:textId="77777777" w:rsidR="00D8365A" w:rsidRPr="00362517" w:rsidRDefault="00D8365A" w:rsidP="00BF6BC7">
            <w:pPr>
              <w:jc w:val="right"/>
            </w:pPr>
            <w:r w:rsidRPr="00362517">
              <w:t>1.1</w:t>
            </w:r>
          </w:p>
        </w:tc>
        <w:tc>
          <w:tcPr>
            <w:tcW w:w="751" w:type="pct"/>
            <w:tcMar>
              <w:left w:w="115" w:type="dxa"/>
              <w:right w:w="576" w:type="dxa"/>
            </w:tcMar>
            <w:vAlign w:val="bottom"/>
          </w:tcPr>
          <w:p w14:paraId="19794273" w14:textId="77777777" w:rsidR="00D8365A" w:rsidRPr="00362517" w:rsidRDefault="00D8365A" w:rsidP="00BF6BC7">
            <w:pPr>
              <w:jc w:val="right"/>
            </w:pPr>
            <w:r w:rsidRPr="00362517">
              <w:t>0.6</w:t>
            </w:r>
          </w:p>
        </w:tc>
        <w:tc>
          <w:tcPr>
            <w:tcW w:w="826" w:type="pct"/>
            <w:tcMar>
              <w:left w:w="115" w:type="dxa"/>
              <w:right w:w="576" w:type="dxa"/>
            </w:tcMar>
            <w:vAlign w:val="bottom"/>
          </w:tcPr>
          <w:p w14:paraId="5BF6FFBB" w14:textId="77777777" w:rsidR="00D8365A" w:rsidRPr="00362517" w:rsidRDefault="00D8365A" w:rsidP="00BF6BC7">
            <w:pPr>
              <w:jc w:val="right"/>
            </w:pPr>
            <w:r w:rsidRPr="00362517">
              <w:t>0.5</w:t>
            </w:r>
          </w:p>
        </w:tc>
        <w:tc>
          <w:tcPr>
            <w:tcW w:w="762" w:type="pct"/>
            <w:tcMar>
              <w:left w:w="115" w:type="dxa"/>
              <w:right w:w="576" w:type="dxa"/>
            </w:tcMar>
            <w:vAlign w:val="bottom"/>
          </w:tcPr>
          <w:p w14:paraId="2DBD8D7D" w14:textId="77777777" w:rsidR="00D8365A" w:rsidRPr="00362517" w:rsidRDefault="00D8365A" w:rsidP="00BF6BC7">
            <w:pPr>
              <w:jc w:val="right"/>
            </w:pPr>
            <w:r w:rsidRPr="00362517">
              <w:t>1.8</w:t>
            </w:r>
          </w:p>
        </w:tc>
        <w:tc>
          <w:tcPr>
            <w:tcW w:w="816" w:type="pct"/>
            <w:tcMar>
              <w:left w:w="115" w:type="dxa"/>
              <w:right w:w="576" w:type="dxa"/>
            </w:tcMar>
            <w:vAlign w:val="bottom"/>
          </w:tcPr>
          <w:p w14:paraId="5BE9C51B" w14:textId="77777777" w:rsidR="00D8365A" w:rsidRPr="00362517" w:rsidRDefault="00D8365A" w:rsidP="00BF6BC7">
            <w:pPr>
              <w:jc w:val="right"/>
            </w:pPr>
            <w:r w:rsidRPr="00362517">
              <w:t>0.0</w:t>
            </w:r>
          </w:p>
        </w:tc>
      </w:tr>
      <w:tr w:rsidR="00D8365A" w:rsidRPr="00362517" w14:paraId="5A15F757" w14:textId="77777777" w:rsidTr="007A2164">
        <w:tc>
          <w:tcPr>
            <w:tcW w:w="1056" w:type="pct"/>
          </w:tcPr>
          <w:p w14:paraId="31DE4677" w14:textId="77777777" w:rsidR="00D8365A" w:rsidRPr="00362517" w:rsidRDefault="00D8365A" w:rsidP="00BF6BC7">
            <w:pPr>
              <w:pStyle w:val="BodyText"/>
            </w:pPr>
            <w:r w:rsidRPr="00362517">
              <w:t>Arkansas</w:t>
            </w:r>
            <w:r w:rsidRPr="00362517">
              <w:rPr>
                <w:rFonts w:cs="Times New Roman"/>
                <w:sz w:val="22"/>
                <w:szCs w:val="22"/>
                <w:vertAlign w:val="superscript"/>
              </w:rPr>
              <w:t xml:space="preserve"> 1</w:t>
            </w:r>
          </w:p>
        </w:tc>
        <w:tc>
          <w:tcPr>
            <w:tcW w:w="789" w:type="pct"/>
            <w:tcMar>
              <w:left w:w="115" w:type="dxa"/>
              <w:right w:w="576" w:type="dxa"/>
            </w:tcMar>
            <w:vAlign w:val="bottom"/>
          </w:tcPr>
          <w:p w14:paraId="37420A1D" w14:textId="77777777" w:rsidR="00D8365A" w:rsidRPr="00362517" w:rsidRDefault="00D8365A" w:rsidP="00BF6BC7">
            <w:pPr>
              <w:jc w:val="right"/>
            </w:pPr>
            <w:r w:rsidRPr="00362517">
              <w:t>0.0</w:t>
            </w:r>
          </w:p>
        </w:tc>
        <w:tc>
          <w:tcPr>
            <w:tcW w:w="751" w:type="pct"/>
            <w:tcMar>
              <w:left w:w="115" w:type="dxa"/>
              <w:right w:w="576" w:type="dxa"/>
            </w:tcMar>
            <w:vAlign w:val="bottom"/>
          </w:tcPr>
          <w:p w14:paraId="7B8ACDED" w14:textId="77777777" w:rsidR="00D8365A" w:rsidRPr="00362517" w:rsidRDefault="00D8365A" w:rsidP="00BF6BC7">
            <w:pPr>
              <w:jc w:val="right"/>
            </w:pPr>
            <w:r w:rsidRPr="00362517">
              <w:t>0.0</w:t>
            </w:r>
          </w:p>
        </w:tc>
        <w:tc>
          <w:tcPr>
            <w:tcW w:w="826" w:type="pct"/>
            <w:tcMar>
              <w:left w:w="115" w:type="dxa"/>
              <w:right w:w="576" w:type="dxa"/>
            </w:tcMar>
            <w:vAlign w:val="bottom"/>
          </w:tcPr>
          <w:p w14:paraId="170B03AC" w14:textId="77777777" w:rsidR="00D8365A" w:rsidRPr="00362517" w:rsidRDefault="00D8365A" w:rsidP="00BF6BC7">
            <w:pPr>
              <w:jc w:val="right"/>
            </w:pPr>
            <w:r w:rsidRPr="00362517">
              <w:t>0.0</w:t>
            </w:r>
          </w:p>
        </w:tc>
        <w:tc>
          <w:tcPr>
            <w:tcW w:w="762" w:type="pct"/>
            <w:tcMar>
              <w:left w:w="115" w:type="dxa"/>
              <w:right w:w="576" w:type="dxa"/>
            </w:tcMar>
            <w:vAlign w:val="bottom"/>
          </w:tcPr>
          <w:p w14:paraId="1C9899A7" w14:textId="77777777" w:rsidR="00D8365A" w:rsidRPr="00362517" w:rsidRDefault="00D8365A" w:rsidP="00BF6BC7">
            <w:pPr>
              <w:jc w:val="right"/>
            </w:pPr>
            <w:r w:rsidRPr="00362517">
              <w:t>0.0</w:t>
            </w:r>
          </w:p>
        </w:tc>
        <w:tc>
          <w:tcPr>
            <w:tcW w:w="816" w:type="pct"/>
            <w:tcMar>
              <w:left w:w="115" w:type="dxa"/>
              <w:right w:w="576" w:type="dxa"/>
            </w:tcMar>
            <w:vAlign w:val="bottom"/>
          </w:tcPr>
          <w:p w14:paraId="254B700A" w14:textId="77777777" w:rsidR="00D8365A" w:rsidRPr="00362517" w:rsidRDefault="00D8365A" w:rsidP="00BF6BC7">
            <w:pPr>
              <w:jc w:val="right"/>
            </w:pPr>
            <w:r w:rsidRPr="00362517">
              <w:t>0.0</w:t>
            </w:r>
          </w:p>
        </w:tc>
      </w:tr>
      <w:tr w:rsidR="00D8365A" w:rsidRPr="00362517" w14:paraId="3359D3F1" w14:textId="77777777" w:rsidTr="007A2164">
        <w:tc>
          <w:tcPr>
            <w:tcW w:w="1056" w:type="pct"/>
          </w:tcPr>
          <w:p w14:paraId="17BE97EE" w14:textId="77777777" w:rsidR="00D8365A" w:rsidRPr="00362517" w:rsidRDefault="00D8365A" w:rsidP="00BF6BC7">
            <w:pPr>
              <w:pStyle w:val="BodyText"/>
            </w:pPr>
            <w:r w:rsidRPr="00362517">
              <w:t>California</w:t>
            </w:r>
          </w:p>
        </w:tc>
        <w:tc>
          <w:tcPr>
            <w:tcW w:w="789" w:type="pct"/>
            <w:tcMar>
              <w:left w:w="115" w:type="dxa"/>
              <w:right w:w="576" w:type="dxa"/>
            </w:tcMar>
            <w:vAlign w:val="bottom"/>
          </w:tcPr>
          <w:p w14:paraId="05D73857" w14:textId="77777777" w:rsidR="00D8365A" w:rsidRPr="00362517" w:rsidRDefault="00D8365A" w:rsidP="00BF6BC7">
            <w:pPr>
              <w:jc w:val="right"/>
            </w:pPr>
            <w:r w:rsidRPr="00362517">
              <w:t>1.9</w:t>
            </w:r>
          </w:p>
        </w:tc>
        <w:tc>
          <w:tcPr>
            <w:tcW w:w="751" w:type="pct"/>
            <w:tcMar>
              <w:left w:w="115" w:type="dxa"/>
              <w:right w:w="576" w:type="dxa"/>
            </w:tcMar>
            <w:vAlign w:val="bottom"/>
          </w:tcPr>
          <w:p w14:paraId="2C9921E5" w14:textId="77777777" w:rsidR="00D8365A" w:rsidRPr="00362517" w:rsidRDefault="00D8365A" w:rsidP="00BF6BC7">
            <w:pPr>
              <w:jc w:val="right"/>
            </w:pPr>
            <w:r w:rsidRPr="00362517">
              <w:t>1.1</w:t>
            </w:r>
          </w:p>
        </w:tc>
        <w:tc>
          <w:tcPr>
            <w:tcW w:w="826" w:type="pct"/>
            <w:tcMar>
              <w:left w:w="115" w:type="dxa"/>
              <w:right w:w="576" w:type="dxa"/>
            </w:tcMar>
            <w:vAlign w:val="bottom"/>
          </w:tcPr>
          <w:p w14:paraId="09B62231" w14:textId="77777777" w:rsidR="00D8365A" w:rsidRPr="00362517" w:rsidRDefault="00D8365A" w:rsidP="00BF6BC7">
            <w:pPr>
              <w:jc w:val="right"/>
            </w:pPr>
            <w:r w:rsidRPr="00362517">
              <w:t>1.1</w:t>
            </w:r>
          </w:p>
        </w:tc>
        <w:tc>
          <w:tcPr>
            <w:tcW w:w="762" w:type="pct"/>
            <w:tcMar>
              <w:left w:w="115" w:type="dxa"/>
              <w:right w:w="576" w:type="dxa"/>
            </w:tcMar>
            <w:vAlign w:val="bottom"/>
          </w:tcPr>
          <w:p w14:paraId="2B4A56AB" w14:textId="77777777" w:rsidR="00D8365A" w:rsidRPr="00362517" w:rsidRDefault="00D8365A" w:rsidP="00BF6BC7">
            <w:pPr>
              <w:jc w:val="right"/>
            </w:pPr>
            <w:r w:rsidRPr="00362517">
              <w:t>3.3</w:t>
            </w:r>
          </w:p>
        </w:tc>
        <w:tc>
          <w:tcPr>
            <w:tcW w:w="816" w:type="pct"/>
            <w:tcMar>
              <w:left w:w="115" w:type="dxa"/>
              <w:right w:w="576" w:type="dxa"/>
            </w:tcMar>
            <w:vAlign w:val="bottom"/>
          </w:tcPr>
          <w:p w14:paraId="5DEB9FAF" w14:textId="77777777" w:rsidR="00D8365A" w:rsidRPr="00362517" w:rsidRDefault="00D8365A" w:rsidP="00BF6BC7">
            <w:pPr>
              <w:jc w:val="right"/>
            </w:pPr>
            <w:r w:rsidRPr="00362517">
              <w:t>0.0</w:t>
            </w:r>
          </w:p>
        </w:tc>
      </w:tr>
      <w:tr w:rsidR="00D8365A" w:rsidRPr="00362517" w14:paraId="4B742FA3" w14:textId="77777777" w:rsidTr="007A2164">
        <w:tc>
          <w:tcPr>
            <w:tcW w:w="1056" w:type="pct"/>
          </w:tcPr>
          <w:p w14:paraId="18249673" w14:textId="77777777" w:rsidR="00D8365A" w:rsidRPr="00362517" w:rsidRDefault="00D8365A" w:rsidP="00BF6BC7">
            <w:pPr>
              <w:pStyle w:val="BodyText"/>
            </w:pPr>
            <w:r w:rsidRPr="00362517">
              <w:t>Colorado</w:t>
            </w:r>
          </w:p>
        </w:tc>
        <w:tc>
          <w:tcPr>
            <w:tcW w:w="789" w:type="pct"/>
            <w:tcMar>
              <w:left w:w="115" w:type="dxa"/>
              <w:right w:w="576" w:type="dxa"/>
            </w:tcMar>
            <w:vAlign w:val="bottom"/>
          </w:tcPr>
          <w:p w14:paraId="4EAC81B5" w14:textId="77777777" w:rsidR="00D8365A" w:rsidRPr="00362517" w:rsidRDefault="00D8365A" w:rsidP="00BF6BC7">
            <w:pPr>
              <w:jc w:val="right"/>
            </w:pPr>
            <w:r w:rsidRPr="00362517">
              <w:t>1.2</w:t>
            </w:r>
          </w:p>
        </w:tc>
        <w:tc>
          <w:tcPr>
            <w:tcW w:w="751" w:type="pct"/>
            <w:tcMar>
              <w:left w:w="115" w:type="dxa"/>
              <w:right w:w="576" w:type="dxa"/>
            </w:tcMar>
            <w:vAlign w:val="bottom"/>
          </w:tcPr>
          <w:p w14:paraId="4AF8E4FB" w14:textId="77777777" w:rsidR="00D8365A" w:rsidRPr="00362517" w:rsidRDefault="00D8365A" w:rsidP="00BF6BC7">
            <w:pPr>
              <w:jc w:val="right"/>
            </w:pPr>
            <w:r w:rsidRPr="00362517">
              <w:t>0.6</w:t>
            </w:r>
          </w:p>
        </w:tc>
        <w:tc>
          <w:tcPr>
            <w:tcW w:w="826" w:type="pct"/>
            <w:tcMar>
              <w:left w:w="115" w:type="dxa"/>
              <w:right w:w="576" w:type="dxa"/>
            </w:tcMar>
            <w:vAlign w:val="bottom"/>
          </w:tcPr>
          <w:p w14:paraId="49753E0F" w14:textId="77777777" w:rsidR="00D8365A" w:rsidRPr="00362517" w:rsidRDefault="00D8365A" w:rsidP="00BF6BC7">
            <w:pPr>
              <w:jc w:val="right"/>
            </w:pPr>
            <w:r w:rsidRPr="00362517">
              <w:t>0.6</w:t>
            </w:r>
          </w:p>
        </w:tc>
        <w:tc>
          <w:tcPr>
            <w:tcW w:w="762" w:type="pct"/>
            <w:tcMar>
              <w:left w:w="115" w:type="dxa"/>
              <w:right w:w="576" w:type="dxa"/>
            </w:tcMar>
            <w:vAlign w:val="bottom"/>
          </w:tcPr>
          <w:p w14:paraId="31DAAD3A" w14:textId="77777777" w:rsidR="00D8365A" w:rsidRPr="00362517" w:rsidRDefault="00D8365A" w:rsidP="00BF6BC7">
            <w:pPr>
              <w:jc w:val="right"/>
            </w:pPr>
            <w:r w:rsidRPr="00362517">
              <w:t>2.0</w:t>
            </w:r>
          </w:p>
        </w:tc>
        <w:tc>
          <w:tcPr>
            <w:tcW w:w="816" w:type="pct"/>
            <w:tcMar>
              <w:left w:w="115" w:type="dxa"/>
              <w:right w:w="576" w:type="dxa"/>
            </w:tcMar>
            <w:vAlign w:val="bottom"/>
          </w:tcPr>
          <w:p w14:paraId="2D345380" w14:textId="77777777" w:rsidR="00D8365A" w:rsidRPr="00362517" w:rsidRDefault="00D8365A" w:rsidP="00BF6BC7">
            <w:pPr>
              <w:jc w:val="right"/>
            </w:pPr>
            <w:r w:rsidRPr="00362517">
              <w:t>0.0</w:t>
            </w:r>
          </w:p>
        </w:tc>
      </w:tr>
      <w:tr w:rsidR="00D8365A" w:rsidRPr="00362517" w14:paraId="2BD29C50" w14:textId="77777777" w:rsidTr="007A2164">
        <w:tc>
          <w:tcPr>
            <w:tcW w:w="1056" w:type="pct"/>
          </w:tcPr>
          <w:p w14:paraId="43546DC3" w14:textId="77777777" w:rsidR="00D8365A" w:rsidRPr="00362517" w:rsidRDefault="00D8365A" w:rsidP="00BF6BC7">
            <w:pPr>
              <w:pStyle w:val="BodyText"/>
            </w:pPr>
            <w:r w:rsidRPr="00362517">
              <w:t>Connecticut</w:t>
            </w:r>
            <w:r w:rsidRPr="00362517">
              <w:rPr>
                <w:rFonts w:cs="Times New Roman"/>
                <w:sz w:val="22"/>
                <w:szCs w:val="22"/>
                <w:vertAlign w:val="superscript"/>
              </w:rPr>
              <w:t xml:space="preserve"> 1</w:t>
            </w:r>
          </w:p>
        </w:tc>
        <w:tc>
          <w:tcPr>
            <w:tcW w:w="789" w:type="pct"/>
            <w:tcMar>
              <w:left w:w="115" w:type="dxa"/>
              <w:right w:w="576" w:type="dxa"/>
            </w:tcMar>
            <w:vAlign w:val="bottom"/>
          </w:tcPr>
          <w:p w14:paraId="19039ABF" w14:textId="77777777" w:rsidR="00D8365A" w:rsidRPr="00362517" w:rsidRDefault="00D8365A" w:rsidP="00BF6BC7">
            <w:pPr>
              <w:jc w:val="right"/>
            </w:pPr>
            <w:r w:rsidRPr="00362517">
              <w:t>0.0</w:t>
            </w:r>
          </w:p>
        </w:tc>
        <w:tc>
          <w:tcPr>
            <w:tcW w:w="751" w:type="pct"/>
            <w:tcMar>
              <w:left w:w="115" w:type="dxa"/>
              <w:right w:w="576" w:type="dxa"/>
            </w:tcMar>
            <w:vAlign w:val="bottom"/>
          </w:tcPr>
          <w:p w14:paraId="3A54611C" w14:textId="77777777" w:rsidR="00D8365A" w:rsidRPr="00362517" w:rsidRDefault="00D8365A" w:rsidP="00BF6BC7">
            <w:pPr>
              <w:jc w:val="right"/>
            </w:pPr>
            <w:r w:rsidRPr="00362517">
              <w:t>0.0</w:t>
            </w:r>
          </w:p>
        </w:tc>
        <w:tc>
          <w:tcPr>
            <w:tcW w:w="826" w:type="pct"/>
            <w:tcMar>
              <w:left w:w="115" w:type="dxa"/>
              <w:right w:w="576" w:type="dxa"/>
            </w:tcMar>
            <w:vAlign w:val="bottom"/>
          </w:tcPr>
          <w:p w14:paraId="521E5333" w14:textId="77777777" w:rsidR="00D8365A" w:rsidRPr="00362517" w:rsidRDefault="00D8365A" w:rsidP="00BF6BC7">
            <w:pPr>
              <w:jc w:val="right"/>
            </w:pPr>
            <w:r w:rsidRPr="00362517">
              <w:t>0.0</w:t>
            </w:r>
          </w:p>
        </w:tc>
        <w:tc>
          <w:tcPr>
            <w:tcW w:w="762" w:type="pct"/>
            <w:tcMar>
              <w:left w:w="115" w:type="dxa"/>
              <w:right w:w="576" w:type="dxa"/>
            </w:tcMar>
            <w:vAlign w:val="bottom"/>
          </w:tcPr>
          <w:p w14:paraId="706AB82C" w14:textId="77777777" w:rsidR="00D8365A" w:rsidRPr="00362517" w:rsidRDefault="00D8365A" w:rsidP="00BF6BC7">
            <w:pPr>
              <w:jc w:val="right"/>
            </w:pPr>
            <w:r w:rsidRPr="00362517">
              <w:t>0.0</w:t>
            </w:r>
          </w:p>
        </w:tc>
        <w:tc>
          <w:tcPr>
            <w:tcW w:w="816" w:type="pct"/>
            <w:tcMar>
              <w:left w:w="115" w:type="dxa"/>
              <w:right w:w="576" w:type="dxa"/>
            </w:tcMar>
            <w:vAlign w:val="bottom"/>
          </w:tcPr>
          <w:p w14:paraId="4928585C" w14:textId="77777777" w:rsidR="00D8365A" w:rsidRPr="00362517" w:rsidRDefault="00D8365A" w:rsidP="00BF6BC7">
            <w:pPr>
              <w:jc w:val="right"/>
            </w:pPr>
            <w:r w:rsidRPr="00362517">
              <w:t>0.0</w:t>
            </w:r>
          </w:p>
        </w:tc>
      </w:tr>
      <w:tr w:rsidR="00D8365A" w:rsidRPr="00362517" w14:paraId="677C0BD3" w14:textId="77777777" w:rsidTr="007A2164">
        <w:tc>
          <w:tcPr>
            <w:tcW w:w="1056" w:type="pct"/>
          </w:tcPr>
          <w:p w14:paraId="49C36933" w14:textId="77777777" w:rsidR="00D8365A" w:rsidRPr="00362517" w:rsidRDefault="00D8365A" w:rsidP="00BF6BC7">
            <w:pPr>
              <w:pStyle w:val="BodyText"/>
            </w:pPr>
            <w:r w:rsidRPr="00362517">
              <w:t>Delaware</w:t>
            </w:r>
            <w:r w:rsidRPr="00362517">
              <w:rPr>
                <w:rFonts w:cs="Times New Roman"/>
                <w:sz w:val="22"/>
                <w:szCs w:val="22"/>
                <w:vertAlign w:val="superscript"/>
              </w:rPr>
              <w:t xml:space="preserve"> 1</w:t>
            </w:r>
          </w:p>
        </w:tc>
        <w:tc>
          <w:tcPr>
            <w:tcW w:w="789" w:type="pct"/>
            <w:tcMar>
              <w:left w:w="115" w:type="dxa"/>
              <w:right w:w="576" w:type="dxa"/>
            </w:tcMar>
            <w:vAlign w:val="bottom"/>
          </w:tcPr>
          <w:p w14:paraId="68A7B5F2" w14:textId="77777777" w:rsidR="00D8365A" w:rsidRPr="00362517" w:rsidRDefault="00D8365A" w:rsidP="00BF6BC7">
            <w:pPr>
              <w:jc w:val="right"/>
            </w:pPr>
            <w:r w:rsidRPr="00362517">
              <w:t>0.0</w:t>
            </w:r>
          </w:p>
        </w:tc>
        <w:tc>
          <w:tcPr>
            <w:tcW w:w="751" w:type="pct"/>
            <w:tcMar>
              <w:left w:w="115" w:type="dxa"/>
              <w:right w:w="576" w:type="dxa"/>
            </w:tcMar>
            <w:vAlign w:val="bottom"/>
          </w:tcPr>
          <w:p w14:paraId="04FBFEC0" w14:textId="77777777" w:rsidR="00D8365A" w:rsidRPr="00362517" w:rsidRDefault="00D8365A" w:rsidP="00BF6BC7">
            <w:pPr>
              <w:jc w:val="right"/>
            </w:pPr>
            <w:r w:rsidRPr="00362517">
              <w:t>0.0</w:t>
            </w:r>
          </w:p>
        </w:tc>
        <w:tc>
          <w:tcPr>
            <w:tcW w:w="826" w:type="pct"/>
            <w:tcMar>
              <w:left w:w="115" w:type="dxa"/>
              <w:right w:w="576" w:type="dxa"/>
            </w:tcMar>
            <w:vAlign w:val="bottom"/>
          </w:tcPr>
          <w:p w14:paraId="5268CC90" w14:textId="77777777" w:rsidR="00D8365A" w:rsidRPr="00362517" w:rsidRDefault="00D8365A" w:rsidP="00BF6BC7">
            <w:pPr>
              <w:jc w:val="right"/>
            </w:pPr>
            <w:r w:rsidRPr="00362517">
              <w:t>0.0</w:t>
            </w:r>
          </w:p>
        </w:tc>
        <w:tc>
          <w:tcPr>
            <w:tcW w:w="762" w:type="pct"/>
            <w:tcMar>
              <w:left w:w="115" w:type="dxa"/>
              <w:right w:w="576" w:type="dxa"/>
            </w:tcMar>
            <w:vAlign w:val="bottom"/>
          </w:tcPr>
          <w:p w14:paraId="197C8EBA" w14:textId="77777777" w:rsidR="00D8365A" w:rsidRPr="00362517" w:rsidRDefault="00D8365A" w:rsidP="00BF6BC7">
            <w:pPr>
              <w:jc w:val="right"/>
            </w:pPr>
            <w:r w:rsidRPr="00362517">
              <w:t>0.0</w:t>
            </w:r>
          </w:p>
        </w:tc>
        <w:tc>
          <w:tcPr>
            <w:tcW w:w="816" w:type="pct"/>
            <w:tcMar>
              <w:left w:w="115" w:type="dxa"/>
              <w:right w:w="576" w:type="dxa"/>
            </w:tcMar>
            <w:vAlign w:val="bottom"/>
          </w:tcPr>
          <w:p w14:paraId="5A7C23F3" w14:textId="77777777" w:rsidR="00D8365A" w:rsidRPr="00362517" w:rsidRDefault="00D8365A" w:rsidP="00BF6BC7">
            <w:pPr>
              <w:jc w:val="right"/>
            </w:pPr>
            <w:r w:rsidRPr="00362517">
              <w:t>0.0</w:t>
            </w:r>
          </w:p>
        </w:tc>
      </w:tr>
      <w:tr w:rsidR="00D8365A" w:rsidRPr="00362517" w14:paraId="35CE7E80" w14:textId="77777777" w:rsidTr="007A2164">
        <w:tc>
          <w:tcPr>
            <w:tcW w:w="1056" w:type="pct"/>
          </w:tcPr>
          <w:p w14:paraId="1CDE82BC" w14:textId="77777777" w:rsidR="00D8365A" w:rsidRPr="00362517" w:rsidRDefault="00D8365A" w:rsidP="00BF6BC7">
            <w:pPr>
              <w:pStyle w:val="BodyText"/>
            </w:pPr>
            <w:r w:rsidRPr="00362517">
              <w:t>Florida</w:t>
            </w:r>
            <w:r w:rsidRPr="00362517">
              <w:rPr>
                <w:rFonts w:cs="Times New Roman"/>
                <w:sz w:val="22"/>
                <w:szCs w:val="22"/>
                <w:vertAlign w:val="superscript"/>
              </w:rPr>
              <w:t xml:space="preserve"> 1</w:t>
            </w:r>
          </w:p>
        </w:tc>
        <w:tc>
          <w:tcPr>
            <w:tcW w:w="789" w:type="pct"/>
            <w:tcMar>
              <w:left w:w="115" w:type="dxa"/>
              <w:right w:w="576" w:type="dxa"/>
            </w:tcMar>
            <w:vAlign w:val="bottom"/>
          </w:tcPr>
          <w:p w14:paraId="1F4A1B0C" w14:textId="77777777" w:rsidR="00D8365A" w:rsidRPr="00362517" w:rsidRDefault="00D8365A" w:rsidP="00BF6BC7">
            <w:pPr>
              <w:jc w:val="right"/>
            </w:pPr>
            <w:r w:rsidRPr="00362517">
              <w:t>0.0</w:t>
            </w:r>
          </w:p>
        </w:tc>
        <w:tc>
          <w:tcPr>
            <w:tcW w:w="751" w:type="pct"/>
            <w:tcMar>
              <w:left w:w="115" w:type="dxa"/>
              <w:right w:w="576" w:type="dxa"/>
            </w:tcMar>
            <w:vAlign w:val="bottom"/>
          </w:tcPr>
          <w:p w14:paraId="78FC7066" w14:textId="77777777" w:rsidR="00D8365A" w:rsidRPr="00362517" w:rsidRDefault="00D8365A" w:rsidP="00BF6BC7">
            <w:pPr>
              <w:jc w:val="right"/>
            </w:pPr>
            <w:r w:rsidRPr="00362517">
              <w:t>0.0</w:t>
            </w:r>
          </w:p>
        </w:tc>
        <w:tc>
          <w:tcPr>
            <w:tcW w:w="826" w:type="pct"/>
            <w:tcMar>
              <w:left w:w="115" w:type="dxa"/>
              <w:right w:w="576" w:type="dxa"/>
            </w:tcMar>
            <w:vAlign w:val="bottom"/>
          </w:tcPr>
          <w:p w14:paraId="0770FF7B" w14:textId="77777777" w:rsidR="00D8365A" w:rsidRPr="00362517" w:rsidRDefault="00D8365A" w:rsidP="00BF6BC7">
            <w:pPr>
              <w:jc w:val="right"/>
            </w:pPr>
            <w:r w:rsidRPr="00362517">
              <w:t>0.0</w:t>
            </w:r>
          </w:p>
        </w:tc>
        <w:tc>
          <w:tcPr>
            <w:tcW w:w="762" w:type="pct"/>
            <w:tcMar>
              <w:left w:w="115" w:type="dxa"/>
              <w:right w:w="576" w:type="dxa"/>
            </w:tcMar>
            <w:vAlign w:val="bottom"/>
          </w:tcPr>
          <w:p w14:paraId="1505C011" w14:textId="77777777" w:rsidR="00D8365A" w:rsidRPr="00362517" w:rsidRDefault="00D8365A" w:rsidP="00BF6BC7">
            <w:pPr>
              <w:jc w:val="right"/>
            </w:pPr>
            <w:r w:rsidRPr="00362517">
              <w:t>0.0</w:t>
            </w:r>
          </w:p>
        </w:tc>
        <w:tc>
          <w:tcPr>
            <w:tcW w:w="816" w:type="pct"/>
            <w:tcMar>
              <w:left w:w="115" w:type="dxa"/>
              <w:right w:w="576" w:type="dxa"/>
            </w:tcMar>
            <w:vAlign w:val="bottom"/>
          </w:tcPr>
          <w:p w14:paraId="18A6105D" w14:textId="77777777" w:rsidR="00D8365A" w:rsidRPr="00362517" w:rsidRDefault="00D8365A" w:rsidP="00BF6BC7">
            <w:pPr>
              <w:jc w:val="right"/>
            </w:pPr>
            <w:r w:rsidRPr="00362517">
              <w:t>0.0</w:t>
            </w:r>
          </w:p>
        </w:tc>
      </w:tr>
      <w:tr w:rsidR="00D8365A" w:rsidRPr="00362517" w14:paraId="57B941C6" w14:textId="77777777" w:rsidTr="007A2164">
        <w:tc>
          <w:tcPr>
            <w:tcW w:w="1056" w:type="pct"/>
          </w:tcPr>
          <w:p w14:paraId="4DD7CF9D" w14:textId="77777777" w:rsidR="00D8365A" w:rsidRPr="00362517" w:rsidRDefault="00D8365A" w:rsidP="00BF6BC7">
            <w:pPr>
              <w:pStyle w:val="BodyText"/>
            </w:pPr>
            <w:r w:rsidRPr="00362517">
              <w:t>Georgia</w:t>
            </w:r>
            <w:r w:rsidRPr="00362517">
              <w:rPr>
                <w:rFonts w:cs="Times New Roman"/>
                <w:sz w:val="22"/>
                <w:szCs w:val="22"/>
                <w:vertAlign w:val="superscript"/>
              </w:rPr>
              <w:t xml:space="preserve"> 3</w:t>
            </w:r>
          </w:p>
        </w:tc>
        <w:tc>
          <w:tcPr>
            <w:tcW w:w="789" w:type="pct"/>
            <w:tcMar>
              <w:left w:w="115" w:type="dxa"/>
              <w:right w:w="576" w:type="dxa"/>
            </w:tcMar>
            <w:vAlign w:val="bottom"/>
          </w:tcPr>
          <w:p w14:paraId="6B448F14" w14:textId="77777777" w:rsidR="00D8365A" w:rsidRPr="00362517" w:rsidRDefault="00D8365A" w:rsidP="00BF6BC7">
            <w:pPr>
              <w:jc w:val="right"/>
            </w:pPr>
            <w:r w:rsidRPr="00362517">
              <w:t>0.0</w:t>
            </w:r>
          </w:p>
        </w:tc>
        <w:tc>
          <w:tcPr>
            <w:tcW w:w="751" w:type="pct"/>
            <w:tcMar>
              <w:left w:w="115" w:type="dxa"/>
              <w:right w:w="576" w:type="dxa"/>
            </w:tcMar>
            <w:vAlign w:val="bottom"/>
          </w:tcPr>
          <w:p w14:paraId="4031D253" w14:textId="77777777" w:rsidR="00D8365A" w:rsidRPr="00362517" w:rsidRDefault="00D8365A" w:rsidP="00BF6BC7">
            <w:pPr>
              <w:jc w:val="right"/>
            </w:pPr>
            <w:r w:rsidRPr="00362517">
              <w:t>1.6</w:t>
            </w:r>
          </w:p>
        </w:tc>
        <w:tc>
          <w:tcPr>
            <w:tcW w:w="826" w:type="pct"/>
            <w:tcMar>
              <w:left w:w="115" w:type="dxa"/>
              <w:right w:w="576" w:type="dxa"/>
            </w:tcMar>
            <w:vAlign w:val="bottom"/>
          </w:tcPr>
          <w:p w14:paraId="525E8EE5" w14:textId="77777777" w:rsidR="00D8365A" w:rsidRPr="00362517" w:rsidRDefault="00D8365A" w:rsidP="00BF6BC7">
            <w:pPr>
              <w:jc w:val="right"/>
            </w:pPr>
            <w:r w:rsidRPr="00362517">
              <w:t>0.0</w:t>
            </w:r>
          </w:p>
        </w:tc>
        <w:tc>
          <w:tcPr>
            <w:tcW w:w="762" w:type="pct"/>
            <w:tcMar>
              <w:left w:w="115" w:type="dxa"/>
              <w:right w:w="576" w:type="dxa"/>
            </w:tcMar>
            <w:vAlign w:val="bottom"/>
          </w:tcPr>
          <w:p w14:paraId="109CD1BE" w14:textId="77777777" w:rsidR="00D8365A" w:rsidRPr="00362517" w:rsidRDefault="00D8365A" w:rsidP="00BF6BC7">
            <w:pPr>
              <w:jc w:val="right"/>
            </w:pPr>
            <w:r w:rsidRPr="00362517">
              <w:t>1.0</w:t>
            </w:r>
          </w:p>
        </w:tc>
        <w:tc>
          <w:tcPr>
            <w:tcW w:w="816" w:type="pct"/>
            <w:tcMar>
              <w:left w:w="115" w:type="dxa"/>
              <w:right w:w="576" w:type="dxa"/>
            </w:tcMar>
            <w:vAlign w:val="bottom"/>
          </w:tcPr>
          <w:p w14:paraId="6B2724BC" w14:textId="77777777" w:rsidR="00D8365A" w:rsidRPr="00362517" w:rsidRDefault="00D8365A" w:rsidP="00BF6BC7">
            <w:pPr>
              <w:jc w:val="right"/>
            </w:pPr>
            <w:r w:rsidRPr="00362517">
              <w:t>0.0</w:t>
            </w:r>
          </w:p>
        </w:tc>
      </w:tr>
      <w:tr w:rsidR="00D8365A" w:rsidRPr="00362517" w14:paraId="03A2728B" w14:textId="77777777" w:rsidTr="007A2164">
        <w:tc>
          <w:tcPr>
            <w:tcW w:w="1056" w:type="pct"/>
          </w:tcPr>
          <w:p w14:paraId="791D1DF8" w14:textId="77777777" w:rsidR="00D8365A" w:rsidRPr="00362517" w:rsidRDefault="00D8365A" w:rsidP="00BF6BC7">
            <w:pPr>
              <w:pStyle w:val="BodyText"/>
            </w:pPr>
            <w:r w:rsidRPr="00362517">
              <w:t>Hawaii</w:t>
            </w:r>
            <w:r w:rsidRPr="00362517">
              <w:rPr>
                <w:rFonts w:cs="Times New Roman"/>
                <w:sz w:val="22"/>
                <w:szCs w:val="22"/>
                <w:vertAlign w:val="superscript"/>
              </w:rPr>
              <w:t xml:space="preserve"> 1</w:t>
            </w:r>
          </w:p>
        </w:tc>
        <w:tc>
          <w:tcPr>
            <w:tcW w:w="789" w:type="pct"/>
            <w:tcMar>
              <w:left w:w="115" w:type="dxa"/>
              <w:right w:w="576" w:type="dxa"/>
            </w:tcMar>
            <w:vAlign w:val="bottom"/>
          </w:tcPr>
          <w:p w14:paraId="6D13B983" w14:textId="77777777" w:rsidR="00D8365A" w:rsidRPr="00362517" w:rsidRDefault="00D8365A" w:rsidP="00BF6BC7">
            <w:pPr>
              <w:jc w:val="right"/>
            </w:pPr>
            <w:r w:rsidRPr="00362517">
              <w:t>0.0</w:t>
            </w:r>
          </w:p>
        </w:tc>
        <w:tc>
          <w:tcPr>
            <w:tcW w:w="751" w:type="pct"/>
            <w:tcMar>
              <w:left w:w="115" w:type="dxa"/>
              <w:right w:w="576" w:type="dxa"/>
            </w:tcMar>
            <w:vAlign w:val="bottom"/>
          </w:tcPr>
          <w:p w14:paraId="28C0D1B3" w14:textId="77777777" w:rsidR="00D8365A" w:rsidRPr="00362517" w:rsidRDefault="00D8365A" w:rsidP="00BF6BC7">
            <w:pPr>
              <w:jc w:val="right"/>
            </w:pPr>
            <w:r w:rsidRPr="00362517">
              <w:t>0.0</w:t>
            </w:r>
          </w:p>
        </w:tc>
        <w:tc>
          <w:tcPr>
            <w:tcW w:w="826" w:type="pct"/>
            <w:tcMar>
              <w:left w:w="115" w:type="dxa"/>
              <w:right w:w="576" w:type="dxa"/>
            </w:tcMar>
            <w:vAlign w:val="bottom"/>
          </w:tcPr>
          <w:p w14:paraId="0839844A" w14:textId="77777777" w:rsidR="00D8365A" w:rsidRPr="00362517" w:rsidRDefault="00D8365A" w:rsidP="00BF6BC7">
            <w:pPr>
              <w:jc w:val="right"/>
            </w:pPr>
            <w:r w:rsidRPr="00362517">
              <w:t>0.0</w:t>
            </w:r>
          </w:p>
        </w:tc>
        <w:tc>
          <w:tcPr>
            <w:tcW w:w="762" w:type="pct"/>
            <w:tcMar>
              <w:left w:w="115" w:type="dxa"/>
              <w:right w:w="576" w:type="dxa"/>
            </w:tcMar>
            <w:vAlign w:val="bottom"/>
          </w:tcPr>
          <w:p w14:paraId="2194D091" w14:textId="77777777" w:rsidR="00D8365A" w:rsidRPr="00362517" w:rsidRDefault="00D8365A" w:rsidP="00BF6BC7">
            <w:pPr>
              <w:jc w:val="right"/>
            </w:pPr>
            <w:r w:rsidRPr="00362517">
              <w:t>0.0</w:t>
            </w:r>
          </w:p>
        </w:tc>
        <w:tc>
          <w:tcPr>
            <w:tcW w:w="816" w:type="pct"/>
            <w:tcMar>
              <w:left w:w="115" w:type="dxa"/>
              <w:right w:w="576" w:type="dxa"/>
            </w:tcMar>
            <w:vAlign w:val="bottom"/>
          </w:tcPr>
          <w:p w14:paraId="651221AA" w14:textId="77777777" w:rsidR="00D8365A" w:rsidRPr="00362517" w:rsidRDefault="00D8365A" w:rsidP="00BF6BC7">
            <w:pPr>
              <w:jc w:val="right"/>
            </w:pPr>
            <w:r w:rsidRPr="00362517">
              <w:t>0.0</w:t>
            </w:r>
          </w:p>
        </w:tc>
      </w:tr>
      <w:tr w:rsidR="00D8365A" w:rsidRPr="00362517" w14:paraId="5D5CFF1F" w14:textId="77777777" w:rsidTr="007A2164">
        <w:tc>
          <w:tcPr>
            <w:tcW w:w="1056" w:type="pct"/>
          </w:tcPr>
          <w:p w14:paraId="0A10F4AC" w14:textId="77777777" w:rsidR="00D8365A" w:rsidRPr="00362517" w:rsidRDefault="00D8365A" w:rsidP="00BF6BC7">
            <w:pPr>
              <w:pStyle w:val="BodyText"/>
            </w:pPr>
            <w:r w:rsidRPr="00362517">
              <w:t>Idaho</w:t>
            </w:r>
            <w:r w:rsidRPr="00362517">
              <w:rPr>
                <w:rFonts w:cs="Times New Roman"/>
                <w:sz w:val="22"/>
                <w:szCs w:val="22"/>
                <w:vertAlign w:val="superscript"/>
              </w:rPr>
              <w:t xml:space="preserve"> 1</w:t>
            </w:r>
          </w:p>
        </w:tc>
        <w:tc>
          <w:tcPr>
            <w:tcW w:w="789" w:type="pct"/>
            <w:tcMar>
              <w:left w:w="115" w:type="dxa"/>
              <w:right w:w="576" w:type="dxa"/>
            </w:tcMar>
            <w:vAlign w:val="bottom"/>
          </w:tcPr>
          <w:p w14:paraId="47872A79" w14:textId="77777777" w:rsidR="00D8365A" w:rsidRPr="00362517" w:rsidRDefault="00D8365A" w:rsidP="00BF6BC7">
            <w:pPr>
              <w:jc w:val="right"/>
            </w:pPr>
            <w:r w:rsidRPr="00362517">
              <w:t>0.0</w:t>
            </w:r>
          </w:p>
        </w:tc>
        <w:tc>
          <w:tcPr>
            <w:tcW w:w="751" w:type="pct"/>
            <w:tcMar>
              <w:left w:w="115" w:type="dxa"/>
              <w:right w:w="576" w:type="dxa"/>
            </w:tcMar>
            <w:vAlign w:val="bottom"/>
          </w:tcPr>
          <w:p w14:paraId="27754272" w14:textId="77777777" w:rsidR="00D8365A" w:rsidRPr="00362517" w:rsidRDefault="00D8365A" w:rsidP="00BF6BC7">
            <w:pPr>
              <w:jc w:val="right"/>
            </w:pPr>
            <w:r w:rsidRPr="00362517">
              <w:t>0.0</w:t>
            </w:r>
          </w:p>
        </w:tc>
        <w:tc>
          <w:tcPr>
            <w:tcW w:w="826" w:type="pct"/>
            <w:tcMar>
              <w:left w:w="115" w:type="dxa"/>
              <w:right w:w="576" w:type="dxa"/>
            </w:tcMar>
            <w:vAlign w:val="bottom"/>
          </w:tcPr>
          <w:p w14:paraId="5882C4C3" w14:textId="77777777" w:rsidR="00D8365A" w:rsidRPr="00362517" w:rsidRDefault="00D8365A" w:rsidP="00BF6BC7">
            <w:pPr>
              <w:jc w:val="right"/>
            </w:pPr>
            <w:r w:rsidRPr="00362517">
              <w:t>0.0</w:t>
            </w:r>
          </w:p>
        </w:tc>
        <w:tc>
          <w:tcPr>
            <w:tcW w:w="762" w:type="pct"/>
            <w:tcMar>
              <w:left w:w="115" w:type="dxa"/>
              <w:right w:w="576" w:type="dxa"/>
            </w:tcMar>
            <w:vAlign w:val="bottom"/>
          </w:tcPr>
          <w:p w14:paraId="2BC35345" w14:textId="77777777" w:rsidR="00D8365A" w:rsidRPr="00362517" w:rsidRDefault="00D8365A" w:rsidP="00BF6BC7">
            <w:pPr>
              <w:jc w:val="right"/>
            </w:pPr>
            <w:r w:rsidRPr="00362517">
              <w:t>0.0</w:t>
            </w:r>
          </w:p>
        </w:tc>
        <w:tc>
          <w:tcPr>
            <w:tcW w:w="816" w:type="pct"/>
            <w:tcMar>
              <w:left w:w="115" w:type="dxa"/>
              <w:right w:w="576" w:type="dxa"/>
            </w:tcMar>
            <w:vAlign w:val="bottom"/>
          </w:tcPr>
          <w:p w14:paraId="7F5E3D27" w14:textId="77777777" w:rsidR="00D8365A" w:rsidRPr="00362517" w:rsidRDefault="00D8365A" w:rsidP="00BF6BC7">
            <w:pPr>
              <w:jc w:val="right"/>
            </w:pPr>
            <w:r w:rsidRPr="00362517">
              <w:t>0.0</w:t>
            </w:r>
          </w:p>
        </w:tc>
      </w:tr>
      <w:tr w:rsidR="00D8365A" w:rsidRPr="00362517" w14:paraId="2848EB71" w14:textId="77777777" w:rsidTr="007A2164">
        <w:tc>
          <w:tcPr>
            <w:tcW w:w="1056" w:type="pct"/>
          </w:tcPr>
          <w:p w14:paraId="53B42F23" w14:textId="77777777" w:rsidR="00D8365A" w:rsidRPr="00362517" w:rsidRDefault="00D8365A" w:rsidP="00BF6BC7">
            <w:pPr>
              <w:pStyle w:val="BodyText"/>
            </w:pPr>
            <w:r w:rsidRPr="00362517">
              <w:t>Illinois</w:t>
            </w:r>
            <w:r w:rsidRPr="00362517">
              <w:rPr>
                <w:rFonts w:cs="Times New Roman"/>
                <w:sz w:val="22"/>
                <w:szCs w:val="22"/>
                <w:vertAlign w:val="superscript"/>
              </w:rPr>
              <w:t xml:space="preserve"> 3</w:t>
            </w:r>
          </w:p>
        </w:tc>
        <w:tc>
          <w:tcPr>
            <w:tcW w:w="789" w:type="pct"/>
            <w:tcMar>
              <w:left w:w="115" w:type="dxa"/>
              <w:right w:w="576" w:type="dxa"/>
            </w:tcMar>
            <w:vAlign w:val="bottom"/>
          </w:tcPr>
          <w:p w14:paraId="42813A9D" w14:textId="77777777" w:rsidR="00D8365A" w:rsidRPr="00362517" w:rsidRDefault="00D8365A" w:rsidP="00BF6BC7">
            <w:pPr>
              <w:jc w:val="right"/>
            </w:pPr>
            <w:r w:rsidRPr="00362517">
              <w:t>0.0</w:t>
            </w:r>
          </w:p>
        </w:tc>
        <w:tc>
          <w:tcPr>
            <w:tcW w:w="751" w:type="pct"/>
            <w:tcMar>
              <w:left w:w="115" w:type="dxa"/>
              <w:right w:w="576" w:type="dxa"/>
            </w:tcMar>
            <w:vAlign w:val="bottom"/>
          </w:tcPr>
          <w:p w14:paraId="72B27E43" w14:textId="77777777" w:rsidR="00D8365A" w:rsidRPr="00362517" w:rsidRDefault="00D8365A" w:rsidP="00BF6BC7">
            <w:pPr>
              <w:jc w:val="right"/>
            </w:pPr>
            <w:r w:rsidRPr="00362517">
              <w:t>5.6</w:t>
            </w:r>
          </w:p>
        </w:tc>
        <w:tc>
          <w:tcPr>
            <w:tcW w:w="826" w:type="pct"/>
            <w:tcMar>
              <w:left w:w="115" w:type="dxa"/>
              <w:right w:w="576" w:type="dxa"/>
            </w:tcMar>
            <w:vAlign w:val="bottom"/>
          </w:tcPr>
          <w:p w14:paraId="44A2B964" w14:textId="77777777" w:rsidR="00D8365A" w:rsidRPr="00362517" w:rsidRDefault="00D8365A" w:rsidP="00BF6BC7">
            <w:pPr>
              <w:jc w:val="right"/>
            </w:pPr>
            <w:r w:rsidRPr="00362517">
              <w:t>0.0</w:t>
            </w:r>
          </w:p>
        </w:tc>
        <w:tc>
          <w:tcPr>
            <w:tcW w:w="762" w:type="pct"/>
            <w:tcMar>
              <w:left w:w="115" w:type="dxa"/>
              <w:right w:w="576" w:type="dxa"/>
            </w:tcMar>
            <w:vAlign w:val="bottom"/>
          </w:tcPr>
          <w:p w14:paraId="31AEFE48" w14:textId="77777777" w:rsidR="00D8365A" w:rsidRPr="00362517" w:rsidRDefault="00D8365A" w:rsidP="00BF6BC7">
            <w:pPr>
              <w:jc w:val="right"/>
            </w:pPr>
            <w:r w:rsidRPr="00362517">
              <w:t>3.5</w:t>
            </w:r>
          </w:p>
        </w:tc>
        <w:tc>
          <w:tcPr>
            <w:tcW w:w="816" w:type="pct"/>
            <w:tcMar>
              <w:left w:w="115" w:type="dxa"/>
              <w:right w:w="576" w:type="dxa"/>
            </w:tcMar>
            <w:vAlign w:val="bottom"/>
          </w:tcPr>
          <w:p w14:paraId="215DD88A" w14:textId="77777777" w:rsidR="00D8365A" w:rsidRPr="00362517" w:rsidRDefault="00D8365A" w:rsidP="00BF6BC7">
            <w:pPr>
              <w:jc w:val="right"/>
            </w:pPr>
            <w:r w:rsidRPr="00362517">
              <w:t>0.0</w:t>
            </w:r>
          </w:p>
        </w:tc>
      </w:tr>
      <w:tr w:rsidR="00D8365A" w:rsidRPr="00362517" w14:paraId="35A3EEFA" w14:textId="77777777" w:rsidTr="007A2164">
        <w:tc>
          <w:tcPr>
            <w:tcW w:w="1056" w:type="pct"/>
          </w:tcPr>
          <w:p w14:paraId="107D2891" w14:textId="77777777" w:rsidR="00D8365A" w:rsidRPr="00362517" w:rsidRDefault="00D8365A" w:rsidP="00BF6BC7">
            <w:pPr>
              <w:pStyle w:val="BodyText"/>
            </w:pPr>
            <w:r w:rsidRPr="00362517">
              <w:t>Indiana</w:t>
            </w:r>
            <w:r w:rsidRPr="00362517">
              <w:rPr>
                <w:rFonts w:cs="Times New Roman"/>
                <w:sz w:val="22"/>
                <w:szCs w:val="22"/>
                <w:vertAlign w:val="superscript"/>
              </w:rPr>
              <w:t xml:space="preserve"> 3</w:t>
            </w:r>
          </w:p>
        </w:tc>
        <w:tc>
          <w:tcPr>
            <w:tcW w:w="789" w:type="pct"/>
            <w:tcMar>
              <w:left w:w="115" w:type="dxa"/>
              <w:right w:w="576" w:type="dxa"/>
            </w:tcMar>
            <w:vAlign w:val="bottom"/>
          </w:tcPr>
          <w:p w14:paraId="2C8A0656" w14:textId="77777777" w:rsidR="00D8365A" w:rsidRPr="00362517" w:rsidRDefault="00D8365A" w:rsidP="00BF6BC7">
            <w:pPr>
              <w:jc w:val="right"/>
            </w:pPr>
            <w:r w:rsidRPr="00362517">
              <w:t>0.0</w:t>
            </w:r>
          </w:p>
        </w:tc>
        <w:tc>
          <w:tcPr>
            <w:tcW w:w="751" w:type="pct"/>
            <w:tcMar>
              <w:left w:w="115" w:type="dxa"/>
              <w:right w:w="576" w:type="dxa"/>
            </w:tcMar>
            <w:vAlign w:val="bottom"/>
          </w:tcPr>
          <w:p w14:paraId="4621EBE8" w14:textId="77777777" w:rsidR="00D8365A" w:rsidRPr="00362517" w:rsidRDefault="00D8365A" w:rsidP="00BF6BC7">
            <w:pPr>
              <w:jc w:val="right"/>
            </w:pPr>
            <w:r w:rsidRPr="00362517">
              <w:t>3.4</w:t>
            </w:r>
          </w:p>
        </w:tc>
        <w:tc>
          <w:tcPr>
            <w:tcW w:w="826" w:type="pct"/>
            <w:tcMar>
              <w:left w:w="115" w:type="dxa"/>
              <w:right w:w="576" w:type="dxa"/>
            </w:tcMar>
            <w:vAlign w:val="bottom"/>
          </w:tcPr>
          <w:p w14:paraId="1E63F4E1" w14:textId="77777777" w:rsidR="00D8365A" w:rsidRPr="00362517" w:rsidRDefault="00D8365A" w:rsidP="00BF6BC7">
            <w:pPr>
              <w:jc w:val="right"/>
            </w:pPr>
            <w:r w:rsidRPr="00362517">
              <w:t>0.0</w:t>
            </w:r>
          </w:p>
        </w:tc>
        <w:tc>
          <w:tcPr>
            <w:tcW w:w="762" w:type="pct"/>
            <w:tcMar>
              <w:left w:w="115" w:type="dxa"/>
              <w:right w:w="576" w:type="dxa"/>
            </w:tcMar>
            <w:vAlign w:val="bottom"/>
          </w:tcPr>
          <w:p w14:paraId="7BB62E28" w14:textId="77777777" w:rsidR="00D8365A" w:rsidRPr="00362517" w:rsidRDefault="00D8365A" w:rsidP="00BF6BC7">
            <w:pPr>
              <w:jc w:val="right"/>
            </w:pPr>
            <w:r w:rsidRPr="00362517">
              <w:t>2.2</w:t>
            </w:r>
          </w:p>
        </w:tc>
        <w:tc>
          <w:tcPr>
            <w:tcW w:w="816" w:type="pct"/>
            <w:tcMar>
              <w:left w:w="115" w:type="dxa"/>
              <w:right w:w="576" w:type="dxa"/>
            </w:tcMar>
            <w:vAlign w:val="bottom"/>
          </w:tcPr>
          <w:p w14:paraId="1715AD3E" w14:textId="77777777" w:rsidR="00D8365A" w:rsidRPr="00362517" w:rsidRDefault="00D8365A" w:rsidP="00BF6BC7">
            <w:pPr>
              <w:jc w:val="right"/>
            </w:pPr>
            <w:r w:rsidRPr="00362517">
              <w:t>0.0</w:t>
            </w:r>
          </w:p>
        </w:tc>
      </w:tr>
      <w:tr w:rsidR="00D8365A" w:rsidRPr="00362517" w14:paraId="29F5AF0A" w14:textId="77777777" w:rsidTr="007A2164">
        <w:tc>
          <w:tcPr>
            <w:tcW w:w="1056" w:type="pct"/>
          </w:tcPr>
          <w:p w14:paraId="6D13C349" w14:textId="77777777" w:rsidR="00D8365A" w:rsidRPr="00362517" w:rsidRDefault="00D8365A" w:rsidP="00BF6BC7">
            <w:pPr>
              <w:pStyle w:val="BodyText"/>
            </w:pPr>
            <w:r w:rsidRPr="00362517">
              <w:t>Iowa</w:t>
            </w:r>
          </w:p>
        </w:tc>
        <w:tc>
          <w:tcPr>
            <w:tcW w:w="789" w:type="pct"/>
            <w:tcMar>
              <w:left w:w="115" w:type="dxa"/>
              <w:right w:w="576" w:type="dxa"/>
            </w:tcMar>
            <w:vAlign w:val="bottom"/>
          </w:tcPr>
          <w:p w14:paraId="2A37B8E3" w14:textId="77777777" w:rsidR="00D8365A" w:rsidRPr="00362517" w:rsidRDefault="00D8365A" w:rsidP="00BF6BC7">
            <w:pPr>
              <w:jc w:val="right"/>
            </w:pPr>
            <w:r w:rsidRPr="00362517">
              <w:t>4.7</w:t>
            </w:r>
          </w:p>
        </w:tc>
        <w:tc>
          <w:tcPr>
            <w:tcW w:w="751" w:type="pct"/>
            <w:tcMar>
              <w:left w:w="115" w:type="dxa"/>
              <w:right w:w="576" w:type="dxa"/>
            </w:tcMar>
            <w:vAlign w:val="bottom"/>
          </w:tcPr>
          <w:p w14:paraId="36BCAF90" w14:textId="77777777" w:rsidR="00D8365A" w:rsidRPr="00362517" w:rsidRDefault="00D8365A" w:rsidP="00BF6BC7">
            <w:pPr>
              <w:jc w:val="right"/>
            </w:pPr>
            <w:r w:rsidRPr="00362517">
              <w:t>2.4</w:t>
            </w:r>
          </w:p>
        </w:tc>
        <w:tc>
          <w:tcPr>
            <w:tcW w:w="826" w:type="pct"/>
            <w:tcMar>
              <w:left w:w="115" w:type="dxa"/>
              <w:right w:w="576" w:type="dxa"/>
            </w:tcMar>
            <w:vAlign w:val="bottom"/>
          </w:tcPr>
          <w:p w14:paraId="7FA7EBA5" w14:textId="77777777" w:rsidR="00D8365A" w:rsidRPr="00362517" w:rsidRDefault="00D8365A" w:rsidP="00BF6BC7">
            <w:pPr>
              <w:jc w:val="right"/>
            </w:pPr>
            <w:r w:rsidRPr="00362517">
              <w:t>2.6</w:t>
            </w:r>
          </w:p>
        </w:tc>
        <w:tc>
          <w:tcPr>
            <w:tcW w:w="762" w:type="pct"/>
            <w:tcMar>
              <w:left w:w="115" w:type="dxa"/>
              <w:right w:w="576" w:type="dxa"/>
            </w:tcMar>
            <w:vAlign w:val="bottom"/>
          </w:tcPr>
          <w:p w14:paraId="68080BF4" w14:textId="77777777" w:rsidR="00D8365A" w:rsidRPr="00362517" w:rsidRDefault="00D8365A" w:rsidP="00BF6BC7">
            <w:pPr>
              <w:jc w:val="right"/>
            </w:pPr>
            <w:r w:rsidRPr="00362517">
              <w:t>8.1</w:t>
            </w:r>
          </w:p>
        </w:tc>
        <w:tc>
          <w:tcPr>
            <w:tcW w:w="816" w:type="pct"/>
            <w:tcMar>
              <w:left w:w="115" w:type="dxa"/>
              <w:right w:w="576" w:type="dxa"/>
            </w:tcMar>
            <w:vAlign w:val="bottom"/>
          </w:tcPr>
          <w:p w14:paraId="17BF88F4" w14:textId="77777777" w:rsidR="00D8365A" w:rsidRPr="00362517" w:rsidRDefault="00D8365A" w:rsidP="00BF6BC7">
            <w:pPr>
              <w:jc w:val="right"/>
            </w:pPr>
            <w:r w:rsidRPr="00362517">
              <w:t>0.0</w:t>
            </w:r>
          </w:p>
        </w:tc>
      </w:tr>
      <w:tr w:rsidR="00D8365A" w:rsidRPr="00362517" w14:paraId="6AE43611" w14:textId="77777777" w:rsidTr="007A2164">
        <w:tc>
          <w:tcPr>
            <w:tcW w:w="1056" w:type="pct"/>
          </w:tcPr>
          <w:p w14:paraId="5148E787" w14:textId="77777777" w:rsidR="00D8365A" w:rsidRPr="00362517" w:rsidRDefault="00D8365A" w:rsidP="00BF6BC7">
            <w:pPr>
              <w:pStyle w:val="BodyText"/>
            </w:pPr>
            <w:r w:rsidRPr="00362517">
              <w:t>Kansas</w:t>
            </w:r>
          </w:p>
        </w:tc>
        <w:tc>
          <w:tcPr>
            <w:tcW w:w="789" w:type="pct"/>
            <w:tcMar>
              <w:left w:w="115" w:type="dxa"/>
              <w:right w:w="576" w:type="dxa"/>
            </w:tcMar>
            <w:vAlign w:val="bottom"/>
          </w:tcPr>
          <w:p w14:paraId="74E6F829" w14:textId="77777777" w:rsidR="00D8365A" w:rsidRPr="00362517" w:rsidRDefault="00D8365A" w:rsidP="00BF6BC7">
            <w:pPr>
              <w:jc w:val="right"/>
            </w:pPr>
            <w:r w:rsidRPr="00362517">
              <w:t>2.8</w:t>
            </w:r>
          </w:p>
        </w:tc>
        <w:tc>
          <w:tcPr>
            <w:tcW w:w="751" w:type="pct"/>
            <w:tcMar>
              <w:left w:w="115" w:type="dxa"/>
              <w:right w:w="576" w:type="dxa"/>
            </w:tcMar>
            <w:vAlign w:val="bottom"/>
          </w:tcPr>
          <w:p w14:paraId="5BCB4018" w14:textId="77777777" w:rsidR="00D8365A" w:rsidRPr="00362517" w:rsidRDefault="00D8365A" w:rsidP="00BF6BC7">
            <w:pPr>
              <w:jc w:val="right"/>
            </w:pPr>
            <w:r w:rsidRPr="00362517">
              <w:t>1.5</w:t>
            </w:r>
          </w:p>
        </w:tc>
        <w:tc>
          <w:tcPr>
            <w:tcW w:w="826" w:type="pct"/>
            <w:tcMar>
              <w:left w:w="115" w:type="dxa"/>
              <w:right w:w="576" w:type="dxa"/>
            </w:tcMar>
            <w:vAlign w:val="bottom"/>
          </w:tcPr>
          <w:p w14:paraId="1F66B4A8" w14:textId="77777777" w:rsidR="00D8365A" w:rsidRPr="00362517" w:rsidRDefault="00D8365A" w:rsidP="00BF6BC7">
            <w:pPr>
              <w:jc w:val="right"/>
            </w:pPr>
            <w:r w:rsidRPr="00362517">
              <w:t>1.5</w:t>
            </w:r>
          </w:p>
        </w:tc>
        <w:tc>
          <w:tcPr>
            <w:tcW w:w="762" w:type="pct"/>
            <w:tcMar>
              <w:left w:w="115" w:type="dxa"/>
              <w:right w:w="576" w:type="dxa"/>
            </w:tcMar>
            <w:vAlign w:val="bottom"/>
          </w:tcPr>
          <w:p w14:paraId="422D6600" w14:textId="77777777" w:rsidR="00D8365A" w:rsidRPr="00362517" w:rsidRDefault="00D8365A" w:rsidP="00BF6BC7">
            <w:pPr>
              <w:jc w:val="right"/>
            </w:pPr>
            <w:r w:rsidRPr="00362517">
              <w:t>4.6</w:t>
            </w:r>
          </w:p>
        </w:tc>
        <w:tc>
          <w:tcPr>
            <w:tcW w:w="816" w:type="pct"/>
            <w:tcMar>
              <w:left w:w="115" w:type="dxa"/>
              <w:right w:w="576" w:type="dxa"/>
            </w:tcMar>
            <w:vAlign w:val="bottom"/>
          </w:tcPr>
          <w:p w14:paraId="62AEE717" w14:textId="77777777" w:rsidR="00D8365A" w:rsidRPr="00362517" w:rsidRDefault="00D8365A" w:rsidP="00BF6BC7">
            <w:pPr>
              <w:jc w:val="right"/>
            </w:pPr>
            <w:r w:rsidRPr="00362517">
              <w:t>0.0</w:t>
            </w:r>
          </w:p>
        </w:tc>
      </w:tr>
      <w:tr w:rsidR="00D8365A" w:rsidRPr="00362517" w14:paraId="0FCAA3B8" w14:textId="77777777" w:rsidTr="007A2164">
        <w:tc>
          <w:tcPr>
            <w:tcW w:w="1056" w:type="pct"/>
          </w:tcPr>
          <w:p w14:paraId="4FFB2CC6" w14:textId="77777777" w:rsidR="00D8365A" w:rsidRPr="00362517" w:rsidRDefault="00D8365A" w:rsidP="00BF6BC7">
            <w:pPr>
              <w:pStyle w:val="BodyText"/>
            </w:pPr>
            <w:r w:rsidRPr="00362517">
              <w:t>Kentucky</w:t>
            </w:r>
            <w:r w:rsidRPr="00362517">
              <w:rPr>
                <w:rFonts w:cs="Times New Roman"/>
                <w:sz w:val="22"/>
                <w:szCs w:val="22"/>
                <w:vertAlign w:val="superscript"/>
              </w:rPr>
              <w:t xml:space="preserve"> 3</w:t>
            </w:r>
          </w:p>
        </w:tc>
        <w:tc>
          <w:tcPr>
            <w:tcW w:w="789" w:type="pct"/>
            <w:tcMar>
              <w:left w:w="115" w:type="dxa"/>
              <w:right w:w="576" w:type="dxa"/>
            </w:tcMar>
            <w:vAlign w:val="bottom"/>
          </w:tcPr>
          <w:p w14:paraId="71F198D8" w14:textId="77777777" w:rsidR="00D8365A" w:rsidRPr="00362517" w:rsidRDefault="00D8365A" w:rsidP="00BF6BC7">
            <w:pPr>
              <w:jc w:val="right"/>
            </w:pPr>
            <w:r w:rsidRPr="00362517">
              <w:t>0.0</w:t>
            </w:r>
          </w:p>
        </w:tc>
        <w:tc>
          <w:tcPr>
            <w:tcW w:w="751" w:type="pct"/>
            <w:tcMar>
              <w:left w:w="115" w:type="dxa"/>
              <w:right w:w="576" w:type="dxa"/>
            </w:tcMar>
            <w:vAlign w:val="bottom"/>
          </w:tcPr>
          <w:p w14:paraId="5C818C68" w14:textId="77777777" w:rsidR="00D8365A" w:rsidRPr="00362517" w:rsidRDefault="00D8365A" w:rsidP="00BF6BC7">
            <w:pPr>
              <w:jc w:val="right"/>
            </w:pPr>
            <w:r w:rsidRPr="00362517">
              <w:t>4.4</w:t>
            </w:r>
          </w:p>
        </w:tc>
        <w:tc>
          <w:tcPr>
            <w:tcW w:w="826" w:type="pct"/>
            <w:tcMar>
              <w:left w:w="115" w:type="dxa"/>
              <w:right w:w="576" w:type="dxa"/>
            </w:tcMar>
            <w:vAlign w:val="bottom"/>
          </w:tcPr>
          <w:p w14:paraId="70F44805" w14:textId="77777777" w:rsidR="00D8365A" w:rsidRPr="00362517" w:rsidRDefault="00D8365A" w:rsidP="00BF6BC7">
            <w:pPr>
              <w:jc w:val="right"/>
            </w:pPr>
            <w:r w:rsidRPr="00362517">
              <w:t>0.0</w:t>
            </w:r>
          </w:p>
        </w:tc>
        <w:tc>
          <w:tcPr>
            <w:tcW w:w="762" w:type="pct"/>
            <w:tcMar>
              <w:left w:w="115" w:type="dxa"/>
              <w:right w:w="576" w:type="dxa"/>
            </w:tcMar>
            <w:vAlign w:val="bottom"/>
          </w:tcPr>
          <w:p w14:paraId="667BEAA4" w14:textId="77777777" w:rsidR="00D8365A" w:rsidRPr="00362517" w:rsidRDefault="00D8365A" w:rsidP="00BF6BC7">
            <w:pPr>
              <w:jc w:val="right"/>
            </w:pPr>
            <w:r w:rsidRPr="00362517">
              <w:t>2.7</w:t>
            </w:r>
          </w:p>
        </w:tc>
        <w:tc>
          <w:tcPr>
            <w:tcW w:w="816" w:type="pct"/>
            <w:tcMar>
              <w:left w:w="115" w:type="dxa"/>
              <w:right w:w="576" w:type="dxa"/>
            </w:tcMar>
            <w:vAlign w:val="bottom"/>
          </w:tcPr>
          <w:p w14:paraId="3AE5751D" w14:textId="77777777" w:rsidR="00D8365A" w:rsidRPr="00362517" w:rsidRDefault="00D8365A" w:rsidP="00BF6BC7">
            <w:pPr>
              <w:jc w:val="right"/>
            </w:pPr>
            <w:r w:rsidRPr="00362517">
              <w:t>0.0</w:t>
            </w:r>
          </w:p>
        </w:tc>
      </w:tr>
      <w:tr w:rsidR="00D8365A" w:rsidRPr="00362517" w14:paraId="7B1F5759" w14:textId="77777777" w:rsidTr="007A2164">
        <w:tc>
          <w:tcPr>
            <w:tcW w:w="1056" w:type="pct"/>
          </w:tcPr>
          <w:p w14:paraId="6BF77693" w14:textId="77777777" w:rsidR="00D8365A" w:rsidRPr="00362517" w:rsidRDefault="00D8365A" w:rsidP="00BF6BC7">
            <w:pPr>
              <w:pStyle w:val="BodyText"/>
            </w:pPr>
            <w:r w:rsidRPr="00362517">
              <w:t>Louisiana</w:t>
            </w:r>
            <w:r w:rsidRPr="00362517">
              <w:rPr>
                <w:rFonts w:cs="Times New Roman"/>
                <w:sz w:val="22"/>
                <w:szCs w:val="22"/>
                <w:vertAlign w:val="superscript"/>
              </w:rPr>
              <w:t xml:space="preserve"> 3</w:t>
            </w:r>
          </w:p>
        </w:tc>
        <w:tc>
          <w:tcPr>
            <w:tcW w:w="789" w:type="pct"/>
            <w:tcMar>
              <w:left w:w="115" w:type="dxa"/>
              <w:right w:w="576" w:type="dxa"/>
            </w:tcMar>
            <w:vAlign w:val="bottom"/>
          </w:tcPr>
          <w:p w14:paraId="0F8CD01A" w14:textId="77777777" w:rsidR="00D8365A" w:rsidRPr="00362517" w:rsidRDefault="00D8365A" w:rsidP="00BF6BC7">
            <w:pPr>
              <w:jc w:val="right"/>
            </w:pPr>
            <w:r w:rsidRPr="00362517">
              <w:t>0.0</w:t>
            </w:r>
          </w:p>
        </w:tc>
        <w:tc>
          <w:tcPr>
            <w:tcW w:w="751" w:type="pct"/>
            <w:tcMar>
              <w:left w:w="115" w:type="dxa"/>
              <w:right w:w="576" w:type="dxa"/>
            </w:tcMar>
            <w:vAlign w:val="bottom"/>
          </w:tcPr>
          <w:p w14:paraId="28184219" w14:textId="77777777" w:rsidR="00D8365A" w:rsidRPr="00362517" w:rsidRDefault="00D8365A" w:rsidP="00BF6BC7">
            <w:pPr>
              <w:jc w:val="right"/>
            </w:pPr>
            <w:r w:rsidRPr="00362517">
              <w:t>1.6</w:t>
            </w:r>
          </w:p>
        </w:tc>
        <w:tc>
          <w:tcPr>
            <w:tcW w:w="826" w:type="pct"/>
            <w:tcMar>
              <w:left w:w="115" w:type="dxa"/>
              <w:right w:w="576" w:type="dxa"/>
            </w:tcMar>
            <w:vAlign w:val="bottom"/>
          </w:tcPr>
          <w:p w14:paraId="45AC8BF4" w14:textId="77777777" w:rsidR="00D8365A" w:rsidRPr="00362517" w:rsidRDefault="00D8365A" w:rsidP="00BF6BC7">
            <w:pPr>
              <w:jc w:val="right"/>
            </w:pPr>
            <w:r w:rsidRPr="00362517">
              <w:t>0.0</w:t>
            </w:r>
          </w:p>
        </w:tc>
        <w:tc>
          <w:tcPr>
            <w:tcW w:w="762" w:type="pct"/>
            <w:tcMar>
              <w:left w:w="115" w:type="dxa"/>
              <w:right w:w="576" w:type="dxa"/>
            </w:tcMar>
            <w:vAlign w:val="bottom"/>
          </w:tcPr>
          <w:p w14:paraId="0781E570" w14:textId="77777777" w:rsidR="00D8365A" w:rsidRPr="00362517" w:rsidRDefault="00D8365A" w:rsidP="00BF6BC7">
            <w:pPr>
              <w:jc w:val="right"/>
            </w:pPr>
            <w:r w:rsidRPr="00362517">
              <w:t>1.0</w:t>
            </w:r>
          </w:p>
        </w:tc>
        <w:tc>
          <w:tcPr>
            <w:tcW w:w="816" w:type="pct"/>
            <w:tcMar>
              <w:left w:w="115" w:type="dxa"/>
              <w:right w:w="576" w:type="dxa"/>
            </w:tcMar>
            <w:vAlign w:val="bottom"/>
          </w:tcPr>
          <w:p w14:paraId="1D4BAC57" w14:textId="77777777" w:rsidR="00D8365A" w:rsidRPr="00362517" w:rsidRDefault="00D8365A" w:rsidP="00BF6BC7">
            <w:pPr>
              <w:jc w:val="right"/>
            </w:pPr>
            <w:r w:rsidRPr="00362517">
              <w:t>0.0</w:t>
            </w:r>
          </w:p>
        </w:tc>
      </w:tr>
      <w:tr w:rsidR="00D8365A" w:rsidRPr="00362517" w14:paraId="09C7993F" w14:textId="77777777" w:rsidTr="007A2164">
        <w:tc>
          <w:tcPr>
            <w:tcW w:w="1056" w:type="pct"/>
          </w:tcPr>
          <w:p w14:paraId="7C66F80D" w14:textId="77777777" w:rsidR="00D8365A" w:rsidRPr="00362517" w:rsidRDefault="00D8365A" w:rsidP="00BF6BC7">
            <w:pPr>
              <w:pStyle w:val="BodyText"/>
            </w:pPr>
            <w:r w:rsidRPr="00362517">
              <w:t>Maine</w:t>
            </w:r>
            <w:r w:rsidRPr="00362517">
              <w:rPr>
                <w:rFonts w:cs="Times New Roman"/>
                <w:sz w:val="22"/>
                <w:szCs w:val="22"/>
                <w:vertAlign w:val="superscript"/>
              </w:rPr>
              <w:t xml:space="preserve"> 3</w:t>
            </w:r>
          </w:p>
        </w:tc>
        <w:tc>
          <w:tcPr>
            <w:tcW w:w="789" w:type="pct"/>
            <w:tcMar>
              <w:left w:w="115" w:type="dxa"/>
              <w:right w:w="576" w:type="dxa"/>
            </w:tcMar>
            <w:vAlign w:val="bottom"/>
          </w:tcPr>
          <w:p w14:paraId="1546FB58" w14:textId="77777777" w:rsidR="00D8365A" w:rsidRPr="00362517" w:rsidRDefault="00D8365A" w:rsidP="00BF6BC7">
            <w:pPr>
              <w:jc w:val="right"/>
            </w:pPr>
            <w:r w:rsidRPr="00362517">
              <w:t>0.0</w:t>
            </w:r>
          </w:p>
        </w:tc>
        <w:tc>
          <w:tcPr>
            <w:tcW w:w="751" w:type="pct"/>
            <w:tcMar>
              <w:left w:w="115" w:type="dxa"/>
              <w:right w:w="576" w:type="dxa"/>
            </w:tcMar>
            <w:vAlign w:val="bottom"/>
          </w:tcPr>
          <w:p w14:paraId="5F2512BE" w14:textId="77777777" w:rsidR="00D8365A" w:rsidRPr="00362517" w:rsidRDefault="00D8365A" w:rsidP="00BF6BC7">
            <w:pPr>
              <w:jc w:val="right"/>
            </w:pPr>
            <w:r w:rsidRPr="00362517">
              <w:t>0.6</w:t>
            </w:r>
          </w:p>
        </w:tc>
        <w:tc>
          <w:tcPr>
            <w:tcW w:w="826" w:type="pct"/>
            <w:tcMar>
              <w:left w:w="115" w:type="dxa"/>
              <w:right w:w="576" w:type="dxa"/>
            </w:tcMar>
            <w:vAlign w:val="bottom"/>
          </w:tcPr>
          <w:p w14:paraId="2C4CF092" w14:textId="77777777" w:rsidR="00D8365A" w:rsidRPr="00362517" w:rsidRDefault="00D8365A" w:rsidP="00BF6BC7">
            <w:pPr>
              <w:jc w:val="right"/>
            </w:pPr>
            <w:r w:rsidRPr="00362517">
              <w:t>0.0</w:t>
            </w:r>
          </w:p>
        </w:tc>
        <w:tc>
          <w:tcPr>
            <w:tcW w:w="762" w:type="pct"/>
            <w:tcMar>
              <w:left w:w="115" w:type="dxa"/>
              <w:right w:w="576" w:type="dxa"/>
            </w:tcMar>
            <w:vAlign w:val="bottom"/>
          </w:tcPr>
          <w:p w14:paraId="1EB5D9F2" w14:textId="77777777" w:rsidR="00D8365A" w:rsidRPr="00362517" w:rsidRDefault="00D8365A" w:rsidP="00BF6BC7">
            <w:pPr>
              <w:jc w:val="right"/>
            </w:pPr>
            <w:r w:rsidRPr="00362517">
              <w:t>0.5</w:t>
            </w:r>
          </w:p>
        </w:tc>
        <w:tc>
          <w:tcPr>
            <w:tcW w:w="816" w:type="pct"/>
            <w:tcMar>
              <w:left w:w="115" w:type="dxa"/>
              <w:right w:w="576" w:type="dxa"/>
            </w:tcMar>
            <w:vAlign w:val="bottom"/>
          </w:tcPr>
          <w:p w14:paraId="4176E8A3" w14:textId="77777777" w:rsidR="00D8365A" w:rsidRPr="00362517" w:rsidRDefault="00D8365A" w:rsidP="00BF6BC7">
            <w:pPr>
              <w:jc w:val="right"/>
            </w:pPr>
            <w:r w:rsidRPr="00362517">
              <w:t>0.0</w:t>
            </w:r>
          </w:p>
        </w:tc>
      </w:tr>
      <w:tr w:rsidR="00D8365A" w:rsidRPr="00362517" w14:paraId="61C81918" w14:textId="77777777" w:rsidTr="007A2164">
        <w:tc>
          <w:tcPr>
            <w:tcW w:w="1056" w:type="pct"/>
          </w:tcPr>
          <w:p w14:paraId="494ECC2B" w14:textId="77777777" w:rsidR="00D8365A" w:rsidRPr="00362517" w:rsidRDefault="00D8365A" w:rsidP="00BF6BC7">
            <w:pPr>
              <w:pStyle w:val="BodyText"/>
            </w:pPr>
            <w:r w:rsidRPr="00362517">
              <w:t>Maryland</w:t>
            </w:r>
            <w:r w:rsidRPr="00362517">
              <w:rPr>
                <w:rFonts w:cs="Times New Roman"/>
                <w:sz w:val="22"/>
                <w:szCs w:val="22"/>
                <w:vertAlign w:val="superscript"/>
              </w:rPr>
              <w:t xml:space="preserve"> 3</w:t>
            </w:r>
          </w:p>
        </w:tc>
        <w:tc>
          <w:tcPr>
            <w:tcW w:w="789" w:type="pct"/>
            <w:tcMar>
              <w:left w:w="115" w:type="dxa"/>
              <w:right w:w="576" w:type="dxa"/>
            </w:tcMar>
            <w:vAlign w:val="bottom"/>
          </w:tcPr>
          <w:p w14:paraId="6EFB75FE" w14:textId="77777777" w:rsidR="00D8365A" w:rsidRPr="00362517" w:rsidRDefault="00D8365A" w:rsidP="00BF6BC7">
            <w:pPr>
              <w:jc w:val="right"/>
            </w:pPr>
            <w:r w:rsidRPr="00362517">
              <w:t>0.0</w:t>
            </w:r>
          </w:p>
        </w:tc>
        <w:tc>
          <w:tcPr>
            <w:tcW w:w="751" w:type="pct"/>
            <w:tcMar>
              <w:left w:w="115" w:type="dxa"/>
              <w:right w:w="576" w:type="dxa"/>
            </w:tcMar>
            <w:vAlign w:val="bottom"/>
          </w:tcPr>
          <w:p w14:paraId="3FEA9273" w14:textId="77777777" w:rsidR="00D8365A" w:rsidRPr="00362517" w:rsidRDefault="00D8365A" w:rsidP="00BF6BC7">
            <w:pPr>
              <w:jc w:val="right"/>
            </w:pPr>
            <w:r w:rsidRPr="00362517">
              <w:t>0.9</w:t>
            </w:r>
          </w:p>
        </w:tc>
        <w:tc>
          <w:tcPr>
            <w:tcW w:w="826" w:type="pct"/>
            <w:tcMar>
              <w:left w:w="115" w:type="dxa"/>
              <w:right w:w="576" w:type="dxa"/>
            </w:tcMar>
            <w:vAlign w:val="bottom"/>
          </w:tcPr>
          <w:p w14:paraId="25012550" w14:textId="77777777" w:rsidR="00D8365A" w:rsidRPr="00362517" w:rsidRDefault="00D8365A" w:rsidP="00BF6BC7">
            <w:pPr>
              <w:jc w:val="right"/>
            </w:pPr>
            <w:r w:rsidRPr="00362517">
              <w:t>0.0</w:t>
            </w:r>
          </w:p>
        </w:tc>
        <w:tc>
          <w:tcPr>
            <w:tcW w:w="762" w:type="pct"/>
            <w:tcMar>
              <w:left w:w="115" w:type="dxa"/>
              <w:right w:w="576" w:type="dxa"/>
            </w:tcMar>
            <w:vAlign w:val="bottom"/>
          </w:tcPr>
          <w:p w14:paraId="3801383E" w14:textId="77777777" w:rsidR="00D8365A" w:rsidRPr="00362517" w:rsidRDefault="00D8365A" w:rsidP="00BF6BC7">
            <w:pPr>
              <w:jc w:val="right"/>
            </w:pPr>
            <w:r w:rsidRPr="00362517">
              <w:t>0.5</w:t>
            </w:r>
          </w:p>
        </w:tc>
        <w:tc>
          <w:tcPr>
            <w:tcW w:w="816" w:type="pct"/>
            <w:tcMar>
              <w:left w:w="115" w:type="dxa"/>
              <w:right w:w="576" w:type="dxa"/>
            </w:tcMar>
            <w:vAlign w:val="bottom"/>
          </w:tcPr>
          <w:p w14:paraId="21D7759F" w14:textId="77777777" w:rsidR="00D8365A" w:rsidRPr="00362517" w:rsidRDefault="00D8365A" w:rsidP="00BF6BC7">
            <w:pPr>
              <w:jc w:val="right"/>
            </w:pPr>
            <w:r w:rsidRPr="00362517">
              <w:t>0.0</w:t>
            </w:r>
          </w:p>
        </w:tc>
      </w:tr>
      <w:tr w:rsidR="00D8365A" w:rsidRPr="00362517" w14:paraId="762AA91B" w14:textId="77777777" w:rsidTr="007A2164">
        <w:tc>
          <w:tcPr>
            <w:tcW w:w="1056" w:type="pct"/>
          </w:tcPr>
          <w:p w14:paraId="5477A0BC" w14:textId="77777777" w:rsidR="00D8365A" w:rsidRPr="00362517" w:rsidRDefault="00D8365A" w:rsidP="00BF6BC7">
            <w:pPr>
              <w:pStyle w:val="BodyText"/>
            </w:pPr>
            <w:r w:rsidRPr="00362517">
              <w:t>Massachusetts</w:t>
            </w:r>
            <w:r w:rsidRPr="00362517">
              <w:rPr>
                <w:rFonts w:cs="Times New Roman"/>
                <w:sz w:val="22"/>
                <w:szCs w:val="22"/>
                <w:vertAlign w:val="superscript"/>
              </w:rPr>
              <w:t xml:space="preserve"> 1</w:t>
            </w:r>
          </w:p>
        </w:tc>
        <w:tc>
          <w:tcPr>
            <w:tcW w:w="789" w:type="pct"/>
            <w:tcMar>
              <w:left w:w="115" w:type="dxa"/>
              <w:right w:w="576" w:type="dxa"/>
            </w:tcMar>
            <w:vAlign w:val="bottom"/>
          </w:tcPr>
          <w:p w14:paraId="0C5E1F2C" w14:textId="77777777" w:rsidR="00D8365A" w:rsidRPr="00362517" w:rsidRDefault="00D8365A" w:rsidP="00BF6BC7">
            <w:pPr>
              <w:jc w:val="right"/>
            </w:pPr>
            <w:r w:rsidRPr="00362517">
              <w:t>0.0</w:t>
            </w:r>
          </w:p>
        </w:tc>
        <w:tc>
          <w:tcPr>
            <w:tcW w:w="751" w:type="pct"/>
            <w:tcMar>
              <w:left w:w="115" w:type="dxa"/>
              <w:right w:w="576" w:type="dxa"/>
            </w:tcMar>
            <w:vAlign w:val="bottom"/>
          </w:tcPr>
          <w:p w14:paraId="11DE8A6B" w14:textId="77777777" w:rsidR="00D8365A" w:rsidRPr="00362517" w:rsidRDefault="00D8365A" w:rsidP="00BF6BC7">
            <w:pPr>
              <w:jc w:val="right"/>
            </w:pPr>
            <w:r w:rsidRPr="00362517">
              <w:t>0.0</w:t>
            </w:r>
          </w:p>
        </w:tc>
        <w:tc>
          <w:tcPr>
            <w:tcW w:w="826" w:type="pct"/>
            <w:tcMar>
              <w:left w:w="115" w:type="dxa"/>
              <w:right w:w="576" w:type="dxa"/>
            </w:tcMar>
            <w:vAlign w:val="bottom"/>
          </w:tcPr>
          <w:p w14:paraId="2170DD86" w14:textId="77777777" w:rsidR="00D8365A" w:rsidRPr="00362517" w:rsidRDefault="00D8365A" w:rsidP="00BF6BC7">
            <w:pPr>
              <w:jc w:val="right"/>
            </w:pPr>
            <w:r w:rsidRPr="00362517">
              <w:t>0.0</w:t>
            </w:r>
          </w:p>
        </w:tc>
        <w:tc>
          <w:tcPr>
            <w:tcW w:w="762" w:type="pct"/>
            <w:tcMar>
              <w:left w:w="115" w:type="dxa"/>
              <w:right w:w="576" w:type="dxa"/>
            </w:tcMar>
            <w:vAlign w:val="bottom"/>
          </w:tcPr>
          <w:p w14:paraId="01EF2F6E" w14:textId="77777777" w:rsidR="00D8365A" w:rsidRPr="00362517" w:rsidRDefault="00D8365A" w:rsidP="00BF6BC7">
            <w:pPr>
              <w:jc w:val="right"/>
            </w:pPr>
            <w:r w:rsidRPr="00362517">
              <w:t>0.0</w:t>
            </w:r>
          </w:p>
        </w:tc>
        <w:tc>
          <w:tcPr>
            <w:tcW w:w="816" w:type="pct"/>
            <w:tcMar>
              <w:left w:w="115" w:type="dxa"/>
              <w:right w:w="576" w:type="dxa"/>
            </w:tcMar>
            <w:vAlign w:val="bottom"/>
          </w:tcPr>
          <w:p w14:paraId="4FFB48F4" w14:textId="77777777" w:rsidR="00D8365A" w:rsidRPr="00362517" w:rsidRDefault="00D8365A" w:rsidP="00BF6BC7">
            <w:pPr>
              <w:jc w:val="right"/>
            </w:pPr>
            <w:r w:rsidRPr="00362517">
              <w:t>0.0</w:t>
            </w:r>
          </w:p>
        </w:tc>
      </w:tr>
      <w:tr w:rsidR="00D8365A" w:rsidRPr="00362517" w14:paraId="0DE8D79A" w14:textId="77777777" w:rsidTr="007A2164">
        <w:tc>
          <w:tcPr>
            <w:tcW w:w="1056" w:type="pct"/>
          </w:tcPr>
          <w:p w14:paraId="5DA67A4D" w14:textId="77777777" w:rsidR="00D8365A" w:rsidRPr="00362517" w:rsidRDefault="00D8365A" w:rsidP="00BF6BC7">
            <w:pPr>
              <w:pStyle w:val="BodyText"/>
            </w:pPr>
            <w:r w:rsidRPr="00362517">
              <w:t>Michigan</w:t>
            </w:r>
            <w:r w:rsidRPr="00362517">
              <w:rPr>
                <w:rFonts w:cs="Times New Roman"/>
                <w:sz w:val="22"/>
                <w:szCs w:val="22"/>
                <w:vertAlign w:val="superscript"/>
              </w:rPr>
              <w:t xml:space="preserve"> 1</w:t>
            </w:r>
          </w:p>
        </w:tc>
        <w:tc>
          <w:tcPr>
            <w:tcW w:w="789" w:type="pct"/>
            <w:tcMar>
              <w:left w:w="115" w:type="dxa"/>
              <w:right w:w="576" w:type="dxa"/>
            </w:tcMar>
            <w:vAlign w:val="bottom"/>
          </w:tcPr>
          <w:p w14:paraId="56AEC1CD" w14:textId="77777777" w:rsidR="00D8365A" w:rsidRPr="00362517" w:rsidRDefault="00D8365A" w:rsidP="00BF6BC7">
            <w:pPr>
              <w:jc w:val="right"/>
            </w:pPr>
            <w:r w:rsidRPr="00362517">
              <w:t>0.0</w:t>
            </w:r>
          </w:p>
        </w:tc>
        <w:tc>
          <w:tcPr>
            <w:tcW w:w="751" w:type="pct"/>
            <w:tcMar>
              <w:left w:w="115" w:type="dxa"/>
              <w:right w:w="576" w:type="dxa"/>
            </w:tcMar>
            <w:vAlign w:val="bottom"/>
          </w:tcPr>
          <w:p w14:paraId="094DA98C" w14:textId="77777777" w:rsidR="00D8365A" w:rsidRPr="00362517" w:rsidRDefault="00D8365A" w:rsidP="00BF6BC7">
            <w:pPr>
              <w:jc w:val="right"/>
            </w:pPr>
            <w:r w:rsidRPr="00362517">
              <w:t>0.0</w:t>
            </w:r>
          </w:p>
        </w:tc>
        <w:tc>
          <w:tcPr>
            <w:tcW w:w="826" w:type="pct"/>
            <w:tcMar>
              <w:left w:w="115" w:type="dxa"/>
              <w:right w:w="576" w:type="dxa"/>
            </w:tcMar>
            <w:vAlign w:val="bottom"/>
          </w:tcPr>
          <w:p w14:paraId="036E0BB2" w14:textId="77777777" w:rsidR="00D8365A" w:rsidRPr="00362517" w:rsidRDefault="00D8365A" w:rsidP="00BF6BC7">
            <w:pPr>
              <w:jc w:val="right"/>
            </w:pPr>
            <w:r w:rsidRPr="00362517">
              <w:t>0.0</w:t>
            </w:r>
          </w:p>
        </w:tc>
        <w:tc>
          <w:tcPr>
            <w:tcW w:w="762" w:type="pct"/>
            <w:tcMar>
              <w:left w:w="115" w:type="dxa"/>
              <w:right w:w="576" w:type="dxa"/>
            </w:tcMar>
            <w:vAlign w:val="bottom"/>
          </w:tcPr>
          <w:p w14:paraId="2FC3691B" w14:textId="77777777" w:rsidR="00D8365A" w:rsidRPr="00362517" w:rsidRDefault="00D8365A" w:rsidP="00BF6BC7">
            <w:pPr>
              <w:jc w:val="right"/>
            </w:pPr>
            <w:r w:rsidRPr="00362517">
              <w:t>0.0</w:t>
            </w:r>
          </w:p>
        </w:tc>
        <w:tc>
          <w:tcPr>
            <w:tcW w:w="816" w:type="pct"/>
            <w:tcMar>
              <w:left w:w="115" w:type="dxa"/>
              <w:right w:w="576" w:type="dxa"/>
            </w:tcMar>
            <w:vAlign w:val="bottom"/>
          </w:tcPr>
          <w:p w14:paraId="76A4088C" w14:textId="77777777" w:rsidR="00D8365A" w:rsidRPr="00362517" w:rsidRDefault="00D8365A" w:rsidP="00BF6BC7">
            <w:pPr>
              <w:jc w:val="right"/>
            </w:pPr>
            <w:r w:rsidRPr="00362517">
              <w:t>0.0</w:t>
            </w:r>
          </w:p>
        </w:tc>
      </w:tr>
      <w:tr w:rsidR="00D8365A" w:rsidRPr="00362517" w14:paraId="4C58E14D" w14:textId="77777777" w:rsidTr="007A2164">
        <w:tc>
          <w:tcPr>
            <w:tcW w:w="1056" w:type="pct"/>
          </w:tcPr>
          <w:p w14:paraId="38A3E26C" w14:textId="77777777" w:rsidR="00D8365A" w:rsidRPr="00362517" w:rsidRDefault="00D8365A" w:rsidP="00BF6BC7">
            <w:pPr>
              <w:pStyle w:val="BodyText"/>
            </w:pPr>
            <w:r w:rsidRPr="00362517">
              <w:t>Minnesota</w:t>
            </w:r>
          </w:p>
        </w:tc>
        <w:tc>
          <w:tcPr>
            <w:tcW w:w="789" w:type="pct"/>
            <w:tcMar>
              <w:left w:w="115" w:type="dxa"/>
              <w:right w:w="576" w:type="dxa"/>
            </w:tcMar>
            <w:vAlign w:val="bottom"/>
          </w:tcPr>
          <w:p w14:paraId="02321AE9" w14:textId="77777777" w:rsidR="00D8365A" w:rsidRPr="00362517" w:rsidRDefault="00D8365A" w:rsidP="00BF6BC7">
            <w:pPr>
              <w:jc w:val="right"/>
            </w:pPr>
            <w:r w:rsidRPr="00362517">
              <w:t>3.3</w:t>
            </w:r>
          </w:p>
        </w:tc>
        <w:tc>
          <w:tcPr>
            <w:tcW w:w="751" w:type="pct"/>
            <w:tcMar>
              <w:left w:w="115" w:type="dxa"/>
              <w:right w:w="576" w:type="dxa"/>
            </w:tcMar>
            <w:vAlign w:val="bottom"/>
          </w:tcPr>
          <w:p w14:paraId="573F0FAB" w14:textId="77777777" w:rsidR="00D8365A" w:rsidRPr="00362517" w:rsidRDefault="00D8365A" w:rsidP="00BF6BC7">
            <w:pPr>
              <w:jc w:val="right"/>
            </w:pPr>
            <w:r w:rsidRPr="00362517">
              <w:t>1.7</w:t>
            </w:r>
          </w:p>
        </w:tc>
        <w:tc>
          <w:tcPr>
            <w:tcW w:w="826" w:type="pct"/>
            <w:tcMar>
              <w:left w:w="115" w:type="dxa"/>
              <w:right w:w="576" w:type="dxa"/>
            </w:tcMar>
            <w:vAlign w:val="bottom"/>
          </w:tcPr>
          <w:p w14:paraId="294907B7" w14:textId="77777777" w:rsidR="00D8365A" w:rsidRPr="00362517" w:rsidRDefault="00D8365A" w:rsidP="00BF6BC7">
            <w:pPr>
              <w:jc w:val="right"/>
            </w:pPr>
            <w:r w:rsidRPr="00362517">
              <w:t>1.8</w:t>
            </w:r>
          </w:p>
        </w:tc>
        <w:tc>
          <w:tcPr>
            <w:tcW w:w="762" w:type="pct"/>
            <w:tcMar>
              <w:left w:w="115" w:type="dxa"/>
              <w:right w:w="576" w:type="dxa"/>
            </w:tcMar>
            <w:vAlign w:val="bottom"/>
          </w:tcPr>
          <w:p w14:paraId="71B9B3DF" w14:textId="77777777" w:rsidR="00D8365A" w:rsidRPr="00362517" w:rsidRDefault="00D8365A" w:rsidP="00BF6BC7">
            <w:pPr>
              <w:jc w:val="right"/>
            </w:pPr>
            <w:r w:rsidRPr="00362517">
              <w:t>5.6</w:t>
            </w:r>
          </w:p>
        </w:tc>
        <w:tc>
          <w:tcPr>
            <w:tcW w:w="816" w:type="pct"/>
            <w:tcMar>
              <w:left w:w="115" w:type="dxa"/>
              <w:right w:w="576" w:type="dxa"/>
            </w:tcMar>
            <w:vAlign w:val="bottom"/>
          </w:tcPr>
          <w:p w14:paraId="7C365B48" w14:textId="77777777" w:rsidR="00D8365A" w:rsidRPr="00362517" w:rsidRDefault="00D8365A" w:rsidP="00BF6BC7">
            <w:pPr>
              <w:jc w:val="right"/>
            </w:pPr>
            <w:r w:rsidRPr="00362517">
              <w:t>0.0</w:t>
            </w:r>
          </w:p>
        </w:tc>
      </w:tr>
      <w:tr w:rsidR="00D8365A" w:rsidRPr="00362517" w14:paraId="1DA735D0" w14:textId="77777777" w:rsidTr="007A2164">
        <w:tc>
          <w:tcPr>
            <w:tcW w:w="1056" w:type="pct"/>
          </w:tcPr>
          <w:p w14:paraId="08C82277" w14:textId="77777777" w:rsidR="00D8365A" w:rsidRPr="00362517" w:rsidRDefault="00D8365A" w:rsidP="00BF6BC7">
            <w:pPr>
              <w:pStyle w:val="BodyText"/>
            </w:pPr>
            <w:r w:rsidRPr="00362517">
              <w:t>Mississippi</w:t>
            </w:r>
            <w:r w:rsidRPr="00362517">
              <w:rPr>
                <w:rFonts w:cs="Times New Roman"/>
                <w:sz w:val="22"/>
                <w:szCs w:val="22"/>
                <w:vertAlign w:val="superscript"/>
              </w:rPr>
              <w:t xml:space="preserve"> 1</w:t>
            </w:r>
          </w:p>
        </w:tc>
        <w:tc>
          <w:tcPr>
            <w:tcW w:w="789" w:type="pct"/>
            <w:tcMar>
              <w:left w:w="115" w:type="dxa"/>
              <w:right w:w="576" w:type="dxa"/>
            </w:tcMar>
            <w:vAlign w:val="bottom"/>
          </w:tcPr>
          <w:p w14:paraId="00DEDA65" w14:textId="77777777" w:rsidR="00D8365A" w:rsidRPr="00362517" w:rsidRDefault="00D8365A" w:rsidP="00BF6BC7">
            <w:pPr>
              <w:jc w:val="right"/>
            </w:pPr>
            <w:r w:rsidRPr="00362517">
              <w:t>0.0</w:t>
            </w:r>
          </w:p>
        </w:tc>
        <w:tc>
          <w:tcPr>
            <w:tcW w:w="751" w:type="pct"/>
            <w:tcMar>
              <w:left w:w="115" w:type="dxa"/>
              <w:right w:w="576" w:type="dxa"/>
            </w:tcMar>
            <w:vAlign w:val="bottom"/>
          </w:tcPr>
          <w:p w14:paraId="006CF9C9" w14:textId="77777777" w:rsidR="00D8365A" w:rsidRPr="00362517" w:rsidRDefault="00D8365A" w:rsidP="00BF6BC7">
            <w:pPr>
              <w:jc w:val="right"/>
            </w:pPr>
            <w:r w:rsidRPr="00362517">
              <w:t>0.0</w:t>
            </w:r>
          </w:p>
        </w:tc>
        <w:tc>
          <w:tcPr>
            <w:tcW w:w="826" w:type="pct"/>
            <w:tcMar>
              <w:left w:w="115" w:type="dxa"/>
              <w:right w:w="576" w:type="dxa"/>
            </w:tcMar>
            <w:vAlign w:val="bottom"/>
          </w:tcPr>
          <w:p w14:paraId="6FB7441F" w14:textId="77777777" w:rsidR="00D8365A" w:rsidRPr="00362517" w:rsidRDefault="00D8365A" w:rsidP="00BF6BC7">
            <w:pPr>
              <w:jc w:val="right"/>
            </w:pPr>
            <w:r w:rsidRPr="00362517">
              <w:t>0.0</w:t>
            </w:r>
          </w:p>
        </w:tc>
        <w:tc>
          <w:tcPr>
            <w:tcW w:w="762" w:type="pct"/>
            <w:tcMar>
              <w:left w:w="115" w:type="dxa"/>
              <w:right w:w="576" w:type="dxa"/>
            </w:tcMar>
            <w:vAlign w:val="bottom"/>
          </w:tcPr>
          <w:p w14:paraId="64BD5620" w14:textId="77777777" w:rsidR="00D8365A" w:rsidRPr="00362517" w:rsidRDefault="00D8365A" w:rsidP="00BF6BC7">
            <w:pPr>
              <w:jc w:val="right"/>
            </w:pPr>
            <w:r w:rsidRPr="00362517">
              <w:t>0.0</w:t>
            </w:r>
          </w:p>
        </w:tc>
        <w:tc>
          <w:tcPr>
            <w:tcW w:w="816" w:type="pct"/>
            <w:tcMar>
              <w:left w:w="115" w:type="dxa"/>
              <w:right w:w="576" w:type="dxa"/>
            </w:tcMar>
            <w:vAlign w:val="bottom"/>
          </w:tcPr>
          <w:p w14:paraId="4E9DFAB1" w14:textId="77777777" w:rsidR="00D8365A" w:rsidRPr="00362517" w:rsidRDefault="00D8365A" w:rsidP="00BF6BC7">
            <w:pPr>
              <w:jc w:val="right"/>
            </w:pPr>
            <w:r w:rsidRPr="00362517">
              <w:t>0.0</w:t>
            </w:r>
          </w:p>
        </w:tc>
      </w:tr>
      <w:tr w:rsidR="00D8365A" w:rsidRPr="00362517" w14:paraId="15207F98" w14:textId="77777777" w:rsidTr="007A2164">
        <w:tc>
          <w:tcPr>
            <w:tcW w:w="1056" w:type="pct"/>
          </w:tcPr>
          <w:p w14:paraId="32C83A6A" w14:textId="77777777" w:rsidR="00D8365A" w:rsidRPr="00362517" w:rsidRDefault="00D8365A" w:rsidP="00BF6BC7">
            <w:pPr>
              <w:pStyle w:val="BodyText"/>
            </w:pPr>
            <w:r w:rsidRPr="00362517">
              <w:t>Missouri</w:t>
            </w:r>
            <w:r w:rsidRPr="00362517">
              <w:rPr>
                <w:rFonts w:cs="Times New Roman"/>
                <w:sz w:val="22"/>
                <w:szCs w:val="22"/>
                <w:vertAlign w:val="superscript"/>
              </w:rPr>
              <w:t xml:space="preserve"> 1</w:t>
            </w:r>
          </w:p>
        </w:tc>
        <w:tc>
          <w:tcPr>
            <w:tcW w:w="789" w:type="pct"/>
            <w:tcMar>
              <w:left w:w="115" w:type="dxa"/>
              <w:right w:w="576" w:type="dxa"/>
            </w:tcMar>
            <w:vAlign w:val="bottom"/>
          </w:tcPr>
          <w:p w14:paraId="4675C3C8" w14:textId="77777777" w:rsidR="00D8365A" w:rsidRPr="00362517" w:rsidRDefault="00D8365A" w:rsidP="00BF6BC7">
            <w:pPr>
              <w:jc w:val="right"/>
            </w:pPr>
            <w:r w:rsidRPr="00362517">
              <w:t>0.0</w:t>
            </w:r>
          </w:p>
        </w:tc>
        <w:tc>
          <w:tcPr>
            <w:tcW w:w="751" w:type="pct"/>
            <w:tcMar>
              <w:left w:w="115" w:type="dxa"/>
              <w:right w:w="576" w:type="dxa"/>
            </w:tcMar>
            <w:vAlign w:val="bottom"/>
          </w:tcPr>
          <w:p w14:paraId="2EE4B03D" w14:textId="77777777" w:rsidR="00D8365A" w:rsidRPr="00362517" w:rsidRDefault="00D8365A" w:rsidP="00BF6BC7">
            <w:pPr>
              <w:jc w:val="right"/>
            </w:pPr>
            <w:r w:rsidRPr="00362517">
              <w:t>0.0</w:t>
            </w:r>
          </w:p>
        </w:tc>
        <w:tc>
          <w:tcPr>
            <w:tcW w:w="826" w:type="pct"/>
            <w:tcMar>
              <w:left w:w="115" w:type="dxa"/>
              <w:right w:w="576" w:type="dxa"/>
            </w:tcMar>
            <w:vAlign w:val="bottom"/>
          </w:tcPr>
          <w:p w14:paraId="1649F32C" w14:textId="77777777" w:rsidR="00D8365A" w:rsidRPr="00362517" w:rsidRDefault="00D8365A" w:rsidP="00BF6BC7">
            <w:pPr>
              <w:jc w:val="right"/>
            </w:pPr>
            <w:r w:rsidRPr="00362517">
              <w:t>0.0</w:t>
            </w:r>
          </w:p>
        </w:tc>
        <w:tc>
          <w:tcPr>
            <w:tcW w:w="762" w:type="pct"/>
            <w:tcMar>
              <w:left w:w="115" w:type="dxa"/>
              <w:right w:w="576" w:type="dxa"/>
            </w:tcMar>
            <w:vAlign w:val="bottom"/>
          </w:tcPr>
          <w:p w14:paraId="2E029EC0" w14:textId="77777777" w:rsidR="00D8365A" w:rsidRPr="00362517" w:rsidRDefault="00D8365A" w:rsidP="00BF6BC7">
            <w:pPr>
              <w:jc w:val="right"/>
            </w:pPr>
            <w:r w:rsidRPr="00362517">
              <w:t>0.0</w:t>
            </w:r>
          </w:p>
        </w:tc>
        <w:tc>
          <w:tcPr>
            <w:tcW w:w="816" w:type="pct"/>
            <w:tcMar>
              <w:left w:w="115" w:type="dxa"/>
              <w:right w:w="576" w:type="dxa"/>
            </w:tcMar>
            <w:vAlign w:val="bottom"/>
          </w:tcPr>
          <w:p w14:paraId="3590F555" w14:textId="77777777" w:rsidR="00D8365A" w:rsidRPr="00362517" w:rsidRDefault="00D8365A" w:rsidP="00BF6BC7">
            <w:pPr>
              <w:jc w:val="right"/>
            </w:pPr>
            <w:r w:rsidRPr="00362517">
              <w:t>0.0</w:t>
            </w:r>
          </w:p>
        </w:tc>
      </w:tr>
      <w:tr w:rsidR="00D8365A" w:rsidRPr="00362517" w14:paraId="0EB6E643" w14:textId="77777777" w:rsidTr="007A2164">
        <w:tc>
          <w:tcPr>
            <w:tcW w:w="1056" w:type="pct"/>
          </w:tcPr>
          <w:p w14:paraId="1ACBA929" w14:textId="77777777" w:rsidR="00D8365A" w:rsidRPr="00362517" w:rsidRDefault="00D8365A" w:rsidP="00BF6BC7">
            <w:pPr>
              <w:pStyle w:val="BodyText"/>
            </w:pPr>
            <w:r w:rsidRPr="00362517">
              <w:t>Montana</w:t>
            </w:r>
          </w:p>
        </w:tc>
        <w:tc>
          <w:tcPr>
            <w:tcW w:w="789" w:type="pct"/>
            <w:tcMar>
              <w:left w:w="115" w:type="dxa"/>
              <w:right w:w="576" w:type="dxa"/>
            </w:tcMar>
            <w:vAlign w:val="bottom"/>
          </w:tcPr>
          <w:p w14:paraId="1225538D" w14:textId="77777777" w:rsidR="00D8365A" w:rsidRPr="00362517" w:rsidRDefault="00D8365A" w:rsidP="00BF6BC7">
            <w:pPr>
              <w:jc w:val="right"/>
            </w:pPr>
            <w:r w:rsidRPr="00362517">
              <w:t>1.0</w:t>
            </w:r>
          </w:p>
        </w:tc>
        <w:tc>
          <w:tcPr>
            <w:tcW w:w="751" w:type="pct"/>
            <w:tcMar>
              <w:left w:w="115" w:type="dxa"/>
              <w:right w:w="576" w:type="dxa"/>
            </w:tcMar>
            <w:vAlign w:val="bottom"/>
          </w:tcPr>
          <w:p w14:paraId="3D0310E7" w14:textId="77777777" w:rsidR="00D8365A" w:rsidRPr="00362517" w:rsidRDefault="00D8365A" w:rsidP="00BF6BC7">
            <w:pPr>
              <w:jc w:val="right"/>
            </w:pPr>
            <w:r w:rsidRPr="00362517">
              <w:t>0.5</w:t>
            </w:r>
          </w:p>
        </w:tc>
        <w:tc>
          <w:tcPr>
            <w:tcW w:w="826" w:type="pct"/>
            <w:tcMar>
              <w:left w:w="115" w:type="dxa"/>
              <w:right w:w="576" w:type="dxa"/>
            </w:tcMar>
            <w:vAlign w:val="bottom"/>
          </w:tcPr>
          <w:p w14:paraId="39AC4F1A" w14:textId="77777777" w:rsidR="00D8365A" w:rsidRPr="00362517" w:rsidRDefault="00D8365A" w:rsidP="00BF6BC7">
            <w:pPr>
              <w:jc w:val="right"/>
            </w:pPr>
            <w:r w:rsidRPr="00362517">
              <w:t>0.5</w:t>
            </w:r>
          </w:p>
        </w:tc>
        <w:tc>
          <w:tcPr>
            <w:tcW w:w="762" w:type="pct"/>
            <w:tcMar>
              <w:left w:w="115" w:type="dxa"/>
              <w:right w:w="576" w:type="dxa"/>
            </w:tcMar>
            <w:vAlign w:val="bottom"/>
          </w:tcPr>
          <w:p w14:paraId="2263627A" w14:textId="77777777" w:rsidR="00D8365A" w:rsidRPr="00362517" w:rsidRDefault="00D8365A" w:rsidP="00BF6BC7">
            <w:pPr>
              <w:jc w:val="right"/>
            </w:pPr>
            <w:r w:rsidRPr="00362517">
              <w:t>1.6</w:t>
            </w:r>
          </w:p>
        </w:tc>
        <w:tc>
          <w:tcPr>
            <w:tcW w:w="816" w:type="pct"/>
            <w:tcMar>
              <w:left w:w="115" w:type="dxa"/>
              <w:right w:w="576" w:type="dxa"/>
            </w:tcMar>
            <w:vAlign w:val="bottom"/>
          </w:tcPr>
          <w:p w14:paraId="59C5A77A" w14:textId="77777777" w:rsidR="00D8365A" w:rsidRPr="00362517" w:rsidRDefault="00D8365A" w:rsidP="00BF6BC7">
            <w:pPr>
              <w:jc w:val="right"/>
            </w:pPr>
            <w:r w:rsidRPr="00362517">
              <w:t>0.0</w:t>
            </w:r>
          </w:p>
        </w:tc>
      </w:tr>
      <w:tr w:rsidR="00D8365A" w:rsidRPr="00362517" w14:paraId="5744D1E1" w14:textId="77777777" w:rsidTr="007A2164">
        <w:tc>
          <w:tcPr>
            <w:tcW w:w="1056" w:type="pct"/>
          </w:tcPr>
          <w:p w14:paraId="19AC643F" w14:textId="77777777" w:rsidR="00D8365A" w:rsidRPr="00362517" w:rsidRDefault="00D8365A" w:rsidP="00BF6BC7">
            <w:pPr>
              <w:pStyle w:val="BodyText"/>
            </w:pPr>
            <w:r w:rsidRPr="00362517">
              <w:t>Nebraska</w:t>
            </w:r>
            <w:r w:rsidRPr="00362517">
              <w:rPr>
                <w:rFonts w:cs="Times New Roman"/>
                <w:sz w:val="22"/>
                <w:szCs w:val="22"/>
                <w:vertAlign w:val="superscript"/>
              </w:rPr>
              <w:t xml:space="preserve"> 3</w:t>
            </w:r>
          </w:p>
        </w:tc>
        <w:tc>
          <w:tcPr>
            <w:tcW w:w="789" w:type="pct"/>
            <w:tcMar>
              <w:left w:w="115" w:type="dxa"/>
              <w:right w:w="576" w:type="dxa"/>
            </w:tcMar>
            <w:vAlign w:val="bottom"/>
          </w:tcPr>
          <w:p w14:paraId="058E7871" w14:textId="77777777" w:rsidR="00D8365A" w:rsidRPr="00362517" w:rsidRDefault="00D8365A" w:rsidP="00BF6BC7">
            <w:pPr>
              <w:jc w:val="right"/>
            </w:pPr>
            <w:r w:rsidRPr="00362517">
              <w:t>0.0</w:t>
            </w:r>
          </w:p>
        </w:tc>
        <w:tc>
          <w:tcPr>
            <w:tcW w:w="751" w:type="pct"/>
            <w:tcMar>
              <w:left w:w="115" w:type="dxa"/>
              <w:right w:w="576" w:type="dxa"/>
            </w:tcMar>
            <w:vAlign w:val="bottom"/>
          </w:tcPr>
          <w:p w14:paraId="45AF3954" w14:textId="77777777" w:rsidR="00D8365A" w:rsidRPr="00362517" w:rsidRDefault="00D8365A" w:rsidP="00BF6BC7">
            <w:pPr>
              <w:jc w:val="right"/>
            </w:pPr>
            <w:r w:rsidRPr="00362517">
              <w:t>4.9</w:t>
            </w:r>
          </w:p>
        </w:tc>
        <w:tc>
          <w:tcPr>
            <w:tcW w:w="826" w:type="pct"/>
            <w:tcMar>
              <w:left w:w="115" w:type="dxa"/>
              <w:right w:w="576" w:type="dxa"/>
            </w:tcMar>
            <w:vAlign w:val="bottom"/>
          </w:tcPr>
          <w:p w14:paraId="6E3720C8" w14:textId="77777777" w:rsidR="00D8365A" w:rsidRPr="00362517" w:rsidRDefault="00D8365A" w:rsidP="00BF6BC7">
            <w:pPr>
              <w:jc w:val="right"/>
            </w:pPr>
            <w:r w:rsidRPr="00362517">
              <w:t>0.0</w:t>
            </w:r>
          </w:p>
        </w:tc>
        <w:tc>
          <w:tcPr>
            <w:tcW w:w="762" w:type="pct"/>
            <w:tcMar>
              <w:left w:w="115" w:type="dxa"/>
              <w:right w:w="576" w:type="dxa"/>
            </w:tcMar>
            <w:vAlign w:val="bottom"/>
          </w:tcPr>
          <w:p w14:paraId="53F18D9E" w14:textId="77777777" w:rsidR="00D8365A" w:rsidRPr="00362517" w:rsidRDefault="00D8365A" w:rsidP="00BF6BC7">
            <w:pPr>
              <w:jc w:val="right"/>
            </w:pPr>
            <w:r w:rsidRPr="00362517">
              <w:t>3.1</w:t>
            </w:r>
          </w:p>
        </w:tc>
        <w:tc>
          <w:tcPr>
            <w:tcW w:w="816" w:type="pct"/>
            <w:tcMar>
              <w:left w:w="115" w:type="dxa"/>
              <w:right w:w="576" w:type="dxa"/>
            </w:tcMar>
            <w:vAlign w:val="bottom"/>
          </w:tcPr>
          <w:p w14:paraId="74D2D511" w14:textId="77777777" w:rsidR="00D8365A" w:rsidRPr="00362517" w:rsidRDefault="00D8365A" w:rsidP="00BF6BC7">
            <w:pPr>
              <w:jc w:val="right"/>
            </w:pPr>
            <w:r w:rsidRPr="00362517">
              <w:t>0.0</w:t>
            </w:r>
          </w:p>
        </w:tc>
      </w:tr>
      <w:tr w:rsidR="00D8365A" w:rsidRPr="00362517" w14:paraId="65DFAEBB" w14:textId="77777777" w:rsidTr="007A2164">
        <w:tc>
          <w:tcPr>
            <w:tcW w:w="1056" w:type="pct"/>
          </w:tcPr>
          <w:p w14:paraId="06348360" w14:textId="77777777" w:rsidR="00D8365A" w:rsidRPr="00362517" w:rsidRDefault="00D8365A" w:rsidP="00BF6BC7">
            <w:pPr>
              <w:pStyle w:val="BodyText"/>
            </w:pPr>
            <w:r w:rsidRPr="00362517">
              <w:t>Nevada</w:t>
            </w:r>
          </w:p>
        </w:tc>
        <w:tc>
          <w:tcPr>
            <w:tcW w:w="789" w:type="pct"/>
            <w:tcMar>
              <w:left w:w="115" w:type="dxa"/>
              <w:right w:w="576" w:type="dxa"/>
            </w:tcMar>
            <w:vAlign w:val="bottom"/>
          </w:tcPr>
          <w:p w14:paraId="27A0BD2A" w14:textId="77777777" w:rsidR="00D8365A" w:rsidRPr="00362517" w:rsidRDefault="00D8365A" w:rsidP="00BF6BC7">
            <w:pPr>
              <w:jc w:val="right"/>
            </w:pPr>
            <w:r w:rsidRPr="00362517">
              <w:t>0.0</w:t>
            </w:r>
          </w:p>
        </w:tc>
        <w:tc>
          <w:tcPr>
            <w:tcW w:w="751" w:type="pct"/>
            <w:tcMar>
              <w:left w:w="115" w:type="dxa"/>
              <w:right w:w="576" w:type="dxa"/>
            </w:tcMar>
            <w:vAlign w:val="bottom"/>
          </w:tcPr>
          <w:p w14:paraId="5C85AC14" w14:textId="77777777" w:rsidR="00D8365A" w:rsidRPr="00362517" w:rsidRDefault="00D8365A" w:rsidP="00BF6BC7">
            <w:pPr>
              <w:jc w:val="right"/>
            </w:pPr>
            <w:r w:rsidRPr="00362517">
              <w:t>0.1</w:t>
            </w:r>
          </w:p>
        </w:tc>
        <w:tc>
          <w:tcPr>
            <w:tcW w:w="826" w:type="pct"/>
            <w:tcMar>
              <w:left w:w="115" w:type="dxa"/>
              <w:right w:w="576" w:type="dxa"/>
            </w:tcMar>
            <w:vAlign w:val="bottom"/>
          </w:tcPr>
          <w:p w14:paraId="0F276179" w14:textId="77777777" w:rsidR="00D8365A" w:rsidRPr="00362517" w:rsidRDefault="00D8365A" w:rsidP="00BF6BC7">
            <w:pPr>
              <w:jc w:val="right"/>
            </w:pPr>
            <w:r w:rsidRPr="00362517">
              <w:t>0.0</w:t>
            </w:r>
          </w:p>
        </w:tc>
        <w:tc>
          <w:tcPr>
            <w:tcW w:w="762" w:type="pct"/>
            <w:tcMar>
              <w:left w:w="115" w:type="dxa"/>
              <w:right w:w="576" w:type="dxa"/>
            </w:tcMar>
            <w:vAlign w:val="bottom"/>
          </w:tcPr>
          <w:p w14:paraId="74D30924" w14:textId="77777777" w:rsidR="00D8365A" w:rsidRPr="00362517" w:rsidRDefault="00D8365A" w:rsidP="00BF6BC7">
            <w:pPr>
              <w:jc w:val="right"/>
            </w:pPr>
            <w:r w:rsidRPr="00362517">
              <w:t>0.1</w:t>
            </w:r>
          </w:p>
        </w:tc>
        <w:tc>
          <w:tcPr>
            <w:tcW w:w="816" w:type="pct"/>
            <w:tcMar>
              <w:left w:w="115" w:type="dxa"/>
              <w:right w:w="576" w:type="dxa"/>
            </w:tcMar>
            <w:vAlign w:val="bottom"/>
          </w:tcPr>
          <w:p w14:paraId="5F128E08" w14:textId="77777777" w:rsidR="00D8365A" w:rsidRPr="00362517" w:rsidRDefault="00D8365A" w:rsidP="00BF6BC7">
            <w:pPr>
              <w:jc w:val="right"/>
            </w:pPr>
            <w:r w:rsidRPr="00362517">
              <w:t>0.0</w:t>
            </w:r>
          </w:p>
        </w:tc>
      </w:tr>
      <w:tr w:rsidR="00D8365A" w:rsidRPr="00362517" w14:paraId="38060A07" w14:textId="77777777" w:rsidTr="007A2164">
        <w:tc>
          <w:tcPr>
            <w:tcW w:w="1056" w:type="pct"/>
          </w:tcPr>
          <w:p w14:paraId="513F365E" w14:textId="77777777" w:rsidR="00D8365A" w:rsidRPr="00362517" w:rsidRDefault="00D8365A" w:rsidP="00BF6BC7">
            <w:pPr>
              <w:pStyle w:val="BodyText"/>
            </w:pPr>
            <w:r w:rsidRPr="00362517">
              <w:t>New Hampshire</w:t>
            </w:r>
            <w:r w:rsidRPr="00362517">
              <w:rPr>
                <w:rFonts w:cs="Times New Roman"/>
                <w:sz w:val="22"/>
                <w:szCs w:val="22"/>
                <w:vertAlign w:val="superscript"/>
              </w:rPr>
              <w:t xml:space="preserve"> 1</w:t>
            </w:r>
          </w:p>
        </w:tc>
        <w:tc>
          <w:tcPr>
            <w:tcW w:w="789" w:type="pct"/>
            <w:tcMar>
              <w:left w:w="115" w:type="dxa"/>
              <w:right w:w="576" w:type="dxa"/>
            </w:tcMar>
            <w:vAlign w:val="bottom"/>
          </w:tcPr>
          <w:p w14:paraId="01158659" w14:textId="77777777" w:rsidR="00D8365A" w:rsidRPr="00362517" w:rsidRDefault="00D8365A" w:rsidP="00BF6BC7">
            <w:pPr>
              <w:jc w:val="right"/>
            </w:pPr>
            <w:r w:rsidRPr="00362517">
              <w:t>0.0</w:t>
            </w:r>
          </w:p>
        </w:tc>
        <w:tc>
          <w:tcPr>
            <w:tcW w:w="751" w:type="pct"/>
            <w:tcMar>
              <w:left w:w="115" w:type="dxa"/>
              <w:right w:w="576" w:type="dxa"/>
            </w:tcMar>
            <w:vAlign w:val="bottom"/>
          </w:tcPr>
          <w:p w14:paraId="31CFC1C6" w14:textId="77777777" w:rsidR="00D8365A" w:rsidRPr="00362517" w:rsidRDefault="00D8365A" w:rsidP="00BF6BC7">
            <w:pPr>
              <w:jc w:val="right"/>
            </w:pPr>
            <w:r w:rsidRPr="00362517">
              <w:t>0.0</w:t>
            </w:r>
          </w:p>
        </w:tc>
        <w:tc>
          <w:tcPr>
            <w:tcW w:w="826" w:type="pct"/>
            <w:tcMar>
              <w:left w:w="115" w:type="dxa"/>
              <w:right w:w="576" w:type="dxa"/>
            </w:tcMar>
            <w:vAlign w:val="bottom"/>
          </w:tcPr>
          <w:p w14:paraId="0A49A0AD" w14:textId="77777777" w:rsidR="00D8365A" w:rsidRPr="00362517" w:rsidRDefault="00D8365A" w:rsidP="00BF6BC7">
            <w:pPr>
              <w:jc w:val="right"/>
            </w:pPr>
            <w:r w:rsidRPr="00362517">
              <w:t>0.0</w:t>
            </w:r>
          </w:p>
        </w:tc>
        <w:tc>
          <w:tcPr>
            <w:tcW w:w="762" w:type="pct"/>
            <w:tcMar>
              <w:left w:w="115" w:type="dxa"/>
              <w:right w:w="576" w:type="dxa"/>
            </w:tcMar>
            <w:vAlign w:val="bottom"/>
          </w:tcPr>
          <w:p w14:paraId="45A5C05C" w14:textId="77777777" w:rsidR="00D8365A" w:rsidRPr="00362517" w:rsidRDefault="00D8365A" w:rsidP="00BF6BC7">
            <w:pPr>
              <w:jc w:val="right"/>
            </w:pPr>
            <w:r w:rsidRPr="00362517">
              <w:t>0.0</w:t>
            </w:r>
          </w:p>
        </w:tc>
        <w:tc>
          <w:tcPr>
            <w:tcW w:w="816" w:type="pct"/>
            <w:tcMar>
              <w:left w:w="115" w:type="dxa"/>
              <w:right w:w="576" w:type="dxa"/>
            </w:tcMar>
            <w:vAlign w:val="bottom"/>
          </w:tcPr>
          <w:p w14:paraId="02D171C3" w14:textId="77777777" w:rsidR="00D8365A" w:rsidRPr="00362517" w:rsidRDefault="00D8365A" w:rsidP="00BF6BC7">
            <w:pPr>
              <w:jc w:val="right"/>
            </w:pPr>
            <w:r w:rsidRPr="00362517">
              <w:t>0.0</w:t>
            </w:r>
          </w:p>
        </w:tc>
      </w:tr>
      <w:tr w:rsidR="00D8365A" w:rsidRPr="00362517" w14:paraId="21277E2F" w14:textId="77777777" w:rsidTr="007A2164">
        <w:tc>
          <w:tcPr>
            <w:tcW w:w="1056" w:type="pct"/>
          </w:tcPr>
          <w:p w14:paraId="5ABB6D42" w14:textId="77777777" w:rsidR="00D8365A" w:rsidRPr="00362517" w:rsidRDefault="00D8365A" w:rsidP="00BF6BC7">
            <w:pPr>
              <w:pStyle w:val="BodyText"/>
            </w:pPr>
            <w:r w:rsidRPr="00362517">
              <w:t>New Jersey</w:t>
            </w:r>
            <w:r w:rsidRPr="00362517">
              <w:rPr>
                <w:rFonts w:cs="Times New Roman"/>
                <w:sz w:val="22"/>
                <w:szCs w:val="22"/>
                <w:vertAlign w:val="superscript"/>
              </w:rPr>
              <w:t xml:space="preserve"> 1</w:t>
            </w:r>
          </w:p>
        </w:tc>
        <w:tc>
          <w:tcPr>
            <w:tcW w:w="789" w:type="pct"/>
            <w:tcMar>
              <w:left w:w="115" w:type="dxa"/>
              <w:right w:w="576" w:type="dxa"/>
            </w:tcMar>
            <w:vAlign w:val="bottom"/>
          </w:tcPr>
          <w:p w14:paraId="635B6F17" w14:textId="77777777" w:rsidR="00D8365A" w:rsidRPr="00362517" w:rsidRDefault="00D8365A" w:rsidP="00BF6BC7">
            <w:pPr>
              <w:jc w:val="right"/>
            </w:pPr>
            <w:r w:rsidRPr="00362517">
              <w:t>0.0</w:t>
            </w:r>
          </w:p>
        </w:tc>
        <w:tc>
          <w:tcPr>
            <w:tcW w:w="751" w:type="pct"/>
            <w:tcMar>
              <w:left w:w="115" w:type="dxa"/>
              <w:right w:w="576" w:type="dxa"/>
            </w:tcMar>
            <w:vAlign w:val="bottom"/>
          </w:tcPr>
          <w:p w14:paraId="45C1B7B2" w14:textId="77777777" w:rsidR="00D8365A" w:rsidRPr="00362517" w:rsidRDefault="00D8365A" w:rsidP="00BF6BC7">
            <w:pPr>
              <w:jc w:val="right"/>
            </w:pPr>
            <w:r w:rsidRPr="00362517">
              <w:t>0.0</w:t>
            </w:r>
          </w:p>
        </w:tc>
        <w:tc>
          <w:tcPr>
            <w:tcW w:w="826" w:type="pct"/>
            <w:tcMar>
              <w:left w:w="115" w:type="dxa"/>
              <w:right w:w="576" w:type="dxa"/>
            </w:tcMar>
            <w:vAlign w:val="bottom"/>
          </w:tcPr>
          <w:p w14:paraId="33B1088C" w14:textId="77777777" w:rsidR="00D8365A" w:rsidRPr="00362517" w:rsidRDefault="00D8365A" w:rsidP="00BF6BC7">
            <w:pPr>
              <w:jc w:val="right"/>
            </w:pPr>
            <w:r w:rsidRPr="00362517">
              <w:t>0.0</w:t>
            </w:r>
          </w:p>
        </w:tc>
        <w:tc>
          <w:tcPr>
            <w:tcW w:w="762" w:type="pct"/>
            <w:tcMar>
              <w:left w:w="115" w:type="dxa"/>
              <w:right w:w="576" w:type="dxa"/>
            </w:tcMar>
            <w:vAlign w:val="bottom"/>
          </w:tcPr>
          <w:p w14:paraId="29A1B761" w14:textId="77777777" w:rsidR="00D8365A" w:rsidRPr="00362517" w:rsidRDefault="00D8365A" w:rsidP="00BF6BC7">
            <w:pPr>
              <w:jc w:val="right"/>
            </w:pPr>
            <w:r w:rsidRPr="00362517">
              <w:t>0.0</w:t>
            </w:r>
          </w:p>
        </w:tc>
        <w:tc>
          <w:tcPr>
            <w:tcW w:w="816" w:type="pct"/>
            <w:tcMar>
              <w:left w:w="115" w:type="dxa"/>
              <w:right w:w="576" w:type="dxa"/>
            </w:tcMar>
            <w:vAlign w:val="bottom"/>
          </w:tcPr>
          <w:p w14:paraId="3C04D9E2" w14:textId="77777777" w:rsidR="00D8365A" w:rsidRPr="00362517" w:rsidRDefault="00D8365A" w:rsidP="00BF6BC7">
            <w:pPr>
              <w:jc w:val="right"/>
            </w:pPr>
            <w:r w:rsidRPr="00362517">
              <w:t>0.0</w:t>
            </w:r>
          </w:p>
        </w:tc>
      </w:tr>
      <w:tr w:rsidR="00D8365A" w:rsidRPr="00362517" w14:paraId="09A13894" w14:textId="77777777" w:rsidTr="007A2164">
        <w:tc>
          <w:tcPr>
            <w:tcW w:w="1056" w:type="pct"/>
          </w:tcPr>
          <w:p w14:paraId="032084B4" w14:textId="77777777" w:rsidR="00D8365A" w:rsidRPr="00362517" w:rsidRDefault="00D8365A" w:rsidP="00BF6BC7">
            <w:pPr>
              <w:pStyle w:val="BodyText"/>
            </w:pPr>
            <w:r w:rsidRPr="00362517">
              <w:t>New Mexico</w:t>
            </w:r>
          </w:p>
        </w:tc>
        <w:tc>
          <w:tcPr>
            <w:tcW w:w="789" w:type="pct"/>
            <w:tcMar>
              <w:left w:w="115" w:type="dxa"/>
              <w:right w:w="576" w:type="dxa"/>
            </w:tcMar>
            <w:vAlign w:val="bottom"/>
          </w:tcPr>
          <w:p w14:paraId="118FA6A4" w14:textId="77777777" w:rsidR="00D8365A" w:rsidRPr="00362517" w:rsidRDefault="00D8365A" w:rsidP="00BF6BC7">
            <w:pPr>
              <w:jc w:val="right"/>
            </w:pPr>
            <w:r w:rsidRPr="00362517">
              <w:t>1.7</w:t>
            </w:r>
          </w:p>
        </w:tc>
        <w:tc>
          <w:tcPr>
            <w:tcW w:w="751" w:type="pct"/>
            <w:tcMar>
              <w:left w:w="115" w:type="dxa"/>
              <w:right w:w="576" w:type="dxa"/>
            </w:tcMar>
            <w:vAlign w:val="bottom"/>
          </w:tcPr>
          <w:p w14:paraId="4EF88C5D" w14:textId="77777777" w:rsidR="00D8365A" w:rsidRPr="00362517" w:rsidRDefault="00D8365A" w:rsidP="00BF6BC7">
            <w:pPr>
              <w:jc w:val="right"/>
            </w:pPr>
            <w:r w:rsidRPr="00362517">
              <w:t>1.0</w:t>
            </w:r>
          </w:p>
        </w:tc>
        <w:tc>
          <w:tcPr>
            <w:tcW w:w="826" w:type="pct"/>
            <w:tcMar>
              <w:left w:w="115" w:type="dxa"/>
              <w:right w:w="576" w:type="dxa"/>
            </w:tcMar>
            <w:vAlign w:val="bottom"/>
          </w:tcPr>
          <w:p w14:paraId="302DB1C4" w14:textId="77777777" w:rsidR="00D8365A" w:rsidRPr="00362517" w:rsidRDefault="00D8365A" w:rsidP="00BF6BC7">
            <w:pPr>
              <w:jc w:val="right"/>
            </w:pPr>
            <w:r w:rsidRPr="00362517">
              <w:t>0.9</w:t>
            </w:r>
          </w:p>
        </w:tc>
        <w:tc>
          <w:tcPr>
            <w:tcW w:w="762" w:type="pct"/>
            <w:tcMar>
              <w:left w:w="115" w:type="dxa"/>
              <w:right w:w="576" w:type="dxa"/>
            </w:tcMar>
            <w:vAlign w:val="bottom"/>
          </w:tcPr>
          <w:p w14:paraId="640967D8" w14:textId="77777777" w:rsidR="00D8365A" w:rsidRPr="00362517" w:rsidRDefault="00D8365A" w:rsidP="00BF6BC7">
            <w:pPr>
              <w:jc w:val="right"/>
            </w:pPr>
            <w:r w:rsidRPr="00362517">
              <w:t>2.8</w:t>
            </w:r>
          </w:p>
        </w:tc>
        <w:tc>
          <w:tcPr>
            <w:tcW w:w="816" w:type="pct"/>
            <w:tcMar>
              <w:left w:w="115" w:type="dxa"/>
              <w:right w:w="576" w:type="dxa"/>
            </w:tcMar>
            <w:vAlign w:val="bottom"/>
          </w:tcPr>
          <w:p w14:paraId="57E1B9C9" w14:textId="77777777" w:rsidR="00D8365A" w:rsidRPr="00362517" w:rsidRDefault="00D8365A" w:rsidP="00BF6BC7">
            <w:pPr>
              <w:jc w:val="right"/>
            </w:pPr>
            <w:r w:rsidRPr="00362517">
              <w:t>0.0</w:t>
            </w:r>
          </w:p>
        </w:tc>
      </w:tr>
      <w:tr w:rsidR="00D8365A" w:rsidRPr="00362517" w14:paraId="6126B5BA" w14:textId="77777777" w:rsidTr="007A2164">
        <w:tc>
          <w:tcPr>
            <w:tcW w:w="1056" w:type="pct"/>
          </w:tcPr>
          <w:p w14:paraId="0904301B" w14:textId="77777777" w:rsidR="00D8365A" w:rsidRPr="00362517" w:rsidRDefault="00D8365A" w:rsidP="00BF6BC7">
            <w:pPr>
              <w:pStyle w:val="BodyText"/>
            </w:pPr>
            <w:r w:rsidRPr="00362517">
              <w:t>New York</w:t>
            </w:r>
            <w:r w:rsidRPr="00362517">
              <w:rPr>
                <w:rFonts w:cs="Times New Roman"/>
                <w:sz w:val="22"/>
                <w:szCs w:val="22"/>
                <w:vertAlign w:val="superscript"/>
              </w:rPr>
              <w:t xml:space="preserve"> 2</w:t>
            </w:r>
          </w:p>
        </w:tc>
        <w:tc>
          <w:tcPr>
            <w:tcW w:w="789" w:type="pct"/>
            <w:tcMar>
              <w:left w:w="115" w:type="dxa"/>
              <w:right w:w="576" w:type="dxa"/>
            </w:tcMar>
            <w:vAlign w:val="bottom"/>
          </w:tcPr>
          <w:p w14:paraId="00B620FA" w14:textId="77777777" w:rsidR="00D8365A" w:rsidRPr="00362517" w:rsidRDefault="00D8365A" w:rsidP="00BF6BC7">
            <w:pPr>
              <w:jc w:val="right"/>
            </w:pPr>
            <w:r w:rsidRPr="00362517">
              <w:t>0.0</w:t>
            </w:r>
          </w:p>
        </w:tc>
        <w:tc>
          <w:tcPr>
            <w:tcW w:w="751" w:type="pct"/>
            <w:tcMar>
              <w:left w:w="115" w:type="dxa"/>
              <w:right w:w="576" w:type="dxa"/>
            </w:tcMar>
            <w:vAlign w:val="bottom"/>
          </w:tcPr>
          <w:p w14:paraId="661BCDE4" w14:textId="77777777" w:rsidR="00D8365A" w:rsidRPr="00362517" w:rsidRDefault="00D8365A" w:rsidP="00BF6BC7">
            <w:pPr>
              <w:jc w:val="right"/>
            </w:pPr>
            <w:r w:rsidRPr="00362517">
              <w:t>1.9</w:t>
            </w:r>
          </w:p>
        </w:tc>
        <w:tc>
          <w:tcPr>
            <w:tcW w:w="826" w:type="pct"/>
            <w:tcMar>
              <w:left w:w="115" w:type="dxa"/>
              <w:right w:w="576" w:type="dxa"/>
            </w:tcMar>
            <w:vAlign w:val="bottom"/>
          </w:tcPr>
          <w:p w14:paraId="53B69113" w14:textId="77777777" w:rsidR="00D8365A" w:rsidRPr="00362517" w:rsidRDefault="00D8365A" w:rsidP="00BF6BC7">
            <w:pPr>
              <w:jc w:val="right"/>
            </w:pPr>
            <w:r w:rsidRPr="00362517">
              <w:t>0.0</w:t>
            </w:r>
          </w:p>
        </w:tc>
        <w:tc>
          <w:tcPr>
            <w:tcW w:w="762" w:type="pct"/>
            <w:tcMar>
              <w:left w:w="115" w:type="dxa"/>
              <w:right w:w="576" w:type="dxa"/>
            </w:tcMar>
            <w:vAlign w:val="bottom"/>
          </w:tcPr>
          <w:p w14:paraId="1DE864C4" w14:textId="77777777" w:rsidR="00D8365A" w:rsidRPr="00362517" w:rsidRDefault="00D8365A" w:rsidP="00BF6BC7">
            <w:pPr>
              <w:jc w:val="right"/>
            </w:pPr>
            <w:r w:rsidRPr="00362517">
              <w:t>0.0</w:t>
            </w:r>
          </w:p>
        </w:tc>
        <w:tc>
          <w:tcPr>
            <w:tcW w:w="816" w:type="pct"/>
            <w:tcMar>
              <w:left w:w="115" w:type="dxa"/>
              <w:right w:w="576" w:type="dxa"/>
            </w:tcMar>
            <w:vAlign w:val="bottom"/>
          </w:tcPr>
          <w:p w14:paraId="776E6507" w14:textId="77777777" w:rsidR="00D8365A" w:rsidRPr="00362517" w:rsidRDefault="00D8365A" w:rsidP="00BF6BC7">
            <w:pPr>
              <w:jc w:val="right"/>
            </w:pPr>
            <w:r w:rsidRPr="00362517">
              <w:t>0.0</w:t>
            </w:r>
          </w:p>
        </w:tc>
      </w:tr>
      <w:tr w:rsidR="00D8365A" w:rsidRPr="00362517" w14:paraId="4F312265" w14:textId="77777777" w:rsidTr="007A2164">
        <w:tc>
          <w:tcPr>
            <w:tcW w:w="1056" w:type="pct"/>
          </w:tcPr>
          <w:p w14:paraId="251687E6" w14:textId="77777777" w:rsidR="00D8365A" w:rsidRPr="00362517" w:rsidRDefault="00D8365A" w:rsidP="00BF6BC7">
            <w:pPr>
              <w:pStyle w:val="BodyText"/>
            </w:pPr>
            <w:r w:rsidRPr="00362517">
              <w:t>North Carolina</w:t>
            </w:r>
            <w:r w:rsidRPr="00362517">
              <w:rPr>
                <w:rFonts w:cs="Times New Roman"/>
                <w:sz w:val="22"/>
                <w:szCs w:val="22"/>
                <w:vertAlign w:val="superscript"/>
              </w:rPr>
              <w:t xml:space="preserve"> 3</w:t>
            </w:r>
          </w:p>
        </w:tc>
        <w:tc>
          <w:tcPr>
            <w:tcW w:w="789" w:type="pct"/>
            <w:tcMar>
              <w:left w:w="115" w:type="dxa"/>
              <w:right w:w="576" w:type="dxa"/>
            </w:tcMar>
            <w:vAlign w:val="bottom"/>
          </w:tcPr>
          <w:p w14:paraId="6C684889" w14:textId="77777777" w:rsidR="00D8365A" w:rsidRPr="00362517" w:rsidRDefault="00D8365A" w:rsidP="00BF6BC7">
            <w:pPr>
              <w:jc w:val="right"/>
            </w:pPr>
            <w:r w:rsidRPr="00362517">
              <w:t>0.0</w:t>
            </w:r>
          </w:p>
        </w:tc>
        <w:tc>
          <w:tcPr>
            <w:tcW w:w="751" w:type="pct"/>
            <w:tcMar>
              <w:left w:w="115" w:type="dxa"/>
              <w:right w:w="576" w:type="dxa"/>
            </w:tcMar>
            <w:vAlign w:val="bottom"/>
          </w:tcPr>
          <w:p w14:paraId="77B3A2A2" w14:textId="77777777" w:rsidR="00D8365A" w:rsidRPr="00362517" w:rsidRDefault="00D8365A" w:rsidP="00BF6BC7">
            <w:pPr>
              <w:jc w:val="right"/>
            </w:pPr>
            <w:r w:rsidRPr="00362517">
              <w:t>2.4</w:t>
            </w:r>
          </w:p>
        </w:tc>
        <w:tc>
          <w:tcPr>
            <w:tcW w:w="826" w:type="pct"/>
            <w:tcMar>
              <w:left w:w="115" w:type="dxa"/>
              <w:right w:w="576" w:type="dxa"/>
            </w:tcMar>
            <w:vAlign w:val="bottom"/>
          </w:tcPr>
          <w:p w14:paraId="41730C39" w14:textId="77777777" w:rsidR="00D8365A" w:rsidRPr="00362517" w:rsidRDefault="00D8365A" w:rsidP="00BF6BC7">
            <w:pPr>
              <w:jc w:val="right"/>
            </w:pPr>
            <w:r w:rsidRPr="00362517">
              <w:t>0.0</w:t>
            </w:r>
          </w:p>
        </w:tc>
        <w:tc>
          <w:tcPr>
            <w:tcW w:w="762" w:type="pct"/>
            <w:tcMar>
              <w:left w:w="115" w:type="dxa"/>
              <w:right w:w="576" w:type="dxa"/>
            </w:tcMar>
            <w:vAlign w:val="bottom"/>
          </w:tcPr>
          <w:p w14:paraId="75A8CBC8" w14:textId="77777777" w:rsidR="00D8365A" w:rsidRPr="00362517" w:rsidRDefault="00D8365A" w:rsidP="00BF6BC7">
            <w:pPr>
              <w:jc w:val="right"/>
            </w:pPr>
            <w:r w:rsidRPr="00362517">
              <w:t>1.5</w:t>
            </w:r>
          </w:p>
        </w:tc>
        <w:tc>
          <w:tcPr>
            <w:tcW w:w="816" w:type="pct"/>
            <w:tcMar>
              <w:left w:w="115" w:type="dxa"/>
              <w:right w:w="576" w:type="dxa"/>
            </w:tcMar>
            <w:vAlign w:val="bottom"/>
          </w:tcPr>
          <w:p w14:paraId="679EB921" w14:textId="77777777" w:rsidR="00D8365A" w:rsidRPr="00362517" w:rsidRDefault="00D8365A" w:rsidP="00BF6BC7">
            <w:pPr>
              <w:jc w:val="right"/>
            </w:pPr>
            <w:r w:rsidRPr="00362517">
              <w:t>0.0</w:t>
            </w:r>
          </w:p>
        </w:tc>
      </w:tr>
      <w:tr w:rsidR="00D8365A" w:rsidRPr="00362517" w14:paraId="31AB0817" w14:textId="77777777" w:rsidTr="007A2164">
        <w:tc>
          <w:tcPr>
            <w:tcW w:w="1056" w:type="pct"/>
          </w:tcPr>
          <w:p w14:paraId="2B015CC0" w14:textId="77777777" w:rsidR="00D8365A" w:rsidRPr="00362517" w:rsidRDefault="00D8365A" w:rsidP="00BF6BC7">
            <w:pPr>
              <w:pStyle w:val="BodyText"/>
            </w:pPr>
            <w:r w:rsidRPr="00362517">
              <w:t>North Dakota</w:t>
            </w:r>
            <w:r w:rsidRPr="00362517">
              <w:rPr>
                <w:rFonts w:cs="Times New Roman"/>
                <w:sz w:val="22"/>
                <w:szCs w:val="22"/>
                <w:vertAlign w:val="superscript"/>
              </w:rPr>
              <w:t xml:space="preserve"> 1</w:t>
            </w:r>
          </w:p>
        </w:tc>
        <w:tc>
          <w:tcPr>
            <w:tcW w:w="789" w:type="pct"/>
            <w:tcMar>
              <w:left w:w="115" w:type="dxa"/>
              <w:right w:w="576" w:type="dxa"/>
            </w:tcMar>
            <w:vAlign w:val="bottom"/>
          </w:tcPr>
          <w:p w14:paraId="6E500657" w14:textId="77777777" w:rsidR="00D8365A" w:rsidRPr="00362517" w:rsidRDefault="00D8365A" w:rsidP="00BF6BC7">
            <w:pPr>
              <w:jc w:val="right"/>
            </w:pPr>
            <w:r w:rsidRPr="00362517">
              <w:t>0.0</w:t>
            </w:r>
          </w:p>
        </w:tc>
        <w:tc>
          <w:tcPr>
            <w:tcW w:w="751" w:type="pct"/>
            <w:tcMar>
              <w:left w:w="115" w:type="dxa"/>
              <w:right w:w="576" w:type="dxa"/>
            </w:tcMar>
            <w:vAlign w:val="bottom"/>
          </w:tcPr>
          <w:p w14:paraId="0F103A95" w14:textId="77777777" w:rsidR="00D8365A" w:rsidRPr="00362517" w:rsidRDefault="00D8365A" w:rsidP="00BF6BC7">
            <w:pPr>
              <w:jc w:val="right"/>
            </w:pPr>
            <w:r w:rsidRPr="00362517">
              <w:t>0.0</w:t>
            </w:r>
          </w:p>
        </w:tc>
        <w:tc>
          <w:tcPr>
            <w:tcW w:w="826" w:type="pct"/>
            <w:tcMar>
              <w:left w:w="115" w:type="dxa"/>
              <w:right w:w="576" w:type="dxa"/>
            </w:tcMar>
            <w:vAlign w:val="bottom"/>
          </w:tcPr>
          <w:p w14:paraId="7CA42D15" w14:textId="77777777" w:rsidR="00D8365A" w:rsidRPr="00362517" w:rsidRDefault="00D8365A" w:rsidP="00BF6BC7">
            <w:pPr>
              <w:jc w:val="right"/>
            </w:pPr>
            <w:r w:rsidRPr="00362517">
              <w:t>0.0</w:t>
            </w:r>
          </w:p>
        </w:tc>
        <w:tc>
          <w:tcPr>
            <w:tcW w:w="762" w:type="pct"/>
            <w:tcMar>
              <w:left w:w="115" w:type="dxa"/>
              <w:right w:w="576" w:type="dxa"/>
            </w:tcMar>
            <w:vAlign w:val="bottom"/>
          </w:tcPr>
          <w:p w14:paraId="41627F5B" w14:textId="77777777" w:rsidR="00D8365A" w:rsidRPr="00362517" w:rsidRDefault="00D8365A" w:rsidP="00BF6BC7">
            <w:pPr>
              <w:jc w:val="right"/>
            </w:pPr>
            <w:r w:rsidRPr="00362517">
              <w:t>0.0</w:t>
            </w:r>
          </w:p>
        </w:tc>
        <w:tc>
          <w:tcPr>
            <w:tcW w:w="816" w:type="pct"/>
            <w:tcMar>
              <w:left w:w="115" w:type="dxa"/>
              <w:right w:w="576" w:type="dxa"/>
            </w:tcMar>
            <w:vAlign w:val="bottom"/>
          </w:tcPr>
          <w:p w14:paraId="7ABCA24B" w14:textId="77777777" w:rsidR="00D8365A" w:rsidRPr="00362517" w:rsidRDefault="00D8365A" w:rsidP="00BF6BC7">
            <w:pPr>
              <w:jc w:val="right"/>
            </w:pPr>
            <w:r w:rsidRPr="00362517">
              <w:t>0.0</w:t>
            </w:r>
          </w:p>
        </w:tc>
      </w:tr>
      <w:tr w:rsidR="00D8365A" w:rsidRPr="00362517" w14:paraId="38519DEA" w14:textId="77777777" w:rsidTr="007A2164">
        <w:tc>
          <w:tcPr>
            <w:tcW w:w="1056" w:type="pct"/>
          </w:tcPr>
          <w:p w14:paraId="0962231D" w14:textId="77777777" w:rsidR="00D8365A" w:rsidRPr="00362517" w:rsidRDefault="00D8365A" w:rsidP="00BF6BC7">
            <w:pPr>
              <w:pStyle w:val="BodyText"/>
            </w:pPr>
            <w:r w:rsidRPr="00362517">
              <w:t>Ohio</w:t>
            </w:r>
          </w:p>
        </w:tc>
        <w:tc>
          <w:tcPr>
            <w:tcW w:w="789" w:type="pct"/>
            <w:tcMar>
              <w:left w:w="115" w:type="dxa"/>
              <w:right w:w="576" w:type="dxa"/>
            </w:tcMar>
            <w:vAlign w:val="bottom"/>
          </w:tcPr>
          <w:p w14:paraId="14E9D153" w14:textId="77777777" w:rsidR="00D8365A" w:rsidRPr="00362517" w:rsidRDefault="00D8365A" w:rsidP="00BF6BC7">
            <w:pPr>
              <w:jc w:val="right"/>
            </w:pPr>
            <w:r w:rsidRPr="00362517">
              <w:t>3.6</w:t>
            </w:r>
          </w:p>
        </w:tc>
        <w:tc>
          <w:tcPr>
            <w:tcW w:w="751" w:type="pct"/>
            <w:tcMar>
              <w:left w:w="115" w:type="dxa"/>
              <w:right w:w="576" w:type="dxa"/>
            </w:tcMar>
            <w:vAlign w:val="bottom"/>
          </w:tcPr>
          <w:p w14:paraId="6910230F" w14:textId="77777777" w:rsidR="00D8365A" w:rsidRPr="00362517" w:rsidRDefault="00D8365A" w:rsidP="00BF6BC7">
            <w:pPr>
              <w:jc w:val="right"/>
            </w:pPr>
            <w:r w:rsidRPr="00362517">
              <w:t>1.8</w:t>
            </w:r>
          </w:p>
        </w:tc>
        <w:tc>
          <w:tcPr>
            <w:tcW w:w="826" w:type="pct"/>
            <w:tcMar>
              <w:left w:w="115" w:type="dxa"/>
              <w:right w:w="576" w:type="dxa"/>
            </w:tcMar>
            <w:vAlign w:val="bottom"/>
          </w:tcPr>
          <w:p w14:paraId="2B1DE259" w14:textId="77777777" w:rsidR="00D8365A" w:rsidRPr="00362517" w:rsidRDefault="00D8365A" w:rsidP="00BF6BC7">
            <w:pPr>
              <w:jc w:val="right"/>
            </w:pPr>
            <w:r w:rsidRPr="00362517">
              <w:t>2.0</w:t>
            </w:r>
          </w:p>
        </w:tc>
        <w:tc>
          <w:tcPr>
            <w:tcW w:w="762" w:type="pct"/>
            <w:tcMar>
              <w:left w:w="115" w:type="dxa"/>
              <w:right w:w="576" w:type="dxa"/>
            </w:tcMar>
            <w:vAlign w:val="bottom"/>
          </w:tcPr>
          <w:p w14:paraId="34813963" w14:textId="77777777" w:rsidR="00D8365A" w:rsidRPr="00362517" w:rsidRDefault="00D8365A" w:rsidP="00BF6BC7">
            <w:pPr>
              <w:jc w:val="right"/>
            </w:pPr>
            <w:r w:rsidRPr="00362517">
              <w:t>6.2</w:t>
            </w:r>
          </w:p>
        </w:tc>
        <w:tc>
          <w:tcPr>
            <w:tcW w:w="816" w:type="pct"/>
            <w:tcMar>
              <w:left w:w="115" w:type="dxa"/>
              <w:right w:w="576" w:type="dxa"/>
            </w:tcMar>
            <w:vAlign w:val="bottom"/>
          </w:tcPr>
          <w:p w14:paraId="5C8368A0" w14:textId="77777777" w:rsidR="00D8365A" w:rsidRPr="00362517" w:rsidRDefault="00D8365A" w:rsidP="00BF6BC7">
            <w:pPr>
              <w:jc w:val="right"/>
            </w:pPr>
            <w:r w:rsidRPr="00362517">
              <w:t>0.0</w:t>
            </w:r>
          </w:p>
        </w:tc>
      </w:tr>
      <w:tr w:rsidR="00D8365A" w:rsidRPr="00362517" w14:paraId="51DAC1AB" w14:textId="77777777" w:rsidTr="007A2164">
        <w:tc>
          <w:tcPr>
            <w:tcW w:w="1056" w:type="pct"/>
          </w:tcPr>
          <w:p w14:paraId="2E23E10B" w14:textId="77777777" w:rsidR="00D8365A" w:rsidRPr="00362517" w:rsidRDefault="00D8365A" w:rsidP="00BF6BC7">
            <w:pPr>
              <w:pStyle w:val="BodyText"/>
            </w:pPr>
            <w:r w:rsidRPr="00362517">
              <w:t>Oklahoma</w:t>
            </w:r>
          </w:p>
        </w:tc>
        <w:tc>
          <w:tcPr>
            <w:tcW w:w="789" w:type="pct"/>
            <w:tcMar>
              <w:left w:w="115" w:type="dxa"/>
              <w:right w:w="576" w:type="dxa"/>
            </w:tcMar>
            <w:vAlign w:val="bottom"/>
          </w:tcPr>
          <w:p w14:paraId="317D1DF7" w14:textId="77777777" w:rsidR="00D8365A" w:rsidRPr="00362517" w:rsidRDefault="00D8365A" w:rsidP="00BF6BC7">
            <w:pPr>
              <w:jc w:val="right"/>
            </w:pPr>
            <w:r w:rsidRPr="00362517">
              <w:t>3.4</w:t>
            </w:r>
          </w:p>
        </w:tc>
        <w:tc>
          <w:tcPr>
            <w:tcW w:w="751" w:type="pct"/>
            <w:tcMar>
              <w:left w:w="115" w:type="dxa"/>
              <w:right w:w="576" w:type="dxa"/>
            </w:tcMar>
            <w:vAlign w:val="bottom"/>
          </w:tcPr>
          <w:p w14:paraId="27F364B3" w14:textId="77777777" w:rsidR="00D8365A" w:rsidRPr="00362517" w:rsidRDefault="00D8365A" w:rsidP="00BF6BC7">
            <w:pPr>
              <w:jc w:val="right"/>
            </w:pPr>
            <w:r w:rsidRPr="00362517">
              <w:t>1.8</w:t>
            </w:r>
          </w:p>
        </w:tc>
        <w:tc>
          <w:tcPr>
            <w:tcW w:w="826" w:type="pct"/>
            <w:tcMar>
              <w:left w:w="115" w:type="dxa"/>
              <w:right w:w="576" w:type="dxa"/>
            </w:tcMar>
            <w:vAlign w:val="bottom"/>
          </w:tcPr>
          <w:p w14:paraId="3F6AE3F2" w14:textId="77777777" w:rsidR="00D8365A" w:rsidRPr="00362517" w:rsidRDefault="00D8365A" w:rsidP="00BF6BC7">
            <w:pPr>
              <w:jc w:val="right"/>
            </w:pPr>
            <w:r w:rsidRPr="00362517">
              <w:t>1.9</w:t>
            </w:r>
          </w:p>
        </w:tc>
        <w:tc>
          <w:tcPr>
            <w:tcW w:w="762" w:type="pct"/>
            <w:tcMar>
              <w:left w:w="115" w:type="dxa"/>
              <w:right w:w="576" w:type="dxa"/>
            </w:tcMar>
            <w:vAlign w:val="bottom"/>
          </w:tcPr>
          <w:p w14:paraId="02B7883E" w14:textId="77777777" w:rsidR="00D8365A" w:rsidRPr="00362517" w:rsidRDefault="00D8365A" w:rsidP="00BF6BC7">
            <w:pPr>
              <w:jc w:val="right"/>
            </w:pPr>
            <w:r w:rsidRPr="00362517">
              <w:t>5.9</w:t>
            </w:r>
          </w:p>
        </w:tc>
        <w:tc>
          <w:tcPr>
            <w:tcW w:w="816" w:type="pct"/>
            <w:tcMar>
              <w:left w:w="115" w:type="dxa"/>
              <w:right w:w="576" w:type="dxa"/>
            </w:tcMar>
            <w:vAlign w:val="bottom"/>
          </w:tcPr>
          <w:p w14:paraId="55F27762" w14:textId="77777777" w:rsidR="00D8365A" w:rsidRPr="00362517" w:rsidRDefault="00D8365A" w:rsidP="00BF6BC7">
            <w:pPr>
              <w:jc w:val="right"/>
            </w:pPr>
            <w:r w:rsidRPr="00362517">
              <w:t>0.1</w:t>
            </w:r>
          </w:p>
        </w:tc>
      </w:tr>
      <w:tr w:rsidR="00D8365A" w:rsidRPr="00362517" w14:paraId="2C383B6C" w14:textId="77777777" w:rsidTr="007A2164">
        <w:tc>
          <w:tcPr>
            <w:tcW w:w="1056" w:type="pct"/>
          </w:tcPr>
          <w:p w14:paraId="5044B083" w14:textId="77777777" w:rsidR="00D8365A" w:rsidRPr="00362517" w:rsidRDefault="00D8365A" w:rsidP="00BF6BC7">
            <w:pPr>
              <w:pStyle w:val="BodyText"/>
            </w:pPr>
            <w:r w:rsidRPr="00362517">
              <w:t>Oregon</w:t>
            </w:r>
            <w:r w:rsidRPr="00362517">
              <w:rPr>
                <w:rFonts w:cs="Times New Roman"/>
                <w:sz w:val="22"/>
                <w:szCs w:val="22"/>
                <w:vertAlign w:val="superscript"/>
              </w:rPr>
              <w:t xml:space="preserve"> 1</w:t>
            </w:r>
          </w:p>
        </w:tc>
        <w:tc>
          <w:tcPr>
            <w:tcW w:w="789" w:type="pct"/>
            <w:tcMar>
              <w:left w:w="115" w:type="dxa"/>
              <w:right w:w="576" w:type="dxa"/>
            </w:tcMar>
            <w:vAlign w:val="bottom"/>
          </w:tcPr>
          <w:p w14:paraId="763460F0" w14:textId="77777777" w:rsidR="00D8365A" w:rsidRPr="00362517" w:rsidRDefault="00D8365A" w:rsidP="00BF6BC7">
            <w:pPr>
              <w:jc w:val="right"/>
            </w:pPr>
            <w:r w:rsidRPr="00362517">
              <w:t>0.0</w:t>
            </w:r>
          </w:p>
        </w:tc>
        <w:tc>
          <w:tcPr>
            <w:tcW w:w="751" w:type="pct"/>
            <w:tcMar>
              <w:left w:w="115" w:type="dxa"/>
              <w:right w:w="576" w:type="dxa"/>
            </w:tcMar>
            <w:vAlign w:val="bottom"/>
          </w:tcPr>
          <w:p w14:paraId="5277BEBD" w14:textId="77777777" w:rsidR="00D8365A" w:rsidRPr="00362517" w:rsidRDefault="00D8365A" w:rsidP="00BF6BC7">
            <w:pPr>
              <w:jc w:val="right"/>
            </w:pPr>
            <w:r w:rsidRPr="00362517">
              <w:t>0.0</w:t>
            </w:r>
          </w:p>
        </w:tc>
        <w:tc>
          <w:tcPr>
            <w:tcW w:w="826" w:type="pct"/>
            <w:tcMar>
              <w:left w:w="115" w:type="dxa"/>
              <w:right w:w="576" w:type="dxa"/>
            </w:tcMar>
            <w:vAlign w:val="bottom"/>
          </w:tcPr>
          <w:p w14:paraId="56DD33B2" w14:textId="77777777" w:rsidR="00D8365A" w:rsidRPr="00362517" w:rsidRDefault="00D8365A" w:rsidP="00BF6BC7">
            <w:pPr>
              <w:jc w:val="right"/>
            </w:pPr>
            <w:r w:rsidRPr="00362517">
              <w:t>0.0</w:t>
            </w:r>
          </w:p>
        </w:tc>
        <w:tc>
          <w:tcPr>
            <w:tcW w:w="762" w:type="pct"/>
            <w:tcMar>
              <w:left w:w="115" w:type="dxa"/>
              <w:right w:w="576" w:type="dxa"/>
            </w:tcMar>
            <w:vAlign w:val="bottom"/>
          </w:tcPr>
          <w:p w14:paraId="7F152819" w14:textId="77777777" w:rsidR="00D8365A" w:rsidRPr="00362517" w:rsidRDefault="00D8365A" w:rsidP="00BF6BC7">
            <w:pPr>
              <w:jc w:val="right"/>
            </w:pPr>
            <w:r w:rsidRPr="00362517">
              <w:t>0.0</w:t>
            </w:r>
          </w:p>
        </w:tc>
        <w:tc>
          <w:tcPr>
            <w:tcW w:w="816" w:type="pct"/>
            <w:tcMar>
              <w:left w:w="115" w:type="dxa"/>
              <w:right w:w="576" w:type="dxa"/>
            </w:tcMar>
            <w:vAlign w:val="bottom"/>
          </w:tcPr>
          <w:p w14:paraId="69B0519F" w14:textId="77777777" w:rsidR="00D8365A" w:rsidRPr="00362517" w:rsidRDefault="00D8365A" w:rsidP="00BF6BC7">
            <w:pPr>
              <w:jc w:val="right"/>
            </w:pPr>
            <w:r w:rsidRPr="00362517">
              <w:t>0.0</w:t>
            </w:r>
          </w:p>
        </w:tc>
      </w:tr>
      <w:tr w:rsidR="00D8365A" w:rsidRPr="00362517" w14:paraId="16A707A2" w14:textId="77777777" w:rsidTr="007A2164">
        <w:tc>
          <w:tcPr>
            <w:tcW w:w="1056" w:type="pct"/>
          </w:tcPr>
          <w:p w14:paraId="044C5EFA" w14:textId="77777777" w:rsidR="00D8365A" w:rsidRPr="00362517" w:rsidRDefault="00D8365A" w:rsidP="00BF6BC7">
            <w:pPr>
              <w:pStyle w:val="BodyText"/>
            </w:pPr>
            <w:r w:rsidRPr="00362517">
              <w:t>Pennsylvania</w:t>
            </w:r>
            <w:r w:rsidRPr="00362517">
              <w:rPr>
                <w:rFonts w:cs="Times New Roman"/>
                <w:sz w:val="22"/>
                <w:szCs w:val="22"/>
                <w:vertAlign w:val="superscript"/>
              </w:rPr>
              <w:t xml:space="preserve"> 3</w:t>
            </w:r>
          </w:p>
        </w:tc>
        <w:tc>
          <w:tcPr>
            <w:tcW w:w="789" w:type="pct"/>
            <w:tcMar>
              <w:left w:w="115" w:type="dxa"/>
              <w:right w:w="576" w:type="dxa"/>
            </w:tcMar>
            <w:vAlign w:val="bottom"/>
          </w:tcPr>
          <w:p w14:paraId="00E44DE7" w14:textId="77777777" w:rsidR="00D8365A" w:rsidRPr="00362517" w:rsidRDefault="00D8365A" w:rsidP="00BF6BC7">
            <w:pPr>
              <w:jc w:val="right"/>
            </w:pPr>
            <w:r w:rsidRPr="00362517">
              <w:t>0.0</w:t>
            </w:r>
          </w:p>
        </w:tc>
        <w:tc>
          <w:tcPr>
            <w:tcW w:w="751" w:type="pct"/>
            <w:tcMar>
              <w:left w:w="115" w:type="dxa"/>
              <w:right w:w="576" w:type="dxa"/>
            </w:tcMar>
            <w:vAlign w:val="bottom"/>
          </w:tcPr>
          <w:p w14:paraId="518D496B" w14:textId="77777777" w:rsidR="00D8365A" w:rsidRPr="00362517" w:rsidRDefault="00D8365A" w:rsidP="00BF6BC7">
            <w:pPr>
              <w:jc w:val="right"/>
            </w:pPr>
            <w:r w:rsidRPr="00362517">
              <w:t>4.6</w:t>
            </w:r>
          </w:p>
        </w:tc>
        <w:tc>
          <w:tcPr>
            <w:tcW w:w="826" w:type="pct"/>
            <w:tcMar>
              <w:left w:w="115" w:type="dxa"/>
              <w:right w:w="576" w:type="dxa"/>
            </w:tcMar>
            <w:vAlign w:val="bottom"/>
          </w:tcPr>
          <w:p w14:paraId="3446780C" w14:textId="77777777" w:rsidR="00D8365A" w:rsidRPr="00362517" w:rsidRDefault="00D8365A" w:rsidP="00BF6BC7">
            <w:pPr>
              <w:jc w:val="right"/>
            </w:pPr>
            <w:r w:rsidRPr="00362517">
              <w:t>0.0</w:t>
            </w:r>
          </w:p>
        </w:tc>
        <w:tc>
          <w:tcPr>
            <w:tcW w:w="762" w:type="pct"/>
            <w:tcMar>
              <w:left w:w="115" w:type="dxa"/>
              <w:right w:w="576" w:type="dxa"/>
            </w:tcMar>
            <w:vAlign w:val="bottom"/>
          </w:tcPr>
          <w:p w14:paraId="0E783210" w14:textId="77777777" w:rsidR="00D8365A" w:rsidRPr="00362517" w:rsidRDefault="00D8365A" w:rsidP="00BF6BC7">
            <w:pPr>
              <w:jc w:val="right"/>
            </w:pPr>
            <w:r w:rsidRPr="00362517">
              <w:t>2.9</w:t>
            </w:r>
          </w:p>
        </w:tc>
        <w:tc>
          <w:tcPr>
            <w:tcW w:w="816" w:type="pct"/>
            <w:tcMar>
              <w:left w:w="115" w:type="dxa"/>
              <w:right w:w="576" w:type="dxa"/>
            </w:tcMar>
            <w:vAlign w:val="bottom"/>
          </w:tcPr>
          <w:p w14:paraId="34255127" w14:textId="77777777" w:rsidR="00D8365A" w:rsidRPr="00362517" w:rsidRDefault="00D8365A" w:rsidP="00BF6BC7">
            <w:pPr>
              <w:jc w:val="right"/>
            </w:pPr>
            <w:r w:rsidRPr="00362517">
              <w:t>0.0</w:t>
            </w:r>
          </w:p>
        </w:tc>
      </w:tr>
      <w:tr w:rsidR="00D8365A" w:rsidRPr="00362517" w14:paraId="0E630075" w14:textId="77777777" w:rsidTr="007A2164">
        <w:tc>
          <w:tcPr>
            <w:tcW w:w="1056" w:type="pct"/>
          </w:tcPr>
          <w:p w14:paraId="20DC89C0" w14:textId="77777777" w:rsidR="00D8365A" w:rsidRPr="00362517" w:rsidRDefault="00D8365A" w:rsidP="00BF6BC7">
            <w:pPr>
              <w:pStyle w:val="BodyText"/>
            </w:pPr>
            <w:r w:rsidRPr="00362517">
              <w:t>Rhode Island</w:t>
            </w:r>
            <w:r w:rsidRPr="00362517">
              <w:rPr>
                <w:rFonts w:cs="Times New Roman"/>
                <w:sz w:val="22"/>
                <w:szCs w:val="22"/>
                <w:vertAlign w:val="superscript"/>
              </w:rPr>
              <w:t xml:space="preserve"> 3</w:t>
            </w:r>
          </w:p>
        </w:tc>
        <w:tc>
          <w:tcPr>
            <w:tcW w:w="789" w:type="pct"/>
            <w:tcMar>
              <w:left w:w="115" w:type="dxa"/>
              <w:right w:w="576" w:type="dxa"/>
            </w:tcMar>
            <w:vAlign w:val="bottom"/>
          </w:tcPr>
          <w:p w14:paraId="479D518F" w14:textId="77777777" w:rsidR="00D8365A" w:rsidRPr="00362517" w:rsidRDefault="00D8365A" w:rsidP="00BF6BC7">
            <w:pPr>
              <w:jc w:val="right"/>
            </w:pPr>
            <w:r w:rsidRPr="00362517">
              <w:t>0.0</w:t>
            </w:r>
          </w:p>
        </w:tc>
        <w:tc>
          <w:tcPr>
            <w:tcW w:w="751" w:type="pct"/>
            <w:tcMar>
              <w:left w:w="115" w:type="dxa"/>
              <w:right w:w="576" w:type="dxa"/>
            </w:tcMar>
            <w:vAlign w:val="bottom"/>
          </w:tcPr>
          <w:p w14:paraId="794EA75F" w14:textId="77777777" w:rsidR="00D8365A" w:rsidRPr="00362517" w:rsidRDefault="00D8365A" w:rsidP="00BF6BC7">
            <w:pPr>
              <w:jc w:val="right"/>
            </w:pPr>
            <w:r w:rsidRPr="00362517">
              <w:t>0.1</w:t>
            </w:r>
          </w:p>
        </w:tc>
        <w:tc>
          <w:tcPr>
            <w:tcW w:w="826" w:type="pct"/>
            <w:tcMar>
              <w:left w:w="115" w:type="dxa"/>
              <w:right w:w="576" w:type="dxa"/>
            </w:tcMar>
            <w:vAlign w:val="bottom"/>
          </w:tcPr>
          <w:p w14:paraId="5977F234" w14:textId="77777777" w:rsidR="00D8365A" w:rsidRPr="00362517" w:rsidRDefault="00D8365A" w:rsidP="00BF6BC7">
            <w:pPr>
              <w:jc w:val="right"/>
            </w:pPr>
            <w:r w:rsidRPr="00362517">
              <w:t>0.0</w:t>
            </w:r>
          </w:p>
        </w:tc>
        <w:tc>
          <w:tcPr>
            <w:tcW w:w="762" w:type="pct"/>
            <w:tcMar>
              <w:left w:w="115" w:type="dxa"/>
              <w:right w:w="576" w:type="dxa"/>
            </w:tcMar>
            <w:vAlign w:val="bottom"/>
          </w:tcPr>
          <w:p w14:paraId="6993971F" w14:textId="77777777" w:rsidR="00D8365A" w:rsidRPr="00362517" w:rsidRDefault="00D8365A" w:rsidP="00BF6BC7">
            <w:pPr>
              <w:jc w:val="right"/>
            </w:pPr>
            <w:r w:rsidRPr="00362517">
              <w:t>0.1</w:t>
            </w:r>
          </w:p>
        </w:tc>
        <w:tc>
          <w:tcPr>
            <w:tcW w:w="816" w:type="pct"/>
            <w:tcMar>
              <w:left w:w="115" w:type="dxa"/>
              <w:right w:w="576" w:type="dxa"/>
            </w:tcMar>
            <w:vAlign w:val="bottom"/>
          </w:tcPr>
          <w:p w14:paraId="5E195F1F" w14:textId="77777777" w:rsidR="00D8365A" w:rsidRPr="00362517" w:rsidRDefault="00D8365A" w:rsidP="00BF6BC7">
            <w:pPr>
              <w:jc w:val="right"/>
            </w:pPr>
            <w:r w:rsidRPr="00362517">
              <w:t>0.0</w:t>
            </w:r>
          </w:p>
        </w:tc>
      </w:tr>
      <w:tr w:rsidR="00D8365A" w:rsidRPr="00362517" w14:paraId="595C833B" w14:textId="77777777" w:rsidTr="007A2164">
        <w:tc>
          <w:tcPr>
            <w:tcW w:w="1056" w:type="pct"/>
          </w:tcPr>
          <w:p w14:paraId="071533F7" w14:textId="77777777" w:rsidR="00D8365A" w:rsidRPr="00362517" w:rsidRDefault="00D8365A" w:rsidP="00BF6BC7">
            <w:pPr>
              <w:pStyle w:val="BodyText"/>
            </w:pPr>
            <w:r w:rsidRPr="00362517">
              <w:t>South Carolina</w:t>
            </w:r>
            <w:r w:rsidRPr="00362517">
              <w:rPr>
                <w:rFonts w:cs="Times New Roman"/>
                <w:sz w:val="22"/>
                <w:szCs w:val="22"/>
                <w:vertAlign w:val="superscript"/>
              </w:rPr>
              <w:t xml:space="preserve"> 1</w:t>
            </w:r>
          </w:p>
        </w:tc>
        <w:tc>
          <w:tcPr>
            <w:tcW w:w="789" w:type="pct"/>
            <w:tcMar>
              <w:left w:w="115" w:type="dxa"/>
              <w:right w:w="576" w:type="dxa"/>
            </w:tcMar>
            <w:vAlign w:val="bottom"/>
          </w:tcPr>
          <w:p w14:paraId="53774BB1" w14:textId="77777777" w:rsidR="00D8365A" w:rsidRPr="00362517" w:rsidRDefault="00D8365A" w:rsidP="00BF6BC7">
            <w:pPr>
              <w:jc w:val="right"/>
            </w:pPr>
            <w:r w:rsidRPr="00362517">
              <w:t>0.0</w:t>
            </w:r>
          </w:p>
        </w:tc>
        <w:tc>
          <w:tcPr>
            <w:tcW w:w="751" w:type="pct"/>
            <w:tcMar>
              <w:left w:w="115" w:type="dxa"/>
              <w:right w:w="576" w:type="dxa"/>
            </w:tcMar>
            <w:vAlign w:val="bottom"/>
          </w:tcPr>
          <w:p w14:paraId="229FB1A6" w14:textId="77777777" w:rsidR="00D8365A" w:rsidRPr="00362517" w:rsidRDefault="00D8365A" w:rsidP="00BF6BC7">
            <w:pPr>
              <w:jc w:val="right"/>
            </w:pPr>
            <w:r w:rsidRPr="00362517">
              <w:t>0.0</w:t>
            </w:r>
          </w:p>
        </w:tc>
        <w:tc>
          <w:tcPr>
            <w:tcW w:w="826" w:type="pct"/>
            <w:tcMar>
              <w:left w:w="115" w:type="dxa"/>
              <w:right w:w="576" w:type="dxa"/>
            </w:tcMar>
            <w:vAlign w:val="bottom"/>
          </w:tcPr>
          <w:p w14:paraId="636EF9CE" w14:textId="77777777" w:rsidR="00D8365A" w:rsidRPr="00362517" w:rsidRDefault="00D8365A" w:rsidP="00BF6BC7">
            <w:pPr>
              <w:jc w:val="right"/>
            </w:pPr>
            <w:r w:rsidRPr="00362517">
              <w:t>0.0</w:t>
            </w:r>
          </w:p>
        </w:tc>
        <w:tc>
          <w:tcPr>
            <w:tcW w:w="762" w:type="pct"/>
            <w:tcMar>
              <w:left w:w="115" w:type="dxa"/>
              <w:right w:w="576" w:type="dxa"/>
            </w:tcMar>
            <w:vAlign w:val="bottom"/>
          </w:tcPr>
          <w:p w14:paraId="33723F22" w14:textId="77777777" w:rsidR="00D8365A" w:rsidRPr="00362517" w:rsidRDefault="00D8365A" w:rsidP="00BF6BC7">
            <w:pPr>
              <w:jc w:val="right"/>
            </w:pPr>
            <w:r w:rsidRPr="00362517">
              <w:t>0.0</w:t>
            </w:r>
          </w:p>
        </w:tc>
        <w:tc>
          <w:tcPr>
            <w:tcW w:w="816" w:type="pct"/>
            <w:tcMar>
              <w:left w:w="115" w:type="dxa"/>
              <w:right w:w="576" w:type="dxa"/>
            </w:tcMar>
            <w:vAlign w:val="bottom"/>
          </w:tcPr>
          <w:p w14:paraId="40ECD963" w14:textId="77777777" w:rsidR="00D8365A" w:rsidRPr="00362517" w:rsidRDefault="00D8365A" w:rsidP="00BF6BC7">
            <w:pPr>
              <w:jc w:val="right"/>
            </w:pPr>
            <w:r w:rsidRPr="00362517">
              <w:t>0.0</w:t>
            </w:r>
          </w:p>
        </w:tc>
      </w:tr>
      <w:tr w:rsidR="00D8365A" w:rsidRPr="00362517" w14:paraId="783974EA" w14:textId="77777777" w:rsidTr="007A2164">
        <w:tc>
          <w:tcPr>
            <w:tcW w:w="1056" w:type="pct"/>
          </w:tcPr>
          <w:p w14:paraId="4D234739" w14:textId="77777777" w:rsidR="00D8365A" w:rsidRPr="00362517" w:rsidRDefault="00D8365A" w:rsidP="00BF6BC7">
            <w:pPr>
              <w:pStyle w:val="BodyText"/>
            </w:pPr>
            <w:r w:rsidRPr="00362517">
              <w:t>South Dakota</w:t>
            </w:r>
          </w:p>
        </w:tc>
        <w:tc>
          <w:tcPr>
            <w:tcW w:w="789" w:type="pct"/>
            <w:tcMar>
              <w:left w:w="115" w:type="dxa"/>
              <w:right w:w="576" w:type="dxa"/>
            </w:tcMar>
            <w:vAlign w:val="bottom"/>
          </w:tcPr>
          <w:p w14:paraId="5D7038E9" w14:textId="77777777" w:rsidR="00D8365A" w:rsidRPr="00362517" w:rsidRDefault="00D8365A" w:rsidP="00BF6BC7">
            <w:pPr>
              <w:jc w:val="right"/>
            </w:pPr>
            <w:r w:rsidRPr="00362517">
              <w:t>2.0</w:t>
            </w:r>
          </w:p>
        </w:tc>
        <w:tc>
          <w:tcPr>
            <w:tcW w:w="751" w:type="pct"/>
            <w:tcMar>
              <w:left w:w="115" w:type="dxa"/>
              <w:right w:w="576" w:type="dxa"/>
            </w:tcMar>
            <w:vAlign w:val="bottom"/>
          </w:tcPr>
          <w:p w14:paraId="35442F5E" w14:textId="77777777" w:rsidR="00D8365A" w:rsidRPr="00362517" w:rsidRDefault="00D8365A" w:rsidP="00BF6BC7">
            <w:pPr>
              <w:jc w:val="right"/>
            </w:pPr>
            <w:r w:rsidRPr="00362517">
              <w:t>1.1</w:t>
            </w:r>
          </w:p>
        </w:tc>
        <w:tc>
          <w:tcPr>
            <w:tcW w:w="826" w:type="pct"/>
            <w:tcMar>
              <w:left w:w="115" w:type="dxa"/>
              <w:right w:w="576" w:type="dxa"/>
            </w:tcMar>
            <w:vAlign w:val="bottom"/>
          </w:tcPr>
          <w:p w14:paraId="13D9F222" w14:textId="77777777" w:rsidR="00D8365A" w:rsidRPr="00362517" w:rsidRDefault="00D8365A" w:rsidP="00BF6BC7">
            <w:pPr>
              <w:jc w:val="right"/>
            </w:pPr>
            <w:r w:rsidRPr="00362517">
              <w:t>1.1</w:t>
            </w:r>
          </w:p>
        </w:tc>
        <w:tc>
          <w:tcPr>
            <w:tcW w:w="762" w:type="pct"/>
            <w:tcMar>
              <w:left w:w="115" w:type="dxa"/>
              <w:right w:w="576" w:type="dxa"/>
            </w:tcMar>
            <w:vAlign w:val="bottom"/>
          </w:tcPr>
          <w:p w14:paraId="2B2AB2AF" w14:textId="77777777" w:rsidR="00D8365A" w:rsidRPr="00362517" w:rsidRDefault="00D8365A" w:rsidP="00BF6BC7">
            <w:pPr>
              <w:jc w:val="right"/>
            </w:pPr>
            <w:r w:rsidRPr="00362517">
              <w:t>3.4</w:t>
            </w:r>
          </w:p>
        </w:tc>
        <w:tc>
          <w:tcPr>
            <w:tcW w:w="816" w:type="pct"/>
            <w:tcMar>
              <w:left w:w="115" w:type="dxa"/>
              <w:right w:w="576" w:type="dxa"/>
            </w:tcMar>
            <w:vAlign w:val="bottom"/>
          </w:tcPr>
          <w:p w14:paraId="20159D1F" w14:textId="77777777" w:rsidR="00D8365A" w:rsidRPr="00362517" w:rsidRDefault="00D8365A" w:rsidP="00BF6BC7">
            <w:pPr>
              <w:jc w:val="right"/>
            </w:pPr>
            <w:r w:rsidRPr="00362517">
              <w:t>0.0</w:t>
            </w:r>
          </w:p>
        </w:tc>
      </w:tr>
      <w:tr w:rsidR="00D8365A" w:rsidRPr="00362517" w14:paraId="36609772" w14:textId="77777777" w:rsidTr="007A2164">
        <w:tc>
          <w:tcPr>
            <w:tcW w:w="1056" w:type="pct"/>
          </w:tcPr>
          <w:p w14:paraId="4F474039" w14:textId="77777777" w:rsidR="00D8365A" w:rsidRPr="00362517" w:rsidRDefault="00D8365A" w:rsidP="00BF6BC7">
            <w:pPr>
              <w:pStyle w:val="BodyText"/>
            </w:pPr>
            <w:r w:rsidRPr="00362517">
              <w:t>Tennessee</w:t>
            </w:r>
            <w:r w:rsidRPr="00362517">
              <w:rPr>
                <w:rFonts w:cs="Times New Roman"/>
                <w:sz w:val="22"/>
                <w:szCs w:val="22"/>
                <w:vertAlign w:val="superscript"/>
              </w:rPr>
              <w:t xml:space="preserve"> 1</w:t>
            </w:r>
          </w:p>
        </w:tc>
        <w:tc>
          <w:tcPr>
            <w:tcW w:w="789" w:type="pct"/>
            <w:tcMar>
              <w:left w:w="115" w:type="dxa"/>
              <w:right w:w="576" w:type="dxa"/>
            </w:tcMar>
            <w:vAlign w:val="bottom"/>
          </w:tcPr>
          <w:p w14:paraId="7B77B76D" w14:textId="77777777" w:rsidR="00D8365A" w:rsidRPr="00362517" w:rsidRDefault="00D8365A" w:rsidP="00BF6BC7">
            <w:pPr>
              <w:jc w:val="right"/>
            </w:pPr>
            <w:r w:rsidRPr="00362517">
              <w:t>0.0</w:t>
            </w:r>
          </w:p>
        </w:tc>
        <w:tc>
          <w:tcPr>
            <w:tcW w:w="751" w:type="pct"/>
            <w:tcMar>
              <w:left w:w="115" w:type="dxa"/>
              <w:right w:w="576" w:type="dxa"/>
            </w:tcMar>
            <w:vAlign w:val="bottom"/>
          </w:tcPr>
          <w:p w14:paraId="3AC4BFF1" w14:textId="77777777" w:rsidR="00D8365A" w:rsidRPr="00362517" w:rsidRDefault="00D8365A" w:rsidP="00BF6BC7">
            <w:pPr>
              <w:jc w:val="right"/>
            </w:pPr>
            <w:r w:rsidRPr="00362517">
              <w:t>0.0</w:t>
            </w:r>
          </w:p>
        </w:tc>
        <w:tc>
          <w:tcPr>
            <w:tcW w:w="826" w:type="pct"/>
            <w:tcMar>
              <w:left w:w="115" w:type="dxa"/>
              <w:right w:w="576" w:type="dxa"/>
            </w:tcMar>
            <w:vAlign w:val="bottom"/>
          </w:tcPr>
          <w:p w14:paraId="29045765" w14:textId="77777777" w:rsidR="00D8365A" w:rsidRPr="00362517" w:rsidRDefault="00D8365A" w:rsidP="00BF6BC7">
            <w:pPr>
              <w:jc w:val="right"/>
            </w:pPr>
            <w:r w:rsidRPr="00362517">
              <w:t>0.0</w:t>
            </w:r>
          </w:p>
        </w:tc>
        <w:tc>
          <w:tcPr>
            <w:tcW w:w="762" w:type="pct"/>
            <w:tcMar>
              <w:left w:w="115" w:type="dxa"/>
              <w:right w:w="576" w:type="dxa"/>
            </w:tcMar>
            <w:vAlign w:val="bottom"/>
          </w:tcPr>
          <w:p w14:paraId="2699852D" w14:textId="77777777" w:rsidR="00D8365A" w:rsidRPr="00362517" w:rsidRDefault="00D8365A" w:rsidP="00BF6BC7">
            <w:pPr>
              <w:jc w:val="right"/>
            </w:pPr>
            <w:r w:rsidRPr="00362517">
              <w:t>0.0</w:t>
            </w:r>
          </w:p>
        </w:tc>
        <w:tc>
          <w:tcPr>
            <w:tcW w:w="816" w:type="pct"/>
            <w:tcMar>
              <w:left w:w="115" w:type="dxa"/>
              <w:right w:w="576" w:type="dxa"/>
            </w:tcMar>
            <w:vAlign w:val="bottom"/>
          </w:tcPr>
          <w:p w14:paraId="6A96CDC3" w14:textId="77777777" w:rsidR="00D8365A" w:rsidRPr="00362517" w:rsidRDefault="00D8365A" w:rsidP="00BF6BC7">
            <w:pPr>
              <w:jc w:val="right"/>
            </w:pPr>
            <w:r w:rsidRPr="00362517">
              <w:t>0.0</w:t>
            </w:r>
          </w:p>
        </w:tc>
      </w:tr>
      <w:tr w:rsidR="00D8365A" w:rsidRPr="00362517" w14:paraId="5893619B" w14:textId="77777777" w:rsidTr="007A2164">
        <w:tc>
          <w:tcPr>
            <w:tcW w:w="1056" w:type="pct"/>
          </w:tcPr>
          <w:p w14:paraId="329EAF94" w14:textId="77777777" w:rsidR="00D8365A" w:rsidRPr="00362517" w:rsidRDefault="00D8365A" w:rsidP="00BF6BC7">
            <w:pPr>
              <w:pStyle w:val="BodyText"/>
            </w:pPr>
            <w:r w:rsidRPr="00362517">
              <w:t>Texas</w:t>
            </w:r>
          </w:p>
        </w:tc>
        <w:tc>
          <w:tcPr>
            <w:tcW w:w="789" w:type="pct"/>
            <w:tcMar>
              <w:left w:w="115" w:type="dxa"/>
              <w:right w:w="576" w:type="dxa"/>
            </w:tcMar>
            <w:vAlign w:val="bottom"/>
          </w:tcPr>
          <w:p w14:paraId="0CC29F54" w14:textId="77777777" w:rsidR="00D8365A" w:rsidRPr="00362517" w:rsidRDefault="00D8365A" w:rsidP="00BF6BC7">
            <w:pPr>
              <w:jc w:val="right"/>
            </w:pPr>
            <w:r w:rsidRPr="00362517">
              <w:t>6.3</w:t>
            </w:r>
          </w:p>
        </w:tc>
        <w:tc>
          <w:tcPr>
            <w:tcW w:w="751" w:type="pct"/>
            <w:tcMar>
              <w:left w:w="115" w:type="dxa"/>
              <w:right w:w="576" w:type="dxa"/>
            </w:tcMar>
            <w:vAlign w:val="bottom"/>
          </w:tcPr>
          <w:p w14:paraId="216715D6" w14:textId="77777777" w:rsidR="00D8365A" w:rsidRPr="00362517" w:rsidRDefault="00D8365A" w:rsidP="00BF6BC7">
            <w:pPr>
              <w:jc w:val="right"/>
            </w:pPr>
            <w:r w:rsidRPr="00362517">
              <w:t>3.2</w:t>
            </w:r>
          </w:p>
        </w:tc>
        <w:tc>
          <w:tcPr>
            <w:tcW w:w="826" w:type="pct"/>
            <w:tcMar>
              <w:left w:w="115" w:type="dxa"/>
              <w:right w:w="576" w:type="dxa"/>
            </w:tcMar>
            <w:vAlign w:val="bottom"/>
          </w:tcPr>
          <w:p w14:paraId="0ABD6EB0" w14:textId="77777777" w:rsidR="00D8365A" w:rsidRPr="00362517" w:rsidRDefault="00D8365A" w:rsidP="00BF6BC7">
            <w:pPr>
              <w:jc w:val="right"/>
            </w:pPr>
            <w:r w:rsidRPr="00362517">
              <w:t>3.5</w:t>
            </w:r>
          </w:p>
        </w:tc>
        <w:tc>
          <w:tcPr>
            <w:tcW w:w="762" w:type="pct"/>
            <w:tcMar>
              <w:left w:w="115" w:type="dxa"/>
              <w:right w:w="576" w:type="dxa"/>
            </w:tcMar>
            <w:vAlign w:val="bottom"/>
          </w:tcPr>
          <w:p w14:paraId="204C1567" w14:textId="77777777" w:rsidR="00D8365A" w:rsidRPr="00362517" w:rsidRDefault="00D8365A" w:rsidP="00BF6BC7">
            <w:pPr>
              <w:jc w:val="right"/>
            </w:pPr>
            <w:r w:rsidRPr="00362517">
              <w:t>10.6</w:t>
            </w:r>
          </w:p>
        </w:tc>
        <w:tc>
          <w:tcPr>
            <w:tcW w:w="816" w:type="pct"/>
            <w:tcMar>
              <w:left w:w="115" w:type="dxa"/>
              <w:right w:w="576" w:type="dxa"/>
            </w:tcMar>
            <w:vAlign w:val="bottom"/>
          </w:tcPr>
          <w:p w14:paraId="21DDE47D" w14:textId="77777777" w:rsidR="00D8365A" w:rsidRPr="00362517" w:rsidRDefault="00D8365A" w:rsidP="00BF6BC7">
            <w:pPr>
              <w:jc w:val="right"/>
            </w:pPr>
            <w:r w:rsidRPr="00362517">
              <w:t>0.1</w:t>
            </w:r>
          </w:p>
        </w:tc>
      </w:tr>
      <w:tr w:rsidR="00D8365A" w:rsidRPr="00362517" w14:paraId="1343A981" w14:textId="77777777" w:rsidTr="007A2164">
        <w:tc>
          <w:tcPr>
            <w:tcW w:w="1056" w:type="pct"/>
          </w:tcPr>
          <w:p w14:paraId="29145B1D" w14:textId="77777777" w:rsidR="00D8365A" w:rsidRPr="00362517" w:rsidRDefault="00D8365A" w:rsidP="00BF6BC7">
            <w:pPr>
              <w:pStyle w:val="BodyText"/>
            </w:pPr>
            <w:r w:rsidRPr="00362517">
              <w:t>Utah</w:t>
            </w:r>
            <w:r w:rsidRPr="00362517">
              <w:rPr>
                <w:rFonts w:cs="Times New Roman"/>
                <w:sz w:val="22"/>
                <w:szCs w:val="22"/>
                <w:vertAlign w:val="superscript"/>
              </w:rPr>
              <w:t xml:space="preserve"> 3</w:t>
            </w:r>
          </w:p>
        </w:tc>
        <w:tc>
          <w:tcPr>
            <w:tcW w:w="789" w:type="pct"/>
            <w:tcMar>
              <w:left w:w="115" w:type="dxa"/>
              <w:right w:w="576" w:type="dxa"/>
            </w:tcMar>
            <w:vAlign w:val="bottom"/>
          </w:tcPr>
          <w:p w14:paraId="0CF83F48" w14:textId="77777777" w:rsidR="00D8365A" w:rsidRPr="00362517" w:rsidRDefault="00D8365A" w:rsidP="00BF6BC7">
            <w:pPr>
              <w:jc w:val="right"/>
            </w:pPr>
            <w:r w:rsidRPr="00362517">
              <w:t>0.0</w:t>
            </w:r>
          </w:p>
        </w:tc>
        <w:tc>
          <w:tcPr>
            <w:tcW w:w="751" w:type="pct"/>
            <w:tcMar>
              <w:left w:w="115" w:type="dxa"/>
              <w:right w:w="576" w:type="dxa"/>
            </w:tcMar>
            <w:vAlign w:val="bottom"/>
          </w:tcPr>
          <w:p w14:paraId="2AA0552B" w14:textId="77777777" w:rsidR="00D8365A" w:rsidRPr="00362517" w:rsidRDefault="00D8365A" w:rsidP="00BF6BC7">
            <w:pPr>
              <w:jc w:val="right"/>
            </w:pPr>
            <w:r w:rsidRPr="00362517">
              <w:t>0.9</w:t>
            </w:r>
          </w:p>
        </w:tc>
        <w:tc>
          <w:tcPr>
            <w:tcW w:w="826" w:type="pct"/>
            <w:tcMar>
              <w:left w:w="115" w:type="dxa"/>
              <w:right w:w="576" w:type="dxa"/>
            </w:tcMar>
            <w:vAlign w:val="bottom"/>
          </w:tcPr>
          <w:p w14:paraId="63F02C4F" w14:textId="77777777" w:rsidR="00D8365A" w:rsidRPr="00362517" w:rsidRDefault="00D8365A" w:rsidP="00BF6BC7">
            <w:pPr>
              <w:jc w:val="right"/>
            </w:pPr>
            <w:r w:rsidRPr="00362517">
              <w:t>0.0</w:t>
            </w:r>
          </w:p>
        </w:tc>
        <w:tc>
          <w:tcPr>
            <w:tcW w:w="762" w:type="pct"/>
            <w:tcMar>
              <w:left w:w="115" w:type="dxa"/>
              <w:right w:w="576" w:type="dxa"/>
            </w:tcMar>
            <w:vAlign w:val="bottom"/>
          </w:tcPr>
          <w:p w14:paraId="0FE0BCCD" w14:textId="77777777" w:rsidR="00D8365A" w:rsidRPr="00362517" w:rsidRDefault="00D8365A" w:rsidP="00BF6BC7">
            <w:pPr>
              <w:jc w:val="right"/>
            </w:pPr>
            <w:r w:rsidRPr="00362517">
              <w:t>0.5</w:t>
            </w:r>
          </w:p>
        </w:tc>
        <w:tc>
          <w:tcPr>
            <w:tcW w:w="816" w:type="pct"/>
            <w:tcMar>
              <w:left w:w="115" w:type="dxa"/>
              <w:right w:w="576" w:type="dxa"/>
            </w:tcMar>
            <w:vAlign w:val="bottom"/>
          </w:tcPr>
          <w:p w14:paraId="3BB7BFBE" w14:textId="77777777" w:rsidR="00D8365A" w:rsidRPr="00362517" w:rsidRDefault="00D8365A" w:rsidP="00BF6BC7">
            <w:pPr>
              <w:jc w:val="right"/>
            </w:pPr>
            <w:r w:rsidRPr="00362517">
              <w:t>0.0</w:t>
            </w:r>
          </w:p>
        </w:tc>
      </w:tr>
      <w:tr w:rsidR="00D8365A" w:rsidRPr="00362517" w14:paraId="4602D739" w14:textId="77777777" w:rsidTr="007A2164">
        <w:tc>
          <w:tcPr>
            <w:tcW w:w="1056" w:type="pct"/>
          </w:tcPr>
          <w:p w14:paraId="25CA664C" w14:textId="77777777" w:rsidR="00D8365A" w:rsidRPr="00362517" w:rsidRDefault="00D8365A" w:rsidP="00BF6BC7">
            <w:pPr>
              <w:pStyle w:val="BodyText"/>
            </w:pPr>
            <w:r w:rsidRPr="00362517">
              <w:t>Vermont</w:t>
            </w:r>
            <w:r w:rsidRPr="00362517">
              <w:rPr>
                <w:rFonts w:cs="Times New Roman"/>
                <w:sz w:val="22"/>
                <w:szCs w:val="22"/>
                <w:vertAlign w:val="superscript"/>
              </w:rPr>
              <w:t xml:space="preserve"> 3</w:t>
            </w:r>
          </w:p>
        </w:tc>
        <w:tc>
          <w:tcPr>
            <w:tcW w:w="789" w:type="pct"/>
            <w:tcMar>
              <w:left w:w="115" w:type="dxa"/>
              <w:right w:w="576" w:type="dxa"/>
            </w:tcMar>
            <w:vAlign w:val="bottom"/>
          </w:tcPr>
          <w:p w14:paraId="60C3406F" w14:textId="77777777" w:rsidR="00D8365A" w:rsidRPr="00362517" w:rsidRDefault="00D8365A" w:rsidP="00BF6BC7">
            <w:pPr>
              <w:jc w:val="right"/>
            </w:pPr>
            <w:r w:rsidRPr="00362517">
              <w:t>0.0</w:t>
            </w:r>
          </w:p>
        </w:tc>
        <w:tc>
          <w:tcPr>
            <w:tcW w:w="751" w:type="pct"/>
            <w:tcMar>
              <w:left w:w="115" w:type="dxa"/>
              <w:right w:w="576" w:type="dxa"/>
            </w:tcMar>
            <w:vAlign w:val="bottom"/>
          </w:tcPr>
          <w:p w14:paraId="3D8BBF76" w14:textId="77777777" w:rsidR="00D8365A" w:rsidRPr="00362517" w:rsidRDefault="00D8365A" w:rsidP="00BF6BC7">
            <w:pPr>
              <w:jc w:val="right"/>
            </w:pPr>
            <w:r w:rsidRPr="00362517">
              <w:t>0.2</w:t>
            </w:r>
          </w:p>
        </w:tc>
        <w:tc>
          <w:tcPr>
            <w:tcW w:w="826" w:type="pct"/>
            <w:tcMar>
              <w:left w:w="115" w:type="dxa"/>
              <w:right w:w="576" w:type="dxa"/>
            </w:tcMar>
            <w:vAlign w:val="bottom"/>
          </w:tcPr>
          <w:p w14:paraId="353CE33E" w14:textId="77777777" w:rsidR="00D8365A" w:rsidRPr="00362517" w:rsidRDefault="00D8365A" w:rsidP="00BF6BC7">
            <w:pPr>
              <w:jc w:val="right"/>
            </w:pPr>
            <w:r w:rsidRPr="00362517">
              <w:t>0.0</w:t>
            </w:r>
          </w:p>
        </w:tc>
        <w:tc>
          <w:tcPr>
            <w:tcW w:w="762" w:type="pct"/>
            <w:tcMar>
              <w:left w:w="115" w:type="dxa"/>
              <w:right w:w="576" w:type="dxa"/>
            </w:tcMar>
            <w:vAlign w:val="bottom"/>
          </w:tcPr>
          <w:p w14:paraId="7BE67F09" w14:textId="77777777" w:rsidR="00D8365A" w:rsidRPr="00362517" w:rsidRDefault="00D8365A" w:rsidP="00BF6BC7">
            <w:pPr>
              <w:jc w:val="right"/>
            </w:pPr>
            <w:r w:rsidRPr="00362517">
              <w:t>0.2</w:t>
            </w:r>
          </w:p>
        </w:tc>
        <w:tc>
          <w:tcPr>
            <w:tcW w:w="816" w:type="pct"/>
            <w:tcMar>
              <w:left w:w="115" w:type="dxa"/>
              <w:right w:w="576" w:type="dxa"/>
            </w:tcMar>
            <w:vAlign w:val="bottom"/>
          </w:tcPr>
          <w:p w14:paraId="54A48157" w14:textId="77777777" w:rsidR="00D8365A" w:rsidRPr="00362517" w:rsidRDefault="00D8365A" w:rsidP="00BF6BC7">
            <w:pPr>
              <w:jc w:val="right"/>
            </w:pPr>
            <w:r w:rsidRPr="00362517">
              <w:t>0.0</w:t>
            </w:r>
          </w:p>
        </w:tc>
      </w:tr>
      <w:tr w:rsidR="00D8365A" w:rsidRPr="00362517" w14:paraId="15CB54C1" w14:textId="77777777" w:rsidTr="007A2164">
        <w:tc>
          <w:tcPr>
            <w:tcW w:w="1056" w:type="pct"/>
          </w:tcPr>
          <w:p w14:paraId="76077FC5" w14:textId="77777777" w:rsidR="00D8365A" w:rsidRPr="00362517" w:rsidRDefault="00D8365A" w:rsidP="00BF6BC7">
            <w:pPr>
              <w:pStyle w:val="BodyText"/>
            </w:pPr>
            <w:r w:rsidRPr="00362517">
              <w:t>Virginia</w:t>
            </w:r>
            <w:r w:rsidRPr="00362517">
              <w:rPr>
                <w:rFonts w:cs="Times New Roman"/>
                <w:sz w:val="22"/>
                <w:szCs w:val="22"/>
                <w:vertAlign w:val="superscript"/>
              </w:rPr>
              <w:t xml:space="preserve"> 3</w:t>
            </w:r>
          </w:p>
        </w:tc>
        <w:tc>
          <w:tcPr>
            <w:tcW w:w="789" w:type="pct"/>
            <w:tcMar>
              <w:left w:w="115" w:type="dxa"/>
              <w:right w:w="576" w:type="dxa"/>
            </w:tcMar>
            <w:vAlign w:val="bottom"/>
          </w:tcPr>
          <w:p w14:paraId="18BD8F25" w14:textId="77777777" w:rsidR="00D8365A" w:rsidRPr="00362517" w:rsidRDefault="00D8365A" w:rsidP="00BF6BC7">
            <w:pPr>
              <w:jc w:val="right"/>
            </w:pPr>
            <w:r w:rsidRPr="00362517">
              <w:t>0.0</w:t>
            </w:r>
          </w:p>
        </w:tc>
        <w:tc>
          <w:tcPr>
            <w:tcW w:w="751" w:type="pct"/>
            <w:tcMar>
              <w:left w:w="115" w:type="dxa"/>
              <w:right w:w="576" w:type="dxa"/>
            </w:tcMar>
            <w:vAlign w:val="bottom"/>
          </w:tcPr>
          <w:p w14:paraId="3B294B8B" w14:textId="77777777" w:rsidR="00D8365A" w:rsidRPr="00362517" w:rsidRDefault="00D8365A" w:rsidP="00BF6BC7">
            <w:pPr>
              <w:jc w:val="right"/>
            </w:pPr>
            <w:r w:rsidRPr="00362517">
              <w:t>1.9</w:t>
            </w:r>
          </w:p>
        </w:tc>
        <w:tc>
          <w:tcPr>
            <w:tcW w:w="826" w:type="pct"/>
            <w:tcMar>
              <w:left w:w="115" w:type="dxa"/>
              <w:right w:w="576" w:type="dxa"/>
            </w:tcMar>
            <w:vAlign w:val="bottom"/>
          </w:tcPr>
          <w:p w14:paraId="3A43E9D0" w14:textId="77777777" w:rsidR="00D8365A" w:rsidRPr="00362517" w:rsidRDefault="00D8365A" w:rsidP="00BF6BC7">
            <w:pPr>
              <w:jc w:val="right"/>
            </w:pPr>
            <w:r w:rsidRPr="00362517">
              <w:t>0.0</w:t>
            </w:r>
          </w:p>
        </w:tc>
        <w:tc>
          <w:tcPr>
            <w:tcW w:w="762" w:type="pct"/>
            <w:tcMar>
              <w:left w:w="115" w:type="dxa"/>
              <w:right w:w="576" w:type="dxa"/>
            </w:tcMar>
            <w:vAlign w:val="bottom"/>
          </w:tcPr>
          <w:p w14:paraId="5A6DB3FE" w14:textId="77777777" w:rsidR="00D8365A" w:rsidRPr="00362517" w:rsidRDefault="00D8365A" w:rsidP="00BF6BC7">
            <w:pPr>
              <w:jc w:val="right"/>
            </w:pPr>
            <w:r w:rsidRPr="00362517">
              <w:t>1.2</w:t>
            </w:r>
          </w:p>
        </w:tc>
        <w:tc>
          <w:tcPr>
            <w:tcW w:w="816" w:type="pct"/>
            <w:tcMar>
              <w:left w:w="115" w:type="dxa"/>
              <w:right w:w="576" w:type="dxa"/>
            </w:tcMar>
            <w:vAlign w:val="bottom"/>
          </w:tcPr>
          <w:p w14:paraId="3D9EF289" w14:textId="77777777" w:rsidR="00D8365A" w:rsidRPr="00362517" w:rsidRDefault="00D8365A" w:rsidP="00BF6BC7">
            <w:pPr>
              <w:jc w:val="right"/>
            </w:pPr>
            <w:r w:rsidRPr="00362517">
              <w:t>0.0</w:t>
            </w:r>
          </w:p>
        </w:tc>
      </w:tr>
      <w:tr w:rsidR="00D8365A" w:rsidRPr="00362517" w14:paraId="6F6AEDD2" w14:textId="77777777" w:rsidTr="007A2164">
        <w:tc>
          <w:tcPr>
            <w:tcW w:w="1056" w:type="pct"/>
          </w:tcPr>
          <w:p w14:paraId="347F2191" w14:textId="77777777" w:rsidR="00D8365A" w:rsidRPr="00362517" w:rsidRDefault="00D8365A" w:rsidP="00BF6BC7">
            <w:pPr>
              <w:pStyle w:val="BodyText"/>
            </w:pPr>
            <w:r w:rsidRPr="00362517">
              <w:t>Washington</w:t>
            </w:r>
            <w:r w:rsidRPr="00362517">
              <w:rPr>
                <w:rFonts w:cs="Times New Roman"/>
                <w:sz w:val="22"/>
                <w:szCs w:val="22"/>
                <w:vertAlign w:val="superscript"/>
              </w:rPr>
              <w:t xml:space="preserve"> 3</w:t>
            </w:r>
          </w:p>
        </w:tc>
        <w:tc>
          <w:tcPr>
            <w:tcW w:w="789" w:type="pct"/>
            <w:tcMar>
              <w:left w:w="115" w:type="dxa"/>
              <w:right w:w="576" w:type="dxa"/>
            </w:tcMar>
            <w:vAlign w:val="bottom"/>
          </w:tcPr>
          <w:p w14:paraId="0C378D06" w14:textId="77777777" w:rsidR="00D8365A" w:rsidRPr="00362517" w:rsidRDefault="00D8365A" w:rsidP="00BF6BC7">
            <w:pPr>
              <w:jc w:val="right"/>
            </w:pPr>
            <w:r w:rsidRPr="00362517">
              <w:t>0.0</w:t>
            </w:r>
          </w:p>
        </w:tc>
        <w:tc>
          <w:tcPr>
            <w:tcW w:w="751" w:type="pct"/>
            <w:tcMar>
              <w:left w:w="115" w:type="dxa"/>
              <w:right w:w="576" w:type="dxa"/>
            </w:tcMar>
            <w:vAlign w:val="bottom"/>
          </w:tcPr>
          <w:p w14:paraId="4A29CE62" w14:textId="77777777" w:rsidR="00D8365A" w:rsidRPr="00362517" w:rsidRDefault="00D8365A" w:rsidP="00BF6BC7">
            <w:pPr>
              <w:jc w:val="right"/>
            </w:pPr>
            <w:r w:rsidRPr="00362517">
              <w:t>1.9</w:t>
            </w:r>
          </w:p>
        </w:tc>
        <w:tc>
          <w:tcPr>
            <w:tcW w:w="826" w:type="pct"/>
            <w:tcMar>
              <w:left w:w="115" w:type="dxa"/>
              <w:right w:w="576" w:type="dxa"/>
            </w:tcMar>
            <w:vAlign w:val="bottom"/>
          </w:tcPr>
          <w:p w14:paraId="40DF7013" w14:textId="77777777" w:rsidR="00D8365A" w:rsidRPr="00362517" w:rsidRDefault="00D8365A" w:rsidP="00BF6BC7">
            <w:pPr>
              <w:jc w:val="right"/>
            </w:pPr>
            <w:r w:rsidRPr="00362517">
              <w:t>0.0</w:t>
            </w:r>
          </w:p>
        </w:tc>
        <w:tc>
          <w:tcPr>
            <w:tcW w:w="762" w:type="pct"/>
            <w:tcMar>
              <w:left w:w="115" w:type="dxa"/>
              <w:right w:w="576" w:type="dxa"/>
            </w:tcMar>
            <w:vAlign w:val="bottom"/>
          </w:tcPr>
          <w:p w14:paraId="56DB6703" w14:textId="77777777" w:rsidR="00D8365A" w:rsidRPr="00362517" w:rsidRDefault="00D8365A" w:rsidP="00BF6BC7">
            <w:pPr>
              <w:jc w:val="right"/>
            </w:pPr>
            <w:r w:rsidRPr="00362517">
              <w:t>1.3</w:t>
            </w:r>
          </w:p>
        </w:tc>
        <w:tc>
          <w:tcPr>
            <w:tcW w:w="816" w:type="pct"/>
            <w:tcMar>
              <w:left w:w="115" w:type="dxa"/>
              <w:right w:w="576" w:type="dxa"/>
            </w:tcMar>
            <w:vAlign w:val="bottom"/>
          </w:tcPr>
          <w:p w14:paraId="3A0BBD53" w14:textId="77777777" w:rsidR="00D8365A" w:rsidRPr="00362517" w:rsidRDefault="00D8365A" w:rsidP="00BF6BC7">
            <w:pPr>
              <w:jc w:val="right"/>
            </w:pPr>
            <w:r w:rsidRPr="00362517">
              <w:t>0.0</w:t>
            </w:r>
          </w:p>
        </w:tc>
      </w:tr>
      <w:tr w:rsidR="00D8365A" w:rsidRPr="00362517" w14:paraId="3F82DCB2" w14:textId="77777777" w:rsidTr="007A2164">
        <w:tc>
          <w:tcPr>
            <w:tcW w:w="1056" w:type="pct"/>
          </w:tcPr>
          <w:p w14:paraId="743274DE" w14:textId="77777777" w:rsidR="00D8365A" w:rsidRPr="00362517" w:rsidRDefault="00D8365A" w:rsidP="00BF6BC7">
            <w:pPr>
              <w:pStyle w:val="BodyText"/>
            </w:pPr>
            <w:r w:rsidRPr="00362517">
              <w:t>West Virginia</w:t>
            </w:r>
          </w:p>
        </w:tc>
        <w:tc>
          <w:tcPr>
            <w:tcW w:w="789" w:type="pct"/>
            <w:tcMar>
              <w:left w:w="115" w:type="dxa"/>
              <w:right w:w="576" w:type="dxa"/>
            </w:tcMar>
            <w:vAlign w:val="bottom"/>
          </w:tcPr>
          <w:p w14:paraId="4EBA51EC" w14:textId="77777777" w:rsidR="00D8365A" w:rsidRPr="00362517" w:rsidRDefault="00D8365A" w:rsidP="00BF6BC7">
            <w:pPr>
              <w:jc w:val="right"/>
            </w:pPr>
            <w:r w:rsidRPr="00362517">
              <w:t>0.4</w:t>
            </w:r>
          </w:p>
        </w:tc>
        <w:tc>
          <w:tcPr>
            <w:tcW w:w="751" w:type="pct"/>
            <w:tcMar>
              <w:left w:w="115" w:type="dxa"/>
              <w:right w:w="576" w:type="dxa"/>
            </w:tcMar>
            <w:vAlign w:val="bottom"/>
          </w:tcPr>
          <w:p w14:paraId="5CE5AC84" w14:textId="77777777" w:rsidR="00D8365A" w:rsidRPr="00362517" w:rsidRDefault="00D8365A" w:rsidP="00BF6BC7">
            <w:pPr>
              <w:jc w:val="right"/>
            </w:pPr>
            <w:r w:rsidRPr="00362517">
              <w:t>0.2</w:t>
            </w:r>
          </w:p>
        </w:tc>
        <w:tc>
          <w:tcPr>
            <w:tcW w:w="826" w:type="pct"/>
            <w:tcMar>
              <w:left w:w="115" w:type="dxa"/>
              <w:right w:w="576" w:type="dxa"/>
            </w:tcMar>
            <w:vAlign w:val="bottom"/>
          </w:tcPr>
          <w:p w14:paraId="72181F5D" w14:textId="77777777" w:rsidR="00D8365A" w:rsidRPr="00362517" w:rsidRDefault="00D8365A" w:rsidP="00BF6BC7">
            <w:pPr>
              <w:jc w:val="right"/>
            </w:pPr>
            <w:r w:rsidRPr="00362517">
              <w:t>0.3</w:t>
            </w:r>
          </w:p>
        </w:tc>
        <w:tc>
          <w:tcPr>
            <w:tcW w:w="762" w:type="pct"/>
            <w:tcMar>
              <w:left w:w="115" w:type="dxa"/>
              <w:right w:w="576" w:type="dxa"/>
            </w:tcMar>
            <w:vAlign w:val="bottom"/>
          </w:tcPr>
          <w:p w14:paraId="227823B4" w14:textId="77777777" w:rsidR="00D8365A" w:rsidRPr="00362517" w:rsidRDefault="00D8365A" w:rsidP="00BF6BC7">
            <w:pPr>
              <w:jc w:val="right"/>
            </w:pPr>
            <w:r w:rsidRPr="00362517">
              <w:t>0.9</w:t>
            </w:r>
          </w:p>
        </w:tc>
        <w:tc>
          <w:tcPr>
            <w:tcW w:w="816" w:type="pct"/>
            <w:tcMar>
              <w:left w:w="115" w:type="dxa"/>
              <w:right w:w="576" w:type="dxa"/>
            </w:tcMar>
            <w:vAlign w:val="bottom"/>
          </w:tcPr>
          <w:p w14:paraId="75FE8009" w14:textId="77777777" w:rsidR="00D8365A" w:rsidRPr="00362517" w:rsidRDefault="00D8365A" w:rsidP="00BF6BC7">
            <w:pPr>
              <w:jc w:val="right"/>
            </w:pPr>
            <w:r w:rsidRPr="00362517">
              <w:t>0.0</w:t>
            </w:r>
          </w:p>
        </w:tc>
      </w:tr>
      <w:tr w:rsidR="00D8365A" w:rsidRPr="00362517" w14:paraId="2360378A" w14:textId="77777777" w:rsidTr="007A2164">
        <w:tc>
          <w:tcPr>
            <w:tcW w:w="1056" w:type="pct"/>
          </w:tcPr>
          <w:p w14:paraId="1A596338" w14:textId="77777777" w:rsidR="00D8365A" w:rsidRPr="00362517" w:rsidRDefault="00D8365A" w:rsidP="00BF6BC7">
            <w:pPr>
              <w:pStyle w:val="BodyText"/>
            </w:pPr>
            <w:r w:rsidRPr="00362517">
              <w:t>Wisconsin</w:t>
            </w:r>
            <w:r w:rsidRPr="00362517">
              <w:rPr>
                <w:rFonts w:cs="Times New Roman"/>
                <w:sz w:val="22"/>
                <w:szCs w:val="22"/>
                <w:vertAlign w:val="superscript"/>
              </w:rPr>
              <w:t xml:space="preserve"> 3</w:t>
            </w:r>
          </w:p>
        </w:tc>
        <w:tc>
          <w:tcPr>
            <w:tcW w:w="789" w:type="pct"/>
            <w:tcMar>
              <w:left w:w="115" w:type="dxa"/>
              <w:right w:w="576" w:type="dxa"/>
            </w:tcMar>
            <w:vAlign w:val="bottom"/>
          </w:tcPr>
          <w:p w14:paraId="72402AEA" w14:textId="77777777" w:rsidR="00D8365A" w:rsidRPr="00362517" w:rsidRDefault="00D8365A" w:rsidP="00BF6BC7">
            <w:pPr>
              <w:jc w:val="right"/>
            </w:pPr>
            <w:r w:rsidRPr="00362517">
              <w:t>0.0</w:t>
            </w:r>
          </w:p>
        </w:tc>
        <w:tc>
          <w:tcPr>
            <w:tcW w:w="751" w:type="pct"/>
            <w:tcMar>
              <w:left w:w="115" w:type="dxa"/>
              <w:right w:w="576" w:type="dxa"/>
            </w:tcMar>
            <w:vAlign w:val="bottom"/>
          </w:tcPr>
          <w:p w14:paraId="22BB4F77" w14:textId="77777777" w:rsidR="00D8365A" w:rsidRPr="00362517" w:rsidRDefault="00D8365A" w:rsidP="00BF6BC7">
            <w:pPr>
              <w:jc w:val="right"/>
            </w:pPr>
            <w:r w:rsidRPr="00362517">
              <w:t>3.8</w:t>
            </w:r>
          </w:p>
        </w:tc>
        <w:tc>
          <w:tcPr>
            <w:tcW w:w="826" w:type="pct"/>
            <w:tcMar>
              <w:left w:w="115" w:type="dxa"/>
              <w:right w:w="576" w:type="dxa"/>
            </w:tcMar>
            <w:vAlign w:val="bottom"/>
          </w:tcPr>
          <w:p w14:paraId="06E456D6" w14:textId="77777777" w:rsidR="00D8365A" w:rsidRPr="00362517" w:rsidRDefault="00D8365A" w:rsidP="00BF6BC7">
            <w:pPr>
              <w:jc w:val="right"/>
            </w:pPr>
            <w:r w:rsidRPr="00362517">
              <w:t>0.0</w:t>
            </w:r>
          </w:p>
        </w:tc>
        <w:tc>
          <w:tcPr>
            <w:tcW w:w="762" w:type="pct"/>
            <w:tcMar>
              <w:left w:w="115" w:type="dxa"/>
              <w:right w:w="576" w:type="dxa"/>
            </w:tcMar>
            <w:vAlign w:val="bottom"/>
          </w:tcPr>
          <w:p w14:paraId="00E3F19D" w14:textId="77777777" w:rsidR="00D8365A" w:rsidRPr="00362517" w:rsidRDefault="00D8365A" w:rsidP="00BF6BC7">
            <w:pPr>
              <w:jc w:val="right"/>
            </w:pPr>
            <w:r w:rsidRPr="00362517">
              <w:t>2.3</w:t>
            </w:r>
          </w:p>
        </w:tc>
        <w:tc>
          <w:tcPr>
            <w:tcW w:w="816" w:type="pct"/>
            <w:tcMar>
              <w:left w:w="115" w:type="dxa"/>
              <w:right w:w="576" w:type="dxa"/>
            </w:tcMar>
            <w:vAlign w:val="bottom"/>
          </w:tcPr>
          <w:p w14:paraId="43B8CB68" w14:textId="77777777" w:rsidR="00D8365A" w:rsidRPr="00362517" w:rsidRDefault="00D8365A" w:rsidP="00BF6BC7">
            <w:pPr>
              <w:jc w:val="right"/>
            </w:pPr>
            <w:r w:rsidRPr="00362517">
              <w:t>0.0</w:t>
            </w:r>
          </w:p>
        </w:tc>
      </w:tr>
      <w:tr w:rsidR="00D8365A" w:rsidRPr="00362517" w14:paraId="17ADB4F9" w14:textId="77777777" w:rsidTr="007A2164">
        <w:tc>
          <w:tcPr>
            <w:tcW w:w="1056" w:type="pct"/>
            <w:tcBorders>
              <w:bottom w:val="single" w:sz="4" w:space="0" w:color="auto"/>
            </w:tcBorders>
          </w:tcPr>
          <w:p w14:paraId="3D3F7782" w14:textId="77777777" w:rsidR="00D8365A" w:rsidRPr="00362517" w:rsidRDefault="00D8365A" w:rsidP="00BF6BC7">
            <w:pPr>
              <w:pStyle w:val="BodyText"/>
            </w:pPr>
            <w:r w:rsidRPr="00362517">
              <w:t>Wyoming</w:t>
            </w:r>
            <w:r w:rsidRPr="00362517">
              <w:rPr>
                <w:rFonts w:cs="Times New Roman"/>
                <w:sz w:val="22"/>
                <w:szCs w:val="22"/>
                <w:vertAlign w:val="superscript"/>
              </w:rPr>
              <w:t xml:space="preserve"> 3</w:t>
            </w:r>
          </w:p>
        </w:tc>
        <w:tc>
          <w:tcPr>
            <w:tcW w:w="789" w:type="pct"/>
            <w:tcBorders>
              <w:bottom w:val="single" w:sz="4" w:space="0" w:color="auto"/>
            </w:tcBorders>
            <w:tcMar>
              <w:left w:w="115" w:type="dxa"/>
              <w:right w:w="576" w:type="dxa"/>
            </w:tcMar>
            <w:vAlign w:val="bottom"/>
          </w:tcPr>
          <w:p w14:paraId="46D88FEA" w14:textId="77777777" w:rsidR="00D8365A" w:rsidRPr="00362517" w:rsidRDefault="00D8365A" w:rsidP="00BF6BC7">
            <w:pPr>
              <w:jc w:val="right"/>
            </w:pPr>
            <w:r w:rsidRPr="00362517">
              <w:t>0.0</w:t>
            </w:r>
          </w:p>
        </w:tc>
        <w:tc>
          <w:tcPr>
            <w:tcW w:w="751" w:type="pct"/>
            <w:tcBorders>
              <w:bottom w:val="single" w:sz="4" w:space="0" w:color="auto"/>
            </w:tcBorders>
            <w:tcMar>
              <w:left w:w="115" w:type="dxa"/>
              <w:right w:w="576" w:type="dxa"/>
            </w:tcMar>
            <w:vAlign w:val="bottom"/>
          </w:tcPr>
          <w:p w14:paraId="7D15EE1A" w14:textId="77777777" w:rsidR="00D8365A" w:rsidRPr="00362517" w:rsidRDefault="00D8365A" w:rsidP="00BF6BC7">
            <w:pPr>
              <w:jc w:val="right"/>
            </w:pPr>
            <w:r w:rsidRPr="00362517">
              <w:t>0.6</w:t>
            </w:r>
          </w:p>
        </w:tc>
        <w:tc>
          <w:tcPr>
            <w:tcW w:w="826" w:type="pct"/>
            <w:tcBorders>
              <w:bottom w:val="single" w:sz="4" w:space="0" w:color="auto"/>
            </w:tcBorders>
            <w:tcMar>
              <w:left w:w="115" w:type="dxa"/>
              <w:right w:w="576" w:type="dxa"/>
            </w:tcMar>
            <w:vAlign w:val="bottom"/>
          </w:tcPr>
          <w:p w14:paraId="4D5C6371" w14:textId="77777777" w:rsidR="00D8365A" w:rsidRPr="00362517" w:rsidRDefault="00D8365A" w:rsidP="00BF6BC7">
            <w:pPr>
              <w:jc w:val="right"/>
            </w:pPr>
            <w:r w:rsidRPr="00362517">
              <w:t>0.0</w:t>
            </w:r>
          </w:p>
        </w:tc>
        <w:tc>
          <w:tcPr>
            <w:tcW w:w="762" w:type="pct"/>
            <w:tcBorders>
              <w:bottom w:val="single" w:sz="4" w:space="0" w:color="auto"/>
            </w:tcBorders>
            <w:tcMar>
              <w:left w:w="115" w:type="dxa"/>
              <w:right w:w="576" w:type="dxa"/>
            </w:tcMar>
            <w:vAlign w:val="bottom"/>
          </w:tcPr>
          <w:p w14:paraId="6C5FB399" w14:textId="77777777" w:rsidR="00D8365A" w:rsidRPr="00362517" w:rsidRDefault="00D8365A" w:rsidP="00BF6BC7">
            <w:pPr>
              <w:jc w:val="right"/>
            </w:pPr>
            <w:r w:rsidRPr="00362517">
              <w:t>0.4</w:t>
            </w:r>
          </w:p>
        </w:tc>
        <w:tc>
          <w:tcPr>
            <w:tcW w:w="816" w:type="pct"/>
            <w:tcBorders>
              <w:bottom w:val="single" w:sz="4" w:space="0" w:color="auto"/>
            </w:tcBorders>
            <w:tcMar>
              <w:left w:w="115" w:type="dxa"/>
              <w:right w:w="576" w:type="dxa"/>
            </w:tcMar>
            <w:vAlign w:val="bottom"/>
          </w:tcPr>
          <w:p w14:paraId="2E79F4B6" w14:textId="77777777" w:rsidR="00D8365A" w:rsidRPr="00362517" w:rsidRDefault="00D8365A" w:rsidP="00BF6BC7">
            <w:pPr>
              <w:jc w:val="right"/>
            </w:pPr>
            <w:r w:rsidRPr="00362517">
              <w:t>0.0</w:t>
            </w:r>
          </w:p>
        </w:tc>
      </w:tr>
      <w:tr w:rsidR="00D8365A" w:rsidRPr="00362517" w14:paraId="048B9A41" w14:textId="77777777" w:rsidTr="007A2164">
        <w:tc>
          <w:tcPr>
            <w:tcW w:w="1056" w:type="pct"/>
          </w:tcPr>
          <w:p w14:paraId="7E04798A" w14:textId="77777777" w:rsidR="00D8365A" w:rsidRPr="00362517" w:rsidRDefault="00D8365A" w:rsidP="00BF6BC7">
            <w:pPr>
              <w:pStyle w:val="BodyText"/>
            </w:pPr>
            <w:r w:rsidRPr="00362517">
              <w:t>Puerto Rico</w:t>
            </w:r>
          </w:p>
        </w:tc>
        <w:tc>
          <w:tcPr>
            <w:tcW w:w="789" w:type="pct"/>
            <w:tcMar>
              <w:left w:w="115" w:type="dxa"/>
              <w:right w:w="576" w:type="dxa"/>
            </w:tcMar>
            <w:vAlign w:val="center"/>
          </w:tcPr>
          <w:p w14:paraId="0CB78F1C" w14:textId="77777777" w:rsidR="00D8365A" w:rsidRPr="00362517" w:rsidRDefault="00D8365A" w:rsidP="00BF6BC7">
            <w:pPr>
              <w:pStyle w:val="BodyText"/>
              <w:ind w:right="-505"/>
              <w:jc w:val="center"/>
            </w:pPr>
            <w:r w:rsidRPr="00362517">
              <w:t>0.1</w:t>
            </w:r>
          </w:p>
        </w:tc>
        <w:tc>
          <w:tcPr>
            <w:tcW w:w="751" w:type="pct"/>
            <w:tcMar>
              <w:left w:w="115" w:type="dxa"/>
              <w:right w:w="576" w:type="dxa"/>
            </w:tcMar>
            <w:vAlign w:val="center"/>
          </w:tcPr>
          <w:p w14:paraId="78F9CEE7" w14:textId="77777777" w:rsidR="00D8365A" w:rsidRPr="00362517" w:rsidRDefault="00D8365A" w:rsidP="00BF6BC7">
            <w:pPr>
              <w:pStyle w:val="BodyText"/>
              <w:ind w:right="-486"/>
              <w:jc w:val="center"/>
            </w:pPr>
            <w:r w:rsidRPr="00362517">
              <w:t>0.1</w:t>
            </w:r>
          </w:p>
        </w:tc>
        <w:tc>
          <w:tcPr>
            <w:tcW w:w="826" w:type="pct"/>
            <w:tcMar>
              <w:left w:w="115" w:type="dxa"/>
              <w:right w:w="576" w:type="dxa"/>
            </w:tcMar>
            <w:vAlign w:val="center"/>
          </w:tcPr>
          <w:p w14:paraId="22837ACA" w14:textId="77777777" w:rsidR="00D8365A" w:rsidRPr="00362517" w:rsidRDefault="00D8365A" w:rsidP="00BF6BC7">
            <w:pPr>
              <w:pStyle w:val="BodyText"/>
              <w:ind w:right="-543"/>
              <w:jc w:val="center"/>
            </w:pPr>
            <w:r w:rsidRPr="00362517">
              <w:t>0.0</w:t>
            </w:r>
          </w:p>
        </w:tc>
        <w:tc>
          <w:tcPr>
            <w:tcW w:w="762" w:type="pct"/>
            <w:tcMar>
              <w:left w:w="115" w:type="dxa"/>
              <w:right w:w="576" w:type="dxa"/>
            </w:tcMar>
            <w:vAlign w:val="center"/>
          </w:tcPr>
          <w:p w14:paraId="290A6F6D" w14:textId="77777777" w:rsidR="00D8365A" w:rsidRPr="00362517" w:rsidRDefault="00D8365A" w:rsidP="00BF6BC7">
            <w:pPr>
              <w:pStyle w:val="BodyText"/>
              <w:ind w:right="-486"/>
              <w:jc w:val="center"/>
            </w:pPr>
            <w:r w:rsidRPr="00362517">
              <w:t>0.2</w:t>
            </w:r>
          </w:p>
        </w:tc>
        <w:tc>
          <w:tcPr>
            <w:tcW w:w="816" w:type="pct"/>
            <w:tcMar>
              <w:left w:w="115" w:type="dxa"/>
              <w:right w:w="576" w:type="dxa"/>
            </w:tcMar>
            <w:vAlign w:val="center"/>
          </w:tcPr>
          <w:p w14:paraId="10616C7C" w14:textId="77777777" w:rsidR="00D8365A" w:rsidRPr="00362517" w:rsidRDefault="00D8365A" w:rsidP="00BF6BC7">
            <w:pPr>
              <w:pStyle w:val="BodyText"/>
              <w:ind w:right="-581"/>
              <w:jc w:val="center"/>
            </w:pPr>
            <w:r w:rsidRPr="00362517">
              <w:t>0.0</w:t>
            </w:r>
          </w:p>
        </w:tc>
      </w:tr>
      <w:tr w:rsidR="00D8365A" w:rsidRPr="00362517" w14:paraId="0EAA2178" w14:textId="77777777" w:rsidTr="007A2164">
        <w:tc>
          <w:tcPr>
            <w:tcW w:w="1056" w:type="pct"/>
            <w:tcBorders>
              <w:bottom w:val="single" w:sz="4" w:space="0" w:color="auto"/>
            </w:tcBorders>
          </w:tcPr>
          <w:p w14:paraId="7AA974D8" w14:textId="77777777" w:rsidR="00D8365A" w:rsidRPr="00362517" w:rsidRDefault="00D8365A" w:rsidP="00BF6BC7">
            <w:pPr>
              <w:pStyle w:val="BodyText"/>
            </w:pPr>
            <w:r w:rsidRPr="00362517">
              <w:t>Other Jurisdictions</w:t>
            </w:r>
          </w:p>
        </w:tc>
        <w:tc>
          <w:tcPr>
            <w:tcW w:w="789" w:type="pct"/>
            <w:tcBorders>
              <w:bottom w:val="single" w:sz="4" w:space="0" w:color="auto"/>
            </w:tcBorders>
            <w:tcMar>
              <w:left w:w="115" w:type="dxa"/>
              <w:right w:w="576" w:type="dxa"/>
            </w:tcMar>
            <w:vAlign w:val="center"/>
          </w:tcPr>
          <w:p w14:paraId="51F47C60" w14:textId="77777777" w:rsidR="00D8365A" w:rsidRPr="00362517" w:rsidRDefault="00D8365A" w:rsidP="00BF6BC7">
            <w:pPr>
              <w:pStyle w:val="BodyText"/>
              <w:ind w:right="-505"/>
              <w:jc w:val="center"/>
            </w:pPr>
            <w:r w:rsidRPr="00362517">
              <w:t>1.3</w:t>
            </w:r>
          </w:p>
        </w:tc>
        <w:tc>
          <w:tcPr>
            <w:tcW w:w="751" w:type="pct"/>
            <w:tcBorders>
              <w:bottom w:val="single" w:sz="4" w:space="0" w:color="auto"/>
            </w:tcBorders>
            <w:tcMar>
              <w:left w:w="115" w:type="dxa"/>
              <w:right w:w="576" w:type="dxa"/>
            </w:tcMar>
            <w:vAlign w:val="center"/>
          </w:tcPr>
          <w:p w14:paraId="2B545D19" w14:textId="77777777" w:rsidR="00D8365A" w:rsidRPr="00362517" w:rsidRDefault="00D8365A" w:rsidP="00BF6BC7">
            <w:pPr>
              <w:pStyle w:val="BodyText"/>
              <w:ind w:right="-486"/>
              <w:jc w:val="center"/>
            </w:pPr>
            <w:r w:rsidRPr="00362517">
              <w:t>0.7</w:t>
            </w:r>
          </w:p>
        </w:tc>
        <w:tc>
          <w:tcPr>
            <w:tcW w:w="826" w:type="pct"/>
            <w:tcBorders>
              <w:bottom w:val="single" w:sz="4" w:space="0" w:color="auto"/>
            </w:tcBorders>
            <w:tcMar>
              <w:left w:w="115" w:type="dxa"/>
              <w:right w:w="576" w:type="dxa"/>
            </w:tcMar>
            <w:vAlign w:val="center"/>
          </w:tcPr>
          <w:p w14:paraId="5E8442F9" w14:textId="77777777" w:rsidR="00D8365A" w:rsidRPr="00362517" w:rsidRDefault="00D8365A" w:rsidP="00BF6BC7">
            <w:pPr>
              <w:pStyle w:val="BodyText"/>
              <w:ind w:right="-543"/>
              <w:jc w:val="center"/>
            </w:pPr>
            <w:r w:rsidRPr="00362517">
              <w:t>0.6</w:t>
            </w:r>
          </w:p>
        </w:tc>
        <w:tc>
          <w:tcPr>
            <w:tcW w:w="762" w:type="pct"/>
            <w:tcBorders>
              <w:bottom w:val="single" w:sz="4" w:space="0" w:color="auto"/>
            </w:tcBorders>
            <w:tcMar>
              <w:left w:w="115" w:type="dxa"/>
              <w:right w:w="576" w:type="dxa"/>
            </w:tcMar>
            <w:vAlign w:val="center"/>
          </w:tcPr>
          <w:p w14:paraId="130A41D2" w14:textId="77777777" w:rsidR="00D8365A" w:rsidRPr="00362517" w:rsidRDefault="00D8365A" w:rsidP="00BF6BC7">
            <w:pPr>
              <w:pStyle w:val="BodyText"/>
              <w:ind w:right="-486"/>
              <w:jc w:val="center"/>
            </w:pPr>
            <w:r w:rsidRPr="00362517">
              <w:t>2.2</w:t>
            </w:r>
          </w:p>
        </w:tc>
        <w:tc>
          <w:tcPr>
            <w:tcW w:w="816" w:type="pct"/>
            <w:tcBorders>
              <w:bottom w:val="single" w:sz="4" w:space="0" w:color="auto"/>
            </w:tcBorders>
            <w:tcMar>
              <w:left w:w="115" w:type="dxa"/>
              <w:right w:w="576" w:type="dxa"/>
            </w:tcMar>
            <w:vAlign w:val="center"/>
          </w:tcPr>
          <w:p w14:paraId="0B8BD655" w14:textId="77777777" w:rsidR="00D8365A" w:rsidRPr="00362517" w:rsidRDefault="00D8365A" w:rsidP="00BF6BC7">
            <w:pPr>
              <w:pStyle w:val="BodyText"/>
              <w:ind w:right="-581"/>
              <w:jc w:val="center"/>
            </w:pPr>
            <w:r w:rsidRPr="00362517">
              <w:t>0.0</w:t>
            </w:r>
          </w:p>
        </w:tc>
      </w:tr>
      <w:tr w:rsidR="00D8365A" w:rsidRPr="00362517" w14:paraId="642BE118" w14:textId="77777777" w:rsidTr="007A2164">
        <w:tc>
          <w:tcPr>
            <w:tcW w:w="1056" w:type="pct"/>
            <w:tcBorders>
              <w:top w:val="single" w:sz="4" w:space="0" w:color="auto"/>
              <w:bottom w:val="single" w:sz="4" w:space="0" w:color="auto"/>
            </w:tcBorders>
          </w:tcPr>
          <w:p w14:paraId="2FD2C0FA" w14:textId="77777777" w:rsidR="00D8365A" w:rsidRPr="00362517" w:rsidRDefault="00D8365A" w:rsidP="00BF6BC7">
            <w:pPr>
              <w:pStyle w:val="BodyText"/>
              <w:rPr>
                <w:b/>
              </w:rPr>
            </w:pPr>
            <w:r w:rsidRPr="00362517">
              <w:rPr>
                <w:b/>
              </w:rPr>
              <w:t>U.S.</w:t>
            </w:r>
          </w:p>
        </w:tc>
        <w:tc>
          <w:tcPr>
            <w:tcW w:w="789" w:type="pct"/>
            <w:tcBorders>
              <w:top w:val="single" w:sz="4" w:space="0" w:color="auto"/>
              <w:bottom w:val="single" w:sz="4" w:space="0" w:color="auto"/>
            </w:tcBorders>
            <w:tcMar>
              <w:left w:w="115" w:type="dxa"/>
              <w:right w:w="576" w:type="dxa"/>
            </w:tcMar>
            <w:vAlign w:val="center"/>
          </w:tcPr>
          <w:p w14:paraId="4341FC21" w14:textId="77777777" w:rsidR="00D8365A" w:rsidRPr="00362517" w:rsidRDefault="00D8365A" w:rsidP="00BF6BC7">
            <w:pPr>
              <w:pStyle w:val="BodyText"/>
              <w:ind w:right="-505"/>
              <w:jc w:val="center"/>
              <w:rPr>
                <w:b/>
              </w:rPr>
            </w:pPr>
            <w:r w:rsidRPr="00362517">
              <w:rPr>
                <w:b/>
              </w:rPr>
              <w:t>34.8</w:t>
            </w:r>
          </w:p>
        </w:tc>
        <w:tc>
          <w:tcPr>
            <w:tcW w:w="751" w:type="pct"/>
            <w:tcBorders>
              <w:top w:val="single" w:sz="4" w:space="0" w:color="auto"/>
              <w:bottom w:val="single" w:sz="4" w:space="0" w:color="auto"/>
            </w:tcBorders>
            <w:tcMar>
              <w:left w:w="115" w:type="dxa"/>
              <w:right w:w="576" w:type="dxa"/>
            </w:tcMar>
            <w:vAlign w:val="center"/>
          </w:tcPr>
          <w:p w14:paraId="55725880" w14:textId="77777777" w:rsidR="00D8365A" w:rsidRPr="00362517" w:rsidRDefault="00D8365A" w:rsidP="00BF6BC7">
            <w:pPr>
              <w:pStyle w:val="BodyText"/>
              <w:ind w:right="-486"/>
              <w:jc w:val="center"/>
              <w:rPr>
                <w:b/>
              </w:rPr>
            </w:pPr>
            <w:r w:rsidRPr="00362517">
              <w:rPr>
                <w:b/>
              </w:rPr>
              <w:t>59.8</w:t>
            </w:r>
          </w:p>
        </w:tc>
        <w:tc>
          <w:tcPr>
            <w:tcW w:w="826" w:type="pct"/>
            <w:tcBorders>
              <w:top w:val="single" w:sz="4" w:space="0" w:color="auto"/>
              <w:bottom w:val="single" w:sz="4" w:space="0" w:color="auto"/>
            </w:tcBorders>
            <w:tcMar>
              <w:left w:w="115" w:type="dxa"/>
              <w:right w:w="576" w:type="dxa"/>
            </w:tcMar>
            <w:vAlign w:val="center"/>
          </w:tcPr>
          <w:p w14:paraId="1EBA1087" w14:textId="77777777" w:rsidR="00D8365A" w:rsidRPr="00362517" w:rsidRDefault="00D8365A" w:rsidP="00BF6BC7">
            <w:pPr>
              <w:pStyle w:val="BodyText"/>
              <w:ind w:right="-543"/>
              <w:jc w:val="center"/>
              <w:rPr>
                <w:b/>
              </w:rPr>
            </w:pPr>
            <w:r w:rsidRPr="00362517">
              <w:rPr>
                <w:b/>
              </w:rPr>
              <w:t>18.9</w:t>
            </w:r>
          </w:p>
        </w:tc>
        <w:tc>
          <w:tcPr>
            <w:tcW w:w="762" w:type="pct"/>
            <w:tcBorders>
              <w:top w:val="single" w:sz="4" w:space="0" w:color="auto"/>
              <w:bottom w:val="single" w:sz="4" w:space="0" w:color="auto"/>
            </w:tcBorders>
            <w:tcMar>
              <w:left w:w="115" w:type="dxa"/>
              <w:right w:w="576" w:type="dxa"/>
            </w:tcMar>
            <w:vAlign w:val="center"/>
          </w:tcPr>
          <w:p w14:paraId="6318BF57" w14:textId="77777777" w:rsidR="00D8365A" w:rsidRPr="00362517" w:rsidRDefault="00D8365A" w:rsidP="00BF6BC7">
            <w:pPr>
              <w:pStyle w:val="BodyText"/>
              <w:ind w:right="-486"/>
              <w:jc w:val="center"/>
              <w:rPr>
                <w:b/>
              </w:rPr>
            </w:pPr>
            <w:r w:rsidRPr="00362517">
              <w:rPr>
                <w:b/>
              </w:rPr>
              <w:t>84.2</w:t>
            </w:r>
          </w:p>
        </w:tc>
        <w:tc>
          <w:tcPr>
            <w:tcW w:w="816" w:type="pct"/>
            <w:tcBorders>
              <w:top w:val="single" w:sz="4" w:space="0" w:color="auto"/>
              <w:bottom w:val="single" w:sz="4" w:space="0" w:color="auto"/>
            </w:tcBorders>
            <w:tcMar>
              <w:left w:w="115" w:type="dxa"/>
              <w:right w:w="576" w:type="dxa"/>
            </w:tcMar>
            <w:vAlign w:val="center"/>
          </w:tcPr>
          <w:p w14:paraId="47716491" w14:textId="77777777" w:rsidR="00D8365A" w:rsidRPr="00362517" w:rsidRDefault="00D8365A" w:rsidP="00BF6BC7">
            <w:pPr>
              <w:pStyle w:val="BodyText"/>
              <w:ind w:right="-581"/>
              <w:jc w:val="center"/>
              <w:rPr>
                <w:b/>
              </w:rPr>
            </w:pPr>
            <w:r w:rsidRPr="00362517">
              <w:rPr>
                <w:b/>
              </w:rPr>
              <w:t>0.2</w:t>
            </w:r>
          </w:p>
        </w:tc>
      </w:tr>
    </w:tbl>
    <w:p w14:paraId="02674E6F" w14:textId="77777777" w:rsidR="00D8365A" w:rsidRPr="00362517" w:rsidRDefault="00D8365A" w:rsidP="00BF6BC7">
      <w:pPr>
        <w:pStyle w:val="BodyText"/>
      </w:pPr>
      <w:r w:rsidRPr="00362517">
        <w:t>S</w:t>
      </w:r>
      <w:r w:rsidRPr="00362517">
        <w:rPr>
          <w:sz w:val="20"/>
          <w:szCs w:val="20"/>
        </w:rPr>
        <w:t>ource:  EPA estimation.</w:t>
      </w:r>
    </w:p>
    <w:p w14:paraId="50389D57" w14:textId="77777777" w:rsidR="00D8365A" w:rsidRPr="00362517" w:rsidRDefault="00D8365A" w:rsidP="00BF6BC7">
      <w:pPr>
        <w:pStyle w:val="BodyText"/>
        <w:ind w:left="360" w:hanging="360"/>
        <w:rPr>
          <w:sz w:val="22"/>
          <w:szCs w:val="22"/>
        </w:rPr>
      </w:pPr>
      <w:r w:rsidRPr="00362517">
        <w:rPr>
          <w:vertAlign w:val="superscript"/>
        </w:rPr>
        <w:t>1</w:t>
      </w:r>
      <w:r w:rsidRPr="00362517">
        <w:rPr>
          <w:sz w:val="22"/>
          <w:szCs w:val="22"/>
        </w:rPr>
        <w:tab/>
        <w:t>State minimum age of 18 for noncertified applicators applying RUPs.</w:t>
      </w:r>
    </w:p>
    <w:p w14:paraId="26F8E21C" w14:textId="77777777" w:rsidR="00D8365A" w:rsidRPr="00362517" w:rsidRDefault="00D8365A" w:rsidP="00BF6BC7">
      <w:pPr>
        <w:pStyle w:val="BodyText"/>
        <w:ind w:left="360" w:hanging="360"/>
        <w:rPr>
          <w:sz w:val="22"/>
          <w:szCs w:val="22"/>
        </w:rPr>
      </w:pPr>
      <w:r w:rsidRPr="00362517">
        <w:rPr>
          <w:vertAlign w:val="superscript"/>
        </w:rPr>
        <w:t>2</w:t>
      </w:r>
      <w:r w:rsidRPr="00362517">
        <w:rPr>
          <w:sz w:val="22"/>
          <w:szCs w:val="22"/>
        </w:rPr>
        <w:tab/>
        <w:t>State minimum age of 17 for noncertified applicators applying RUPs.</w:t>
      </w:r>
    </w:p>
    <w:p w14:paraId="35070BF0" w14:textId="77777777" w:rsidR="00D8365A" w:rsidRPr="00362517" w:rsidRDefault="00D8365A" w:rsidP="00BF6BC7">
      <w:pPr>
        <w:pStyle w:val="BodyText"/>
        <w:ind w:left="360" w:hanging="360"/>
        <w:rPr>
          <w:sz w:val="22"/>
          <w:szCs w:val="22"/>
        </w:rPr>
      </w:pPr>
      <w:r w:rsidRPr="00362517">
        <w:rPr>
          <w:vertAlign w:val="superscript"/>
        </w:rPr>
        <w:t>3</w:t>
      </w:r>
      <w:r w:rsidRPr="00362517">
        <w:rPr>
          <w:sz w:val="22"/>
          <w:szCs w:val="22"/>
        </w:rPr>
        <w:tab/>
        <w:t>State minimum age of 16 for noncertified applicators applying RUPs.</w:t>
      </w:r>
    </w:p>
    <w:p w14:paraId="6A61BFC4" w14:textId="77777777" w:rsidR="00D8365A" w:rsidRPr="00362517" w:rsidRDefault="00D8365A" w:rsidP="00BF6BC7"/>
    <w:p w14:paraId="4306AA47" w14:textId="77777777" w:rsidR="00D8365A" w:rsidRPr="00362517" w:rsidRDefault="00D8365A" w:rsidP="00BF6BC7">
      <w:pPr>
        <w:pStyle w:val="BodyText"/>
      </w:pPr>
      <w:r w:rsidRPr="00362517">
        <w:t>EPA also estimates the number of private applicators that will obtain and retain certification in the new</w:t>
      </w:r>
      <w:r w:rsidRPr="00362517" w:rsidDel="00F007AE">
        <w:t xml:space="preserve"> </w:t>
      </w:r>
      <w:r w:rsidRPr="00362517">
        <w:t>categories.  Table 3.3-7 presents the expected number of applicators in the aerial, soil fumigation, and non-soil fumigation categories.  Wisconsin is the only state that has established a private aerial applicator category and they have not reported any certifications.  Private aerial application is likely very rare.  EPA simply assumes that there will be one private aerial applicator in a state for every 100 commercial aerial applicators.  As with commercial applicators, we assume that new certifications will be 12 percent of existing certifications based on the observed ratio between new and existing certifications nationally.</w:t>
      </w:r>
    </w:p>
    <w:p w14:paraId="71BF4B18" w14:textId="77777777" w:rsidR="00D8365A" w:rsidRPr="00362517" w:rsidRDefault="00D8365A" w:rsidP="00BF6BC7"/>
    <w:p w14:paraId="52B0C7BC" w14:textId="77777777" w:rsidR="00D8365A" w:rsidRPr="00362517" w:rsidRDefault="00D8365A" w:rsidP="00BF6BC7">
      <w:pPr>
        <w:pStyle w:val="Caption"/>
      </w:pPr>
      <w:r w:rsidRPr="00362517">
        <w:t>Table 3.3-7.  Expected Number of Private Applicators in New Categories.</w:t>
      </w:r>
    </w:p>
    <w:tbl>
      <w:tblPr>
        <w:tblStyle w:val="TableGrid"/>
        <w:tblW w:w="0" w:type="auto"/>
        <w:tblLayout w:type="fixed"/>
        <w:tblLook w:val="04A0" w:firstRow="1" w:lastRow="0" w:firstColumn="1" w:lastColumn="0" w:noHBand="0" w:noVBand="1"/>
      </w:tblPr>
      <w:tblGrid>
        <w:gridCol w:w="1795"/>
        <w:gridCol w:w="1260"/>
        <w:gridCol w:w="1260"/>
        <w:gridCol w:w="1302"/>
        <w:gridCol w:w="1244"/>
        <w:gridCol w:w="1244"/>
        <w:gridCol w:w="1245"/>
      </w:tblGrid>
      <w:tr w:rsidR="00D8365A" w:rsidRPr="00362517" w14:paraId="68686DEF" w14:textId="77777777" w:rsidTr="007A2164">
        <w:tc>
          <w:tcPr>
            <w:tcW w:w="1795" w:type="dxa"/>
            <w:vMerge w:val="restart"/>
            <w:vAlign w:val="bottom"/>
          </w:tcPr>
          <w:p w14:paraId="62EB666A" w14:textId="77777777" w:rsidR="00D8365A" w:rsidRPr="00362517" w:rsidRDefault="00D8365A" w:rsidP="00BF6BC7">
            <w:pPr>
              <w:pStyle w:val="BodyText"/>
              <w:rPr>
                <w:rFonts w:cs="Times New Roman"/>
                <w:sz w:val="22"/>
                <w:szCs w:val="22"/>
              </w:rPr>
            </w:pPr>
            <w:r w:rsidRPr="00362517">
              <w:rPr>
                <w:rFonts w:cs="Times New Roman"/>
                <w:sz w:val="22"/>
                <w:szCs w:val="22"/>
              </w:rPr>
              <w:t>Jurisdiction</w:t>
            </w:r>
          </w:p>
        </w:tc>
        <w:tc>
          <w:tcPr>
            <w:tcW w:w="2520" w:type="dxa"/>
            <w:gridSpan w:val="2"/>
            <w:tcBorders>
              <w:bottom w:val="double" w:sz="4" w:space="0" w:color="auto"/>
            </w:tcBorders>
            <w:vAlign w:val="center"/>
          </w:tcPr>
          <w:p w14:paraId="7BC4D8A8" w14:textId="77777777" w:rsidR="00D8365A" w:rsidRPr="00362517" w:rsidRDefault="00D8365A" w:rsidP="00BF6BC7">
            <w:pPr>
              <w:pStyle w:val="BodyText"/>
              <w:jc w:val="center"/>
              <w:rPr>
                <w:rFonts w:cs="Times New Roman"/>
                <w:sz w:val="22"/>
                <w:szCs w:val="22"/>
              </w:rPr>
            </w:pPr>
            <w:r w:rsidRPr="00362517">
              <w:rPr>
                <w:rFonts w:cs="Times New Roman"/>
                <w:sz w:val="22"/>
                <w:szCs w:val="22"/>
              </w:rPr>
              <w:t>Aerial Applications</w:t>
            </w:r>
          </w:p>
        </w:tc>
        <w:tc>
          <w:tcPr>
            <w:tcW w:w="2546" w:type="dxa"/>
            <w:gridSpan w:val="2"/>
            <w:tcBorders>
              <w:bottom w:val="double" w:sz="4" w:space="0" w:color="auto"/>
            </w:tcBorders>
            <w:vAlign w:val="center"/>
          </w:tcPr>
          <w:p w14:paraId="49B8914D" w14:textId="77777777" w:rsidR="00D8365A" w:rsidRPr="00362517" w:rsidRDefault="00D8365A" w:rsidP="00BF6BC7">
            <w:pPr>
              <w:pStyle w:val="BodyText"/>
              <w:jc w:val="center"/>
              <w:rPr>
                <w:rFonts w:cs="Times New Roman"/>
                <w:sz w:val="22"/>
                <w:szCs w:val="22"/>
              </w:rPr>
            </w:pPr>
            <w:r w:rsidRPr="00362517">
              <w:rPr>
                <w:rFonts w:cs="Times New Roman"/>
                <w:sz w:val="22"/>
                <w:szCs w:val="22"/>
              </w:rPr>
              <w:t>Soil Fumigation</w:t>
            </w:r>
          </w:p>
        </w:tc>
        <w:tc>
          <w:tcPr>
            <w:tcW w:w="2489" w:type="dxa"/>
            <w:gridSpan w:val="2"/>
            <w:tcBorders>
              <w:bottom w:val="double" w:sz="4" w:space="0" w:color="auto"/>
            </w:tcBorders>
            <w:vAlign w:val="center"/>
          </w:tcPr>
          <w:p w14:paraId="48AB22F2" w14:textId="77777777" w:rsidR="00D8365A" w:rsidRPr="00362517" w:rsidRDefault="00D8365A" w:rsidP="00BF6BC7">
            <w:pPr>
              <w:pStyle w:val="BodyText"/>
              <w:jc w:val="center"/>
              <w:rPr>
                <w:rFonts w:cs="Times New Roman"/>
                <w:sz w:val="22"/>
                <w:szCs w:val="22"/>
              </w:rPr>
            </w:pPr>
            <w:r w:rsidRPr="00362517">
              <w:rPr>
                <w:rFonts w:cs="Times New Roman"/>
                <w:sz w:val="22"/>
                <w:szCs w:val="22"/>
              </w:rPr>
              <w:t>Non-Soil Fumigation</w:t>
            </w:r>
          </w:p>
        </w:tc>
      </w:tr>
      <w:tr w:rsidR="00D8365A" w:rsidRPr="00362517" w14:paraId="349EBF2E" w14:textId="77777777" w:rsidTr="007A2164">
        <w:tc>
          <w:tcPr>
            <w:tcW w:w="1795" w:type="dxa"/>
            <w:vMerge/>
            <w:tcBorders>
              <w:bottom w:val="double" w:sz="4" w:space="0" w:color="auto"/>
            </w:tcBorders>
            <w:vAlign w:val="bottom"/>
          </w:tcPr>
          <w:p w14:paraId="094E69BB" w14:textId="77777777" w:rsidR="00D8365A" w:rsidRPr="00362517" w:rsidRDefault="00D8365A" w:rsidP="00BF6BC7">
            <w:pPr>
              <w:pStyle w:val="BodyText"/>
              <w:rPr>
                <w:rFonts w:cs="Times New Roman"/>
                <w:sz w:val="22"/>
                <w:szCs w:val="22"/>
              </w:rPr>
            </w:pPr>
          </w:p>
        </w:tc>
        <w:tc>
          <w:tcPr>
            <w:tcW w:w="1260" w:type="dxa"/>
            <w:tcBorders>
              <w:bottom w:val="double" w:sz="4" w:space="0" w:color="auto"/>
            </w:tcBorders>
            <w:vAlign w:val="center"/>
          </w:tcPr>
          <w:p w14:paraId="203AE0BC" w14:textId="77777777" w:rsidR="00D8365A" w:rsidRPr="00362517" w:rsidRDefault="00D8365A" w:rsidP="00BF6BC7">
            <w:pPr>
              <w:pStyle w:val="BodyText"/>
              <w:jc w:val="center"/>
              <w:rPr>
                <w:rFonts w:cs="Times New Roman"/>
                <w:sz w:val="22"/>
                <w:szCs w:val="22"/>
              </w:rPr>
            </w:pPr>
            <w:r w:rsidRPr="00362517">
              <w:rPr>
                <w:rFonts w:cs="Times New Roman"/>
                <w:sz w:val="22"/>
                <w:szCs w:val="22"/>
              </w:rPr>
              <w:t>First-Time Applicators</w:t>
            </w:r>
          </w:p>
        </w:tc>
        <w:tc>
          <w:tcPr>
            <w:tcW w:w="1260" w:type="dxa"/>
            <w:tcBorders>
              <w:bottom w:val="double" w:sz="4" w:space="0" w:color="auto"/>
            </w:tcBorders>
            <w:vAlign w:val="center"/>
          </w:tcPr>
          <w:p w14:paraId="0DCC4FD0" w14:textId="77777777" w:rsidR="00D8365A" w:rsidRPr="00362517" w:rsidRDefault="00D8365A" w:rsidP="00BF6BC7">
            <w:pPr>
              <w:pStyle w:val="BodyText"/>
              <w:jc w:val="center"/>
              <w:rPr>
                <w:rFonts w:cs="Times New Roman"/>
                <w:sz w:val="22"/>
                <w:szCs w:val="22"/>
              </w:rPr>
            </w:pPr>
            <w:r w:rsidRPr="00362517">
              <w:rPr>
                <w:rFonts w:cs="Times New Roman"/>
                <w:sz w:val="22"/>
                <w:szCs w:val="22"/>
              </w:rPr>
              <w:t>Existing Applicators</w:t>
            </w:r>
          </w:p>
        </w:tc>
        <w:tc>
          <w:tcPr>
            <w:tcW w:w="1302" w:type="dxa"/>
            <w:tcBorders>
              <w:bottom w:val="double" w:sz="4" w:space="0" w:color="auto"/>
            </w:tcBorders>
            <w:vAlign w:val="center"/>
          </w:tcPr>
          <w:p w14:paraId="721E84EC" w14:textId="77777777" w:rsidR="00D8365A" w:rsidRPr="00362517" w:rsidRDefault="00D8365A" w:rsidP="00BF6BC7">
            <w:pPr>
              <w:pStyle w:val="BodyText"/>
              <w:jc w:val="center"/>
              <w:rPr>
                <w:rFonts w:cs="Times New Roman"/>
                <w:sz w:val="22"/>
                <w:szCs w:val="22"/>
              </w:rPr>
            </w:pPr>
            <w:r w:rsidRPr="00362517">
              <w:rPr>
                <w:rFonts w:cs="Times New Roman"/>
                <w:sz w:val="22"/>
                <w:szCs w:val="22"/>
              </w:rPr>
              <w:t>First-Time Applicators</w:t>
            </w:r>
          </w:p>
        </w:tc>
        <w:tc>
          <w:tcPr>
            <w:tcW w:w="1244" w:type="dxa"/>
            <w:tcBorders>
              <w:bottom w:val="double" w:sz="4" w:space="0" w:color="auto"/>
            </w:tcBorders>
            <w:vAlign w:val="center"/>
          </w:tcPr>
          <w:p w14:paraId="17DE51F1" w14:textId="77777777" w:rsidR="00D8365A" w:rsidRPr="00362517" w:rsidRDefault="00D8365A" w:rsidP="00BF6BC7">
            <w:pPr>
              <w:pStyle w:val="BodyText"/>
              <w:jc w:val="center"/>
              <w:rPr>
                <w:rFonts w:cs="Times New Roman"/>
                <w:sz w:val="22"/>
                <w:szCs w:val="22"/>
              </w:rPr>
            </w:pPr>
            <w:r w:rsidRPr="00362517">
              <w:rPr>
                <w:rFonts w:cs="Times New Roman"/>
                <w:sz w:val="22"/>
                <w:szCs w:val="22"/>
              </w:rPr>
              <w:t>Existing Applicators</w:t>
            </w:r>
          </w:p>
        </w:tc>
        <w:tc>
          <w:tcPr>
            <w:tcW w:w="1244" w:type="dxa"/>
            <w:tcBorders>
              <w:bottom w:val="double" w:sz="4" w:space="0" w:color="auto"/>
            </w:tcBorders>
            <w:vAlign w:val="center"/>
          </w:tcPr>
          <w:p w14:paraId="46FA35EF" w14:textId="77777777" w:rsidR="00D8365A" w:rsidRPr="00362517" w:rsidRDefault="00D8365A" w:rsidP="00BF6BC7">
            <w:pPr>
              <w:pStyle w:val="BodyText"/>
              <w:jc w:val="center"/>
              <w:rPr>
                <w:rFonts w:cs="Times New Roman"/>
                <w:sz w:val="22"/>
                <w:szCs w:val="22"/>
              </w:rPr>
            </w:pPr>
            <w:r w:rsidRPr="00362517">
              <w:rPr>
                <w:rFonts w:cs="Times New Roman"/>
                <w:sz w:val="22"/>
                <w:szCs w:val="22"/>
              </w:rPr>
              <w:t>First-Time Applicators</w:t>
            </w:r>
          </w:p>
        </w:tc>
        <w:tc>
          <w:tcPr>
            <w:tcW w:w="1245" w:type="dxa"/>
            <w:tcBorders>
              <w:bottom w:val="double" w:sz="4" w:space="0" w:color="auto"/>
            </w:tcBorders>
            <w:vAlign w:val="center"/>
          </w:tcPr>
          <w:p w14:paraId="07F3F230" w14:textId="77777777" w:rsidR="00D8365A" w:rsidRPr="00362517" w:rsidRDefault="00D8365A" w:rsidP="00BF6BC7">
            <w:pPr>
              <w:pStyle w:val="BodyText"/>
              <w:jc w:val="center"/>
              <w:rPr>
                <w:rFonts w:cs="Times New Roman"/>
                <w:sz w:val="22"/>
                <w:szCs w:val="22"/>
              </w:rPr>
            </w:pPr>
            <w:r w:rsidRPr="00362517">
              <w:rPr>
                <w:rFonts w:cs="Times New Roman"/>
                <w:sz w:val="22"/>
                <w:szCs w:val="22"/>
              </w:rPr>
              <w:t>Existing Applicators</w:t>
            </w:r>
          </w:p>
        </w:tc>
      </w:tr>
      <w:tr w:rsidR="00D8365A" w:rsidRPr="00362517" w14:paraId="4DA5D40B" w14:textId="77777777" w:rsidTr="007A2164">
        <w:tc>
          <w:tcPr>
            <w:tcW w:w="1795" w:type="dxa"/>
            <w:tcBorders>
              <w:top w:val="double" w:sz="4" w:space="0" w:color="auto"/>
            </w:tcBorders>
          </w:tcPr>
          <w:p w14:paraId="491913D6" w14:textId="77777777" w:rsidR="00D8365A" w:rsidRPr="00362517" w:rsidRDefault="00D8365A" w:rsidP="00BF6BC7">
            <w:pPr>
              <w:pStyle w:val="BodyText"/>
              <w:rPr>
                <w:rFonts w:cs="Times New Roman"/>
                <w:sz w:val="22"/>
                <w:szCs w:val="22"/>
              </w:rPr>
            </w:pPr>
            <w:r w:rsidRPr="00362517">
              <w:rPr>
                <w:rFonts w:cs="Times New Roman"/>
                <w:sz w:val="22"/>
                <w:szCs w:val="22"/>
              </w:rPr>
              <w:t>Alabama</w:t>
            </w:r>
            <w:r w:rsidRPr="00362517">
              <w:rPr>
                <w:rFonts w:cs="Times New Roman"/>
                <w:sz w:val="22"/>
                <w:szCs w:val="22"/>
                <w:vertAlign w:val="superscript"/>
              </w:rPr>
              <w:t xml:space="preserve"> 1 2 3</w:t>
            </w:r>
          </w:p>
        </w:tc>
        <w:tc>
          <w:tcPr>
            <w:tcW w:w="1260" w:type="dxa"/>
            <w:tcBorders>
              <w:top w:val="double" w:sz="4" w:space="0" w:color="auto"/>
            </w:tcBorders>
          </w:tcPr>
          <w:p w14:paraId="621AE78F" w14:textId="77777777" w:rsidR="00D8365A" w:rsidRPr="00362517" w:rsidRDefault="00D8365A" w:rsidP="00BF6BC7">
            <w:pPr>
              <w:tabs>
                <w:tab w:val="decimal" w:pos="619"/>
              </w:tabs>
              <w:rPr>
                <w:sz w:val="22"/>
                <w:szCs w:val="22"/>
              </w:rPr>
            </w:pPr>
            <w:r w:rsidRPr="00362517">
              <w:rPr>
                <w:sz w:val="22"/>
                <w:szCs w:val="22"/>
              </w:rPr>
              <w:t>0.0</w:t>
            </w:r>
          </w:p>
        </w:tc>
        <w:tc>
          <w:tcPr>
            <w:tcW w:w="1260" w:type="dxa"/>
            <w:tcBorders>
              <w:top w:val="double" w:sz="4" w:space="0" w:color="auto"/>
            </w:tcBorders>
          </w:tcPr>
          <w:p w14:paraId="3D324B97" w14:textId="77777777" w:rsidR="00D8365A" w:rsidRPr="00362517" w:rsidRDefault="00D8365A" w:rsidP="00BF6BC7">
            <w:pPr>
              <w:tabs>
                <w:tab w:val="decimal" w:pos="627"/>
              </w:tabs>
              <w:rPr>
                <w:sz w:val="22"/>
                <w:szCs w:val="22"/>
              </w:rPr>
            </w:pPr>
            <w:r w:rsidRPr="00362517">
              <w:rPr>
                <w:sz w:val="22"/>
                <w:szCs w:val="22"/>
              </w:rPr>
              <w:t>0.0</w:t>
            </w:r>
          </w:p>
        </w:tc>
        <w:tc>
          <w:tcPr>
            <w:tcW w:w="1302" w:type="dxa"/>
            <w:tcBorders>
              <w:top w:val="double" w:sz="4" w:space="0" w:color="auto"/>
            </w:tcBorders>
          </w:tcPr>
          <w:p w14:paraId="4D8AB63F" w14:textId="77777777" w:rsidR="00D8365A" w:rsidRPr="00362517" w:rsidRDefault="00D8365A" w:rsidP="00BF6BC7">
            <w:pPr>
              <w:tabs>
                <w:tab w:val="decimal" w:pos="660"/>
              </w:tabs>
              <w:rPr>
                <w:sz w:val="22"/>
                <w:szCs w:val="22"/>
              </w:rPr>
            </w:pPr>
            <w:r w:rsidRPr="00362517">
              <w:rPr>
                <w:sz w:val="22"/>
                <w:szCs w:val="22"/>
              </w:rPr>
              <w:t>12</w:t>
            </w:r>
          </w:p>
        </w:tc>
        <w:tc>
          <w:tcPr>
            <w:tcW w:w="1244" w:type="dxa"/>
            <w:tcBorders>
              <w:top w:val="double" w:sz="4" w:space="0" w:color="auto"/>
            </w:tcBorders>
          </w:tcPr>
          <w:p w14:paraId="5D7E7949" w14:textId="77777777" w:rsidR="00D8365A" w:rsidRPr="00362517" w:rsidRDefault="00D8365A" w:rsidP="00BF6BC7">
            <w:pPr>
              <w:tabs>
                <w:tab w:val="decimal" w:pos="750"/>
              </w:tabs>
              <w:rPr>
                <w:sz w:val="22"/>
                <w:szCs w:val="22"/>
              </w:rPr>
            </w:pPr>
            <w:r w:rsidRPr="00362517">
              <w:rPr>
                <w:sz w:val="22"/>
                <w:szCs w:val="22"/>
              </w:rPr>
              <w:t>112</w:t>
            </w:r>
          </w:p>
        </w:tc>
        <w:tc>
          <w:tcPr>
            <w:tcW w:w="1244" w:type="dxa"/>
            <w:tcBorders>
              <w:top w:val="double" w:sz="4" w:space="0" w:color="auto"/>
            </w:tcBorders>
          </w:tcPr>
          <w:p w14:paraId="57FFBCA9" w14:textId="77777777" w:rsidR="00D8365A" w:rsidRPr="00362517" w:rsidRDefault="00D8365A" w:rsidP="00BF6BC7">
            <w:pPr>
              <w:tabs>
                <w:tab w:val="decimal" w:pos="702"/>
              </w:tabs>
              <w:rPr>
                <w:sz w:val="22"/>
                <w:szCs w:val="22"/>
              </w:rPr>
            </w:pPr>
            <w:r w:rsidRPr="00362517">
              <w:rPr>
                <w:sz w:val="22"/>
                <w:szCs w:val="22"/>
              </w:rPr>
              <w:t>3</w:t>
            </w:r>
          </w:p>
        </w:tc>
        <w:tc>
          <w:tcPr>
            <w:tcW w:w="1245" w:type="dxa"/>
            <w:tcBorders>
              <w:top w:val="double" w:sz="4" w:space="0" w:color="auto"/>
            </w:tcBorders>
          </w:tcPr>
          <w:p w14:paraId="08F582C1" w14:textId="77777777" w:rsidR="00D8365A" w:rsidRPr="00362517" w:rsidRDefault="00D8365A" w:rsidP="00BF6BC7">
            <w:pPr>
              <w:tabs>
                <w:tab w:val="decimal" w:pos="710"/>
              </w:tabs>
              <w:rPr>
                <w:sz w:val="22"/>
                <w:szCs w:val="22"/>
              </w:rPr>
            </w:pPr>
            <w:r w:rsidRPr="00362517">
              <w:rPr>
                <w:sz w:val="22"/>
                <w:szCs w:val="22"/>
              </w:rPr>
              <w:t>36</w:t>
            </w:r>
          </w:p>
        </w:tc>
      </w:tr>
      <w:tr w:rsidR="00D8365A" w:rsidRPr="00362517" w14:paraId="4D414425" w14:textId="77777777" w:rsidTr="007A2164">
        <w:tc>
          <w:tcPr>
            <w:tcW w:w="1795" w:type="dxa"/>
          </w:tcPr>
          <w:p w14:paraId="6DC49118" w14:textId="77777777" w:rsidR="00D8365A" w:rsidRPr="00362517" w:rsidRDefault="00D8365A" w:rsidP="00BF6BC7">
            <w:pPr>
              <w:pStyle w:val="BodyText"/>
              <w:rPr>
                <w:rFonts w:cs="Times New Roman"/>
                <w:sz w:val="22"/>
                <w:szCs w:val="22"/>
              </w:rPr>
            </w:pPr>
            <w:r w:rsidRPr="00362517">
              <w:rPr>
                <w:rFonts w:cs="Times New Roman"/>
                <w:sz w:val="22"/>
                <w:szCs w:val="22"/>
              </w:rPr>
              <w:t>Alaska</w:t>
            </w:r>
            <w:r w:rsidRPr="00362517">
              <w:rPr>
                <w:rFonts w:cs="Times New Roman"/>
                <w:sz w:val="22"/>
                <w:szCs w:val="22"/>
                <w:vertAlign w:val="superscript"/>
              </w:rPr>
              <w:t xml:space="preserve"> 1 2 3</w:t>
            </w:r>
          </w:p>
        </w:tc>
        <w:tc>
          <w:tcPr>
            <w:tcW w:w="1260" w:type="dxa"/>
          </w:tcPr>
          <w:p w14:paraId="28FF4386"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63CE449E"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7B2B5289" w14:textId="77777777" w:rsidR="00D8365A" w:rsidRPr="00362517" w:rsidRDefault="00D8365A" w:rsidP="00BF6BC7">
            <w:pPr>
              <w:tabs>
                <w:tab w:val="decimal" w:pos="660"/>
              </w:tabs>
              <w:rPr>
                <w:sz w:val="22"/>
                <w:szCs w:val="22"/>
              </w:rPr>
            </w:pPr>
            <w:r w:rsidRPr="00362517">
              <w:rPr>
                <w:sz w:val="22"/>
                <w:szCs w:val="22"/>
              </w:rPr>
              <w:t>0</w:t>
            </w:r>
          </w:p>
        </w:tc>
        <w:tc>
          <w:tcPr>
            <w:tcW w:w="1244" w:type="dxa"/>
          </w:tcPr>
          <w:p w14:paraId="480A5C9D" w14:textId="77777777" w:rsidR="00D8365A" w:rsidRPr="00362517" w:rsidRDefault="00D8365A" w:rsidP="00BF6BC7">
            <w:pPr>
              <w:tabs>
                <w:tab w:val="decimal" w:pos="750"/>
              </w:tabs>
              <w:rPr>
                <w:sz w:val="22"/>
                <w:szCs w:val="22"/>
              </w:rPr>
            </w:pPr>
            <w:r w:rsidRPr="00362517">
              <w:rPr>
                <w:sz w:val="22"/>
                <w:szCs w:val="22"/>
              </w:rPr>
              <w:t>0</w:t>
            </w:r>
          </w:p>
        </w:tc>
        <w:tc>
          <w:tcPr>
            <w:tcW w:w="1244" w:type="dxa"/>
          </w:tcPr>
          <w:p w14:paraId="508FBCD7" w14:textId="77777777" w:rsidR="00D8365A" w:rsidRPr="00362517" w:rsidRDefault="00D8365A" w:rsidP="00BF6BC7">
            <w:pPr>
              <w:tabs>
                <w:tab w:val="decimal" w:pos="702"/>
              </w:tabs>
              <w:rPr>
                <w:sz w:val="22"/>
                <w:szCs w:val="22"/>
              </w:rPr>
            </w:pPr>
            <w:r w:rsidRPr="00362517">
              <w:rPr>
                <w:sz w:val="22"/>
                <w:szCs w:val="22"/>
              </w:rPr>
              <w:t>0</w:t>
            </w:r>
          </w:p>
        </w:tc>
        <w:tc>
          <w:tcPr>
            <w:tcW w:w="1245" w:type="dxa"/>
          </w:tcPr>
          <w:p w14:paraId="354C5AB9" w14:textId="77777777" w:rsidR="00D8365A" w:rsidRPr="00362517" w:rsidRDefault="00D8365A" w:rsidP="00BF6BC7">
            <w:pPr>
              <w:tabs>
                <w:tab w:val="decimal" w:pos="710"/>
              </w:tabs>
              <w:rPr>
                <w:sz w:val="22"/>
                <w:szCs w:val="22"/>
              </w:rPr>
            </w:pPr>
            <w:r w:rsidRPr="00362517">
              <w:rPr>
                <w:sz w:val="22"/>
                <w:szCs w:val="22"/>
              </w:rPr>
              <w:t>0</w:t>
            </w:r>
          </w:p>
        </w:tc>
      </w:tr>
      <w:tr w:rsidR="00D8365A" w:rsidRPr="00362517" w14:paraId="43B75F2E" w14:textId="77777777" w:rsidTr="007A2164">
        <w:tc>
          <w:tcPr>
            <w:tcW w:w="1795" w:type="dxa"/>
          </w:tcPr>
          <w:p w14:paraId="5BE03095" w14:textId="77777777" w:rsidR="00D8365A" w:rsidRPr="00362517" w:rsidRDefault="00D8365A" w:rsidP="00BF6BC7">
            <w:pPr>
              <w:pStyle w:val="BodyText"/>
              <w:rPr>
                <w:rFonts w:cs="Times New Roman"/>
                <w:sz w:val="22"/>
                <w:szCs w:val="22"/>
              </w:rPr>
            </w:pPr>
            <w:r w:rsidRPr="00362517">
              <w:rPr>
                <w:rFonts w:cs="Times New Roman"/>
                <w:sz w:val="22"/>
                <w:szCs w:val="22"/>
              </w:rPr>
              <w:t>Arizona</w:t>
            </w:r>
            <w:r w:rsidRPr="00362517">
              <w:rPr>
                <w:rFonts w:cs="Times New Roman"/>
                <w:sz w:val="22"/>
                <w:szCs w:val="22"/>
                <w:vertAlign w:val="superscript"/>
              </w:rPr>
              <w:t xml:space="preserve"> 1 2</w:t>
            </w:r>
          </w:p>
        </w:tc>
        <w:tc>
          <w:tcPr>
            <w:tcW w:w="1260" w:type="dxa"/>
          </w:tcPr>
          <w:p w14:paraId="42B4A89C"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27B53267"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6D5B6910" w14:textId="77777777" w:rsidR="00D8365A" w:rsidRPr="00362517" w:rsidRDefault="00D8365A" w:rsidP="00BF6BC7">
            <w:pPr>
              <w:tabs>
                <w:tab w:val="decimal" w:pos="660"/>
              </w:tabs>
              <w:rPr>
                <w:sz w:val="22"/>
                <w:szCs w:val="22"/>
              </w:rPr>
            </w:pPr>
            <w:r w:rsidRPr="00362517">
              <w:rPr>
                <w:sz w:val="22"/>
                <w:szCs w:val="22"/>
              </w:rPr>
              <w:t>7</w:t>
            </w:r>
          </w:p>
        </w:tc>
        <w:tc>
          <w:tcPr>
            <w:tcW w:w="1244" w:type="dxa"/>
          </w:tcPr>
          <w:p w14:paraId="66DA8E3C" w14:textId="77777777" w:rsidR="00D8365A" w:rsidRPr="00362517" w:rsidRDefault="00D8365A" w:rsidP="00BF6BC7">
            <w:pPr>
              <w:tabs>
                <w:tab w:val="decimal" w:pos="750"/>
              </w:tabs>
              <w:rPr>
                <w:sz w:val="22"/>
                <w:szCs w:val="22"/>
              </w:rPr>
            </w:pPr>
            <w:r w:rsidRPr="00362517">
              <w:rPr>
                <w:sz w:val="22"/>
                <w:szCs w:val="22"/>
              </w:rPr>
              <w:t>65</w:t>
            </w:r>
          </w:p>
        </w:tc>
        <w:tc>
          <w:tcPr>
            <w:tcW w:w="1244" w:type="dxa"/>
          </w:tcPr>
          <w:p w14:paraId="698F84B6" w14:textId="77777777" w:rsidR="00D8365A" w:rsidRPr="00362517" w:rsidRDefault="00D8365A" w:rsidP="00BF6BC7">
            <w:pPr>
              <w:tabs>
                <w:tab w:val="decimal" w:pos="702"/>
              </w:tabs>
              <w:rPr>
                <w:sz w:val="22"/>
                <w:szCs w:val="22"/>
              </w:rPr>
            </w:pPr>
            <w:r w:rsidRPr="00362517">
              <w:rPr>
                <w:sz w:val="22"/>
                <w:szCs w:val="22"/>
              </w:rPr>
              <w:t>2</w:t>
            </w:r>
          </w:p>
        </w:tc>
        <w:tc>
          <w:tcPr>
            <w:tcW w:w="1245" w:type="dxa"/>
          </w:tcPr>
          <w:p w14:paraId="41E3300E" w14:textId="77777777" w:rsidR="00D8365A" w:rsidRPr="00362517" w:rsidRDefault="00D8365A" w:rsidP="00BF6BC7">
            <w:pPr>
              <w:tabs>
                <w:tab w:val="decimal" w:pos="710"/>
              </w:tabs>
              <w:rPr>
                <w:sz w:val="22"/>
                <w:szCs w:val="22"/>
              </w:rPr>
            </w:pPr>
            <w:r w:rsidRPr="00362517">
              <w:rPr>
                <w:sz w:val="22"/>
                <w:szCs w:val="22"/>
              </w:rPr>
              <w:t>29</w:t>
            </w:r>
          </w:p>
        </w:tc>
      </w:tr>
      <w:tr w:rsidR="00D8365A" w:rsidRPr="00362517" w14:paraId="52603EA8" w14:textId="77777777" w:rsidTr="007A2164">
        <w:tc>
          <w:tcPr>
            <w:tcW w:w="1795" w:type="dxa"/>
          </w:tcPr>
          <w:p w14:paraId="6CCB363C" w14:textId="77777777" w:rsidR="00D8365A" w:rsidRPr="00362517" w:rsidRDefault="00D8365A" w:rsidP="00BF6BC7">
            <w:pPr>
              <w:pStyle w:val="BodyText"/>
              <w:rPr>
                <w:rFonts w:cs="Times New Roman"/>
                <w:sz w:val="22"/>
                <w:szCs w:val="22"/>
              </w:rPr>
            </w:pPr>
            <w:r w:rsidRPr="00362517">
              <w:rPr>
                <w:rFonts w:cs="Times New Roman"/>
                <w:sz w:val="22"/>
                <w:szCs w:val="22"/>
              </w:rPr>
              <w:t>Arkansas</w:t>
            </w:r>
            <w:r w:rsidRPr="00362517">
              <w:rPr>
                <w:rFonts w:cs="Times New Roman"/>
                <w:sz w:val="22"/>
                <w:szCs w:val="22"/>
                <w:vertAlign w:val="superscript"/>
              </w:rPr>
              <w:t xml:space="preserve"> 1 2 3</w:t>
            </w:r>
          </w:p>
        </w:tc>
        <w:tc>
          <w:tcPr>
            <w:tcW w:w="1260" w:type="dxa"/>
          </w:tcPr>
          <w:p w14:paraId="4AEC836C" w14:textId="77777777" w:rsidR="00D8365A" w:rsidRPr="00362517" w:rsidRDefault="00D8365A" w:rsidP="00BF6BC7">
            <w:pPr>
              <w:tabs>
                <w:tab w:val="decimal" w:pos="619"/>
              </w:tabs>
              <w:rPr>
                <w:sz w:val="22"/>
                <w:szCs w:val="22"/>
              </w:rPr>
            </w:pPr>
            <w:r w:rsidRPr="00362517">
              <w:rPr>
                <w:sz w:val="22"/>
                <w:szCs w:val="22"/>
              </w:rPr>
              <w:t>0.1</w:t>
            </w:r>
          </w:p>
        </w:tc>
        <w:tc>
          <w:tcPr>
            <w:tcW w:w="1260" w:type="dxa"/>
          </w:tcPr>
          <w:p w14:paraId="6E7AA82A" w14:textId="77777777" w:rsidR="00D8365A" w:rsidRPr="00362517" w:rsidRDefault="00D8365A" w:rsidP="00BF6BC7">
            <w:pPr>
              <w:tabs>
                <w:tab w:val="decimal" w:pos="627"/>
              </w:tabs>
              <w:rPr>
                <w:sz w:val="22"/>
                <w:szCs w:val="22"/>
              </w:rPr>
            </w:pPr>
            <w:r w:rsidRPr="00362517">
              <w:rPr>
                <w:sz w:val="22"/>
                <w:szCs w:val="22"/>
              </w:rPr>
              <w:t>1.0</w:t>
            </w:r>
          </w:p>
        </w:tc>
        <w:tc>
          <w:tcPr>
            <w:tcW w:w="1302" w:type="dxa"/>
          </w:tcPr>
          <w:p w14:paraId="72923C9B" w14:textId="77777777" w:rsidR="00D8365A" w:rsidRPr="00362517" w:rsidRDefault="00D8365A" w:rsidP="00BF6BC7">
            <w:pPr>
              <w:tabs>
                <w:tab w:val="decimal" w:pos="660"/>
              </w:tabs>
              <w:rPr>
                <w:sz w:val="22"/>
                <w:szCs w:val="22"/>
              </w:rPr>
            </w:pPr>
            <w:r w:rsidRPr="00362517">
              <w:rPr>
                <w:sz w:val="22"/>
                <w:szCs w:val="22"/>
              </w:rPr>
              <w:t>56</w:t>
            </w:r>
          </w:p>
        </w:tc>
        <w:tc>
          <w:tcPr>
            <w:tcW w:w="1244" w:type="dxa"/>
          </w:tcPr>
          <w:p w14:paraId="6F2BEF21" w14:textId="77777777" w:rsidR="00D8365A" w:rsidRPr="00362517" w:rsidRDefault="00D8365A" w:rsidP="00BF6BC7">
            <w:pPr>
              <w:tabs>
                <w:tab w:val="decimal" w:pos="750"/>
              </w:tabs>
              <w:rPr>
                <w:sz w:val="22"/>
                <w:szCs w:val="22"/>
              </w:rPr>
            </w:pPr>
            <w:r w:rsidRPr="00362517">
              <w:rPr>
                <w:sz w:val="22"/>
                <w:szCs w:val="22"/>
              </w:rPr>
              <w:t>509</w:t>
            </w:r>
          </w:p>
        </w:tc>
        <w:tc>
          <w:tcPr>
            <w:tcW w:w="1244" w:type="dxa"/>
          </w:tcPr>
          <w:p w14:paraId="0381C9B1" w14:textId="77777777" w:rsidR="00D8365A" w:rsidRPr="00362517" w:rsidRDefault="00D8365A" w:rsidP="00BF6BC7">
            <w:pPr>
              <w:tabs>
                <w:tab w:val="decimal" w:pos="702"/>
              </w:tabs>
              <w:rPr>
                <w:sz w:val="22"/>
                <w:szCs w:val="22"/>
              </w:rPr>
            </w:pPr>
            <w:r w:rsidRPr="00362517">
              <w:rPr>
                <w:sz w:val="22"/>
                <w:szCs w:val="22"/>
              </w:rPr>
              <w:t>6</w:t>
            </w:r>
          </w:p>
        </w:tc>
        <w:tc>
          <w:tcPr>
            <w:tcW w:w="1245" w:type="dxa"/>
          </w:tcPr>
          <w:p w14:paraId="252332CA" w14:textId="77777777" w:rsidR="00D8365A" w:rsidRPr="00362517" w:rsidRDefault="00D8365A" w:rsidP="00BF6BC7">
            <w:pPr>
              <w:tabs>
                <w:tab w:val="decimal" w:pos="710"/>
              </w:tabs>
              <w:rPr>
                <w:sz w:val="22"/>
                <w:szCs w:val="22"/>
              </w:rPr>
            </w:pPr>
            <w:r w:rsidRPr="00362517">
              <w:rPr>
                <w:sz w:val="22"/>
                <w:szCs w:val="22"/>
              </w:rPr>
              <w:t>84</w:t>
            </w:r>
          </w:p>
        </w:tc>
      </w:tr>
      <w:tr w:rsidR="00D8365A" w:rsidRPr="00362517" w14:paraId="6B0757C7" w14:textId="77777777" w:rsidTr="007A2164">
        <w:tc>
          <w:tcPr>
            <w:tcW w:w="1795" w:type="dxa"/>
          </w:tcPr>
          <w:p w14:paraId="5150939D" w14:textId="77777777" w:rsidR="00D8365A" w:rsidRPr="00362517" w:rsidRDefault="00D8365A" w:rsidP="00BF6BC7">
            <w:pPr>
              <w:pStyle w:val="BodyText"/>
              <w:rPr>
                <w:rFonts w:cs="Times New Roman"/>
                <w:sz w:val="22"/>
                <w:szCs w:val="22"/>
              </w:rPr>
            </w:pPr>
            <w:r w:rsidRPr="00362517">
              <w:rPr>
                <w:rFonts w:cs="Times New Roman"/>
                <w:sz w:val="22"/>
                <w:szCs w:val="22"/>
              </w:rPr>
              <w:t>California</w:t>
            </w:r>
            <w:r w:rsidRPr="00362517">
              <w:rPr>
                <w:rFonts w:cs="Times New Roman"/>
                <w:sz w:val="22"/>
                <w:szCs w:val="22"/>
                <w:vertAlign w:val="superscript"/>
              </w:rPr>
              <w:t xml:space="preserve"> 1 2 3</w:t>
            </w:r>
          </w:p>
        </w:tc>
        <w:tc>
          <w:tcPr>
            <w:tcW w:w="1260" w:type="dxa"/>
          </w:tcPr>
          <w:p w14:paraId="1B3BCD0C" w14:textId="77777777" w:rsidR="00D8365A" w:rsidRPr="00362517" w:rsidRDefault="00D8365A" w:rsidP="00BF6BC7">
            <w:pPr>
              <w:tabs>
                <w:tab w:val="decimal" w:pos="619"/>
              </w:tabs>
              <w:rPr>
                <w:sz w:val="22"/>
                <w:szCs w:val="22"/>
              </w:rPr>
            </w:pPr>
            <w:r w:rsidRPr="00362517">
              <w:rPr>
                <w:sz w:val="22"/>
                <w:szCs w:val="22"/>
              </w:rPr>
              <w:t>0.5</w:t>
            </w:r>
          </w:p>
        </w:tc>
        <w:tc>
          <w:tcPr>
            <w:tcW w:w="1260" w:type="dxa"/>
          </w:tcPr>
          <w:p w14:paraId="6036051F" w14:textId="77777777" w:rsidR="00D8365A" w:rsidRPr="00362517" w:rsidRDefault="00D8365A" w:rsidP="00BF6BC7">
            <w:pPr>
              <w:tabs>
                <w:tab w:val="decimal" w:pos="627"/>
              </w:tabs>
              <w:rPr>
                <w:sz w:val="22"/>
                <w:szCs w:val="22"/>
              </w:rPr>
            </w:pPr>
            <w:r w:rsidRPr="00362517">
              <w:rPr>
                <w:sz w:val="22"/>
                <w:szCs w:val="22"/>
              </w:rPr>
              <w:t>4.0</w:t>
            </w:r>
          </w:p>
        </w:tc>
        <w:tc>
          <w:tcPr>
            <w:tcW w:w="1302" w:type="dxa"/>
          </w:tcPr>
          <w:p w14:paraId="136F6635" w14:textId="77777777" w:rsidR="00D8365A" w:rsidRPr="00362517" w:rsidRDefault="00D8365A" w:rsidP="00BF6BC7">
            <w:pPr>
              <w:tabs>
                <w:tab w:val="decimal" w:pos="660"/>
              </w:tabs>
              <w:rPr>
                <w:sz w:val="22"/>
                <w:szCs w:val="22"/>
              </w:rPr>
            </w:pPr>
            <w:r w:rsidRPr="00362517">
              <w:rPr>
                <w:sz w:val="22"/>
                <w:szCs w:val="22"/>
              </w:rPr>
              <w:t>91</w:t>
            </w:r>
          </w:p>
        </w:tc>
        <w:tc>
          <w:tcPr>
            <w:tcW w:w="1244" w:type="dxa"/>
          </w:tcPr>
          <w:p w14:paraId="33B0C0F8" w14:textId="77777777" w:rsidR="00D8365A" w:rsidRPr="00362517" w:rsidRDefault="00D8365A" w:rsidP="00BF6BC7">
            <w:pPr>
              <w:tabs>
                <w:tab w:val="decimal" w:pos="750"/>
              </w:tabs>
              <w:rPr>
                <w:sz w:val="22"/>
                <w:szCs w:val="22"/>
              </w:rPr>
            </w:pPr>
            <w:r w:rsidRPr="00362517">
              <w:rPr>
                <w:sz w:val="22"/>
                <w:szCs w:val="22"/>
              </w:rPr>
              <w:t>828</w:t>
            </w:r>
          </w:p>
        </w:tc>
        <w:tc>
          <w:tcPr>
            <w:tcW w:w="1244" w:type="dxa"/>
          </w:tcPr>
          <w:p w14:paraId="1EE7A909" w14:textId="77777777" w:rsidR="00D8365A" w:rsidRPr="00362517" w:rsidRDefault="00D8365A" w:rsidP="00BF6BC7">
            <w:pPr>
              <w:tabs>
                <w:tab w:val="decimal" w:pos="702"/>
              </w:tabs>
              <w:rPr>
                <w:sz w:val="22"/>
                <w:szCs w:val="22"/>
              </w:rPr>
            </w:pPr>
            <w:r w:rsidRPr="00362517">
              <w:rPr>
                <w:sz w:val="22"/>
                <w:szCs w:val="22"/>
              </w:rPr>
              <w:t>18</w:t>
            </w:r>
          </w:p>
        </w:tc>
        <w:tc>
          <w:tcPr>
            <w:tcW w:w="1245" w:type="dxa"/>
          </w:tcPr>
          <w:p w14:paraId="384C87ED" w14:textId="77777777" w:rsidR="00D8365A" w:rsidRPr="00362517" w:rsidRDefault="00D8365A" w:rsidP="00BF6BC7">
            <w:pPr>
              <w:tabs>
                <w:tab w:val="decimal" w:pos="710"/>
              </w:tabs>
              <w:rPr>
                <w:sz w:val="22"/>
                <w:szCs w:val="22"/>
              </w:rPr>
            </w:pPr>
            <w:r w:rsidRPr="00362517">
              <w:rPr>
                <w:sz w:val="22"/>
                <w:szCs w:val="22"/>
              </w:rPr>
              <w:t>254</w:t>
            </w:r>
          </w:p>
        </w:tc>
      </w:tr>
      <w:tr w:rsidR="00D8365A" w:rsidRPr="00362517" w14:paraId="781A703E" w14:textId="77777777" w:rsidTr="007A2164">
        <w:tc>
          <w:tcPr>
            <w:tcW w:w="1795" w:type="dxa"/>
          </w:tcPr>
          <w:p w14:paraId="13BF4E7A" w14:textId="77777777" w:rsidR="00D8365A" w:rsidRPr="00362517" w:rsidRDefault="00D8365A" w:rsidP="00BF6BC7">
            <w:pPr>
              <w:pStyle w:val="BodyText"/>
              <w:rPr>
                <w:rFonts w:cs="Times New Roman"/>
                <w:sz w:val="22"/>
                <w:szCs w:val="22"/>
              </w:rPr>
            </w:pPr>
            <w:r w:rsidRPr="00362517">
              <w:rPr>
                <w:rFonts w:cs="Times New Roman"/>
                <w:sz w:val="22"/>
                <w:szCs w:val="22"/>
              </w:rPr>
              <w:t>Colorado</w:t>
            </w:r>
            <w:r w:rsidRPr="00362517">
              <w:rPr>
                <w:rFonts w:cs="Times New Roman"/>
                <w:sz w:val="22"/>
                <w:szCs w:val="22"/>
                <w:vertAlign w:val="superscript"/>
              </w:rPr>
              <w:t xml:space="preserve"> 1 2 3</w:t>
            </w:r>
          </w:p>
        </w:tc>
        <w:tc>
          <w:tcPr>
            <w:tcW w:w="1260" w:type="dxa"/>
          </w:tcPr>
          <w:p w14:paraId="2D32686D" w14:textId="77777777" w:rsidR="00D8365A" w:rsidRPr="00362517" w:rsidRDefault="00D8365A" w:rsidP="00BF6BC7">
            <w:pPr>
              <w:tabs>
                <w:tab w:val="decimal" w:pos="619"/>
              </w:tabs>
              <w:rPr>
                <w:sz w:val="22"/>
                <w:szCs w:val="22"/>
              </w:rPr>
            </w:pPr>
            <w:r w:rsidRPr="00362517">
              <w:rPr>
                <w:sz w:val="22"/>
                <w:szCs w:val="22"/>
              </w:rPr>
              <w:t>0.1</w:t>
            </w:r>
          </w:p>
        </w:tc>
        <w:tc>
          <w:tcPr>
            <w:tcW w:w="1260" w:type="dxa"/>
          </w:tcPr>
          <w:p w14:paraId="01DCE9BB" w14:textId="77777777" w:rsidR="00D8365A" w:rsidRPr="00362517" w:rsidRDefault="00D8365A" w:rsidP="00BF6BC7">
            <w:pPr>
              <w:tabs>
                <w:tab w:val="decimal" w:pos="627"/>
              </w:tabs>
              <w:rPr>
                <w:sz w:val="22"/>
                <w:szCs w:val="22"/>
              </w:rPr>
            </w:pPr>
            <w:r w:rsidRPr="00362517">
              <w:rPr>
                <w:sz w:val="22"/>
                <w:szCs w:val="22"/>
              </w:rPr>
              <w:t>1.0</w:t>
            </w:r>
          </w:p>
        </w:tc>
        <w:tc>
          <w:tcPr>
            <w:tcW w:w="1302" w:type="dxa"/>
          </w:tcPr>
          <w:p w14:paraId="12FF4D07" w14:textId="77777777" w:rsidR="00D8365A" w:rsidRPr="00362517" w:rsidRDefault="00D8365A" w:rsidP="00BF6BC7">
            <w:pPr>
              <w:tabs>
                <w:tab w:val="decimal" w:pos="660"/>
              </w:tabs>
              <w:rPr>
                <w:sz w:val="22"/>
                <w:szCs w:val="22"/>
              </w:rPr>
            </w:pPr>
            <w:r w:rsidRPr="00362517">
              <w:rPr>
                <w:sz w:val="22"/>
                <w:szCs w:val="22"/>
              </w:rPr>
              <w:t>13</w:t>
            </w:r>
          </w:p>
        </w:tc>
        <w:tc>
          <w:tcPr>
            <w:tcW w:w="1244" w:type="dxa"/>
          </w:tcPr>
          <w:p w14:paraId="673AD1D2" w14:textId="77777777" w:rsidR="00D8365A" w:rsidRPr="00362517" w:rsidRDefault="00D8365A" w:rsidP="00BF6BC7">
            <w:pPr>
              <w:tabs>
                <w:tab w:val="decimal" w:pos="750"/>
              </w:tabs>
              <w:rPr>
                <w:sz w:val="22"/>
                <w:szCs w:val="22"/>
              </w:rPr>
            </w:pPr>
            <w:r w:rsidRPr="00362517">
              <w:rPr>
                <w:sz w:val="22"/>
                <w:szCs w:val="22"/>
              </w:rPr>
              <w:t>121</w:t>
            </w:r>
          </w:p>
        </w:tc>
        <w:tc>
          <w:tcPr>
            <w:tcW w:w="1244" w:type="dxa"/>
          </w:tcPr>
          <w:p w14:paraId="569052AF" w14:textId="77777777" w:rsidR="00D8365A" w:rsidRPr="00362517" w:rsidRDefault="00D8365A" w:rsidP="00BF6BC7">
            <w:pPr>
              <w:tabs>
                <w:tab w:val="decimal" w:pos="702"/>
              </w:tabs>
              <w:rPr>
                <w:sz w:val="22"/>
                <w:szCs w:val="22"/>
              </w:rPr>
            </w:pPr>
            <w:r w:rsidRPr="00362517">
              <w:rPr>
                <w:sz w:val="22"/>
                <w:szCs w:val="22"/>
              </w:rPr>
              <w:t>4</w:t>
            </w:r>
          </w:p>
        </w:tc>
        <w:tc>
          <w:tcPr>
            <w:tcW w:w="1245" w:type="dxa"/>
          </w:tcPr>
          <w:p w14:paraId="79C0E4E7" w14:textId="77777777" w:rsidR="00D8365A" w:rsidRPr="00362517" w:rsidRDefault="00D8365A" w:rsidP="00BF6BC7">
            <w:pPr>
              <w:tabs>
                <w:tab w:val="decimal" w:pos="710"/>
              </w:tabs>
              <w:rPr>
                <w:sz w:val="22"/>
                <w:szCs w:val="22"/>
              </w:rPr>
            </w:pPr>
            <w:r w:rsidRPr="00362517">
              <w:rPr>
                <w:sz w:val="22"/>
                <w:szCs w:val="22"/>
              </w:rPr>
              <w:t>64</w:t>
            </w:r>
          </w:p>
        </w:tc>
      </w:tr>
      <w:tr w:rsidR="00D8365A" w:rsidRPr="00362517" w14:paraId="64DF5B20" w14:textId="77777777" w:rsidTr="007A2164">
        <w:tc>
          <w:tcPr>
            <w:tcW w:w="1795" w:type="dxa"/>
          </w:tcPr>
          <w:p w14:paraId="29510451" w14:textId="77777777" w:rsidR="00D8365A" w:rsidRPr="00362517" w:rsidRDefault="00D8365A" w:rsidP="00BF6BC7">
            <w:pPr>
              <w:pStyle w:val="BodyText"/>
              <w:rPr>
                <w:rFonts w:cs="Times New Roman"/>
                <w:sz w:val="22"/>
                <w:szCs w:val="22"/>
              </w:rPr>
            </w:pPr>
            <w:r w:rsidRPr="00362517">
              <w:rPr>
                <w:rFonts w:cs="Times New Roman"/>
                <w:sz w:val="22"/>
                <w:szCs w:val="22"/>
              </w:rPr>
              <w:t>Connecticut</w:t>
            </w:r>
            <w:r w:rsidRPr="00362517">
              <w:rPr>
                <w:rFonts w:cs="Times New Roman"/>
                <w:sz w:val="22"/>
                <w:szCs w:val="22"/>
                <w:vertAlign w:val="superscript"/>
              </w:rPr>
              <w:t xml:space="preserve"> 1 2 3</w:t>
            </w:r>
          </w:p>
        </w:tc>
        <w:tc>
          <w:tcPr>
            <w:tcW w:w="1260" w:type="dxa"/>
          </w:tcPr>
          <w:p w14:paraId="241F72C4"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65828CC9"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5C5FF514" w14:textId="77777777" w:rsidR="00D8365A" w:rsidRPr="00362517" w:rsidRDefault="00D8365A" w:rsidP="00BF6BC7">
            <w:pPr>
              <w:tabs>
                <w:tab w:val="decimal" w:pos="660"/>
              </w:tabs>
              <w:rPr>
                <w:sz w:val="22"/>
                <w:szCs w:val="22"/>
              </w:rPr>
            </w:pPr>
            <w:r w:rsidRPr="00362517">
              <w:rPr>
                <w:sz w:val="22"/>
                <w:szCs w:val="22"/>
              </w:rPr>
              <w:t>1</w:t>
            </w:r>
          </w:p>
        </w:tc>
        <w:tc>
          <w:tcPr>
            <w:tcW w:w="1244" w:type="dxa"/>
          </w:tcPr>
          <w:p w14:paraId="6849D5FB" w14:textId="77777777" w:rsidR="00D8365A" w:rsidRPr="00362517" w:rsidRDefault="00D8365A" w:rsidP="00BF6BC7">
            <w:pPr>
              <w:tabs>
                <w:tab w:val="decimal" w:pos="750"/>
              </w:tabs>
              <w:rPr>
                <w:sz w:val="22"/>
                <w:szCs w:val="22"/>
              </w:rPr>
            </w:pPr>
            <w:r w:rsidRPr="00362517">
              <w:rPr>
                <w:sz w:val="22"/>
                <w:szCs w:val="22"/>
              </w:rPr>
              <w:t>5</w:t>
            </w:r>
          </w:p>
        </w:tc>
        <w:tc>
          <w:tcPr>
            <w:tcW w:w="1244" w:type="dxa"/>
          </w:tcPr>
          <w:p w14:paraId="73A2F697" w14:textId="77777777" w:rsidR="00D8365A" w:rsidRPr="00362517" w:rsidRDefault="00D8365A" w:rsidP="00BF6BC7">
            <w:pPr>
              <w:tabs>
                <w:tab w:val="decimal" w:pos="702"/>
              </w:tabs>
              <w:rPr>
                <w:sz w:val="22"/>
                <w:szCs w:val="22"/>
              </w:rPr>
            </w:pPr>
            <w:r w:rsidRPr="00362517">
              <w:rPr>
                <w:sz w:val="22"/>
                <w:szCs w:val="22"/>
              </w:rPr>
              <w:t>0</w:t>
            </w:r>
          </w:p>
        </w:tc>
        <w:tc>
          <w:tcPr>
            <w:tcW w:w="1245" w:type="dxa"/>
          </w:tcPr>
          <w:p w14:paraId="4DDAFB16" w14:textId="77777777" w:rsidR="00D8365A" w:rsidRPr="00362517" w:rsidRDefault="00D8365A" w:rsidP="00BF6BC7">
            <w:pPr>
              <w:tabs>
                <w:tab w:val="decimal" w:pos="710"/>
              </w:tabs>
              <w:rPr>
                <w:sz w:val="22"/>
                <w:szCs w:val="22"/>
              </w:rPr>
            </w:pPr>
            <w:r w:rsidRPr="00362517">
              <w:rPr>
                <w:sz w:val="22"/>
                <w:szCs w:val="22"/>
              </w:rPr>
              <w:t>1</w:t>
            </w:r>
          </w:p>
        </w:tc>
      </w:tr>
      <w:tr w:rsidR="00D8365A" w:rsidRPr="00362517" w14:paraId="7228112D" w14:textId="77777777" w:rsidTr="007A2164">
        <w:tc>
          <w:tcPr>
            <w:tcW w:w="1795" w:type="dxa"/>
          </w:tcPr>
          <w:p w14:paraId="67B7B62F" w14:textId="77777777" w:rsidR="00D8365A" w:rsidRPr="00362517" w:rsidRDefault="00D8365A" w:rsidP="00BF6BC7">
            <w:pPr>
              <w:pStyle w:val="BodyText"/>
              <w:rPr>
                <w:rFonts w:cs="Times New Roman"/>
                <w:sz w:val="22"/>
                <w:szCs w:val="22"/>
              </w:rPr>
            </w:pPr>
            <w:r w:rsidRPr="00362517">
              <w:rPr>
                <w:rFonts w:cs="Times New Roman"/>
                <w:sz w:val="22"/>
                <w:szCs w:val="22"/>
              </w:rPr>
              <w:t>Delaware</w:t>
            </w:r>
            <w:r w:rsidRPr="00362517">
              <w:rPr>
                <w:rFonts w:cs="Times New Roman"/>
                <w:sz w:val="22"/>
                <w:szCs w:val="22"/>
                <w:vertAlign w:val="superscript"/>
              </w:rPr>
              <w:t xml:space="preserve"> 1 2 3</w:t>
            </w:r>
          </w:p>
        </w:tc>
        <w:tc>
          <w:tcPr>
            <w:tcW w:w="1260" w:type="dxa"/>
          </w:tcPr>
          <w:p w14:paraId="0DD527EE"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45699CCB"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7FB0EE96" w14:textId="77777777" w:rsidR="00D8365A" w:rsidRPr="00362517" w:rsidRDefault="00D8365A" w:rsidP="00BF6BC7">
            <w:pPr>
              <w:tabs>
                <w:tab w:val="decimal" w:pos="660"/>
              </w:tabs>
              <w:rPr>
                <w:sz w:val="22"/>
                <w:szCs w:val="22"/>
              </w:rPr>
            </w:pPr>
            <w:r w:rsidRPr="00362517">
              <w:rPr>
                <w:sz w:val="22"/>
                <w:szCs w:val="22"/>
              </w:rPr>
              <w:t>1</w:t>
            </w:r>
          </w:p>
        </w:tc>
        <w:tc>
          <w:tcPr>
            <w:tcW w:w="1244" w:type="dxa"/>
          </w:tcPr>
          <w:p w14:paraId="41BDDE56" w14:textId="77777777" w:rsidR="00D8365A" w:rsidRPr="00362517" w:rsidRDefault="00D8365A" w:rsidP="00BF6BC7">
            <w:pPr>
              <w:tabs>
                <w:tab w:val="decimal" w:pos="750"/>
              </w:tabs>
              <w:rPr>
                <w:sz w:val="22"/>
                <w:szCs w:val="22"/>
              </w:rPr>
            </w:pPr>
            <w:r w:rsidRPr="00362517">
              <w:rPr>
                <w:sz w:val="22"/>
                <w:szCs w:val="22"/>
              </w:rPr>
              <w:t>8</w:t>
            </w:r>
          </w:p>
        </w:tc>
        <w:tc>
          <w:tcPr>
            <w:tcW w:w="1244" w:type="dxa"/>
          </w:tcPr>
          <w:p w14:paraId="2C076E2C" w14:textId="77777777" w:rsidR="00D8365A" w:rsidRPr="00362517" w:rsidRDefault="00D8365A" w:rsidP="00BF6BC7">
            <w:pPr>
              <w:tabs>
                <w:tab w:val="decimal" w:pos="702"/>
              </w:tabs>
              <w:rPr>
                <w:sz w:val="22"/>
                <w:szCs w:val="22"/>
              </w:rPr>
            </w:pPr>
            <w:r w:rsidRPr="00362517">
              <w:rPr>
                <w:sz w:val="22"/>
                <w:szCs w:val="22"/>
              </w:rPr>
              <w:t>1</w:t>
            </w:r>
          </w:p>
        </w:tc>
        <w:tc>
          <w:tcPr>
            <w:tcW w:w="1245" w:type="dxa"/>
          </w:tcPr>
          <w:p w14:paraId="341A5B29" w14:textId="77777777" w:rsidR="00D8365A" w:rsidRPr="00362517" w:rsidRDefault="00D8365A" w:rsidP="00BF6BC7">
            <w:pPr>
              <w:tabs>
                <w:tab w:val="decimal" w:pos="710"/>
              </w:tabs>
              <w:rPr>
                <w:sz w:val="22"/>
                <w:szCs w:val="22"/>
              </w:rPr>
            </w:pPr>
            <w:r w:rsidRPr="00362517">
              <w:rPr>
                <w:sz w:val="22"/>
                <w:szCs w:val="22"/>
              </w:rPr>
              <w:t>10</w:t>
            </w:r>
          </w:p>
        </w:tc>
      </w:tr>
      <w:tr w:rsidR="00D8365A" w:rsidRPr="00362517" w14:paraId="6FDF5282" w14:textId="77777777" w:rsidTr="007A2164">
        <w:tc>
          <w:tcPr>
            <w:tcW w:w="1795" w:type="dxa"/>
          </w:tcPr>
          <w:p w14:paraId="0627F106" w14:textId="77777777" w:rsidR="00D8365A" w:rsidRPr="00362517" w:rsidRDefault="00D8365A" w:rsidP="00BF6BC7">
            <w:pPr>
              <w:pStyle w:val="BodyText"/>
              <w:rPr>
                <w:rFonts w:cs="Times New Roman"/>
                <w:sz w:val="22"/>
                <w:szCs w:val="22"/>
              </w:rPr>
            </w:pPr>
            <w:r w:rsidRPr="00362517">
              <w:rPr>
                <w:rFonts w:cs="Times New Roman"/>
                <w:sz w:val="22"/>
                <w:szCs w:val="22"/>
              </w:rPr>
              <w:t>Florida</w:t>
            </w:r>
            <w:r w:rsidRPr="00362517">
              <w:rPr>
                <w:rFonts w:cs="Times New Roman"/>
                <w:sz w:val="22"/>
                <w:szCs w:val="22"/>
                <w:vertAlign w:val="superscript"/>
              </w:rPr>
              <w:t xml:space="preserve"> 1 2 3</w:t>
            </w:r>
          </w:p>
        </w:tc>
        <w:tc>
          <w:tcPr>
            <w:tcW w:w="1260" w:type="dxa"/>
          </w:tcPr>
          <w:p w14:paraId="45562874" w14:textId="77777777" w:rsidR="00D8365A" w:rsidRPr="00362517" w:rsidRDefault="00D8365A" w:rsidP="00BF6BC7">
            <w:pPr>
              <w:tabs>
                <w:tab w:val="decimal" w:pos="619"/>
              </w:tabs>
              <w:rPr>
                <w:sz w:val="22"/>
                <w:szCs w:val="22"/>
              </w:rPr>
            </w:pPr>
            <w:r w:rsidRPr="00362517">
              <w:rPr>
                <w:sz w:val="22"/>
                <w:szCs w:val="22"/>
              </w:rPr>
              <w:t>0.4</w:t>
            </w:r>
          </w:p>
        </w:tc>
        <w:tc>
          <w:tcPr>
            <w:tcW w:w="1260" w:type="dxa"/>
          </w:tcPr>
          <w:p w14:paraId="155AC99A" w14:textId="77777777" w:rsidR="00D8365A" w:rsidRPr="00362517" w:rsidRDefault="00D8365A" w:rsidP="00BF6BC7">
            <w:pPr>
              <w:tabs>
                <w:tab w:val="decimal" w:pos="627"/>
              </w:tabs>
              <w:rPr>
                <w:sz w:val="22"/>
                <w:szCs w:val="22"/>
              </w:rPr>
            </w:pPr>
            <w:r w:rsidRPr="00362517">
              <w:rPr>
                <w:sz w:val="22"/>
                <w:szCs w:val="22"/>
              </w:rPr>
              <w:t>3.0</w:t>
            </w:r>
          </w:p>
        </w:tc>
        <w:tc>
          <w:tcPr>
            <w:tcW w:w="1302" w:type="dxa"/>
          </w:tcPr>
          <w:p w14:paraId="56F4DC28" w14:textId="77777777" w:rsidR="00D8365A" w:rsidRPr="00362517" w:rsidRDefault="00D8365A" w:rsidP="00BF6BC7">
            <w:pPr>
              <w:tabs>
                <w:tab w:val="decimal" w:pos="660"/>
              </w:tabs>
              <w:rPr>
                <w:sz w:val="22"/>
                <w:szCs w:val="22"/>
              </w:rPr>
            </w:pPr>
            <w:r w:rsidRPr="00362517">
              <w:rPr>
                <w:sz w:val="22"/>
                <w:szCs w:val="22"/>
              </w:rPr>
              <w:t>36</w:t>
            </w:r>
          </w:p>
        </w:tc>
        <w:tc>
          <w:tcPr>
            <w:tcW w:w="1244" w:type="dxa"/>
          </w:tcPr>
          <w:p w14:paraId="0AAEC1C0" w14:textId="77777777" w:rsidR="00D8365A" w:rsidRPr="00362517" w:rsidRDefault="00D8365A" w:rsidP="00BF6BC7">
            <w:pPr>
              <w:tabs>
                <w:tab w:val="decimal" w:pos="750"/>
              </w:tabs>
              <w:rPr>
                <w:sz w:val="22"/>
                <w:szCs w:val="22"/>
              </w:rPr>
            </w:pPr>
            <w:r w:rsidRPr="00362517">
              <w:rPr>
                <w:sz w:val="22"/>
                <w:szCs w:val="22"/>
              </w:rPr>
              <w:t>325</w:t>
            </w:r>
          </w:p>
        </w:tc>
        <w:tc>
          <w:tcPr>
            <w:tcW w:w="1244" w:type="dxa"/>
          </w:tcPr>
          <w:p w14:paraId="6D4BA6B5" w14:textId="77777777" w:rsidR="00D8365A" w:rsidRPr="00362517" w:rsidRDefault="00D8365A" w:rsidP="00BF6BC7">
            <w:pPr>
              <w:tabs>
                <w:tab w:val="decimal" w:pos="702"/>
              </w:tabs>
              <w:rPr>
                <w:sz w:val="22"/>
                <w:szCs w:val="22"/>
              </w:rPr>
            </w:pPr>
            <w:r w:rsidRPr="00362517">
              <w:rPr>
                <w:sz w:val="22"/>
                <w:szCs w:val="22"/>
              </w:rPr>
              <w:t>35</w:t>
            </w:r>
          </w:p>
        </w:tc>
        <w:tc>
          <w:tcPr>
            <w:tcW w:w="1245" w:type="dxa"/>
          </w:tcPr>
          <w:p w14:paraId="0A47644B" w14:textId="77777777" w:rsidR="00D8365A" w:rsidRPr="00362517" w:rsidRDefault="00D8365A" w:rsidP="00BF6BC7">
            <w:pPr>
              <w:tabs>
                <w:tab w:val="decimal" w:pos="710"/>
              </w:tabs>
              <w:rPr>
                <w:sz w:val="22"/>
                <w:szCs w:val="22"/>
              </w:rPr>
            </w:pPr>
            <w:r w:rsidRPr="00362517">
              <w:rPr>
                <w:sz w:val="22"/>
                <w:szCs w:val="22"/>
              </w:rPr>
              <w:t>501</w:t>
            </w:r>
          </w:p>
        </w:tc>
      </w:tr>
      <w:tr w:rsidR="00D8365A" w:rsidRPr="00362517" w14:paraId="6FB0BFE1" w14:textId="77777777" w:rsidTr="007A2164">
        <w:tc>
          <w:tcPr>
            <w:tcW w:w="1795" w:type="dxa"/>
          </w:tcPr>
          <w:p w14:paraId="656D2715" w14:textId="77777777" w:rsidR="00D8365A" w:rsidRPr="00362517" w:rsidRDefault="00D8365A" w:rsidP="00BF6BC7">
            <w:pPr>
              <w:pStyle w:val="BodyText"/>
              <w:rPr>
                <w:rFonts w:cs="Times New Roman"/>
                <w:sz w:val="22"/>
                <w:szCs w:val="22"/>
              </w:rPr>
            </w:pPr>
            <w:r w:rsidRPr="00362517">
              <w:rPr>
                <w:rFonts w:cs="Times New Roman"/>
                <w:sz w:val="22"/>
                <w:szCs w:val="22"/>
              </w:rPr>
              <w:t>Georgia</w:t>
            </w:r>
            <w:r w:rsidRPr="00362517">
              <w:rPr>
                <w:rFonts w:cs="Times New Roman"/>
                <w:sz w:val="22"/>
                <w:szCs w:val="22"/>
                <w:vertAlign w:val="superscript"/>
              </w:rPr>
              <w:t xml:space="preserve"> 1 2</w:t>
            </w:r>
          </w:p>
        </w:tc>
        <w:tc>
          <w:tcPr>
            <w:tcW w:w="1260" w:type="dxa"/>
          </w:tcPr>
          <w:p w14:paraId="27813329" w14:textId="77777777" w:rsidR="00D8365A" w:rsidRPr="00362517" w:rsidRDefault="00D8365A" w:rsidP="00BF6BC7">
            <w:pPr>
              <w:tabs>
                <w:tab w:val="decimal" w:pos="619"/>
              </w:tabs>
              <w:rPr>
                <w:sz w:val="22"/>
                <w:szCs w:val="22"/>
              </w:rPr>
            </w:pPr>
            <w:r w:rsidRPr="00362517">
              <w:rPr>
                <w:sz w:val="22"/>
                <w:szCs w:val="22"/>
              </w:rPr>
              <w:t>0.2</w:t>
            </w:r>
          </w:p>
        </w:tc>
        <w:tc>
          <w:tcPr>
            <w:tcW w:w="1260" w:type="dxa"/>
          </w:tcPr>
          <w:p w14:paraId="22948044" w14:textId="77777777" w:rsidR="00D8365A" w:rsidRPr="00362517" w:rsidRDefault="00D8365A" w:rsidP="00BF6BC7">
            <w:pPr>
              <w:tabs>
                <w:tab w:val="decimal" w:pos="627"/>
              </w:tabs>
              <w:rPr>
                <w:sz w:val="22"/>
                <w:szCs w:val="22"/>
              </w:rPr>
            </w:pPr>
            <w:r w:rsidRPr="00362517">
              <w:rPr>
                <w:sz w:val="22"/>
                <w:szCs w:val="22"/>
              </w:rPr>
              <w:t>2.0</w:t>
            </w:r>
          </w:p>
        </w:tc>
        <w:tc>
          <w:tcPr>
            <w:tcW w:w="1302" w:type="dxa"/>
          </w:tcPr>
          <w:p w14:paraId="36097869" w14:textId="77777777" w:rsidR="00D8365A" w:rsidRPr="00362517" w:rsidRDefault="00D8365A" w:rsidP="00BF6BC7">
            <w:pPr>
              <w:tabs>
                <w:tab w:val="decimal" w:pos="660"/>
              </w:tabs>
              <w:rPr>
                <w:sz w:val="22"/>
                <w:szCs w:val="22"/>
              </w:rPr>
            </w:pPr>
            <w:r w:rsidRPr="00362517">
              <w:rPr>
                <w:sz w:val="22"/>
                <w:szCs w:val="22"/>
              </w:rPr>
              <w:t>69</w:t>
            </w:r>
          </w:p>
        </w:tc>
        <w:tc>
          <w:tcPr>
            <w:tcW w:w="1244" w:type="dxa"/>
          </w:tcPr>
          <w:p w14:paraId="245D2778" w14:textId="77777777" w:rsidR="00D8365A" w:rsidRPr="00362517" w:rsidRDefault="00D8365A" w:rsidP="00BF6BC7">
            <w:pPr>
              <w:tabs>
                <w:tab w:val="decimal" w:pos="750"/>
              </w:tabs>
              <w:rPr>
                <w:sz w:val="22"/>
                <w:szCs w:val="22"/>
              </w:rPr>
            </w:pPr>
            <w:r w:rsidRPr="00362517">
              <w:rPr>
                <w:sz w:val="22"/>
                <w:szCs w:val="22"/>
              </w:rPr>
              <w:t>626</w:t>
            </w:r>
          </w:p>
        </w:tc>
        <w:tc>
          <w:tcPr>
            <w:tcW w:w="1244" w:type="dxa"/>
          </w:tcPr>
          <w:p w14:paraId="24BFD979" w14:textId="77777777" w:rsidR="00D8365A" w:rsidRPr="00362517" w:rsidRDefault="00D8365A" w:rsidP="00BF6BC7">
            <w:pPr>
              <w:tabs>
                <w:tab w:val="decimal" w:pos="702"/>
              </w:tabs>
              <w:rPr>
                <w:sz w:val="22"/>
                <w:szCs w:val="22"/>
              </w:rPr>
            </w:pPr>
            <w:r w:rsidRPr="00362517">
              <w:rPr>
                <w:sz w:val="22"/>
                <w:szCs w:val="22"/>
              </w:rPr>
              <w:t>2</w:t>
            </w:r>
          </w:p>
        </w:tc>
        <w:tc>
          <w:tcPr>
            <w:tcW w:w="1245" w:type="dxa"/>
          </w:tcPr>
          <w:p w14:paraId="6F06B73E" w14:textId="77777777" w:rsidR="00D8365A" w:rsidRPr="00362517" w:rsidRDefault="00D8365A" w:rsidP="00BF6BC7">
            <w:pPr>
              <w:tabs>
                <w:tab w:val="decimal" w:pos="710"/>
              </w:tabs>
              <w:rPr>
                <w:sz w:val="22"/>
                <w:szCs w:val="22"/>
              </w:rPr>
            </w:pPr>
            <w:r w:rsidRPr="00362517">
              <w:rPr>
                <w:sz w:val="22"/>
                <w:szCs w:val="22"/>
              </w:rPr>
              <w:t>29</w:t>
            </w:r>
          </w:p>
        </w:tc>
      </w:tr>
      <w:tr w:rsidR="00D8365A" w:rsidRPr="00362517" w14:paraId="708C773F" w14:textId="77777777" w:rsidTr="007A2164">
        <w:tc>
          <w:tcPr>
            <w:tcW w:w="1795" w:type="dxa"/>
          </w:tcPr>
          <w:p w14:paraId="6ABE0C67" w14:textId="77777777" w:rsidR="00D8365A" w:rsidRPr="00362517" w:rsidRDefault="00D8365A" w:rsidP="00BF6BC7">
            <w:pPr>
              <w:pStyle w:val="BodyText"/>
              <w:rPr>
                <w:rFonts w:cs="Times New Roman"/>
                <w:sz w:val="22"/>
                <w:szCs w:val="22"/>
              </w:rPr>
            </w:pPr>
            <w:r w:rsidRPr="00362517">
              <w:rPr>
                <w:rFonts w:cs="Times New Roman"/>
                <w:sz w:val="22"/>
                <w:szCs w:val="22"/>
              </w:rPr>
              <w:t>Hawaii</w:t>
            </w:r>
            <w:r w:rsidRPr="00362517">
              <w:rPr>
                <w:rFonts w:cs="Times New Roman"/>
                <w:sz w:val="22"/>
                <w:szCs w:val="22"/>
                <w:vertAlign w:val="superscript"/>
              </w:rPr>
              <w:t xml:space="preserve"> 1 3</w:t>
            </w:r>
          </w:p>
        </w:tc>
        <w:tc>
          <w:tcPr>
            <w:tcW w:w="1260" w:type="dxa"/>
          </w:tcPr>
          <w:p w14:paraId="17EEBA64"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3C71422E"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6004ACDC" w14:textId="77777777" w:rsidR="00D8365A" w:rsidRPr="00362517" w:rsidRDefault="00D8365A" w:rsidP="00BF6BC7">
            <w:pPr>
              <w:tabs>
                <w:tab w:val="decimal" w:pos="660"/>
              </w:tabs>
              <w:rPr>
                <w:sz w:val="22"/>
                <w:szCs w:val="22"/>
              </w:rPr>
            </w:pPr>
            <w:r w:rsidRPr="00362517">
              <w:rPr>
                <w:sz w:val="22"/>
                <w:szCs w:val="22"/>
              </w:rPr>
              <w:t>3</w:t>
            </w:r>
          </w:p>
        </w:tc>
        <w:tc>
          <w:tcPr>
            <w:tcW w:w="1244" w:type="dxa"/>
          </w:tcPr>
          <w:p w14:paraId="2E685F12" w14:textId="77777777" w:rsidR="00D8365A" w:rsidRPr="00362517" w:rsidRDefault="00D8365A" w:rsidP="00BF6BC7">
            <w:pPr>
              <w:tabs>
                <w:tab w:val="decimal" w:pos="750"/>
              </w:tabs>
              <w:rPr>
                <w:sz w:val="22"/>
                <w:szCs w:val="22"/>
              </w:rPr>
            </w:pPr>
            <w:r w:rsidRPr="00362517">
              <w:rPr>
                <w:sz w:val="22"/>
                <w:szCs w:val="22"/>
              </w:rPr>
              <w:t>27</w:t>
            </w:r>
          </w:p>
        </w:tc>
        <w:tc>
          <w:tcPr>
            <w:tcW w:w="1244" w:type="dxa"/>
          </w:tcPr>
          <w:p w14:paraId="751405A2" w14:textId="77777777" w:rsidR="00D8365A" w:rsidRPr="00362517" w:rsidRDefault="00D8365A" w:rsidP="00BF6BC7">
            <w:pPr>
              <w:tabs>
                <w:tab w:val="decimal" w:pos="702"/>
              </w:tabs>
              <w:rPr>
                <w:sz w:val="22"/>
                <w:szCs w:val="22"/>
              </w:rPr>
            </w:pPr>
            <w:r w:rsidRPr="00362517">
              <w:rPr>
                <w:sz w:val="22"/>
                <w:szCs w:val="22"/>
              </w:rPr>
              <w:t>1</w:t>
            </w:r>
          </w:p>
        </w:tc>
        <w:tc>
          <w:tcPr>
            <w:tcW w:w="1245" w:type="dxa"/>
          </w:tcPr>
          <w:p w14:paraId="1C291EBA" w14:textId="77777777" w:rsidR="00D8365A" w:rsidRPr="00362517" w:rsidRDefault="00D8365A" w:rsidP="00BF6BC7">
            <w:pPr>
              <w:tabs>
                <w:tab w:val="decimal" w:pos="710"/>
              </w:tabs>
              <w:rPr>
                <w:sz w:val="22"/>
                <w:szCs w:val="22"/>
              </w:rPr>
            </w:pPr>
            <w:r w:rsidRPr="00362517">
              <w:rPr>
                <w:sz w:val="22"/>
                <w:szCs w:val="22"/>
              </w:rPr>
              <w:t>18</w:t>
            </w:r>
          </w:p>
        </w:tc>
      </w:tr>
      <w:tr w:rsidR="00D8365A" w:rsidRPr="00362517" w14:paraId="7324FA21" w14:textId="77777777" w:rsidTr="007A2164">
        <w:tc>
          <w:tcPr>
            <w:tcW w:w="1795" w:type="dxa"/>
          </w:tcPr>
          <w:p w14:paraId="57C79622" w14:textId="77777777" w:rsidR="00D8365A" w:rsidRPr="00362517" w:rsidRDefault="00D8365A" w:rsidP="00BF6BC7">
            <w:pPr>
              <w:pStyle w:val="BodyText"/>
              <w:rPr>
                <w:rFonts w:cs="Times New Roman"/>
                <w:sz w:val="22"/>
                <w:szCs w:val="22"/>
              </w:rPr>
            </w:pPr>
            <w:r w:rsidRPr="00362517">
              <w:rPr>
                <w:rFonts w:cs="Times New Roman"/>
                <w:sz w:val="22"/>
                <w:szCs w:val="22"/>
              </w:rPr>
              <w:t>Idaho</w:t>
            </w:r>
            <w:r w:rsidRPr="00362517">
              <w:rPr>
                <w:rFonts w:cs="Times New Roman"/>
                <w:sz w:val="22"/>
                <w:szCs w:val="22"/>
                <w:vertAlign w:val="superscript"/>
              </w:rPr>
              <w:t xml:space="preserve"> 1 2 3</w:t>
            </w:r>
          </w:p>
        </w:tc>
        <w:tc>
          <w:tcPr>
            <w:tcW w:w="1260" w:type="dxa"/>
          </w:tcPr>
          <w:p w14:paraId="1ED78612" w14:textId="77777777" w:rsidR="00D8365A" w:rsidRPr="00362517" w:rsidRDefault="00D8365A" w:rsidP="00BF6BC7">
            <w:pPr>
              <w:tabs>
                <w:tab w:val="decimal" w:pos="619"/>
              </w:tabs>
              <w:rPr>
                <w:sz w:val="22"/>
                <w:szCs w:val="22"/>
              </w:rPr>
            </w:pPr>
            <w:r w:rsidRPr="00362517">
              <w:rPr>
                <w:sz w:val="22"/>
                <w:szCs w:val="22"/>
              </w:rPr>
              <w:t>0.2</w:t>
            </w:r>
          </w:p>
        </w:tc>
        <w:tc>
          <w:tcPr>
            <w:tcW w:w="1260" w:type="dxa"/>
          </w:tcPr>
          <w:p w14:paraId="4D3F33B6" w14:textId="77777777" w:rsidR="00D8365A" w:rsidRPr="00362517" w:rsidRDefault="00D8365A" w:rsidP="00BF6BC7">
            <w:pPr>
              <w:tabs>
                <w:tab w:val="decimal" w:pos="627"/>
              </w:tabs>
              <w:rPr>
                <w:sz w:val="22"/>
                <w:szCs w:val="22"/>
              </w:rPr>
            </w:pPr>
            <w:r w:rsidRPr="00362517">
              <w:rPr>
                <w:sz w:val="22"/>
                <w:szCs w:val="22"/>
              </w:rPr>
              <w:t>2.0</w:t>
            </w:r>
          </w:p>
        </w:tc>
        <w:tc>
          <w:tcPr>
            <w:tcW w:w="1302" w:type="dxa"/>
          </w:tcPr>
          <w:p w14:paraId="0CAF986C" w14:textId="77777777" w:rsidR="00D8365A" w:rsidRPr="00362517" w:rsidRDefault="00D8365A" w:rsidP="00BF6BC7">
            <w:pPr>
              <w:tabs>
                <w:tab w:val="decimal" w:pos="660"/>
              </w:tabs>
              <w:rPr>
                <w:sz w:val="22"/>
                <w:szCs w:val="22"/>
              </w:rPr>
            </w:pPr>
            <w:r w:rsidRPr="00362517">
              <w:rPr>
                <w:sz w:val="22"/>
                <w:szCs w:val="22"/>
              </w:rPr>
              <w:t>21</w:t>
            </w:r>
          </w:p>
        </w:tc>
        <w:tc>
          <w:tcPr>
            <w:tcW w:w="1244" w:type="dxa"/>
          </w:tcPr>
          <w:p w14:paraId="47772FC4" w14:textId="77777777" w:rsidR="00D8365A" w:rsidRPr="00362517" w:rsidRDefault="00D8365A" w:rsidP="00BF6BC7">
            <w:pPr>
              <w:tabs>
                <w:tab w:val="decimal" w:pos="750"/>
              </w:tabs>
              <w:rPr>
                <w:sz w:val="22"/>
                <w:szCs w:val="22"/>
              </w:rPr>
            </w:pPr>
            <w:r w:rsidRPr="00362517">
              <w:rPr>
                <w:sz w:val="22"/>
                <w:szCs w:val="22"/>
              </w:rPr>
              <w:t>194</w:t>
            </w:r>
          </w:p>
        </w:tc>
        <w:tc>
          <w:tcPr>
            <w:tcW w:w="1244" w:type="dxa"/>
          </w:tcPr>
          <w:p w14:paraId="42704573" w14:textId="77777777" w:rsidR="00D8365A" w:rsidRPr="00362517" w:rsidRDefault="00D8365A" w:rsidP="00BF6BC7">
            <w:pPr>
              <w:tabs>
                <w:tab w:val="decimal" w:pos="702"/>
              </w:tabs>
              <w:rPr>
                <w:sz w:val="22"/>
                <w:szCs w:val="22"/>
              </w:rPr>
            </w:pPr>
            <w:r w:rsidRPr="00362517">
              <w:rPr>
                <w:sz w:val="22"/>
                <w:szCs w:val="22"/>
              </w:rPr>
              <w:t>1</w:t>
            </w:r>
          </w:p>
        </w:tc>
        <w:tc>
          <w:tcPr>
            <w:tcW w:w="1245" w:type="dxa"/>
          </w:tcPr>
          <w:p w14:paraId="68251F0C" w14:textId="77777777" w:rsidR="00D8365A" w:rsidRPr="00362517" w:rsidRDefault="00D8365A" w:rsidP="00BF6BC7">
            <w:pPr>
              <w:tabs>
                <w:tab w:val="decimal" w:pos="710"/>
              </w:tabs>
              <w:rPr>
                <w:sz w:val="22"/>
                <w:szCs w:val="22"/>
              </w:rPr>
            </w:pPr>
            <w:r w:rsidRPr="00362517">
              <w:rPr>
                <w:sz w:val="22"/>
                <w:szCs w:val="22"/>
              </w:rPr>
              <w:t>20</w:t>
            </w:r>
          </w:p>
        </w:tc>
      </w:tr>
      <w:tr w:rsidR="00D8365A" w:rsidRPr="00362517" w14:paraId="0DC13720" w14:textId="77777777" w:rsidTr="007A2164">
        <w:tc>
          <w:tcPr>
            <w:tcW w:w="1795" w:type="dxa"/>
          </w:tcPr>
          <w:p w14:paraId="6C9CBDF8" w14:textId="77777777" w:rsidR="00D8365A" w:rsidRPr="00362517" w:rsidRDefault="00D8365A" w:rsidP="00BF6BC7">
            <w:pPr>
              <w:pStyle w:val="BodyText"/>
              <w:rPr>
                <w:rFonts w:cs="Times New Roman"/>
                <w:sz w:val="22"/>
                <w:szCs w:val="22"/>
              </w:rPr>
            </w:pPr>
            <w:r w:rsidRPr="00362517">
              <w:rPr>
                <w:rFonts w:cs="Times New Roman"/>
                <w:sz w:val="22"/>
                <w:szCs w:val="22"/>
              </w:rPr>
              <w:t>Illinois</w:t>
            </w:r>
            <w:r w:rsidRPr="00362517">
              <w:rPr>
                <w:rFonts w:cs="Times New Roman"/>
                <w:sz w:val="22"/>
                <w:szCs w:val="22"/>
                <w:vertAlign w:val="superscript"/>
              </w:rPr>
              <w:t xml:space="preserve"> 1 2 3</w:t>
            </w:r>
          </w:p>
        </w:tc>
        <w:tc>
          <w:tcPr>
            <w:tcW w:w="1260" w:type="dxa"/>
          </w:tcPr>
          <w:p w14:paraId="5430C835" w14:textId="77777777" w:rsidR="00D8365A" w:rsidRPr="00362517" w:rsidRDefault="00D8365A" w:rsidP="00BF6BC7">
            <w:pPr>
              <w:tabs>
                <w:tab w:val="decimal" w:pos="619"/>
              </w:tabs>
              <w:rPr>
                <w:sz w:val="22"/>
                <w:szCs w:val="22"/>
              </w:rPr>
            </w:pPr>
            <w:r w:rsidRPr="00362517">
              <w:rPr>
                <w:sz w:val="22"/>
                <w:szCs w:val="22"/>
              </w:rPr>
              <w:t>0.2</w:t>
            </w:r>
          </w:p>
        </w:tc>
        <w:tc>
          <w:tcPr>
            <w:tcW w:w="1260" w:type="dxa"/>
          </w:tcPr>
          <w:p w14:paraId="6E7D6F7E" w14:textId="77777777" w:rsidR="00D8365A" w:rsidRPr="00362517" w:rsidRDefault="00D8365A" w:rsidP="00BF6BC7">
            <w:pPr>
              <w:tabs>
                <w:tab w:val="decimal" w:pos="627"/>
              </w:tabs>
              <w:rPr>
                <w:sz w:val="22"/>
                <w:szCs w:val="22"/>
              </w:rPr>
            </w:pPr>
            <w:r w:rsidRPr="00362517">
              <w:rPr>
                <w:sz w:val="22"/>
                <w:szCs w:val="22"/>
              </w:rPr>
              <w:t>2.0</w:t>
            </w:r>
          </w:p>
        </w:tc>
        <w:tc>
          <w:tcPr>
            <w:tcW w:w="1302" w:type="dxa"/>
          </w:tcPr>
          <w:p w14:paraId="5D2B3799" w14:textId="77777777" w:rsidR="00D8365A" w:rsidRPr="00362517" w:rsidRDefault="00D8365A" w:rsidP="00BF6BC7">
            <w:pPr>
              <w:tabs>
                <w:tab w:val="decimal" w:pos="660"/>
              </w:tabs>
              <w:rPr>
                <w:sz w:val="22"/>
                <w:szCs w:val="22"/>
              </w:rPr>
            </w:pPr>
            <w:r w:rsidRPr="00362517">
              <w:rPr>
                <w:sz w:val="22"/>
                <w:szCs w:val="22"/>
              </w:rPr>
              <w:t>41</w:t>
            </w:r>
          </w:p>
        </w:tc>
        <w:tc>
          <w:tcPr>
            <w:tcW w:w="1244" w:type="dxa"/>
          </w:tcPr>
          <w:p w14:paraId="5E00C81D" w14:textId="77777777" w:rsidR="00D8365A" w:rsidRPr="00362517" w:rsidRDefault="00D8365A" w:rsidP="00BF6BC7">
            <w:pPr>
              <w:tabs>
                <w:tab w:val="decimal" w:pos="750"/>
              </w:tabs>
              <w:rPr>
                <w:sz w:val="22"/>
                <w:szCs w:val="22"/>
              </w:rPr>
            </w:pPr>
            <w:r w:rsidRPr="00362517">
              <w:rPr>
                <w:sz w:val="22"/>
                <w:szCs w:val="22"/>
              </w:rPr>
              <w:t>377</w:t>
            </w:r>
          </w:p>
        </w:tc>
        <w:tc>
          <w:tcPr>
            <w:tcW w:w="1244" w:type="dxa"/>
          </w:tcPr>
          <w:p w14:paraId="5F09F113" w14:textId="77777777" w:rsidR="00D8365A" w:rsidRPr="00362517" w:rsidRDefault="00D8365A" w:rsidP="00BF6BC7">
            <w:pPr>
              <w:tabs>
                <w:tab w:val="decimal" w:pos="702"/>
              </w:tabs>
              <w:rPr>
                <w:sz w:val="22"/>
                <w:szCs w:val="22"/>
              </w:rPr>
            </w:pPr>
            <w:r w:rsidRPr="00362517">
              <w:rPr>
                <w:sz w:val="22"/>
                <w:szCs w:val="22"/>
              </w:rPr>
              <w:t>1</w:t>
            </w:r>
          </w:p>
        </w:tc>
        <w:tc>
          <w:tcPr>
            <w:tcW w:w="1245" w:type="dxa"/>
          </w:tcPr>
          <w:p w14:paraId="1B725F5D" w14:textId="77777777" w:rsidR="00D8365A" w:rsidRPr="00362517" w:rsidRDefault="00D8365A" w:rsidP="00BF6BC7">
            <w:pPr>
              <w:tabs>
                <w:tab w:val="decimal" w:pos="710"/>
              </w:tabs>
              <w:rPr>
                <w:sz w:val="22"/>
                <w:szCs w:val="22"/>
              </w:rPr>
            </w:pPr>
            <w:r w:rsidRPr="00362517">
              <w:rPr>
                <w:sz w:val="22"/>
                <w:szCs w:val="22"/>
              </w:rPr>
              <w:t>19</w:t>
            </w:r>
          </w:p>
        </w:tc>
      </w:tr>
      <w:tr w:rsidR="00D8365A" w:rsidRPr="00362517" w14:paraId="55418352" w14:textId="77777777" w:rsidTr="007A2164">
        <w:tc>
          <w:tcPr>
            <w:tcW w:w="1795" w:type="dxa"/>
          </w:tcPr>
          <w:p w14:paraId="486C6CEA" w14:textId="77777777" w:rsidR="00D8365A" w:rsidRPr="00362517" w:rsidRDefault="00D8365A" w:rsidP="00BF6BC7">
            <w:pPr>
              <w:pStyle w:val="BodyText"/>
              <w:rPr>
                <w:rFonts w:cs="Times New Roman"/>
                <w:sz w:val="22"/>
                <w:szCs w:val="22"/>
              </w:rPr>
            </w:pPr>
            <w:r w:rsidRPr="00362517">
              <w:rPr>
                <w:rFonts w:cs="Times New Roman"/>
                <w:sz w:val="22"/>
                <w:szCs w:val="22"/>
              </w:rPr>
              <w:t>Indiana</w:t>
            </w:r>
            <w:r w:rsidRPr="00362517">
              <w:rPr>
                <w:rFonts w:cs="Times New Roman"/>
                <w:sz w:val="22"/>
                <w:szCs w:val="22"/>
                <w:vertAlign w:val="superscript"/>
              </w:rPr>
              <w:t xml:space="preserve"> 1 2 3</w:t>
            </w:r>
          </w:p>
        </w:tc>
        <w:tc>
          <w:tcPr>
            <w:tcW w:w="1260" w:type="dxa"/>
          </w:tcPr>
          <w:p w14:paraId="029B1FE2" w14:textId="77777777" w:rsidR="00D8365A" w:rsidRPr="00362517" w:rsidRDefault="00D8365A" w:rsidP="00BF6BC7">
            <w:pPr>
              <w:tabs>
                <w:tab w:val="decimal" w:pos="619"/>
              </w:tabs>
              <w:rPr>
                <w:sz w:val="22"/>
                <w:szCs w:val="22"/>
              </w:rPr>
            </w:pPr>
            <w:r w:rsidRPr="00362517">
              <w:rPr>
                <w:sz w:val="22"/>
                <w:szCs w:val="22"/>
              </w:rPr>
              <w:t>0.2</w:t>
            </w:r>
          </w:p>
        </w:tc>
        <w:tc>
          <w:tcPr>
            <w:tcW w:w="1260" w:type="dxa"/>
          </w:tcPr>
          <w:p w14:paraId="1422D089" w14:textId="77777777" w:rsidR="00D8365A" w:rsidRPr="00362517" w:rsidRDefault="00D8365A" w:rsidP="00BF6BC7">
            <w:pPr>
              <w:tabs>
                <w:tab w:val="decimal" w:pos="627"/>
              </w:tabs>
              <w:rPr>
                <w:sz w:val="22"/>
                <w:szCs w:val="22"/>
              </w:rPr>
            </w:pPr>
            <w:r w:rsidRPr="00362517">
              <w:rPr>
                <w:sz w:val="22"/>
                <w:szCs w:val="22"/>
              </w:rPr>
              <w:t>2.0</w:t>
            </w:r>
          </w:p>
        </w:tc>
        <w:tc>
          <w:tcPr>
            <w:tcW w:w="1302" w:type="dxa"/>
          </w:tcPr>
          <w:p w14:paraId="16A6CA6D" w14:textId="77777777" w:rsidR="00D8365A" w:rsidRPr="00362517" w:rsidRDefault="00D8365A" w:rsidP="00BF6BC7">
            <w:pPr>
              <w:tabs>
                <w:tab w:val="decimal" w:pos="660"/>
              </w:tabs>
              <w:rPr>
                <w:sz w:val="22"/>
                <w:szCs w:val="22"/>
              </w:rPr>
            </w:pPr>
            <w:r w:rsidRPr="00362517">
              <w:rPr>
                <w:sz w:val="22"/>
                <w:szCs w:val="22"/>
              </w:rPr>
              <w:t>31</w:t>
            </w:r>
          </w:p>
        </w:tc>
        <w:tc>
          <w:tcPr>
            <w:tcW w:w="1244" w:type="dxa"/>
          </w:tcPr>
          <w:p w14:paraId="17B079FD" w14:textId="77777777" w:rsidR="00D8365A" w:rsidRPr="00362517" w:rsidRDefault="00D8365A" w:rsidP="00BF6BC7">
            <w:pPr>
              <w:tabs>
                <w:tab w:val="decimal" w:pos="750"/>
              </w:tabs>
              <w:rPr>
                <w:sz w:val="22"/>
                <w:szCs w:val="22"/>
              </w:rPr>
            </w:pPr>
            <w:r w:rsidRPr="00362517">
              <w:rPr>
                <w:sz w:val="22"/>
                <w:szCs w:val="22"/>
              </w:rPr>
              <w:t>286</w:t>
            </w:r>
          </w:p>
        </w:tc>
        <w:tc>
          <w:tcPr>
            <w:tcW w:w="1244" w:type="dxa"/>
          </w:tcPr>
          <w:p w14:paraId="68448FD6" w14:textId="77777777" w:rsidR="00D8365A" w:rsidRPr="00362517" w:rsidRDefault="00D8365A" w:rsidP="00BF6BC7">
            <w:pPr>
              <w:tabs>
                <w:tab w:val="decimal" w:pos="702"/>
              </w:tabs>
              <w:rPr>
                <w:sz w:val="22"/>
                <w:szCs w:val="22"/>
              </w:rPr>
            </w:pPr>
            <w:r w:rsidRPr="00362517">
              <w:rPr>
                <w:sz w:val="22"/>
                <w:szCs w:val="22"/>
              </w:rPr>
              <w:t>2</w:t>
            </w:r>
          </w:p>
        </w:tc>
        <w:tc>
          <w:tcPr>
            <w:tcW w:w="1245" w:type="dxa"/>
          </w:tcPr>
          <w:p w14:paraId="294EF609" w14:textId="77777777" w:rsidR="00D8365A" w:rsidRPr="00362517" w:rsidRDefault="00D8365A" w:rsidP="00BF6BC7">
            <w:pPr>
              <w:tabs>
                <w:tab w:val="decimal" w:pos="710"/>
              </w:tabs>
              <w:rPr>
                <w:sz w:val="22"/>
                <w:szCs w:val="22"/>
              </w:rPr>
            </w:pPr>
            <w:r w:rsidRPr="00362517">
              <w:rPr>
                <w:sz w:val="22"/>
                <w:szCs w:val="22"/>
              </w:rPr>
              <w:t>31</w:t>
            </w:r>
          </w:p>
        </w:tc>
      </w:tr>
      <w:tr w:rsidR="00D8365A" w:rsidRPr="00362517" w14:paraId="32AD7C3D" w14:textId="77777777" w:rsidTr="007A2164">
        <w:tc>
          <w:tcPr>
            <w:tcW w:w="1795" w:type="dxa"/>
          </w:tcPr>
          <w:p w14:paraId="4D57C8A4" w14:textId="77777777" w:rsidR="00D8365A" w:rsidRPr="00362517" w:rsidRDefault="00D8365A" w:rsidP="00BF6BC7">
            <w:pPr>
              <w:pStyle w:val="BodyText"/>
              <w:rPr>
                <w:rFonts w:cs="Times New Roman"/>
                <w:sz w:val="22"/>
                <w:szCs w:val="22"/>
              </w:rPr>
            </w:pPr>
            <w:r w:rsidRPr="00362517">
              <w:rPr>
                <w:rFonts w:cs="Times New Roman"/>
                <w:sz w:val="22"/>
                <w:szCs w:val="22"/>
              </w:rPr>
              <w:t>Iowa</w:t>
            </w:r>
            <w:r w:rsidRPr="00362517">
              <w:rPr>
                <w:rFonts w:cs="Times New Roman"/>
                <w:sz w:val="22"/>
                <w:szCs w:val="22"/>
                <w:vertAlign w:val="superscript"/>
              </w:rPr>
              <w:t xml:space="preserve"> 1 2</w:t>
            </w:r>
          </w:p>
        </w:tc>
        <w:tc>
          <w:tcPr>
            <w:tcW w:w="1260" w:type="dxa"/>
          </w:tcPr>
          <w:p w14:paraId="3BB90BFA" w14:textId="77777777" w:rsidR="00D8365A" w:rsidRPr="00362517" w:rsidRDefault="00D8365A" w:rsidP="00BF6BC7">
            <w:pPr>
              <w:tabs>
                <w:tab w:val="decimal" w:pos="619"/>
              </w:tabs>
              <w:rPr>
                <w:sz w:val="22"/>
                <w:szCs w:val="22"/>
              </w:rPr>
            </w:pPr>
            <w:r w:rsidRPr="00362517">
              <w:rPr>
                <w:sz w:val="22"/>
                <w:szCs w:val="22"/>
              </w:rPr>
              <w:t>1.0</w:t>
            </w:r>
          </w:p>
        </w:tc>
        <w:tc>
          <w:tcPr>
            <w:tcW w:w="1260" w:type="dxa"/>
          </w:tcPr>
          <w:p w14:paraId="450D4BD7" w14:textId="77777777" w:rsidR="00D8365A" w:rsidRPr="00362517" w:rsidRDefault="00D8365A" w:rsidP="00BF6BC7">
            <w:pPr>
              <w:tabs>
                <w:tab w:val="decimal" w:pos="627"/>
              </w:tabs>
              <w:rPr>
                <w:sz w:val="22"/>
                <w:szCs w:val="22"/>
              </w:rPr>
            </w:pPr>
            <w:r w:rsidRPr="00362517">
              <w:rPr>
                <w:sz w:val="22"/>
                <w:szCs w:val="22"/>
              </w:rPr>
              <w:t>8.0</w:t>
            </w:r>
          </w:p>
        </w:tc>
        <w:tc>
          <w:tcPr>
            <w:tcW w:w="1302" w:type="dxa"/>
          </w:tcPr>
          <w:p w14:paraId="2A233EAA" w14:textId="77777777" w:rsidR="00D8365A" w:rsidRPr="00362517" w:rsidRDefault="00D8365A" w:rsidP="00BF6BC7">
            <w:pPr>
              <w:tabs>
                <w:tab w:val="decimal" w:pos="660"/>
              </w:tabs>
              <w:rPr>
                <w:sz w:val="22"/>
                <w:szCs w:val="22"/>
              </w:rPr>
            </w:pPr>
            <w:r w:rsidRPr="00362517">
              <w:rPr>
                <w:sz w:val="22"/>
                <w:szCs w:val="22"/>
              </w:rPr>
              <w:t>58</w:t>
            </w:r>
          </w:p>
        </w:tc>
        <w:tc>
          <w:tcPr>
            <w:tcW w:w="1244" w:type="dxa"/>
          </w:tcPr>
          <w:p w14:paraId="2527C525" w14:textId="77777777" w:rsidR="00D8365A" w:rsidRPr="00362517" w:rsidRDefault="00D8365A" w:rsidP="00BF6BC7">
            <w:pPr>
              <w:tabs>
                <w:tab w:val="decimal" w:pos="750"/>
              </w:tabs>
              <w:rPr>
                <w:sz w:val="22"/>
                <w:szCs w:val="22"/>
              </w:rPr>
            </w:pPr>
            <w:r w:rsidRPr="00362517">
              <w:rPr>
                <w:sz w:val="22"/>
                <w:szCs w:val="22"/>
              </w:rPr>
              <w:t>524</w:t>
            </w:r>
          </w:p>
        </w:tc>
        <w:tc>
          <w:tcPr>
            <w:tcW w:w="1244" w:type="dxa"/>
          </w:tcPr>
          <w:p w14:paraId="01C2D790" w14:textId="77777777" w:rsidR="00D8365A" w:rsidRPr="00362517" w:rsidRDefault="00D8365A" w:rsidP="00BF6BC7">
            <w:pPr>
              <w:tabs>
                <w:tab w:val="decimal" w:pos="702"/>
              </w:tabs>
              <w:rPr>
                <w:sz w:val="22"/>
                <w:szCs w:val="22"/>
              </w:rPr>
            </w:pPr>
            <w:r w:rsidRPr="00362517">
              <w:rPr>
                <w:sz w:val="22"/>
                <w:szCs w:val="22"/>
              </w:rPr>
              <w:t>3</w:t>
            </w:r>
          </w:p>
        </w:tc>
        <w:tc>
          <w:tcPr>
            <w:tcW w:w="1245" w:type="dxa"/>
          </w:tcPr>
          <w:p w14:paraId="2AD46EDA" w14:textId="77777777" w:rsidR="00D8365A" w:rsidRPr="00362517" w:rsidRDefault="00D8365A" w:rsidP="00BF6BC7">
            <w:pPr>
              <w:tabs>
                <w:tab w:val="decimal" w:pos="710"/>
              </w:tabs>
              <w:rPr>
                <w:sz w:val="22"/>
                <w:szCs w:val="22"/>
              </w:rPr>
            </w:pPr>
            <w:r w:rsidRPr="00362517">
              <w:rPr>
                <w:sz w:val="22"/>
                <w:szCs w:val="22"/>
              </w:rPr>
              <w:t>48</w:t>
            </w:r>
          </w:p>
        </w:tc>
      </w:tr>
      <w:tr w:rsidR="00D8365A" w:rsidRPr="00362517" w14:paraId="13B0793F" w14:textId="77777777" w:rsidTr="007A2164">
        <w:tc>
          <w:tcPr>
            <w:tcW w:w="1795" w:type="dxa"/>
          </w:tcPr>
          <w:p w14:paraId="4483EEE0" w14:textId="77777777" w:rsidR="00D8365A" w:rsidRPr="00362517" w:rsidRDefault="00D8365A" w:rsidP="00BF6BC7">
            <w:pPr>
              <w:pStyle w:val="BodyText"/>
              <w:rPr>
                <w:rFonts w:cs="Times New Roman"/>
                <w:sz w:val="22"/>
                <w:szCs w:val="22"/>
              </w:rPr>
            </w:pPr>
            <w:r w:rsidRPr="00362517">
              <w:rPr>
                <w:rFonts w:cs="Times New Roman"/>
                <w:sz w:val="22"/>
                <w:szCs w:val="22"/>
              </w:rPr>
              <w:t>Kansas</w:t>
            </w:r>
            <w:r w:rsidRPr="00362517">
              <w:rPr>
                <w:rFonts w:cs="Times New Roman"/>
                <w:sz w:val="22"/>
                <w:szCs w:val="22"/>
                <w:vertAlign w:val="superscript"/>
              </w:rPr>
              <w:t xml:space="preserve"> 1 2 3</w:t>
            </w:r>
          </w:p>
        </w:tc>
        <w:tc>
          <w:tcPr>
            <w:tcW w:w="1260" w:type="dxa"/>
          </w:tcPr>
          <w:p w14:paraId="146FE27E" w14:textId="77777777" w:rsidR="00D8365A" w:rsidRPr="00362517" w:rsidRDefault="00D8365A" w:rsidP="00BF6BC7">
            <w:pPr>
              <w:tabs>
                <w:tab w:val="decimal" w:pos="619"/>
              </w:tabs>
              <w:rPr>
                <w:sz w:val="22"/>
                <w:szCs w:val="22"/>
              </w:rPr>
            </w:pPr>
            <w:r w:rsidRPr="00362517">
              <w:rPr>
                <w:sz w:val="22"/>
                <w:szCs w:val="22"/>
              </w:rPr>
              <w:t>0.4</w:t>
            </w:r>
          </w:p>
        </w:tc>
        <w:tc>
          <w:tcPr>
            <w:tcW w:w="1260" w:type="dxa"/>
          </w:tcPr>
          <w:p w14:paraId="2350AA75" w14:textId="77777777" w:rsidR="00D8365A" w:rsidRPr="00362517" w:rsidRDefault="00D8365A" w:rsidP="00BF6BC7">
            <w:pPr>
              <w:tabs>
                <w:tab w:val="decimal" w:pos="627"/>
              </w:tabs>
              <w:rPr>
                <w:sz w:val="22"/>
                <w:szCs w:val="22"/>
              </w:rPr>
            </w:pPr>
            <w:r w:rsidRPr="00362517">
              <w:rPr>
                <w:sz w:val="22"/>
                <w:szCs w:val="22"/>
              </w:rPr>
              <w:t>3.0</w:t>
            </w:r>
          </w:p>
        </w:tc>
        <w:tc>
          <w:tcPr>
            <w:tcW w:w="1302" w:type="dxa"/>
          </w:tcPr>
          <w:p w14:paraId="68A80432" w14:textId="77777777" w:rsidR="00D8365A" w:rsidRPr="00362517" w:rsidRDefault="00D8365A" w:rsidP="00BF6BC7">
            <w:pPr>
              <w:tabs>
                <w:tab w:val="decimal" w:pos="660"/>
              </w:tabs>
              <w:rPr>
                <w:sz w:val="22"/>
                <w:szCs w:val="22"/>
              </w:rPr>
            </w:pPr>
            <w:r w:rsidRPr="00362517">
              <w:rPr>
                <w:sz w:val="22"/>
                <w:szCs w:val="22"/>
              </w:rPr>
              <w:t>36</w:t>
            </w:r>
          </w:p>
        </w:tc>
        <w:tc>
          <w:tcPr>
            <w:tcW w:w="1244" w:type="dxa"/>
          </w:tcPr>
          <w:p w14:paraId="10B5ED20" w14:textId="77777777" w:rsidR="00D8365A" w:rsidRPr="00362517" w:rsidRDefault="00D8365A" w:rsidP="00BF6BC7">
            <w:pPr>
              <w:tabs>
                <w:tab w:val="decimal" w:pos="750"/>
              </w:tabs>
              <w:rPr>
                <w:sz w:val="22"/>
                <w:szCs w:val="22"/>
              </w:rPr>
            </w:pPr>
            <w:r w:rsidRPr="00362517">
              <w:rPr>
                <w:sz w:val="22"/>
                <w:szCs w:val="22"/>
              </w:rPr>
              <w:t>326</w:t>
            </w:r>
          </w:p>
        </w:tc>
        <w:tc>
          <w:tcPr>
            <w:tcW w:w="1244" w:type="dxa"/>
          </w:tcPr>
          <w:p w14:paraId="2E569AE0" w14:textId="77777777" w:rsidR="00D8365A" w:rsidRPr="00362517" w:rsidRDefault="00D8365A" w:rsidP="00BF6BC7">
            <w:pPr>
              <w:tabs>
                <w:tab w:val="decimal" w:pos="702"/>
              </w:tabs>
              <w:rPr>
                <w:sz w:val="22"/>
                <w:szCs w:val="22"/>
              </w:rPr>
            </w:pPr>
            <w:r w:rsidRPr="00362517">
              <w:rPr>
                <w:sz w:val="22"/>
                <w:szCs w:val="22"/>
              </w:rPr>
              <w:t>4</w:t>
            </w:r>
          </w:p>
        </w:tc>
        <w:tc>
          <w:tcPr>
            <w:tcW w:w="1245" w:type="dxa"/>
          </w:tcPr>
          <w:p w14:paraId="4B804A55" w14:textId="77777777" w:rsidR="00D8365A" w:rsidRPr="00362517" w:rsidRDefault="00D8365A" w:rsidP="00BF6BC7">
            <w:pPr>
              <w:tabs>
                <w:tab w:val="decimal" w:pos="710"/>
              </w:tabs>
              <w:rPr>
                <w:sz w:val="22"/>
                <w:szCs w:val="22"/>
              </w:rPr>
            </w:pPr>
            <w:r w:rsidRPr="00362517">
              <w:rPr>
                <w:sz w:val="22"/>
                <w:szCs w:val="22"/>
              </w:rPr>
              <w:t>50</w:t>
            </w:r>
          </w:p>
        </w:tc>
      </w:tr>
      <w:tr w:rsidR="00D8365A" w:rsidRPr="00362517" w14:paraId="206438BB" w14:textId="77777777" w:rsidTr="007A2164">
        <w:tc>
          <w:tcPr>
            <w:tcW w:w="1795" w:type="dxa"/>
          </w:tcPr>
          <w:p w14:paraId="74281B9C" w14:textId="77777777" w:rsidR="00D8365A" w:rsidRPr="00362517" w:rsidRDefault="00D8365A" w:rsidP="00BF6BC7">
            <w:pPr>
              <w:pStyle w:val="BodyText"/>
              <w:rPr>
                <w:rFonts w:cs="Times New Roman"/>
                <w:sz w:val="22"/>
                <w:szCs w:val="22"/>
              </w:rPr>
            </w:pPr>
            <w:r w:rsidRPr="00362517">
              <w:rPr>
                <w:rFonts w:cs="Times New Roman"/>
                <w:sz w:val="22"/>
                <w:szCs w:val="22"/>
              </w:rPr>
              <w:t>Kentucky</w:t>
            </w:r>
            <w:r w:rsidRPr="00362517">
              <w:rPr>
                <w:rFonts w:cs="Times New Roman"/>
                <w:sz w:val="22"/>
                <w:szCs w:val="22"/>
                <w:vertAlign w:val="superscript"/>
              </w:rPr>
              <w:t xml:space="preserve"> 1 2 3</w:t>
            </w:r>
          </w:p>
        </w:tc>
        <w:tc>
          <w:tcPr>
            <w:tcW w:w="1260" w:type="dxa"/>
          </w:tcPr>
          <w:p w14:paraId="41B81294"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4DAD889D"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155EC881" w14:textId="77777777" w:rsidR="00D8365A" w:rsidRPr="00362517" w:rsidRDefault="00D8365A" w:rsidP="00BF6BC7">
            <w:pPr>
              <w:tabs>
                <w:tab w:val="decimal" w:pos="660"/>
              </w:tabs>
              <w:rPr>
                <w:sz w:val="22"/>
                <w:szCs w:val="22"/>
              </w:rPr>
            </w:pPr>
            <w:r w:rsidRPr="00362517">
              <w:rPr>
                <w:sz w:val="22"/>
                <w:szCs w:val="22"/>
              </w:rPr>
              <w:t>29</w:t>
            </w:r>
          </w:p>
        </w:tc>
        <w:tc>
          <w:tcPr>
            <w:tcW w:w="1244" w:type="dxa"/>
          </w:tcPr>
          <w:p w14:paraId="703EABB1" w14:textId="77777777" w:rsidR="00D8365A" w:rsidRPr="00362517" w:rsidRDefault="00D8365A" w:rsidP="00BF6BC7">
            <w:pPr>
              <w:tabs>
                <w:tab w:val="decimal" w:pos="750"/>
              </w:tabs>
              <w:rPr>
                <w:sz w:val="22"/>
                <w:szCs w:val="22"/>
              </w:rPr>
            </w:pPr>
            <w:r w:rsidRPr="00362517">
              <w:rPr>
                <w:sz w:val="22"/>
                <w:szCs w:val="22"/>
              </w:rPr>
              <w:t>259</w:t>
            </w:r>
          </w:p>
        </w:tc>
        <w:tc>
          <w:tcPr>
            <w:tcW w:w="1244" w:type="dxa"/>
          </w:tcPr>
          <w:p w14:paraId="2F4D934C" w14:textId="77777777" w:rsidR="00D8365A" w:rsidRPr="00362517" w:rsidRDefault="00D8365A" w:rsidP="00BF6BC7">
            <w:pPr>
              <w:tabs>
                <w:tab w:val="decimal" w:pos="702"/>
              </w:tabs>
              <w:rPr>
                <w:sz w:val="22"/>
                <w:szCs w:val="22"/>
              </w:rPr>
            </w:pPr>
            <w:r w:rsidRPr="00362517">
              <w:rPr>
                <w:sz w:val="22"/>
                <w:szCs w:val="22"/>
              </w:rPr>
              <w:t>3</w:t>
            </w:r>
          </w:p>
        </w:tc>
        <w:tc>
          <w:tcPr>
            <w:tcW w:w="1245" w:type="dxa"/>
          </w:tcPr>
          <w:p w14:paraId="4E1896F6" w14:textId="77777777" w:rsidR="00D8365A" w:rsidRPr="00362517" w:rsidRDefault="00D8365A" w:rsidP="00BF6BC7">
            <w:pPr>
              <w:tabs>
                <w:tab w:val="decimal" w:pos="710"/>
              </w:tabs>
              <w:rPr>
                <w:sz w:val="22"/>
                <w:szCs w:val="22"/>
              </w:rPr>
            </w:pPr>
            <w:r w:rsidRPr="00362517">
              <w:rPr>
                <w:sz w:val="22"/>
                <w:szCs w:val="22"/>
              </w:rPr>
              <w:t>39</w:t>
            </w:r>
          </w:p>
        </w:tc>
      </w:tr>
      <w:tr w:rsidR="00D8365A" w:rsidRPr="00362517" w14:paraId="3D702341" w14:textId="77777777" w:rsidTr="007A2164">
        <w:tc>
          <w:tcPr>
            <w:tcW w:w="1795" w:type="dxa"/>
          </w:tcPr>
          <w:p w14:paraId="3FE11DD9" w14:textId="77777777" w:rsidR="00D8365A" w:rsidRPr="00362517" w:rsidRDefault="00D8365A" w:rsidP="00BF6BC7">
            <w:pPr>
              <w:pStyle w:val="BodyText"/>
              <w:rPr>
                <w:rFonts w:cs="Times New Roman"/>
                <w:sz w:val="22"/>
                <w:szCs w:val="22"/>
              </w:rPr>
            </w:pPr>
            <w:r w:rsidRPr="00362517">
              <w:rPr>
                <w:rFonts w:cs="Times New Roman"/>
                <w:sz w:val="22"/>
                <w:szCs w:val="22"/>
              </w:rPr>
              <w:t>Louisiana</w:t>
            </w:r>
            <w:r w:rsidRPr="00362517">
              <w:rPr>
                <w:rFonts w:cs="Times New Roman"/>
                <w:sz w:val="22"/>
                <w:szCs w:val="22"/>
                <w:vertAlign w:val="superscript"/>
              </w:rPr>
              <w:t xml:space="preserve"> 1 2 3</w:t>
            </w:r>
          </w:p>
        </w:tc>
        <w:tc>
          <w:tcPr>
            <w:tcW w:w="1260" w:type="dxa"/>
          </w:tcPr>
          <w:p w14:paraId="3A42E559" w14:textId="77777777" w:rsidR="00D8365A" w:rsidRPr="00362517" w:rsidRDefault="00D8365A" w:rsidP="00BF6BC7">
            <w:pPr>
              <w:tabs>
                <w:tab w:val="decimal" w:pos="619"/>
              </w:tabs>
              <w:rPr>
                <w:sz w:val="22"/>
                <w:szCs w:val="22"/>
              </w:rPr>
            </w:pPr>
            <w:r w:rsidRPr="00362517">
              <w:rPr>
                <w:sz w:val="22"/>
                <w:szCs w:val="22"/>
              </w:rPr>
              <w:t>0.4</w:t>
            </w:r>
          </w:p>
        </w:tc>
        <w:tc>
          <w:tcPr>
            <w:tcW w:w="1260" w:type="dxa"/>
          </w:tcPr>
          <w:p w14:paraId="3365672B" w14:textId="77777777" w:rsidR="00D8365A" w:rsidRPr="00362517" w:rsidRDefault="00D8365A" w:rsidP="00BF6BC7">
            <w:pPr>
              <w:tabs>
                <w:tab w:val="decimal" w:pos="627"/>
              </w:tabs>
              <w:rPr>
                <w:sz w:val="22"/>
                <w:szCs w:val="22"/>
              </w:rPr>
            </w:pPr>
            <w:r w:rsidRPr="00362517">
              <w:rPr>
                <w:sz w:val="22"/>
                <w:szCs w:val="22"/>
              </w:rPr>
              <w:t>3.0</w:t>
            </w:r>
          </w:p>
        </w:tc>
        <w:tc>
          <w:tcPr>
            <w:tcW w:w="1302" w:type="dxa"/>
          </w:tcPr>
          <w:p w14:paraId="54339C4F" w14:textId="77777777" w:rsidR="00D8365A" w:rsidRPr="00362517" w:rsidRDefault="00D8365A" w:rsidP="00BF6BC7">
            <w:pPr>
              <w:tabs>
                <w:tab w:val="decimal" w:pos="660"/>
              </w:tabs>
              <w:rPr>
                <w:sz w:val="22"/>
                <w:szCs w:val="22"/>
              </w:rPr>
            </w:pPr>
            <w:r w:rsidRPr="00362517">
              <w:rPr>
                <w:sz w:val="22"/>
                <w:szCs w:val="22"/>
              </w:rPr>
              <w:t>19</w:t>
            </w:r>
          </w:p>
        </w:tc>
        <w:tc>
          <w:tcPr>
            <w:tcW w:w="1244" w:type="dxa"/>
          </w:tcPr>
          <w:p w14:paraId="5B006BAC" w14:textId="77777777" w:rsidR="00D8365A" w:rsidRPr="00362517" w:rsidRDefault="00D8365A" w:rsidP="00BF6BC7">
            <w:pPr>
              <w:tabs>
                <w:tab w:val="decimal" w:pos="750"/>
              </w:tabs>
              <w:rPr>
                <w:sz w:val="22"/>
                <w:szCs w:val="22"/>
              </w:rPr>
            </w:pPr>
            <w:r w:rsidRPr="00362517">
              <w:rPr>
                <w:sz w:val="22"/>
                <w:szCs w:val="22"/>
              </w:rPr>
              <w:t>169</w:t>
            </w:r>
          </w:p>
        </w:tc>
        <w:tc>
          <w:tcPr>
            <w:tcW w:w="1244" w:type="dxa"/>
          </w:tcPr>
          <w:p w14:paraId="3A2F91AE" w14:textId="77777777" w:rsidR="00D8365A" w:rsidRPr="00362517" w:rsidRDefault="00D8365A" w:rsidP="00BF6BC7">
            <w:pPr>
              <w:tabs>
                <w:tab w:val="decimal" w:pos="702"/>
              </w:tabs>
              <w:rPr>
                <w:sz w:val="22"/>
                <w:szCs w:val="22"/>
              </w:rPr>
            </w:pPr>
            <w:r w:rsidRPr="00362517">
              <w:rPr>
                <w:sz w:val="22"/>
                <w:szCs w:val="22"/>
              </w:rPr>
              <w:t>4</w:t>
            </w:r>
          </w:p>
        </w:tc>
        <w:tc>
          <w:tcPr>
            <w:tcW w:w="1245" w:type="dxa"/>
          </w:tcPr>
          <w:p w14:paraId="4DF4A524" w14:textId="77777777" w:rsidR="00D8365A" w:rsidRPr="00362517" w:rsidRDefault="00D8365A" w:rsidP="00BF6BC7">
            <w:pPr>
              <w:tabs>
                <w:tab w:val="decimal" w:pos="710"/>
              </w:tabs>
              <w:rPr>
                <w:sz w:val="22"/>
                <w:szCs w:val="22"/>
              </w:rPr>
            </w:pPr>
            <w:r w:rsidRPr="00362517">
              <w:rPr>
                <w:sz w:val="22"/>
                <w:szCs w:val="22"/>
              </w:rPr>
              <w:t>63</w:t>
            </w:r>
          </w:p>
        </w:tc>
      </w:tr>
      <w:tr w:rsidR="00D8365A" w:rsidRPr="00362517" w14:paraId="490752C1" w14:textId="77777777" w:rsidTr="007A2164">
        <w:tc>
          <w:tcPr>
            <w:tcW w:w="1795" w:type="dxa"/>
          </w:tcPr>
          <w:p w14:paraId="120551E7" w14:textId="77777777" w:rsidR="00D8365A" w:rsidRPr="00362517" w:rsidRDefault="00D8365A" w:rsidP="00BF6BC7">
            <w:pPr>
              <w:pStyle w:val="BodyText"/>
              <w:rPr>
                <w:rFonts w:cs="Times New Roman"/>
                <w:sz w:val="22"/>
                <w:szCs w:val="22"/>
              </w:rPr>
            </w:pPr>
            <w:r w:rsidRPr="00362517">
              <w:rPr>
                <w:rFonts w:cs="Times New Roman"/>
                <w:sz w:val="22"/>
                <w:szCs w:val="22"/>
              </w:rPr>
              <w:t>Maine</w:t>
            </w:r>
            <w:r w:rsidRPr="00362517">
              <w:rPr>
                <w:rFonts w:cs="Times New Roman"/>
                <w:sz w:val="22"/>
                <w:szCs w:val="22"/>
                <w:vertAlign w:val="superscript"/>
              </w:rPr>
              <w:t xml:space="preserve"> 1 2 3</w:t>
            </w:r>
          </w:p>
        </w:tc>
        <w:tc>
          <w:tcPr>
            <w:tcW w:w="1260" w:type="dxa"/>
          </w:tcPr>
          <w:p w14:paraId="7123C3DC"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041DD0ED"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06E4CD46" w14:textId="77777777" w:rsidR="00D8365A" w:rsidRPr="00362517" w:rsidRDefault="00D8365A" w:rsidP="00BF6BC7">
            <w:pPr>
              <w:tabs>
                <w:tab w:val="decimal" w:pos="660"/>
              </w:tabs>
              <w:rPr>
                <w:sz w:val="22"/>
                <w:szCs w:val="22"/>
              </w:rPr>
            </w:pPr>
            <w:r w:rsidRPr="00362517">
              <w:rPr>
                <w:sz w:val="22"/>
                <w:szCs w:val="22"/>
              </w:rPr>
              <w:t>2</w:t>
            </w:r>
          </w:p>
        </w:tc>
        <w:tc>
          <w:tcPr>
            <w:tcW w:w="1244" w:type="dxa"/>
          </w:tcPr>
          <w:p w14:paraId="12A39A40" w14:textId="77777777" w:rsidR="00D8365A" w:rsidRPr="00362517" w:rsidRDefault="00D8365A" w:rsidP="00BF6BC7">
            <w:pPr>
              <w:tabs>
                <w:tab w:val="decimal" w:pos="750"/>
              </w:tabs>
              <w:rPr>
                <w:sz w:val="22"/>
                <w:szCs w:val="22"/>
              </w:rPr>
            </w:pPr>
            <w:r w:rsidRPr="00362517">
              <w:rPr>
                <w:sz w:val="22"/>
                <w:szCs w:val="22"/>
              </w:rPr>
              <w:t>19</w:t>
            </w:r>
          </w:p>
        </w:tc>
        <w:tc>
          <w:tcPr>
            <w:tcW w:w="1244" w:type="dxa"/>
          </w:tcPr>
          <w:p w14:paraId="296135FC" w14:textId="77777777" w:rsidR="00D8365A" w:rsidRPr="00362517" w:rsidRDefault="00D8365A" w:rsidP="00BF6BC7">
            <w:pPr>
              <w:tabs>
                <w:tab w:val="decimal" w:pos="702"/>
              </w:tabs>
              <w:rPr>
                <w:sz w:val="22"/>
                <w:szCs w:val="22"/>
              </w:rPr>
            </w:pPr>
            <w:r w:rsidRPr="00362517">
              <w:rPr>
                <w:sz w:val="22"/>
                <w:szCs w:val="22"/>
              </w:rPr>
              <w:t>0</w:t>
            </w:r>
          </w:p>
        </w:tc>
        <w:tc>
          <w:tcPr>
            <w:tcW w:w="1245" w:type="dxa"/>
          </w:tcPr>
          <w:p w14:paraId="1160C8E2" w14:textId="77777777" w:rsidR="00D8365A" w:rsidRPr="00362517" w:rsidRDefault="00D8365A" w:rsidP="00BF6BC7">
            <w:pPr>
              <w:tabs>
                <w:tab w:val="decimal" w:pos="710"/>
              </w:tabs>
              <w:rPr>
                <w:sz w:val="22"/>
                <w:szCs w:val="22"/>
              </w:rPr>
            </w:pPr>
            <w:r w:rsidRPr="00362517">
              <w:rPr>
                <w:sz w:val="22"/>
                <w:szCs w:val="22"/>
              </w:rPr>
              <w:t>7</w:t>
            </w:r>
          </w:p>
        </w:tc>
      </w:tr>
      <w:tr w:rsidR="00D8365A" w:rsidRPr="00362517" w14:paraId="5E8C7692" w14:textId="77777777" w:rsidTr="007A2164">
        <w:tc>
          <w:tcPr>
            <w:tcW w:w="1795" w:type="dxa"/>
          </w:tcPr>
          <w:p w14:paraId="38FE88FC" w14:textId="77777777" w:rsidR="00D8365A" w:rsidRPr="00362517" w:rsidRDefault="00D8365A" w:rsidP="00BF6BC7">
            <w:pPr>
              <w:pStyle w:val="BodyText"/>
              <w:rPr>
                <w:rFonts w:cs="Times New Roman"/>
                <w:sz w:val="22"/>
                <w:szCs w:val="22"/>
              </w:rPr>
            </w:pPr>
            <w:r w:rsidRPr="00362517">
              <w:rPr>
                <w:rFonts w:cs="Times New Roman"/>
                <w:sz w:val="22"/>
                <w:szCs w:val="22"/>
              </w:rPr>
              <w:t>Maryland</w:t>
            </w:r>
            <w:r w:rsidRPr="00362517">
              <w:rPr>
                <w:rFonts w:cs="Times New Roman"/>
                <w:sz w:val="22"/>
                <w:szCs w:val="22"/>
                <w:vertAlign w:val="superscript"/>
              </w:rPr>
              <w:t xml:space="preserve"> 1 2 3</w:t>
            </w:r>
          </w:p>
        </w:tc>
        <w:tc>
          <w:tcPr>
            <w:tcW w:w="1260" w:type="dxa"/>
          </w:tcPr>
          <w:p w14:paraId="17DA0158"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21723F9F"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36FF8882" w14:textId="77777777" w:rsidR="00D8365A" w:rsidRPr="00362517" w:rsidRDefault="00D8365A" w:rsidP="00BF6BC7">
            <w:pPr>
              <w:tabs>
                <w:tab w:val="decimal" w:pos="660"/>
              </w:tabs>
              <w:rPr>
                <w:sz w:val="22"/>
                <w:szCs w:val="22"/>
              </w:rPr>
            </w:pPr>
            <w:r w:rsidRPr="00362517">
              <w:rPr>
                <w:sz w:val="22"/>
                <w:szCs w:val="22"/>
              </w:rPr>
              <w:t>8</w:t>
            </w:r>
          </w:p>
        </w:tc>
        <w:tc>
          <w:tcPr>
            <w:tcW w:w="1244" w:type="dxa"/>
          </w:tcPr>
          <w:p w14:paraId="0424C397" w14:textId="77777777" w:rsidR="00D8365A" w:rsidRPr="00362517" w:rsidRDefault="00D8365A" w:rsidP="00BF6BC7">
            <w:pPr>
              <w:tabs>
                <w:tab w:val="decimal" w:pos="750"/>
              </w:tabs>
              <w:rPr>
                <w:sz w:val="22"/>
                <w:szCs w:val="22"/>
              </w:rPr>
            </w:pPr>
            <w:r w:rsidRPr="00362517">
              <w:rPr>
                <w:sz w:val="22"/>
                <w:szCs w:val="22"/>
              </w:rPr>
              <w:t>70</w:t>
            </w:r>
          </w:p>
        </w:tc>
        <w:tc>
          <w:tcPr>
            <w:tcW w:w="1244" w:type="dxa"/>
          </w:tcPr>
          <w:p w14:paraId="11701B99" w14:textId="77777777" w:rsidR="00D8365A" w:rsidRPr="00362517" w:rsidRDefault="00D8365A" w:rsidP="00BF6BC7">
            <w:pPr>
              <w:tabs>
                <w:tab w:val="decimal" w:pos="702"/>
              </w:tabs>
              <w:rPr>
                <w:sz w:val="22"/>
                <w:szCs w:val="22"/>
              </w:rPr>
            </w:pPr>
            <w:r w:rsidRPr="00362517">
              <w:rPr>
                <w:sz w:val="22"/>
                <w:szCs w:val="22"/>
              </w:rPr>
              <w:t>8</w:t>
            </w:r>
          </w:p>
        </w:tc>
        <w:tc>
          <w:tcPr>
            <w:tcW w:w="1245" w:type="dxa"/>
          </w:tcPr>
          <w:p w14:paraId="14DF88B6" w14:textId="77777777" w:rsidR="00D8365A" w:rsidRPr="00362517" w:rsidRDefault="00D8365A" w:rsidP="00BF6BC7">
            <w:pPr>
              <w:tabs>
                <w:tab w:val="decimal" w:pos="710"/>
              </w:tabs>
              <w:rPr>
                <w:sz w:val="22"/>
                <w:szCs w:val="22"/>
              </w:rPr>
            </w:pPr>
            <w:r w:rsidRPr="00362517">
              <w:rPr>
                <w:sz w:val="22"/>
                <w:szCs w:val="22"/>
              </w:rPr>
              <w:t>113</w:t>
            </w:r>
          </w:p>
        </w:tc>
      </w:tr>
      <w:tr w:rsidR="00D8365A" w:rsidRPr="00362517" w14:paraId="521FBC69" w14:textId="77777777" w:rsidTr="007A2164">
        <w:tc>
          <w:tcPr>
            <w:tcW w:w="1795" w:type="dxa"/>
          </w:tcPr>
          <w:p w14:paraId="4DADB1AE" w14:textId="77777777" w:rsidR="00D8365A" w:rsidRPr="00362517" w:rsidRDefault="00D8365A" w:rsidP="00BF6BC7">
            <w:pPr>
              <w:pStyle w:val="BodyText"/>
              <w:rPr>
                <w:rFonts w:cs="Times New Roman"/>
                <w:sz w:val="22"/>
                <w:szCs w:val="22"/>
              </w:rPr>
            </w:pPr>
            <w:r w:rsidRPr="00362517">
              <w:rPr>
                <w:rFonts w:cs="Times New Roman"/>
                <w:sz w:val="22"/>
                <w:szCs w:val="22"/>
              </w:rPr>
              <w:t>Mass.</w:t>
            </w:r>
            <w:r w:rsidRPr="00362517">
              <w:rPr>
                <w:rFonts w:cs="Times New Roman"/>
                <w:sz w:val="22"/>
                <w:szCs w:val="22"/>
                <w:vertAlign w:val="superscript"/>
              </w:rPr>
              <w:t xml:space="preserve"> 1 2 3</w:t>
            </w:r>
          </w:p>
        </w:tc>
        <w:tc>
          <w:tcPr>
            <w:tcW w:w="1260" w:type="dxa"/>
          </w:tcPr>
          <w:p w14:paraId="1B86369B"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06E99C59"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4B1FB31C" w14:textId="77777777" w:rsidR="00D8365A" w:rsidRPr="00362517" w:rsidRDefault="00D8365A" w:rsidP="00BF6BC7">
            <w:pPr>
              <w:tabs>
                <w:tab w:val="decimal" w:pos="660"/>
              </w:tabs>
              <w:rPr>
                <w:sz w:val="22"/>
                <w:szCs w:val="22"/>
              </w:rPr>
            </w:pPr>
            <w:r w:rsidRPr="00362517">
              <w:rPr>
                <w:sz w:val="22"/>
                <w:szCs w:val="22"/>
              </w:rPr>
              <w:t>2</w:t>
            </w:r>
          </w:p>
        </w:tc>
        <w:tc>
          <w:tcPr>
            <w:tcW w:w="1244" w:type="dxa"/>
          </w:tcPr>
          <w:p w14:paraId="1A271C88" w14:textId="77777777" w:rsidR="00D8365A" w:rsidRPr="00362517" w:rsidRDefault="00D8365A" w:rsidP="00BF6BC7">
            <w:pPr>
              <w:tabs>
                <w:tab w:val="decimal" w:pos="750"/>
              </w:tabs>
              <w:rPr>
                <w:sz w:val="22"/>
                <w:szCs w:val="22"/>
              </w:rPr>
            </w:pPr>
            <w:r w:rsidRPr="00362517">
              <w:rPr>
                <w:sz w:val="22"/>
                <w:szCs w:val="22"/>
              </w:rPr>
              <w:t>17</w:t>
            </w:r>
          </w:p>
        </w:tc>
        <w:tc>
          <w:tcPr>
            <w:tcW w:w="1244" w:type="dxa"/>
          </w:tcPr>
          <w:p w14:paraId="697E3B56" w14:textId="77777777" w:rsidR="00D8365A" w:rsidRPr="00362517" w:rsidRDefault="00D8365A" w:rsidP="00BF6BC7">
            <w:pPr>
              <w:tabs>
                <w:tab w:val="decimal" w:pos="702"/>
              </w:tabs>
              <w:rPr>
                <w:sz w:val="22"/>
                <w:szCs w:val="22"/>
              </w:rPr>
            </w:pPr>
            <w:r w:rsidRPr="00362517">
              <w:rPr>
                <w:sz w:val="22"/>
                <w:szCs w:val="22"/>
              </w:rPr>
              <w:t>0</w:t>
            </w:r>
          </w:p>
        </w:tc>
        <w:tc>
          <w:tcPr>
            <w:tcW w:w="1245" w:type="dxa"/>
          </w:tcPr>
          <w:p w14:paraId="2AB73958" w14:textId="77777777" w:rsidR="00D8365A" w:rsidRPr="00362517" w:rsidRDefault="00D8365A" w:rsidP="00BF6BC7">
            <w:pPr>
              <w:tabs>
                <w:tab w:val="decimal" w:pos="710"/>
              </w:tabs>
              <w:rPr>
                <w:sz w:val="22"/>
                <w:szCs w:val="22"/>
              </w:rPr>
            </w:pPr>
            <w:r w:rsidRPr="00362517">
              <w:rPr>
                <w:sz w:val="22"/>
                <w:szCs w:val="22"/>
              </w:rPr>
              <w:t>3</w:t>
            </w:r>
          </w:p>
        </w:tc>
      </w:tr>
      <w:tr w:rsidR="00D8365A" w:rsidRPr="00362517" w14:paraId="385AB314" w14:textId="77777777" w:rsidTr="007A2164">
        <w:tc>
          <w:tcPr>
            <w:tcW w:w="1795" w:type="dxa"/>
          </w:tcPr>
          <w:p w14:paraId="268BE103" w14:textId="77777777" w:rsidR="00D8365A" w:rsidRPr="00362517" w:rsidRDefault="00D8365A" w:rsidP="00BF6BC7">
            <w:pPr>
              <w:pStyle w:val="BodyText"/>
              <w:rPr>
                <w:rFonts w:cs="Times New Roman"/>
                <w:sz w:val="22"/>
                <w:szCs w:val="22"/>
              </w:rPr>
            </w:pPr>
            <w:r w:rsidRPr="00362517">
              <w:rPr>
                <w:rFonts w:cs="Times New Roman"/>
                <w:sz w:val="22"/>
                <w:szCs w:val="22"/>
              </w:rPr>
              <w:t>Michigan</w:t>
            </w:r>
            <w:r w:rsidRPr="00362517">
              <w:rPr>
                <w:rFonts w:cs="Times New Roman"/>
                <w:sz w:val="22"/>
                <w:szCs w:val="22"/>
                <w:vertAlign w:val="superscript"/>
              </w:rPr>
              <w:t xml:space="preserve"> 1 2 3</w:t>
            </w:r>
          </w:p>
        </w:tc>
        <w:tc>
          <w:tcPr>
            <w:tcW w:w="1260" w:type="dxa"/>
          </w:tcPr>
          <w:p w14:paraId="5F43F3E6"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4CF0A727"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474972E3" w14:textId="77777777" w:rsidR="00D8365A" w:rsidRPr="00362517" w:rsidRDefault="00D8365A" w:rsidP="00BF6BC7">
            <w:pPr>
              <w:tabs>
                <w:tab w:val="decimal" w:pos="660"/>
              </w:tabs>
              <w:rPr>
                <w:sz w:val="22"/>
                <w:szCs w:val="22"/>
              </w:rPr>
            </w:pPr>
            <w:r w:rsidRPr="00362517">
              <w:rPr>
                <w:sz w:val="22"/>
                <w:szCs w:val="22"/>
              </w:rPr>
              <w:t>21</w:t>
            </w:r>
          </w:p>
        </w:tc>
        <w:tc>
          <w:tcPr>
            <w:tcW w:w="1244" w:type="dxa"/>
          </w:tcPr>
          <w:p w14:paraId="67C941A2" w14:textId="77777777" w:rsidR="00D8365A" w:rsidRPr="00362517" w:rsidRDefault="00D8365A" w:rsidP="00BF6BC7">
            <w:pPr>
              <w:tabs>
                <w:tab w:val="decimal" w:pos="750"/>
              </w:tabs>
              <w:rPr>
                <w:sz w:val="22"/>
                <w:szCs w:val="22"/>
              </w:rPr>
            </w:pPr>
            <w:r w:rsidRPr="00362517">
              <w:rPr>
                <w:sz w:val="22"/>
                <w:szCs w:val="22"/>
              </w:rPr>
              <w:t>187</w:t>
            </w:r>
          </w:p>
        </w:tc>
        <w:tc>
          <w:tcPr>
            <w:tcW w:w="1244" w:type="dxa"/>
          </w:tcPr>
          <w:p w14:paraId="2EE7D585" w14:textId="77777777" w:rsidR="00D8365A" w:rsidRPr="00362517" w:rsidRDefault="00D8365A" w:rsidP="00BF6BC7">
            <w:pPr>
              <w:tabs>
                <w:tab w:val="decimal" w:pos="702"/>
              </w:tabs>
              <w:rPr>
                <w:sz w:val="22"/>
                <w:szCs w:val="22"/>
              </w:rPr>
            </w:pPr>
            <w:r w:rsidRPr="00362517">
              <w:rPr>
                <w:sz w:val="22"/>
                <w:szCs w:val="22"/>
              </w:rPr>
              <w:t>4</w:t>
            </w:r>
          </w:p>
        </w:tc>
        <w:tc>
          <w:tcPr>
            <w:tcW w:w="1245" w:type="dxa"/>
          </w:tcPr>
          <w:p w14:paraId="0EF717DA" w14:textId="77777777" w:rsidR="00D8365A" w:rsidRPr="00362517" w:rsidRDefault="00D8365A" w:rsidP="00BF6BC7">
            <w:pPr>
              <w:tabs>
                <w:tab w:val="decimal" w:pos="710"/>
              </w:tabs>
              <w:rPr>
                <w:sz w:val="22"/>
                <w:szCs w:val="22"/>
              </w:rPr>
            </w:pPr>
            <w:r w:rsidRPr="00362517">
              <w:rPr>
                <w:sz w:val="22"/>
                <w:szCs w:val="22"/>
              </w:rPr>
              <w:t>53</w:t>
            </w:r>
          </w:p>
        </w:tc>
      </w:tr>
      <w:tr w:rsidR="00D8365A" w:rsidRPr="00362517" w14:paraId="6C9FAB63" w14:textId="77777777" w:rsidTr="007A2164">
        <w:tc>
          <w:tcPr>
            <w:tcW w:w="1795" w:type="dxa"/>
          </w:tcPr>
          <w:p w14:paraId="0A94D88A" w14:textId="77777777" w:rsidR="00D8365A" w:rsidRPr="00362517" w:rsidRDefault="00D8365A" w:rsidP="00BF6BC7">
            <w:pPr>
              <w:pStyle w:val="BodyText"/>
              <w:rPr>
                <w:rFonts w:cs="Times New Roman"/>
                <w:sz w:val="22"/>
                <w:szCs w:val="22"/>
              </w:rPr>
            </w:pPr>
            <w:r w:rsidRPr="00362517">
              <w:rPr>
                <w:rFonts w:cs="Times New Roman"/>
                <w:sz w:val="22"/>
                <w:szCs w:val="22"/>
              </w:rPr>
              <w:t>Minnesota</w:t>
            </w:r>
            <w:r w:rsidRPr="00362517">
              <w:rPr>
                <w:rFonts w:cs="Times New Roman"/>
                <w:sz w:val="22"/>
                <w:szCs w:val="22"/>
                <w:vertAlign w:val="superscript"/>
              </w:rPr>
              <w:t xml:space="preserve"> 1</w:t>
            </w:r>
          </w:p>
        </w:tc>
        <w:tc>
          <w:tcPr>
            <w:tcW w:w="1260" w:type="dxa"/>
          </w:tcPr>
          <w:p w14:paraId="0B43EA8C" w14:textId="77777777" w:rsidR="00D8365A" w:rsidRPr="00362517" w:rsidRDefault="00D8365A" w:rsidP="00BF6BC7">
            <w:pPr>
              <w:tabs>
                <w:tab w:val="decimal" w:pos="619"/>
              </w:tabs>
              <w:rPr>
                <w:sz w:val="22"/>
                <w:szCs w:val="22"/>
              </w:rPr>
            </w:pPr>
            <w:r w:rsidRPr="00362517">
              <w:rPr>
                <w:sz w:val="22"/>
                <w:szCs w:val="22"/>
              </w:rPr>
              <w:t>0.4</w:t>
            </w:r>
          </w:p>
        </w:tc>
        <w:tc>
          <w:tcPr>
            <w:tcW w:w="1260" w:type="dxa"/>
          </w:tcPr>
          <w:p w14:paraId="4789AA1E" w14:textId="77777777" w:rsidR="00D8365A" w:rsidRPr="00362517" w:rsidRDefault="00D8365A" w:rsidP="00BF6BC7">
            <w:pPr>
              <w:tabs>
                <w:tab w:val="decimal" w:pos="627"/>
              </w:tabs>
              <w:rPr>
                <w:sz w:val="22"/>
                <w:szCs w:val="22"/>
              </w:rPr>
            </w:pPr>
            <w:r w:rsidRPr="00362517">
              <w:rPr>
                <w:sz w:val="22"/>
                <w:szCs w:val="22"/>
              </w:rPr>
              <w:t>3.0</w:t>
            </w:r>
          </w:p>
        </w:tc>
        <w:tc>
          <w:tcPr>
            <w:tcW w:w="1302" w:type="dxa"/>
          </w:tcPr>
          <w:p w14:paraId="07500FA7" w14:textId="77777777" w:rsidR="00D8365A" w:rsidRPr="00362517" w:rsidRDefault="00D8365A" w:rsidP="00BF6BC7">
            <w:pPr>
              <w:tabs>
                <w:tab w:val="decimal" w:pos="660"/>
              </w:tabs>
              <w:rPr>
                <w:sz w:val="22"/>
                <w:szCs w:val="22"/>
              </w:rPr>
            </w:pPr>
            <w:r w:rsidRPr="00362517">
              <w:rPr>
                <w:sz w:val="22"/>
                <w:szCs w:val="22"/>
              </w:rPr>
              <w:t>1</w:t>
            </w:r>
          </w:p>
        </w:tc>
        <w:tc>
          <w:tcPr>
            <w:tcW w:w="1244" w:type="dxa"/>
          </w:tcPr>
          <w:p w14:paraId="25752979" w14:textId="77777777" w:rsidR="00D8365A" w:rsidRPr="00362517" w:rsidRDefault="00D8365A" w:rsidP="00BF6BC7">
            <w:pPr>
              <w:tabs>
                <w:tab w:val="decimal" w:pos="750"/>
              </w:tabs>
              <w:rPr>
                <w:sz w:val="22"/>
                <w:szCs w:val="22"/>
              </w:rPr>
            </w:pPr>
            <w:r w:rsidRPr="00362517">
              <w:rPr>
                <w:sz w:val="22"/>
                <w:szCs w:val="22"/>
              </w:rPr>
              <w:t>8</w:t>
            </w:r>
          </w:p>
        </w:tc>
        <w:tc>
          <w:tcPr>
            <w:tcW w:w="1244" w:type="dxa"/>
          </w:tcPr>
          <w:p w14:paraId="1AC4DC74" w14:textId="77777777" w:rsidR="00D8365A" w:rsidRPr="00362517" w:rsidRDefault="00D8365A" w:rsidP="00BF6BC7">
            <w:pPr>
              <w:tabs>
                <w:tab w:val="decimal" w:pos="702"/>
              </w:tabs>
              <w:rPr>
                <w:sz w:val="22"/>
                <w:szCs w:val="22"/>
              </w:rPr>
            </w:pPr>
            <w:r w:rsidRPr="00362517">
              <w:rPr>
                <w:sz w:val="22"/>
                <w:szCs w:val="22"/>
              </w:rPr>
              <w:t>2</w:t>
            </w:r>
          </w:p>
        </w:tc>
        <w:tc>
          <w:tcPr>
            <w:tcW w:w="1245" w:type="dxa"/>
          </w:tcPr>
          <w:p w14:paraId="0D4A0B49" w14:textId="77777777" w:rsidR="00D8365A" w:rsidRPr="00362517" w:rsidRDefault="00D8365A" w:rsidP="00BF6BC7">
            <w:pPr>
              <w:tabs>
                <w:tab w:val="decimal" w:pos="710"/>
              </w:tabs>
              <w:rPr>
                <w:sz w:val="22"/>
                <w:szCs w:val="22"/>
              </w:rPr>
            </w:pPr>
            <w:r w:rsidRPr="00362517">
              <w:rPr>
                <w:sz w:val="22"/>
                <w:szCs w:val="22"/>
              </w:rPr>
              <w:t>35</w:t>
            </w:r>
          </w:p>
        </w:tc>
      </w:tr>
      <w:tr w:rsidR="00D8365A" w:rsidRPr="00362517" w14:paraId="1A6C7877" w14:textId="77777777" w:rsidTr="007A2164">
        <w:tc>
          <w:tcPr>
            <w:tcW w:w="1795" w:type="dxa"/>
          </w:tcPr>
          <w:p w14:paraId="447ED3D3" w14:textId="77777777" w:rsidR="00D8365A" w:rsidRPr="00362517" w:rsidRDefault="00D8365A" w:rsidP="00BF6BC7">
            <w:pPr>
              <w:pStyle w:val="BodyText"/>
              <w:rPr>
                <w:rFonts w:cs="Times New Roman"/>
                <w:sz w:val="22"/>
                <w:szCs w:val="22"/>
              </w:rPr>
            </w:pPr>
            <w:r w:rsidRPr="00362517">
              <w:rPr>
                <w:rFonts w:cs="Times New Roman"/>
                <w:sz w:val="22"/>
                <w:szCs w:val="22"/>
              </w:rPr>
              <w:t>Mississippi</w:t>
            </w:r>
            <w:r w:rsidRPr="00362517">
              <w:rPr>
                <w:rFonts w:cs="Times New Roman"/>
                <w:sz w:val="22"/>
                <w:szCs w:val="22"/>
                <w:vertAlign w:val="superscript"/>
              </w:rPr>
              <w:t xml:space="preserve"> 1 2 3</w:t>
            </w:r>
          </w:p>
        </w:tc>
        <w:tc>
          <w:tcPr>
            <w:tcW w:w="1260" w:type="dxa"/>
          </w:tcPr>
          <w:p w14:paraId="50911DFE" w14:textId="77777777" w:rsidR="00D8365A" w:rsidRPr="00362517" w:rsidRDefault="00D8365A" w:rsidP="00BF6BC7">
            <w:pPr>
              <w:tabs>
                <w:tab w:val="decimal" w:pos="619"/>
              </w:tabs>
              <w:rPr>
                <w:sz w:val="22"/>
                <w:szCs w:val="22"/>
              </w:rPr>
            </w:pPr>
            <w:r w:rsidRPr="00362517">
              <w:rPr>
                <w:sz w:val="22"/>
                <w:szCs w:val="22"/>
              </w:rPr>
              <w:t>0.2</w:t>
            </w:r>
          </w:p>
        </w:tc>
        <w:tc>
          <w:tcPr>
            <w:tcW w:w="1260" w:type="dxa"/>
          </w:tcPr>
          <w:p w14:paraId="6A387908" w14:textId="77777777" w:rsidR="00D8365A" w:rsidRPr="00362517" w:rsidRDefault="00D8365A" w:rsidP="00BF6BC7">
            <w:pPr>
              <w:tabs>
                <w:tab w:val="decimal" w:pos="627"/>
              </w:tabs>
              <w:rPr>
                <w:sz w:val="22"/>
                <w:szCs w:val="22"/>
              </w:rPr>
            </w:pPr>
            <w:r w:rsidRPr="00362517">
              <w:rPr>
                <w:sz w:val="22"/>
                <w:szCs w:val="22"/>
              </w:rPr>
              <w:t>2.0</w:t>
            </w:r>
          </w:p>
        </w:tc>
        <w:tc>
          <w:tcPr>
            <w:tcW w:w="1302" w:type="dxa"/>
          </w:tcPr>
          <w:p w14:paraId="138806FE" w14:textId="77777777" w:rsidR="00D8365A" w:rsidRPr="00362517" w:rsidRDefault="00D8365A" w:rsidP="00BF6BC7">
            <w:pPr>
              <w:tabs>
                <w:tab w:val="decimal" w:pos="660"/>
              </w:tabs>
              <w:rPr>
                <w:sz w:val="22"/>
                <w:szCs w:val="22"/>
              </w:rPr>
            </w:pPr>
            <w:r w:rsidRPr="00362517">
              <w:rPr>
                <w:sz w:val="22"/>
                <w:szCs w:val="22"/>
              </w:rPr>
              <w:t>24</w:t>
            </w:r>
          </w:p>
        </w:tc>
        <w:tc>
          <w:tcPr>
            <w:tcW w:w="1244" w:type="dxa"/>
          </w:tcPr>
          <w:p w14:paraId="64810501" w14:textId="77777777" w:rsidR="00D8365A" w:rsidRPr="00362517" w:rsidRDefault="00D8365A" w:rsidP="00BF6BC7">
            <w:pPr>
              <w:tabs>
                <w:tab w:val="decimal" w:pos="750"/>
              </w:tabs>
              <w:rPr>
                <w:sz w:val="22"/>
                <w:szCs w:val="22"/>
              </w:rPr>
            </w:pPr>
            <w:r w:rsidRPr="00362517">
              <w:rPr>
                <w:sz w:val="22"/>
                <w:szCs w:val="22"/>
              </w:rPr>
              <w:t>216</w:t>
            </w:r>
          </w:p>
        </w:tc>
        <w:tc>
          <w:tcPr>
            <w:tcW w:w="1244" w:type="dxa"/>
          </w:tcPr>
          <w:p w14:paraId="44A9E32F" w14:textId="77777777" w:rsidR="00D8365A" w:rsidRPr="00362517" w:rsidRDefault="00D8365A" w:rsidP="00BF6BC7">
            <w:pPr>
              <w:tabs>
                <w:tab w:val="decimal" w:pos="702"/>
              </w:tabs>
              <w:rPr>
                <w:sz w:val="22"/>
                <w:szCs w:val="22"/>
              </w:rPr>
            </w:pPr>
            <w:r w:rsidRPr="00362517">
              <w:rPr>
                <w:sz w:val="22"/>
                <w:szCs w:val="22"/>
              </w:rPr>
              <w:t>3</w:t>
            </w:r>
          </w:p>
        </w:tc>
        <w:tc>
          <w:tcPr>
            <w:tcW w:w="1245" w:type="dxa"/>
          </w:tcPr>
          <w:p w14:paraId="447D6A86" w14:textId="77777777" w:rsidR="00D8365A" w:rsidRPr="00362517" w:rsidRDefault="00D8365A" w:rsidP="00BF6BC7">
            <w:pPr>
              <w:tabs>
                <w:tab w:val="decimal" w:pos="710"/>
              </w:tabs>
              <w:rPr>
                <w:sz w:val="22"/>
                <w:szCs w:val="22"/>
              </w:rPr>
            </w:pPr>
            <w:r w:rsidRPr="00362517">
              <w:rPr>
                <w:sz w:val="22"/>
                <w:szCs w:val="22"/>
              </w:rPr>
              <w:t>38</w:t>
            </w:r>
          </w:p>
        </w:tc>
      </w:tr>
      <w:tr w:rsidR="00D8365A" w:rsidRPr="00362517" w14:paraId="5AE1E6A3" w14:textId="77777777" w:rsidTr="007A2164">
        <w:tc>
          <w:tcPr>
            <w:tcW w:w="1795" w:type="dxa"/>
          </w:tcPr>
          <w:p w14:paraId="4E562247" w14:textId="77777777" w:rsidR="00D8365A" w:rsidRPr="00362517" w:rsidRDefault="00D8365A" w:rsidP="00BF6BC7">
            <w:pPr>
              <w:pStyle w:val="BodyText"/>
              <w:rPr>
                <w:rFonts w:cs="Times New Roman"/>
                <w:sz w:val="22"/>
                <w:szCs w:val="22"/>
              </w:rPr>
            </w:pPr>
            <w:r w:rsidRPr="00362517">
              <w:rPr>
                <w:rFonts w:cs="Times New Roman"/>
                <w:sz w:val="22"/>
                <w:szCs w:val="22"/>
              </w:rPr>
              <w:t>Missouri</w:t>
            </w:r>
            <w:r w:rsidRPr="00362517">
              <w:rPr>
                <w:rFonts w:cs="Times New Roman"/>
                <w:sz w:val="22"/>
                <w:szCs w:val="22"/>
                <w:vertAlign w:val="superscript"/>
              </w:rPr>
              <w:t xml:space="preserve"> 1 2 3</w:t>
            </w:r>
          </w:p>
        </w:tc>
        <w:tc>
          <w:tcPr>
            <w:tcW w:w="1260" w:type="dxa"/>
          </w:tcPr>
          <w:p w14:paraId="596DEEB5" w14:textId="77777777" w:rsidR="00D8365A" w:rsidRPr="00362517" w:rsidRDefault="00D8365A" w:rsidP="00BF6BC7">
            <w:pPr>
              <w:tabs>
                <w:tab w:val="decimal" w:pos="619"/>
              </w:tabs>
              <w:rPr>
                <w:sz w:val="22"/>
                <w:szCs w:val="22"/>
              </w:rPr>
            </w:pPr>
            <w:r w:rsidRPr="00362517">
              <w:rPr>
                <w:sz w:val="22"/>
                <w:szCs w:val="22"/>
              </w:rPr>
              <w:t>0.2</w:t>
            </w:r>
          </w:p>
        </w:tc>
        <w:tc>
          <w:tcPr>
            <w:tcW w:w="1260" w:type="dxa"/>
          </w:tcPr>
          <w:p w14:paraId="696B8BB0" w14:textId="77777777" w:rsidR="00D8365A" w:rsidRPr="00362517" w:rsidRDefault="00D8365A" w:rsidP="00BF6BC7">
            <w:pPr>
              <w:tabs>
                <w:tab w:val="decimal" w:pos="627"/>
              </w:tabs>
              <w:rPr>
                <w:sz w:val="22"/>
                <w:szCs w:val="22"/>
              </w:rPr>
            </w:pPr>
            <w:r w:rsidRPr="00362517">
              <w:rPr>
                <w:sz w:val="22"/>
                <w:szCs w:val="22"/>
              </w:rPr>
              <w:t>2.0</w:t>
            </w:r>
          </w:p>
        </w:tc>
        <w:tc>
          <w:tcPr>
            <w:tcW w:w="1302" w:type="dxa"/>
          </w:tcPr>
          <w:p w14:paraId="5DDADB64" w14:textId="77777777" w:rsidR="00D8365A" w:rsidRPr="00362517" w:rsidRDefault="00D8365A" w:rsidP="00BF6BC7">
            <w:pPr>
              <w:tabs>
                <w:tab w:val="decimal" w:pos="660"/>
              </w:tabs>
              <w:rPr>
                <w:sz w:val="22"/>
                <w:szCs w:val="22"/>
              </w:rPr>
            </w:pPr>
            <w:r w:rsidRPr="00362517">
              <w:rPr>
                <w:sz w:val="22"/>
                <w:szCs w:val="22"/>
              </w:rPr>
              <w:t>55</w:t>
            </w:r>
          </w:p>
        </w:tc>
        <w:tc>
          <w:tcPr>
            <w:tcW w:w="1244" w:type="dxa"/>
          </w:tcPr>
          <w:p w14:paraId="301F8038" w14:textId="77777777" w:rsidR="00D8365A" w:rsidRPr="00362517" w:rsidRDefault="00D8365A" w:rsidP="00BF6BC7">
            <w:pPr>
              <w:tabs>
                <w:tab w:val="decimal" w:pos="750"/>
              </w:tabs>
              <w:rPr>
                <w:sz w:val="22"/>
                <w:szCs w:val="22"/>
              </w:rPr>
            </w:pPr>
            <w:r w:rsidRPr="00362517">
              <w:rPr>
                <w:sz w:val="22"/>
                <w:szCs w:val="22"/>
              </w:rPr>
              <w:t>499</w:t>
            </w:r>
          </w:p>
        </w:tc>
        <w:tc>
          <w:tcPr>
            <w:tcW w:w="1244" w:type="dxa"/>
          </w:tcPr>
          <w:p w14:paraId="4386A59B" w14:textId="77777777" w:rsidR="00D8365A" w:rsidRPr="00362517" w:rsidRDefault="00D8365A" w:rsidP="00BF6BC7">
            <w:pPr>
              <w:tabs>
                <w:tab w:val="decimal" w:pos="702"/>
              </w:tabs>
              <w:rPr>
                <w:sz w:val="22"/>
                <w:szCs w:val="22"/>
              </w:rPr>
            </w:pPr>
            <w:r w:rsidRPr="00362517">
              <w:rPr>
                <w:sz w:val="22"/>
                <w:szCs w:val="22"/>
              </w:rPr>
              <w:t>2</w:t>
            </w:r>
          </w:p>
        </w:tc>
        <w:tc>
          <w:tcPr>
            <w:tcW w:w="1245" w:type="dxa"/>
          </w:tcPr>
          <w:p w14:paraId="1F8C0D2B" w14:textId="77777777" w:rsidR="00D8365A" w:rsidRPr="00362517" w:rsidRDefault="00D8365A" w:rsidP="00BF6BC7">
            <w:pPr>
              <w:tabs>
                <w:tab w:val="decimal" w:pos="710"/>
              </w:tabs>
              <w:rPr>
                <w:sz w:val="22"/>
                <w:szCs w:val="22"/>
              </w:rPr>
            </w:pPr>
            <w:r w:rsidRPr="00362517">
              <w:rPr>
                <w:sz w:val="22"/>
                <w:szCs w:val="22"/>
              </w:rPr>
              <w:t>33</w:t>
            </w:r>
          </w:p>
        </w:tc>
      </w:tr>
      <w:tr w:rsidR="00D8365A" w:rsidRPr="00362517" w14:paraId="408EBEF8" w14:textId="77777777" w:rsidTr="007A2164">
        <w:tc>
          <w:tcPr>
            <w:tcW w:w="1795" w:type="dxa"/>
          </w:tcPr>
          <w:p w14:paraId="2759E803" w14:textId="77777777" w:rsidR="00D8365A" w:rsidRPr="00362517" w:rsidRDefault="00D8365A" w:rsidP="00BF6BC7">
            <w:pPr>
              <w:pStyle w:val="BodyText"/>
              <w:rPr>
                <w:rFonts w:cs="Times New Roman"/>
                <w:sz w:val="22"/>
                <w:szCs w:val="22"/>
              </w:rPr>
            </w:pPr>
            <w:r w:rsidRPr="00362517">
              <w:rPr>
                <w:rFonts w:cs="Times New Roman"/>
                <w:sz w:val="22"/>
                <w:szCs w:val="22"/>
              </w:rPr>
              <w:t>Montana</w:t>
            </w:r>
            <w:r w:rsidRPr="00362517">
              <w:rPr>
                <w:rFonts w:cs="Times New Roman"/>
                <w:sz w:val="22"/>
                <w:szCs w:val="22"/>
                <w:vertAlign w:val="superscript"/>
              </w:rPr>
              <w:t xml:space="preserve"> 1 2 3</w:t>
            </w:r>
          </w:p>
        </w:tc>
        <w:tc>
          <w:tcPr>
            <w:tcW w:w="1260" w:type="dxa"/>
          </w:tcPr>
          <w:p w14:paraId="3F268B0A"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44B0D134"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4E56982C" w14:textId="77777777" w:rsidR="00D8365A" w:rsidRPr="00362517" w:rsidRDefault="00D8365A" w:rsidP="00BF6BC7">
            <w:pPr>
              <w:tabs>
                <w:tab w:val="decimal" w:pos="660"/>
              </w:tabs>
              <w:rPr>
                <w:sz w:val="22"/>
                <w:szCs w:val="22"/>
              </w:rPr>
            </w:pPr>
            <w:r w:rsidRPr="00362517">
              <w:rPr>
                <w:sz w:val="22"/>
                <w:szCs w:val="22"/>
              </w:rPr>
              <w:t>15</w:t>
            </w:r>
          </w:p>
        </w:tc>
        <w:tc>
          <w:tcPr>
            <w:tcW w:w="1244" w:type="dxa"/>
          </w:tcPr>
          <w:p w14:paraId="6B18B97B" w14:textId="77777777" w:rsidR="00D8365A" w:rsidRPr="00362517" w:rsidRDefault="00D8365A" w:rsidP="00BF6BC7">
            <w:pPr>
              <w:tabs>
                <w:tab w:val="decimal" w:pos="750"/>
              </w:tabs>
              <w:rPr>
                <w:sz w:val="22"/>
                <w:szCs w:val="22"/>
              </w:rPr>
            </w:pPr>
            <w:r w:rsidRPr="00362517">
              <w:rPr>
                <w:sz w:val="22"/>
                <w:szCs w:val="22"/>
              </w:rPr>
              <w:t>136</w:t>
            </w:r>
          </w:p>
        </w:tc>
        <w:tc>
          <w:tcPr>
            <w:tcW w:w="1244" w:type="dxa"/>
          </w:tcPr>
          <w:p w14:paraId="2E909A4C" w14:textId="77777777" w:rsidR="00D8365A" w:rsidRPr="00362517" w:rsidRDefault="00D8365A" w:rsidP="00BF6BC7">
            <w:pPr>
              <w:tabs>
                <w:tab w:val="decimal" w:pos="702"/>
              </w:tabs>
              <w:rPr>
                <w:sz w:val="22"/>
                <w:szCs w:val="22"/>
              </w:rPr>
            </w:pPr>
            <w:r w:rsidRPr="00362517">
              <w:rPr>
                <w:sz w:val="22"/>
                <w:szCs w:val="22"/>
              </w:rPr>
              <w:t>0</w:t>
            </w:r>
          </w:p>
        </w:tc>
        <w:tc>
          <w:tcPr>
            <w:tcW w:w="1245" w:type="dxa"/>
          </w:tcPr>
          <w:p w14:paraId="7C7C1DC3" w14:textId="77777777" w:rsidR="00D8365A" w:rsidRPr="00362517" w:rsidRDefault="00D8365A" w:rsidP="00BF6BC7">
            <w:pPr>
              <w:tabs>
                <w:tab w:val="decimal" w:pos="710"/>
              </w:tabs>
              <w:rPr>
                <w:sz w:val="22"/>
                <w:szCs w:val="22"/>
              </w:rPr>
            </w:pPr>
            <w:r w:rsidRPr="00362517">
              <w:rPr>
                <w:sz w:val="22"/>
                <w:szCs w:val="22"/>
              </w:rPr>
              <w:t>0</w:t>
            </w:r>
          </w:p>
        </w:tc>
      </w:tr>
      <w:tr w:rsidR="00D8365A" w:rsidRPr="00362517" w14:paraId="759DA179" w14:textId="77777777" w:rsidTr="007A2164">
        <w:tc>
          <w:tcPr>
            <w:tcW w:w="1795" w:type="dxa"/>
          </w:tcPr>
          <w:p w14:paraId="3F41171F" w14:textId="77777777" w:rsidR="00D8365A" w:rsidRPr="00362517" w:rsidRDefault="00D8365A" w:rsidP="00BF6BC7">
            <w:pPr>
              <w:pStyle w:val="BodyText"/>
              <w:rPr>
                <w:rFonts w:cs="Times New Roman"/>
                <w:sz w:val="22"/>
                <w:szCs w:val="22"/>
              </w:rPr>
            </w:pPr>
            <w:r w:rsidRPr="00362517">
              <w:rPr>
                <w:rFonts w:cs="Times New Roman"/>
                <w:sz w:val="22"/>
                <w:szCs w:val="22"/>
              </w:rPr>
              <w:t>Nebraska</w:t>
            </w:r>
            <w:r w:rsidRPr="00362517">
              <w:rPr>
                <w:rFonts w:cs="Times New Roman"/>
                <w:sz w:val="22"/>
                <w:szCs w:val="22"/>
                <w:vertAlign w:val="superscript"/>
              </w:rPr>
              <w:t xml:space="preserve"> 1 2 3</w:t>
            </w:r>
          </w:p>
        </w:tc>
        <w:tc>
          <w:tcPr>
            <w:tcW w:w="1260" w:type="dxa"/>
          </w:tcPr>
          <w:p w14:paraId="3F20D0BC" w14:textId="77777777" w:rsidR="00D8365A" w:rsidRPr="00362517" w:rsidRDefault="00D8365A" w:rsidP="00BF6BC7">
            <w:pPr>
              <w:tabs>
                <w:tab w:val="decimal" w:pos="619"/>
              </w:tabs>
              <w:rPr>
                <w:sz w:val="22"/>
                <w:szCs w:val="22"/>
              </w:rPr>
            </w:pPr>
            <w:r w:rsidRPr="00362517">
              <w:rPr>
                <w:sz w:val="22"/>
                <w:szCs w:val="22"/>
              </w:rPr>
              <w:t>0.6</w:t>
            </w:r>
          </w:p>
        </w:tc>
        <w:tc>
          <w:tcPr>
            <w:tcW w:w="1260" w:type="dxa"/>
          </w:tcPr>
          <w:p w14:paraId="68F49948" w14:textId="77777777" w:rsidR="00D8365A" w:rsidRPr="00362517" w:rsidRDefault="00D8365A" w:rsidP="00BF6BC7">
            <w:pPr>
              <w:tabs>
                <w:tab w:val="decimal" w:pos="627"/>
              </w:tabs>
              <w:rPr>
                <w:sz w:val="22"/>
                <w:szCs w:val="22"/>
              </w:rPr>
            </w:pPr>
            <w:r w:rsidRPr="00362517">
              <w:rPr>
                <w:sz w:val="22"/>
                <w:szCs w:val="22"/>
              </w:rPr>
              <w:t>5.0</w:t>
            </w:r>
          </w:p>
        </w:tc>
        <w:tc>
          <w:tcPr>
            <w:tcW w:w="1302" w:type="dxa"/>
          </w:tcPr>
          <w:p w14:paraId="0AA948F5" w14:textId="77777777" w:rsidR="00D8365A" w:rsidRPr="00362517" w:rsidRDefault="00D8365A" w:rsidP="00BF6BC7">
            <w:pPr>
              <w:tabs>
                <w:tab w:val="decimal" w:pos="660"/>
              </w:tabs>
              <w:rPr>
                <w:sz w:val="22"/>
                <w:szCs w:val="22"/>
              </w:rPr>
            </w:pPr>
            <w:r w:rsidRPr="00362517">
              <w:rPr>
                <w:sz w:val="22"/>
                <w:szCs w:val="22"/>
              </w:rPr>
              <w:t>56</w:t>
            </w:r>
          </w:p>
        </w:tc>
        <w:tc>
          <w:tcPr>
            <w:tcW w:w="1244" w:type="dxa"/>
          </w:tcPr>
          <w:p w14:paraId="1B60A4C4" w14:textId="77777777" w:rsidR="00D8365A" w:rsidRPr="00362517" w:rsidRDefault="00D8365A" w:rsidP="00BF6BC7">
            <w:pPr>
              <w:tabs>
                <w:tab w:val="decimal" w:pos="750"/>
              </w:tabs>
              <w:rPr>
                <w:sz w:val="22"/>
                <w:szCs w:val="22"/>
              </w:rPr>
            </w:pPr>
            <w:r w:rsidRPr="00362517">
              <w:rPr>
                <w:sz w:val="22"/>
                <w:szCs w:val="22"/>
              </w:rPr>
              <w:t>508</w:t>
            </w:r>
          </w:p>
        </w:tc>
        <w:tc>
          <w:tcPr>
            <w:tcW w:w="1244" w:type="dxa"/>
          </w:tcPr>
          <w:p w14:paraId="659DAACC" w14:textId="77777777" w:rsidR="00D8365A" w:rsidRPr="00362517" w:rsidRDefault="00D8365A" w:rsidP="00BF6BC7">
            <w:pPr>
              <w:tabs>
                <w:tab w:val="decimal" w:pos="702"/>
              </w:tabs>
              <w:rPr>
                <w:sz w:val="22"/>
                <w:szCs w:val="22"/>
              </w:rPr>
            </w:pPr>
            <w:r w:rsidRPr="00362517">
              <w:rPr>
                <w:sz w:val="22"/>
                <w:szCs w:val="22"/>
              </w:rPr>
              <w:t>3</w:t>
            </w:r>
          </w:p>
        </w:tc>
        <w:tc>
          <w:tcPr>
            <w:tcW w:w="1245" w:type="dxa"/>
          </w:tcPr>
          <w:p w14:paraId="6CAE4BC4" w14:textId="77777777" w:rsidR="00D8365A" w:rsidRPr="00362517" w:rsidRDefault="00D8365A" w:rsidP="00BF6BC7">
            <w:pPr>
              <w:tabs>
                <w:tab w:val="decimal" w:pos="710"/>
              </w:tabs>
              <w:rPr>
                <w:sz w:val="22"/>
                <w:szCs w:val="22"/>
              </w:rPr>
            </w:pPr>
            <w:r w:rsidRPr="00362517">
              <w:rPr>
                <w:sz w:val="22"/>
                <w:szCs w:val="22"/>
              </w:rPr>
              <w:t>36</w:t>
            </w:r>
          </w:p>
        </w:tc>
      </w:tr>
      <w:tr w:rsidR="00D8365A" w:rsidRPr="00362517" w14:paraId="7D32606E" w14:textId="77777777" w:rsidTr="007A2164">
        <w:tc>
          <w:tcPr>
            <w:tcW w:w="1795" w:type="dxa"/>
          </w:tcPr>
          <w:p w14:paraId="3B48A827" w14:textId="77777777" w:rsidR="00D8365A" w:rsidRPr="00362517" w:rsidRDefault="00D8365A" w:rsidP="00BF6BC7">
            <w:pPr>
              <w:pStyle w:val="BodyText"/>
              <w:rPr>
                <w:rFonts w:cs="Times New Roman"/>
                <w:sz w:val="22"/>
                <w:szCs w:val="22"/>
              </w:rPr>
            </w:pPr>
            <w:r w:rsidRPr="00362517">
              <w:rPr>
                <w:rFonts w:cs="Times New Roman"/>
                <w:sz w:val="22"/>
                <w:szCs w:val="22"/>
              </w:rPr>
              <w:t>Nevada</w:t>
            </w:r>
            <w:r w:rsidRPr="00362517">
              <w:rPr>
                <w:rFonts w:cs="Times New Roman"/>
                <w:sz w:val="22"/>
                <w:szCs w:val="22"/>
                <w:vertAlign w:val="superscript"/>
              </w:rPr>
              <w:t xml:space="preserve"> 1</w:t>
            </w:r>
          </w:p>
        </w:tc>
        <w:tc>
          <w:tcPr>
            <w:tcW w:w="1260" w:type="dxa"/>
          </w:tcPr>
          <w:p w14:paraId="6D67AA1F"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3CF64BD1"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4FC761C6" w14:textId="77777777" w:rsidR="00D8365A" w:rsidRPr="00362517" w:rsidRDefault="00D8365A" w:rsidP="00BF6BC7">
            <w:pPr>
              <w:tabs>
                <w:tab w:val="decimal" w:pos="660"/>
              </w:tabs>
              <w:rPr>
                <w:sz w:val="22"/>
                <w:szCs w:val="22"/>
              </w:rPr>
            </w:pPr>
            <w:r w:rsidRPr="00362517">
              <w:rPr>
                <w:sz w:val="22"/>
                <w:szCs w:val="22"/>
              </w:rPr>
              <w:t>2</w:t>
            </w:r>
          </w:p>
        </w:tc>
        <w:tc>
          <w:tcPr>
            <w:tcW w:w="1244" w:type="dxa"/>
          </w:tcPr>
          <w:p w14:paraId="2EFEC265" w14:textId="77777777" w:rsidR="00D8365A" w:rsidRPr="00362517" w:rsidRDefault="00D8365A" w:rsidP="00BF6BC7">
            <w:pPr>
              <w:tabs>
                <w:tab w:val="decimal" w:pos="750"/>
              </w:tabs>
              <w:rPr>
                <w:sz w:val="22"/>
                <w:szCs w:val="22"/>
              </w:rPr>
            </w:pPr>
            <w:r w:rsidRPr="00362517">
              <w:rPr>
                <w:sz w:val="22"/>
                <w:szCs w:val="22"/>
              </w:rPr>
              <w:t>20</w:t>
            </w:r>
          </w:p>
        </w:tc>
        <w:tc>
          <w:tcPr>
            <w:tcW w:w="1244" w:type="dxa"/>
          </w:tcPr>
          <w:p w14:paraId="7E7471E2" w14:textId="77777777" w:rsidR="00D8365A" w:rsidRPr="00362517" w:rsidRDefault="00D8365A" w:rsidP="00BF6BC7">
            <w:pPr>
              <w:tabs>
                <w:tab w:val="decimal" w:pos="702"/>
              </w:tabs>
              <w:rPr>
                <w:sz w:val="22"/>
                <w:szCs w:val="22"/>
              </w:rPr>
            </w:pPr>
            <w:r w:rsidRPr="00362517">
              <w:rPr>
                <w:sz w:val="22"/>
                <w:szCs w:val="22"/>
              </w:rPr>
              <w:t>6</w:t>
            </w:r>
          </w:p>
        </w:tc>
        <w:tc>
          <w:tcPr>
            <w:tcW w:w="1245" w:type="dxa"/>
          </w:tcPr>
          <w:p w14:paraId="5441D918" w14:textId="77777777" w:rsidR="00D8365A" w:rsidRPr="00362517" w:rsidRDefault="00D8365A" w:rsidP="00BF6BC7">
            <w:pPr>
              <w:tabs>
                <w:tab w:val="decimal" w:pos="710"/>
              </w:tabs>
              <w:rPr>
                <w:sz w:val="22"/>
                <w:szCs w:val="22"/>
              </w:rPr>
            </w:pPr>
            <w:r w:rsidRPr="00362517">
              <w:rPr>
                <w:sz w:val="22"/>
                <w:szCs w:val="22"/>
              </w:rPr>
              <w:t>85</w:t>
            </w:r>
          </w:p>
        </w:tc>
      </w:tr>
      <w:tr w:rsidR="00D8365A" w:rsidRPr="00362517" w14:paraId="67863AFE" w14:textId="77777777" w:rsidTr="007A2164">
        <w:tc>
          <w:tcPr>
            <w:tcW w:w="1795" w:type="dxa"/>
          </w:tcPr>
          <w:p w14:paraId="10AA5FB0" w14:textId="77777777" w:rsidR="00D8365A" w:rsidRPr="00362517" w:rsidRDefault="00D8365A" w:rsidP="00BF6BC7">
            <w:pPr>
              <w:pStyle w:val="BodyText"/>
              <w:rPr>
                <w:rFonts w:cs="Times New Roman"/>
                <w:sz w:val="22"/>
                <w:szCs w:val="22"/>
              </w:rPr>
            </w:pPr>
            <w:r w:rsidRPr="00362517">
              <w:rPr>
                <w:rFonts w:cs="Times New Roman"/>
                <w:sz w:val="22"/>
                <w:szCs w:val="22"/>
              </w:rPr>
              <w:t xml:space="preserve">New </w:t>
            </w:r>
          </w:p>
          <w:p w14:paraId="7325A300" w14:textId="77777777" w:rsidR="00D8365A" w:rsidRPr="00362517" w:rsidRDefault="00D8365A" w:rsidP="00BF6BC7">
            <w:pPr>
              <w:pStyle w:val="BodyText"/>
              <w:rPr>
                <w:rFonts w:cs="Times New Roman"/>
                <w:sz w:val="22"/>
                <w:szCs w:val="22"/>
              </w:rPr>
            </w:pPr>
            <w:r w:rsidRPr="00362517">
              <w:rPr>
                <w:rFonts w:cs="Times New Roman"/>
                <w:sz w:val="22"/>
                <w:szCs w:val="22"/>
              </w:rPr>
              <w:t>Hampshire</w:t>
            </w:r>
            <w:r w:rsidRPr="00362517">
              <w:rPr>
                <w:rFonts w:cs="Times New Roman"/>
                <w:sz w:val="22"/>
                <w:szCs w:val="22"/>
                <w:vertAlign w:val="superscript"/>
              </w:rPr>
              <w:t xml:space="preserve"> 1 2 3</w:t>
            </w:r>
          </w:p>
        </w:tc>
        <w:tc>
          <w:tcPr>
            <w:tcW w:w="1260" w:type="dxa"/>
            <w:vAlign w:val="center"/>
          </w:tcPr>
          <w:p w14:paraId="05EB1C75" w14:textId="77777777" w:rsidR="00D8365A" w:rsidRPr="00362517" w:rsidRDefault="00D8365A" w:rsidP="00BF6BC7">
            <w:pPr>
              <w:tabs>
                <w:tab w:val="decimal" w:pos="619"/>
              </w:tabs>
              <w:rPr>
                <w:sz w:val="22"/>
                <w:szCs w:val="22"/>
              </w:rPr>
            </w:pPr>
            <w:r w:rsidRPr="00362517">
              <w:rPr>
                <w:sz w:val="22"/>
                <w:szCs w:val="22"/>
              </w:rPr>
              <w:t>0.0</w:t>
            </w:r>
          </w:p>
        </w:tc>
        <w:tc>
          <w:tcPr>
            <w:tcW w:w="1260" w:type="dxa"/>
            <w:vAlign w:val="center"/>
          </w:tcPr>
          <w:p w14:paraId="27AF65E2" w14:textId="77777777" w:rsidR="00D8365A" w:rsidRPr="00362517" w:rsidRDefault="00D8365A" w:rsidP="00BF6BC7">
            <w:pPr>
              <w:tabs>
                <w:tab w:val="decimal" w:pos="627"/>
              </w:tabs>
              <w:rPr>
                <w:sz w:val="22"/>
                <w:szCs w:val="22"/>
              </w:rPr>
            </w:pPr>
            <w:r w:rsidRPr="00362517">
              <w:rPr>
                <w:sz w:val="22"/>
                <w:szCs w:val="22"/>
              </w:rPr>
              <w:t>0.0</w:t>
            </w:r>
          </w:p>
        </w:tc>
        <w:tc>
          <w:tcPr>
            <w:tcW w:w="1302" w:type="dxa"/>
            <w:vAlign w:val="center"/>
          </w:tcPr>
          <w:p w14:paraId="0EE45D7B" w14:textId="77777777" w:rsidR="00D8365A" w:rsidRPr="00362517" w:rsidRDefault="00D8365A" w:rsidP="00BF6BC7">
            <w:pPr>
              <w:tabs>
                <w:tab w:val="decimal" w:pos="660"/>
              </w:tabs>
              <w:rPr>
                <w:sz w:val="22"/>
                <w:szCs w:val="22"/>
              </w:rPr>
            </w:pPr>
            <w:r w:rsidRPr="00362517">
              <w:rPr>
                <w:sz w:val="22"/>
                <w:szCs w:val="22"/>
              </w:rPr>
              <w:t>0</w:t>
            </w:r>
          </w:p>
        </w:tc>
        <w:tc>
          <w:tcPr>
            <w:tcW w:w="1244" w:type="dxa"/>
            <w:vAlign w:val="center"/>
          </w:tcPr>
          <w:p w14:paraId="69E2EB02" w14:textId="77777777" w:rsidR="00D8365A" w:rsidRPr="00362517" w:rsidRDefault="00D8365A" w:rsidP="00BF6BC7">
            <w:pPr>
              <w:tabs>
                <w:tab w:val="decimal" w:pos="750"/>
              </w:tabs>
              <w:rPr>
                <w:sz w:val="22"/>
                <w:szCs w:val="22"/>
              </w:rPr>
            </w:pPr>
            <w:r w:rsidRPr="00362517">
              <w:rPr>
                <w:sz w:val="22"/>
                <w:szCs w:val="22"/>
              </w:rPr>
              <w:t>4</w:t>
            </w:r>
          </w:p>
        </w:tc>
        <w:tc>
          <w:tcPr>
            <w:tcW w:w="1244" w:type="dxa"/>
            <w:vAlign w:val="center"/>
          </w:tcPr>
          <w:p w14:paraId="415E95D3" w14:textId="77777777" w:rsidR="00D8365A" w:rsidRPr="00362517" w:rsidRDefault="00D8365A" w:rsidP="00BF6BC7">
            <w:pPr>
              <w:tabs>
                <w:tab w:val="decimal" w:pos="702"/>
              </w:tabs>
              <w:rPr>
                <w:sz w:val="22"/>
                <w:szCs w:val="22"/>
              </w:rPr>
            </w:pPr>
            <w:r w:rsidRPr="00362517">
              <w:rPr>
                <w:sz w:val="22"/>
                <w:szCs w:val="22"/>
              </w:rPr>
              <w:t>0</w:t>
            </w:r>
          </w:p>
        </w:tc>
        <w:tc>
          <w:tcPr>
            <w:tcW w:w="1245" w:type="dxa"/>
            <w:vAlign w:val="center"/>
          </w:tcPr>
          <w:p w14:paraId="64A6A148" w14:textId="77777777" w:rsidR="00D8365A" w:rsidRPr="00362517" w:rsidRDefault="00D8365A" w:rsidP="00BF6BC7">
            <w:pPr>
              <w:tabs>
                <w:tab w:val="decimal" w:pos="710"/>
              </w:tabs>
              <w:rPr>
                <w:sz w:val="22"/>
                <w:szCs w:val="22"/>
              </w:rPr>
            </w:pPr>
            <w:r w:rsidRPr="00362517">
              <w:rPr>
                <w:sz w:val="22"/>
                <w:szCs w:val="22"/>
              </w:rPr>
              <w:t>1</w:t>
            </w:r>
          </w:p>
        </w:tc>
      </w:tr>
      <w:tr w:rsidR="00D8365A" w:rsidRPr="00362517" w14:paraId="14CF28B8" w14:textId="77777777" w:rsidTr="007A2164">
        <w:tc>
          <w:tcPr>
            <w:tcW w:w="1795" w:type="dxa"/>
          </w:tcPr>
          <w:p w14:paraId="23921B6F" w14:textId="77777777" w:rsidR="00D8365A" w:rsidRPr="00362517" w:rsidRDefault="00D8365A" w:rsidP="00BF6BC7">
            <w:pPr>
              <w:pStyle w:val="BodyText"/>
              <w:rPr>
                <w:rFonts w:cs="Times New Roman"/>
                <w:sz w:val="22"/>
                <w:szCs w:val="22"/>
              </w:rPr>
            </w:pPr>
            <w:r w:rsidRPr="00362517">
              <w:rPr>
                <w:rFonts w:cs="Times New Roman"/>
                <w:sz w:val="22"/>
                <w:szCs w:val="22"/>
              </w:rPr>
              <w:t>New Jersey</w:t>
            </w:r>
            <w:r w:rsidRPr="00362517">
              <w:rPr>
                <w:rFonts w:cs="Times New Roman"/>
                <w:sz w:val="22"/>
                <w:szCs w:val="22"/>
                <w:vertAlign w:val="superscript"/>
              </w:rPr>
              <w:t xml:space="preserve"> 1 2 3</w:t>
            </w:r>
          </w:p>
        </w:tc>
        <w:tc>
          <w:tcPr>
            <w:tcW w:w="1260" w:type="dxa"/>
          </w:tcPr>
          <w:p w14:paraId="37334026"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4430CEF1"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1F7FC4ED" w14:textId="77777777" w:rsidR="00D8365A" w:rsidRPr="00362517" w:rsidRDefault="00D8365A" w:rsidP="00BF6BC7">
            <w:pPr>
              <w:tabs>
                <w:tab w:val="decimal" w:pos="660"/>
              </w:tabs>
              <w:rPr>
                <w:sz w:val="22"/>
                <w:szCs w:val="22"/>
              </w:rPr>
            </w:pPr>
            <w:r w:rsidRPr="00362517">
              <w:rPr>
                <w:sz w:val="22"/>
                <w:szCs w:val="22"/>
              </w:rPr>
              <w:t>3</w:t>
            </w:r>
          </w:p>
        </w:tc>
        <w:tc>
          <w:tcPr>
            <w:tcW w:w="1244" w:type="dxa"/>
          </w:tcPr>
          <w:p w14:paraId="03B2759E" w14:textId="77777777" w:rsidR="00D8365A" w:rsidRPr="00362517" w:rsidRDefault="00D8365A" w:rsidP="00BF6BC7">
            <w:pPr>
              <w:tabs>
                <w:tab w:val="decimal" w:pos="750"/>
              </w:tabs>
              <w:rPr>
                <w:sz w:val="22"/>
                <w:szCs w:val="22"/>
              </w:rPr>
            </w:pPr>
            <w:r w:rsidRPr="00362517">
              <w:rPr>
                <w:sz w:val="22"/>
                <w:szCs w:val="22"/>
              </w:rPr>
              <w:t>32</w:t>
            </w:r>
          </w:p>
        </w:tc>
        <w:tc>
          <w:tcPr>
            <w:tcW w:w="1244" w:type="dxa"/>
          </w:tcPr>
          <w:p w14:paraId="7056E6BE" w14:textId="77777777" w:rsidR="00D8365A" w:rsidRPr="00362517" w:rsidRDefault="00D8365A" w:rsidP="00BF6BC7">
            <w:pPr>
              <w:tabs>
                <w:tab w:val="decimal" w:pos="702"/>
              </w:tabs>
              <w:rPr>
                <w:sz w:val="22"/>
                <w:szCs w:val="22"/>
              </w:rPr>
            </w:pPr>
            <w:r w:rsidRPr="00362517">
              <w:rPr>
                <w:sz w:val="22"/>
                <w:szCs w:val="22"/>
              </w:rPr>
              <w:t>3</w:t>
            </w:r>
          </w:p>
        </w:tc>
        <w:tc>
          <w:tcPr>
            <w:tcW w:w="1245" w:type="dxa"/>
          </w:tcPr>
          <w:p w14:paraId="50DEF7A4" w14:textId="77777777" w:rsidR="00D8365A" w:rsidRPr="00362517" w:rsidRDefault="00D8365A" w:rsidP="00BF6BC7">
            <w:pPr>
              <w:tabs>
                <w:tab w:val="decimal" w:pos="710"/>
              </w:tabs>
              <w:rPr>
                <w:sz w:val="22"/>
                <w:szCs w:val="22"/>
              </w:rPr>
            </w:pPr>
            <w:r w:rsidRPr="00362517">
              <w:rPr>
                <w:sz w:val="22"/>
                <w:szCs w:val="22"/>
              </w:rPr>
              <w:t>43</w:t>
            </w:r>
          </w:p>
        </w:tc>
      </w:tr>
      <w:tr w:rsidR="00D8365A" w:rsidRPr="00362517" w14:paraId="35605F1D" w14:textId="77777777" w:rsidTr="007A2164">
        <w:tc>
          <w:tcPr>
            <w:tcW w:w="1795" w:type="dxa"/>
          </w:tcPr>
          <w:p w14:paraId="6A59E206" w14:textId="77777777" w:rsidR="00D8365A" w:rsidRPr="00362517" w:rsidRDefault="00D8365A" w:rsidP="00BF6BC7">
            <w:pPr>
              <w:pStyle w:val="BodyText"/>
              <w:rPr>
                <w:rFonts w:cs="Times New Roman"/>
                <w:sz w:val="22"/>
                <w:szCs w:val="22"/>
              </w:rPr>
            </w:pPr>
            <w:r w:rsidRPr="00362517">
              <w:rPr>
                <w:rFonts w:cs="Times New Roman"/>
                <w:sz w:val="22"/>
                <w:szCs w:val="22"/>
              </w:rPr>
              <w:t>New Mexico</w:t>
            </w:r>
            <w:r w:rsidRPr="00362517">
              <w:rPr>
                <w:rFonts w:cs="Times New Roman"/>
                <w:sz w:val="22"/>
                <w:szCs w:val="22"/>
                <w:vertAlign w:val="superscript"/>
              </w:rPr>
              <w:t xml:space="preserve"> 1 2 3</w:t>
            </w:r>
          </w:p>
        </w:tc>
        <w:tc>
          <w:tcPr>
            <w:tcW w:w="1260" w:type="dxa"/>
          </w:tcPr>
          <w:p w14:paraId="1540EF73"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772EDE7F"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5C1AB887" w14:textId="77777777" w:rsidR="00D8365A" w:rsidRPr="00362517" w:rsidRDefault="00D8365A" w:rsidP="00BF6BC7">
            <w:pPr>
              <w:tabs>
                <w:tab w:val="decimal" w:pos="660"/>
              </w:tabs>
              <w:rPr>
                <w:sz w:val="22"/>
                <w:szCs w:val="22"/>
              </w:rPr>
            </w:pPr>
            <w:r w:rsidRPr="00362517">
              <w:rPr>
                <w:sz w:val="22"/>
                <w:szCs w:val="22"/>
              </w:rPr>
              <w:t>6</w:t>
            </w:r>
          </w:p>
        </w:tc>
        <w:tc>
          <w:tcPr>
            <w:tcW w:w="1244" w:type="dxa"/>
          </w:tcPr>
          <w:p w14:paraId="0825FFC5" w14:textId="77777777" w:rsidR="00D8365A" w:rsidRPr="00362517" w:rsidRDefault="00D8365A" w:rsidP="00BF6BC7">
            <w:pPr>
              <w:tabs>
                <w:tab w:val="decimal" w:pos="750"/>
              </w:tabs>
              <w:rPr>
                <w:sz w:val="22"/>
                <w:szCs w:val="22"/>
              </w:rPr>
            </w:pPr>
            <w:r w:rsidRPr="00362517">
              <w:rPr>
                <w:sz w:val="22"/>
                <w:szCs w:val="22"/>
              </w:rPr>
              <w:t>56</w:t>
            </w:r>
          </w:p>
        </w:tc>
        <w:tc>
          <w:tcPr>
            <w:tcW w:w="1244" w:type="dxa"/>
          </w:tcPr>
          <w:p w14:paraId="34D1CB2F" w14:textId="77777777" w:rsidR="00D8365A" w:rsidRPr="00362517" w:rsidRDefault="00D8365A" w:rsidP="00BF6BC7">
            <w:pPr>
              <w:tabs>
                <w:tab w:val="decimal" w:pos="702"/>
              </w:tabs>
              <w:rPr>
                <w:sz w:val="22"/>
                <w:szCs w:val="22"/>
              </w:rPr>
            </w:pPr>
            <w:r w:rsidRPr="00362517">
              <w:rPr>
                <w:sz w:val="22"/>
                <w:szCs w:val="22"/>
              </w:rPr>
              <w:t>8</w:t>
            </w:r>
          </w:p>
        </w:tc>
        <w:tc>
          <w:tcPr>
            <w:tcW w:w="1245" w:type="dxa"/>
          </w:tcPr>
          <w:p w14:paraId="6F6CA0C4" w14:textId="77777777" w:rsidR="00D8365A" w:rsidRPr="00362517" w:rsidRDefault="00D8365A" w:rsidP="00BF6BC7">
            <w:pPr>
              <w:tabs>
                <w:tab w:val="decimal" w:pos="710"/>
              </w:tabs>
              <w:rPr>
                <w:sz w:val="22"/>
                <w:szCs w:val="22"/>
              </w:rPr>
            </w:pPr>
            <w:r w:rsidRPr="00362517">
              <w:rPr>
                <w:sz w:val="22"/>
                <w:szCs w:val="22"/>
              </w:rPr>
              <w:t>121</w:t>
            </w:r>
          </w:p>
        </w:tc>
      </w:tr>
      <w:tr w:rsidR="00D8365A" w:rsidRPr="00362517" w14:paraId="49FBC1F7" w14:textId="77777777" w:rsidTr="007A2164">
        <w:tc>
          <w:tcPr>
            <w:tcW w:w="1795" w:type="dxa"/>
          </w:tcPr>
          <w:p w14:paraId="4D2DA231" w14:textId="77777777" w:rsidR="00D8365A" w:rsidRPr="00362517" w:rsidRDefault="00D8365A" w:rsidP="00BF6BC7">
            <w:pPr>
              <w:pStyle w:val="BodyText"/>
              <w:rPr>
                <w:rFonts w:cs="Times New Roman"/>
                <w:sz w:val="22"/>
                <w:szCs w:val="22"/>
              </w:rPr>
            </w:pPr>
            <w:r w:rsidRPr="00362517">
              <w:rPr>
                <w:rFonts w:cs="Times New Roman"/>
                <w:sz w:val="22"/>
                <w:szCs w:val="22"/>
              </w:rPr>
              <w:t>New York</w:t>
            </w:r>
            <w:r w:rsidRPr="00362517">
              <w:rPr>
                <w:rFonts w:cs="Times New Roman"/>
                <w:sz w:val="22"/>
                <w:szCs w:val="22"/>
                <w:vertAlign w:val="superscript"/>
              </w:rPr>
              <w:t xml:space="preserve"> 1 2 3</w:t>
            </w:r>
          </w:p>
        </w:tc>
        <w:tc>
          <w:tcPr>
            <w:tcW w:w="1260" w:type="dxa"/>
          </w:tcPr>
          <w:p w14:paraId="6AB416A7"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19D5F13E"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3F949291" w14:textId="77777777" w:rsidR="00D8365A" w:rsidRPr="00362517" w:rsidRDefault="00D8365A" w:rsidP="00BF6BC7">
            <w:pPr>
              <w:tabs>
                <w:tab w:val="decimal" w:pos="660"/>
              </w:tabs>
              <w:rPr>
                <w:sz w:val="22"/>
                <w:szCs w:val="22"/>
              </w:rPr>
            </w:pPr>
            <w:r w:rsidRPr="00362517">
              <w:rPr>
                <w:sz w:val="22"/>
                <w:szCs w:val="22"/>
              </w:rPr>
              <w:t>17</w:t>
            </w:r>
          </w:p>
        </w:tc>
        <w:tc>
          <w:tcPr>
            <w:tcW w:w="1244" w:type="dxa"/>
          </w:tcPr>
          <w:p w14:paraId="41C7A39C" w14:textId="77777777" w:rsidR="00D8365A" w:rsidRPr="00362517" w:rsidRDefault="00D8365A" w:rsidP="00BF6BC7">
            <w:pPr>
              <w:tabs>
                <w:tab w:val="decimal" w:pos="750"/>
              </w:tabs>
              <w:rPr>
                <w:sz w:val="22"/>
                <w:szCs w:val="22"/>
              </w:rPr>
            </w:pPr>
            <w:r w:rsidRPr="00362517">
              <w:rPr>
                <w:sz w:val="22"/>
                <w:szCs w:val="22"/>
              </w:rPr>
              <w:t>155</w:t>
            </w:r>
          </w:p>
        </w:tc>
        <w:tc>
          <w:tcPr>
            <w:tcW w:w="1244" w:type="dxa"/>
          </w:tcPr>
          <w:p w14:paraId="22DC76D5" w14:textId="77777777" w:rsidR="00D8365A" w:rsidRPr="00362517" w:rsidRDefault="00D8365A" w:rsidP="00BF6BC7">
            <w:pPr>
              <w:tabs>
                <w:tab w:val="decimal" w:pos="702"/>
              </w:tabs>
              <w:rPr>
                <w:sz w:val="22"/>
                <w:szCs w:val="22"/>
              </w:rPr>
            </w:pPr>
            <w:r w:rsidRPr="00362517">
              <w:rPr>
                <w:sz w:val="22"/>
                <w:szCs w:val="22"/>
              </w:rPr>
              <w:t>4</w:t>
            </w:r>
          </w:p>
        </w:tc>
        <w:tc>
          <w:tcPr>
            <w:tcW w:w="1245" w:type="dxa"/>
          </w:tcPr>
          <w:p w14:paraId="7EC79713" w14:textId="77777777" w:rsidR="00D8365A" w:rsidRPr="00362517" w:rsidRDefault="00D8365A" w:rsidP="00BF6BC7">
            <w:pPr>
              <w:tabs>
                <w:tab w:val="decimal" w:pos="710"/>
              </w:tabs>
              <w:rPr>
                <w:sz w:val="22"/>
                <w:szCs w:val="22"/>
              </w:rPr>
            </w:pPr>
            <w:r w:rsidRPr="00362517">
              <w:rPr>
                <w:sz w:val="22"/>
                <w:szCs w:val="22"/>
              </w:rPr>
              <w:t>55</w:t>
            </w:r>
          </w:p>
        </w:tc>
      </w:tr>
      <w:tr w:rsidR="00D8365A" w:rsidRPr="00362517" w14:paraId="52D2E214" w14:textId="77777777" w:rsidTr="007A2164">
        <w:tc>
          <w:tcPr>
            <w:tcW w:w="1795" w:type="dxa"/>
          </w:tcPr>
          <w:p w14:paraId="5A4D098E" w14:textId="77777777" w:rsidR="00D8365A" w:rsidRPr="00362517" w:rsidRDefault="00D8365A" w:rsidP="00BF6BC7">
            <w:pPr>
              <w:pStyle w:val="BodyText"/>
              <w:rPr>
                <w:rFonts w:cs="Times New Roman"/>
                <w:sz w:val="22"/>
                <w:szCs w:val="22"/>
              </w:rPr>
            </w:pPr>
            <w:r w:rsidRPr="00362517">
              <w:rPr>
                <w:rFonts w:cs="Times New Roman"/>
                <w:sz w:val="22"/>
                <w:szCs w:val="22"/>
              </w:rPr>
              <w:t>N Carolina</w:t>
            </w:r>
            <w:r w:rsidRPr="00362517">
              <w:rPr>
                <w:rFonts w:cs="Times New Roman"/>
                <w:sz w:val="22"/>
                <w:szCs w:val="22"/>
                <w:vertAlign w:val="superscript"/>
              </w:rPr>
              <w:t xml:space="preserve"> 1 2 3</w:t>
            </w:r>
          </w:p>
        </w:tc>
        <w:tc>
          <w:tcPr>
            <w:tcW w:w="1260" w:type="dxa"/>
          </w:tcPr>
          <w:p w14:paraId="58746AD8" w14:textId="77777777" w:rsidR="00D8365A" w:rsidRPr="00362517" w:rsidRDefault="00D8365A" w:rsidP="00BF6BC7">
            <w:pPr>
              <w:tabs>
                <w:tab w:val="decimal" w:pos="619"/>
              </w:tabs>
              <w:rPr>
                <w:sz w:val="22"/>
                <w:szCs w:val="22"/>
              </w:rPr>
            </w:pPr>
            <w:r w:rsidRPr="00362517">
              <w:rPr>
                <w:sz w:val="22"/>
                <w:szCs w:val="22"/>
              </w:rPr>
              <w:t>0.1</w:t>
            </w:r>
          </w:p>
        </w:tc>
        <w:tc>
          <w:tcPr>
            <w:tcW w:w="1260" w:type="dxa"/>
          </w:tcPr>
          <w:p w14:paraId="0533CDA5" w14:textId="77777777" w:rsidR="00D8365A" w:rsidRPr="00362517" w:rsidRDefault="00D8365A" w:rsidP="00BF6BC7">
            <w:pPr>
              <w:tabs>
                <w:tab w:val="decimal" w:pos="627"/>
              </w:tabs>
              <w:rPr>
                <w:sz w:val="22"/>
                <w:szCs w:val="22"/>
              </w:rPr>
            </w:pPr>
            <w:r w:rsidRPr="00362517">
              <w:rPr>
                <w:sz w:val="22"/>
                <w:szCs w:val="22"/>
              </w:rPr>
              <w:t>1.0</w:t>
            </w:r>
          </w:p>
        </w:tc>
        <w:tc>
          <w:tcPr>
            <w:tcW w:w="1302" w:type="dxa"/>
          </w:tcPr>
          <w:p w14:paraId="2F64D902" w14:textId="77777777" w:rsidR="00D8365A" w:rsidRPr="00362517" w:rsidRDefault="00D8365A" w:rsidP="00BF6BC7">
            <w:pPr>
              <w:tabs>
                <w:tab w:val="decimal" w:pos="660"/>
              </w:tabs>
              <w:rPr>
                <w:sz w:val="22"/>
                <w:szCs w:val="22"/>
              </w:rPr>
            </w:pPr>
            <w:r w:rsidRPr="00362517">
              <w:rPr>
                <w:sz w:val="22"/>
                <w:szCs w:val="22"/>
              </w:rPr>
              <w:t>68</w:t>
            </w:r>
          </w:p>
        </w:tc>
        <w:tc>
          <w:tcPr>
            <w:tcW w:w="1244" w:type="dxa"/>
          </w:tcPr>
          <w:p w14:paraId="4AE5DFB1" w14:textId="77777777" w:rsidR="00D8365A" w:rsidRPr="00362517" w:rsidRDefault="00D8365A" w:rsidP="00BF6BC7">
            <w:pPr>
              <w:tabs>
                <w:tab w:val="decimal" w:pos="750"/>
              </w:tabs>
              <w:rPr>
                <w:sz w:val="22"/>
                <w:szCs w:val="22"/>
              </w:rPr>
            </w:pPr>
            <w:r w:rsidRPr="00362517">
              <w:rPr>
                <w:sz w:val="22"/>
                <w:szCs w:val="22"/>
              </w:rPr>
              <w:t>622</w:t>
            </w:r>
          </w:p>
        </w:tc>
        <w:tc>
          <w:tcPr>
            <w:tcW w:w="1244" w:type="dxa"/>
          </w:tcPr>
          <w:p w14:paraId="6FC36B74" w14:textId="77777777" w:rsidR="00D8365A" w:rsidRPr="00362517" w:rsidRDefault="00D8365A" w:rsidP="00BF6BC7">
            <w:pPr>
              <w:tabs>
                <w:tab w:val="decimal" w:pos="702"/>
              </w:tabs>
              <w:rPr>
                <w:sz w:val="22"/>
                <w:szCs w:val="22"/>
              </w:rPr>
            </w:pPr>
            <w:r w:rsidRPr="00362517">
              <w:rPr>
                <w:sz w:val="22"/>
                <w:szCs w:val="22"/>
              </w:rPr>
              <w:t>8</w:t>
            </w:r>
          </w:p>
        </w:tc>
        <w:tc>
          <w:tcPr>
            <w:tcW w:w="1245" w:type="dxa"/>
          </w:tcPr>
          <w:p w14:paraId="36FE3F65" w14:textId="77777777" w:rsidR="00D8365A" w:rsidRPr="00362517" w:rsidRDefault="00D8365A" w:rsidP="00BF6BC7">
            <w:pPr>
              <w:tabs>
                <w:tab w:val="decimal" w:pos="710"/>
              </w:tabs>
              <w:rPr>
                <w:sz w:val="22"/>
                <w:szCs w:val="22"/>
              </w:rPr>
            </w:pPr>
            <w:r w:rsidRPr="00362517">
              <w:rPr>
                <w:sz w:val="22"/>
                <w:szCs w:val="22"/>
              </w:rPr>
              <w:t>109</w:t>
            </w:r>
          </w:p>
        </w:tc>
      </w:tr>
      <w:tr w:rsidR="00D8365A" w:rsidRPr="00362517" w14:paraId="128F4AE2" w14:textId="77777777" w:rsidTr="007A2164">
        <w:tc>
          <w:tcPr>
            <w:tcW w:w="1795" w:type="dxa"/>
          </w:tcPr>
          <w:p w14:paraId="7F37F1AD" w14:textId="77777777" w:rsidR="00D8365A" w:rsidRPr="00362517" w:rsidRDefault="00D8365A" w:rsidP="00BF6BC7">
            <w:pPr>
              <w:pStyle w:val="BodyText"/>
              <w:rPr>
                <w:rFonts w:cs="Times New Roman"/>
                <w:sz w:val="22"/>
                <w:szCs w:val="22"/>
              </w:rPr>
            </w:pPr>
            <w:r w:rsidRPr="00362517">
              <w:rPr>
                <w:rFonts w:cs="Times New Roman"/>
                <w:sz w:val="22"/>
                <w:szCs w:val="22"/>
              </w:rPr>
              <w:t>North Dakota</w:t>
            </w:r>
            <w:r w:rsidRPr="00362517">
              <w:rPr>
                <w:rFonts w:cs="Times New Roman"/>
                <w:sz w:val="22"/>
                <w:szCs w:val="22"/>
                <w:vertAlign w:val="superscript"/>
              </w:rPr>
              <w:t xml:space="preserve"> 1 2</w:t>
            </w:r>
          </w:p>
        </w:tc>
        <w:tc>
          <w:tcPr>
            <w:tcW w:w="1260" w:type="dxa"/>
          </w:tcPr>
          <w:p w14:paraId="203F86F1" w14:textId="77777777" w:rsidR="00D8365A" w:rsidRPr="00362517" w:rsidRDefault="00D8365A" w:rsidP="00BF6BC7">
            <w:pPr>
              <w:tabs>
                <w:tab w:val="decimal" w:pos="619"/>
              </w:tabs>
              <w:rPr>
                <w:sz w:val="22"/>
                <w:szCs w:val="22"/>
              </w:rPr>
            </w:pPr>
            <w:r w:rsidRPr="00362517">
              <w:rPr>
                <w:sz w:val="22"/>
                <w:szCs w:val="22"/>
              </w:rPr>
              <w:t>0.4</w:t>
            </w:r>
          </w:p>
        </w:tc>
        <w:tc>
          <w:tcPr>
            <w:tcW w:w="1260" w:type="dxa"/>
          </w:tcPr>
          <w:p w14:paraId="4028803A" w14:textId="77777777" w:rsidR="00D8365A" w:rsidRPr="00362517" w:rsidRDefault="00D8365A" w:rsidP="00BF6BC7">
            <w:pPr>
              <w:tabs>
                <w:tab w:val="decimal" w:pos="627"/>
              </w:tabs>
              <w:rPr>
                <w:sz w:val="22"/>
                <w:szCs w:val="22"/>
              </w:rPr>
            </w:pPr>
            <w:r w:rsidRPr="00362517">
              <w:rPr>
                <w:sz w:val="22"/>
                <w:szCs w:val="22"/>
              </w:rPr>
              <w:t>3.0</w:t>
            </w:r>
          </w:p>
        </w:tc>
        <w:tc>
          <w:tcPr>
            <w:tcW w:w="1302" w:type="dxa"/>
          </w:tcPr>
          <w:p w14:paraId="6CCBFF25" w14:textId="77777777" w:rsidR="00D8365A" w:rsidRPr="00362517" w:rsidRDefault="00D8365A" w:rsidP="00BF6BC7">
            <w:pPr>
              <w:tabs>
                <w:tab w:val="decimal" w:pos="660"/>
              </w:tabs>
              <w:rPr>
                <w:sz w:val="22"/>
                <w:szCs w:val="22"/>
              </w:rPr>
            </w:pPr>
            <w:r w:rsidRPr="00362517">
              <w:rPr>
                <w:sz w:val="22"/>
                <w:szCs w:val="22"/>
              </w:rPr>
              <w:t>28</w:t>
            </w:r>
          </w:p>
        </w:tc>
        <w:tc>
          <w:tcPr>
            <w:tcW w:w="1244" w:type="dxa"/>
          </w:tcPr>
          <w:p w14:paraId="6908129E" w14:textId="77777777" w:rsidR="00D8365A" w:rsidRPr="00362517" w:rsidRDefault="00D8365A" w:rsidP="00BF6BC7">
            <w:pPr>
              <w:tabs>
                <w:tab w:val="decimal" w:pos="750"/>
              </w:tabs>
              <w:rPr>
                <w:sz w:val="22"/>
                <w:szCs w:val="22"/>
              </w:rPr>
            </w:pPr>
            <w:r w:rsidRPr="00362517">
              <w:rPr>
                <w:sz w:val="22"/>
                <w:szCs w:val="22"/>
              </w:rPr>
              <w:t>255</w:t>
            </w:r>
          </w:p>
        </w:tc>
        <w:tc>
          <w:tcPr>
            <w:tcW w:w="1244" w:type="dxa"/>
          </w:tcPr>
          <w:p w14:paraId="75BF320E" w14:textId="77777777" w:rsidR="00D8365A" w:rsidRPr="00362517" w:rsidRDefault="00D8365A" w:rsidP="00BF6BC7">
            <w:pPr>
              <w:tabs>
                <w:tab w:val="decimal" w:pos="702"/>
              </w:tabs>
              <w:rPr>
                <w:sz w:val="22"/>
                <w:szCs w:val="22"/>
              </w:rPr>
            </w:pPr>
            <w:r w:rsidRPr="00362517">
              <w:rPr>
                <w:sz w:val="22"/>
                <w:szCs w:val="22"/>
              </w:rPr>
              <w:t>68</w:t>
            </w:r>
          </w:p>
        </w:tc>
        <w:tc>
          <w:tcPr>
            <w:tcW w:w="1245" w:type="dxa"/>
          </w:tcPr>
          <w:p w14:paraId="42F02A30" w14:textId="77777777" w:rsidR="00D8365A" w:rsidRPr="00362517" w:rsidRDefault="00D8365A" w:rsidP="00BF6BC7">
            <w:pPr>
              <w:tabs>
                <w:tab w:val="decimal" w:pos="710"/>
              </w:tabs>
              <w:rPr>
                <w:sz w:val="22"/>
                <w:szCs w:val="22"/>
              </w:rPr>
            </w:pPr>
            <w:r w:rsidRPr="00362517">
              <w:rPr>
                <w:sz w:val="22"/>
                <w:szCs w:val="22"/>
              </w:rPr>
              <w:t>966</w:t>
            </w:r>
          </w:p>
        </w:tc>
      </w:tr>
      <w:tr w:rsidR="00D8365A" w:rsidRPr="00362517" w14:paraId="6E708C8B" w14:textId="77777777" w:rsidTr="007A2164">
        <w:tc>
          <w:tcPr>
            <w:tcW w:w="1795" w:type="dxa"/>
          </w:tcPr>
          <w:p w14:paraId="1E38729B" w14:textId="77777777" w:rsidR="00D8365A" w:rsidRPr="00362517" w:rsidRDefault="00D8365A" w:rsidP="00BF6BC7">
            <w:pPr>
              <w:pStyle w:val="BodyText"/>
              <w:rPr>
                <w:rFonts w:cs="Times New Roman"/>
                <w:sz w:val="22"/>
                <w:szCs w:val="22"/>
              </w:rPr>
            </w:pPr>
            <w:r w:rsidRPr="00362517">
              <w:rPr>
                <w:rFonts w:cs="Times New Roman"/>
                <w:sz w:val="22"/>
                <w:szCs w:val="22"/>
              </w:rPr>
              <w:t>Ohio</w:t>
            </w:r>
            <w:r w:rsidRPr="00362517">
              <w:rPr>
                <w:rFonts w:cs="Times New Roman"/>
                <w:sz w:val="22"/>
                <w:szCs w:val="22"/>
                <w:vertAlign w:val="superscript"/>
              </w:rPr>
              <w:t xml:space="preserve"> 1 2 3</w:t>
            </w:r>
          </w:p>
        </w:tc>
        <w:tc>
          <w:tcPr>
            <w:tcW w:w="1260" w:type="dxa"/>
          </w:tcPr>
          <w:p w14:paraId="7691681E" w14:textId="77777777" w:rsidR="00D8365A" w:rsidRPr="00362517" w:rsidRDefault="00D8365A" w:rsidP="00BF6BC7">
            <w:pPr>
              <w:tabs>
                <w:tab w:val="decimal" w:pos="619"/>
              </w:tabs>
              <w:rPr>
                <w:sz w:val="22"/>
                <w:szCs w:val="22"/>
              </w:rPr>
            </w:pPr>
            <w:r w:rsidRPr="00362517">
              <w:rPr>
                <w:sz w:val="22"/>
                <w:szCs w:val="22"/>
              </w:rPr>
              <w:t>0.1</w:t>
            </w:r>
          </w:p>
        </w:tc>
        <w:tc>
          <w:tcPr>
            <w:tcW w:w="1260" w:type="dxa"/>
          </w:tcPr>
          <w:p w14:paraId="43542F80" w14:textId="77777777" w:rsidR="00D8365A" w:rsidRPr="00362517" w:rsidRDefault="00D8365A" w:rsidP="00BF6BC7">
            <w:pPr>
              <w:tabs>
                <w:tab w:val="decimal" w:pos="627"/>
              </w:tabs>
              <w:rPr>
                <w:sz w:val="22"/>
                <w:szCs w:val="22"/>
              </w:rPr>
            </w:pPr>
            <w:r w:rsidRPr="00362517">
              <w:rPr>
                <w:sz w:val="22"/>
                <w:szCs w:val="22"/>
              </w:rPr>
              <w:t>1.0</w:t>
            </w:r>
          </w:p>
        </w:tc>
        <w:tc>
          <w:tcPr>
            <w:tcW w:w="1302" w:type="dxa"/>
          </w:tcPr>
          <w:p w14:paraId="0FAF0ADC" w14:textId="77777777" w:rsidR="00D8365A" w:rsidRPr="00362517" w:rsidRDefault="00D8365A" w:rsidP="00BF6BC7">
            <w:pPr>
              <w:tabs>
                <w:tab w:val="decimal" w:pos="660"/>
              </w:tabs>
              <w:rPr>
                <w:sz w:val="22"/>
                <w:szCs w:val="22"/>
              </w:rPr>
            </w:pPr>
            <w:r w:rsidRPr="00362517">
              <w:rPr>
                <w:sz w:val="22"/>
                <w:szCs w:val="22"/>
              </w:rPr>
              <w:t>37</w:t>
            </w:r>
          </w:p>
        </w:tc>
        <w:tc>
          <w:tcPr>
            <w:tcW w:w="1244" w:type="dxa"/>
          </w:tcPr>
          <w:p w14:paraId="494046BB" w14:textId="77777777" w:rsidR="00D8365A" w:rsidRPr="00362517" w:rsidRDefault="00D8365A" w:rsidP="00BF6BC7">
            <w:pPr>
              <w:tabs>
                <w:tab w:val="decimal" w:pos="750"/>
              </w:tabs>
              <w:rPr>
                <w:sz w:val="22"/>
                <w:szCs w:val="22"/>
              </w:rPr>
            </w:pPr>
            <w:r w:rsidRPr="00362517">
              <w:rPr>
                <w:sz w:val="22"/>
                <w:szCs w:val="22"/>
              </w:rPr>
              <w:t>341</w:t>
            </w:r>
          </w:p>
        </w:tc>
        <w:tc>
          <w:tcPr>
            <w:tcW w:w="1244" w:type="dxa"/>
          </w:tcPr>
          <w:p w14:paraId="41E63F3D" w14:textId="77777777" w:rsidR="00D8365A" w:rsidRPr="00362517" w:rsidRDefault="00D8365A" w:rsidP="00BF6BC7">
            <w:pPr>
              <w:tabs>
                <w:tab w:val="decimal" w:pos="702"/>
              </w:tabs>
              <w:rPr>
                <w:sz w:val="22"/>
                <w:szCs w:val="22"/>
              </w:rPr>
            </w:pPr>
            <w:r w:rsidRPr="00362517">
              <w:rPr>
                <w:sz w:val="22"/>
                <w:szCs w:val="22"/>
              </w:rPr>
              <w:t>2</w:t>
            </w:r>
          </w:p>
        </w:tc>
        <w:tc>
          <w:tcPr>
            <w:tcW w:w="1245" w:type="dxa"/>
          </w:tcPr>
          <w:p w14:paraId="3914CFB1" w14:textId="77777777" w:rsidR="00D8365A" w:rsidRPr="00362517" w:rsidRDefault="00D8365A" w:rsidP="00BF6BC7">
            <w:pPr>
              <w:tabs>
                <w:tab w:val="decimal" w:pos="710"/>
              </w:tabs>
              <w:rPr>
                <w:sz w:val="22"/>
                <w:szCs w:val="22"/>
              </w:rPr>
            </w:pPr>
            <w:r w:rsidRPr="00362517">
              <w:rPr>
                <w:sz w:val="22"/>
                <w:szCs w:val="22"/>
              </w:rPr>
              <w:t>31</w:t>
            </w:r>
          </w:p>
        </w:tc>
      </w:tr>
      <w:tr w:rsidR="00D8365A" w:rsidRPr="00362517" w14:paraId="42DD1F28" w14:textId="77777777" w:rsidTr="007A2164">
        <w:tc>
          <w:tcPr>
            <w:tcW w:w="1795" w:type="dxa"/>
          </w:tcPr>
          <w:p w14:paraId="6ECCA921" w14:textId="77777777" w:rsidR="00D8365A" w:rsidRPr="00362517" w:rsidRDefault="00D8365A" w:rsidP="00BF6BC7">
            <w:pPr>
              <w:pStyle w:val="BodyText"/>
              <w:rPr>
                <w:rFonts w:cs="Times New Roman"/>
                <w:sz w:val="22"/>
                <w:szCs w:val="22"/>
              </w:rPr>
            </w:pPr>
            <w:r w:rsidRPr="00362517">
              <w:rPr>
                <w:rFonts w:cs="Times New Roman"/>
                <w:sz w:val="22"/>
                <w:szCs w:val="22"/>
              </w:rPr>
              <w:t>Oklahoma</w:t>
            </w:r>
            <w:r w:rsidRPr="00362517">
              <w:rPr>
                <w:rFonts w:cs="Times New Roman"/>
                <w:sz w:val="22"/>
                <w:szCs w:val="22"/>
                <w:vertAlign w:val="superscript"/>
              </w:rPr>
              <w:t xml:space="preserve"> 1 2 3</w:t>
            </w:r>
          </w:p>
        </w:tc>
        <w:tc>
          <w:tcPr>
            <w:tcW w:w="1260" w:type="dxa"/>
          </w:tcPr>
          <w:p w14:paraId="3C8141E9" w14:textId="77777777" w:rsidR="00D8365A" w:rsidRPr="00362517" w:rsidRDefault="00D8365A" w:rsidP="00BF6BC7">
            <w:pPr>
              <w:tabs>
                <w:tab w:val="decimal" w:pos="619"/>
              </w:tabs>
              <w:rPr>
                <w:sz w:val="22"/>
                <w:szCs w:val="22"/>
              </w:rPr>
            </w:pPr>
            <w:r w:rsidRPr="00362517">
              <w:rPr>
                <w:sz w:val="22"/>
                <w:szCs w:val="22"/>
              </w:rPr>
              <w:t>0.4</w:t>
            </w:r>
          </w:p>
        </w:tc>
        <w:tc>
          <w:tcPr>
            <w:tcW w:w="1260" w:type="dxa"/>
          </w:tcPr>
          <w:p w14:paraId="45CA6947" w14:textId="77777777" w:rsidR="00D8365A" w:rsidRPr="00362517" w:rsidRDefault="00D8365A" w:rsidP="00BF6BC7">
            <w:pPr>
              <w:tabs>
                <w:tab w:val="decimal" w:pos="627"/>
              </w:tabs>
              <w:rPr>
                <w:sz w:val="22"/>
                <w:szCs w:val="22"/>
              </w:rPr>
            </w:pPr>
            <w:r w:rsidRPr="00362517">
              <w:rPr>
                <w:sz w:val="22"/>
                <w:szCs w:val="22"/>
              </w:rPr>
              <w:t>3.0</w:t>
            </w:r>
          </w:p>
        </w:tc>
        <w:tc>
          <w:tcPr>
            <w:tcW w:w="1302" w:type="dxa"/>
          </w:tcPr>
          <w:p w14:paraId="01359646" w14:textId="77777777" w:rsidR="00D8365A" w:rsidRPr="00362517" w:rsidRDefault="00D8365A" w:rsidP="00BF6BC7">
            <w:pPr>
              <w:tabs>
                <w:tab w:val="decimal" w:pos="660"/>
              </w:tabs>
              <w:rPr>
                <w:sz w:val="22"/>
                <w:szCs w:val="22"/>
              </w:rPr>
            </w:pPr>
            <w:r w:rsidRPr="00362517">
              <w:rPr>
                <w:sz w:val="22"/>
                <w:szCs w:val="22"/>
              </w:rPr>
              <w:t>29</w:t>
            </w:r>
          </w:p>
        </w:tc>
        <w:tc>
          <w:tcPr>
            <w:tcW w:w="1244" w:type="dxa"/>
          </w:tcPr>
          <w:p w14:paraId="7FD2A7DC" w14:textId="77777777" w:rsidR="00D8365A" w:rsidRPr="00362517" w:rsidRDefault="00D8365A" w:rsidP="00BF6BC7">
            <w:pPr>
              <w:tabs>
                <w:tab w:val="decimal" w:pos="750"/>
              </w:tabs>
              <w:rPr>
                <w:sz w:val="22"/>
                <w:szCs w:val="22"/>
              </w:rPr>
            </w:pPr>
            <w:r w:rsidRPr="00362517">
              <w:rPr>
                <w:sz w:val="22"/>
                <w:szCs w:val="22"/>
              </w:rPr>
              <w:t>262</w:t>
            </w:r>
          </w:p>
        </w:tc>
        <w:tc>
          <w:tcPr>
            <w:tcW w:w="1244" w:type="dxa"/>
          </w:tcPr>
          <w:p w14:paraId="4F7E981C" w14:textId="77777777" w:rsidR="00D8365A" w:rsidRPr="00362517" w:rsidRDefault="00D8365A" w:rsidP="00BF6BC7">
            <w:pPr>
              <w:tabs>
                <w:tab w:val="decimal" w:pos="702"/>
              </w:tabs>
              <w:rPr>
                <w:sz w:val="22"/>
                <w:szCs w:val="22"/>
              </w:rPr>
            </w:pPr>
            <w:r w:rsidRPr="00362517">
              <w:rPr>
                <w:sz w:val="22"/>
                <w:szCs w:val="22"/>
              </w:rPr>
              <w:t>4</w:t>
            </w:r>
          </w:p>
        </w:tc>
        <w:tc>
          <w:tcPr>
            <w:tcW w:w="1245" w:type="dxa"/>
          </w:tcPr>
          <w:p w14:paraId="469E52D9" w14:textId="77777777" w:rsidR="00D8365A" w:rsidRPr="00362517" w:rsidRDefault="00D8365A" w:rsidP="00BF6BC7">
            <w:pPr>
              <w:tabs>
                <w:tab w:val="decimal" w:pos="710"/>
              </w:tabs>
              <w:rPr>
                <w:sz w:val="22"/>
                <w:szCs w:val="22"/>
              </w:rPr>
            </w:pPr>
            <w:r w:rsidRPr="00362517">
              <w:rPr>
                <w:sz w:val="22"/>
                <w:szCs w:val="22"/>
              </w:rPr>
              <w:t>60</w:t>
            </w:r>
          </w:p>
        </w:tc>
      </w:tr>
      <w:tr w:rsidR="00D8365A" w:rsidRPr="00362517" w14:paraId="656EE229" w14:textId="77777777" w:rsidTr="007A2164">
        <w:tc>
          <w:tcPr>
            <w:tcW w:w="1795" w:type="dxa"/>
          </w:tcPr>
          <w:p w14:paraId="38011095" w14:textId="77777777" w:rsidR="00D8365A" w:rsidRPr="00362517" w:rsidRDefault="00D8365A" w:rsidP="00BF6BC7">
            <w:pPr>
              <w:pStyle w:val="BodyText"/>
              <w:rPr>
                <w:rFonts w:cs="Times New Roman"/>
                <w:sz w:val="22"/>
                <w:szCs w:val="22"/>
              </w:rPr>
            </w:pPr>
            <w:r w:rsidRPr="00362517">
              <w:rPr>
                <w:rFonts w:cs="Times New Roman"/>
                <w:sz w:val="22"/>
                <w:szCs w:val="22"/>
              </w:rPr>
              <w:t>Oregon</w:t>
            </w:r>
            <w:r w:rsidRPr="00362517">
              <w:rPr>
                <w:rFonts w:cs="Times New Roman"/>
                <w:sz w:val="22"/>
                <w:szCs w:val="22"/>
                <w:vertAlign w:val="superscript"/>
              </w:rPr>
              <w:t xml:space="preserve"> 1 2 3</w:t>
            </w:r>
          </w:p>
        </w:tc>
        <w:tc>
          <w:tcPr>
            <w:tcW w:w="1260" w:type="dxa"/>
          </w:tcPr>
          <w:p w14:paraId="1BE5EFCF" w14:textId="77777777" w:rsidR="00D8365A" w:rsidRPr="00362517" w:rsidRDefault="00D8365A" w:rsidP="00BF6BC7">
            <w:pPr>
              <w:tabs>
                <w:tab w:val="decimal" w:pos="619"/>
              </w:tabs>
              <w:rPr>
                <w:sz w:val="22"/>
                <w:szCs w:val="22"/>
              </w:rPr>
            </w:pPr>
            <w:r w:rsidRPr="00362517">
              <w:rPr>
                <w:sz w:val="22"/>
                <w:szCs w:val="22"/>
              </w:rPr>
              <w:t>0.1</w:t>
            </w:r>
          </w:p>
        </w:tc>
        <w:tc>
          <w:tcPr>
            <w:tcW w:w="1260" w:type="dxa"/>
          </w:tcPr>
          <w:p w14:paraId="5F2D9D35" w14:textId="77777777" w:rsidR="00D8365A" w:rsidRPr="00362517" w:rsidRDefault="00D8365A" w:rsidP="00BF6BC7">
            <w:pPr>
              <w:tabs>
                <w:tab w:val="decimal" w:pos="627"/>
              </w:tabs>
              <w:rPr>
                <w:sz w:val="22"/>
                <w:szCs w:val="22"/>
              </w:rPr>
            </w:pPr>
            <w:r w:rsidRPr="00362517">
              <w:rPr>
                <w:sz w:val="22"/>
                <w:szCs w:val="22"/>
              </w:rPr>
              <w:t>1.0</w:t>
            </w:r>
          </w:p>
        </w:tc>
        <w:tc>
          <w:tcPr>
            <w:tcW w:w="1302" w:type="dxa"/>
          </w:tcPr>
          <w:p w14:paraId="73F4DF41" w14:textId="77777777" w:rsidR="00D8365A" w:rsidRPr="00362517" w:rsidRDefault="00D8365A" w:rsidP="00BF6BC7">
            <w:pPr>
              <w:tabs>
                <w:tab w:val="decimal" w:pos="660"/>
              </w:tabs>
              <w:rPr>
                <w:sz w:val="22"/>
                <w:szCs w:val="22"/>
              </w:rPr>
            </w:pPr>
            <w:r w:rsidRPr="00362517">
              <w:rPr>
                <w:sz w:val="22"/>
                <w:szCs w:val="22"/>
              </w:rPr>
              <w:t>15</w:t>
            </w:r>
          </w:p>
        </w:tc>
        <w:tc>
          <w:tcPr>
            <w:tcW w:w="1244" w:type="dxa"/>
          </w:tcPr>
          <w:p w14:paraId="1425BB20" w14:textId="77777777" w:rsidR="00D8365A" w:rsidRPr="00362517" w:rsidRDefault="00D8365A" w:rsidP="00BF6BC7">
            <w:pPr>
              <w:tabs>
                <w:tab w:val="decimal" w:pos="750"/>
              </w:tabs>
              <w:rPr>
                <w:sz w:val="22"/>
                <w:szCs w:val="22"/>
              </w:rPr>
            </w:pPr>
            <w:r w:rsidRPr="00362517">
              <w:rPr>
                <w:sz w:val="22"/>
                <w:szCs w:val="22"/>
              </w:rPr>
              <w:t>140</w:t>
            </w:r>
          </w:p>
        </w:tc>
        <w:tc>
          <w:tcPr>
            <w:tcW w:w="1244" w:type="dxa"/>
          </w:tcPr>
          <w:p w14:paraId="06886D81" w14:textId="77777777" w:rsidR="00D8365A" w:rsidRPr="00362517" w:rsidRDefault="00D8365A" w:rsidP="00BF6BC7">
            <w:pPr>
              <w:tabs>
                <w:tab w:val="decimal" w:pos="702"/>
              </w:tabs>
              <w:rPr>
                <w:sz w:val="22"/>
                <w:szCs w:val="22"/>
              </w:rPr>
            </w:pPr>
            <w:r w:rsidRPr="00362517">
              <w:rPr>
                <w:sz w:val="22"/>
                <w:szCs w:val="22"/>
              </w:rPr>
              <w:t>4</w:t>
            </w:r>
          </w:p>
        </w:tc>
        <w:tc>
          <w:tcPr>
            <w:tcW w:w="1245" w:type="dxa"/>
          </w:tcPr>
          <w:p w14:paraId="3ADDAE27" w14:textId="77777777" w:rsidR="00D8365A" w:rsidRPr="00362517" w:rsidRDefault="00D8365A" w:rsidP="00BF6BC7">
            <w:pPr>
              <w:tabs>
                <w:tab w:val="decimal" w:pos="710"/>
              </w:tabs>
              <w:rPr>
                <w:sz w:val="22"/>
                <w:szCs w:val="22"/>
              </w:rPr>
            </w:pPr>
            <w:r w:rsidRPr="00362517">
              <w:rPr>
                <w:sz w:val="22"/>
                <w:szCs w:val="22"/>
              </w:rPr>
              <w:t>58</w:t>
            </w:r>
          </w:p>
        </w:tc>
      </w:tr>
      <w:tr w:rsidR="00D8365A" w:rsidRPr="00362517" w14:paraId="46F05974" w14:textId="77777777" w:rsidTr="007A2164">
        <w:tc>
          <w:tcPr>
            <w:tcW w:w="1795" w:type="dxa"/>
          </w:tcPr>
          <w:p w14:paraId="69E7307C" w14:textId="77777777" w:rsidR="00D8365A" w:rsidRPr="00362517" w:rsidRDefault="00D8365A" w:rsidP="00BF6BC7">
            <w:pPr>
              <w:pStyle w:val="BodyText"/>
              <w:rPr>
                <w:rFonts w:cs="Times New Roman"/>
                <w:sz w:val="22"/>
                <w:szCs w:val="22"/>
              </w:rPr>
            </w:pPr>
            <w:r w:rsidRPr="00362517">
              <w:rPr>
                <w:rFonts w:cs="Times New Roman"/>
                <w:sz w:val="22"/>
                <w:szCs w:val="22"/>
              </w:rPr>
              <w:t>Pennsylvania</w:t>
            </w:r>
            <w:r w:rsidRPr="00362517">
              <w:rPr>
                <w:rFonts w:cs="Times New Roman"/>
                <w:sz w:val="22"/>
                <w:szCs w:val="22"/>
                <w:vertAlign w:val="superscript"/>
              </w:rPr>
              <w:t xml:space="preserve"> 1</w:t>
            </w:r>
          </w:p>
        </w:tc>
        <w:tc>
          <w:tcPr>
            <w:tcW w:w="1260" w:type="dxa"/>
          </w:tcPr>
          <w:p w14:paraId="653BECF8"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46FEE3D3"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3B76E78D" w14:textId="77777777" w:rsidR="00D8365A" w:rsidRPr="00362517" w:rsidRDefault="00D8365A" w:rsidP="00BF6BC7">
            <w:pPr>
              <w:tabs>
                <w:tab w:val="decimal" w:pos="660"/>
              </w:tabs>
              <w:rPr>
                <w:sz w:val="22"/>
                <w:szCs w:val="22"/>
              </w:rPr>
            </w:pPr>
            <w:r w:rsidRPr="00362517">
              <w:rPr>
                <w:sz w:val="22"/>
                <w:szCs w:val="22"/>
              </w:rPr>
              <w:t>8</w:t>
            </w:r>
          </w:p>
        </w:tc>
        <w:tc>
          <w:tcPr>
            <w:tcW w:w="1244" w:type="dxa"/>
          </w:tcPr>
          <w:p w14:paraId="5B9DD427" w14:textId="77777777" w:rsidR="00D8365A" w:rsidRPr="00362517" w:rsidRDefault="00D8365A" w:rsidP="00BF6BC7">
            <w:pPr>
              <w:tabs>
                <w:tab w:val="decimal" w:pos="750"/>
              </w:tabs>
              <w:rPr>
                <w:sz w:val="22"/>
                <w:szCs w:val="22"/>
              </w:rPr>
            </w:pPr>
            <w:r w:rsidRPr="00362517">
              <w:rPr>
                <w:sz w:val="22"/>
                <w:szCs w:val="22"/>
              </w:rPr>
              <w:t>76</w:t>
            </w:r>
          </w:p>
        </w:tc>
        <w:tc>
          <w:tcPr>
            <w:tcW w:w="1244" w:type="dxa"/>
          </w:tcPr>
          <w:p w14:paraId="50E0C464" w14:textId="77777777" w:rsidR="00D8365A" w:rsidRPr="00362517" w:rsidRDefault="00D8365A" w:rsidP="00BF6BC7">
            <w:pPr>
              <w:tabs>
                <w:tab w:val="decimal" w:pos="702"/>
              </w:tabs>
              <w:rPr>
                <w:sz w:val="22"/>
                <w:szCs w:val="22"/>
              </w:rPr>
            </w:pPr>
            <w:r w:rsidRPr="00362517">
              <w:rPr>
                <w:sz w:val="22"/>
                <w:szCs w:val="22"/>
              </w:rPr>
              <w:t>11</w:t>
            </w:r>
          </w:p>
        </w:tc>
        <w:tc>
          <w:tcPr>
            <w:tcW w:w="1245" w:type="dxa"/>
          </w:tcPr>
          <w:p w14:paraId="59DB2391" w14:textId="77777777" w:rsidR="00D8365A" w:rsidRPr="00362517" w:rsidRDefault="00D8365A" w:rsidP="00BF6BC7">
            <w:pPr>
              <w:tabs>
                <w:tab w:val="decimal" w:pos="710"/>
              </w:tabs>
              <w:rPr>
                <w:sz w:val="22"/>
                <w:szCs w:val="22"/>
              </w:rPr>
            </w:pPr>
            <w:r w:rsidRPr="00362517">
              <w:rPr>
                <w:sz w:val="22"/>
                <w:szCs w:val="22"/>
              </w:rPr>
              <w:t>164</w:t>
            </w:r>
          </w:p>
        </w:tc>
      </w:tr>
      <w:tr w:rsidR="00D8365A" w:rsidRPr="00362517" w14:paraId="48892772" w14:textId="77777777" w:rsidTr="007A2164">
        <w:tc>
          <w:tcPr>
            <w:tcW w:w="1795" w:type="dxa"/>
          </w:tcPr>
          <w:p w14:paraId="0DA48093" w14:textId="77777777" w:rsidR="00D8365A" w:rsidRPr="00362517" w:rsidRDefault="00D8365A" w:rsidP="00BF6BC7">
            <w:pPr>
              <w:pStyle w:val="BodyText"/>
              <w:rPr>
                <w:rFonts w:cs="Times New Roman"/>
                <w:sz w:val="22"/>
                <w:szCs w:val="22"/>
              </w:rPr>
            </w:pPr>
            <w:r w:rsidRPr="00362517">
              <w:rPr>
                <w:rFonts w:cs="Times New Roman"/>
                <w:sz w:val="22"/>
                <w:szCs w:val="22"/>
              </w:rPr>
              <w:t>Rhode Island</w:t>
            </w:r>
            <w:r w:rsidRPr="00362517">
              <w:rPr>
                <w:rFonts w:cs="Times New Roman"/>
                <w:sz w:val="22"/>
                <w:szCs w:val="22"/>
                <w:vertAlign w:val="superscript"/>
              </w:rPr>
              <w:t xml:space="preserve"> 1 2 3</w:t>
            </w:r>
          </w:p>
        </w:tc>
        <w:tc>
          <w:tcPr>
            <w:tcW w:w="1260" w:type="dxa"/>
          </w:tcPr>
          <w:p w14:paraId="7AE53B2D"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471C1AE5"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1C408C40" w14:textId="77777777" w:rsidR="00D8365A" w:rsidRPr="00362517" w:rsidRDefault="00D8365A" w:rsidP="00BF6BC7">
            <w:pPr>
              <w:tabs>
                <w:tab w:val="decimal" w:pos="660"/>
              </w:tabs>
              <w:rPr>
                <w:sz w:val="22"/>
                <w:szCs w:val="22"/>
              </w:rPr>
            </w:pPr>
            <w:r w:rsidRPr="00362517">
              <w:rPr>
                <w:sz w:val="22"/>
                <w:szCs w:val="22"/>
              </w:rPr>
              <w:t>0</w:t>
            </w:r>
          </w:p>
        </w:tc>
        <w:tc>
          <w:tcPr>
            <w:tcW w:w="1244" w:type="dxa"/>
          </w:tcPr>
          <w:p w14:paraId="73512A8B" w14:textId="77777777" w:rsidR="00D8365A" w:rsidRPr="00362517" w:rsidRDefault="00D8365A" w:rsidP="00BF6BC7">
            <w:pPr>
              <w:tabs>
                <w:tab w:val="decimal" w:pos="750"/>
              </w:tabs>
              <w:rPr>
                <w:sz w:val="22"/>
                <w:szCs w:val="22"/>
              </w:rPr>
            </w:pPr>
            <w:r w:rsidRPr="00362517">
              <w:rPr>
                <w:sz w:val="22"/>
                <w:szCs w:val="22"/>
              </w:rPr>
              <w:t>0</w:t>
            </w:r>
          </w:p>
        </w:tc>
        <w:tc>
          <w:tcPr>
            <w:tcW w:w="1244" w:type="dxa"/>
          </w:tcPr>
          <w:p w14:paraId="0BDA18A6" w14:textId="77777777" w:rsidR="00D8365A" w:rsidRPr="00362517" w:rsidRDefault="00D8365A" w:rsidP="00BF6BC7">
            <w:pPr>
              <w:tabs>
                <w:tab w:val="decimal" w:pos="702"/>
              </w:tabs>
              <w:rPr>
                <w:sz w:val="22"/>
                <w:szCs w:val="22"/>
              </w:rPr>
            </w:pPr>
            <w:r w:rsidRPr="00362517">
              <w:rPr>
                <w:sz w:val="22"/>
                <w:szCs w:val="22"/>
              </w:rPr>
              <w:t>0</w:t>
            </w:r>
          </w:p>
        </w:tc>
        <w:tc>
          <w:tcPr>
            <w:tcW w:w="1245" w:type="dxa"/>
          </w:tcPr>
          <w:p w14:paraId="48F05F69" w14:textId="77777777" w:rsidR="00D8365A" w:rsidRPr="00362517" w:rsidRDefault="00D8365A" w:rsidP="00BF6BC7">
            <w:pPr>
              <w:tabs>
                <w:tab w:val="decimal" w:pos="710"/>
              </w:tabs>
              <w:rPr>
                <w:sz w:val="22"/>
                <w:szCs w:val="22"/>
              </w:rPr>
            </w:pPr>
            <w:r w:rsidRPr="00362517">
              <w:rPr>
                <w:sz w:val="22"/>
                <w:szCs w:val="22"/>
              </w:rPr>
              <w:t>1</w:t>
            </w:r>
          </w:p>
        </w:tc>
      </w:tr>
      <w:tr w:rsidR="00D8365A" w:rsidRPr="00362517" w14:paraId="4AFD59E4" w14:textId="77777777" w:rsidTr="007A2164">
        <w:tc>
          <w:tcPr>
            <w:tcW w:w="1795" w:type="dxa"/>
          </w:tcPr>
          <w:p w14:paraId="50BB1442" w14:textId="77777777" w:rsidR="00D8365A" w:rsidRPr="00362517" w:rsidRDefault="00D8365A" w:rsidP="00BF6BC7">
            <w:pPr>
              <w:pStyle w:val="BodyText"/>
              <w:rPr>
                <w:rFonts w:cs="Times New Roman"/>
                <w:sz w:val="22"/>
                <w:szCs w:val="22"/>
              </w:rPr>
            </w:pPr>
            <w:r w:rsidRPr="00362517">
              <w:rPr>
                <w:rFonts w:cs="Times New Roman"/>
                <w:sz w:val="22"/>
                <w:szCs w:val="22"/>
              </w:rPr>
              <w:t>S Carolina</w:t>
            </w:r>
            <w:r w:rsidRPr="00362517">
              <w:rPr>
                <w:rFonts w:cs="Times New Roman"/>
                <w:sz w:val="22"/>
                <w:szCs w:val="22"/>
                <w:vertAlign w:val="superscript"/>
              </w:rPr>
              <w:t xml:space="preserve"> 1 2 3</w:t>
            </w:r>
          </w:p>
        </w:tc>
        <w:tc>
          <w:tcPr>
            <w:tcW w:w="1260" w:type="dxa"/>
          </w:tcPr>
          <w:p w14:paraId="34050BA2"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409C0FA8"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3E1176A6" w14:textId="77777777" w:rsidR="00D8365A" w:rsidRPr="00362517" w:rsidRDefault="00D8365A" w:rsidP="00BF6BC7">
            <w:pPr>
              <w:tabs>
                <w:tab w:val="decimal" w:pos="660"/>
              </w:tabs>
              <w:rPr>
                <w:sz w:val="22"/>
                <w:szCs w:val="22"/>
              </w:rPr>
            </w:pPr>
            <w:r w:rsidRPr="00362517">
              <w:rPr>
                <w:sz w:val="22"/>
                <w:szCs w:val="22"/>
              </w:rPr>
              <w:t>19</w:t>
            </w:r>
          </w:p>
        </w:tc>
        <w:tc>
          <w:tcPr>
            <w:tcW w:w="1244" w:type="dxa"/>
          </w:tcPr>
          <w:p w14:paraId="3F01973F" w14:textId="77777777" w:rsidR="00D8365A" w:rsidRPr="00362517" w:rsidRDefault="00D8365A" w:rsidP="00BF6BC7">
            <w:pPr>
              <w:tabs>
                <w:tab w:val="decimal" w:pos="750"/>
              </w:tabs>
              <w:rPr>
                <w:sz w:val="22"/>
                <w:szCs w:val="22"/>
              </w:rPr>
            </w:pPr>
            <w:r w:rsidRPr="00362517">
              <w:rPr>
                <w:sz w:val="22"/>
                <w:szCs w:val="22"/>
              </w:rPr>
              <w:t>173</w:t>
            </w:r>
          </w:p>
        </w:tc>
        <w:tc>
          <w:tcPr>
            <w:tcW w:w="1244" w:type="dxa"/>
          </w:tcPr>
          <w:p w14:paraId="3B1416AA" w14:textId="77777777" w:rsidR="00D8365A" w:rsidRPr="00362517" w:rsidRDefault="00D8365A" w:rsidP="00BF6BC7">
            <w:pPr>
              <w:tabs>
                <w:tab w:val="decimal" w:pos="702"/>
              </w:tabs>
              <w:rPr>
                <w:sz w:val="22"/>
                <w:szCs w:val="22"/>
              </w:rPr>
            </w:pPr>
            <w:r w:rsidRPr="00362517">
              <w:rPr>
                <w:sz w:val="22"/>
                <w:szCs w:val="22"/>
              </w:rPr>
              <w:t>7</w:t>
            </w:r>
          </w:p>
        </w:tc>
        <w:tc>
          <w:tcPr>
            <w:tcW w:w="1245" w:type="dxa"/>
          </w:tcPr>
          <w:p w14:paraId="0CB65C3D" w14:textId="77777777" w:rsidR="00D8365A" w:rsidRPr="00362517" w:rsidRDefault="00D8365A" w:rsidP="00BF6BC7">
            <w:pPr>
              <w:tabs>
                <w:tab w:val="decimal" w:pos="710"/>
              </w:tabs>
              <w:rPr>
                <w:sz w:val="22"/>
                <w:szCs w:val="22"/>
              </w:rPr>
            </w:pPr>
            <w:r w:rsidRPr="00362517">
              <w:rPr>
                <w:sz w:val="22"/>
                <w:szCs w:val="22"/>
              </w:rPr>
              <w:t>105</w:t>
            </w:r>
          </w:p>
        </w:tc>
      </w:tr>
      <w:tr w:rsidR="00D8365A" w:rsidRPr="00362517" w14:paraId="4BEB3F77" w14:textId="77777777" w:rsidTr="007A2164">
        <w:tc>
          <w:tcPr>
            <w:tcW w:w="1795" w:type="dxa"/>
          </w:tcPr>
          <w:p w14:paraId="746E4F79" w14:textId="77777777" w:rsidR="00D8365A" w:rsidRPr="00362517" w:rsidRDefault="00D8365A" w:rsidP="00BF6BC7">
            <w:pPr>
              <w:pStyle w:val="BodyText"/>
              <w:rPr>
                <w:rFonts w:cs="Times New Roman"/>
                <w:sz w:val="22"/>
                <w:szCs w:val="22"/>
              </w:rPr>
            </w:pPr>
            <w:r w:rsidRPr="00362517">
              <w:rPr>
                <w:rFonts w:cs="Times New Roman"/>
                <w:sz w:val="22"/>
                <w:szCs w:val="22"/>
              </w:rPr>
              <w:t>South Dakota</w:t>
            </w:r>
            <w:r w:rsidRPr="00362517">
              <w:rPr>
                <w:rFonts w:cs="Times New Roman"/>
                <w:sz w:val="22"/>
                <w:szCs w:val="22"/>
                <w:vertAlign w:val="superscript"/>
              </w:rPr>
              <w:t xml:space="preserve"> 1 2 3</w:t>
            </w:r>
          </w:p>
        </w:tc>
        <w:tc>
          <w:tcPr>
            <w:tcW w:w="1260" w:type="dxa"/>
          </w:tcPr>
          <w:p w14:paraId="46EBD862" w14:textId="77777777" w:rsidR="00D8365A" w:rsidRPr="00362517" w:rsidRDefault="00D8365A" w:rsidP="00BF6BC7">
            <w:pPr>
              <w:tabs>
                <w:tab w:val="decimal" w:pos="619"/>
              </w:tabs>
              <w:rPr>
                <w:sz w:val="22"/>
                <w:szCs w:val="22"/>
              </w:rPr>
            </w:pPr>
            <w:r w:rsidRPr="00362517">
              <w:rPr>
                <w:sz w:val="22"/>
                <w:szCs w:val="22"/>
              </w:rPr>
              <w:t>0.4</w:t>
            </w:r>
          </w:p>
        </w:tc>
        <w:tc>
          <w:tcPr>
            <w:tcW w:w="1260" w:type="dxa"/>
          </w:tcPr>
          <w:p w14:paraId="60D8F227" w14:textId="77777777" w:rsidR="00D8365A" w:rsidRPr="00362517" w:rsidRDefault="00D8365A" w:rsidP="00BF6BC7">
            <w:pPr>
              <w:tabs>
                <w:tab w:val="decimal" w:pos="627"/>
              </w:tabs>
              <w:rPr>
                <w:sz w:val="22"/>
                <w:szCs w:val="22"/>
              </w:rPr>
            </w:pPr>
            <w:r w:rsidRPr="00362517">
              <w:rPr>
                <w:sz w:val="22"/>
                <w:szCs w:val="22"/>
              </w:rPr>
              <w:t>3.0</w:t>
            </w:r>
          </w:p>
        </w:tc>
        <w:tc>
          <w:tcPr>
            <w:tcW w:w="1302" w:type="dxa"/>
          </w:tcPr>
          <w:p w14:paraId="7DCEB81A" w14:textId="77777777" w:rsidR="00D8365A" w:rsidRPr="00362517" w:rsidRDefault="00D8365A" w:rsidP="00BF6BC7">
            <w:pPr>
              <w:tabs>
                <w:tab w:val="decimal" w:pos="660"/>
              </w:tabs>
              <w:rPr>
                <w:sz w:val="22"/>
                <w:szCs w:val="22"/>
              </w:rPr>
            </w:pPr>
            <w:r w:rsidRPr="00362517">
              <w:rPr>
                <w:sz w:val="22"/>
                <w:szCs w:val="22"/>
              </w:rPr>
              <w:t>37</w:t>
            </w:r>
          </w:p>
        </w:tc>
        <w:tc>
          <w:tcPr>
            <w:tcW w:w="1244" w:type="dxa"/>
          </w:tcPr>
          <w:p w14:paraId="7E79B9E6" w14:textId="77777777" w:rsidR="00D8365A" w:rsidRPr="00362517" w:rsidRDefault="00D8365A" w:rsidP="00BF6BC7">
            <w:pPr>
              <w:tabs>
                <w:tab w:val="decimal" w:pos="750"/>
              </w:tabs>
              <w:rPr>
                <w:sz w:val="22"/>
                <w:szCs w:val="22"/>
              </w:rPr>
            </w:pPr>
            <w:r w:rsidRPr="00362517">
              <w:rPr>
                <w:sz w:val="22"/>
                <w:szCs w:val="22"/>
              </w:rPr>
              <w:t>339</w:t>
            </w:r>
          </w:p>
        </w:tc>
        <w:tc>
          <w:tcPr>
            <w:tcW w:w="1244" w:type="dxa"/>
          </w:tcPr>
          <w:p w14:paraId="1EDDA185" w14:textId="77777777" w:rsidR="00D8365A" w:rsidRPr="00362517" w:rsidRDefault="00D8365A" w:rsidP="00BF6BC7">
            <w:pPr>
              <w:tabs>
                <w:tab w:val="decimal" w:pos="702"/>
              </w:tabs>
              <w:rPr>
                <w:sz w:val="22"/>
                <w:szCs w:val="22"/>
              </w:rPr>
            </w:pPr>
            <w:r w:rsidRPr="00362517">
              <w:rPr>
                <w:sz w:val="22"/>
                <w:szCs w:val="22"/>
              </w:rPr>
              <w:t>2</w:t>
            </w:r>
          </w:p>
        </w:tc>
        <w:tc>
          <w:tcPr>
            <w:tcW w:w="1245" w:type="dxa"/>
          </w:tcPr>
          <w:p w14:paraId="378A33A0" w14:textId="77777777" w:rsidR="00D8365A" w:rsidRPr="00362517" w:rsidRDefault="00D8365A" w:rsidP="00BF6BC7">
            <w:pPr>
              <w:tabs>
                <w:tab w:val="decimal" w:pos="710"/>
              </w:tabs>
              <w:rPr>
                <w:sz w:val="22"/>
                <w:szCs w:val="22"/>
              </w:rPr>
            </w:pPr>
            <w:r w:rsidRPr="00362517">
              <w:rPr>
                <w:sz w:val="22"/>
                <w:szCs w:val="22"/>
              </w:rPr>
              <w:t>26</w:t>
            </w:r>
          </w:p>
        </w:tc>
      </w:tr>
      <w:tr w:rsidR="00D8365A" w:rsidRPr="00362517" w14:paraId="5D80F209" w14:textId="77777777" w:rsidTr="007A2164">
        <w:tc>
          <w:tcPr>
            <w:tcW w:w="1795" w:type="dxa"/>
          </w:tcPr>
          <w:p w14:paraId="1AEE96DE" w14:textId="77777777" w:rsidR="00D8365A" w:rsidRPr="00362517" w:rsidRDefault="00D8365A" w:rsidP="00BF6BC7">
            <w:pPr>
              <w:pStyle w:val="BodyText"/>
              <w:rPr>
                <w:rFonts w:cs="Times New Roman"/>
                <w:sz w:val="22"/>
                <w:szCs w:val="22"/>
              </w:rPr>
            </w:pPr>
            <w:r w:rsidRPr="00362517">
              <w:rPr>
                <w:rFonts w:cs="Times New Roman"/>
                <w:sz w:val="22"/>
                <w:szCs w:val="22"/>
              </w:rPr>
              <w:t>Tennessee</w:t>
            </w:r>
            <w:r w:rsidRPr="00362517">
              <w:rPr>
                <w:rFonts w:cs="Times New Roman"/>
                <w:sz w:val="22"/>
                <w:szCs w:val="22"/>
                <w:vertAlign w:val="superscript"/>
              </w:rPr>
              <w:t xml:space="preserve"> 1 2 3</w:t>
            </w:r>
          </w:p>
        </w:tc>
        <w:tc>
          <w:tcPr>
            <w:tcW w:w="1260" w:type="dxa"/>
          </w:tcPr>
          <w:p w14:paraId="4E1E85EF" w14:textId="77777777" w:rsidR="00D8365A" w:rsidRPr="00362517" w:rsidRDefault="00D8365A" w:rsidP="00BF6BC7">
            <w:pPr>
              <w:tabs>
                <w:tab w:val="decimal" w:pos="619"/>
              </w:tabs>
              <w:rPr>
                <w:sz w:val="22"/>
                <w:szCs w:val="22"/>
              </w:rPr>
            </w:pPr>
            <w:r w:rsidRPr="00362517">
              <w:rPr>
                <w:sz w:val="22"/>
                <w:szCs w:val="22"/>
              </w:rPr>
              <w:t>0.1</w:t>
            </w:r>
          </w:p>
        </w:tc>
        <w:tc>
          <w:tcPr>
            <w:tcW w:w="1260" w:type="dxa"/>
          </w:tcPr>
          <w:p w14:paraId="04050003" w14:textId="77777777" w:rsidR="00D8365A" w:rsidRPr="00362517" w:rsidRDefault="00D8365A" w:rsidP="00BF6BC7">
            <w:pPr>
              <w:tabs>
                <w:tab w:val="decimal" w:pos="627"/>
              </w:tabs>
              <w:rPr>
                <w:sz w:val="22"/>
                <w:szCs w:val="22"/>
              </w:rPr>
            </w:pPr>
            <w:r w:rsidRPr="00362517">
              <w:rPr>
                <w:sz w:val="22"/>
                <w:szCs w:val="22"/>
              </w:rPr>
              <w:t>1.0</w:t>
            </w:r>
          </w:p>
        </w:tc>
        <w:tc>
          <w:tcPr>
            <w:tcW w:w="1302" w:type="dxa"/>
          </w:tcPr>
          <w:p w14:paraId="4EDE32EE" w14:textId="77777777" w:rsidR="00D8365A" w:rsidRPr="00362517" w:rsidRDefault="00D8365A" w:rsidP="00BF6BC7">
            <w:pPr>
              <w:tabs>
                <w:tab w:val="decimal" w:pos="660"/>
              </w:tabs>
              <w:rPr>
                <w:sz w:val="22"/>
                <w:szCs w:val="22"/>
              </w:rPr>
            </w:pPr>
            <w:r w:rsidRPr="00362517">
              <w:rPr>
                <w:sz w:val="22"/>
                <w:szCs w:val="22"/>
              </w:rPr>
              <w:t>27</w:t>
            </w:r>
          </w:p>
        </w:tc>
        <w:tc>
          <w:tcPr>
            <w:tcW w:w="1244" w:type="dxa"/>
          </w:tcPr>
          <w:p w14:paraId="3D54A502" w14:textId="77777777" w:rsidR="00D8365A" w:rsidRPr="00362517" w:rsidRDefault="00D8365A" w:rsidP="00BF6BC7">
            <w:pPr>
              <w:tabs>
                <w:tab w:val="decimal" w:pos="750"/>
              </w:tabs>
              <w:rPr>
                <w:sz w:val="22"/>
                <w:szCs w:val="22"/>
              </w:rPr>
            </w:pPr>
            <w:r w:rsidRPr="00362517">
              <w:rPr>
                <w:sz w:val="22"/>
                <w:szCs w:val="22"/>
              </w:rPr>
              <w:t>245</w:t>
            </w:r>
          </w:p>
        </w:tc>
        <w:tc>
          <w:tcPr>
            <w:tcW w:w="1244" w:type="dxa"/>
          </w:tcPr>
          <w:p w14:paraId="734B21AE" w14:textId="77777777" w:rsidR="00D8365A" w:rsidRPr="00362517" w:rsidRDefault="00D8365A" w:rsidP="00BF6BC7">
            <w:pPr>
              <w:tabs>
                <w:tab w:val="decimal" w:pos="702"/>
              </w:tabs>
              <w:rPr>
                <w:sz w:val="22"/>
                <w:szCs w:val="22"/>
              </w:rPr>
            </w:pPr>
            <w:r w:rsidRPr="00362517">
              <w:rPr>
                <w:sz w:val="22"/>
                <w:szCs w:val="22"/>
              </w:rPr>
              <w:t>2</w:t>
            </w:r>
          </w:p>
        </w:tc>
        <w:tc>
          <w:tcPr>
            <w:tcW w:w="1245" w:type="dxa"/>
          </w:tcPr>
          <w:p w14:paraId="2457F5E4" w14:textId="77777777" w:rsidR="00D8365A" w:rsidRPr="00362517" w:rsidRDefault="00D8365A" w:rsidP="00BF6BC7">
            <w:pPr>
              <w:tabs>
                <w:tab w:val="decimal" w:pos="710"/>
              </w:tabs>
              <w:rPr>
                <w:sz w:val="22"/>
                <w:szCs w:val="22"/>
              </w:rPr>
            </w:pPr>
            <w:r w:rsidRPr="00362517">
              <w:rPr>
                <w:sz w:val="22"/>
                <w:szCs w:val="22"/>
              </w:rPr>
              <w:t>26</w:t>
            </w:r>
          </w:p>
        </w:tc>
      </w:tr>
      <w:tr w:rsidR="00D8365A" w:rsidRPr="00362517" w14:paraId="57576DEF" w14:textId="77777777" w:rsidTr="007A2164">
        <w:tc>
          <w:tcPr>
            <w:tcW w:w="1795" w:type="dxa"/>
          </w:tcPr>
          <w:p w14:paraId="36D224AD" w14:textId="77777777" w:rsidR="00D8365A" w:rsidRPr="00362517" w:rsidRDefault="00D8365A" w:rsidP="00BF6BC7">
            <w:pPr>
              <w:pStyle w:val="BodyText"/>
              <w:rPr>
                <w:rFonts w:cs="Times New Roman"/>
                <w:sz w:val="22"/>
                <w:szCs w:val="22"/>
              </w:rPr>
            </w:pPr>
            <w:r w:rsidRPr="00362517">
              <w:rPr>
                <w:rFonts w:cs="Times New Roman"/>
                <w:sz w:val="22"/>
                <w:szCs w:val="22"/>
              </w:rPr>
              <w:t>Texas</w:t>
            </w:r>
            <w:r w:rsidRPr="00362517">
              <w:rPr>
                <w:rFonts w:cs="Times New Roman"/>
                <w:sz w:val="22"/>
                <w:szCs w:val="22"/>
                <w:vertAlign w:val="superscript"/>
              </w:rPr>
              <w:t xml:space="preserve"> 1 2 3</w:t>
            </w:r>
          </w:p>
        </w:tc>
        <w:tc>
          <w:tcPr>
            <w:tcW w:w="1260" w:type="dxa"/>
          </w:tcPr>
          <w:p w14:paraId="36D5DFC8" w14:textId="77777777" w:rsidR="00D8365A" w:rsidRPr="00362517" w:rsidRDefault="00D8365A" w:rsidP="00BF6BC7">
            <w:pPr>
              <w:tabs>
                <w:tab w:val="decimal" w:pos="619"/>
              </w:tabs>
              <w:rPr>
                <w:sz w:val="22"/>
                <w:szCs w:val="22"/>
              </w:rPr>
            </w:pPr>
            <w:r w:rsidRPr="00362517">
              <w:rPr>
                <w:sz w:val="22"/>
                <w:szCs w:val="22"/>
              </w:rPr>
              <w:t>0.6</w:t>
            </w:r>
          </w:p>
        </w:tc>
        <w:tc>
          <w:tcPr>
            <w:tcW w:w="1260" w:type="dxa"/>
          </w:tcPr>
          <w:p w14:paraId="45F6DAD1" w14:textId="77777777" w:rsidR="00D8365A" w:rsidRPr="00362517" w:rsidRDefault="00D8365A" w:rsidP="00BF6BC7">
            <w:pPr>
              <w:tabs>
                <w:tab w:val="decimal" w:pos="627"/>
              </w:tabs>
              <w:rPr>
                <w:sz w:val="22"/>
                <w:szCs w:val="22"/>
              </w:rPr>
            </w:pPr>
            <w:r w:rsidRPr="00362517">
              <w:rPr>
                <w:sz w:val="22"/>
                <w:szCs w:val="22"/>
              </w:rPr>
              <w:t>5.0</w:t>
            </w:r>
          </w:p>
        </w:tc>
        <w:tc>
          <w:tcPr>
            <w:tcW w:w="1302" w:type="dxa"/>
          </w:tcPr>
          <w:p w14:paraId="2A3551A1" w14:textId="77777777" w:rsidR="00D8365A" w:rsidRPr="00362517" w:rsidRDefault="00D8365A" w:rsidP="00BF6BC7">
            <w:pPr>
              <w:tabs>
                <w:tab w:val="decimal" w:pos="660"/>
              </w:tabs>
              <w:rPr>
                <w:sz w:val="22"/>
                <w:szCs w:val="22"/>
              </w:rPr>
            </w:pPr>
            <w:r w:rsidRPr="00362517">
              <w:rPr>
                <w:sz w:val="22"/>
                <w:szCs w:val="22"/>
              </w:rPr>
              <w:t>112</w:t>
            </w:r>
          </w:p>
        </w:tc>
        <w:tc>
          <w:tcPr>
            <w:tcW w:w="1244" w:type="dxa"/>
          </w:tcPr>
          <w:p w14:paraId="5A894ED3" w14:textId="77777777" w:rsidR="00D8365A" w:rsidRPr="00362517" w:rsidRDefault="00D8365A" w:rsidP="00BF6BC7">
            <w:pPr>
              <w:tabs>
                <w:tab w:val="decimal" w:pos="750"/>
              </w:tabs>
              <w:rPr>
                <w:sz w:val="22"/>
                <w:szCs w:val="22"/>
              </w:rPr>
            </w:pPr>
            <w:r w:rsidRPr="00362517">
              <w:rPr>
                <w:sz w:val="22"/>
                <w:szCs w:val="22"/>
              </w:rPr>
              <w:t>1,014</w:t>
            </w:r>
          </w:p>
        </w:tc>
        <w:tc>
          <w:tcPr>
            <w:tcW w:w="1244" w:type="dxa"/>
          </w:tcPr>
          <w:p w14:paraId="60A1DD7A" w14:textId="77777777" w:rsidR="00D8365A" w:rsidRPr="00362517" w:rsidRDefault="00D8365A" w:rsidP="00BF6BC7">
            <w:pPr>
              <w:tabs>
                <w:tab w:val="decimal" w:pos="702"/>
              </w:tabs>
              <w:rPr>
                <w:sz w:val="22"/>
                <w:szCs w:val="22"/>
              </w:rPr>
            </w:pPr>
            <w:r w:rsidRPr="00362517">
              <w:rPr>
                <w:sz w:val="22"/>
                <w:szCs w:val="22"/>
              </w:rPr>
              <w:t>6</w:t>
            </w:r>
          </w:p>
        </w:tc>
        <w:tc>
          <w:tcPr>
            <w:tcW w:w="1245" w:type="dxa"/>
          </w:tcPr>
          <w:p w14:paraId="3CBA6F95" w14:textId="77777777" w:rsidR="00D8365A" w:rsidRPr="00362517" w:rsidRDefault="00D8365A" w:rsidP="00BF6BC7">
            <w:pPr>
              <w:tabs>
                <w:tab w:val="decimal" w:pos="710"/>
              </w:tabs>
              <w:rPr>
                <w:sz w:val="22"/>
                <w:szCs w:val="22"/>
              </w:rPr>
            </w:pPr>
            <w:r w:rsidRPr="00362517">
              <w:rPr>
                <w:sz w:val="22"/>
                <w:szCs w:val="22"/>
              </w:rPr>
              <w:t>80</w:t>
            </w:r>
          </w:p>
        </w:tc>
      </w:tr>
      <w:tr w:rsidR="00D8365A" w:rsidRPr="00362517" w14:paraId="62F01FBE" w14:textId="77777777" w:rsidTr="007A2164">
        <w:tc>
          <w:tcPr>
            <w:tcW w:w="1795" w:type="dxa"/>
          </w:tcPr>
          <w:p w14:paraId="50215C9D" w14:textId="77777777" w:rsidR="00D8365A" w:rsidRPr="00362517" w:rsidRDefault="00D8365A" w:rsidP="00BF6BC7">
            <w:pPr>
              <w:pStyle w:val="BodyText"/>
              <w:rPr>
                <w:rFonts w:cs="Times New Roman"/>
                <w:sz w:val="22"/>
                <w:szCs w:val="22"/>
              </w:rPr>
            </w:pPr>
            <w:r w:rsidRPr="00362517">
              <w:rPr>
                <w:rFonts w:cs="Times New Roman"/>
                <w:sz w:val="22"/>
                <w:szCs w:val="22"/>
              </w:rPr>
              <w:t>Utah</w:t>
            </w:r>
            <w:r w:rsidRPr="00362517">
              <w:rPr>
                <w:rFonts w:cs="Times New Roman"/>
                <w:sz w:val="22"/>
                <w:szCs w:val="22"/>
                <w:vertAlign w:val="superscript"/>
              </w:rPr>
              <w:t xml:space="preserve"> 1 2</w:t>
            </w:r>
          </w:p>
        </w:tc>
        <w:tc>
          <w:tcPr>
            <w:tcW w:w="1260" w:type="dxa"/>
          </w:tcPr>
          <w:p w14:paraId="2AEAD75E"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0E54ECF2"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6B12B170" w14:textId="77777777" w:rsidR="00D8365A" w:rsidRPr="00362517" w:rsidRDefault="00D8365A" w:rsidP="00BF6BC7">
            <w:pPr>
              <w:tabs>
                <w:tab w:val="decimal" w:pos="660"/>
              </w:tabs>
              <w:rPr>
                <w:sz w:val="22"/>
                <w:szCs w:val="22"/>
              </w:rPr>
            </w:pPr>
            <w:r w:rsidRPr="00362517">
              <w:rPr>
                <w:sz w:val="22"/>
                <w:szCs w:val="22"/>
              </w:rPr>
              <w:t>2</w:t>
            </w:r>
          </w:p>
        </w:tc>
        <w:tc>
          <w:tcPr>
            <w:tcW w:w="1244" w:type="dxa"/>
          </w:tcPr>
          <w:p w14:paraId="472E185D" w14:textId="77777777" w:rsidR="00D8365A" w:rsidRPr="00362517" w:rsidRDefault="00D8365A" w:rsidP="00BF6BC7">
            <w:pPr>
              <w:tabs>
                <w:tab w:val="decimal" w:pos="750"/>
              </w:tabs>
              <w:rPr>
                <w:sz w:val="22"/>
                <w:szCs w:val="22"/>
              </w:rPr>
            </w:pPr>
            <w:r w:rsidRPr="00362517">
              <w:rPr>
                <w:sz w:val="22"/>
                <w:szCs w:val="22"/>
              </w:rPr>
              <w:t>21</w:t>
            </w:r>
          </w:p>
        </w:tc>
        <w:tc>
          <w:tcPr>
            <w:tcW w:w="1244" w:type="dxa"/>
          </w:tcPr>
          <w:p w14:paraId="4E69793B" w14:textId="77777777" w:rsidR="00D8365A" w:rsidRPr="00362517" w:rsidRDefault="00D8365A" w:rsidP="00BF6BC7">
            <w:pPr>
              <w:tabs>
                <w:tab w:val="decimal" w:pos="702"/>
              </w:tabs>
              <w:rPr>
                <w:sz w:val="22"/>
                <w:szCs w:val="22"/>
              </w:rPr>
            </w:pPr>
            <w:r w:rsidRPr="00362517">
              <w:rPr>
                <w:sz w:val="22"/>
                <w:szCs w:val="22"/>
              </w:rPr>
              <w:t>4</w:t>
            </w:r>
          </w:p>
        </w:tc>
        <w:tc>
          <w:tcPr>
            <w:tcW w:w="1245" w:type="dxa"/>
          </w:tcPr>
          <w:p w14:paraId="3F5CB748" w14:textId="77777777" w:rsidR="00D8365A" w:rsidRPr="00362517" w:rsidRDefault="00D8365A" w:rsidP="00BF6BC7">
            <w:pPr>
              <w:tabs>
                <w:tab w:val="decimal" w:pos="710"/>
              </w:tabs>
              <w:rPr>
                <w:sz w:val="22"/>
                <w:szCs w:val="22"/>
              </w:rPr>
            </w:pPr>
            <w:r w:rsidRPr="00362517">
              <w:rPr>
                <w:sz w:val="22"/>
                <w:szCs w:val="22"/>
              </w:rPr>
              <w:t>57</w:t>
            </w:r>
          </w:p>
        </w:tc>
      </w:tr>
      <w:tr w:rsidR="00D8365A" w:rsidRPr="00362517" w14:paraId="5FC9B4FA" w14:textId="77777777" w:rsidTr="007A2164">
        <w:tc>
          <w:tcPr>
            <w:tcW w:w="1795" w:type="dxa"/>
          </w:tcPr>
          <w:p w14:paraId="30FEAD04" w14:textId="77777777" w:rsidR="00D8365A" w:rsidRPr="00362517" w:rsidRDefault="00D8365A" w:rsidP="00BF6BC7">
            <w:pPr>
              <w:pStyle w:val="BodyText"/>
              <w:rPr>
                <w:rFonts w:cs="Times New Roman"/>
                <w:sz w:val="22"/>
                <w:szCs w:val="22"/>
              </w:rPr>
            </w:pPr>
            <w:r w:rsidRPr="00362517">
              <w:rPr>
                <w:rFonts w:cs="Times New Roman"/>
                <w:sz w:val="22"/>
                <w:szCs w:val="22"/>
              </w:rPr>
              <w:t>Vermont</w:t>
            </w:r>
            <w:r w:rsidRPr="00362517">
              <w:rPr>
                <w:rFonts w:cs="Times New Roman"/>
                <w:sz w:val="22"/>
                <w:szCs w:val="22"/>
                <w:vertAlign w:val="superscript"/>
              </w:rPr>
              <w:t xml:space="preserve"> 1 2 3</w:t>
            </w:r>
          </w:p>
        </w:tc>
        <w:tc>
          <w:tcPr>
            <w:tcW w:w="1260" w:type="dxa"/>
          </w:tcPr>
          <w:p w14:paraId="354048FF"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7E3D309B"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0C7E9F93" w14:textId="77777777" w:rsidR="00D8365A" w:rsidRPr="00362517" w:rsidRDefault="00D8365A" w:rsidP="00BF6BC7">
            <w:pPr>
              <w:tabs>
                <w:tab w:val="decimal" w:pos="660"/>
              </w:tabs>
              <w:rPr>
                <w:sz w:val="22"/>
                <w:szCs w:val="22"/>
              </w:rPr>
            </w:pPr>
            <w:r w:rsidRPr="00362517">
              <w:rPr>
                <w:sz w:val="22"/>
                <w:szCs w:val="22"/>
              </w:rPr>
              <w:t>1</w:t>
            </w:r>
          </w:p>
        </w:tc>
        <w:tc>
          <w:tcPr>
            <w:tcW w:w="1244" w:type="dxa"/>
          </w:tcPr>
          <w:p w14:paraId="70BC8837" w14:textId="77777777" w:rsidR="00D8365A" w:rsidRPr="00362517" w:rsidRDefault="00D8365A" w:rsidP="00BF6BC7">
            <w:pPr>
              <w:tabs>
                <w:tab w:val="decimal" w:pos="750"/>
              </w:tabs>
              <w:rPr>
                <w:sz w:val="22"/>
                <w:szCs w:val="22"/>
              </w:rPr>
            </w:pPr>
            <w:r w:rsidRPr="00362517">
              <w:rPr>
                <w:sz w:val="22"/>
                <w:szCs w:val="22"/>
              </w:rPr>
              <w:t>5</w:t>
            </w:r>
          </w:p>
        </w:tc>
        <w:tc>
          <w:tcPr>
            <w:tcW w:w="1244" w:type="dxa"/>
          </w:tcPr>
          <w:p w14:paraId="0BC2A091" w14:textId="77777777" w:rsidR="00D8365A" w:rsidRPr="00362517" w:rsidRDefault="00D8365A" w:rsidP="00BF6BC7">
            <w:pPr>
              <w:tabs>
                <w:tab w:val="decimal" w:pos="702"/>
              </w:tabs>
              <w:rPr>
                <w:sz w:val="22"/>
                <w:szCs w:val="22"/>
              </w:rPr>
            </w:pPr>
            <w:r w:rsidRPr="00362517">
              <w:rPr>
                <w:sz w:val="22"/>
                <w:szCs w:val="22"/>
              </w:rPr>
              <w:t>0</w:t>
            </w:r>
          </w:p>
        </w:tc>
        <w:tc>
          <w:tcPr>
            <w:tcW w:w="1245" w:type="dxa"/>
          </w:tcPr>
          <w:p w14:paraId="44969472" w14:textId="77777777" w:rsidR="00D8365A" w:rsidRPr="00362517" w:rsidRDefault="00D8365A" w:rsidP="00BF6BC7">
            <w:pPr>
              <w:tabs>
                <w:tab w:val="decimal" w:pos="710"/>
              </w:tabs>
              <w:rPr>
                <w:sz w:val="22"/>
                <w:szCs w:val="22"/>
              </w:rPr>
            </w:pPr>
            <w:r w:rsidRPr="00362517">
              <w:rPr>
                <w:sz w:val="22"/>
                <w:szCs w:val="22"/>
              </w:rPr>
              <w:t>0</w:t>
            </w:r>
          </w:p>
        </w:tc>
      </w:tr>
      <w:tr w:rsidR="00D8365A" w:rsidRPr="00362517" w14:paraId="3C1514A8" w14:textId="77777777" w:rsidTr="007A2164">
        <w:tc>
          <w:tcPr>
            <w:tcW w:w="1795" w:type="dxa"/>
          </w:tcPr>
          <w:p w14:paraId="5830B34F" w14:textId="77777777" w:rsidR="00D8365A" w:rsidRPr="00362517" w:rsidRDefault="00D8365A" w:rsidP="00BF6BC7">
            <w:pPr>
              <w:pStyle w:val="BodyText"/>
              <w:rPr>
                <w:rFonts w:cs="Times New Roman"/>
                <w:sz w:val="22"/>
                <w:szCs w:val="22"/>
              </w:rPr>
            </w:pPr>
            <w:r w:rsidRPr="00362517">
              <w:rPr>
                <w:rFonts w:cs="Times New Roman"/>
                <w:sz w:val="22"/>
                <w:szCs w:val="22"/>
              </w:rPr>
              <w:t>Virginia</w:t>
            </w:r>
            <w:r w:rsidRPr="00362517">
              <w:rPr>
                <w:rFonts w:cs="Times New Roman"/>
                <w:sz w:val="22"/>
                <w:szCs w:val="22"/>
                <w:vertAlign w:val="superscript"/>
              </w:rPr>
              <w:t xml:space="preserve"> 1 2 3</w:t>
            </w:r>
          </w:p>
        </w:tc>
        <w:tc>
          <w:tcPr>
            <w:tcW w:w="1260" w:type="dxa"/>
          </w:tcPr>
          <w:p w14:paraId="5F5BCB65"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5F96B888"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34322741" w14:textId="77777777" w:rsidR="00D8365A" w:rsidRPr="00362517" w:rsidRDefault="00D8365A" w:rsidP="00BF6BC7">
            <w:pPr>
              <w:tabs>
                <w:tab w:val="decimal" w:pos="660"/>
              </w:tabs>
              <w:rPr>
                <w:sz w:val="22"/>
                <w:szCs w:val="22"/>
              </w:rPr>
            </w:pPr>
            <w:r w:rsidRPr="00362517">
              <w:rPr>
                <w:sz w:val="22"/>
                <w:szCs w:val="22"/>
              </w:rPr>
              <w:t>15</w:t>
            </w:r>
          </w:p>
        </w:tc>
        <w:tc>
          <w:tcPr>
            <w:tcW w:w="1244" w:type="dxa"/>
          </w:tcPr>
          <w:p w14:paraId="0318A708" w14:textId="77777777" w:rsidR="00D8365A" w:rsidRPr="00362517" w:rsidRDefault="00D8365A" w:rsidP="00BF6BC7">
            <w:pPr>
              <w:tabs>
                <w:tab w:val="decimal" w:pos="750"/>
              </w:tabs>
              <w:rPr>
                <w:sz w:val="22"/>
                <w:szCs w:val="22"/>
              </w:rPr>
            </w:pPr>
            <w:r w:rsidRPr="00362517">
              <w:rPr>
                <w:sz w:val="22"/>
                <w:szCs w:val="22"/>
              </w:rPr>
              <w:t>138</w:t>
            </w:r>
          </w:p>
        </w:tc>
        <w:tc>
          <w:tcPr>
            <w:tcW w:w="1244" w:type="dxa"/>
          </w:tcPr>
          <w:p w14:paraId="63CC9D25" w14:textId="77777777" w:rsidR="00D8365A" w:rsidRPr="00362517" w:rsidRDefault="00D8365A" w:rsidP="00BF6BC7">
            <w:pPr>
              <w:tabs>
                <w:tab w:val="decimal" w:pos="702"/>
              </w:tabs>
              <w:rPr>
                <w:sz w:val="22"/>
                <w:szCs w:val="22"/>
              </w:rPr>
            </w:pPr>
            <w:r w:rsidRPr="00362517">
              <w:rPr>
                <w:sz w:val="22"/>
                <w:szCs w:val="22"/>
              </w:rPr>
              <w:t>8</w:t>
            </w:r>
          </w:p>
        </w:tc>
        <w:tc>
          <w:tcPr>
            <w:tcW w:w="1245" w:type="dxa"/>
          </w:tcPr>
          <w:p w14:paraId="3BB579F9" w14:textId="77777777" w:rsidR="00D8365A" w:rsidRPr="00362517" w:rsidRDefault="00D8365A" w:rsidP="00BF6BC7">
            <w:pPr>
              <w:tabs>
                <w:tab w:val="decimal" w:pos="710"/>
              </w:tabs>
              <w:rPr>
                <w:sz w:val="22"/>
                <w:szCs w:val="22"/>
              </w:rPr>
            </w:pPr>
            <w:r w:rsidRPr="00362517">
              <w:rPr>
                <w:sz w:val="22"/>
                <w:szCs w:val="22"/>
              </w:rPr>
              <w:t>109</w:t>
            </w:r>
          </w:p>
        </w:tc>
      </w:tr>
      <w:tr w:rsidR="00D8365A" w:rsidRPr="00362517" w14:paraId="1BA01BEF" w14:textId="77777777" w:rsidTr="007A2164">
        <w:tc>
          <w:tcPr>
            <w:tcW w:w="1795" w:type="dxa"/>
          </w:tcPr>
          <w:p w14:paraId="0FC64AA6" w14:textId="77777777" w:rsidR="00D8365A" w:rsidRPr="00362517" w:rsidRDefault="00D8365A" w:rsidP="00BF6BC7">
            <w:pPr>
              <w:pStyle w:val="BodyText"/>
              <w:rPr>
                <w:rFonts w:cs="Times New Roman"/>
                <w:sz w:val="22"/>
                <w:szCs w:val="22"/>
              </w:rPr>
            </w:pPr>
            <w:r w:rsidRPr="00362517">
              <w:rPr>
                <w:rFonts w:cs="Times New Roman"/>
                <w:sz w:val="22"/>
                <w:szCs w:val="22"/>
              </w:rPr>
              <w:t>Washington</w:t>
            </w:r>
            <w:r w:rsidRPr="00362517">
              <w:rPr>
                <w:rFonts w:cs="Times New Roman"/>
                <w:sz w:val="22"/>
                <w:szCs w:val="22"/>
                <w:vertAlign w:val="superscript"/>
              </w:rPr>
              <w:t xml:space="preserve"> 1 2 3</w:t>
            </w:r>
          </w:p>
        </w:tc>
        <w:tc>
          <w:tcPr>
            <w:tcW w:w="1260" w:type="dxa"/>
          </w:tcPr>
          <w:p w14:paraId="452A7F12" w14:textId="77777777" w:rsidR="00D8365A" w:rsidRPr="00362517" w:rsidRDefault="00D8365A" w:rsidP="00BF6BC7">
            <w:pPr>
              <w:tabs>
                <w:tab w:val="decimal" w:pos="619"/>
              </w:tabs>
              <w:rPr>
                <w:sz w:val="22"/>
                <w:szCs w:val="22"/>
              </w:rPr>
            </w:pPr>
            <w:r w:rsidRPr="00362517">
              <w:rPr>
                <w:sz w:val="22"/>
                <w:szCs w:val="22"/>
              </w:rPr>
              <w:t>0.5</w:t>
            </w:r>
          </w:p>
        </w:tc>
        <w:tc>
          <w:tcPr>
            <w:tcW w:w="1260" w:type="dxa"/>
          </w:tcPr>
          <w:p w14:paraId="0A59BB4C" w14:textId="77777777" w:rsidR="00D8365A" w:rsidRPr="00362517" w:rsidRDefault="00D8365A" w:rsidP="00BF6BC7">
            <w:pPr>
              <w:tabs>
                <w:tab w:val="decimal" w:pos="627"/>
              </w:tabs>
              <w:rPr>
                <w:sz w:val="22"/>
                <w:szCs w:val="22"/>
              </w:rPr>
            </w:pPr>
            <w:r w:rsidRPr="00362517">
              <w:rPr>
                <w:sz w:val="22"/>
                <w:szCs w:val="22"/>
              </w:rPr>
              <w:t>4.0</w:t>
            </w:r>
          </w:p>
        </w:tc>
        <w:tc>
          <w:tcPr>
            <w:tcW w:w="1302" w:type="dxa"/>
          </w:tcPr>
          <w:p w14:paraId="2F72F959" w14:textId="77777777" w:rsidR="00D8365A" w:rsidRPr="00362517" w:rsidRDefault="00D8365A" w:rsidP="00BF6BC7">
            <w:pPr>
              <w:tabs>
                <w:tab w:val="decimal" w:pos="660"/>
              </w:tabs>
              <w:rPr>
                <w:sz w:val="22"/>
                <w:szCs w:val="22"/>
              </w:rPr>
            </w:pPr>
            <w:r w:rsidRPr="00362517">
              <w:rPr>
                <w:sz w:val="22"/>
                <w:szCs w:val="22"/>
              </w:rPr>
              <w:t>62</w:t>
            </w:r>
          </w:p>
        </w:tc>
        <w:tc>
          <w:tcPr>
            <w:tcW w:w="1244" w:type="dxa"/>
          </w:tcPr>
          <w:p w14:paraId="68D4A1A6" w14:textId="77777777" w:rsidR="00D8365A" w:rsidRPr="00362517" w:rsidRDefault="00D8365A" w:rsidP="00BF6BC7">
            <w:pPr>
              <w:tabs>
                <w:tab w:val="decimal" w:pos="750"/>
              </w:tabs>
              <w:rPr>
                <w:sz w:val="22"/>
                <w:szCs w:val="22"/>
              </w:rPr>
            </w:pPr>
            <w:r w:rsidRPr="00362517">
              <w:rPr>
                <w:sz w:val="22"/>
                <w:szCs w:val="22"/>
              </w:rPr>
              <w:t>567</w:t>
            </w:r>
          </w:p>
        </w:tc>
        <w:tc>
          <w:tcPr>
            <w:tcW w:w="1244" w:type="dxa"/>
          </w:tcPr>
          <w:p w14:paraId="404A40BC" w14:textId="77777777" w:rsidR="00D8365A" w:rsidRPr="00362517" w:rsidRDefault="00D8365A" w:rsidP="00BF6BC7">
            <w:pPr>
              <w:tabs>
                <w:tab w:val="decimal" w:pos="702"/>
              </w:tabs>
              <w:rPr>
                <w:sz w:val="22"/>
                <w:szCs w:val="22"/>
              </w:rPr>
            </w:pPr>
            <w:r w:rsidRPr="00362517">
              <w:rPr>
                <w:sz w:val="22"/>
                <w:szCs w:val="22"/>
              </w:rPr>
              <w:t>7</w:t>
            </w:r>
          </w:p>
        </w:tc>
        <w:tc>
          <w:tcPr>
            <w:tcW w:w="1245" w:type="dxa"/>
          </w:tcPr>
          <w:p w14:paraId="7BA2478E" w14:textId="77777777" w:rsidR="00D8365A" w:rsidRPr="00362517" w:rsidRDefault="00D8365A" w:rsidP="00BF6BC7">
            <w:pPr>
              <w:tabs>
                <w:tab w:val="decimal" w:pos="710"/>
              </w:tabs>
              <w:rPr>
                <w:sz w:val="22"/>
                <w:szCs w:val="22"/>
              </w:rPr>
            </w:pPr>
            <w:r w:rsidRPr="00362517">
              <w:rPr>
                <w:sz w:val="22"/>
                <w:szCs w:val="22"/>
              </w:rPr>
              <w:t>96</w:t>
            </w:r>
          </w:p>
        </w:tc>
      </w:tr>
      <w:tr w:rsidR="00D8365A" w:rsidRPr="00362517" w14:paraId="31669F9D" w14:textId="77777777" w:rsidTr="007A2164">
        <w:tc>
          <w:tcPr>
            <w:tcW w:w="1795" w:type="dxa"/>
          </w:tcPr>
          <w:p w14:paraId="685C515A" w14:textId="77777777" w:rsidR="00D8365A" w:rsidRPr="00362517" w:rsidRDefault="00D8365A" w:rsidP="00BF6BC7">
            <w:pPr>
              <w:pStyle w:val="BodyText"/>
              <w:rPr>
                <w:rFonts w:cs="Times New Roman"/>
                <w:sz w:val="22"/>
                <w:szCs w:val="22"/>
              </w:rPr>
            </w:pPr>
            <w:r w:rsidRPr="00362517">
              <w:rPr>
                <w:rFonts w:cs="Times New Roman"/>
                <w:sz w:val="22"/>
                <w:szCs w:val="22"/>
              </w:rPr>
              <w:t>West Virginia</w:t>
            </w:r>
            <w:r w:rsidRPr="00362517">
              <w:rPr>
                <w:rFonts w:cs="Times New Roman"/>
                <w:sz w:val="22"/>
                <w:szCs w:val="22"/>
                <w:vertAlign w:val="superscript"/>
              </w:rPr>
              <w:t xml:space="preserve"> 1 2 3</w:t>
            </w:r>
          </w:p>
        </w:tc>
        <w:tc>
          <w:tcPr>
            <w:tcW w:w="1260" w:type="dxa"/>
          </w:tcPr>
          <w:p w14:paraId="38A9C602"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641E0C2C"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6FC5DED4" w14:textId="77777777" w:rsidR="00D8365A" w:rsidRPr="00362517" w:rsidRDefault="00D8365A" w:rsidP="00BF6BC7">
            <w:pPr>
              <w:tabs>
                <w:tab w:val="decimal" w:pos="660"/>
              </w:tabs>
              <w:rPr>
                <w:sz w:val="22"/>
                <w:szCs w:val="22"/>
              </w:rPr>
            </w:pPr>
            <w:r w:rsidRPr="00362517">
              <w:rPr>
                <w:sz w:val="22"/>
                <w:szCs w:val="22"/>
              </w:rPr>
              <w:t>2</w:t>
            </w:r>
          </w:p>
        </w:tc>
        <w:tc>
          <w:tcPr>
            <w:tcW w:w="1244" w:type="dxa"/>
          </w:tcPr>
          <w:p w14:paraId="15026BF8" w14:textId="77777777" w:rsidR="00D8365A" w:rsidRPr="00362517" w:rsidRDefault="00D8365A" w:rsidP="00BF6BC7">
            <w:pPr>
              <w:tabs>
                <w:tab w:val="decimal" w:pos="750"/>
              </w:tabs>
              <w:rPr>
                <w:sz w:val="22"/>
                <w:szCs w:val="22"/>
              </w:rPr>
            </w:pPr>
            <w:r w:rsidRPr="00362517">
              <w:rPr>
                <w:sz w:val="22"/>
                <w:szCs w:val="22"/>
              </w:rPr>
              <w:t>20</w:t>
            </w:r>
          </w:p>
        </w:tc>
        <w:tc>
          <w:tcPr>
            <w:tcW w:w="1244" w:type="dxa"/>
          </w:tcPr>
          <w:p w14:paraId="18F4D3CD" w14:textId="77777777" w:rsidR="00D8365A" w:rsidRPr="00362517" w:rsidRDefault="00D8365A" w:rsidP="00BF6BC7">
            <w:pPr>
              <w:tabs>
                <w:tab w:val="decimal" w:pos="702"/>
              </w:tabs>
              <w:rPr>
                <w:sz w:val="22"/>
                <w:szCs w:val="22"/>
              </w:rPr>
            </w:pPr>
            <w:r w:rsidRPr="00362517">
              <w:rPr>
                <w:sz w:val="22"/>
                <w:szCs w:val="22"/>
              </w:rPr>
              <w:t>2</w:t>
            </w:r>
          </w:p>
        </w:tc>
        <w:tc>
          <w:tcPr>
            <w:tcW w:w="1245" w:type="dxa"/>
          </w:tcPr>
          <w:p w14:paraId="036E16A0" w14:textId="77777777" w:rsidR="00D8365A" w:rsidRPr="00362517" w:rsidRDefault="00D8365A" w:rsidP="00BF6BC7">
            <w:pPr>
              <w:tabs>
                <w:tab w:val="decimal" w:pos="710"/>
              </w:tabs>
              <w:rPr>
                <w:sz w:val="22"/>
                <w:szCs w:val="22"/>
              </w:rPr>
            </w:pPr>
            <w:r w:rsidRPr="00362517">
              <w:rPr>
                <w:sz w:val="22"/>
                <w:szCs w:val="22"/>
              </w:rPr>
              <w:t>24</w:t>
            </w:r>
          </w:p>
        </w:tc>
      </w:tr>
      <w:tr w:rsidR="00D8365A" w:rsidRPr="00362517" w14:paraId="34E3E07F" w14:textId="77777777" w:rsidTr="007A2164">
        <w:tc>
          <w:tcPr>
            <w:tcW w:w="1795" w:type="dxa"/>
          </w:tcPr>
          <w:p w14:paraId="4906194F" w14:textId="77777777" w:rsidR="00D8365A" w:rsidRPr="00362517" w:rsidRDefault="00D8365A" w:rsidP="00BF6BC7">
            <w:pPr>
              <w:pStyle w:val="BodyText"/>
              <w:rPr>
                <w:rFonts w:cs="Times New Roman"/>
                <w:sz w:val="22"/>
                <w:szCs w:val="22"/>
              </w:rPr>
            </w:pPr>
            <w:r w:rsidRPr="00362517">
              <w:rPr>
                <w:rFonts w:cs="Times New Roman"/>
                <w:sz w:val="22"/>
                <w:szCs w:val="22"/>
              </w:rPr>
              <w:t>Wisconsin</w:t>
            </w:r>
            <w:r w:rsidRPr="00362517">
              <w:rPr>
                <w:rFonts w:cs="Times New Roman"/>
                <w:sz w:val="22"/>
                <w:szCs w:val="22"/>
                <w:vertAlign w:val="superscript"/>
              </w:rPr>
              <w:t xml:space="preserve"> 3</w:t>
            </w:r>
          </w:p>
        </w:tc>
        <w:tc>
          <w:tcPr>
            <w:tcW w:w="1260" w:type="dxa"/>
          </w:tcPr>
          <w:p w14:paraId="0A05CC49"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1B7AC52B"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4FEAC262" w14:textId="77777777" w:rsidR="00D8365A" w:rsidRPr="00362517" w:rsidRDefault="00D8365A" w:rsidP="00BF6BC7">
            <w:pPr>
              <w:tabs>
                <w:tab w:val="decimal" w:pos="660"/>
              </w:tabs>
              <w:rPr>
                <w:sz w:val="22"/>
                <w:szCs w:val="22"/>
              </w:rPr>
            </w:pPr>
            <w:r w:rsidRPr="00362517">
              <w:rPr>
                <w:sz w:val="22"/>
                <w:szCs w:val="22"/>
              </w:rPr>
              <w:t>4</w:t>
            </w:r>
          </w:p>
        </w:tc>
        <w:tc>
          <w:tcPr>
            <w:tcW w:w="1244" w:type="dxa"/>
          </w:tcPr>
          <w:p w14:paraId="7C30198B" w14:textId="77777777" w:rsidR="00D8365A" w:rsidRPr="00362517" w:rsidRDefault="00D8365A" w:rsidP="00BF6BC7">
            <w:pPr>
              <w:tabs>
                <w:tab w:val="decimal" w:pos="750"/>
              </w:tabs>
              <w:rPr>
                <w:sz w:val="22"/>
                <w:szCs w:val="22"/>
              </w:rPr>
            </w:pPr>
            <w:r w:rsidRPr="00362517">
              <w:rPr>
                <w:sz w:val="22"/>
                <w:szCs w:val="22"/>
              </w:rPr>
              <w:t>41</w:t>
            </w:r>
          </w:p>
        </w:tc>
        <w:tc>
          <w:tcPr>
            <w:tcW w:w="1244" w:type="dxa"/>
          </w:tcPr>
          <w:p w14:paraId="5C50D192" w14:textId="77777777" w:rsidR="00D8365A" w:rsidRPr="00362517" w:rsidRDefault="00D8365A" w:rsidP="00BF6BC7">
            <w:pPr>
              <w:tabs>
                <w:tab w:val="decimal" w:pos="702"/>
              </w:tabs>
              <w:rPr>
                <w:sz w:val="22"/>
                <w:szCs w:val="22"/>
              </w:rPr>
            </w:pPr>
            <w:r w:rsidRPr="00362517">
              <w:rPr>
                <w:sz w:val="22"/>
                <w:szCs w:val="22"/>
              </w:rPr>
              <w:t>2</w:t>
            </w:r>
          </w:p>
        </w:tc>
        <w:tc>
          <w:tcPr>
            <w:tcW w:w="1245" w:type="dxa"/>
          </w:tcPr>
          <w:p w14:paraId="2384B36B" w14:textId="77777777" w:rsidR="00D8365A" w:rsidRPr="00362517" w:rsidRDefault="00D8365A" w:rsidP="00BF6BC7">
            <w:pPr>
              <w:tabs>
                <w:tab w:val="decimal" w:pos="710"/>
              </w:tabs>
              <w:rPr>
                <w:sz w:val="22"/>
                <w:szCs w:val="22"/>
              </w:rPr>
            </w:pPr>
            <w:r w:rsidRPr="00362517">
              <w:rPr>
                <w:sz w:val="22"/>
                <w:szCs w:val="22"/>
              </w:rPr>
              <w:t>22</w:t>
            </w:r>
          </w:p>
        </w:tc>
      </w:tr>
      <w:tr w:rsidR="00D8365A" w:rsidRPr="00362517" w14:paraId="58DAE3AD" w14:textId="77777777" w:rsidTr="007A2164">
        <w:tc>
          <w:tcPr>
            <w:tcW w:w="1795" w:type="dxa"/>
          </w:tcPr>
          <w:p w14:paraId="25282CB3" w14:textId="77777777" w:rsidR="00D8365A" w:rsidRPr="00362517" w:rsidRDefault="00D8365A" w:rsidP="00BF6BC7">
            <w:pPr>
              <w:pStyle w:val="BodyText"/>
              <w:rPr>
                <w:rFonts w:cs="Times New Roman"/>
                <w:sz w:val="22"/>
                <w:szCs w:val="22"/>
              </w:rPr>
            </w:pPr>
            <w:r w:rsidRPr="00362517">
              <w:rPr>
                <w:rFonts w:cs="Times New Roman"/>
                <w:sz w:val="22"/>
                <w:szCs w:val="22"/>
              </w:rPr>
              <w:t>Wyoming</w:t>
            </w:r>
            <w:r w:rsidRPr="00362517">
              <w:rPr>
                <w:rFonts w:cs="Times New Roman"/>
                <w:sz w:val="22"/>
                <w:szCs w:val="22"/>
                <w:vertAlign w:val="superscript"/>
              </w:rPr>
              <w:t xml:space="preserve"> 1 2 3</w:t>
            </w:r>
          </w:p>
        </w:tc>
        <w:tc>
          <w:tcPr>
            <w:tcW w:w="1260" w:type="dxa"/>
          </w:tcPr>
          <w:p w14:paraId="11478A39" w14:textId="77777777" w:rsidR="00D8365A" w:rsidRPr="00362517" w:rsidRDefault="00D8365A" w:rsidP="00BF6BC7">
            <w:pPr>
              <w:tabs>
                <w:tab w:val="decimal" w:pos="619"/>
              </w:tabs>
              <w:rPr>
                <w:sz w:val="22"/>
                <w:szCs w:val="22"/>
              </w:rPr>
            </w:pPr>
            <w:r w:rsidRPr="00362517">
              <w:rPr>
                <w:sz w:val="22"/>
                <w:szCs w:val="22"/>
              </w:rPr>
              <w:t>0.0</w:t>
            </w:r>
          </w:p>
        </w:tc>
        <w:tc>
          <w:tcPr>
            <w:tcW w:w="1260" w:type="dxa"/>
          </w:tcPr>
          <w:p w14:paraId="008E7338" w14:textId="77777777" w:rsidR="00D8365A" w:rsidRPr="00362517" w:rsidRDefault="00D8365A" w:rsidP="00BF6BC7">
            <w:pPr>
              <w:tabs>
                <w:tab w:val="decimal" w:pos="627"/>
              </w:tabs>
              <w:rPr>
                <w:sz w:val="22"/>
                <w:szCs w:val="22"/>
              </w:rPr>
            </w:pPr>
            <w:r w:rsidRPr="00362517">
              <w:rPr>
                <w:sz w:val="22"/>
                <w:szCs w:val="22"/>
              </w:rPr>
              <w:t>0.0</w:t>
            </w:r>
          </w:p>
        </w:tc>
        <w:tc>
          <w:tcPr>
            <w:tcW w:w="1302" w:type="dxa"/>
          </w:tcPr>
          <w:p w14:paraId="73E6DBE5" w14:textId="77777777" w:rsidR="00D8365A" w:rsidRPr="00362517" w:rsidRDefault="00D8365A" w:rsidP="00BF6BC7">
            <w:pPr>
              <w:tabs>
                <w:tab w:val="decimal" w:pos="660"/>
              </w:tabs>
              <w:rPr>
                <w:sz w:val="22"/>
                <w:szCs w:val="22"/>
              </w:rPr>
            </w:pPr>
            <w:r w:rsidRPr="00362517">
              <w:rPr>
                <w:sz w:val="22"/>
                <w:szCs w:val="22"/>
              </w:rPr>
              <w:t>10</w:t>
            </w:r>
          </w:p>
        </w:tc>
        <w:tc>
          <w:tcPr>
            <w:tcW w:w="1244" w:type="dxa"/>
          </w:tcPr>
          <w:p w14:paraId="7A8ED501" w14:textId="77777777" w:rsidR="00D8365A" w:rsidRPr="00362517" w:rsidRDefault="00D8365A" w:rsidP="00BF6BC7">
            <w:pPr>
              <w:tabs>
                <w:tab w:val="decimal" w:pos="750"/>
              </w:tabs>
              <w:rPr>
                <w:sz w:val="22"/>
                <w:szCs w:val="22"/>
              </w:rPr>
            </w:pPr>
            <w:r w:rsidRPr="00362517">
              <w:rPr>
                <w:sz w:val="22"/>
                <w:szCs w:val="22"/>
              </w:rPr>
              <w:t>95</w:t>
            </w:r>
          </w:p>
        </w:tc>
        <w:tc>
          <w:tcPr>
            <w:tcW w:w="1244" w:type="dxa"/>
          </w:tcPr>
          <w:p w14:paraId="548E73A2" w14:textId="77777777" w:rsidR="00D8365A" w:rsidRPr="00362517" w:rsidRDefault="00D8365A" w:rsidP="00BF6BC7">
            <w:pPr>
              <w:tabs>
                <w:tab w:val="decimal" w:pos="702"/>
              </w:tabs>
              <w:rPr>
                <w:sz w:val="22"/>
                <w:szCs w:val="22"/>
              </w:rPr>
            </w:pPr>
            <w:r w:rsidRPr="00362517">
              <w:rPr>
                <w:sz w:val="22"/>
                <w:szCs w:val="22"/>
              </w:rPr>
              <w:t>0</w:t>
            </w:r>
          </w:p>
        </w:tc>
        <w:tc>
          <w:tcPr>
            <w:tcW w:w="1245" w:type="dxa"/>
          </w:tcPr>
          <w:p w14:paraId="77F6F9D2" w14:textId="77777777" w:rsidR="00D8365A" w:rsidRPr="00362517" w:rsidRDefault="00D8365A" w:rsidP="00BF6BC7">
            <w:pPr>
              <w:tabs>
                <w:tab w:val="decimal" w:pos="710"/>
              </w:tabs>
              <w:rPr>
                <w:sz w:val="22"/>
                <w:szCs w:val="22"/>
              </w:rPr>
            </w:pPr>
            <w:r w:rsidRPr="00362517">
              <w:rPr>
                <w:sz w:val="22"/>
                <w:szCs w:val="22"/>
              </w:rPr>
              <w:t>5</w:t>
            </w:r>
          </w:p>
        </w:tc>
      </w:tr>
      <w:tr w:rsidR="00D8365A" w:rsidRPr="00362517" w14:paraId="6A01B0AB" w14:textId="77777777" w:rsidTr="007A2164">
        <w:tc>
          <w:tcPr>
            <w:tcW w:w="1795" w:type="dxa"/>
          </w:tcPr>
          <w:p w14:paraId="605D3D63" w14:textId="77777777" w:rsidR="00D8365A" w:rsidRPr="00362517" w:rsidRDefault="00D8365A" w:rsidP="00BF6BC7">
            <w:pPr>
              <w:pStyle w:val="BodyText"/>
              <w:rPr>
                <w:rFonts w:cs="Times New Roman"/>
                <w:sz w:val="22"/>
                <w:szCs w:val="22"/>
              </w:rPr>
            </w:pPr>
            <w:r w:rsidRPr="00362517">
              <w:rPr>
                <w:rFonts w:cs="Times New Roman"/>
                <w:sz w:val="22"/>
                <w:szCs w:val="22"/>
              </w:rPr>
              <w:t>Puerto Rico</w:t>
            </w:r>
            <w:r w:rsidRPr="00362517">
              <w:rPr>
                <w:rFonts w:cs="Times New Roman"/>
                <w:sz w:val="22"/>
                <w:szCs w:val="22"/>
                <w:vertAlign w:val="superscript"/>
              </w:rPr>
              <w:t xml:space="preserve"> 1 2 3</w:t>
            </w:r>
          </w:p>
        </w:tc>
        <w:tc>
          <w:tcPr>
            <w:tcW w:w="1260" w:type="dxa"/>
            <w:vAlign w:val="bottom"/>
          </w:tcPr>
          <w:p w14:paraId="7408DB20" w14:textId="77777777" w:rsidR="00D8365A" w:rsidRPr="00362517" w:rsidRDefault="00D8365A" w:rsidP="00BF6BC7">
            <w:pPr>
              <w:pStyle w:val="BodyText"/>
              <w:tabs>
                <w:tab w:val="decimal" w:pos="619"/>
              </w:tabs>
              <w:rPr>
                <w:rFonts w:cs="Times New Roman"/>
                <w:sz w:val="22"/>
                <w:szCs w:val="22"/>
              </w:rPr>
            </w:pPr>
            <w:r w:rsidRPr="00362517">
              <w:rPr>
                <w:rFonts w:cs="Times New Roman"/>
                <w:sz w:val="22"/>
                <w:szCs w:val="22"/>
              </w:rPr>
              <w:t>0.0</w:t>
            </w:r>
          </w:p>
        </w:tc>
        <w:tc>
          <w:tcPr>
            <w:tcW w:w="1260" w:type="dxa"/>
          </w:tcPr>
          <w:p w14:paraId="12CB4480" w14:textId="77777777" w:rsidR="00D8365A" w:rsidRPr="00362517" w:rsidRDefault="00D8365A" w:rsidP="00BF6BC7">
            <w:pPr>
              <w:pStyle w:val="BodyText"/>
              <w:tabs>
                <w:tab w:val="decimal" w:pos="627"/>
              </w:tabs>
              <w:rPr>
                <w:rFonts w:cs="Times New Roman"/>
                <w:sz w:val="22"/>
                <w:szCs w:val="22"/>
              </w:rPr>
            </w:pPr>
            <w:r w:rsidRPr="00362517">
              <w:rPr>
                <w:rFonts w:cs="Times New Roman"/>
                <w:sz w:val="22"/>
                <w:szCs w:val="22"/>
              </w:rPr>
              <w:t>0.0</w:t>
            </w:r>
          </w:p>
        </w:tc>
        <w:tc>
          <w:tcPr>
            <w:tcW w:w="1302" w:type="dxa"/>
          </w:tcPr>
          <w:p w14:paraId="1B0FAF4E" w14:textId="77777777" w:rsidR="00D8365A" w:rsidRPr="00362517" w:rsidRDefault="00D8365A" w:rsidP="00BF6BC7">
            <w:pPr>
              <w:pStyle w:val="BodyText"/>
              <w:tabs>
                <w:tab w:val="decimal" w:pos="660"/>
              </w:tabs>
              <w:rPr>
                <w:rFonts w:cs="Times New Roman"/>
                <w:sz w:val="22"/>
                <w:szCs w:val="22"/>
              </w:rPr>
            </w:pPr>
            <w:r w:rsidRPr="00362517">
              <w:rPr>
                <w:rFonts w:cs="Times New Roman"/>
                <w:sz w:val="22"/>
                <w:szCs w:val="22"/>
              </w:rPr>
              <w:t>44</w:t>
            </w:r>
          </w:p>
        </w:tc>
        <w:tc>
          <w:tcPr>
            <w:tcW w:w="1244" w:type="dxa"/>
            <w:vAlign w:val="bottom"/>
          </w:tcPr>
          <w:p w14:paraId="43C4FDC8" w14:textId="77777777" w:rsidR="00D8365A" w:rsidRPr="00362517" w:rsidRDefault="00D8365A" w:rsidP="00BF6BC7">
            <w:pPr>
              <w:pStyle w:val="BodyText"/>
              <w:tabs>
                <w:tab w:val="decimal" w:pos="750"/>
              </w:tabs>
              <w:rPr>
                <w:rFonts w:cs="Times New Roman"/>
                <w:sz w:val="22"/>
                <w:szCs w:val="22"/>
              </w:rPr>
            </w:pPr>
            <w:r w:rsidRPr="00362517">
              <w:rPr>
                <w:rFonts w:cs="Times New Roman"/>
                <w:sz w:val="22"/>
                <w:szCs w:val="22"/>
              </w:rPr>
              <w:t>400</w:t>
            </w:r>
          </w:p>
        </w:tc>
        <w:tc>
          <w:tcPr>
            <w:tcW w:w="1244" w:type="dxa"/>
            <w:vAlign w:val="bottom"/>
          </w:tcPr>
          <w:p w14:paraId="7748AF34" w14:textId="77777777" w:rsidR="00D8365A" w:rsidRPr="00362517" w:rsidRDefault="00D8365A" w:rsidP="00BF6BC7">
            <w:pPr>
              <w:pStyle w:val="BodyText"/>
              <w:tabs>
                <w:tab w:val="decimal" w:pos="702"/>
              </w:tabs>
              <w:rPr>
                <w:rFonts w:cs="Times New Roman"/>
                <w:sz w:val="22"/>
                <w:szCs w:val="22"/>
              </w:rPr>
            </w:pPr>
            <w:r w:rsidRPr="00362517">
              <w:rPr>
                <w:rFonts w:cs="Times New Roman"/>
                <w:sz w:val="22"/>
                <w:szCs w:val="22"/>
              </w:rPr>
              <w:t>0</w:t>
            </w:r>
          </w:p>
        </w:tc>
        <w:tc>
          <w:tcPr>
            <w:tcW w:w="1245" w:type="dxa"/>
            <w:vAlign w:val="bottom"/>
          </w:tcPr>
          <w:p w14:paraId="3A765E05" w14:textId="77777777" w:rsidR="00D8365A" w:rsidRPr="00362517" w:rsidRDefault="00D8365A" w:rsidP="00BF6BC7">
            <w:pPr>
              <w:pStyle w:val="BodyText"/>
              <w:tabs>
                <w:tab w:val="decimal" w:pos="710"/>
              </w:tabs>
              <w:rPr>
                <w:rFonts w:cs="Times New Roman"/>
                <w:sz w:val="22"/>
                <w:szCs w:val="22"/>
              </w:rPr>
            </w:pPr>
            <w:r w:rsidRPr="00362517">
              <w:rPr>
                <w:rFonts w:cs="Times New Roman"/>
                <w:sz w:val="22"/>
                <w:szCs w:val="22"/>
              </w:rPr>
              <w:t>0</w:t>
            </w:r>
          </w:p>
        </w:tc>
      </w:tr>
      <w:tr w:rsidR="00D8365A" w:rsidRPr="00362517" w14:paraId="5944EAA0" w14:textId="77777777" w:rsidTr="007A2164">
        <w:tc>
          <w:tcPr>
            <w:tcW w:w="1795" w:type="dxa"/>
            <w:tcBorders>
              <w:bottom w:val="single" w:sz="12" w:space="0" w:color="auto"/>
            </w:tcBorders>
          </w:tcPr>
          <w:p w14:paraId="5DE37B91" w14:textId="77777777" w:rsidR="00D8365A" w:rsidRPr="00362517" w:rsidRDefault="00D8365A" w:rsidP="00BF6BC7">
            <w:pPr>
              <w:pStyle w:val="BodyText"/>
              <w:rPr>
                <w:rFonts w:cs="Times New Roman"/>
                <w:sz w:val="22"/>
                <w:szCs w:val="22"/>
              </w:rPr>
            </w:pPr>
            <w:r w:rsidRPr="00362517">
              <w:rPr>
                <w:rFonts w:cs="Times New Roman"/>
                <w:sz w:val="22"/>
                <w:szCs w:val="22"/>
              </w:rPr>
              <w:t xml:space="preserve">Other </w:t>
            </w:r>
          </w:p>
          <w:p w14:paraId="7B0855A5" w14:textId="77777777" w:rsidR="00D8365A" w:rsidRPr="00362517" w:rsidRDefault="00D8365A" w:rsidP="00BF6BC7">
            <w:pPr>
              <w:pStyle w:val="BodyText"/>
              <w:rPr>
                <w:rFonts w:cs="Times New Roman"/>
                <w:sz w:val="22"/>
                <w:szCs w:val="22"/>
              </w:rPr>
            </w:pPr>
            <w:r w:rsidRPr="00362517">
              <w:rPr>
                <w:rFonts w:cs="Times New Roman"/>
                <w:sz w:val="22"/>
                <w:szCs w:val="22"/>
              </w:rPr>
              <w:t>Jurisdictions</w:t>
            </w:r>
            <w:r w:rsidRPr="00362517">
              <w:rPr>
                <w:rFonts w:cs="Times New Roman"/>
                <w:sz w:val="22"/>
                <w:szCs w:val="22"/>
                <w:vertAlign w:val="superscript"/>
              </w:rPr>
              <w:t xml:space="preserve"> 1 2 3</w:t>
            </w:r>
          </w:p>
        </w:tc>
        <w:tc>
          <w:tcPr>
            <w:tcW w:w="1260" w:type="dxa"/>
            <w:tcBorders>
              <w:bottom w:val="single" w:sz="12" w:space="0" w:color="auto"/>
            </w:tcBorders>
            <w:vAlign w:val="center"/>
          </w:tcPr>
          <w:p w14:paraId="09CA9155" w14:textId="77777777" w:rsidR="00D8365A" w:rsidRPr="00362517" w:rsidRDefault="00D8365A" w:rsidP="00BF6BC7">
            <w:pPr>
              <w:pStyle w:val="BodyText"/>
              <w:tabs>
                <w:tab w:val="decimal" w:pos="619"/>
              </w:tabs>
              <w:rPr>
                <w:rFonts w:cs="Times New Roman"/>
                <w:sz w:val="22"/>
                <w:szCs w:val="22"/>
              </w:rPr>
            </w:pPr>
            <w:r w:rsidRPr="00362517">
              <w:rPr>
                <w:rFonts w:cs="Times New Roman"/>
                <w:sz w:val="22"/>
                <w:szCs w:val="22"/>
              </w:rPr>
              <w:t>0.0</w:t>
            </w:r>
          </w:p>
        </w:tc>
        <w:tc>
          <w:tcPr>
            <w:tcW w:w="1260" w:type="dxa"/>
            <w:tcBorders>
              <w:bottom w:val="single" w:sz="12" w:space="0" w:color="auto"/>
            </w:tcBorders>
            <w:vAlign w:val="center"/>
          </w:tcPr>
          <w:p w14:paraId="3B361D0E" w14:textId="77777777" w:rsidR="00D8365A" w:rsidRPr="00362517" w:rsidRDefault="00D8365A" w:rsidP="00BF6BC7">
            <w:pPr>
              <w:pStyle w:val="BodyText"/>
              <w:tabs>
                <w:tab w:val="decimal" w:pos="627"/>
              </w:tabs>
              <w:rPr>
                <w:rFonts w:cs="Times New Roman"/>
                <w:sz w:val="22"/>
                <w:szCs w:val="22"/>
              </w:rPr>
            </w:pPr>
            <w:r w:rsidRPr="00362517">
              <w:rPr>
                <w:rFonts w:cs="Times New Roman"/>
                <w:sz w:val="22"/>
                <w:szCs w:val="22"/>
              </w:rPr>
              <w:t>0.0</w:t>
            </w:r>
          </w:p>
        </w:tc>
        <w:tc>
          <w:tcPr>
            <w:tcW w:w="1302" w:type="dxa"/>
            <w:tcBorders>
              <w:bottom w:val="single" w:sz="12" w:space="0" w:color="auto"/>
            </w:tcBorders>
            <w:vAlign w:val="center"/>
          </w:tcPr>
          <w:p w14:paraId="26057E40" w14:textId="77777777" w:rsidR="00D8365A" w:rsidRPr="00362517" w:rsidRDefault="00D8365A" w:rsidP="00BF6BC7">
            <w:pPr>
              <w:pStyle w:val="BodyText"/>
              <w:tabs>
                <w:tab w:val="decimal" w:pos="660"/>
              </w:tabs>
              <w:rPr>
                <w:rFonts w:cs="Times New Roman"/>
                <w:sz w:val="22"/>
                <w:szCs w:val="22"/>
              </w:rPr>
            </w:pPr>
            <w:r w:rsidRPr="00362517">
              <w:rPr>
                <w:rFonts w:cs="Times New Roman"/>
                <w:sz w:val="22"/>
                <w:szCs w:val="22"/>
              </w:rPr>
              <w:t>0</w:t>
            </w:r>
          </w:p>
        </w:tc>
        <w:tc>
          <w:tcPr>
            <w:tcW w:w="1244" w:type="dxa"/>
            <w:tcBorders>
              <w:bottom w:val="single" w:sz="12" w:space="0" w:color="auto"/>
            </w:tcBorders>
            <w:vAlign w:val="center"/>
          </w:tcPr>
          <w:p w14:paraId="3BC920C3" w14:textId="77777777" w:rsidR="00D8365A" w:rsidRPr="00362517" w:rsidRDefault="00D8365A" w:rsidP="00BF6BC7">
            <w:pPr>
              <w:pStyle w:val="BodyText"/>
              <w:tabs>
                <w:tab w:val="decimal" w:pos="750"/>
              </w:tabs>
              <w:rPr>
                <w:rFonts w:cs="Times New Roman"/>
                <w:sz w:val="22"/>
                <w:szCs w:val="22"/>
              </w:rPr>
            </w:pPr>
            <w:r w:rsidRPr="00362517">
              <w:rPr>
                <w:rFonts w:cs="Times New Roman"/>
                <w:sz w:val="22"/>
                <w:szCs w:val="22"/>
              </w:rPr>
              <w:t>0</w:t>
            </w:r>
          </w:p>
        </w:tc>
        <w:tc>
          <w:tcPr>
            <w:tcW w:w="1244" w:type="dxa"/>
            <w:tcBorders>
              <w:bottom w:val="single" w:sz="12" w:space="0" w:color="auto"/>
            </w:tcBorders>
            <w:vAlign w:val="center"/>
          </w:tcPr>
          <w:p w14:paraId="2DFAA591" w14:textId="77777777" w:rsidR="00D8365A" w:rsidRPr="00362517" w:rsidRDefault="00D8365A" w:rsidP="00BF6BC7">
            <w:pPr>
              <w:pStyle w:val="BodyText"/>
              <w:tabs>
                <w:tab w:val="decimal" w:pos="702"/>
              </w:tabs>
              <w:rPr>
                <w:rFonts w:cs="Times New Roman"/>
                <w:sz w:val="22"/>
                <w:szCs w:val="22"/>
              </w:rPr>
            </w:pPr>
            <w:r w:rsidRPr="00362517">
              <w:rPr>
                <w:rFonts w:cs="Times New Roman"/>
                <w:sz w:val="22"/>
                <w:szCs w:val="22"/>
              </w:rPr>
              <w:t>0</w:t>
            </w:r>
          </w:p>
        </w:tc>
        <w:tc>
          <w:tcPr>
            <w:tcW w:w="1245" w:type="dxa"/>
            <w:tcBorders>
              <w:bottom w:val="single" w:sz="12" w:space="0" w:color="auto"/>
            </w:tcBorders>
            <w:vAlign w:val="center"/>
          </w:tcPr>
          <w:p w14:paraId="03AE8585" w14:textId="77777777" w:rsidR="00D8365A" w:rsidRPr="00362517" w:rsidRDefault="00D8365A" w:rsidP="00BF6BC7">
            <w:pPr>
              <w:pStyle w:val="BodyText"/>
              <w:tabs>
                <w:tab w:val="decimal" w:pos="710"/>
              </w:tabs>
              <w:rPr>
                <w:rFonts w:cs="Times New Roman"/>
                <w:sz w:val="22"/>
                <w:szCs w:val="22"/>
              </w:rPr>
            </w:pPr>
            <w:r w:rsidRPr="00362517">
              <w:rPr>
                <w:rFonts w:cs="Times New Roman"/>
                <w:sz w:val="22"/>
                <w:szCs w:val="22"/>
              </w:rPr>
              <w:t>0</w:t>
            </w:r>
          </w:p>
        </w:tc>
      </w:tr>
      <w:tr w:rsidR="00D8365A" w:rsidRPr="00362517" w14:paraId="63E8BD7F" w14:textId="77777777" w:rsidTr="007A2164">
        <w:tc>
          <w:tcPr>
            <w:tcW w:w="1795" w:type="dxa"/>
            <w:tcBorders>
              <w:top w:val="single" w:sz="12" w:space="0" w:color="auto"/>
              <w:bottom w:val="single" w:sz="12" w:space="0" w:color="auto"/>
            </w:tcBorders>
          </w:tcPr>
          <w:p w14:paraId="43E9D584" w14:textId="77777777" w:rsidR="00D8365A" w:rsidRPr="00362517" w:rsidRDefault="00D8365A" w:rsidP="00BF6BC7">
            <w:pPr>
              <w:pStyle w:val="BodyText"/>
              <w:rPr>
                <w:rFonts w:cs="Times New Roman"/>
                <w:b/>
                <w:sz w:val="22"/>
                <w:szCs w:val="22"/>
              </w:rPr>
            </w:pPr>
            <w:r w:rsidRPr="00362517">
              <w:rPr>
                <w:rFonts w:cs="Times New Roman"/>
                <w:b/>
                <w:sz w:val="22"/>
                <w:szCs w:val="22"/>
              </w:rPr>
              <w:t>U.S.</w:t>
            </w:r>
          </w:p>
        </w:tc>
        <w:tc>
          <w:tcPr>
            <w:tcW w:w="1260" w:type="dxa"/>
            <w:tcBorders>
              <w:top w:val="single" w:sz="12" w:space="0" w:color="auto"/>
              <w:bottom w:val="single" w:sz="12" w:space="0" w:color="auto"/>
            </w:tcBorders>
            <w:vAlign w:val="bottom"/>
          </w:tcPr>
          <w:p w14:paraId="7CB0F72D" w14:textId="77777777" w:rsidR="00D8365A" w:rsidRPr="00362517" w:rsidRDefault="00D8365A" w:rsidP="00BF6BC7">
            <w:pPr>
              <w:pStyle w:val="BodyText"/>
              <w:tabs>
                <w:tab w:val="decimal" w:pos="619"/>
              </w:tabs>
              <w:rPr>
                <w:rFonts w:cs="Times New Roman"/>
                <w:b/>
                <w:sz w:val="22"/>
                <w:szCs w:val="22"/>
              </w:rPr>
            </w:pPr>
            <w:r w:rsidRPr="00362517">
              <w:rPr>
                <w:rFonts w:cs="Times New Roman"/>
                <w:b/>
                <w:sz w:val="22"/>
                <w:szCs w:val="22"/>
              </w:rPr>
              <w:t>7.8</w:t>
            </w:r>
          </w:p>
        </w:tc>
        <w:tc>
          <w:tcPr>
            <w:tcW w:w="1260" w:type="dxa"/>
            <w:tcBorders>
              <w:top w:val="single" w:sz="12" w:space="0" w:color="auto"/>
              <w:bottom w:val="single" w:sz="12" w:space="0" w:color="auto"/>
            </w:tcBorders>
          </w:tcPr>
          <w:p w14:paraId="2C076B77" w14:textId="77777777" w:rsidR="00D8365A" w:rsidRPr="00362517" w:rsidRDefault="00D8365A" w:rsidP="00BF6BC7">
            <w:pPr>
              <w:pStyle w:val="BodyText"/>
              <w:tabs>
                <w:tab w:val="decimal" w:pos="627"/>
              </w:tabs>
              <w:rPr>
                <w:rFonts w:cs="Times New Roman"/>
                <w:b/>
                <w:sz w:val="22"/>
                <w:szCs w:val="22"/>
              </w:rPr>
            </w:pPr>
            <w:r w:rsidRPr="00362517">
              <w:rPr>
                <w:rFonts w:cs="Times New Roman"/>
                <w:b/>
                <w:sz w:val="22"/>
                <w:szCs w:val="22"/>
              </w:rPr>
              <w:t>65.0</w:t>
            </w:r>
          </w:p>
        </w:tc>
        <w:tc>
          <w:tcPr>
            <w:tcW w:w="1302" w:type="dxa"/>
            <w:tcBorders>
              <w:top w:val="single" w:sz="12" w:space="0" w:color="auto"/>
              <w:bottom w:val="single" w:sz="12" w:space="0" w:color="auto"/>
            </w:tcBorders>
          </w:tcPr>
          <w:p w14:paraId="33B28049" w14:textId="77777777" w:rsidR="00D8365A" w:rsidRPr="00362517" w:rsidRDefault="00D8365A" w:rsidP="00BF6BC7">
            <w:pPr>
              <w:pStyle w:val="BodyText"/>
              <w:tabs>
                <w:tab w:val="decimal" w:pos="660"/>
              </w:tabs>
              <w:rPr>
                <w:rFonts w:cs="Times New Roman"/>
                <w:b/>
                <w:sz w:val="22"/>
                <w:szCs w:val="22"/>
              </w:rPr>
            </w:pPr>
            <w:r w:rsidRPr="00362517">
              <w:rPr>
                <w:rFonts w:cs="Times New Roman"/>
                <w:b/>
                <w:sz w:val="22"/>
                <w:szCs w:val="22"/>
              </w:rPr>
              <w:t>1,259</w:t>
            </w:r>
          </w:p>
        </w:tc>
        <w:tc>
          <w:tcPr>
            <w:tcW w:w="1244" w:type="dxa"/>
            <w:tcBorders>
              <w:top w:val="single" w:sz="12" w:space="0" w:color="auto"/>
              <w:bottom w:val="single" w:sz="12" w:space="0" w:color="auto"/>
            </w:tcBorders>
            <w:vAlign w:val="bottom"/>
          </w:tcPr>
          <w:p w14:paraId="61F03201" w14:textId="77777777" w:rsidR="00D8365A" w:rsidRPr="00362517" w:rsidRDefault="00D8365A" w:rsidP="00BF6BC7">
            <w:pPr>
              <w:pStyle w:val="BodyText"/>
              <w:tabs>
                <w:tab w:val="decimal" w:pos="750"/>
              </w:tabs>
              <w:rPr>
                <w:rFonts w:cs="Times New Roman"/>
                <w:b/>
                <w:sz w:val="22"/>
                <w:szCs w:val="22"/>
              </w:rPr>
            </w:pPr>
            <w:r w:rsidRPr="00362517">
              <w:rPr>
                <w:rFonts w:cs="Times New Roman"/>
                <w:b/>
                <w:sz w:val="22"/>
                <w:szCs w:val="22"/>
              </w:rPr>
              <w:t>11,442</w:t>
            </w:r>
          </w:p>
        </w:tc>
        <w:tc>
          <w:tcPr>
            <w:tcW w:w="1244" w:type="dxa"/>
            <w:tcBorders>
              <w:top w:val="single" w:sz="12" w:space="0" w:color="auto"/>
              <w:bottom w:val="single" w:sz="12" w:space="0" w:color="auto"/>
            </w:tcBorders>
            <w:vAlign w:val="bottom"/>
          </w:tcPr>
          <w:p w14:paraId="56BB4720" w14:textId="77777777" w:rsidR="00D8365A" w:rsidRPr="00362517" w:rsidRDefault="00D8365A" w:rsidP="00BF6BC7">
            <w:pPr>
              <w:pStyle w:val="BodyText"/>
              <w:tabs>
                <w:tab w:val="decimal" w:pos="702"/>
              </w:tabs>
              <w:rPr>
                <w:rFonts w:cs="Times New Roman"/>
                <w:b/>
                <w:sz w:val="22"/>
                <w:szCs w:val="22"/>
              </w:rPr>
            </w:pPr>
            <w:r w:rsidRPr="00362517">
              <w:rPr>
                <w:rFonts w:cs="Times New Roman"/>
                <w:b/>
                <w:sz w:val="22"/>
                <w:szCs w:val="22"/>
              </w:rPr>
              <w:t>270</w:t>
            </w:r>
          </w:p>
        </w:tc>
        <w:tc>
          <w:tcPr>
            <w:tcW w:w="1245" w:type="dxa"/>
            <w:tcBorders>
              <w:top w:val="single" w:sz="12" w:space="0" w:color="auto"/>
              <w:bottom w:val="single" w:sz="12" w:space="0" w:color="auto"/>
            </w:tcBorders>
            <w:vAlign w:val="bottom"/>
          </w:tcPr>
          <w:p w14:paraId="69A46CA4" w14:textId="77777777" w:rsidR="00D8365A" w:rsidRPr="00362517" w:rsidRDefault="00D8365A" w:rsidP="00BF6BC7">
            <w:pPr>
              <w:pStyle w:val="BodyText"/>
              <w:tabs>
                <w:tab w:val="decimal" w:pos="710"/>
              </w:tabs>
              <w:rPr>
                <w:rFonts w:cs="Times New Roman"/>
                <w:b/>
                <w:sz w:val="22"/>
                <w:szCs w:val="22"/>
              </w:rPr>
            </w:pPr>
            <w:r w:rsidRPr="00362517">
              <w:rPr>
                <w:rFonts w:cs="Times New Roman"/>
                <w:b/>
                <w:sz w:val="22"/>
                <w:szCs w:val="22"/>
              </w:rPr>
              <w:t>3,857</w:t>
            </w:r>
          </w:p>
        </w:tc>
      </w:tr>
    </w:tbl>
    <w:p w14:paraId="72BA9CE1" w14:textId="77777777" w:rsidR="00D8365A" w:rsidRPr="00362517" w:rsidRDefault="00D8365A" w:rsidP="00BF6BC7">
      <w:pPr>
        <w:pStyle w:val="BodyText"/>
        <w:rPr>
          <w:sz w:val="22"/>
          <w:szCs w:val="22"/>
        </w:rPr>
      </w:pPr>
      <w:r w:rsidRPr="00362517">
        <w:rPr>
          <w:sz w:val="22"/>
          <w:szCs w:val="22"/>
        </w:rPr>
        <w:t>Source:  CPARD (2015) and EPA estimation.</w:t>
      </w:r>
    </w:p>
    <w:p w14:paraId="7C216B94" w14:textId="77777777" w:rsidR="00D8365A" w:rsidRPr="00362517" w:rsidRDefault="00D8365A" w:rsidP="00BF6BC7">
      <w:pPr>
        <w:pStyle w:val="BodyText"/>
        <w:ind w:left="360" w:hanging="360"/>
        <w:rPr>
          <w:sz w:val="22"/>
          <w:szCs w:val="22"/>
        </w:rPr>
      </w:pPr>
      <w:r w:rsidRPr="00362517">
        <w:rPr>
          <w:vertAlign w:val="superscript"/>
        </w:rPr>
        <w:t>1</w:t>
      </w:r>
      <w:r w:rsidRPr="00362517">
        <w:rPr>
          <w:sz w:val="20"/>
          <w:szCs w:val="20"/>
        </w:rPr>
        <w:tab/>
      </w:r>
      <w:r w:rsidRPr="00362517">
        <w:rPr>
          <w:sz w:val="22"/>
          <w:szCs w:val="22"/>
        </w:rPr>
        <w:t>No private aerial category; estimated number of applicators.</w:t>
      </w:r>
    </w:p>
    <w:p w14:paraId="2929191C" w14:textId="77777777" w:rsidR="00D8365A" w:rsidRPr="00362517" w:rsidRDefault="00D8365A" w:rsidP="00BF6BC7">
      <w:pPr>
        <w:pStyle w:val="BodyText"/>
        <w:ind w:left="360" w:hanging="360"/>
        <w:rPr>
          <w:sz w:val="22"/>
          <w:szCs w:val="22"/>
        </w:rPr>
      </w:pPr>
      <w:r w:rsidRPr="00362517">
        <w:rPr>
          <w:sz w:val="22"/>
          <w:szCs w:val="22"/>
          <w:vertAlign w:val="superscript"/>
        </w:rPr>
        <w:t>2</w:t>
      </w:r>
      <w:r w:rsidRPr="00362517">
        <w:rPr>
          <w:sz w:val="22"/>
          <w:szCs w:val="22"/>
        </w:rPr>
        <w:tab/>
        <w:t>No private soil fumigation category; estimated number of applicators.</w:t>
      </w:r>
    </w:p>
    <w:p w14:paraId="28B502E4" w14:textId="77777777" w:rsidR="00D8365A" w:rsidRPr="00362517" w:rsidRDefault="00D8365A" w:rsidP="00BF6BC7">
      <w:pPr>
        <w:pStyle w:val="BodyText"/>
        <w:ind w:left="360" w:hanging="360"/>
        <w:rPr>
          <w:sz w:val="22"/>
          <w:szCs w:val="22"/>
        </w:rPr>
      </w:pPr>
      <w:r w:rsidRPr="00362517">
        <w:rPr>
          <w:sz w:val="22"/>
          <w:szCs w:val="22"/>
          <w:vertAlign w:val="superscript"/>
        </w:rPr>
        <w:t>3</w:t>
      </w:r>
      <w:r w:rsidRPr="00362517">
        <w:rPr>
          <w:sz w:val="22"/>
          <w:szCs w:val="22"/>
        </w:rPr>
        <w:tab/>
        <w:t>No private non-soil fumigation category; estimated number of applicators.</w:t>
      </w:r>
    </w:p>
    <w:p w14:paraId="433CB5C0" w14:textId="77777777" w:rsidR="00D8365A" w:rsidRPr="00362517" w:rsidRDefault="00D8365A" w:rsidP="00BF6BC7"/>
    <w:p w14:paraId="0B156730" w14:textId="77777777" w:rsidR="00D8365A" w:rsidRPr="00362517" w:rsidRDefault="00D8365A" w:rsidP="00BF6BC7">
      <w:pPr>
        <w:pStyle w:val="BodyText"/>
      </w:pPr>
      <w:r w:rsidRPr="00362517">
        <w:t>Table 3.3-7 also presents the expected number of applicators who have or will obtain private applicator certification in soil and non-soil fumigation.  Five states (Hawaii, Minnesota, Nevada, Pennsylvania, and Wisconsin) have a private applicator soil fumigation category.  For the remaining states, we estimate existing applicators using the estimated coefficients from the regression model for commercial applicators holding certification in a soil fumigation category, where the number of applicators with soil fumigation certification is a function of the number of private applicators in the state and the crop acres treated with soil fumigants by the farmer.  Data on crop treatments come from a privately conducted market survey conducted annually.  Initial private applicator certifications in soil fumigation are expected to be 11 percent of the existing certifications, as with commercial applicators using soil fumigation.</w:t>
      </w:r>
    </w:p>
    <w:p w14:paraId="4F244725" w14:textId="77777777" w:rsidR="00D8365A" w:rsidRPr="00362517" w:rsidRDefault="00D8365A" w:rsidP="00BF6BC7"/>
    <w:p w14:paraId="3DCA44D0" w14:textId="77777777" w:rsidR="00D8365A" w:rsidRPr="00362517" w:rsidRDefault="00D8365A" w:rsidP="00BF6BC7">
      <w:pPr>
        <w:pStyle w:val="BodyText"/>
      </w:pPr>
      <w:r w:rsidRPr="00362517">
        <w:t>Seven states (Arizona, Iowa, Minnesota, Nevada, North Dakota, Pennsylvania, and Utah) have a category for non-soil fumigation by private applicators.  As these states also have a commercial non-soil fumigation category, EPA calculated the ratio of private to commercial certifications in the category.  The ratio varies from about 0.1 to almost 2.0, with an average of 0.6.  The number of private applicator certifications in states without the category was estimated as the number of commercial applicator certifications in the category multiplied by the average ratio or the ratio of a state with similar agronomic characteristics, following the Farm Resource Regions defined by the U.S. Department of Agriculture (ERS, 2000).  Initial private applicator certifications in non-soil fumigation average seven percent of the existing certifications, as with commercial applicator certifications in this category.</w:t>
      </w:r>
    </w:p>
    <w:p w14:paraId="13BEA865" w14:textId="77777777" w:rsidR="00D8365A" w:rsidRPr="00362517" w:rsidRDefault="00D8365A" w:rsidP="00BF6BC7"/>
    <w:p w14:paraId="144EF373" w14:textId="77777777" w:rsidR="00D8365A" w:rsidRPr="00362517" w:rsidRDefault="00D8365A" w:rsidP="00BF6BC7">
      <w:pPr>
        <w:pStyle w:val="Heading3"/>
      </w:pPr>
      <w:bookmarkStart w:id="154" w:name="_Toc395788105"/>
      <w:bookmarkStart w:id="155" w:name="_Toc396483161"/>
      <w:bookmarkStart w:id="156" w:name="_Toc452020142"/>
      <w:bookmarkStart w:id="157" w:name="_Toc456270165"/>
      <w:bookmarkStart w:id="158" w:name="_Toc468872081"/>
      <w:r w:rsidRPr="00362517">
        <w:t>3.3.4</w:t>
      </w:r>
      <w:r w:rsidRPr="00362517">
        <w:tab/>
        <w:t>Noncertified applicators under the direct supervision of private applicators</w:t>
      </w:r>
      <w:bookmarkEnd w:id="154"/>
      <w:bookmarkEnd w:id="155"/>
      <w:bookmarkEnd w:id="156"/>
      <w:bookmarkEnd w:id="157"/>
      <w:bookmarkEnd w:id="158"/>
    </w:p>
    <w:p w14:paraId="33DE4491" w14:textId="77777777" w:rsidR="00D8365A" w:rsidRPr="00362517" w:rsidRDefault="00D8365A" w:rsidP="00BF6BC7"/>
    <w:p w14:paraId="70F93495" w14:textId="77777777" w:rsidR="00D8365A" w:rsidRPr="00362517" w:rsidRDefault="00D8365A" w:rsidP="00BF6BC7">
      <w:pPr>
        <w:pStyle w:val="BodyText"/>
      </w:pPr>
      <w:r w:rsidRPr="00362517">
        <w:t>The number of noncertified applicators applying RUPs on farms is likely to be a function of farm size, where farm size is measured by value of sales.  Most smaller farms would not need more than one applicator, in general, and even larger farms would probably not have a large enough demand for RUPs that they would need to rely on a certified applicator.  We assume that one of every two private applicators on a farm with sales between $100,000 and $1 million per year will have an applicator under his or her supervision to apply RUPs, while private applicators on farms with more than $1 million per year in sales will, on average, have one noncertified applicator under his or her supervision.  We obtain the number of farms, by sales, in each state from the 2012 Census of Agriculture (NASS, 2014c).  From a special tabulation of data from the 2007 Census of Agriculture (NASS, 2008), we have a national estimate of the proportion of farms in each sales class that utilize pesticides.  Using this national figure, we estimate the number of farms in each state that use pesticides.  For example, nearly 80 percent of farms with sales between $100,000 and $1 million per year used pesticides in 2007.  We therefore estimate that nearly 80 percent of farms in that sales class in every state used pesticides in 2012.  In the case of Alabama, this means that we estimate that, out of 3,445 farms with sales between $100,000 and $1 million, 2,753 will use pesticides.  Following this procedure with other size classes of farms gives us an estimated 16,630 farms using pesticides.  Those in the $100,000 and $1 million sales class account for 16.6 percent of those farms and, we estimate, 16.6 percent of certified applicators.  By our previous assumption of half those applicators have someone under their supervision, 8.3 percent of Alabama private applicators will have someone under their supervision.  Another 7.0 percent of Alabama private applicators are estimated to be on farms with more than $1 million in sales and will have someone applying RUPs under their supervision.  Therefore, we estimate that the number of noncertified applicators in Alabama is 15.3 percent of the 4,914 private applicators, or 753 noncertified applicators.  Table 3.3-8 presents estimates for all the states and jurisdictions.</w:t>
      </w:r>
    </w:p>
    <w:p w14:paraId="23632407" w14:textId="77777777" w:rsidR="00D8365A" w:rsidRPr="00362517" w:rsidRDefault="00D8365A" w:rsidP="00BF6BC7"/>
    <w:p w14:paraId="2D69E999" w14:textId="77777777" w:rsidR="00D8365A" w:rsidRPr="00362517" w:rsidRDefault="00D8365A" w:rsidP="00BF6BC7">
      <w:pPr>
        <w:pStyle w:val="Caption"/>
      </w:pPr>
      <w:r w:rsidRPr="00362517">
        <w:t>Table 3.3-8:</w:t>
      </w:r>
      <w:r w:rsidRPr="00362517">
        <w:tab/>
        <w:t xml:space="preserve">Estimated Number of Noncertified Applicators </w:t>
      </w:r>
      <w:r w:rsidRPr="00362517">
        <w:rPr>
          <w:caps/>
        </w:rPr>
        <w:t>A</w:t>
      </w:r>
      <w:r w:rsidRPr="00362517">
        <w:t>pplying RUPs under Supervision of Private Applicators, by Jurisdiction</w:t>
      </w:r>
    </w:p>
    <w:tbl>
      <w:tblPr>
        <w:tblStyle w:val="TableGrid"/>
        <w:tblW w:w="9360" w:type="dxa"/>
        <w:tblLayout w:type="fixed"/>
        <w:tblLook w:val="04A0" w:firstRow="1" w:lastRow="0" w:firstColumn="1" w:lastColumn="0" w:noHBand="0" w:noVBand="1"/>
      </w:tblPr>
      <w:tblGrid>
        <w:gridCol w:w="1525"/>
        <w:gridCol w:w="1464"/>
        <w:gridCol w:w="1416"/>
        <w:gridCol w:w="1238"/>
        <w:gridCol w:w="1239"/>
        <w:gridCol w:w="1239"/>
        <w:gridCol w:w="1239"/>
      </w:tblGrid>
      <w:tr w:rsidR="00D8365A" w:rsidRPr="00362517" w14:paraId="315DF938" w14:textId="77777777" w:rsidTr="007A2164">
        <w:trPr>
          <w:trHeight w:val="720"/>
        </w:trPr>
        <w:tc>
          <w:tcPr>
            <w:tcW w:w="1525" w:type="dxa"/>
            <w:vMerge w:val="restart"/>
            <w:vAlign w:val="bottom"/>
          </w:tcPr>
          <w:p w14:paraId="5333703E" w14:textId="77777777" w:rsidR="00D8365A" w:rsidRPr="00362517" w:rsidRDefault="00D8365A" w:rsidP="00BF6BC7">
            <w:pPr>
              <w:rPr>
                <w:sz w:val="22"/>
                <w:szCs w:val="22"/>
              </w:rPr>
            </w:pPr>
            <w:r w:rsidRPr="00362517">
              <w:rPr>
                <w:sz w:val="22"/>
                <w:szCs w:val="22"/>
              </w:rPr>
              <w:t>Jurisdiction</w:t>
            </w:r>
          </w:p>
        </w:tc>
        <w:tc>
          <w:tcPr>
            <w:tcW w:w="1464" w:type="dxa"/>
            <w:vMerge w:val="restart"/>
            <w:vAlign w:val="bottom"/>
          </w:tcPr>
          <w:p w14:paraId="7765D64F" w14:textId="77777777" w:rsidR="00D8365A" w:rsidRPr="00362517" w:rsidRDefault="00D8365A" w:rsidP="00BF6BC7">
            <w:pPr>
              <w:jc w:val="center"/>
              <w:rPr>
                <w:sz w:val="22"/>
                <w:szCs w:val="22"/>
              </w:rPr>
            </w:pPr>
            <w:r w:rsidRPr="00362517">
              <w:rPr>
                <w:sz w:val="22"/>
                <w:szCs w:val="22"/>
              </w:rPr>
              <w:t>Noncertified Applicators UTS of Private Applicator</w:t>
            </w:r>
          </w:p>
        </w:tc>
        <w:tc>
          <w:tcPr>
            <w:tcW w:w="1416" w:type="dxa"/>
            <w:vMerge w:val="restart"/>
            <w:vAlign w:val="bottom"/>
          </w:tcPr>
          <w:p w14:paraId="18DB8219" w14:textId="77777777" w:rsidR="00D8365A" w:rsidRPr="00362517" w:rsidRDefault="00D8365A" w:rsidP="00BF6BC7">
            <w:pPr>
              <w:jc w:val="center"/>
              <w:rPr>
                <w:sz w:val="22"/>
                <w:szCs w:val="22"/>
              </w:rPr>
            </w:pPr>
            <w:r w:rsidRPr="00362517">
              <w:rPr>
                <w:sz w:val="22"/>
                <w:szCs w:val="22"/>
              </w:rPr>
              <w:t>Noncertified Applicators without WPS training</w:t>
            </w:r>
          </w:p>
        </w:tc>
        <w:tc>
          <w:tcPr>
            <w:tcW w:w="2477" w:type="dxa"/>
            <w:gridSpan w:val="2"/>
            <w:vAlign w:val="bottom"/>
          </w:tcPr>
          <w:p w14:paraId="381AB40D" w14:textId="77777777" w:rsidR="00D8365A" w:rsidRPr="00362517" w:rsidRDefault="00D8365A" w:rsidP="00BF6BC7">
            <w:pPr>
              <w:jc w:val="center"/>
              <w:rPr>
                <w:sz w:val="22"/>
                <w:szCs w:val="22"/>
              </w:rPr>
            </w:pPr>
            <w:r w:rsidRPr="00362517">
              <w:rPr>
                <w:sz w:val="22"/>
                <w:szCs w:val="22"/>
              </w:rPr>
              <w:t>Noncertified Applicators, Family</w:t>
            </w:r>
          </w:p>
        </w:tc>
        <w:tc>
          <w:tcPr>
            <w:tcW w:w="2478" w:type="dxa"/>
            <w:gridSpan w:val="2"/>
            <w:vAlign w:val="bottom"/>
          </w:tcPr>
          <w:p w14:paraId="737A2EB0" w14:textId="77777777" w:rsidR="00D8365A" w:rsidRPr="00362517" w:rsidRDefault="00D8365A" w:rsidP="00BF6BC7">
            <w:pPr>
              <w:jc w:val="center"/>
              <w:rPr>
                <w:sz w:val="22"/>
                <w:szCs w:val="22"/>
              </w:rPr>
            </w:pPr>
            <w:r w:rsidRPr="00362517">
              <w:rPr>
                <w:sz w:val="22"/>
                <w:szCs w:val="22"/>
              </w:rPr>
              <w:t>Noncertified Applicators, Hired</w:t>
            </w:r>
          </w:p>
        </w:tc>
      </w:tr>
      <w:tr w:rsidR="00D8365A" w:rsidRPr="00362517" w14:paraId="6EEA6E46" w14:textId="77777777" w:rsidTr="007A2164">
        <w:tc>
          <w:tcPr>
            <w:tcW w:w="1525" w:type="dxa"/>
            <w:vMerge/>
            <w:tcBorders>
              <w:bottom w:val="double" w:sz="4" w:space="0" w:color="auto"/>
            </w:tcBorders>
            <w:vAlign w:val="bottom"/>
          </w:tcPr>
          <w:p w14:paraId="7D2EA6BE" w14:textId="77777777" w:rsidR="00D8365A" w:rsidRPr="00362517" w:rsidRDefault="00D8365A" w:rsidP="00BF6BC7">
            <w:pPr>
              <w:rPr>
                <w:sz w:val="22"/>
                <w:szCs w:val="22"/>
              </w:rPr>
            </w:pPr>
          </w:p>
        </w:tc>
        <w:tc>
          <w:tcPr>
            <w:tcW w:w="1464" w:type="dxa"/>
            <w:vMerge/>
            <w:tcBorders>
              <w:bottom w:val="double" w:sz="4" w:space="0" w:color="auto"/>
            </w:tcBorders>
            <w:vAlign w:val="bottom"/>
          </w:tcPr>
          <w:p w14:paraId="01BFB938" w14:textId="77777777" w:rsidR="00D8365A" w:rsidRPr="00362517" w:rsidRDefault="00D8365A" w:rsidP="00BF6BC7">
            <w:pPr>
              <w:jc w:val="center"/>
              <w:rPr>
                <w:sz w:val="22"/>
                <w:szCs w:val="22"/>
              </w:rPr>
            </w:pPr>
          </w:p>
        </w:tc>
        <w:tc>
          <w:tcPr>
            <w:tcW w:w="1416" w:type="dxa"/>
            <w:vMerge/>
            <w:tcBorders>
              <w:bottom w:val="double" w:sz="4" w:space="0" w:color="auto"/>
            </w:tcBorders>
            <w:vAlign w:val="bottom"/>
          </w:tcPr>
          <w:p w14:paraId="333145ED" w14:textId="77777777" w:rsidR="00D8365A" w:rsidRPr="00362517" w:rsidRDefault="00D8365A" w:rsidP="00BF6BC7">
            <w:pPr>
              <w:jc w:val="center"/>
              <w:rPr>
                <w:sz w:val="22"/>
                <w:szCs w:val="22"/>
              </w:rPr>
            </w:pPr>
          </w:p>
        </w:tc>
        <w:tc>
          <w:tcPr>
            <w:tcW w:w="1238" w:type="dxa"/>
            <w:tcBorders>
              <w:bottom w:val="double" w:sz="4" w:space="0" w:color="auto"/>
            </w:tcBorders>
            <w:vAlign w:val="bottom"/>
          </w:tcPr>
          <w:p w14:paraId="045471DD" w14:textId="77777777" w:rsidR="00D8365A" w:rsidRPr="00362517" w:rsidRDefault="00D8365A" w:rsidP="00BF6BC7">
            <w:pPr>
              <w:jc w:val="center"/>
              <w:rPr>
                <w:sz w:val="22"/>
                <w:szCs w:val="22"/>
              </w:rPr>
            </w:pPr>
            <w:r w:rsidRPr="00362517">
              <w:rPr>
                <w:sz w:val="22"/>
                <w:szCs w:val="22"/>
              </w:rPr>
              <w:t>&lt; 16 YO</w:t>
            </w:r>
          </w:p>
        </w:tc>
        <w:tc>
          <w:tcPr>
            <w:tcW w:w="1239" w:type="dxa"/>
            <w:tcBorders>
              <w:bottom w:val="double" w:sz="4" w:space="0" w:color="auto"/>
            </w:tcBorders>
            <w:vAlign w:val="bottom"/>
          </w:tcPr>
          <w:p w14:paraId="36A0F0D2" w14:textId="77777777" w:rsidR="00D8365A" w:rsidRPr="00362517" w:rsidRDefault="00D8365A" w:rsidP="00BF6BC7">
            <w:pPr>
              <w:jc w:val="center"/>
              <w:rPr>
                <w:sz w:val="22"/>
                <w:szCs w:val="22"/>
              </w:rPr>
            </w:pPr>
            <w:r w:rsidRPr="00362517">
              <w:rPr>
                <w:sz w:val="22"/>
                <w:szCs w:val="22"/>
              </w:rPr>
              <w:t>16-17 YO</w:t>
            </w:r>
          </w:p>
        </w:tc>
        <w:tc>
          <w:tcPr>
            <w:tcW w:w="1239" w:type="dxa"/>
            <w:tcBorders>
              <w:bottom w:val="double" w:sz="4" w:space="0" w:color="auto"/>
            </w:tcBorders>
            <w:vAlign w:val="bottom"/>
          </w:tcPr>
          <w:p w14:paraId="57437158" w14:textId="77777777" w:rsidR="00D8365A" w:rsidRPr="00362517" w:rsidRDefault="00D8365A" w:rsidP="00BF6BC7">
            <w:pPr>
              <w:jc w:val="center"/>
              <w:rPr>
                <w:sz w:val="22"/>
                <w:szCs w:val="22"/>
              </w:rPr>
            </w:pPr>
            <w:r w:rsidRPr="00362517">
              <w:rPr>
                <w:sz w:val="22"/>
                <w:szCs w:val="22"/>
              </w:rPr>
              <w:t>&lt; 16 YO</w:t>
            </w:r>
          </w:p>
        </w:tc>
        <w:tc>
          <w:tcPr>
            <w:tcW w:w="1239" w:type="dxa"/>
            <w:tcBorders>
              <w:bottom w:val="double" w:sz="4" w:space="0" w:color="auto"/>
            </w:tcBorders>
            <w:vAlign w:val="bottom"/>
          </w:tcPr>
          <w:p w14:paraId="51601AA1" w14:textId="77777777" w:rsidR="00D8365A" w:rsidRPr="00362517" w:rsidRDefault="00D8365A" w:rsidP="00BF6BC7">
            <w:pPr>
              <w:jc w:val="center"/>
              <w:rPr>
                <w:sz w:val="22"/>
                <w:szCs w:val="22"/>
              </w:rPr>
            </w:pPr>
            <w:r w:rsidRPr="00362517">
              <w:rPr>
                <w:sz w:val="22"/>
                <w:szCs w:val="22"/>
              </w:rPr>
              <w:t>16-17 YO</w:t>
            </w:r>
          </w:p>
        </w:tc>
      </w:tr>
      <w:tr w:rsidR="00D8365A" w:rsidRPr="00362517" w14:paraId="49831BFF" w14:textId="77777777" w:rsidTr="007A2164">
        <w:tc>
          <w:tcPr>
            <w:tcW w:w="1525" w:type="dxa"/>
            <w:tcBorders>
              <w:top w:val="double" w:sz="4" w:space="0" w:color="auto"/>
            </w:tcBorders>
          </w:tcPr>
          <w:p w14:paraId="329560D3" w14:textId="77777777" w:rsidR="00D8365A" w:rsidRPr="00362517" w:rsidRDefault="00D8365A" w:rsidP="00BF6BC7">
            <w:pPr>
              <w:rPr>
                <w:sz w:val="22"/>
                <w:szCs w:val="22"/>
              </w:rPr>
            </w:pPr>
            <w:r w:rsidRPr="00362517">
              <w:rPr>
                <w:sz w:val="22"/>
                <w:szCs w:val="22"/>
              </w:rPr>
              <w:t>Alabama</w:t>
            </w:r>
            <w:r w:rsidRPr="00362517">
              <w:rPr>
                <w:sz w:val="22"/>
                <w:szCs w:val="22"/>
                <w:vertAlign w:val="superscript"/>
              </w:rPr>
              <w:t xml:space="preserve"> 2</w:t>
            </w:r>
          </w:p>
        </w:tc>
        <w:tc>
          <w:tcPr>
            <w:tcW w:w="1464" w:type="dxa"/>
            <w:tcBorders>
              <w:top w:val="double" w:sz="4" w:space="0" w:color="auto"/>
            </w:tcBorders>
            <w:tcMar>
              <w:left w:w="115" w:type="dxa"/>
              <w:right w:w="576" w:type="dxa"/>
            </w:tcMar>
            <w:vAlign w:val="bottom"/>
          </w:tcPr>
          <w:p w14:paraId="27B05FFC" w14:textId="77777777" w:rsidR="00D8365A" w:rsidRPr="00362517" w:rsidRDefault="00D8365A" w:rsidP="00BF6BC7">
            <w:pPr>
              <w:tabs>
                <w:tab w:val="decimal" w:pos="965"/>
              </w:tabs>
              <w:ind w:right="-462"/>
              <w:rPr>
                <w:sz w:val="22"/>
                <w:szCs w:val="22"/>
              </w:rPr>
            </w:pPr>
            <w:r w:rsidRPr="00362517">
              <w:rPr>
                <w:sz w:val="22"/>
                <w:szCs w:val="22"/>
              </w:rPr>
              <w:t>753</w:t>
            </w:r>
          </w:p>
        </w:tc>
        <w:tc>
          <w:tcPr>
            <w:tcW w:w="1416" w:type="dxa"/>
            <w:tcBorders>
              <w:top w:val="double" w:sz="4" w:space="0" w:color="auto"/>
            </w:tcBorders>
            <w:vAlign w:val="bottom"/>
          </w:tcPr>
          <w:p w14:paraId="345F1E84" w14:textId="77777777" w:rsidR="00D8365A" w:rsidRPr="00362517" w:rsidRDefault="00D8365A" w:rsidP="00BF6BC7">
            <w:pPr>
              <w:tabs>
                <w:tab w:val="decimal" w:pos="858"/>
              </w:tabs>
              <w:rPr>
                <w:sz w:val="22"/>
                <w:szCs w:val="22"/>
              </w:rPr>
            </w:pPr>
            <w:r w:rsidRPr="00362517">
              <w:rPr>
                <w:sz w:val="22"/>
                <w:szCs w:val="22"/>
              </w:rPr>
              <w:t>252</w:t>
            </w:r>
          </w:p>
        </w:tc>
        <w:tc>
          <w:tcPr>
            <w:tcW w:w="1238" w:type="dxa"/>
            <w:tcBorders>
              <w:top w:val="double" w:sz="4" w:space="0" w:color="auto"/>
            </w:tcBorders>
            <w:tcMar>
              <w:left w:w="115" w:type="dxa"/>
              <w:right w:w="576" w:type="dxa"/>
            </w:tcMar>
            <w:vAlign w:val="bottom"/>
          </w:tcPr>
          <w:p w14:paraId="40226ADF" w14:textId="77777777" w:rsidR="00D8365A" w:rsidRPr="00362517" w:rsidRDefault="00D8365A" w:rsidP="00BF6BC7">
            <w:pPr>
              <w:tabs>
                <w:tab w:val="decimal" w:pos="605"/>
              </w:tabs>
              <w:ind w:right="-418"/>
              <w:rPr>
                <w:sz w:val="22"/>
                <w:szCs w:val="22"/>
              </w:rPr>
            </w:pPr>
            <w:r w:rsidRPr="00362517">
              <w:rPr>
                <w:sz w:val="22"/>
                <w:szCs w:val="22"/>
              </w:rPr>
              <w:t>0.0</w:t>
            </w:r>
          </w:p>
        </w:tc>
        <w:tc>
          <w:tcPr>
            <w:tcW w:w="1239" w:type="dxa"/>
            <w:tcBorders>
              <w:top w:val="double" w:sz="4" w:space="0" w:color="auto"/>
            </w:tcBorders>
            <w:tcMar>
              <w:left w:w="115" w:type="dxa"/>
              <w:right w:w="576" w:type="dxa"/>
            </w:tcMar>
            <w:vAlign w:val="bottom"/>
          </w:tcPr>
          <w:p w14:paraId="036ABA57" w14:textId="77777777" w:rsidR="00D8365A" w:rsidRPr="00362517" w:rsidRDefault="00D8365A" w:rsidP="00BF6BC7">
            <w:pPr>
              <w:tabs>
                <w:tab w:val="decimal" w:pos="627"/>
              </w:tabs>
              <w:ind w:right="-439"/>
              <w:rPr>
                <w:sz w:val="22"/>
                <w:szCs w:val="22"/>
              </w:rPr>
            </w:pPr>
            <w:r w:rsidRPr="00362517">
              <w:rPr>
                <w:sz w:val="22"/>
                <w:szCs w:val="22"/>
              </w:rPr>
              <w:t>0.0</w:t>
            </w:r>
          </w:p>
        </w:tc>
        <w:tc>
          <w:tcPr>
            <w:tcW w:w="1239" w:type="dxa"/>
            <w:tcBorders>
              <w:top w:val="double" w:sz="4" w:space="0" w:color="auto"/>
            </w:tcBorders>
            <w:tcMar>
              <w:left w:w="115" w:type="dxa"/>
              <w:right w:w="576" w:type="dxa"/>
            </w:tcMar>
            <w:vAlign w:val="bottom"/>
          </w:tcPr>
          <w:p w14:paraId="307B6077"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Borders>
              <w:top w:val="double" w:sz="4" w:space="0" w:color="auto"/>
            </w:tcBorders>
            <w:tcMar>
              <w:left w:w="115" w:type="dxa"/>
              <w:right w:w="576" w:type="dxa"/>
            </w:tcMar>
            <w:vAlign w:val="bottom"/>
          </w:tcPr>
          <w:p w14:paraId="08308C4D" w14:textId="77777777" w:rsidR="00D8365A" w:rsidRPr="00362517" w:rsidRDefault="00D8365A" w:rsidP="00BF6BC7">
            <w:pPr>
              <w:tabs>
                <w:tab w:val="decimal" w:pos="489"/>
              </w:tabs>
              <w:ind w:right="-301"/>
              <w:rPr>
                <w:sz w:val="22"/>
                <w:szCs w:val="22"/>
              </w:rPr>
            </w:pPr>
            <w:r w:rsidRPr="00362517">
              <w:rPr>
                <w:sz w:val="22"/>
                <w:szCs w:val="22"/>
              </w:rPr>
              <w:t>0.0</w:t>
            </w:r>
          </w:p>
        </w:tc>
      </w:tr>
      <w:tr w:rsidR="00D8365A" w:rsidRPr="00362517" w14:paraId="3ADB0CF8" w14:textId="77777777" w:rsidTr="007A2164">
        <w:tc>
          <w:tcPr>
            <w:tcW w:w="1525" w:type="dxa"/>
          </w:tcPr>
          <w:p w14:paraId="45D5DE0D" w14:textId="77777777" w:rsidR="00D8365A" w:rsidRPr="00362517" w:rsidRDefault="00D8365A" w:rsidP="00BF6BC7">
            <w:pPr>
              <w:rPr>
                <w:sz w:val="22"/>
                <w:szCs w:val="22"/>
              </w:rPr>
            </w:pPr>
            <w:r w:rsidRPr="00362517">
              <w:rPr>
                <w:sz w:val="22"/>
                <w:szCs w:val="22"/>
              </w:rPr>
              <w:t>Alaska</w:t>
            </w:r>
            <w:r w:rsidRPr="00362517">
              <w:rPr>
                <w:sz w:val="22"/>
                <w:szCs w:val="22"/>
                <w:vertAlign w:val="superscript"/>
              </w:rPr>
              <w:t xml:space="preserve"> 3</w:t>
            </w:r>
          </w:p>
        </w:tc>
        <w:tc>
          <w:tcPr>
            <w:tcW w:w="1464" w:type="dxa"/>
            <w:tcMar>
              <w:left w:w="115" w:type="dxa"/>
              <w:right w:w="576" w:type="dxa"/>
            </w:tcMar>
            <w:vAlign w:val="bottom"/>
          </w:tcPr>
          <w:p w14:paraId="38B47F73" w14:textId="77777777" w:rsidR="00D8365A" w:rsidRPr="00362517" w:rsidRDefault="00D8365A" w:rsidP="00BF6BC7">
            <w:pPr>
              <w:tabs>
                <w:tab w:val="decimal" w:pos="965"/>
              </w:tabs>
              <w:ind w:right="-462"/>
              <w:rPr>
                <w:sz w:val="22"/>
                <w:szCs w:val="22"/>
              </w:rPr>
            </w:pPr>
            <w:r w:rsidRPr="00362517">
              <w:rPr>
                <w:sz w:val="22"/>
                <w:szCs w:val="22"/>
              </w:rPr>
              <w:t>9</w:t>
            </w:r>
          </w:p>
        </w:tc>
        <w:tc>
          <w:tcPr>
            <w:tcW w:w="1416" w:type="dxa"/>
            <w:vAlign w:val="bottom"/>
          </w:tcPr>
          <w:p w14:paraId="7F8A39BD" w14:textId="77777777" w:rsidR="00D8365A" w:rsidRPr="00362517" w:rsidRDefault="00D8365A" w:rsidP="00BF6BC7">
            <w:pPr>
              <w:tabs>
                <w:tab w:val="decimal" w:pos="858"/>
              </w:tabs>
              <w:rPr>
                <w:sz w:val="22"/>
                <w:szCs w:val="22"/>
              </w:rPr>
            </w:pPr>
            <w:r w:rsidRPr="00362517">
              <w:rPr>
                <w:sz w:val="22"/>
                <w:szCs w:val="22"/>
              </w:rPr>
              <w:t>8</w:t>
            </w:r>
          </w:p>
        </w:tc>
        <w:tc>
          <w:tcPr>
            <w:tcW w:w="1238" w:type="dxa"/>
            <w:tcMar>
              <w:left w:w="115" w:type="dxa"/>
              <w:right w:w="576" w:type="dxa"/>
            </w:tcMar>
            <w:vAlign w:val="bottom"/>
          </w:tcPr>
          <w:p w14:paraId="74D5F521" w14:textId="77777777" w:rsidR="00D8365A" w:rsidRPr="00362517" w:rsidRDefault="00D8365A" w:rsidP="00BF6BC7">
            <w:pPr>
              <w:tabs>
                <w:tab w:val="decimal" w:pos="605"/>
              </w:tabs>
              <w:ind w:right="-418"/>
              <w:rPr>
                <w:sz w:val="22"/>
                <w:szCs w:val="22"/>
              </w:rPr>
            </w:pPr>
            <w:r w:rsidRPr="00362517">
              <w:rPr>
                <w:sz w:val="22"/>
                <w:szCs w:val="22"/>
              </w:rPr>
              <w:t>0.0</w:t>
            </w:r>
          </w:p>
        </w:tc>
        <w:tc>
          <w:tcPr>
            <w:tcW w:w="1239" w:type="dxa"/>
            <w:tcMar>
              <w:left w:w="115" w:type="dxa"/>
              <w:right w:w="576" w:type="dxa"/>
            </w:tcMar>
            <w:vAlign w:val="bottom"/>
          </w:tcPr>
          <w:p w14:paraId="4F29DB5D" w14:textId="77777777" w:rsidR="00D8365A" w:rsidRPr="00362517" w:rsidRDefault="00D8365A" w:rsidP="00BF6BC7">
            <w:pPr>
              <w:tabs>
                <w:tab w:val="decimal" w:pos="627"/>
              </w:tabs>
              <w:ind w:right="-439"/>
              <w:rPr>
                <w:sz w:val="22"/>
                <w:szCs w:val="22"/>
              </w:rPr>
            </w:pPr>
            <w:r w:rsidRPr="00362517">
              <w:rPr>
                <w:sz w:val="22"/>
                <w:szCs w:val="22"/>
              </w:rPr>
              <w:t>0.2</w:t>
            </w:r>
          </w:p>
        </w:tc>
        <w:tc>
          <w:tcPr>
            <w:tcW w:w="1239" w:type="dxa"/>
            <w:tcMar>
              <w:left w:w="115" w:type="dxa"/>
              <w:right w:w="576" w:type="dxa"/>
            </w:tcMar>
            <w:vAlign w:val="bottom"/>
          </w:tcPr>
          <w:p w14:paraId="13D159AD"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616A01FC" w14:textId="77777777" w:rsidR="00D8365A" w:rsidRPr="00362517" w:rsidRDefault="00D8365A" w:rsidP="00BF6BC7">
            <w:pPr>
              <w:tabs>
                <w:tab w:val="decimal" w:pos="489"/>
              </w:tabs>
              <w:ind w:right="-301"/>
              <w:rPr>
                <w:sz w:val="22"/>
                <w:szCs w:val="22"/>
              </w:rPr>
            </w:pPr>
            <w:r w:rsidRPr="00362517">
              <w:rPr>
                <w:sz w:val="22"/>
                <w:szCs w:val="22"/>
              </w:rPr>
              <w:t>0.2</w:t>
            </w:r>
          </w:p>
        </w:tc>
      </w:tr>
      <w:tr w:rsidR="00D8365A" w:rsidRPr="00362517" w14:paraId="3CD6840B" w14:textId="77777777" w:rsidTr="007A2164">
        <w:tc>
          <w:tcPr>
            <w:tcW w:w="1525" w:type="dxa"/>
          </w:tcPr>
          <w:p w14:paraId="008D5991" w14:textId="77777777" w:rsidR="00D8365A" w:rsidRPr="00362517" w:rsidRDefault="00D8365A" w:rsidP="00BF6BC7">
            <w:pPr>
              <w:rPr>
                <w:sz w:val="22"/>
                <w:szCs w:val="22"/>
              </w:rPr>
            </w:pPr>
            <w:r w:rsidRPr="00362517">
              <w:rPr>
                <w:sz w:val="22"/>
                <w:szCs w:val="22"/>
              </w:rPr>
              <w:t>Arizona</w:t>
            </w:r>
          </w:p>
        </w:tc>
        <w:tc>
          <w:tcPr>
            <w:tcW w:w="1464" w:type="dxa"/>
            <w:tcMar>
              <w:left w:w="115" w:type="dxa"/>
              <w:right w:w="576" w:type="dxa"/>
            </w:tcMar>
            <w:vAlign w:val="bottom"/>
          </w:tcPr>
          <w:p w14:paraId="49B1D07D" w14:textId="77777777" w:rsidR="00D8365A" w:rsidRPr="00362517" w:rsidRDefault="00D8365A" w:rsidP="00BF6BC7">
            <w:pPr>
              <w:tabs>
                <w:tab w:val="decimal" w:pos="965"/>
              </w:tabs>
              <w:ind w:right="-462"/>
              <w:rPr>
                <w:sz w:val="22"/>
                <w:szCs w:val="22"/>
              </w:rPr>
            </w:pPr>
            <w:r w:rsidRPr="00362517">
              <w:rPr>
                <w:sz w:val="22"/>
                <w:szCs w:val="22"/>
              </w:rPr>
              <w:t>42</w:t>
            </w:r>
          </w:p>
        </w:tc>
        <w:tc>
          <w:tcPr>
            <w:tcW w:w="1416" w:type="dxa"/>
            <w:vAlign w:val="bottom"/>
          </w:tcPr>
          <w:p w14:paraId="459829D2" w14:textId="77777777" w:rsidR="00D8365A" w:rsidRPr="00362517" w:rsidRDefault="00D8365A" w:rsidP="00BF6BC7">
            <w:pPr>
              <w:tabs>
                <w:tab w:val="decimal" w:pos="858"/>
              </w:tabs>
              <w:rPr>
                <w:sz w:val="22"/>
                <w:szCs w:val="22"/>
              </w:rPr>
            </w:pPr>
            <w:r w:rsidRPr="00362517">
              <w:rPr>
                <w:sz w:val="22"/>
                <w:szCs w:val="22"/>
              </w:rPr>
              <w:t>13</w:t>
            </w:r>
          </w:p>
        </w:tc>
        <w:tc>
          <w:tcPr>
            <w:tcW w:w="1238" w:type="dxa"/>
            <w:tcMar>
              <w:left w:w="115" w:type="dxa"/>
              <w:right w:w="576" w:type="dxa"/>
            </w:tcMar>
            <w:vAlign w:val="bottom"/>
          </w:tcPr>
          <w:p w14:paraId="79893D7E" w14:textId="77777777" w:rsidR="00D8365A" w:rsidRPr="00362517" w:rsidRDefault="00D8365A" w:rsidP="00BF6BC7">
            <w:pPr>
              <w:tabs>
                <w:tab w:val="decimal" w:pos="605"/>
              </w:tabs>
              <w:ind w:right="-418"/>
              <w:rPr>
                <w:sz w:val="22"/>
                <w:szCs w:val="22"/>
              </w:rPr>
            </w:pPr>
            <w:r w:rsidRPr="00362517">
              <w:rPr>
                <w:sz w:val="22"/>
                <w:szCs w:val="22"/>
              </w:rPr>
              <w:t>7.2</w:t>
            </w:r>
          </w:p>
        </w:tc>
        <w:tc>
          <w:tcPr>
            <w:tcW w:w="1239" w:type="dxa"/>
            <w:tcMar>
              <w:left w:w="115" w:type="dxa"/>
              <w:right w:w="576" w:type="dxa"/>
            </w:tcMar>
            <w:vAlign w:val="bottom"/>
          </w:tcPr>
          <w:p w14:paraId="210913AB" w14:textId="77777777" w:rsidR="00D8365A" w:rsidRPr="00362517" w:rsidRDefault="00D8365A" w:rsidP="00BF6BC7">
            <w:pPr>
              <w:tabs>
                <w:tab w:val="decimal" w:pos="627"/>
              </w:tabs>
              <w:ind w:right="-439"/>
              <w:rPr>
                <w:sz w:val="22"/>
                <w:szCs w:val="22"/>
              </w:rPr>
            </w:pPr>
            <w:r w:rsidRPr="00362517">
              <w:rPr>
                <w:sz w:val="22"/>
                <w:szCs w:val="22"/>
              </w:rPr>
              <w:t>10.2</w:t>
            </w:r>
          </w:p>
        </w:tc>
        <w:tc>
          <w:tcPr>
            <w:tcW w:w="1239" w:type="dxa"/>
            <w:tcMar>
              <w:left w:w="115" w:type="dxa"/>
              <w:right w:w="576" w:type="dxa"/>
            </w:tcMar>
            <w:vAlign w:val="bottom"/>
          </w:tcPr>
          <w:p w14:paraId="74445B90"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7D799859" w14:textId="77777777" w:rsidR="00D8365A" w:rsidRPr="00362517" w:rsidRDefault="00D8365A" w:rsidP="00BF6BC7">
            <w:pPr>
              <w:tabs>
                <w:tab w:val="decimal" w:pos="489"/>
              </w:tabs>
              <w:ind w:right="-301"/>
              <w:rPr>
                <w:sz w:val="22"/>
                <w:szCs w:val="22"/>
              </w:rPr>
            </w:pPr>
            <w:r w:rsidRPr="00362517">
              <w:rPr>
                <w:sz w:val="22"/>
                <w:szCs w:val="22"/>
              </w:rPr>
              <w:t>0.0</w:t>
            </w:r>
          </w:p>
        </w:tc>
      </w:tr>
      <w:tr w:rsidR="00D8365A" w:rsidRPr="00362517" w14:paraId="44676BB4" w14:textId="77777777" w:rsidTr="007A2164">
        <w:tc>
          <w:tcPr>
            <w:tcW w:w="1525" w:type="dxa"/>
          </w:tcPr>
          <w:p w14:paraId="0C9481A0" w14:textId="77777777" w:rsidR="00D8365A" w:rsidRPr="00362517" w:rsidRDefault="00D8365A" w:rsidP="00BF6BC7">
            <w:pPr>
              <w:rPr>
                <w:sz w:val="22"/>
                <w:szCs w:val="22"/>
              </w:rPr>
            </w:pPr>
            <w:r w:rsidRPr="00362517">
              <w:rPr>
                <w:sz w:val="22"/>
                <w:szCs w:val="22"/>
              </w:rPr>
              <w:t>Arkansas</w:t>
            </w:r>
          </w:p>
        </w:tc>
        <w:tc>
          <w:tcPr>
            <w:tcW w:w="1464" w:type="dxa"/>
            <w:tcMar>
              <w:left w:w="115" w:type="dxa"/>
              <w:right w:w="576" w:type="dxa"/>
            </w:tcMar>
            <w:vAlign w:val="bottom"/>
          </w:tcPr>
          <w:p w14:paraId="383D929E" w14:textId="77777777" w:rsidR="00D8365A" w:rsidRPr="00362517" w:rsidRDefault="00D8365A" w:rsidP="00BF6BC7">
            <w:pPr>
              <w:tabs>
                <w:tab w:val="decimal" w:pos="965"/>
              </w:tabs>
              <w:ind w:right="-462"/>
              <w:rPr>
                <w:sz w:val="22"/>
                <w:szCs w:val="22"/>
              </w:rPr>
            </w:pPr>
            <w:r w:rsidRPr="00362517">
              <w:rPr>
                <w:sz w:val="22"/>
                <w:szCs w:val="22"/>
              </w:rPr>
              <w:t>4,490</w:t>
            </w:r>
          </w:p>
        </w:tc>
        <w:tc>
          <w:tcPr>
            <w:tcW w:w="1416" w:type="dxa"/>
            <w:vAlign w:val="bottom"/>
          </w:tcPr>
          <w:p w14:paraId="2D2E99C8" w14:textId="77777777" w:rsidR="00D8365A" w:rsidRPr="00362517" w:rsidRDefault="00D8365A" w:rsidP="00BF6BC7">
            <w:pPr>
              <w:tabs>
                <w:tab w:val="decimal" w:pos="858"/>
              </w:tabs>
              <w:rPr>
                <w:sz w:val="22"/>
                <w:szCs w:val="22"/>
              </w:rPr>
            </w:pPr>
            <w:r w:rsidRPr="00362517">
              <w:rPr>
                <w:sz w:val="22"/>
                <w:szCs w:val="22"/>
              </w:rPr>
              <w:t>1,354</w:t>
            </w:r>
          </w:p>
        </w:tc>
        <w:tc>
          <w:tcPr>
            <w:tcW w:w="1238" w:type="dxa"/>
            <w:tcMar>
              <w:left w:w="115" w:type="dxa"/>
              <w:right w:w="576" w:type="dxa"/>
            </w:tcMar>
            <w:vAlign w:val="bottom"/>
          </w:tcPr>
          <w:p w14:paraId="6FCE5416" w14:textId="77777777" w:rsidR="00D8365A" w:rsidRPr="00362517" w:rsidRDefault="00D8365A" w:rsidP="00BF6BC7">
            <w:pPr>
              <w:tabs>
                <w:tab w:val="decimal" w:pos="605"/>
              </w:tabs>
              <w:ind w:right="-418"/>
              <w:rPr>
                <w:sz w:val="22"/>
                <w:szCs w:val="22"/>
              </w:rPr>
            </w:pPr>
            <w:r w:rsidRPr="00362517">
              <w:rPr>
                <w:sz w:val="22"/>
                <w:szCs w:val="22"/>
              </w:rPr>
              <w:t>11.2</w:t>
            </w:r>
          </w:p>
        </w:tc>
        <w:tc>
          <w:tcPr>
            <w:tcW w:w="1239" w:type="dxa"/>
            <w:tcMar>
              <w:left w:w="115" w:type="dxa"/>
              <w:right w:w="576" w:type="dxa"/>
            </w:tcMar>
            <w:vAlign w:val="bottom"/>
          </w:tcPr>
          <w:p w14:paraId="597CC64E" w14:textId="77777777" w:rsidR="00D8365A" w:rsidRPr="00362517" w:rsidRDefault="00D8365A" w:rsidP="00BF6BC7">
            <w:pPr>
              <w:tabs>
                <w:tab w:val="decimal" w:pos="627"/>
              </w:tabs>
              <w:ind w:right="-439"/>
              <w:rPr>
                <w:sz w:val="22"/>
                <w:szCs w:val="22"/>
              </w:rPr>
            </w:pPr>
            <w:r w:rsidRPr="00362517">
              <w:rPr>
                <w:sz w:val="22"/>
                <w:szCs w:val="22"/>
              </w:rPr>
              <w:t>15.8</w:t>
            </w:r>
          </w:p>
        </w:tc>
        <w:tc>
          <w:tcPr>
            <w:tcW w:w="1239" w:type="dxa"/>
            <w:tcMar>
              <w:left w:w="115" w:type="dxa"/>
              <w:right w:w="576" w:type="dxa"/>
            </w:tcMar>
            <w:vAlign w:val="bottom"/>
          </w:tcPr>
          <w:p w14:paraId="22D070FC"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318B3470" w14:textId="77777777" w:rsidR="00D8365A" w:rsidRPr="00362517" w:rsidRDefault="00D8365A" w:rsidP="00BF6BC7">
            <w:pPr>
              <w:tabs>
                <w:tab w:val="decimal" w:pos="489"/>
              </w:tabs>
              <w:ind w:right="-301"/>
              <w:rPr>
                <w:sz w:val="22"/>
                <w:szCs w:val="22"/>
              </w:rPr>
            </w:pPr>
            <w:r w:rsidRPr="00362517">
              <w:rPr>
                <w:sz w:val="22"/>
                <w:szCs w:val="22"/>
              </w:rPr>
              <w:t>0.2</w:t>
            </w:r>
          </w:p>
        </w:tc>
      </w:tr>
      <w:tr w:rsidR="00D8365A" w:rsidRPr="00362517" w14:paraId="58ADEBB4" w14:textId="77777777" w:rsidTr="007A2164">
        <w:tc>
          <w:tcPr>
            <w:tcW w:w="1525" w:type="dxa"/>
          </w:tcPr>
          <w:p w14:paraId="4E9BA903" w14:textId="77777777" w:rsidR="00D8365A" w:rsidRPr="00362517" w:rsidRDefault="00D8365A" w:rsidP="00BF6BC7">
            <w:pPr>
              <w:rPr>
                <w:sz w:val="22"/>
                <w:szCs w:val="22"/>
              </w:rPr>
            </w:pPr>
            <w:r w:rsidRPr="00362517">
              <w:rPr>
                <w:sz w:val="22"/>
                <w:szCs w:val="22"/>
              </w:rPr>
              <w:t>California</w:t>
            </w:r>
          </w:p>
        </w:tc>
        <w:tc>
          <w:tcPr>
            <w:tcW w:w="1464" w:type="dxa"/>
            <w:tcMar>
              <w:left w:w="115" w:type="dxa"/>
              <w:right w:w="576" w:type="dxa"/>
            </w:tcMar>
            <w:vAlign w:val="bottom"/>
          </w:tcPr>
          <w:p w14:paraId="44AFC303" w14:textId="77777777" w:rsidR="00D8365A" w:rsidRPr="00362517" w:rsidRDefault="00D8365A" w:rsidP="00BF6BC7">
            <w:pPr>
              <w:tabs>
                <w:tab w:val="decimal" w:pos="965"/>
              </w:tabs>
              <w:ind w:right="-462"/>
              <w:rPr>
                <w:sz w:val="22"/>
                <w:szCs w:val="22"/>
              </w:rPr>
            </w:pPr>
            <w:r w:rsidRPr="00362517">
              <w:rPr>
                <w:sz w:val="22"/>
                <w:szCs w:val="22"/>
              </w:rPr>
              <w:t>4,873</w:t>
            </w:r>
          </w:p>
        </w:tc>
        <w:tc>
          <w:tcPr>
            <w:tcW w:w="1416" w:type="dxa"/>
            <w:vAlign w:val="bottom"/>
          </w:tcPr>
          <w:p w14:paraId="25D92BA6" w14:textId="77777777" w:rsidR="00D8365A" w:rsidRPr="00362517" w:rsidRDefault="00D8365A" w:rsidP="00BF6BC7">
            <w:pPr>
              <w:tabs>
                <w:tab w:val="decimal" w:pos="858"/>
              </w:tabs>
              <w:rPr>
                <w:sz w:val="22"/>
                <w:szCs w:val="22"/>
              </w:rPr>
            </w:pPr>
            <w:r w:rsidRPr="00362517">
              <w:rPr>
                <w:sz w:val="22"/>
                <w:szCs w:val="22"/>
              </w:rPr>
              <w:t>1,660</w:t>
            </w:r>
          </w:p>
        </w:tc>
        <w:tc>
          <w:tcPr>
            <w:tcW w:w="1238" w:type="dxa"/>
            <w:tcMar>
              <w:left w:w="115" w:type="dxa"/>
              <w:right w:w="576" w:type="dxa"/>
            </w:tcMar>
            <w:vAlign w:val="bottom"/>
          </w:tcPr>
          <w:p w14:paraId="176C45D1" w14:textId="77777777" w:rsidR="00D8365A" w:rsidRPr="00362517" w:rsidRDefault="00D8365A" w:rsidP="00BF6BC7">
            <w:pPr>
              <w:tabs>
                <w:tab w:val="decimal" w:pos="605"/>
              </w:tabs>
              <w:ind w:right="-418"/>
              <w:rPr>
                <w:sz w:val="22"/>
                <w:szCs w:val="22"/>
              </w:rPr>
            </w:pPr>
            <w:r w:rsidRPr="00362517">
              <w:rPr>
                <w:sz w:val="22"/>
                <w:szCs w:val="22"/>
              </w:rPr>
              <w:t>12.8</w:t>
            </w:r>
          </w:p>
        </w:tc>
        <w:tc>
          <w:tcPr>
            <w:tcW w:w="1239" w:type="dxa"/>
            <w:tcMar>
              <w:left w:w="115" w:type="dxa"/>
              <w:right w:w="576" w:type="dxa"/>
            </w:tcMar>
            <w:vAlign w:val="bottom"/>
          </w:tcPr>
          <w:p w14:paraId="2FBF137B" w14:textId="77777777" w:rsidR="00D8365A" w:rsidRPr="00362517" w:rsidRDefault="00D8365A" w:rsidP="00BF6BC7">
            <w:pPr>
              <w:tabs>
                <w:tab w:val="decimal" w:pos="627"/>
              </w:tabs>
              <w:ind w:right="-439"/>
              <w:rPr>
                <w:sz w:val="22"/>
                <w:szCs w:val="22"/>
              </w:rPr>
            </w:pPr>
            <w:r w:rsidRPr="00362517">
              <w:rPr>
                <w:sz w:val="22"/>
                <w:szCs w:val="22"/>
              </w:rPr>
              <w:t>18.2</w:t>
            </w:r>
          </w:p>
        </w:tc>
        <w:tc>
          <w:tcPr>
            <w:tcW w:w="1239" w:type="dxa"/>
            <w:tcMar>
              <w:left w:w="115" w:type="dxa"/>
              <w:right w:w="576" w:type="dxa"/>
            </w:tcMar>
            <w:vAlign w:val="bottom"/>
          </w:tcPr>
          <w:p w14:paraId="505B2422" w14:textId="77777777" w:rsidR="00D8365A" w:rsidRPr="00362517" w:rsidRDefault="00D8365A" w:rsidP="00BF6BC7">
            <w:pPr>
              <w:tabs>
                <w:tab w:val="decimal" w:pos="558"/>
              </w:tabs>
              <w:ind w:right="-370"/>
              <w:rPr>
                <w:sz w:val="22"/>
                <w:szCs w:val="22"/>
              </w:rPr>
            </w:pPr>
            <w:r w:rsidRPr="00362517">
              <w:rPr>
                <w:sz w:val="22"/>
                <w:szCs w:val="22"/>
              </w:rPr>
              <w:t>1.1</w:t>
            </w:r>
          </w:p>
        </w:tc>
        <w:tc>
          <w:tcPr>
            <w:tcW w:w="1239" w:type="dxa"/>
            <w:tcMar>
              <w:left w:w="115" w:type="dxa"/>
              <w:right w:w="576" w:type="dxa"/>
            </w:tcMar>
            <w:vAlign w:val="bottom"/>
          </w:tcPr>
          <w:p w14:paraId="53860D02" w14:textId="77777777" w:rsidR="00D8365A" w:rsidRPr="00362517" w:rsidRDefault="00D8365A" w:rsidP="00BF6BC7">
            <w:pPr>
              <w:tabs>
                <w:tab w:val="decimal" w:pos="489"/>
              </w:tabs>
              <w:ind w:right="-301"/>
              <w:rPr>
                <w:sz w:val="22"/>
                <w:szCs w:val="22"/>
              </w:rPr>
            </w:pPr>
            <w:r w:rsidRPr="00362517">
              <w:rPr>
                <w:sz w:val="22"/>
                <w:szCs w:val="22"/>
              </w:rPr>
              <w:t>5.4</w:t>
            </w:r>
          </w:p>
        </w:tc>
      </w:tr>
      <w:tr w:rsidR="00D8365A" w:rsidRPr="00362517" w14:paraId="1B3921DE" w14:textId="77777777" w:rsidTr="007A2164">
        <w:tc>
          <w:tcPr>
            <w:tcW w:w="1525" w:type="dxa"/>
          </w:tcPr>
          <w:p w14:paraId="23383A66" w14:textId="77777777" w:rsidR="00D8365A" w:rsidRPr="00362517" w:rsidRDefault="00D8365A" w:rsidP="00BF6BC7">
            <w:pPr>
              <w:rPr>
                <w:sz w:val="22"/>
                <w:szCs w:val="22"/>
              </w:rPr>
            </w:pPr>
            <w:r w:rsidRPr="00362517">
              <w:rPr>
                <w:sz w:val="22"/>
                <w:szCs w:val="22"/>
              </w:rPr>
              <w:t>Colorado</w:t>
            </w:r>
          </w:p>
        </w:tc>
        <w:tc>
          <w:tcPr>
            <w:tcW w:w="1464" w:type="dxa"/>
            <w:tcMar>
              <w:left w:w="115" w:type="dxa"/>
              <w:right w:w="576" w:type="dxa"/>
            </w:tcMar>
            <w:vAlign w:val="bottom"/>
          </w:tcPr>
          <w:p w14:paraId="3F252502" w14:textId="77777777" w:rsidR="00D8365A" w:rsidRPr="00362517" w:rsidRDefault="00D8365A" w:rsidP="00BF6BC7">
            <w:pPr>
              <w:tabs>
                <w:tab w:val="decimal" w:pos="965"/>
              </w:tabs>
              <w:ind w:right="-462"/>
              <w:rPr>
                <w:sz w:val="22"/>
                <w:szCs w:val="22"/>
              </w:rPr>
            </w:pPr>
            <w:r w:rsidRPr="00362517">
              <w:rPr>
                <w:sz w:val="22"/>
                <w:szCs w:val="22"/>
              </w:rPr>
              <w:t>901</w:t>
            </w:r>
          </w:p>
        </w:tc>
        <w:tc>
          <w:tcPr>
            <w:tcW w:w="1416" w:type="dxa"/>
            <w:vAlign w:val="bottom"/>
          </w:tcPr>
          <w:p w14:paraId="0F09A249" w14:textId="77777777" w:rsidR="00D8365A" w:rsidRPr="00362517" w:rsidRDefault="00D8365A" w:rsidP="00BF6BC7">
            <w:pPr>
              <w:tabs>
                <w:tab w:val="decimal" w:pos="858"/>
              </w:tabs>
              <w:rPr>
                <w:sz w:val="22"/>
                <w:szCs w:val="22"/>
              </w:rPr>
            </w:pPr>
            <w:r w:rsidRPr="00362517">
              <w:rPr>
                <w:sz w:val="22"/>
                <w:szCs w:val="22"/>
              </w:rPr>
              <w:t>272</w:t>
            </w:r>
          </w:p>
        </w:tc>
        <w:tc>
          <w:tcPr>
            <w:tcW w:w="1238" w:type="dxa"/>
            <w:tcMar>
              <w:left w:w="115" w:type="dxa"/>
              <w:right w:w="576" w:type="dxa"/>
            </w:tcMar>
            <w:vAlign w:val="bottom"/>
          </w:tcPr>
          <w:p w14:paraId="7FA374DA" w14:textId="77777777" w:rsidR="00D8365A" w:rsidRPr="00362517" w:rsidRDefault="00D8365A" w:rsidP="00BF6BC7">
            <w:pPr>
              <w:tabs>
                <w:tab w:val="decimal" w:pos="605"/>
              </w:tabs>
              <w:ind w:right="-418"/>
              <w:rPr>
                <w:sz w:val="22"/>
                <w:szCs w:val="22"/>
              </w:rPr>
            </w:pPr>
            <w:r w:rsidRPr="00362517">
              <w:rPr>
                <w:sz w:val="22"/>
                <w:szCs w:val="22"/>
              </w:rPr>
              <w:t>7.3</w:t>
            </w:r>
          </w:p>
        </w:tc>
        <w:tc>
          <w:tcPr>
            <w:tcW w:w="1239" w:type="dxa"/>
            <w:tcMar>
              <w:left w:w="115" w:type="dxa"/>
              <w:right w:w="576" w:type="dxa"/>
            </w:tcMar>
            <w:vAlign w:val="bottom"/>
          </w:tcPr>
          <w:p w14:paraId="3CC6C116" w14:textId="77777777" w:rsidR="00D8365A" w:rsidRPr="00362517" w:rsidRDefault="00D8365A" w:rsidP="00BF6BC7">
            <w:pPr>
              <w:tabs>
                <w:tab w:val="decimal" w:pos="627"/>
              </w:tabs>
              <w:ind w:right="-439"/>
              <w:rPr>
                <w:sz w:val="22"/>
                <w:szCs w:val="22"/>
              </w:rPr>
            </w:pPr>
            <w:r w:rsidRPr="00362517">
              <w:rPr>
                <w:sz w:val="22"/>
                <w:szCs w:val="22"/>
              </w:rPr>
              <w:t>10.3</w:t>
            </w:r>
          </w:p>
        </w:tc>
        <w:tc>
          <w:tcPr>
            <w:tcW w:w="1239" w:type="dxa"/>
            <w:tcMar>
              <w:left w:w="115" w:type="dxa"/>
              <w:right w:w="576" w:type="dxa"/>
            </w:tcMar>
            <w:vAlign w:val="bottom"/>
          </w:tcPr>
          <w:p w14:paraId="2FEA466E"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499CB0D8" w14:textId="77777777" w:rsidR="00D8365A" w:rsidRPr="00362517" w:rsidRDefault="00D8365A" w:rsidP="00BF6BC7">
            <w:pPr>
              <w:tabs>
                <w:tab w:val="decimal" w:pos="489"/>
              </w:tabs>
              <w:ind w:right="-301"/>
              <w:rPr>
                <w:sz w:val="22"/>
                <w:szCs w:val="22"/>
              </w:rPr>
            </w:pPr>
            <w:r w:rsidRPr="00362517">
              <w:rPr>
                <w:sz w:val="22"/>
                <w:szCs w:val="22"/>
              </w:rPr>
              <w:t>0.0</w:t>
            </w:r>
          </w:p>
        </w:tc>
      </w:tr>
      <w:tr w:rsidR="00D8365A" w:rsidRPr="00362517" w14:paraId="7B48ADC4" w14:textId="77777777" w:rsidTr="007A2164">
        <w:tc>
          <w:tcPr>
            <w:tcW w:w="1525" w:type="dxa"/>
          </w:tcPr>
          <w:p w14:paraId="79D4FB7D" w14:textId="77777777" w:rsidR="00D8365A" w:rsidRPr="00362517" w:rsidRDefault="00D8365A" w:rsidP="00BF6BC7">
            <w:pPr>
              <w:rPr>
                <w:sz w:val="22"/>
                <w:szCs w:val="22"/>
              </w:rPr>
            </w:pPr>
            <w:r w:rsidRPr="00362517">
              <w:rPr>
                <w:sz w:val="22"/>
                <w:szCs w:val="22"/>
              </w:rPr>
              <w:t>Connecticut</w:t>
            </w:r>
            <w:r w:rsidRPr="00362517">
              <w:rPr>
                <w:sz w:val="22"/>
                <w:szCs w:val="22"/>
                <w:vertAlign w:val="superscript"/>
              </w:rPr>
              <w:t xml:space="preserve"> 2</w:t>
            </w:r>
          </w:p>
        </w:tc>
        <w:tc>
          <w:tcPr>
            <w:tcW w:w="1464" w:type="dxa"/>
            <w:tcMar>
              <w:left w:w="115" w:type="dxa"/>
              <w:right w:w="576" w:type="dxa"/>
            </w:tcMar>
            <w:vAlign w:val="bottom"/>
          </w:tcPr>
          <w:p w14:paraId="7AC0F34D" w14:textId="77777777" w:rsidR="00D8365A" w:rsidRPr="00362517" w:rsidRDefault="00D8365A" w:rsidP="00BF6BC7">
            <w:pPr>
              <w:tabs>
                <w:tab w:val="decimal" w:pos="965"/>
              </w:tabs>
              <w:ind w:right="-462"/>
              <w:rPr>
                <w:sz w:val="22"/>
                <w:szCs w:val="22"/>
              </w:rPr>
            </w:pPr>
            <w:r w:rsidRPr="00362517">
              <w:rPr>
                <w:sz w:val="22"/>
                <w:szCs w:val="22"/>
              </w:rPr>
              <w:t>54</w:t>
            </w:r>
          </w:p>
        </w:tc>
        <w:tc>
          <w:tcPr>
            <w:tcW w:w="1416" w:type="dxa"/>
            <w:vAlign w:val="bottom"/>
          </w:tcPr>
          <w:p w14:paraId="5742CBC7" w14:textId="77777777" w:rsidR="00D8365A" w:rsidRPr="00362517" w:rsidRDefault="00D8365A" w:rsidP="00BF6BC7">
            <w:pPr>
              <w:tabs>
                <w:tab w:val="decimal" w:pos="858"/>
              </w:tabs>
              <w:rPr>
                <w:sz w:val="22"/>
                <w:szCs w:val="22"/>
              </w:rPr>
            </w:pPr>
            <w:r w:rsidRPr="00362517">
              <w:rPr>
                <w:sz w:val="22"/>
                <w:szCs w:val="22"/>
              </w:rPr>
              <w:t>17</w:t>
            </w:r>
          </w:p>
        </w:tc>
        <w:tc>
          <w:tcPr>
            <w:tcW w:w="1238" w:type="dxa"/>
            <w:tcMar>
              <w:left w:w="115" w:type="dxa"/>
              <w:right w:w="576" w:type="dxa"/>
            </w:tcMar>
            <w:vAlign w:val="bottom"/>
          </w:tcPr>
          <w:p w14:paraId="38908668" w14:textId="77777777" w:rsidR="00D8365A" w:rsidRPr="00362517" w:rsidRDefault="00D8365A" w:rsidP="00BF6BC7">
            <w:pPr>
              <w:tabs>
                <w:tab w:val="decimal" w:pos="605"/>
              </w:tabs>
              <w:ind w:right="-418"/>
              <w:rPr>
                <w:sz w:val="22"/>
                <w:szCs w:val="22"/>
              </w:rPr>
            </w:pPr>
            <w:r w:rsidRPr="00362517">
              <w:rPr>
                <w:sz w:val="22"/>
                <w:szCs w:val="22"/>
              </w:rPr>
              <w:t>0.0</w:t>
            </w:r>
          </w:p>
        </w:tc>
        <w:tc>
          <w:tcPr>
            <w:tcW w:w="1239" w:type="dxa"/>
            <w:tcMar>
              <w:left w:w="115" w:type="dxa"/>
              <w:right w:w="576" w:type="dxa"/>
            </w:tcMar>
            <w:vAlign w:val="bottom"/>
          </w:tcPr>
          <w:p w14:paraId="1B8119F4" w14:textId="77777777" w:rsidR="00D8365A" w:rsidRPr="00362517" w:rsidRDefault="00D8365A" w:rsidP="00BF6BC7">
            <w:pPr>
              <w:tabs>
                <w:tab w:val="decimal" w:pos="627"/>
              </w:tabs>
              <w:ind w:right="-439"/>
              <w:rPr>
                <w:sz w:val="22"/>
                <w:szCs w:val="22"/>
              </w:rPr>
            </w:pPr>
            <w:r w:rsidRPr="00362517">
              <w:rPr>
                <w:sz w:val="22"/>
                <w:szCs w:val="22"/>
              </w:rPr>
              <w:t>0.0</w:t>
            </w:r>
          </w:p>
        </w:tc>
        <w:tc>
          <w:tcPr>
            <w:tcW w:w="1239" w:type="dxa"/>
            <w:tcMar>
              <w:left w:w="115" w:type="dxa"/>
              <w:right w:w="576" w:type="dxa"/>
            </w:tcMar>
            <w:vAlign w:val="bottom"/>
          </w:tcPr>
          <w:p w14:paraId="42CD54C5"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5A39ED12" w14:textId="77777777" w:rsidR="00D8365A" w:rsidRPr="00362517" w:rsidRDefault="00D8365A" w:rsidP="00BF6BC7">
            <w:pPr>
              <w:tabs>
                <w:tab w:val="decimal" w:pos="489"/>
              </w:tabs>
              <w:ind w:right="-301"/>
              <w:rPr>
                <w:sz w:val="22"/>
                <w:szCs w:val="22"/>
              </w:rPr>
            </w:pPr>
            <w:r w:rsidRPr="00362517">
              <w:rPr>
                <w:sz w:val="22"/>
                <w:szCs w:val="22"/>
              </w:rPr>
              <w:t>0.0</w:t>
            </w:r>
          </w:p>
        </w:tc>
      </w:tr>
      <w:tr w:rsidR="00D8365A" w:rsidRPr="00362517" w14:paraId="1ECBA819" w14:textId="77777777" w:rsidTr="007A2164">
        <w:tc>
          <w:tcPr>
            <w:tcW w:w="1525" w:type="dxa"/>
          </w:tcPr>
          <w:p w14:paraId="2E3F3D6D" w14:textId="77777777" w:rsidR="00D8365A" w:rsidRPr="00362517" w:rsidRDefault="00D8365A" w:rsidP="00BF6BC7">
            <w:pPr>
              <w:rPr>
                <w:sz w:val="22"/>
                <w:szCs w:val="22"/>
              </w:rPr>
            </w:pPr>
            <w:r w:rsidRPr="00362517">
              <w:rPr>
                <w:sz w:val="22"/>
                <w:szCs w:val="22"/>
              </w:rPr>
              <w:t>Delaware</w:t>
            </w:r>
            <w:r w:rsidRPr="00362517">
              <w:rPr>
                <w:sz w:val="22"/>
                <w:szCs w:val="22"/>
                <w:vertAlign w:val="superscript"/>
              </w:rPr>
              <w:t xml:space="preserve"> 2</w:t>
            </w:r>
          </w:p>
        </w:tc>
        <w:tc>
          <w:tcPr>
            <w:tcW w:w="1464" w:type="dxa"/>
            <w:tcMar>
              <w:left w:w="115" w:type="dxa"/>
              <w:right w:w="576" w:type="dxa"/>
            </w:tcMar>
            <w:vAlign w:val="bottom"/>
          </w:tcPr>
          <w:p w14:paraId="4B2456F0" w14:textId="77777777" w:rsidR="00D8365A" w:rsidRPr="00362517" w:rsidRDefault="00D8365A" w:rsidP="00BF6BC7">
            <w:pPr>
              <w:tabs>
                <w:tab w:val="decimal" w:pos="965"/>
              </w:tabs>
              <w:ind w:right="-462"/>
              <w:rPr>
                <w:sz w:val="22"/>
                <w:szCs w:val="22"/>
              </w:rPr>
            </w:pPr>
            <w:r w:rsidRPr="00362517">
              <w:rPr>
                <w:sz w:val="22"/>
                <w:szCs w:val="22"/>
              </w:rPr>
              <w:t>261</w:t>
            </w:r>
          </w:p>
        </w:tc>
        <w:tc>
          <w:tcPr>
            <w:tcW w:w="1416" w:type="dxa"/>
            <w:vAlign w:val="bottom"/>
          </w:tcPr>
          <w:p w14:paraId="4C2814F2" w14:textId="77777777" w:rsidR="00D8365A" w:rsidRPr="00362517" w:rsidRDefault="00D8365A" w:rsidP="00BF6BC7">
            <w:pPr>
              <w:tabs>
                <w:tab w:val="decimal" w:pos="858"/>
              </w:tabs>
              <w:rPr>
                <w:sz w:val="22"/>
                <w:szCs w:val="22"/>
              </w:rPr>
            </w:pPr>
            <w:r w:rsidRPr="00362517">
              <w:rPr>
                <w:sz w:val="22"/>
                <w:szCs w:val="22"/>
              </w:rPr>
              <w:t>90</w:t>
            </w:r>
          </w:p>
        </w:tc>
        <w:tc>
          <w:tcPr>
            <w:tcW w:w="1238" w:type="dxa"/>
            <w:tcMar>
              <w:left w:w="115" w:type="dxa"/>
              <w:right w:w="576" w:type="dxa"/>
            </w:tcMar>
            <w:vAlign w:val="bottom"/>
          </w:tcPr>
          <w:p w14:paraId="38B86700" w14:textId="77777777" w:rsidR="00D8365A" w:rsidRPr="00362517" w:rsidRDefault="00D8365A" w:rsidP="00BF6BC7">
            <w:pPr>
              <w:tabs>
                <w:tab w:val="decimal" w:pos="605"/>
              </w:tabs>
              <w:ind w:right="-418"/>
              <w:rPr>
                <w:sz w:val="22"/>
                <w:szCs w:val="22"/>
              </w:rPr>
            </w:pPr>
            <w:r w:rsidRPr="00362517">
              <w:rPr>
                <w:sz w:val="22"/>
                <w:szCs w:val="22"/>
              </w:rPr>
              <w:t>0.0</w:t>
            </w:r>
          </w:p>
        </w:tc>
        <w:tc>
          <w:tcPr>
            <w:tcW w:w="1239" w:type="dxa"/>
            <w:tcMar>
              <w:left w:w="115" w:type="dxa"/>
              <w:right w:w="576" w:type="dxa"/>
            </w:tcMar>
            <w:vAlign w:val="bottom"/>
          </w:tcPr>
          <w:p w14:paraId="155431BC" w14:textId="77777777" w:rsidR="00D8365A" w:rsidRPr="00362517" w:rsidRDefault="00D8365A" w:rsidP="00BF6BC7">
            <w:pPr>
              <w:tabs>
                <w:tab w:val="decimal" w:pos="627"/>
              </w:tabs>
              <w:ind w:right="-439"/>
              <w:rPr>
                <w:sz w:val="22"/>
                <w:szCs w:val="22"/>
              </w:rPr>
            </w:pPr>
            <w:r w:rsidRPr="00362517">
              <w:rPr>
                <w:sz w:val="22"/>
                <w:szCs w:val="22"/>
              </w:rPr>
              <w:t>0.0</w:t>
            </w:r>
          </w:p>
        </w:tc>
        <w:tc>
          <w:tcPr>
            <w:tcW w:w="1239" w:type="dxa"/>
            <w:tcMar>
              <w:left w:w="115" w:type="dxa"/>
              <w:right w:w="576" w:type="dxa"/>
            </w:tcMar>
            <w:vAlign w:val="bottom"/>
          </w:tcPr>
          <w:p w14:paraId="5A04BEC1"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0316DA91" w14:textId="77777777" w:rsidR="00D8365A" w:rsidRPr="00362517" w:rsidRDefault="00D8365A" w:rsidP="00BF6BC7">
            <w:pPr>
              <w:tabs>
                <w:tab w:val="decimal" w:pos="489"/>
              </w:tabs>
              <w:ind w:right="-301"/>
              <w:rPr>
                <w:sz w:val="22"/>
                <w:szCs w:val="22"/>
              </w:rPr>
            </w:pPr>
            <w:r w:rsidRPr="00362517">
              <w:rPr>
                <w:sz w:val="22"/>
                <w:szCs w:val="22"/>
              </w:rPr>
              <w:t>0.0</w:t>
            </w:r>
          </w:p>
        </w:tc>
      </w:tr>
      <w:tr w:rsidR="00D8365A" w:rsidRPr="00362517" w14:paraId="206A64D5" w14:textId="77777777" w:rsidTr="007A2164">
        <w:tc>
          <w:tcPr>
            <w:tcW w:w="1525" w:type="dxa"/>
          </w:tcPr>
          <w:p w14:paraId="05FC7C23" w14:textId="77777777" w:rsidR="00D8365A" w:rsidRPr="00362517" w:rsidRDefault="00D8365A" w:rsidP="00BF6BC7">
            <w:pPr>
              <w:rPr>
                <w:sz w:val="22"/>
                <w:szCs w:val="22"/>
              </w:rPr>
            </w:pPr>
            <w:r w:rsidRPr="00362517">
              <w:rPr>
                <w:sz w:val="22"/>
                <w:szCs w:val="22"/>
              </w:rPr>
              <w:t>Florida</w:t>
            </w:r>
          </w:p>
        </w:tc>
        <w:tc>
          <w:tcPr>
            <w:tcW w:w="1464" w:type="dxa"/>
            <w:tcMar>
              <w:left w:w="115" w:type="dxa"/>
              <w:right w:w="576" w:type="dxa"/>
            </w:tcMar>
            <w:vAlign w:val="bottom"/>
          </w:tcPr>
          <w:p w14:paraId="423305E9" w14:textId="77777777" w:rsidR="00D8365A" w:rsidRPr="00362517" w:rsidRDefault="00D8365A" w:rsidP="00BF6BC7">
            <w:pPr>
              <w:tabs>
                <w:tab w:val="decimal" w:pos="965"/>
              </w:tabs>
              <w:ind w:right="-462"/>
              <w:rPr>
                <w:sz w:val="22"/>
                <w:szCs w:val="22"/>
              </w:rPr>
            </w:pPr>
            <w:r w:rsidRPr="00362517">
              <w:rPr>
                <w:sz w:val="22"/>
                <w:szCs w:val="22"/>
              </w:rPr>
              <w:t>519</w:t>
            </w:r>
          </w:p>
        </w:tc>
        <w:tc>
          <w:tcPr>
            <w:tcW w:w="1416" w:type="dxa"/>
            <w:vAlign w:val="bottom"/>
          </w:tcPr>
          <w:p w14:paraId="3A768227" w14:textId="77777777" w:rsidR="00D8365A" w:rsidRPr="00362517" w:rsidRDefault="00D8365A" w:rsidP="00BF6BC7">
            <w:pPr>
              <w:tabs>
                <w:tab w:val="decimal" w:pos="858"/>
              </w:tabs>
              <w:rPr>
                <w:sz w:val="22"/>
                <w:szCs w:val="22"/>
              </w:rPr>
            </w:pPr>
            <w:r w:rsidRPr="00362517">
              <w:rPr>
                <w:sz w:val="22"/>
                <w:szCs w:val="22"/>
              </w:rPr>
              <w:t>159</w:t>
            </w:r>
          </w:p>
        </w:tc>
        <w:tc>
          <w:tcPr>
            <w:tcW w:w="1238" w:type="dxa"/>
            <w:tcMar>
              <w:left w:w="115" w:type="dxa"/>
              <w:right w:w="576" w:type="dxa"/>
            </w:tcMar>
            <w:vAlign w:val="bottom"/>
          </w:tcPr>
          <w:p w14:paraId="6F6BE915" w14:textId="77777777" w:rsidR="00D8365A" w:rsidRPr="00362517" w:rsidRDefault="00D8365A" w:rsidP="00BF6BC7">
            <w:pPr>
              <w:tabs>
                <w:tab w:val="decimal" w:pos="605"/>
              </w:tabs>
              <w:ind w:right="-418"/>
              <w:rPr>
                <w:sz w:val="22"/>
                <w:szCs w:val="22"/>
              </w:rPr>
            </w:pPr>
            <w:r w:rsidRPr="00362517">
              <w:rPr>
                <w:sz w:val="22"/>
                <w:szCs w:val="22"/>
              </w:rPr>
              <w:t>10.0</w:t>
            </w:r>
          </w:p>
        </w:tc>
        <w:tc>
          <w:tcPr>
            <w:tcW w:w="1239" w:type="dxa"/>
            <w:tcMar>
              <w:left w:w="115" w:type="dxa"/>
              <w:right w:w="576" w:type="dxa"/>
            </w:tcMar>
            <w:vAlign w:val="bottom"/>
          </w:tcPr>
          <w:p w14:paraId="19D9BF72" w14:textId="77777777" w:rsidR="00D8365A" w:rsidRPr="00362517" w:rsidRDefault="00D8365A" w:rsidP="00BF6BC7">
            <w:pPr>
              <w:tabs>
                <w:tab w:val="decimal" w:pos="627"/>
              </w:tabs>
              <w:ind w:right="-439"/>
              <w:rPr>
                <w:sz w:val="22"/>
                <w:szCs w:val="22"/>
              </w:rPr>
            </w:pPr>
            <w:r w:rsidRPr="00362517">
              <w:rPr>
                <w:sz w:val="22"/>
                <w:szCs w:val="22"/>
              </w:rPr>
              <w:t>14.1</w:t>
            </w:r>
          </w:p>
        </w:tc>
        <w:tc>
          <w:tcPr>
            <w:tcW w:w="1239" w:type="dxa"/>
            <w:tcMar>
              <w:left w:w="115" w:type="dxa"/>
              <w:right w:w="576" w:type="dxa"/>
            </w:tcMar>
            <w:vAlign w:val="bottom"/>
          </w:tcPr>
          <w:p w14:paraId="519232C8"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70B30F99" w14:textId="77777777" w:rsidR="00D8365A" w:rsidRPr="00362517" w:rsidRDefault="00D8365A" w:rsidP="00BF6BC7">
            <w:pPr>
              <w:tabs>
                <w:tab w:val="decimal" w:pos="489"/>
              </w:tabs>
              <w:ind w:right="-301"/>
              <w:rPr>
                <w:sz w:val="22"/>
                <w:szCs w:val="22"/>
              </w:rPr>
            </w:pPr>
            <w:r w:rsidRPr="00362517">
              <w:rPr>
                <w:sz w:val="22"/>
                <w:szCs w:val="22"/>
              </w:rPr>
              <w:t>0.1</w:t>
            </w:r>
          </w:p>
        </w:tc>
      </w:tr>
      <w:tr w:rsidR="00D8365A" w:rsidRPr="00362517" w14:paraId="7E2460E9" w14:textId="77777777" w:rsidTr="007A2164">
        <w:tc>
          <w:tcPr>
            <w:tcW w:w="1525" w:type="dxa"/>
          </w:tcPr>
          <w:p w14:paraId="2CAB09C9" w14:textId="77777777" w:rsidR="00D8365A" w:rsidRPr="00362517" w:rsidRDefault="00D8365A" w:rsidP="00BF6BC7">
            <w:pPr>
              <w:rPr>
                <w:sz w:val="22"/>
                <w:szCs w:val="22"/>
              </w:rPr>
            </w:pPr>
            <w:r w:rsidRPr="00362517">
              <w:rPr>
                <w:sz w:val="22"/>
                <w:szCs w:val="22"/>
              </w:rPr>
              <w:t>Georgia</w:t>
            </w:r>
          </w:p>
        </w:tc>
        <w:tc>
          <w:tcPr>
            <w:tcW w:w="1464" w:type="dxa"/>
            <w:tcMar>
              <w:left w:w="115" w:type="dxa"/>
              <w:right w:w="576" w:type="dxa"/>
            </w:tcMar>
            <w:vAlign w:val="bottom"/>
          </w:tcPr>
          <w:p w14:paraId="38A325A8" w14:textId="77777777" w:rsidR="00D8365A" w:rsidRPr="00362517" w:rsidRDefault="00D8365A" w:rsidP="00BF6BC7">
            <w:pPr>
              <w:tabs>
                <w:tab w:val="decimal" w:pos="965"/>
              </w:tabs>
              <w:ind w:right="-462"/>
              <w:rPr>
                <w:sz w:val="22"/>
                <w:szCs w:val="22"/>
              </w:rPr>
            </w:pPr>
            <w:r w:rsidRPr="00362517">
              <w:rPr>
                <w:sz w:val="22"/>
                <w:szCs w:val="22"/>
              </w:rPr>
              <w:t>3,882</w:t>
            </w:r>
          </w:p>
        </w:tc>
        <w:tc>
          <w:tcPr>
            <w:tcW w:w="1416" w:type="dxa"/>
            <w:vAlign w:val="bottom"/>
          </w:tcPr>
          <w:p w14:paraId="65E87C5D" w14:textId="77777777" w:rsidR="00D8365A" w:rsidRPr="00362517" w:rsidRDefault="00D8365A" w:rsidP="00BF6BC7">
            <w:pPr>
              <w:tabs>
                <w:tab w:val="decimal" w:pos="858"/>
              </w:tabs>
              <w:rPr>
                <w:sz w:val="22"/>
                <w:szCs w:val="22"/>
              </w:rPr>
            </w:pPr>
            <w:r w:rsidRPr="00362517">
              <w:rPr>
                <w:sz w:val="22"/>
                <w:szCs w:val="22"/>
              </w:rPr>
              <w:t>1,228</w:t>
            </w:r>
          </w:p>
        </w:tc>
        <w:tc>
          <w:tcPr>
            <w:tcW w:w="1238" w:type="dxa"/>
            <w:tcMar>
              <w:left w:w="115" w:type="dxa"/>
              <w:right w:w="576" w:type="dxa"/>
            </w:tcMar>
            <w:vAlign w:val="bottom"/>
          </w:tcPr>
          <w:p w14:paraId="22F7EFED" w14:textId="77777777" w:rsidR="00D8365A" w:rsidRPr="00362517" w:rsidRDefault="00D8365A" w:rsidP="00BF6BC7">
            <w:pPr>
              <w:tabs>
                <w:tab w:val="decimal" w:pos="605"/>
              </w:tabs>
              <w:ind w:right="-418"/>
              <w:rPr>
                <w:sz w:val="22"/>
                <w:szCs w:val="22"/>
              </w:rPr>
            </w:pPr>
            <w:r w:rsidRPr="00362517">
              <w:rPr>
                <w:sz w:val="22"/>
                <w:szCs w:val="22"/>
              </w:rPr>
              <w:t>8.2</w:t>
            </w:r>
          </w:p>
        </w:tc>
        <w:tc>
          <w:tcPr>
            <w:tcW w:w="1239" w:type="dxa"/>
            <w:tcMar>
              <w:left w:w="115" w:type="dxa"/>
              <w:right w:w="576" w:type="dxa"/>
            </w:tcMar>
            <w:vAlign w:val="bottom"/>
          </w:tcPr>
          <w:p w14:paraId="1CBC1F68" w14:textId="77777777" w:rsidR="00D8365A" w:rsidRPr="00362517" w:rsidRDefault="00D8365A" w:rsidP="00BF6BC7">
            <w:pPr>
              <w:tabs>
                <w:tab w:val="decimal" w:pos="627"/>
              </w:tabs>
              <w:ind w:right="-439"/>
              <w:rPr>
                <w:sz w:val="22"/>
                <w:szCs w:val="22"/>
              </w:rPr>
            </w:pPr>
            <w:r w:rsidRPr="00362517">
              <w:rPr>
                <w:sz w:val="22"/>
                <w:szCs w:val="22"/>
              </w:rPr>
              <w:t>11.6</w:t>
            </w:r>
          </w:p>
        </w:tc>
        <w:tc>
          <w:tcPr>
            <w:tcW w:w="1239" w:type="dxa"/>
            <w:tcMar>
              <w:left w:w="115" w:type="dxa"/>
              <w:right w:w="576" w:type="dxa"/>
            </w:tcMar>
            <w:vAlign w:val="bottom"/>
          </w:tcPr>
          <w:p w14:paraId="780D971E" w14:textId="77777777" w:rsidR="00D8365A" w:rsidRPr="00362517" w:rsidRDefault="00D8365A" w:rsidP="00BF6BC7">
            <w:pPr>
              <w:tabs>
                <w:tab w:val="decimal" w:pos="558"/>
              </w:tabs>
              <w:ind w:right="-370"/>
              <w:rPr>
                <w:sz w:val="22"/>
                <w:szCs w:val="22"/>
              </w:rPr>
            </w:pPr>
            <w:r w:rsidRPr="00362517">
              <w:rPr>
                <w:sz w:val="22"/>
                <w:szCs w:val="22"/>
              </w:rPr>
              <w:t>0.4</w:t>
            </w:r>
          </w:p>
        </w:tc>
        <w:tc>
          <w:tcPr>
            <w:tcW w:w="1239" w:type="dxa"/>
            <w:tcMar>
              <w:left w:w="115" w:type="dxa"/>
              <w:right w:w="576" w:type="dxa"/>
            </w:tcMar>
            <w:vAlign w:val="bottom"/>
          </w:tcPr>
          <w:p w14:paraId="3C6B5EE6" w14:textId="77777777" w:rsidR="00D8365A" w:rsidRPr="00362517" w:rsidRDefault="00D8365A" w:rsidP="00BF6BC7">
            <w:pPr>
              <w:tabs>
                <w:tab w:val="decimal" w:pos="489"/>
              </w:tabs>
              <w:ind w:right="-301"/>
              <w:rPr>
                <w:sz w:val="22"/>
                <w:szCs w:val="22"/>
              </w:rPr>
            </w:pPr>
            <w:r w:rsidRPr="00362517">
              <w:rPr>
                <w:sz w:val="22"/>
                <w:szCs w:val="22"/>
              </w:rPr>
              <w:t>1.7</w:t>
            </w:r>
          </w:p>
        </w:tc>
      </w:tr>
      <w:tr w:rsidR="00D8365A" w:rsidRPr="00362517" w14:paraId="2E20480E" w14:textId="77777777" w:rsidTr="007A2164">
        <w:tc>
          <w:tcPr>
            <w:tcW w:w="1525" w:type="dxa"/>
          </w:tcPr>
          <w:p w14:paraId="54A6D629" w14:textId="77777777" w:rsidR="00D8365A" w:rsidRPr="00362517" w:rsidRDefault="00D8365A" w:rsidP="00BF6BC7">
            <w:pPr>
              <w:rPr>
                <w:sz w:val="22"/>
                <w:szCs w:val="22"/>
              </w:rPr>
            </w:pPr>
            <w:r w:rsidRPr="00362517">
              <w:rPr>
                <w:sz w:val="22"/>
                <w:szCs w:val="22"/>
              </w:rPr>
              <w:t>Hawaii</w:t>
            </w:r>
          </w:p>
        </w:tc>
        <w:tc>
          <w:tcPr>
            <w:tcW w:w="1464" w:type="dxa"/>
            <w:tcMar>
              <w:left w:w="115" w:type="dxa"/>
              <w:right w:w="576" w:type="dxa"/>
            </w:tcMar>
            <w:vAlign w:val="bottom"/>
          </w:tcPr>
          <w:p w14:paraId="1F72C521" w14:textId="77777777" w:rsidR="00D8365A" w:rsidRPr="00362517" w:rsidRDefault="00D8365A" w:rsidP="00BF6BC7">
            <w:pPr>
              <w:tabs>
                <w:tab w:val="decimal" w:pos="965"/>
              </w:tabs>
              <w:ind w:right="-462"/>
              <w:rPr>
                <w:sz w:val="22"/>
                <w:szCs w:val="22"/>
              </w:rPr>
            </w:pPr>
            <w:r w:rsidRPr="00362517">
              <w:rPr>
                <w:sz w:val="22"/>
                <w:szCs w:val="22"/>
              </w:rPr>
              <w:t>33</w:t>
            </w:r>
          </w:p>
        </w:tc>
        <w:tc>
          <w:tcPr>
            <w:tcW w:w="1416" w:type="dxa"/>
            <w:vAlign w:val="bottom"/>
          </w:tcPr>
          <w:p w14:paraId="11013B7D" w14:textId="77777777" w:rsidR="00D8365A" w:rsidRPr="00362517" w:rsidRDefault="00D8365A" w:rsidP="00BF6BC7">
            <w:pPr>
              <w:tabs>
                <w:tab w:val="decimal" w:pos="858"/>
              </w:tabs>
              <w:rPr>
                <w:sz w:val="22"/>
                <w:szCs w:val="22"/>
              </w:rPr>
            </w:pPr>
            <w:r w:rsidRPr="00362517">
              <w:rPr>
                <w:sz w:val="22"/>
                <w:szCs w:val="22"/>
              </w:rPr>
              <w:t>10</w:t>
            </w:r>
          </w:p>
        </w:tc>
        <w:tc>
          <w:tcPr>
            <w:tcW w:w="1238" w:type="dxa"/>
            <w:tcMar>
              <w:left w:w="115" w:type="dxa"/>
              <w:right w:w="576" w:type="dxa"/>
            </w:tcMar>
            <w:vAlign w:val="bottom"/>
          </w:tcPr>
          <w:p w14:paraId="7753DC3C" w14:textId="77777777" w:rsidR="00D8365A" w:rsidRPr="00362517" w:rsidRDefault="00D8365A" w:rsidP="00BF6BC7">
            <w:pPr>
              <w:tabs>
                <w:tab w:val="decimal" w:pos="605"/>
              </w:tabs>
              <w:ind w:right="-418"/>
              <w:rPr>
                <w:sz w:val="22"/>
                <w:szCs w:val="22"/>
              </w:rPr>
            </w:pPr>
            <w:r w:rsidRPr="00362517">
              <w:rPr>
                <w:sz w:val="22"/>
                <w:szCs w:val="22"/>
              </w:rPr>
              <w:t>0.7</w:t>
            </w:r>
          </w:p>
        </w:tc>
        <w:tc>
          <w:tcPr>
            <w:tcW w:w="1239" w:type="dxa"/>
            <w:tcMar>
              <w:left w:w="115" w:type="dxa"/>
              <w:right w:w="576" w:type="dxa"/>
            </w:tcMar>
            <w:vAlign w:val="bottom"/>
          </w:tcPr>
          <w:p w14:paraId="6734E1FB" w14:textId="77777777" w:rsidR="00D8365A" w:rsidRPr="00362517" w:rsidRDefault="00D8365A" w:rsidP="00BF6BC7">
            <w:pPr>
              <w:tabs>
                <w:tab w:val="decimal" w:pos="627"/>
              </w:tabs>
              <w:ind w:right="-439"/>
              <w:rPr>
                <w:sz w:val="22"/>
                <w:szCs w:val="22"/>
              </w:rPr>
            </w:pPr>
            <w:r w:rsidRPr="00362517">
              <w:rPr>
                <w:sz w:val="22"/>
                <w:szCs w:val="22"/>
              </w:rPr>
              <w:t>1.1</w:t>
            </w:r>
          </w:p>
        </w:tc>
        <w:tc>
          <w:tcPr>
            <w:tcW w:w="1239" w:type="dxa"/>
            <w:tcMar>
              <w:left w:w="115" w:type="dxa"/>
              <w:right w:w="576" w:type="dxa"/>
            </w:tcMar>
            <w:vAlign w:val="bottom"/>
          </w:tcPr>
          <w:p w14:paraId="72CE4182"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6DB40492" w14:textId="77777777" w:rsidR="00D8365A" w:rsidRPr="00362517" w:rsidRDefault="00D8365A" w:rsidP="00BF6BC7">
            <w:pPr>
              <w:tabs>
                <w:tab w:val="decimal" w:pos="489"/>
              </w:tabs>
              <w:ind w:right="-301"/>
              <w:rPr>
                <w:sz w:val="22"/>
                <w:szCs w:val="22"/>
              </w:rPr>
            </w:pPr>
            <w:r w:rsidRPr="00362517">
              <w:rPr>
                <w:sz w:val="22"/>
                <w:szCs w:val="22"/>
              </w:rPr>
              <w:t>0.0</w:t>
            </w:r>
          </w:p>
        </w:tc>
      </w:tr>
      <w:tr w:rsidR="00D8365A" w:rsidRPr="00362517" w14:paraId="6EAD384A" w14:textId="77777777" w:rsidTr="007A2164">
        <w:tc>
          <w:tcPr>
            <w:tcW w:w="1525" w:type="dxa"/>
          </w:tcPr>
          <w:p w14:paraId="27791409" w14:textId="77777777" w:rsidR="00D8365A" w:rsidRPr="00362517" w:rsidRDefault="00D8365A" w:rsidP="00BF6BC7">
            <w:pPr>
              <w:rPr>
                <w:sz w:val="22"/>
                <w:szCs w:val="22"/>
              </w:rPr>
            </w:pPr>
            <w:r w:rsidRPr="00362517">
              <w:rPr>
                <w:sz w:val="22"/>
                <w:szCs w:val="22"/>
              </w:rPr>
              <w:t>Idaho</w:t>
            </w:r>
          </w:p>
        </w:tc>
        <w:tc>
          <w:tcPr>
            <w:tcW w:w="1464" w:type="dxa"/>
            <w:tcMar>
              <w:left w:w="115" w:type="dxa"/>
              <w:right w:w="576" w:type="dxa"/>
            </w:tcMar>
            <w:vAlign w:val="bottom"/>
          </w:tcPr>
          <w:p w14:paraId="6B0253AA" w14:textId="77777777" w:rsidR="00D8365A" w:rsidRPr="00362517" w:rsidRDefault="00D8365A" w:rsidP="00BF6BC7">
            <w:pPr>
              <w:tabs>
                <w:tab w:val="decimal" w:pos="965"/>
              </w:tabs>
              <w:ind w:right="-462"/>
              <w:rPr>
                <w:sz w:val="22"/>
                <w:szCs w:val="22"/>
              </w:rPr>
            </w:pPr>
            <w:r w:rsidRPr="00362517">
              <w:rPr>
                <w:sz w:val="22"/>
                <w:szCs w:val="22"/>
              </w:rPr>
              <w:t>784</w:t>
            </w:r>
          </w:p>
        </w:tc>
        <w:tc>
          <w:tcPr>
            <w:tcW w:w="1416" w:type="dxa"/>
            <w:vAlign w:val="bottom"/>
          </w:tcPr>
          <w:p w14:paraId="53509C04" w14:textId="77777777" w:rsidR="00D8365A" w:rsidRPr="00362517" w:rsidRDefault="00D8365A" w:rsidP="00BF6BC7">
            <w:pPr>
              <w:tabs>
                <w:tab w:val="decimal" w:pos="858"/>
              </w:tabs>
              <w:rPr>
                <w:sz w:val="22"/>
                <w:szCs w:val="22"/>
              </w:rPr>
            </w:pPr>
            <w:r w:rsidRPr="00362517">
              <w:rPr>
                <w:sz w:val="22"/>
                <w:szCs w:val="22"/>
              </w:rPr>
              <w:t>241</w:t>
            </w:r>
          </w:p>
        </w:tc>
        <w:tc>
          <w:tcPr>
            <w:tcW w:w="1238" w:type="dxa"/>
            <w:tcMar>
              <w:left w:w="115" w:type="dxa"/>
              <w:right w:w="576" w:type="dxa"/>
            </w:tcMar>
            <w:vAlign w:val="bottom"/>
          </w:tcPr>
          <w:p w14:paraId="567E17A6" w14:textId="77777777" w:rsidR="00D8365A" w:rsidRPr="00362517" w:rsidRDefault="00D8365A" w:rsidP="00BF6BC7">
            <w:pPr>
              <w:tabs>
                <w:tab w:val="decimal" w:pos="605"/>
              </w:tabs>
              <w:ind w:right="-418"/>
              <w:rPr>
                <w:sz w:val="22"/>
                <w:szCs w:val="22"/>
              </w:rPr>
            </w:pPr>
            <w:r w:rsidRPr="00362517">
              <w:rPr>
                <w:sz w:val="22"/>
                <w:szCs w:val="22"/>
              </w:rPr>
              <w:t>6.3</w:t>
            </w:r>
          </w:p>
        </w:tc>
        <w:tc>
          <w:tcPr>
            <w:tcW w:w="1239" w:type="dxa"/>
            <w:tcMar>
              <w:left w:w="115" w:type="dxa"/>
              <w:right w:w="576" w:type="dxa"/>
            </w:tcMar>
            <w:vAlign w:val="bottom"/>
          </w:tcPr>
          <w:p w14:paraId="3E5E1F1C" w14:textId="77777777" w:rsidR="00D8365A" w:rsidRPr="00362517" w:rsidRDefault="00D8365A" w:rsidP="00BF6BC7">
            <w:pPr>
              <w:tabs>
                <w:tab w:val="decimal" w:pos="627"/>
              </w:tabs>
              <w:ind w:right="-439"/>
              <w:rPr>
                <w:sz w:val="22"/>
                <w:szCs w:val="22"/>
              </w:rPr>
            </w:pPr>
            <w:r w:rsidRPr="00362517">
              <w:rPr>
                <w:sz w:val="22"/>
                <w:szCs w:val="22"/>
              </w:rPr>
              <w:t>8.9</w:t>
            </w:r>
          </w:p>
        </w:tc>
        <w:tc>
          <w:tcPr>
            <w:tcW w:w="1239" w:type="dxa"/>
            <w:tcMar>
              <w:left w:w="115" w:type="dxa"/>
              <w:right w:w="576" w:type="dxa"/>
            </w:tcMar>
            <w:vAlign w:val="bottom"/>
          </w:tcPr>
          <w:p w14:paraId="3BDC4CEA"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0D7F7B63" w14:textId="77777777" w:rsidR="00D8365A" w:rsidRPr="00362517" w:rsidRDefault="00D8365A" w:rsidP="00BF6BC7">
            <w:pPr>
              <w:tabs>
                <w:tab w:val="decimal" w:pos="489"/>
              </w:tabs>
              <w:ind w:right="-301"/>
              <w:rPr>
                <w:sz w:val="22"/>
                <w:szCs w:val="22"/>
              </w:rPr>
            </w:pPr>
            <w:r w:rsidRPr="00362517">
              <w:rPr>
                <w:sz w:val="22"/>
                <w:szCs w:val="22"/>
              </w:rPr>
              <w:t>0.1</w:t>
            </w:r>
          </w:p>
        </w:tc>
      </w:tr>
      <w:tr w:rsidR="00D8365A" w:rsidRPr="00362517" w14:paraId="4E29CFE5" w14:textId="77777777" w:rsidTr="007A2164">
        <w:tc>
          <w:tcPr>
            <w:tcW w:w="1525" w:type="dxa"/>
          </w:tcPr>
          <w:p w14:paraId="065558FC" w14:textId="77777777" w:rsidR="00D8365A" w:rsidRPr="00362517" w:rsidRDefault="00D8365A" w:rsidP="00BF6BC7">
            <w:pPr>
              <w:rPr>
                <w:sz w:val="22"/>
                <w:szCs w:val="22"/>
              </w:rPr>
            </w:pPr>
            <w:r w:rsidRPr="00362517">
              <w:rPr>
                <w:sz w:val="22"/>
                <w:szCs w:val="22"/>
              </w:rPr>
              <w:t>Illinois</w:t>
            </w:r>
          </w:p>
        </w:tc>
        <w:tc>
          <w:tcPr>
            <w:tcW w:w="1464" w:type="dxa"/>
            <w:tcMar>
              <w:left w:w="115" w:type="dxa"/>
              <w:right w:w="576" w:type="dxa"/>
            </w:tcMar>
            <w:vAlign w:val="bottom"/>
          </w:tcPr>
          <w:p w14:paraId="134376D1" w14:textId="77777777" w:rsidR="00D8365A" w:rsidRPr="00362517" w:rsidRDefault="00D8365A" w:rsidP="00BF6BC7">
            <w:pPr>
              <w:tabs>
                <w:tab w:val="decimal" w:pos="965"/>
              </w:tabs>
              <w:ind w:right="-462"/>
              <w:rPr>
                <w:sz w:val="22"/>
                <w:szCs w:val="22"/>
              </w:rPr>
            </w:pPr>
            <w:r w:rsidRPr="00362517">
              <w:rPr>
                <w:sz w:val="22"/>
                <w:szCs w:val="22"/>
              </w:rPr>
              <w:t>4,863</w:t>
            </w:r>
          </w:p>
        </w:tc>
        <w:tc>
          <w:tcPr>
            <w:tcW w:w="1416" w:type="dxa"/>
            <w:vAlign w:val="bottom"/>
          </w:tcPr>
          <w:p w14:paraId="1E31FD67" w14:textId="77777777" w:rsidR="00D8365A" w:rsidRPr="00362517" w:rsidRDefault="00D8365A" w:rsidP="00BF6BC7">
            <w:pPr>
              <w:tabs>
                <w:tab w:val="decimal" w:pos="858"/>
              </w:tabs>
              <w:rPr>
                <w:sz w:val="22"/>
                <w:szCs w:val="22"/>
              </w:rPr>
            </w:pPr>
            <w:r w:rsidRPr="00362517">
              <w:rPr>
                <w:sz w:val="22"/>
                <w:szCs w:val="22"/>
              </w:rPr>
              <w:t>1,476</w:t>
            </w:r>
          </w:p>
        </w:tc>
        <w:tc>
          <w:tcPr>
            <w:tcW w:w="1238" w:type="dxa"/>
            <w:tcMar>
              <w:left w:w="115" w:type="dxa"/>
              <w:right w:w="576" w:type="dxa"/>
            </w:tcMar>
            <w:vAlign w:val="bottom"/>
          </w:tcPr>
          <w:p w14:paraId="7ED32B36" w14:textId="77777777" w:rsidR="00D8365A" w:rsidRPr="00362517" w:rsidRDefault="00D8365A" w:rsidP="00BF6BC7">
            <w:pPr>
              <w:tabs>
                <w:tab w:val="decimal" w:pos="605"/>
              </w:tabs>
              <w:ind w:right="-418"/>
              <w:rPr>
                <w:sz w:val="22"/>
                <w:szCs w:val="22"/>
              </w:rPr>
            </w:pPr>
            <w:r w:rsidRPr="00362517">
              <w:rPr>
                <w:sz w:val="22"/>
                <w:szCs w:val="22"/>
              </w:rPr>
              <w:t>11.6</w:t>
            </w:r>
          </w:p>
        </w:tc>
        <w:tc>
          <w:tcPr>
            <w:tcW w:w="1239" w:type="dxa"/>
            <w:tcMar>
              <w:left w:w="115" w:type="dxa"/>
              <w:right w:w="576" w:type="dxa"/>
            </w:tcMar>
            <w:vAlign w:val="bottom"/>
          </w:tcPr>
          <w:p w14:paraId="062DABCF" w14:textId="77777777" w:rsidR="00D8365A" w:rsidRPr="00362517" w:rsidRDefault="00D8365A" w:rsidP="00BF6BC7">
            <w:pPr>
              <w:tabs>
                <w:tab w:val="decimal" w:pos="627"/>
              </w:tabs>
              <w:ind w:right="-439"/>
              <w:rPr>
                <w:sz w:val="22"/>
                <w:szCs w:val="22"/>
              </w:rPr>
            </w:pPr>
            <w:r w:rsidRPr="00362517">
              <w:rPr>
                <w:sz w:val="22"/>
                <w:szCs w:val="22"/>
              </w:rPr>
              <w:t>16.3</w:t>
            </w:r>
          </w:p>
        </w:tc>
        <w:tc>
          <w:tcPr>
            <w:tcW w:w="1239" w:type="dxa"/>
            <w:tcMar>
              <w:left w:w="115" w:type="dxa"/>
              <w:right w:w="576" w:type="dxa"/>
            </w:tcMar>
            <w:vAlign w:val="bottom"/>
          </w:tcPr>
          <w:p w14:paraId="2124DAF9" w14:textId="77777777" w:rsidR="00D8365A" w:rsidRPr="00362517" w:rsidRDefault="00D8365A" w:rsidP="00BF6BC7">
            <w:pPr>
              <w:tabs>
                <w:tab w:val="decimal" w:pos="558"/>
              </w:tabs>
              <w:ind w:right="-370"/>
              <w:rPr>
                <w:sz w:val="22"/>
                <w:szCs w:val="22"/>
              </w:rPr>
            </w:pPr>
            <w:r w:rsidRPr="00362517">
              <w:rPr>
                <w:sz w:val="22"/>
                <w:szCs w:val="22"/>
              </w:rPr>
              <w:t>0.1</w:t>
            </w:r>
          </w:p>
        </w:tc>
        <w:tc>
          <w:tcPr>
            <w:tcW w:w="1239" w:type="dxa"/>
            <w:tcMar>
              <w:left w:w="115" w:type="dxa"/>
              <w:right w:w="576" w:type="dxa"/>
            </w:tcMar>
            <w:vAlign w:val="bottom"/>
          </w:tcPr>
          <w:p w14:paraId="1DF153D5" w14:textId="77777777" w:rsidR="00D8365A" w:rsidRPr="00362517" w:rsidRDefault="00D8365A" w:rsidP="00BF6BC7">
            <w:pPr>
              <w:tabs>
                <w:tab w:val="decimal" w:pos="489"/>
              </w:tabs>
              <w:ind w:right="-301"/>
              <w:rPr>
                <w:sz w:val="22"/>
                <w:szCs w:val="22"/>
              </w:rPr>
            </w:pPr>
            <w:r w:rsidRPr="00362517">
              <w:rPr>
                <w:sz w:val="22"/>
                <w:szCs w:val="22"/>
              </w:rPr>
              <w:t>0.5</w:t>
            </w:r>
          </w:p>
        </w:tc>
      </w:tr>
      <w:tr w:rsidR="00D8365A" w:rsidRPr="00362517" w14:paraId="64044436" w14:textId="77777777" w:rsidTr="007A2164">
        <w:tc>
          <w:tcPr>
            <w:tcW w:w="1525" w:type="dxa"/>
          </w:tcPr>
          <w:p w14:paraId="351962E7" w14:textId="77777777" w:rsidR="00D8365A" w:rsidRPr="00362517" w:rsidRDefault="00D8365A" w:rsidP="00BF6BC7">
            <w:pPr>
              <w:rPr>
                <w:sz w:val="22"/>
                <w:szCs w:val="22"/>
              </w:rPr>
            </w:pPr>
            <w:r w:rsidRPr="00362517">
              <w:rPr>
                <w:sz w:val="22"/>
                <w:szCs w:val="22"/>
              </w:rPr>
              <w:t>Indiana</w:t>
            </w:r>
          </w:p>
        </w:tc>
        <w:tc>
          <w:tcPr>
            <w:tcW w:w="1464" w:type="dxa"/>
            <w:tcMar>
              <w:left w:w="115" w:type="dxa"/>
              <w:right w:w="576" w:type="dxa"/>
            </w:tcMar>
            <w:vAlign w:val="bottom"/>
          </w:tcPr>
          <w:p w14:paraId="29F4022C" w14:textId="77777777" w:rsidR="00D8365A" w:rsidRPr="00362517" w:rsidRDefault="00D8365A" w:rsidP="00BF6BC7">
            <w:pPr>
              <w:tabs>
                <w:tab w:val="decimal" w:pos="965"/>
              </w:tabs>
              <w:ind w:right="-462"/>
              <w:rPr>
                <w:sz w:val="22"/>
                <w:szCs w:val="22"/>
              </w:rPr>
            </w:pPr>
            <w:r w:rsidRPr="00362517">
              <w:rPr>
                <w:sz w:val="22"/>
                <w:szCs w:val="22"/>
              </w:rPr>
              <w:t>3,042</w:t>
            </w:r>
          </w:p>
        </w:tc>
        <w:tc>
          <w:tcPr>
            <w:tcW w:w="1416" w:type="dxa"/>
            <w:vAlign w:val="bottom"/>
          </w:tcPr>
          <w:p w14:paraId="11042C0D" w14:textId="77777777" w:rsidR="00D8365A" w:rsidRPr="00362517" w:rsidRDefault="00D8365A" w:rsidP="00BF6BC7">
            <w:pPr>
              <w:tabs>
                <w:tab w:val="decimal" w:pos="858"/>
              </w:tabs>
              <w:rPr>
                <w:sz w:val="22"/>
                <w:szCs w:val="22"/>
              </w:rPr>
            </w:pPr>
            <w:r w:rsidRPr="00362517">
              <w:rPr>
                <w:sz w:val="22"/>
                <w:szCs w:val="22"/>
              </w:rPr>
              <w:t>913</w:t>
            </w:r>
          </w:p>
        </w:tc>
        <w:tc>
          <w:tcPr>
            <w:tcW w:w="1238" w:type="dxa"/>
            <w:tcMar>
              <w:left w:w="115" w:type="dxa"/>
              <w:right w:w="576" w:type="dxa"/>
            </w:tcMar>
            <w:vAlign w:val="bottom"/>
          </w:tcPr>
          <w:p w14:paraId="681AAEEF" w14:textId="77777777" w:rsidR="00D8365A" w:rsidRPr="00362517" w:rsidRDefault="00D8365A" w:rsidP="00BF6BC7">
            <w:pPr>
              <w:tabs>
                <w:tab w:val="decimal" w:pos="605"/>
              </w:tabs>
              <w:ind w:right="-418"/>
              <w:rPr>
                <w:sz w:val="22"/>
                <w:szCs w:val="22"/>
              </w:rPr>
            </w:pPr>
            <w:r w:rsidRPr="00362517">
              <w:rPr>
                <w:sz w:val="22"/>
                <w:szCs w:val="22"/>
              </w:rPr>
              <w:t>16.6</w:t>
            </w:r>
          </w:p>
        </w:tc>
        <w:tc>
          <w:tcPr>
            <w:tcW w:w="1239" w:type="dxa"/>
            <w:tcMar>
              <w:left w:w="115" w:type="dxa"/>
              <w:right w:w="576" w:type="dxa"/>
            </w:tcMar>
            <w:vAlign w:val="bottom"/>
          </w:tcPr>
          <w:p w14:paraId="62B5FA36" w14:textId="77777777" w:rsidR="00D8365A" w:rsidRPr="00362517" w:rsidRDefault="00D8365A" w:rsidP="00BF6BC7">
            <w:pPr>
              <w:tabs>
                <w:tab w:val="decimal" w:pos="627"/>
              </w:tabs>
              <w:ind w:right="-439"/>
              <w:rPr>
                <w:sz w:val="22"/>
                <w:szCs w:val="22"/>
              </w:rPr>
            </w:pPr>
            <w:r w:rsidRPr="00362517">
              <w:rPr>
                <w:sz w:val="22"/>
                <w:szCs w:val="22"/>
              </w:rPr>
              <w:t>23.3</w:t>
            </w:r>
          </w:p>
        </w:tc>
        <w:tc>
          <w:tcPr>
            <w:tcW w:w="1239" w:type="dxa"/>
            <w:tcMar>
              <w:left w:w="115" w:type="dxa"/>
              <w:right w:w="576" w:type="dxa"/>
            </w:tcMar>
            <w:vAlign w:val="bottom"/>
          </w:tcPr>
          <w:p w14:paraId="7A4CDF54"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72208110" w14:textId="77777777" w:rsidR="00D8365A" w:rsidRPr="00362517" w:rsidRDefault="00D8365A" w:rsidP="00BF6BC7">
            <w:pPr>
              <w:tabs>
                <w:tab w:val="decimal" w:pos="489"/>
              </w:tabs>
              <w:ind w:right="-301"/>
              <w:rPr>
                <w:sz w:val="22"/>
                <w:szCs w:val="22"/>
              </w:rPr>
            </w:pPr>
            <w:r w:rsidRPr="00362517">
              <w:rPr>
                <w:sz w:val="22"/>
                <w:szCs w:val="22"/>
              </w:rPr>
              <w:t>0.0</w:t>
            </w:r>
          </w:p>
        </w:tc>
      </w:tr>
      <w:tr w:rsidR="00D8365A" w:rsidRPr="00362517" w14:paraId="0D272B00" w14:textId="77777777" w:rsidTr="007A2164">
        <w:tc>
          <w:tcPr>
            <w:tcW w:w="1525" w:type="dxa"/>
          </w:tcPr>
          <w:p w14:paraId="12B9C022" w14:textId="77777777" w:rsidR="00D8365A" w:rsidRPr="00362517" w:rsidRDefault="00D8365A" w:rsidP="00BF6BC7">
            <w:pPr>
              <w:rPr>
                <w:sz w:val="22"/>
                <w:szCs w:val="22"/>
              </w:rPr>
            </w:pPr>
            <w:r w:rsidRPr="00362517">
              <w:rPr>
                <w:sz w:val="22"/>
                <w:szCs w:val="22"/>
              </w:rPr>
              <w:t>Iowa</w:t>
            </w:r>
            <w:r w:rsidRPr="00362517">
              <w:rPr>
                <w:sz w:val="22"/>
                <w:szCs w:val="22"/>
                <w:vertAlign w:val="superscript"/>
              </w:rPr>
              <w:t xml:space="preserve"> 1</w:t>
            </w:r>
          </w:p>
        </w:tc>
        <w:tc>
          <w:tcPr>
            <w:tcW w:w="1464" w:type="dxa"/>
            <w:tcMar>
              <w:left w:w="115" w:type="dxa"/>
              <w:right w:w="576" w:type="dxa"/>
            </w:tcMar>
            <w:vAlign w:val="bottom"/>
          </w:tcPr>
          <w:p w14:paraId="7B0C9D22" w14:textId="77777777" w:rsidR="00D8365A" w:rsidRPr="00362517" w:rsidRDefault="00D8365A" w:rsidP="00BF6BC7">
            <w:pPr>
              <w:tabs>
                <w:tab w:val="decimal" w:pos="965"/>
              </w:tabs>
              <w:ind w:right="-462"/>
              <w:rPr>
                <w:sz w:val="22"/>
                <w:szCs w:val="22"/>
              </w:rPr>
            </w:pPr>
            <w:r w:rsidRPr="00362517">
              <w:rPr>
                <w:sz w:val="22"/>
                <w:szCs w:val="22"/>
              </w:rPr>
              <w:t>0</w:t>
            </w:r>
          </w:p>
        </w:tc>
        <w:tc>
          <w:tcPr>
            <w:tcW w:w="1416" w:type="dxa"/>
            <w:vAlign w:val="bottom"/>
          </w:tcPr>
          <w:p w14:paraId="2DF517D1" w14:textId="77777777" w:rsidR="00D8365A" w:rsidRPr="00362517" w:rsidRDefault="00D8365A" w:rsidP="00BF6BC7">
            <w:pPr>
              <w:tabs>
                <w:tab w:val="decimal" w:pos="858"/>
              </w:tabs>
              <w:rPr>
                <w:sz w:val="22"/>
                <w:szCs w:val="22"/>
              </w:rPr>
            </w:pPr>
            <w:r w:rsidRPr="00362517">
              <w:rPr>
                <w:sz w:val="22"/>
                <w:szCs w:val="22"/>
              </w:rPr>
              <w:t>0</w:t>
            </w:r>
          </w:p>
        </w:tc>
        <w:tc>
          <w:tcPr>
            <w:tcW w:w="1238" w:type="dxa"/>
            <w:tcMar>
              <w:left w:w="115" w:type="dxa"/>
              <w:right w:w="576" w:type="dxa"/>
            </w:tcMar>
            <w:vAlign w:val="bottom"/>
          </w:tcPr>
          <w:p w14:paraId="2E9F6725" w14:textId="77777777" w:rsidR="00D8365A" w:rsidRPr="00362517" w:rsidRDefault="00D8365A" w:rsidP="00BF6BC7">
            <w:pPr>
              <w:tabs>
                <w:tab w:val="decimal" w:pos="605"/>
              </w:tabs>
              <w:ind w:right="-418"/>
              <w:rPr>
                <w:sz w:val="22"/>
                <w:szCs w:val="22"/>
              </w:rPr>
            </w:pPr>
            <w:r w:rsidRPr="00362517">
              <w:rPr>
                <w:sz w:val="22"/>
                <w:szCs w:val="22"/>
              </w:rPr>
              <w:t>0.0</w:t>
            </w:r>
          </w:p>
        </w:tc>
        <w:tc>
          <w:tcPr>
            <w:tcW w:w="1239" w:type="dxa"/>
            <w:tcMar>
              <w:left w:w="115" w:type="dxa"/>
              <w:right w:w="576" w:type="dxa"/>
            </w:tcMar>
            <w:vAlign w:val="bottom"/>
          </w:tcPr>
          <w:p w14:paraId="3444D574" w14:textId="77777777" w:rsidR="00D8365A" w:rsidRPr="00362517" w:rsidRDefault="00D8365A" w:rsidP="00BF6BC7">
            <w:pPr>
              <w:tabs>
                <w:tab w:val="decimal" w:pos="627"/>
              </w:tabs>
              <w:ind w:right="-439"/>
              <w:rPr>
                <w:sz w:val="22"/>
                <w:szCs w:val="22"/>
              </w:rPr>
            </w:pPr>
            <w:r w:rsidRPr="00362517">
              <w:rPr>
                <w:sz w:val="22"/>
                <w:szCs w:val="22"/>
              </w:rPr>
              <w:t>0.0</w:t>
            </w:r>
          </w:p>
        </w:tc>
        <w:tc>
          <w:tcPr>
            <w:tcW w:w="1239" w:type="dxa"/>
            <w:tcMar>
              <w:left w:w="115" w:type="dxa"/>
              <w:right w:w="576" w:type="dxa"/>
            </w:tcMar>
            <w:vAlign w:val="bottom"/>
          </w:tcPr>
          <w:p w14:paraId="4FBD82E7"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3453C7DD" w14:textId="77777777" w:rsidR="00D8365A" w:rsidRPr="00362517" w:rsidRDefault="00D8365A" w:rsidP="00BF6BC7">
            <w:pPr>
              <w:tabs>
                <w:tab w:val="decimal" w:pos="489"/>
              </w:tabs>
              <w:ind w:right="-301"/>
              <w:rPr>
                <w:sz w:val="22"/>
                <w:szCs w:val="22"/>
              </w:rPr>
            </w:pPr>
            <w:r w:rsidRPr="00362517">
              <w:rPr>
                <w:sz w:val="22"/>
                <w:szCs w:val="22"/>
              </w:rPr>
              <w:t>0.0</w:t>
            </w:r>
          </w:p>
        </w:tc>
      </w:tr>
      <w:tr w:rsidR="00D8365A" w:rsidRPr="00362517" w14:paraId="68F240D9" w14:textId="77777777" w:rsidTr="007A2164">
        <w:tc>
          <w:tcPr>
            <w:tcW w:w="1525" w:type="dxa"/>
          </w:tcPr>
          <w:p w14:paraId="32A95DF1" w14:textId="77777777" w:rsidR="00D8365A" w:rsidRPr="00362517" w:rsidRDefault="00D8365A" w:rsidP="00BF6BC7">
            <w:pPr>
              <w:rPr>
                <w:sz w:val="22"/>
                <w:szCs w:val="22"/>
              </w:rPr>
            </w:pPr>
            <w:r w:rsidRPr="00362517">
              <w:rPr>
                <w:sz w:val="22"/>
                <w:szCs w:val="22"/>
              </w:rPr>
              <w:t>Kansas</w:t>
            </w:r>
          </w:p>
        </w:tc>
        <w:tc>
          <w:tcPr>
            <w:tcW w:w="1464" w:type="dxa"/>
            <w:tcMar>
              <w:left w:w="115" w:type="dxa"/>
              <w:right w:w="576" w:type="dxa"/>
            </w:tcMar>
            <w:vAlign w:val="bottom"/>
          </w:tcPr>
          <w:p w14:paraId="2685B035" w14:textId="77777777" w:rsidR="00D8365A" w:rsidRPr="00362517" w:rsidRDefault="00D8365A" w:rsidP="00BF6BC7">
            <w:pPr>
              <w:tabs>
                <w:tab w:val="decimal" w:pos="965"/>
              </w:tabs>
              <w:ind w:right="-462"/>
              <w:rPr>
                <w:sz w:val="22"/>
                <w:szCs w:val="22"/>
              </w:rPr>
            </w:pPr>
            <w:r w:rsidRPr="00362517">
              <w:rPr>
                <w:sz w:val="22"/>
                <w:szCs w:val="22"/>
              </w:rPr>
              <w:t>3,329</w:t>
            </w:r>
          </w:p>
        </w:tc>
        <w:tc>
          <w:tcPr>
            <w:tcW w:w="1416" w:type="dxa"/>
            <w:vAlign w:val="bottom"/>
          </w:tcPr>
          <w:p w14:paraId="71C5A9EE" w14:textId="77777777" w:rsidR="00D8365A" w:rsidRPr="00362517" w:rsidRDefault="00D8365A" w:rsidP="00BF6BC7">
            <w:pPr>
              <w:tabs>
                <w:tab w:val="decimal" w:pos="858"/>
              </w:tabs>
              <w:rPr>
                <w:sz w:val="22"/>
                <w:szCs w:val="22"/>
              </w:rPr>
            </w:pPr>
            <w:r w:rsidRPr="00362517">
              <w:rPr>
                <w:sz w:val="22"/>
                <w:szCs w:val="22"/>
              </w:rPr>
              <w:t>1,052</w:t>
            </w:r>
          </w:p>
        </w:tc>
        <w:tc>
          <w:tcPr>
            <w:tcW w:w="1238" w:type="dxa"/>
            <w:tcMar>
              <w:left w:w="115" w:type="dxa"/>
              <w:right w:w="576" w:type="dxa"/>
            </w:tcMar>
            <w:vAlign w:val="bottom"/>
          </w:tcPr>
          <w:p w14:paraId="47151702" w14:textId="77777777" w:rsidR="00D8365A" w:rsidRPr="00362517" w:rsidRDefault="00D8365A" w:rsidP="00BF6BC7">
            <w:pPr>
              <w:tabs>
                <w:tab w:val="decimal" w:pos="605"/>
              </w:tabs>
              <w:ind w:right="-418"/>
              <w:rPr>
                <w:sz w:val="22"/>
                <w:szCs w:val="22"/>
              </w:rPr>
            </w:pPr>
            <w:r w:rsidRPr="00362517">
              <w:rPr>
                <w:sz w:val="22"/>
                <w:szCs w:val="22"/>
              </w:rPr>
              <w:t>10.3</w:t>
            </w:r>
          </w:p>
        </w:tc>
        <w:tc>
          <w:tcPr>
            <w:tcW w:w="1239" w:type="dxa"/>
            <w:tcMar>
              <w:left w:w="115" w:type="dxa"/>
              <w:right w:w="576" w:type="dxa"/>
            </w:tcMar>
            <w:vAlign w:val="bottom"/>
          </w:tcPr>
          <w:p w14:paraId="0F2071D5" w14:textId="77777777" w:rsidR="00D8365A" w:rsidRPr="00362517" w:rsidRDefault="00D8365A" w:rsidP="00BF6BC7">
            <w:pPr>
              <w:tabs>
                <w:tab w:val="decimal" w:pos="627"/>
              </w:tabs>
              <w:ind w:right="-439"/>
              <w:rPr>
                <w:sz w:val="22"/>
                <w:szCs w:val="22"/>
              </w:rPr>
            </w:pPr>
            <w:r w:rsidRPr="00362517">
              <w:rPr>
                <w:sz w:val="22"/>
                <w:szCs w:val="22"/>
              </w:rPr>
              <w:t>14.5</w:t>
            </w:r>
          </w:p>
        </w:tc>
        <w:tc>
          <w:tcPr>
            <w:tcW w:w="1239" w:type="dxa"/>
            <w:tcMar>
              <w:left w:w="115" w:type="dxa"/>
              <w:right w:w="576" w:type="dxa"/>
            </w:tcMar>
            <w:vAlign w:val="bottom"/>
          </w:tcPr>
          <w:p w14:paraId="6ABBC481" w14:textId="77777777" w:rsidR="00D8365A" w:rsidRPr="00362517" w:rsidRDefault="00D8365A" w:rsidP="00BF6BC7">
            <w:pPr>
              <w:tabs>
                <w:tab w:val="decimal" w:pos="558"/>
              </w:tabs>
              <w:ind w:right="-370"/>
              <w:rPr>
                <w:sz w:val="22"/>
                <w:szCs w:val="22"/>
              </w:rPr>
            </w:pPr>
            <w:r w:rsidRPr="00362517">
              <w:rPr>
                <w:sz w:val="22"/>
                <w:szCs w:val="22"/>
              </w:rPr>
              <w:t>0.3</w:t>
            </w:r>
          </w:p>
        </w:tc>
        <w:tc>
          <w:tcPr>
            <w:tcW w:w="1239" w:type="dxa"/>
            <w:tcMar>
              <w:left w:w="115" w:type="dxa"/>
              <w:right w:w="576" w:type="dxa"/>
            </w:tcMar>
            <w:vAlign w:val="bottom"/>
          </w:tcPr>
          <w:p w14:paraId="406E77AF" w14:textId="77777777" w:rsidR="00D8365A" w:rsidRPr="00362517" w:rsidRDefault="00D8365A" w:rsidP="00BF6BC7">
            <w:pPr>
              <w:tabs>
                <w:tab w:val="decimal" w:pos="489"/>
              </w:tabs>
              <w:ind w:right="-301"/>
              <w:rPr>
                <w:sz w:val="22"/>
                <w:szCs w:val="22"/>
              </w:rPr>
            </w:pPr>
            <w:r w:rsidRPr="00362517">
              <w:rPr>
                <w:sz w:val="22"/>
                <w:szCs w:val="22"/>
              </w:rPr>
              <w:t>1.5</w:t>
            </w:r>
          </w:p>
        </w:tc>
      </w:tr>
      <w:tr w:rsidR="00D8365A" w:rsidRPr="00362517" w14:paraId="46616BE7" w14:textId="77777777" w:rsidTr="007A2164">
        <w:tc>
          <w:tcPr>
            <w:tcW w:w="1525" w:type="dxa"/>
          </w:tcPr>
          <w:p w14:paraId="30AEC197" w14:textId="77777777" w:rsidR="00D8365A" w:rsidRPr="00362517" w:rsidRDefault="00D8365A" w:rsidP="00BF6BC7">
            <w:pPr>
              <w:rPr>
                <w:sz w:val="22"/>
                <w:szCs w:val="22"/>
              </w:rPr>
            </w:pPr>
            <w:r w:rsidRPr="00362517">
              <w:rPr>
                <w:sz w:val="22"/>
                <w:szCs w:val="22"/>
              </w:rPr>
              <w:t>Kentucky</w:t>
            </w:r>
          </w:p>
        </w:tc>
        <w:tc>
          <w:tcPr>
            <w:tcW w:w="1464" w:type="dxa"/>
            <w:tcMar>
              <w:left w:w="115" w:type="dxa"/>
              <w:right w:w="576" w:type="dxa"/>
            </w:tcMar>
            <w:vAlign w:val="bottom"/>
          </w:tcPr>
          <w:p w14:paraId="3B4581E4" w14:textId="77777777" w:rsidR="00D8365A" w:rsidRPr="00362517" w:rsidRDefault="00D8365A" w:rsidP="00BF6BC7">
            <w:pPr>
              <w:tabs>
                <w:tab w:val="decimal" w:pos="965"/>
              </w:tabs>
              <w:ind w:right="-462"/>
              <w:rPr>
                <w:sz w:val="22"/>
                <w:szCs w:val="22"/>
              </w:rPr>
            </w:pPr>
            <w:r w:rsidRPr="00362517">
              <w:rPr>
                <w:sz w:val="22"/>
                <w:szCs w:val="22"/>
              </w:rPr>
              <w:t>1,098</w:t>
            </w:r>
          </w:p>
        </w:tc>
        <w:tc>
          <w:tcPr>
            <w:tcW w:w="1416" w:type="dxa"/>
            <w:vAlign w:val="bottom"/>
          </w:tcPr>
          <w:p w14:paraId="7494DEF8" w14:textId="77777777" w:rsidR="00D8365A" w:rsidRPr="00362517" w:rsidRDefault="00D8365A" w:rsidP="00BF6BC7">
            <w:pPr>
              <w:tabs>
                <w:tab w:val="decimal" w:pos="858"/>
              </w:tabs>
              <w:rPr>
                <w:sz w:val="22"/>
                <w:szCs w:val="22"/>
              </w:rPr>
            </w:pPr>
            <w:r w:rsidRPr="00362517">
              <w:rPr>
                <w:sz w:val="22"/>
                <w:szCs w:val="22"/>
              </w:rPr>
              <w:t>329</w:t>
            </w:r>
          </w:p>
        </w:tc>
        <w:tc>
          <w:tcPr>
            <w:tcW w:w="1238" w:type="dxa"/>
            <w:tcMar>
              <w:left w:w="115" w:type="dxa"/>
              <w:right w:w="576" w:type="dxa"/>
            </w:tcMar>
            <w:vAlign w:val="bottom"/>
          </w:tcPr>
          <w:p w14:paraId="0E3AB374" w14:textId="77777777" w:rsidR="00D8365A" w:rsidRPr="00362517" w:rsidRDefault="00D8365A" w:rsidP="00BF6BC7">
            <w:pPr>
              <w:tabs>
                <w:tab w:val="decimal" w:pos="605"/>
              </w:tabs>
              <w:ind w:right="-418"/>
              <w:rPr>
                <w:sz w:val="22"/>
                <w:szCs w:val="22"/>
              </w:rPr>
            </w:pPr>
            <w:r w:rsidRPr="00362517">
              <w:rPr>
                <w:sz w:val="22"/>
                <w:szCs w:val="22"/>
              </w:rPr>
              <w:t>17.1</w:t>
            </w:r>
          </w:p>
        </w:tc>
        <w:tc>
          <w:tcPr>
            <w:tcW w:w="1239" w:type="dxa"/>
            <w:tcMar>
              <w:left w:w="115" w:type="dxa"/>
              <w:right w:w="576" w:type="dxa"/>
            </w:tcMar>
            <w:vAlign w:val="bottom"/>
          </w:tcPr>
          <w:p w14:paraId="7D031738" w14:textId="77777777" w:rsidR="00D8365A" w:rsidRPr="00362517" w:rsidRDefault="00D8365A" w:rsidP="00BF6BC7">
            <w:pPr>
              <w:tabs>
                <w:tab w:val="decimal" w:pos="627"/>
              </w:tabs>
              <w:ind w:right="-439"/>
              <w:rPr>
                <w:sz w:val="22"/>
                <w:szCs w:val="22"/>
              </w:rPr>
            </w:pPr>
            <w:r w:rsidRPr="00362517">
              <w:rPr>
                <w:sz w:val="22"/>
                <w:szCs w:val="22"/>
              </w:rPr>
              <w:t>24.0</w:t>
            </w:r>
          </w:p>
        </w:tc>
        <w:tc>
          <w:tcPr>
            <w:tcW w:w="1239" w:type="dxa"/>
            <w:tcMar>
              <w:left w:w="115" w:type="dxa"/>
              <w:right w:w="576" w:type="dxa"/>
            </w:tcMar>
            <w:vAlign w:val="bottom"/>
          </w:tcPr>
          <w:p w14:paraId="7A9EB461"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357AE2F4" w14:textId="77777777" w:rsidR="00D8365A" w:rsidRPr="00362517" w:rsidRDefault="00D8365A" w:rsidP="00BF6BC7">
            <w:pPr>
              <w:tabs>
                <w:tab w:val="decimal" w:pos="489"/>
              </w:tabs>
              <w:ind w:right="-301"/>
              <w:rPr>
                <w:sz w:val="22"/>
                <w:szCs w:val="22"/>
              </w:rPr>
            </w:pPr>
            <w:r w:rsidRPr="00362517">
              <w:rPr>
                <w:sz w:val="22"/>
                <w:szCs w:val="22"/>
              </w:rPr>
              <w:t>0.0</w:t>
            </w:r>
          </w:p>
        </w:tc>
      </w:tr>
      <w:tr w:rsidR="00D8365A" w:rsidRPr="00362517" w14:paraId="35E37018" w14:textId="77777777" w:rsidTr="007A2164">
        <w:tc>
          <w:tcPr>
            <w:tcW w:w="1525" w:type="dxa"/>
          </w:tcPr>
          <w:p w14:paraId="22755EC7" w14:textId="77777777" w:rsidR="00D8365A" w:rsidRPr="00362517" w:rsidRDefault="00D8365A" w:rsidP="00BF6BC7">
            <w:pPr>
              <w:rPr>
                <w:sz w:val="22"/>
                <w:szCs w:val="22"/>
              </w:rPr>
            </w:pPr>
            <w:r w:rsidRPr="00362517">
              <w:rPr>
                <w:sz w:val="22"/>
                <w:szCs w:val="22"/>
              </w:rPr>
              <w:t>Louisiana</w:t>
            </w:r>
          </w:p>
        </w:tc>
        <w:tc>
          <w:tcPr>
            <w:tcW w:w="1464" w:type="dxa"/>
            <w:tcMar>
              <w:left w:w="115" w:type="dxa"/>
              <w:right w:w="576" w:type="dxa"/>
            </w:tcMar>
            <w:vAlign w:val="bottom"/>
          </w:tcPr>
          <w:p w14:paraId="0BC1B450" w14:textId="77777777" w:rsidR="00D8365A" w:rsidRPr="00362517" w:rsidRDefault="00D8365A" w:rsidP="00BF6BC7">
            <w:pPr>
              <w:tabs>
                <w:tab w:val="decimal" w:pos="965"/>
              </w:tabs>
              <w:ind w:right="-462"/>
              <w:rPr>
                <w:sz w:val="22"/>
                <w:szCs w:val="22"/>
              </w:rPr>
            </w:pPr>
            <w:r w:rsidRPr="00362517">
              <w:rPr>
                <w:sz w:val="22"/>
                <w:szCs w:val="22"/>
              </w:rPr>
              <w:t>1,224</w:t>
            </w:r>
          </w:p>
        </w:tc>
        <w:tc>
          <w:tcPr>
            <w:tcW w:w="1416" w:type="dxa"/>
            <w:vAlign w:val="bottom"/>
          </w:tcPr>
          <w:p w14:paraId="212F277F" w14:textId="77777777" w:rsidR="00D8365A" w:rsidRPr="00362517" w:rsidRDefault="00D8365A" w:rsidP="00BF6BC7">
            <w:pPr>
              <w:tabs>
                <w:tab w:val="decimal" w:pos="858"/>
              </w:tabs>
              <w:rPr>
                <w:sz w:val="22"/>
                <w:szCs w:val="22"/>
              </w:rPr>
            </w:pPr>
            <w:r w:rsidRPr="00362517">
              <w:rPr>
                <w:sz w:val="22"/>
                <w:szCs w:val="22"/>
              </w:rPr>
              <w:t>367</w:t>
            </w:r>
          </w:p>
        </w:tc>
        <w:tc>
          <w:tcPr>
            <w:tcW w:w="1238" w:type="dxa"/>
            <w:tcMar>
              <w:left w:w="115" w:type="dxa"/>
              <w:right w:w="576" w:type="dxa"/>
            </w:tcMar>
            <w:vAlign w:val="bottom"/>
          </w:tcPr>
          <w:p w14:paraId="290B0316" w14:textId="77777777" w:rsidR="00D8365A" w:rsidRPr="00362517" w:rsidRDefault="00D8365A" w:rsidP="00BF6BC7">
            <w:pPr>
              <w:tabs>
                <w:tab w:val="decimal" w:pos="605"/>
              </w:tabs>
              <w:ind w:right="-418"/>
              <w:rPr>
                <w:sz w:val="22"/>
                <w:szCs w:val="22"/>
              </w:rPr>
            </w:pPr>
            <w:r w:rsidRPr="00362517">
              <w:rPr>
                <w:sz w:val="22"/>
                <w:szCs w:val="22"/>
              </w:rPr>
              <w:t>5.0</w:t>
            </w:r>
          </w:p>
        </w:tc>
        <w:tc>
          <w:tcPr>
            <w:tcW w:w="1239" w:type="dxa"/>
            <w:tcMar>
              <w:left w:w="115" w:type="dxa"/>
              <w:right w:w="576" w:type="dxa"/>
            </w:tcMar>
            <w:vAlign w:val="bottom"/>
          </w:tcPr>
          <w:p w14:paraId="26823591" w14:textId="77777777" w:rsidR="00D8365A" w:rsidRPr="00362517" w:rsidRDefault="00D8365A" w:rsidP="00BF6BC7">
            <w:pPr>
              <w:tabs>
                <w:tab w:val="decimal" w:pos="627"/>
              </w:tabs>
              <w:ind w:right="-439"/>
              <w:rPr>
                <w:sz w:val="22"/>
                <w:szCs w:val="22"/>
              </w:rPr>
            </w:pPr>
            <w:r w:rsidRPr="00362517">
              <w:rPr>
                <w:sz w:val="22"/>
                <w:szCs w:val="22"/>
              </w:rPr>
              <w:t>7.0</w:t>
            </w:r>
          </w:p>
        </w:tc>
        <w:tc>
          <w:tcPr>
            <w:tcW w:w="1239" w:type="dxa"/>
            <w:tcMar>
              <w:left w:w="115" w:type="dxa"/>
              <w:right w:w="576" w:type="dxa"/>
            </w:tcMar>
            <w:vAlign w:val="bottom"/>
          </w:tcPr>
          <w:p w14:paraId="6C4DB598"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7C3C71B7" w14:textId="77777777" w:rsidR="00D8365A" w:rsidRPr="00362517" w:rsidRDefault="00D8365A" w:rsidP="00BF6BC7">
            <w:pPr>
              <w:tabs>
                <w:tab w:val="decimal" w:pos="489"/>
              </w:tabs>
              <w:ind w:right="-301"/>
              <w:rPr>
                <w:sz w:val="22"/>
                <w:szCs w:val="22"/>
              </w:rPr>
            </w:pPr>
            <w:r w:rsidRPr="00362517">
              <w:rPr>
                <w:sz w:val="22"/>
                <w:szCs w:val="22"/>
              </w:rPr>
              <w:t>0.0</w:t>
            </w:r>
          </w:p>
        </w:tc>
      </w:tr>
      <w:tr w:rsidR="00D8365A" w:rsidRPr="00362517" w14:paraId="6D064018" w14:textId="77777777" w:rsidTr="007A2164">
        <w:tc>
          <w:tcPr>
            <w:tcW w:w="1525" w:type="dxa"/>
          </w:tcPr>
          <w:p w14:paraId="715010DF" w14:textId="77777777" w:rsidR="00D8365A" w:rsidRPr="00362517" w:rsidRDefault="00D8365A" w:rsidP="00BF6BC7">
            <w:pPr>
              <w:rPr>
                <w:sz w:val="22"/>
                <w:szCs w:val="22"/>
              </w:rPr>
            </w:pPr>
            <w:r w:rsidRPr="00362517">
              <w:rPr>
                <w:sz w:val="22"/>
                <w:szCs w:val="22"/>
              </w:rPr>
              <w:t>Maine</w:t>
            </w:r>
          </w:p>
        </w:tc>
        <w:tc>
          <w:tcPr>
            <w:tcW w:w="1464" w:type="dxa"/>
            <w:tcMar>
              <w:left w:w="115" w:type="dxa"/>
              <w:right w:w="576" w:type="dxa"/>
            </w:tcMar>
            <w:vAlign w:val="bottom"/>
          </w:tcPr>
          <w:p w14:paraId="27A43825" w14:textId="77777777" w:rsidR="00D8365A" w:rsidRPr="00362517" w:rsidRDefault="00D8365A" w:rsidP="00BF6BC7">
            <w:pPr>
              <w:tabs>
                <w:tab w:val="decimal" w:pos="965"/>
              </w:tabs>
              <w:ind w:right="-462"/>
              <w:rPr>
                <w:sz w:val="22"/>
                <w:szCs w:val="22"/>
              </w:rPr>
            </w:pPr>
            <w:r w:rsidRPr="00362517">
              <w:rPr>
                <w:sz w:val="22"/>
                <w:szCs w:val="22"/>
              </w:rPr>
              <w:t>126</w:t>
            </w:r>
          </w:p>
        </w:tc>
        <w:tc>
          <w:tcPr>
            <w:tcW w:w="1416" w:type="dxa"/>
            <w:vAlign w:val="bottom"/>
          </w:tcPr>
          <w:p w14:paraId="620AA41A" w14:textId="77777777" w:rsidR="00D8365A" w:rsidRPr="00362517" w:rsidRDefault="00D8365A" w:rsidP="00BF6BC7">
            <w:pPr>
              <w:tabs>
                <w:tab w:val="decimal" w:pos="858"/>
              </w:tabs>
              <w:rPr>
                <w:sz w:val="22"/>
                <w:szCs w:val="22"/>
              </w:rPr>
            </w:pPr>
            <w:r w:rsidRPr="00362517">
              <w:rPr>
                <w:sz w:val="22"/>
                <w:szCs w:val="22"/>
              </w:rPr>
              <w:t>39</w:t>
            </w:r>
          </w:p>
        </w:tc>
        <w:tc>
          <w:tcPr>
            <w:tcW w:w="1238" w:type="dxa"/>
            <w:tcMar>
              <w:left w:w="115" w:type="dxa"/>
              <w:right w:w="576" w:type="dxa"/>
            </w:tcMar>
            <w:vAlign w:val="bottom"/>
          </w:tcPr>
          <w:p w14:paraId="4D467048" w14:textId="77777777" w:rsidR="00D8365A" w:rsidRPr="00362517" w:rsidRDefault="00D8365A" w:rsidP="00BF6BC7">
            <w:pPr>
              <w:tabs>
                <w:tab w:val="decimal" w:pos="605"/>
              </w:tabs>
              <w:ind w:right="-418"/>
              <w:rPr>
                <w:sz w:val="22"/>
                <w:szCs w:val="22"/>
              </w:rPr>
            </w:pPr>
            <w:r w:rsidRPr="00362517">
              <w:rPr>
                <w:sz w:val="22"/>
                <w:szCs w:val="22"/>
              </w:rPr>
              <w:t>1.6</w:t>
            </w:r>
          </w:p>
        </w:tc>
        <w:tc>
          <w:tcPr>
            <w:tcW w:w="1239" w:type="dxa"/>
            <w:tcMar>
              <w:left w:w="115" w:type="dxa"/>
              <w:right w:w="576" w:type="dxa"/>
            </w:tcMar>
            <w:vAlign w:val="bottom"/>
          </w:tcPr>
          <w:p w14:paraId="224E5725" w14:textId="77777777" w:rsidR="00D8365A" w:rsidRPr="00362517" w:rsidRDefault="00D8365A" w:rsidP="00BF6BC7">
            <w:pPr>
              <w:tabs>
                <w:tab w:val="decimal" w:pos="627"/>
              </w:tabs>
              <w:ind w:right="-439"/>
              <w:rPr>
                <w:sz w:val="22"/>
                <w:szCs w:val="22"/>
              </w:rPr>
            </w:pPr>
            <w:r w:rsidRPr="00362517">
              <w:rPr>
                <w:sz w:val="22"/>
                <w:szCs w:val="22"/>
              </w:rPr>
              <w:t>2.4</w:t>
            </w:r>
          </w:p>
        </w:tc>
        <w:tc>
          <w:tcPr>
            <w:tcW w:w="1239" w:type="dxa"/>
            <w:tcMar>
              <w:left w:w="115" w:type="dxa"/>
              <w:right w:w="576" w:type="dxa"/>
            </w:tcMar>
            <w:vAlign w:val="bottom"/>
          </w:tcPr>
          <w:p w14:paraId="3271E9E1"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5726227F" w14:textId="77777777" w:rsidR="00D8365A" w:rsidRPr="00362517" w:rsidRDefault="00D8365A" w:rsidP="00BF6BC7">
            <w:pPr>
              <w:tabs>
                <w:tab w:val="decimal" w:pos="489"/>
              </w:tabs>
              <w:ind w:right="-301"/>
              <w:rPr>
                <w:sz w:val="22"/>
                <w:szCs w:val="22"/>
              </w:rPr>
            </w:pPr>
            <w:r w:rsidRPr="00362517">
              <w:rPr>
                <w:sz w:val="22"/>
                <w:szCs w:val="22"/>
              </w:rPr>
              <w:t>0.0</w:t>
            </w:r>
          </w:p>
        </w:tc>
      </w:tr>
      <w:tr w:rsidR="00D8365A" w:rsidRPr="00362517" w14:paraId="75125F77" w14:textId="77777777" w:rsidTr="007A2164">
        <w:tc>
          <w:tcPr>
            <w:tcW w:w="1525" w:type="dxa"/>
          </w:tcPr>
          <w:p w14:paraId="23D5D062" w14:textId="77777777" w:rsidR="00D8365A" w:rsidRPr="00362517" w:rsidRDefault="00D8365A" w:rsidP="00BF6BC7">
            <w:pPr>
              <w:rPr>
                <w:sz w:val="22"/>
                <w:szCs w:val="22"/>
              </w:rPr>
            </w:pPr>
            <w:r w:rsidRPr="00362517">
              <w:rPr>
                <w:sz w:val="22"/>
                <w:szCs w:val="22"/>
              </w:rPr>
              <w:t>Maryland</w:t>
            </w:r>
          </w:p>
        </w:tc>
        <w:tc>
          <w:tcPr>
            <w:tcW w:w="1464" w:type="dxa"/>
            <w:tcMar>
              <w:left w:w="115" w:type="dxa"/>
              <w:right w:w="576" w:type="dxa"/>
            </w:tcMar>
            <w:vAlign w:val="bottom"/>
          </w:tcPr>
          <w:p w14:paraId="5CA7F639" w14:textId="77777777" w:rsidR="00D8365A" w:rsidRPr="00362517" w:rsidRDefault="00D8365A" w:rsidP="00BF6BC7">
            <w:pPr>
              <w:tabs>
                <w:tab w:val="decimal" w:pos="965"/>
              </w:tabs>
              <w:ind w:right="-462"/>
              <w:rPr>
                <w:sz w:val="22"/>
                <w:szCs w:val="22"/>
              </w:rPr>
            </w:pPr>
            <w:r w:rsidRPr="00362517">
              <w:rPr>
                <w:sz w:val="22"/>
                <w:szCs w:val="22"/>
              </w:rPr>
              <w:t>741</w:t>
            </w:r>
          </w:p>
        </w:tc>
        <w:tc>
          <w:tcPr>
            <w:tcW w:w="1416" w:type="dxa"/>
            <w:vAlign w:val="bottom"/>
          </w:tcPr>
          <w:p w14:paraId="329DD282" w14:textId="77777777" w:rsidR="00D8365A" w:rsidRPr="00362517" w:rsidRDefault="00D8365A" w:rsidP="00BF6BC7">
            <w:pPr>
              <w:tabs>
                <w:tab w:val="decimal" w:pos="858"/>
              </w:tabs>
              <w:rPr>
                <w:sz w:val="22"/>
                <w:szCs w:val="22"/>
              </w:rPr>
            </w:pPr>
            <w:r w:rsidRPr="00362517">
              <w:rPr>
                <w:sz w:val="22"/>
                <w:szCs w:val="22"/>
              </w:rPr>
              <w:t>248</w:t>
            </w:r>
          </w:p>
        </w:tc>
        <w:tc>
          <w:tcPr>
            <w:tcW w:w="1238" w:type="dxa"/>
            <w:tcMar>
              <w:left w:w="115" w:type="dxa"/>
              <w:right w:w="576" w:type="dxa"/>
            </w:tcMar>
            <w:vAlign w:val="bottom"/>
          </w:tcPr>
          <w:p w14:paraId="6BA18AFC" w14:textId="77777777" w:rsidR="00D8365A" w:rsidRPr="00362517" w:rsidRDefault="00D8365A" w:rsidP="00BF6BC7">
            <w:pPr>
              <w:tabs>
                <w:tab w:val="decimal" w:pos="605"/>
              </w:tabs>
              <w:ind w:right="-418"/>
              <w:rPr>
                <w:sz w:val="22"/>
                <w:szCs w:val="22"/>
              </w:rPr>
            </w:pPr>
            <w:r w:rsidRPr="00362517">
              <w:rPr>
                <w:sz w:val="22"/>
                <w:szCs w:val="22"/>
              </w:rPr>
              <w:t>3.8</w:t>
            </w:r>
          </w:p>
        </w:tc>
        <w:tc>
          <w:tcPr>
            <w:tcW w:w="1239" w:type="dxa"/>
            <w:tcMar>
              <w:left w:w="115" w:type="dxa"/>
              <w:right w:w="576" w:type="dxa"/>
            </w:tcMar>
            <w:vAlign w:val="bottom"/>
          </w:tcPr>
          <w:p w14:paraId="2F5DC382" w14:textId="77777777" w:rsidR="00D8365A" w:rsidRPr="00362517" w:rsidRDefault="00D8365A" w:rsidP="00BF6BC7">
            <w:pPr>
              <w:tabs>
                <w:tab w:val="decimal" w:pos="627"/>
              </w:tabs>
              <w:ind w:right="-439"/>
              <w:rPr>
                <w:sz w:val="22"/>
                <w:szCs w:val="22"/>
              </w:rPr>
            </w:pPr>
            <w:r w:rsidRPr="00362517">
              <w:rPr>
                <w:sz w:val="22"/>
                <w:szCs w:val="22"/>
              </w:rPr>
              <w:t>5.4</w:t>
            </w:r>
          </w:p>
        </w:tc>
        <w:tc>
          <w:tcPr>
            <w:tcW w:w="1239" w:type="dxa"/>
            <w:tcMar>
              <w:left w:w="115" w:type="dxa"/>
              <w:right w:w="576" w:type="dxa"/>
            </w:tcMar>
            <w:vAlign w:val="bottom"/>
          </w:tcPr>
          <w:p w14:paraId="3B2223AD" w14:textId="77777777" w:rsidR="00D8365A" w:rsidRPr="00362517" w:rsidRDefault="00D8365A" w:rsidP="00BF6BC7">
            <w:pPr>
              <w:tabs>
                <w:tab w:val="decimal" w:pos="558"/>
              </w:tabs>
              <w:ind w:right="-370"/>
              <w:rPr>
                <w:sz w:val="22"/>
                <w:szCs w:val="22"/>
              </w:rPr>
            </w:pPr>
            <w:r w:rsidRPr="00362517">
              <w:rPr>
                <w:sz w:val="22"/>
                <w:szCs w:val="22"/>
              </w:rPr>
              <w:t>0.1</w:t>
            </w:r>
          </w:p>
        </w:tc>
        <w:tc>
          <w:tcPr>
            <w:tcW w:w="1239" w:type="dxa"/>
            <w:tcMar>
              <w:left w:w="115" w:type="dxa"/>
              <w:right w:w="576" w:type="dxa"/>
            </w:tcMar>
            <w:vAlign w:val="bottom"/>
          </w:tcPr>
          <w:p w14:paraId="27BF6855" w14:textId="77777777" w:rsidR="00D8365A" w:rsidRPr="00362517" w:rsidRDefault="00D8365A" w:rsidP="00BF6BC7">
            <w:pPr>
              <w:tabs>
                <w:tab w:val="decimal" w:pos="489"/>
              </w:tabs>
              <w:ind w:right="-301"/>
              <w:rPr>
                <w:sz w:val="22"/>
                <w:szCs w:val="22"/>
              </w:rPr>
            </w:pPr>
            <w:r w:rsidRPr="00362517">
              <w:rPr>
                <w:sz w:val="22"/>
                <w:szCs w:val="22"/>
              </w:rPr>
              <w:t>0.7</w:t>
            </w:r>
          </w:p>
        </w:tc>
      </w:tr>
      <w:tr w:rsidR="00D8365A" w:rsidRPr="00362517" w14:paraId="381C901F" w14:textId="77777777" w:rsidTr="007A2164">
        <w:tc>
          <w:tcPr>
            <w:tcW w:w="1525" w:type="dxa"/>
          </w:tcPr>
          <w:p w14:paraId="5CE54939" w14:textId="77777777" w:rsidR="00D8365A" w:rsidRPr="00362517" w:rsidRDefault="00D8365A" w:rsidP="00BF6BC7">
            <w:pPr>
              <w:rPr>
                <w:sz w:val="22"/>
                <w:szCs w:val="22"/>
              </w:rPr>
            </w:pPr>
            <w:r w:rsidRPr="00362517">
              <w:rPr>
                <w:sz w:val="22"/>
                <w:szCs w:val="22"/>
              </w:rPr>
              <w:t>Massachusetts</w:t>
            </w:r>
          </w:p>
        </w:tc>
        <w:tc>
          <w:tcPr>
            <w:tcW w:w="1464" w:type="dxa"/>
            <w:tcMar>
              <w:left w:w="115" w:type="dxa"/>
              <w:right w:w="576" w:type="dxa"/>
            </w:tcMar>
            <w:vAlign w:val="bottom"/>
          </w:tcPr>
          <w:p w14:paraId="6336E63F" w14:textId="77777777" w:rsidR="00D8365A" w:rsidRPr="00362517" w:rsidRDefault="00D8365A" w:rsidP="00BF6BC7">
            <w:pPr>
              <w:tabs>
                <w:tab w:val="decimal" w:pos="965"/>
              </w:tabs>
              <w:ind w:right="-462"/>
              <w:rPr>
                <w:sz w:val="22"/>
                <w:szCs w:val="22"/>
              </w:rPr>
            </w:pPr>
            <w:r w:rsidRPr="00362517">
              <w:rPr>
                <w:sz w:val="22"/>
                <w:szCs w:val="22"/>
              </w:rPr>
              <w:t>121</w:t>
            </w:r>
          </w:p>
        </w:tc>
        <w:tc>
          <w:tcPr>
            <w:tcW w:w="1416" w:type="dxa"/>
            <w:vAlign w:val="bottom"/>
          </w:tcPr>
          <w:p w14:paraId="4C2BF739" w14:textId="77777777" w:rsidR="00D8365A" w:rsidRPr="00362517" w:rsidRDefault="00D8365A" w:rsidP="00BF6BC7">
            <w:pPr>
              <w:tabs>
                <w:tab w:val="decimal" w:pos="858"/>
              </w:tabs>
              <w:rPr>
                <w:sz w:val="22"/>
                <w:szCs w:val="22"/>
              </w:rPr>
            </w:pPr>
            <w:r w:rsidRPr="00362517">
              <w:rPr>
                <w:sz w:val="22"/>
                <w:szCs w:val="22"/>
              </w:rPr>
              <w:t>36</w:t>
            </w:r>
          </w:p>
        </w:tc>
        <w:tc>
          <w:tcPr>
            <w:tcW w:w="1238" w:type="dxa"/>
            <w:tcMar>
              <w:left w:w="115" w:type="dxa"/>
              <w:right w:w="576" w:type="dxa"/>
            </w:tcMar>
            <w:vAlign w:val="bottom"/>
          </w:tcPr>
          <w:p w14:paraId="4DB8149B" w14:textId="77777777" w:rsidR="00D8365A" w:rsidRPr="00362517" w:rsidRDefault="00D8365A" w:rsidP="00BF6BC7">
            <w:pPr>
              <w:tabs>
                <w:tab w:val="decimal" w:pos="605"/>
              </w:tabs>
              <w:ind w:right="-418"/>
              <w:rPr>
                <w:sz w:val="22"/>
                <w:szCs w:val="22"/>
              </w:rPr>
            </w:pPr>
            <w:r w:rsidRPr="00362517">
              <w:rPr>
                <w:sz w:val="22"/>
                <w:szCs w:val="22"/>
              </w:rPr>
              <w:t>2.3</w:t>
            </w:r>
          </w:p>
        </w:tc>
        <w:tc>
          <w:tcPr>
            <w:tcW w:w="1239" w:type="dxa"/>
            <w:tcMar>
              <w:left w:w="115" w:type="dxa"/>
              <w:right w:w="576" w:type="dxa"/>
            </w:tcMar>
            <w:vAlign w:val="bottom"/>
          </w:tcPr>
          <w:p w14:paraId="29FB626A" w14:textId="77777777" w:rsidR="00D8365A" w:rsidRPr="00362517" w:rsidRDefault="00D8365A" w:rsidP="00BF6BC7">
            <w:pPr>
              <w:tabs>
                <w:tab w:val="decimal" w:pos="627"/>
              </w:tabs>
              <w:ind w:right="-439"/>
              <w:rPr>
                <w:sz w:val="22"/>
                <w:szCs w:val="22"/>
              </w:rPr>
            </w:pPr>
            <w:r w:rsidRPr="00362517">
              <w:rPr>
                <w:sz w:val="22"/>
                <w:szCs w:val="22"/>
              </w:rPr>
              <w:t>3.4</w:t>
            </w:r>
          </w:p>
        </w:tc>
        <w:tc>
          <w:tcPr>
            <w:tcW w:w="1239" w:type="dxa"/>
            <w:tcMar>
              <w:left w:w="115" w:type="dxa"/>
              <w:right w:w="576" w:type="dxa"/>
            </w:tcMar>
            <w:vAlign w:val="bottom"/>
          </w:tcPr>
          <w:p w14:paraId="2BFB49C3"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62497BBB" w14:textId="77777777" w:rsidR="00D8365A" w:rsidRPr="00362517" w:rsidRDefault="00D8365A" w:rsidP="00BF6BC7">
            <w:pPr>
              <w:tabs>
                <w:tab w:val="decimal" w:pos="489"/>
              </w:tabs>
              <w:ind w:right="-301"/>
              <w:rPr>
                <w:sz w:val="22"/>
                <w:szCs w:val="22"/>
              </w:rPr>
            </w:pPr>
            <w:r w:rsidRPr="00362517">
              <w:rPr>
                <w:sz w:val="22"/>
                <w:szCs w:val="22"/>
              </w:rPr>
              <w:t>0.0</w:t>
            </w:r>
          </w:p>
        </w:tc>
      </w:tr>
      <w:tr w:rsidR="00D8365A" w:rsidRPr="00362517" w14:paraId="27221797" w14:textId="77777777" w:rsidTr="007A2164">
        <w:tc>
          <w:tcPr>
            <w:tcW w:w="1525" w:type="dxa"/>
          </w:tcPr>
          <w:p w14:paraId="3AD1D146" w14:textId="77777777" w:rsidR="00D8365A" w:rsidRPr="00362517" w:rsidRDefault="00D8365A" w:rsidP="00BF6BC7">
            <w:pPr>
              <w:rPr>
                <w:sz w:val="22"/>
                <w:szCs w:val="22"/>
              </w:rPr>
            </w:pPr>
            <w:r w:rsidRPr="00362517">
              <w:rPr>
                <w:sz w:val="22"/>
                <w:szCs w:val="22"/>
              </w:rPr>
              <w:t>Michigan</w:t>
            </w:r>
          </w:p>
        </w:tc>
        <w:tc>
          <w:tcPr>
            <w:tcW w:w="1464" w:type="dxa"/>
            <w:tcMar>
              <w:left w:w="115" w:type="dxa"/>
              <w:right w:w="576" w:type="dxa"/>
            </w:tcMar>
            <w:vAlign w:val="bottom"/>
          </w:tcPr>
          <w:p w14:paraId="1E56465E" w14:textId="77777777" w:rsidR="00D8365A" w:rsidRPr="00362517" w:rsidRDefault="00D8365A" w:rsidP="00BF6BC7">
            <w:pPr>
              <w:tabs>
                <w:tab w:val="decimal" w:pos="965"/>
              </w:tabs>
              <w:ind w:right="-462"/>
              <w:rPr>
                <w:sz w:val="22"/>
                <w:szCs w:val="22"/>
              </w:rPr>
            </w:pPr>
            <w:r w:rsidRPr="00362517">
              <w:rPr>
                <w:sz w:val="22"/>
                <w:szCs w:val="22"/>
              </w:rPr>
              <w:t>1,414</w:t>
            </w:r>
          </w:p>
        </w:tc>
        <w:tc>
          <w:tcPr>
            <w:tcW w:w="1416" w:type="dxa"/>
            <w:vAlign w:val="bottom"/>
          </w:tcPr>
          <w:p w14:paraId="6ED6591D" w14:textId="77777777" w:rsidR="00D8365A" w:rsidRPr="00362517" w:rsidRDefault="00D8365A" w:rsidP="00BF6BC7">
            <w:pPr>
              <w:tabs>
                <w:tab w:val="decimal" w:pos="858"/>
              </w:tabs>
              <w:rPr>
                <w:sz w:val="22"/>
                <w:szCs w:val="22"/>
              </w:rPr>
            </w:pPr>
            <w:r w:rsidRPr="00362517">
              <w:rPr>
                <w:sz w:val="22"/>
                <w:szCs w:val="22"/>
              </w:rPr>
              <w:t>432</w:t>
            </w:r>
          </w:p>
        </w:tc>
        <w:tc>
          <w:tcPr>
            <w:tcW w:w="1238" w:type="dxa"/>
            <w:tcMar>
              <w:left w:w="115" w:type="dxa"/>
              <w:right w:w="576" w:type="dxa"/>
            </w:tcMar>
            <w:vAlign w:val="bottom"/>
          </w:tcPr>
          <w:p w14:paraId="3025ACFD" w14:textId="77777777" w:rsidR="00D8365A" w:rsidRPr="00362517" w:rsidRDefault="00D8365A" w:rsidP="00BF6BC7">
            <w:pPr>
              <w:tabs>
                <w:tab w:val="decimal" w:pos="605"/>
              </w:tabs>
              <w:ind w:right="-418"/>
              <w:rPr>
                <w:sz w:val="22"/>
                <w:szCs w:val="22"/>
              </w:rPr>
            </w:pPr>
            <w:r w:rsidRPr="00362517">
              <w:rPr>
                <w:sz w:val="22"/>
                <w:szCs w:val="22"/>
              </w:rPr>
              <w:t>12.7</w:t>
            </w:r>
          </w:p>
        </w:tc>
        <w:tc>
          <w:tcPr>
            <w:tcW w:w="1239" w:type="dxa"/>
            <w:tcMar>
              <w:left w:w="115" w:type="dxa"/>
              <w:right w:w="576" w:type="dxa"/>
            </w:tcMar>
            <w:vAlign w:val="bottom"/>
          </w:tcPr>
          <w:p w14:paraId="306A3EB4" w14:textId="77777777" w:rsidR="00D8365A" w:rsidRPr="00362517" w:rsidRDefault="00D8365A" w:rsidP="00BF6BC7">
            <w:pPr>
              <w:tabs>
                <w:tab w:val="decimal" w:pos="627"/>
              </w:tabs>
              <w:ind w:right="-439"/>
              <w:rPr>
                <w:sz w:val="22"/>
                <w:szCs w:val="22"/>
              </w:rPr>
            </w:pPr>
            <w:r w:rsidRPr="00362517">
              <w:rPr>
                <w:sz w:val="22"/>
                <w:szCs w:val="22"/>
              </w:rPr>
              <w:t>18.0</w:t>
            </w:r>
          </w:p>
        </w:tc>
        <w:tc>
          <w:tcPr>
            <w:tcW w:w="1239" w:type="dxa"/>
            <w:tcMar>
              <w:left w:w="115" w:type="dxa"/>
              <w:right w:w="576" w:type="dxa"/>
            </w:tcMar>
            <w:vAlign w:val="bottom"/>
          </w:tcPr>
          <w:p w14:paraId="76F43C3B"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12B79028" w14:textId="77777777" w:rsidR="00D8365A" w:rsidRPr="00362517" w:rsidRDefault="00D8365A" w:rsidP="00BF6BC7">
            <w:pPr>
              <w:tabs>
                <w:tab w:val="decimal" w:pos="489"/>
              </w:tabs>
              <w:ind w:right="-301"/>
              <w:rPr>
                <w:sz w:val="22"/>
                <w:szCs w:val="22"/>
              </w:rPr>
            </w:pPr>
            <w:r w:rsidRPr="00362517">
              <w:rPr>
                <w:sz w:val="22"/>
                <w:szCs w:val="22"/>
              </w:rPr>
              <w:t>0.2</w:t>
            </w:r>
          </w:p>
        </w:tc>
      </w:tr>
      <w:tr w:rsidR="00D8365A" w:rsidRPr="00362517" w14:paraId="15543D76" w14:textId="77777777" w:rsidTr="007A2164">
        <w:tc>
          <w:tcPr>
            <w:tcW w:w="1525" w:type="dxa"/>
          </w:tcPr>
          <w:p w14:paraId="61EFB327" w14:textId="77777777" w:rsidR="00D8365A" w:rsidRPr="00362517" w:rsidRDefault="00D8365A" w:rsidP="00BF6BC7">
            <w:pPr>
              <w:rPr>
                <w:sz w:val="22"/>
                <w:szCs w:val="22"/>
              </w:rPr>
            </w:pPr>
            <w:r w:rsidRPr="00362517">
              <w:rPr>
                <w:sz w:val="22"/>
                <w:szCs w:val="22"/>
              </w:rPr>
              <w:t>Minnesota</w:t>
            </w:r>
            <w:r w:rsidRPr="00362517">
              <w:rPr>
                <w:sz w:val="22"/>
                <w:szCs w:val="22"/>
                <w:vertAlign w:val="superscript"/>
              </w:rPr>
              <w:t xml:space="preserve"> 1</w:t>
            </w:r>
          </w:p>
        </w:tc>
        <w:tc>
          <w:tcPr>
            <w:tcW w:w="1464" w:type="dxa"/>
            <w:tcMar>
              <w:left w:w="115" w:type="dxa"/>
              <w:right w:w="576" w:type="dxa"/>
            </w:tcMar>
            <w:vAlign w:val="bottom"/>
          </w:tcPr>
          <w:p w14:paraId="43B8BAF5" w14:textId="77777777" w:rsidR="00D8365A" w:rsidRPr="00362517" w:rsidRDefault="00D8365A" w:rsidP="00BF6BC7">
            <w:pPr>
              <w:tabs>
                <w:tab w:val="decimal" w:pos="965"/>
              </w:tabs>
              <w:ind w:right="-462"/>
              <w:rPr>
                <w:sz w:val="22"/>
                <w:szCs w:val="22"/>
              </w:rPr>
            </w:pPr>
            <w:r w:rsidRPr="00362517">
              <w:rPr>
                <w:sz w:val="22"/>
                <w:szCs w:val="22"/>
              </w:rPr>
              <w:t>0</w:t>
            </w:r>
          </w:p>
        </w:tc>
        <w:tc>
          <w:tcPr>
            <w:tcW w:w="1416" w:type="dxa"/>
            <w:vAlign w:val="bottom"/>
          </w:tcPr>
          <w:p w14:paraId="20E9100A" w14:textId="77777777" w:rsidR="00D8365A" w:rsidRPr="00362517" w:rsidRDefault="00D8365A" w:rsidP="00BF6BC7">
            <w:pPr>
              <w:tabs>
                <w:tab w:val="decimal" w:pos="858"/>
              </w:tabs>
              <w:rPr>
                <w:sz w:val="22"/>
                <w:szCs w:val="22"/>
              </w:rPr>
            </w:pPr>
            <w:r w:rsidRPr="00362517">
              <w:rPr>
                <w:sz w:val="22"/>
                <w:szCs w:val="22"/>
              </w:rPr>
              <w:t>0</w:t>
            </w:r>
          </w:p>
        </w:tc>
        <w:tc>
          <w:tcPr>
            <w:tcW w:w="1238" w:type="dxa"/>
            <w:tcMar>
              <w:left w:w="115" w:type="dxa"/>
              <w:right w:w="576" w:type="dxa"/>
            </w:tcMar>
            <w:vAlign w:val="bottom"/>
          </w:tcPr>
          <w:p w14:paraId="28190A9A" w14:textId="77777777" w:rsidR="00D8365A" w:rsidRPr="00362517" w:rsidRDefault="00D8365A" w:rsidP="00BF6BC7">
            <w:pPr>
              <w:tabs>
                <w:tab w:val="decimal" w:pos="605"/>
              </w:tabs>
              <w:ind w:right="-418"/>
              <w:rPr>
                <w:sz w:val="22"/>
                <w:szCs w:val="22"/>
              </w:rPr>
            </w:pPr>
            <w:r w:rsidRPr="00362517">
              <w:rPr>
                <w:sz w:val="22"/>
                <w:szCs w:val="22"/>
              </w:rPr>
              <w:t>0.0</w:t>
            </w:r>
          </w:p>
        </w:tc>
        <w:tc>
          <w:tcPr>
            <w:tcW w:w="1239" w:type="dxa"/>
            <w:tcMar>
              <w:left w:w="115" w:type="dxa"/>
              <w:right w:w="576" w:type="dxa"/>
            </w:tcMar>
            <w:vAlign w:val="bottom"/>
          </w:tcPr>
          <w:p w14:paraId="63B88DE9" w14:textId="77777777" w:rsidR="00D8365A" w:rsidRPr="00362517" w:rsidRDefault="00D8365A" w:rsidP="00BF6BC7">
            <w:pPr>
              <w:tabs>
                <w:tab w:val="decimal" w:pos="627"/>
              </w:tabs>
              <w:ind w:right="-439"/>
              <w:rPr>
                <w:sz w:val="22"/>
                <w:szCs w:val="22"/>
              </w:rPr>
            </w:pPr>
            <w:r w:rsidRPr="00362517">
              <w:rPr>
                <w:sz w:val="22"/>
                <w:szCs w:val="22"/>
              </w:rPr>
              <w:t>0.0</w:t>
            </w:r>
          </w:p>
        </w:tc>
        <w:tc>
          <w:tcPr>
            <w:tcW w:w="1239" w:type="dxa"/>
            <w:tcMar>
              <w:left w:w="115" w:type="dxa"/>
              <w:right w:w="576" w:type="dxa"/>
            </w:tcMar>
            <w:vAlign w:val="bottom"/>
          </w:tcPr>
          <w:p w14:paraId="3A2906ED"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52FB7F6C" w14:textId="77777777" w:rsidR="00D8365A" w:rsidRPr="00362517" w:rsidRDefault="00D8365A" w:rsidP="00BF6BC7">
            <w:pPr>
              <w:tabs>
                <w:tab w:val="decimal" w:pos="489"/>
              </w:tabs>
              <w:ind w:right="-301"/>
              <w:rPr>
                <w:sz w:val="22"/>
                <w:szCs w:val="22"/>
              </w:rPr>
            </w:pPr>
            <w:r w:rsidRPr="00362517">
              <w:rPr>
                <w:sz w:val="22"/>
                <w:szCs w:val="22"/>
              </w:rPr>
              <w:t>0.0</w:t>
            </w:r>
          </w:p>
        </w:tc>
      </w:tr>
      <w:tr w:rsidR="00D8365A" w:rsidRPr="00362517" w14:paraId="10F5C579" w14:textId="77777777" w:rsidTr="007A2164">
        <w:tc>
          <w:tcPr>
            <w:tcW w:w="1525" w:type="dxa"/>
          </w:tcPr>
          <w:p w14:paraId="5BC68892" w14:textId="77777777" w:rsidR="00D8365A" w:rsidRPr="00362517" w:rsidRDefault="00D8365A" w:rsidP="00BF6BC7">
            <w:pPr>
              <w:rPr>
                <w:sz w:val="22"/>
                <w:szCs w:val="22"/>
              </w:rPr>
            </w:pPr>
            <w:r w:rsidRPr="00362517">
              <w:rPr>
                <w:sz w:val="22"/>
                <w:szCs w:val="22"/>
              </w:rPr>
              <w:t>Mississippi</w:t>
            </w:r>
          </w:p>
        </w:tc>
        <w:tc>
          <w:tcPr>
            <w:tcW w:w="1464" w:type="dxa"/>
            <w:tcMar>
              <w:left w:w="115" w:type="dxa"/>
              <w:right w:w="576" w:type="dxa"/>
            </w:tcMar>
            <w:vAlign w:val="bottom"/>
          </w:tcPr>
          <w:p w14:paraId="6A72256C" w14:textId="77777777" w:rsidR="00D8365A" w:rsidRPr="00362517" w:rsidRDefault="00D8365A" w:rsidP="00BF6BC7">
            <w:pPr>
              <w:tabs>
                <w:tab w:val="decimal" w:pos="965"/>
              </w:tabs>
              <w:ind w:right="-462"/>
              <w:rPr>
                <w:sz w:val="22"/>
                <w:szCs w:val="22"/>
              </w:rPr>
            </w:pPr>
            <w:r w:rsidRPr="00362517">
              <w:rPr>
                <w:sz w:val="22"/>
                <w:szCs w:val="22"/>
              </w:rPr>
              <w:t>1,654</w:t>
            </w:r>
          </w:p>
        </w:tc>
        <w:tc>
          <w:tcPr>
            <w:tcW w:w="1416" w:type="dxa"/>
            <w:vAlign w:val="bottom"/>
          </w:tcPr>
          <w:p w14:paraId="38129F04" w14:textId="77777777" w:rsidR="00D8365A" w:rsidRPr="00362517" w:rsidRDefault="00D8365A" w:rsidP="00BF6BC7">
            <w:pPr>
              <w:tabs>
                <w:tab w:val="decimal" w:pos="858"/>
              </w:tabs>
              <w:rPr>
                <w:sz w:val="22"/>
                <w:szCs w:val="22"/>
              </w:rPr>
            </w:pPr>
            <w:r w:rsidRPr="00362517">
              <w:rPr>
                <w:sz w:val="22"/>
                <w:szCs w:val="22"/>
              </w:rPr>
              <w:t>699</w:t>
            </w:r>
          </w:p>
        </w:tc>
        <w:tc>
          <w:tcPr>
            <w:tcW w:w="1238" w:type="dxa"/>
            <w:tcMar>
              <w:left w:w="115" w:type="dxa"/>
              <w:right w:w="576" w:type="dxa"/>
            </w:tcMar>
            <w:vAlign w:val="bottom"/>
          </w:tcPr>
          <w:p w14:paraId="3D6B1CD1" w14:textId="77777777" w:rsidR="00D8365A" w:rsidRPr="00362517" w:rsidRDefault="00D8365A" w:rsidP="00BF6BC7">
            <w:pPr>
              <w:tabs>
                <w:tab w:val="decimal" w:pos="605"/>
              </w:tabs>
              <w:ind w:right="-418"/>
              <w:rPr>
                <w:sz w:val="22"/>
                <w:szCs w:val="22"/>
              </w:rPr>
            </w:pPr>
            <w:r w:rsidRPr="00362517">
              <w:rPr>
                <w:sz w:val="22"/>
                <w:szCs w:val="22"/>
              </w:rPr>
              <w:t>6.5</w:t>
            </w:r>
          </w:p>
        </w:tc>
        <w:tc>
          <w:tcPr>
            <w:tcW w:w="1239" w:type="dxa"/>
            <w:tcMar>
              <w:left w:w="115" w:type="dxa"/>
              <w:right w:w="576" w:type="dxa"/>
            </w:tcMar>
            <w:vAlign w:val="bottom"/>
          </w:tcPr>
          <w:p w14:paraId="513D58E3" w14:textId="77777777" w:rsidR="00D8365A" w:rsidRPr="00362517" w:rsidRDefault="00D8365A" w:rsidP="00BF6BC7">
            <w:pPr>
              <w:tabs>
                <w:tab w:val="decimal" w:pos="627"/>
              </w:tabs>
              <w:ind w:right="-439"/>
              <w:rPr>
                <w:sz w:val="22"/>
                <w:szCs w:val="22"/>
              </w:rPr>
            </w:pPr>
            <w:r w:rsidRPr="00362517">
              <w:rPr>
                <w:sz w:val="22"/>
                <w:szCs w:val="22"/>
              </w:rPr>
              <w:t>9.3</w:t>
            </w:r>
          </w:p>
        </w:tc>
        <w:tc>
          <w:tcPr>
            <w:tcW w:w="1239" w:type="dxa"/>
            <w:tcMar>
              <w:left w:w="115" w:type="dxa"/>
              <w:right w:w="576" w:type="dxa"/>
            </w:tcMar>
            <w:vAlign w:val="bottom"/>
          </w:tcPr>
          <w:p w14:paraId="3987E9F0" w14:textId="77777777" w:rsidR="00D8365A" w:rsidRPr="00362517" w:rsidRDefault="00D8365A" w:rsidP="00BF6BC7">
            <w:pPr>
              <w:tabs>
                <w:tab w:val="decimal" w:pos="558"/>
              </w:tabs>
              <w:ind w:right="-370"/>
              <w:rPr>
                <w:sz w:val="22"/>
                <w:szCs w:val="22"/>
              </w:rPr>
            </w:pPr>
            <w:r w:rsidRPr="00362517">
              <w:rPr>
                <w:sz w:val="22"/>
                <w:szCs w:val="22"/>
              </w:rPr>
              <w:t>1.2</w:t>
            </w:r>
          </w:p>
        </w:tc>
        <w:tc>
          <w:tcPr>
            <w:tcW w:w="1239" w:type="dxa"/>
            <w:tcMar>
              <w:left w:w="115" w:type="dxa"/>
              <w:right w:w="576" w:type="dxa"/>
            </w:tcMar>
            <w:vAlign w:val="bottom"/>
          </w:tcPr>
          <w:p w14:paraId="2E265E20" w14:textId="77777777" w:rsidR="00D8365A" w:rsidRPr="00362517" w:rsidRDefault="00D8365A" w:rsidP="00BF6BC7">
            <w:pPr>
              <w:tabs>
                <w:tab w:val="decimal" w:pos="489"/>
              </w:tabs>
              <w:ind w:right="-301"/>
              <w:rPr>
                <w:sz w:val="22"/>
                <w:szCs w:val="22"/>
              </w:rPr>
            </w:pPr>
            <w:r w:rsidRPr="00362517">
              <w:rPr>
                <w:sz w:val="22"/>
                <w:szCs w:val="22"/>
              </w:rPr>
              <w:t>5.5</w:t>
            </w:r>
          </w:p>
        </w:tc>
      </w:tr>
      <w:tr w:rsidR="00D8365A" w:rsidRPr="00362517" w14:paraId="07F56263" w14:textId="77777777" w:rsidTr="007A2164">
        <w:tc>
          <w:tcPr>
            <w:tcW w:w="1525" w:type="dxa"/>
          </w:tcPr>
          <w:p w14:paraId="3FA57040" w14:textId="77777777" w:rsidR="00D8365A" w:rsidRPr="00362517" w:rsidRDefault="00D8365A" w:rsidP="00BF6BC7">
            <w:pPr>
              <w:rPr>
                <w:sz w:val="22"/>
                <w:szCs w:val="22"/>
              </w:rPr>
            </w:pPr>
            <w:r w:rsidRPr="00362517">
              <w:rPr>
                <w:sz w:val="22"/>
                <w:szCs w:val="22"/>
              </w:rPr>
              <w:t>Missouri</w:t>
            </w:r>
          </w:p>
        </w:tc>
        <w:tc>
          <w:tcPr>
            <w:tcW w:w="1464" w:type="dxa"/>
            <w:tcMar>
              <w:left w:w="115" w:type="dxa"/>
              <w:right w:w="576" w:type="dxa"/>
            </w:tcMar>
            <w:vAlign w:val="bottom"/>
          </w:tcPr>
          <w:p w14:paraId="48D0110E" w14:textId="77777777" w:rsidR="00D8365A" w:rsidRPr="00362517" w:rsidRDefault="00D8365A" w:rsidP="00BF6BC7">
            <w:pPr>
              <w:tabs>
                <w:tab w:val="decimal" w:pos="965"/>
              </w:tabs>
              <w:ind w:right="-462"/>
              <w:rPr>
                <w:sz w:val="22"/>
                <w:szCs w:val="22"/>
              </w:rPr>
            </w:pPr>
            <w:r w:rsidRPr="00362517">
              <w:rPr>
                <w:sz w:val="22"/>
                <w:szCs w:val="22"/>
              </w:rPr>
              <w:t>2,711</w:t>
            </w:r>
          </w:p>
        </w:tc>
        <w:tc>
          <w:tcPr>
            <w:tcW w:w="1416" w:type="dxa"/>
            <w:vAlign w:val="bottom"/>
          </w:tcPr>
          <w:p w14:paraId="712B1CB3" w14:textId="77777777" w:rsidR="00D8365A" w:rsidRPr="00362517" w:rsidRDefault="00D8365A" w:rsidP="00BF6BC7">
            <w:pPr>
              <w:tabs>
                <w:tab w:val="decimal" w:pos="858"/>
              </w:tabs>
              <w:rPr>
                <w:sz w:val="22"/>
                <w:szCs w:val="22"/>
              </w:rPr>
            </w:pPr>
            <w:r w:rsidRPr="00362517">
              <w:rPr>
                <w:sz w:val="22"/>
                <w:szCs w:val="22"/>
              </w:rPr>
              <w:t>890</w:t>
            </w:r>
          </w:p>
        </w:tc>
        <w:tc>
          <w:tcPr>
            <w:tcW w:w="1238" w:type="dxa"/>
            <w:tcMar>
              <w:left w:w="115" w:type="dxa"/>
              <w:right w:w="576" w:type="dxa"/>
            </w:tcMar>
            <w:vAlign w:val="bottom"/>
          </w:tcPr>
          <w:p w14:paraId="1DF8FE55" w14:textId="77777777" w:rsidR="00D8365A" w:rsidRPr="00362517" w:rsidRDefault="00D8365A" w:rsidP="00BF6BC7">
            <w:pPr>
              <w:tabs>
                <w:tab w:val="decimal" w:pos="605"/>
              </w:tabs>
              <w:ind w:right="-418"/>
              <w:rPr>
                <w:sz w:val="22"/>
                <w:szCs w:val="22"/>
              </w:rPr>
            </w:pPr>
            <w:r w:rsidRPr="00362517">
              <w:rPr>
                <w:sz w:val="22"/>
                <w:szCs w:val="22"/>
              </w:rPr>
              <w:t>22.0</w:t>
            </w:r>
          </w:p>
        </w:tc>
        <w:tc>
          <w:tcPr>
            <w:tcW w:w="1239" w:type="dxa"/>
            <w:tcMar>
              <w:left w:w="115" w:type="dxa"/>
              <w:right w:w="576" w:type="dxa"/>
            </w:tcMar>
            <w:vAlign w:val="bottom"/>
          </w:tcPr>
          <w:p w14:paraId="7441CDBB" w14:textId="77777777" w:rsidR="00D8365A" w:rsidRPr="00362517" w:rsidRDefault="00D8365A" w:rsidP="00BF6BC7">
            <w:pPr>
              <w:tabs>
                <w:tab w:val="decimal" w:pos="627"/>
              </w:tabs>
              <w:ind w:right="-439"/>
              <w:rPr>
                <w:sz w:val="22"/>
                <w:szCs w:val="22"/>
              </w:rPr>
            </w:pPr>
            <w:r w:rsidRPr="00362517">
              <w:rPr>
                <w:sz w:val="22"/>
                <w:szCs w:val="22"/>
              </w:rPr>
              <w:t>30.9</w:t>
            </w:r>
          </w:p>
        </w:tc>
        <w:tc>
          <w:tcPr>
            <w:tcW w:w="1239" w:type="dxa"/>
            <w:tcMar>
              <w:left w:w="115" w:type="dxa"/>
              <w:right w:w="576" w:type="dxa"/>
            </w:tcMar>
            <w:vAlign w:val="bottom"/>
          </w:tcPr>
          <w:p w14:paraId="1B7E6A62" w14:textId="77777777" w:rsidR="00D8365A" w:rsidRPr="00362517" w:rsidRDefault="00D8365A" w:rsidP="00BF6BC7">
            <w:pPr>
              <w:tabs>
                <w:tab w:val="decimal" w:pos="558"/>
              </w:tabs>
              <w:ind w:right="-370"/>
              <w:rPr>
                <w:sz w:val="22"/>
                <w:szCs w:val="22"/>
              </w:rPr>
            </w:pPr>
            <w:r w:rsidRPr="00362517">
              <w:rPr>
                <w:sz w:val="22"/>
                <w:szCs w:val="22"/>
              </w:rPr>
              <w:t>0.4</w:t>
            </w:r>
          </w:p>
        </w:tc>
        <w:tc>
          <w:tcPr>
            <w:tcW w:w="1239" w:type="dxa"/>
            <w:tcMar>
              <w:left w:w="115" w:type="dxa"/>
              <w:right w:w="576" w:type="dxa"/>
            </w:tcMar>
            <w:vAlign w:val="bottom"/>
          </w:tcPr>
          <w:p w14:paraId="5BC3F75C" w14:textId="77777777" w:rsidR="00D8365A" w:rsidRPr="00362517" w:rsidRDefault="00D8365A" w:rsidP="00BF6BC7">
            <w:pPr>
              <w:tabs>
                <w:tab w:val="decimal" w:pos="489"/>
              </w:tabs>
              <w:ind w:right="-301"/>
              <w:rPr>
                <w:sz w:val="22"/>
                <w:szCs w:val="22"/>
              </w:rPr>
            </w:pPr>
            <w:r w:rsidRPr="00362517">
              <w:rPr>
                <w:sz w:val="22"/>
                <w:szCs w:val="22"/>
              </w:rPr>
              <w:t>2.1</w:t>
            </w:r>
          </w:p>
        </w:tc>
      </w:tr>
      <w:tr w:rsidR="00D8365A" w:rsidRPr="00362517" w14:paraId="036A5D56" w14:textId="77777777" w:rsidTr="007A2164">
        <w:tc>
          <w:tcPr>
            <w:tcW w:w="1525" w:type="dxa"/>
          </w:tcPr>
          <w:p w14:paraId="6BCC1AE5" w14:textId="77777777" w:rsidR="00D8365A" w:rsidRPr="00362517" w:rsidRDefault="00D8365A" w:rsidP="00BF6BC7">
            <w:pPr>
              <w:rPr>
                <w:sz w:val="22"/>
                <w:szCs w:val="22"/>
              </w:rPr>
            </w:pPr>
            <w:r w:rsidRPr="00362517">
              <w:rPr>
                <w:sz w:val="22"/>
                <w:szCs w:val="22"/>
              </w:rPr>
              <w:t>Montana</w:t>
            </w:r>
          </w:p>
        </w:tc>
        <w:tc>
          <w:tcPr>
            <w:tcW w:w="1464" w:type="dxa"/>
            <w:tcMar>
              <w:left w:w="115" w:type="dxa"/>
              <w:right w:w="576" w:type="dxa"/>
            </w:tcMar>
            <w:vAlign w:val="bottom"/>
          </w:tcPr>
          <w:p w14:paraId="1030C678" w14:textId="77777777" w:rsidR="00D8365A" w:rsidRPr="00362517" w:rsidRDefault="00D8365A" w:rsidP="00BF6BC7">
            <w:pPr>
              <w:tabs>
                <w:tab w:val="decimal" w:pos="965"/>
              </w:tabs>
              <w:ind w:right="-462"/>
              <w:rPr>
                <w:sz w:val="22"/>
                <w:szCs w:val="22"/>
              </w:rPr>
            </w:pPr>
            <w:r w:rsidRPr="00362517">
              <w:rPr>
                <w:sz w:val="22"/>
                <w:szCs w:val="22"/>
              </w:rPr>
              <w:t>1,450</w:t>
            </w:r>
          </w:p>
        </w:tc>
        <w:tc>
          <w:tcPr>
            <w:tcW w:w="1416" w:type="dxa"/>
            <w:vAlign w:val="bottom"/>
          </w:tcPr>
          <w:p w14:paraId="3A3AA610" w14:textId="77777777" w:rsidR="00D8365A" w:rsidRPr="00362517" w:rsidRDefault="00D8365A" w:rsidP="00BF6BC7">
            <w:pPr>
              <w:tabs>
                <w:tab w:val="decimal" w:pos="858"/>
              </w:tabs>
              <w:rPr>
                <w:sz w:val="22"/>
                <w:szCs w:val="22"/>
              </w:rPr>
            </w:pPr>
            <w:r w:rsidRPr="00362517">
              <w:rPr>
                <w:sz w:val="22"/>
                <w:szCs w:val="22"/>
              </w:rPr>
              <w:t>510</w:t>
            </w:r>
          </w:p>
        </w:tc>
        <w:tc>
          <w:tcPr>
            <w:tcW w:w="1238" w:type="dxa"/>
            <w:tcMar>
              <w:left w:w="115" w:type="dxa"/>
              <w:right w:w="576" w:type="dxa"/>
            </w:tcMar>
            <w:vAlign w:val="bottom"/>
          </w:tcPr>
          <w:p w14:paraId="77017DB0" w14:textId="77777777" w:rsidR="00D8365A" w:rsidRPr="00362517" w:rsidRDefault="00D8365A" w:rsidP="00BF6BC7">
            <w:pPr>
              <w:tabs>
                <w:tab w:val="decimal" w:pos="605"/>
              </w:tabs>
              <w:ind w:right="-418"/>
              <w:rPr>
                <w:sz w:val="22"/>
                <w:szCs w:val="22"/>
              </w:rPr>
            </w:pPr>
            <w:r w:rsidRPr="00362517">
              <w:rPr>
                <w:sz w:val="22"/>
                <w:szCs w:val="22"/>
              </w:rPr>
              <w:t>4.7</w:t>
            </w:r>
          </w:p>
        </w:tc>
        <w:tc>
          <w:tcPr>
            <w:tcW w:w="1239" w:type="dxa"/>
            <w:tcMar>
              <w:left w:w="115" w:type="dxa"/>
              <w:right w:w="576" w:type="dxa"/>
            </w:tcMar>
            <w:vAlign w:val="bottom"/>
          </w:tcPr>
          <w:p w14:paraId="0F3FCCE4" w14:textId="77777777" w:rsidR="00D8365A" w:rsidRPr="00362517" w:rsidRDefault="00D8365A" w:rsidP="00BF6BC7">
            <w:pPr>
              <w:tabs>
                <w:tab w:val="decimal" w:pos="627"/>
              </w:tabs>
              <w:ind w:right="-439"/>
              <w:rPr>
                <w:sz w:val="22"/>
                <w:szCs w:val="22"/>
              </w:rPr>
            </w:pPr>
            <w:r w:rsidRPr="00362517">
              <w:rPr>
                <w:sz w:val="22"/>
                <w:szCs w:val="22"/>
              </w:rPr>
              <w:t>6.7</w:t>
            </w:r>
          </w:p>
        </w:tc>
        <w:tc>
          <w:tcPr>
            <w:tcW w:w="1239" w:type="dxa"/>
            <w:tcMar>
              <w:left w:w="115" w:type="dxa"/>
              <w:right w:w="576" w:type="dxa"/>
            </w:tcMar>
            <w:vAlign w:val="bottom"/>
          </w:tcPr>
          <w:p w14:paraId="1DA3F55C" w14:textId="77777777" w:rsidR="00D8365A" w:rsidRPr="00362517" w:rsidRDefault="00D8365A" w:rsidP="00BF6BC7">
            <w:pPr>
              <w:tabs>
                <w:tab w:val="decimal" w:pos="558"/>
              </w:tabs>
              <w:ind w:right="-370"/>
              <w:rPr>
                <w:sz w:val="22"/>
                <w:szCs w:val="22"/>
              </w:rPr>
            </w:pPr>
            <w:r w:rsidRPr="00362517">
              <w:rPr>
                <w:sz w:val="22"/>
                <w:szCs w:val="22"/>
              </w:rPr>
              <w:t>0.4</w:t>
            </w:r>
          </w:p>
        </w:tc>
        <w:tc>
          <w:tcPr>
            <w:tcW w:w="1239" w:type="dxa"/>
            <w:tcMar>
              <w:left w:w="115" w:type="dxa"/>
              <w:right w:w="576" w:type="dxa"/>
            </w:tcMar>
            <w:vAlign w:val="bottom"/>
          </w:tcPr>
          <w:p w14:paraId="36089C8B" w14:textId="77777777" w:rsidR="00D8365A" w:rsidRPr="00362517" w:rsidRDefault="00D8365A" w:rsidP="00BF6BC7">
            <w:pPr>
              <w:tabs>
                <w:tab w:val="decimal" w:pos="489"/>
              </w:tabs>
              <w:ind w:right="-301"/>
              <w:rPr>
                <w:sz w:val="22"/>
                <w:szCs w:val="22"/>
              </w:rPr>
            </w:pPr>
            <w:r w:rsidRPr="00362517">
              <w:rPr>
                <w:sz w:val="22"/>
                <w:szCs w:val="22"/>
              </w:rPr>
              <w:t>2.0</w:t>
            </w:r>
          </w:p>
        </w:tc>
      </w:tr>
      <w:tr w:rsidR="00D8365A" w:rsidRPr="00362517" w14:paraId="73DC5CA0" w14:textId="77777777" w:rsidTr="007A2164">
        <w:tc>
          <w:tcPr>
            <w:tcW w:w="1525" w:type="dxa"/>
          </w:tcPr>
          <w:p w14:paraId="228B61BE" w14:textId="77777777" w:rsidR="00D8365A" w:rsidRPr="00362517" w:rsidRDefault="00D8365A" w:rsidP="00BF6BC7">
            <w:pPr>
              <w:rPr>
                <w:sz w:val="22"/>
                <w:szCs w:val="22"/>
              </w:rPr>
            </w:pPr>
            <w:r w:rsidRPr="00362517">
              <w:rPr>
                <w:sz w:val="22"/>
                <w:szCs w:val="22"/>
              </w:rPr>
              <w:t>Nebraska</w:t>
            </w:r>
            <w:r w:rsidRPr="00362517">
              <w:rPr>
                <w:sz w:val="22"/>
                <w:szCs w:val="22"/>
                <w:vertAlign w:val="superscript"/>
              </w:rPr>
              <w:t xml:space="preserve"> 3</w:t>
            </w:r>
          </w:p>
        </w:tc>
        <w:tc>
          <w:tcPr>
            <w:tcW w:w="1464" w:type="dxa"/>
            <w:tcMar>
              <w:left w:w="115" w:type="dxa"/>
              <w:right w:w="576" w:type="dxa"/>
            </w:tcMar>
            <w:vAlign w:val="bottom"/>
          </w:tcPr>
          <w:p w14:paraId="58318406" w14:textId="77777777" w:rsidR="00D8365A" w:rsidRPr="00362517" w:rsidRDefault="00D8365A" w:rsidP="00BF6BC7">
            <w:pPr>
              <w:tabs>
                <w:tab w:val="decimal" w:pos="965"/>
              </w:tabs>
              <w:ind w:right="-462"/>
              <w:rPr>
                <w:sz w:val="22"/>
                <w:szCs w:val="22"/>
              </w:rPr>
            </w:pPr>
            <w:r w:rsidRPr="00362517">
              <w:rPr>
                <w:sz w:val="22"/>
                <w:szCs w:val="22"/>
              </w:rPr>
              <w:t>7,597</w:t>
            </w:r>
          </w:p>
        </w:tc>
        <w:tc>
          <w:tcPr>
            <w:tcW w:w="1416" w:type="dxa"/>
            <w:vAlign w:val="bottom"/>
          </w:tcPr>
          <w:p w14:paraId="7EA2B763" w14:textId="77777777" w:rsidR="00D8365A" w:rsidRPr="00362517" w:rsidRDefault="00D8365A" w:rsidP="00BF6BC7">
            <w:pPr>
              <w:tabs>
                <w:tab w:val="decimal" w:pos="858"/>
              </w:tabs>
              <w:rPr>
                <w:sz w:val="22"/>
                <w:szCs w:val="22"/>
              </w:rPr>
            </w:pPr>
            <w:r w:rsidRPr="00362517">
              <w:rPr>
                <w:sz w:val="22"/>
                <w:szCs w:val="22"/>
              </w:rPr>
              <w:t>2,487</w:t>
            </w:r>
          </w:p>
        </w:tc>
        <w:tc>
          <w:tcPr>
            <w:tcW w:w="1238" w:type="dxa"/>
            <w:tcMar>
              <w:left w:w="115" w:type="dxa"/>
              <w:right w:w="576" w:type="dxa"/>
            </w:tcMar>
            <w:vAlign w:val="bottom"/>
          </w:tcPr>
          <w:p w14:paraId="43624FAB" w14:textId="77777777" w:rsidR="00D8365A" w:rsidRPr="00362517" w:rsidRDefault="00D8365A" w:rsidP="00BF6BC7">
            <w:pPr>
              <w:tabs>
                <w:tab w:val="decimal" w:pos="605"/>
              </w:tabs>
              <w:ind w:right="-418"/>
              <w:rPr>
                <w:sz w:val="22"/>
                <w:szCs w:val="22"/>
              </w:rPr>
            </w:pPr>
            <w:r w:rsidRPr="00362517">
              <w:rPr>
                <w:sz w:val="22"/>
                <w:szCs w:val="22"/>
              </w:rPr>
              <w:t>0.0</w:t>
            </w:r>
          </w:p>
        </w:tc>
        <w:tc>
          <w:tcPr>
            <w:tcW w:w="1239" w:type="dxa"/>
            <w:tcMar>
              <w:left w:w="115" w:type="dxa"/>
              <w:right w:w="576" w:type="dxa"/>
            </w:tcMar>
            <w:vAlign w:val="bottom"/>
          </w:tcPr>
          <w:p w14:paraId="2D9732F5" w14:textId="77777777" w:rsidR="00D8365A" w:rsidRPr="00362517" w:rsidRDefault="00D8365A" w:rsidP="00BF6BC7">
            <w:pPr>
              <w:tabs>
                <w:tab w:val="decimal" w:pos="627"/>
              </w:tabs>
              <w:ind w:right="-439"/>
              <w:rPr>
                <w:sz w:val="22"/>
                <w:szCs w:val="22"/>
              </w:rPr>
            </w:pPr>
            <w:r w:rsidRPr="00362517">
              <w:rPr>
                <w:sz w:val="22"/>
                <w:szCs w:val="22"/>
              </w:rPr>
              <w:t>12.6</w:t>
            </w:r>
          </w:p>
        </w:tc>
        <w:tc>
          <w:tcPr>
            <w:tcW w:w="1239" w:type="dxa"/>
            <w:tcMar>
              <w:left w:w="115" w:type="dxa"/>
              <w:right w:w="576" w:type="dxa"/>
            </w:tcMar>
            <w:vAlign w:val="bottom"/>
          </w:tcPr>
          <w:p w14:paraId="1C8AA0B2"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0D438F47" w14:textId="77777777" w:rsidR="00D8365A" w:rsidRPr="00362517" w:rsidRDefault="00D8365A" w:rsidP="00BF6BC7">
            <w:pPr>
              <w:tabs>
                <w:tab w:val="decimal" w:pos="489"/>
              </w:tabs>
              <w:ind w:right="-301"/>
              <w:rPr>
                <w:sz w:val="22"/>
                <w:szCs w:val="22"/>
              </w:rPr>
            </w:pPr>
            <w:r w:rsidRPr="00362517">
              <w:rPr>
                <w:sz w:val="22"/>
                <w:szCs w:val="22"/>
              </w:rPr>
              <w:t>5.6</w:t>
            </w:r>
          </w:p>
        </w:tc>
      </w:tr>
      <w:tr w:rsidR="00D8365A" w:rsidRPr="00362517" w14:paraId="26ABD6BD" w14:textId="77777777" w:rsidTr="007A2164">
        <w:tc>
          <w:tcPr>
            <w:tcW w:w="1525" w:type="dxa"/>
          </w:tcPr>
          <w:p w14:paraId="67DA4B0D" w14:textId="77777777" w:rsidR="00D8365A" w:rsidRPr="00362517" w:rsidRDefault="00D8365A" w:rsidP="00BF6BC7">
            <w:pPr>
              <w:rPr>
                <w:sz w:val="22"/>
                <w:szCs w:val="22"/>
              </w:rPr>
            </w:pPr>
            <w:r w:rsidRPr="00362517">
              <w:rPr>
                <w:sz w:val="22"/>
                <w:szCs w:val="22"/>
              </w:rPr>
              <w:t>Nevada</w:t>
            </w:r>
          </w:p>
        </w:tc>
        <w:tc>
          <w:tcPr>
            <w:tcW w:w="1464" w:type="dxa"/>
            <w:tcMar>
              <w:left w:w="115" w:type="dxa"/>
              <w:right w:w="576" w:type="dxa"/>
            </w:tcMar>
            <w:vAlign w:val="bottom"/>
          </w:tcPr>
          <w:p w14:paraId="3C7E2556" w14:textId="77777777" w:rsidR="00D8365A" w:rsidRPr="00362517" w:rsidRDefault="00D8365A" w:rsidP="00BF6BC7">
            <w:pPr>
              <w:tabs>
                <w:tab w:val="decimal" w:pos="965"/>
              </w:tabs>
              <w:ind w:right="-462"/>
              <w:rPr>
                <w:sz w:val="22"/>
                <w:szCs w:val="22"/>
              </w:rPr>
            </w:pPr>
            <w:r w:rsidRPr="00362517">
              <w:rPr>
                <w:sz w:val="22"/>
                <w:szCs w:val="22"/>
              </w:rPr>
              <w:t>58</w:t>
            </w:r>
          </w:p>
        </w:tc>
        <w:tc>
          <w:tcPr>
            <w:tcW w:w="1416" w:type="dxa"/>
            <w:vAlign w:val="bottom"/>
          </w:tcPr>
          <w:p w14:paraId="4E6B387F" w14:textId="77777777" w:rsidR="00D8365A" w:rsidRPr="00362517" w:rsidRDefault="00D8365A" w:rsidP="00BF6BC7">
            <w:pPr>
              <w:tabs>
                <w:tab w:val="decimal" w:pos="858"/>
              </w:tabs>
              <w:rPr>
                <w:sz w:val="22"/>
                <w:szCs w:val="22"/>
              </w:rPr>
            </w:pPr>
            <w:r w:rsidRPr="00362517">
              <w:rPr>
                <w:sz w:val="22"/>
                <w:szCs w:val="22"/>
              </w:rPr>
              <w:t>23</w:t>
            </w:r>
          </w:p>
        </w:tc>
        <w:tc>
          <w:tcPr>
            <w:tcW w:w="1238" w:type="dxa"/>
            <w:tcMar>
              <w:left w:w="115" w:type="dxa"/>
              <w:right w:w="576" w:type="dxa"/>
            </w:tcMar>
            <w:vAlign w:val="bottom"/>
          </w:tcPr>
          <w:p w14:paraId="02633B54" w14:textId="77777777" w:rsidR="00D8365A" w:rsidRPr="00362517" w:rsidRDefault="00D8365A" w:rsidP="00BF6BC7">
            <w:pPr>
              <w:tabs>
                <w:tab w:val="decimal" w:pos="605"/>
              </w:tabs>
              <w:ind w:right="-418"/>
              <w:rPr>
                <w:sz w:val="22"/>
                <w:szCs w:val="22"/>
              </w:rPr>
            </w:pPr>
            <w:r w:rsidRPr="00362517">
              <w:rPr>
                <w:sz w:val="22"/>
                <w:szCs w:val="22"/>
              </w:rPr>
              <w:t>1.0</w:t>
            </w:r>
          </w:p>
        </w:tc>
        <w:tc>
          <w:tcPr>
            <w:tcW w:w="1239" w:type="dxa"/>
            <w:tcMar>
              <w:left w:w="115" w:type="dxa"/>
              <w:right w:w="576" w:type="dxa"/>
            </w:tcMar>
            <w:vAlign w:val="bottom"/>
          </w:tcPr>
          <w:p w14:paraId="33E7BB2A" w14:textId="77777777" w:rsidR="00D8365A" w:rsidRPr="00362517" w:rsidRDefault="00D8365A" w:rsidP="00BF6BC7">
            <w:pPr>
              <w:tabs>
                <w:tab w:val="decimal" w:pos="627"/>
              </w:tabs>
              <w:ind w:right="-439"/>
              <w:rPr>
                <w:sz w:val="22"/>
                <w:szCs w:val="22"/>
              </w:rPr>
            </w:pPr>
            <w:r w:rsidRPr="00362517">
              <w:rPr>
                <w:sz w:val="22"/>
                <w:szCs w:val="22"/>
              </w:rPr>
              <w:t>1.4</w:t>
            </w:r>
          </w:p>
        </w:tc>
        <w:tc>
          <w:tcPr>
            <w:tcW w:w="1239" w:type="dxa"/>
            <w:tcMar>
              <w:left w:w="115" w:type="dxa"/>
              <w:right w:w="576" w:type="dxa"/>
            </w:tcMar>
            <w:vAlign w:val="bottom"/>
          </w:tcPr>
          <w:p w14:paraId="5C041632"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23D46823" w14:textId="77777777" w:rsidR="00D8365A" w:rsidRPr="00362517" w:rsidRDefault="00D8365A" w:rsidP="00BF6BC7">
            <w:pPr>
              <w:tabs>
                <w:tab w:val="decimal" w:pos="489"/>
              </w:tabs>
              <w:ind w:right="-301"/>
              <w:rPr>
                <w:sz w:val="22"/>
                <w:szCs w:val="22"/>
              </w:rPr>
            </w:pPr>
            <w:r w:rsidRPr="00362517">
              <w:rPr>
                <w:sz w:val="22"/>
                <w:szCs w:val="22"/>
              </w:rPr>
              <w:t>0.1</w:t>
            </w:r>
          </w:p>
        </w:tc>
      </w:tr>
      <w:tr w:rsidR="00D8365A" w:rsidRPr="00362517" w14:paraId="1B5C5DCA" w14:textId="77777777" w:rsidTr="007A2164">
        <w:tc>
          <w:tcPr>
            <w:tcW w:w="1525" w:type="dxa"/>
          </w:tcPr>
          <w:p w14:paraId="2959EA34" w14:textId="77777777" w:rsidR="00D8365A" w:rsidRPr="00362517" w:rsidRDefault="00D8365A" w:rsidP="00BF6BC7">
            <w:pPr>
              <w:rPr>
                <w:sz w:val="22"/>
                <w:szCs w:val="22"/>
              </w:rPr>
            </w:pPr>
            <w:r w:rsidRPr="00362517">
              <w:rPr>
                <w:sz w:val="22"/>
                <w:szCs w:val="22"/>
              </w:rPr>
              <w:t>New Hampshire</w:t>
            </w:r>
          </w:p>
        </w:tc>
        <w:tc>
          <w:tcPr>
            <w:tcW w:w="1464" w:type="dxa"/>
            <w:tcMar>
              <w:left w:w="115" w:type="dxa"/>
              <w:right w:w="576" w:type="dxa"/>
            </w:tcMar>
            <w:vAlign w:val="bottom"/>
          </w:tcPr>
          <w:p w14:paraId="797A82B0" w14:textId="77777777" w:rsidR="00D8365A" w:rsidRPr="00362517" w:rsidRDefault="00D8365A" w:rsidP="00BF6BC7">
            <w:pPr>
              <w:tabs>
                <w:tab w:val="decimal" w:pos="965"/>
              </w:tabs>
              <w:ind w:right="-462"/>
              <w:rPr>
                <w:sz w:val="22"/>
                <w:szCs w:val="22"/>
              </w:rPr>
            </w:pPr>
            <w:r w:rsidRPr="00362517">
              <w:rPr>
                <w:sz w:val="22"/>
                <w:szCs w:val="22"/>
              </w:rPr>
              <w:t>36</w:t>
            </w:r>
          </w:p>
        </w:tc>
        <w:tc>
          <w:tcPr>
            <w:tcW w:w="1416" w:type="dxa"/>
            <w:vAlign w:val="bottom"/>
          </w:tcPr>
          <w:p w14:paraId="6BF483CF" w14:textId="77777777" w:rsidR="00D8365A" w:rsidRPr="00362517" w:rsidRDefault="00D8365A" w:rsidP="00BF6BC7">
            <w:pPr>
              <w:tabs>
                <w:tab w:val="decimal" w:pos="858"/>
              </w:tabs>
              <w:rPr>
                <w:sz w:val="22"/>
                <w:szCs w:val="22"/>
              </w:rPr>
            </w:pPr>
            <w:r w:rsidRPr="00362517">
              <w:rPr>
                <w:sz w:val="22"/>
                <w:szCs w:val="22"/>
              </w:rPr>
              <w:t>11</w:t>
            </w:r>
          </w:p>
        </w:tc>
        <w:tc>
          <w:tcPr>
            <w:tcW w:w="1238" w:type="dxa"/>
            <w:tcMar>
              <w:left w:w="115" w:type="dxa"/>
              <w:right w:w="576" w:type="dxa"/>
            </w:tcMar>
            <w:vAlign w:val="bottom"/>
          </w:tcPr>
          <w:p w14:paraId="1E718F5E" w14:textId="77777777" w:rsidR="00D8365A" w:rsidRPr="00362517" w:rsidRDefault="00D8365A" w:rsidP="00BF6BC7">
            <w:pPr>
              <w:tabs>
                <w:tab w:val="decimal" w:pos="605"/>
              </w:tabs>
              <w:ind w:right="-418"/>
              <w:rPr>
                <w:sz w:val="22"/>
                <w:szCs w:val="22"/>
              </w:rPr>
            </w:pPr>
            <w:r w:rsidRPr="00362517">
              <w:rPr>
                <w:sz w:val="22"/>
                <w:szCs w:val="22"/>
              </w:rPr>
              <w:t>1.5</w:t>
            </w:r>
          </w:p>
        </w:tc>
        <w:tc>
          <w:tcPr>
            <w:tcW w:w="1239" w:type="dxa"/>
            <w:tcMar>
              <w:left w:w="115" w:type="dxa"/>
              <w:right w:w="576" w:type="dxa"/>
            </w:tcMar>
            <w:vAlign w:val="bottom"/>
          </w:tcPr>
          <w:p w14:paraId="0595C3AC" w14:textId="77777777" w:rsidR="00D8365A" w:rsidRPr="00362517" w:rsidRDefault="00D8365A" w:rsidP="00BF6BC7">
            <w:pPr>
              <w:tabs>
                <w:tab w:val="decimal" w:pos="627"/>
              </w:tabs>
              <w:ind w:right="-439"/>
              <w:rPr>
                <w:sz w:val="22"/>
                <w:szCs w:val="22"/>
              </w:rPr>
            </w:pPr>
            <w:r w:rsidRPr="00362517">
              <w:rPr>
                <w:sz w:val="22"/>
                <w:szCs w:val="22"/>
              </w:rPr>
              <w:t>2.3</w:t>
            </w:r>
          </w:p>
        </w:tc>
        <w:tc>
          <w:tcPr>
            <w:tcW w:w="1239" w:type="dxa"/>
            <w:tcMar>
              <w:left w:w="115" w:type="dxa"/>
              <w:right w:w="576" w:type="dxa"/>
            </w:tcMar>
            <w:vAlign w:val="bottom"/>
          </w:tcPr>
          <w:p w14:paraId="5D804BA4"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1DE2A839" w14:textId="77777777" w:rsidR="00D8365A" w:rsidRPr="00362517" w:rsidRDefault="00D8365A" w:rsidP="00BF6BC7">
            <w:pPr>
              <w:tabs>
                <w:tab w:val="decimal" w:pos="489"/>
              </w:tabs>
              <w:ind w:right="-301"/>
              <w:rPr>
                <w:sz w:val="22"/>
                <w:szCs w:val="22"/>
              </w:rPr>
            </w:pPr>
            <w:r w:rsidRPr="00362517">
              <w:rPr>
                <w:sz w:val="22"/>
                <w:szCs w:val="22"/>
              </w:rPr>
              <w:t>0.0</w:t>
            </w:r>
          </w:p>
        </w:tc>
      </w:tr>
      <w:tr w:rsidR="00D8365A" w:rsidRPr="00362517" w14:paraId="0FF0524D" w14:textId="77777777" w:rsidTr="007A2164">
        <w:tc>
          <w:tcPr>
            <w:tcW w:w="1525" w:type="dxa"/>
          </w:tcPr>
          <w:p w14:paraId="4186C202" w14:textId="77777777" w:rsidR="00D8365A" w:rsidRPr="00362517" w:rsidRDefault="00D8365A" w:rsidP="00BF6BC7">
            <w:pPr>
              <w:rPr>
                <w:sz w:val="22"/>
                <w:szCs w:val="22"/>
              </w:rPr>
            </w:pPr>
            <w:r w:rsidRPr="00362517">
              <w:rPr>
                <w:sz w:val="22"/>
                <w:szCs w:val="22"/>
              </w:rPr>
              <w:t>New Jersey</w:t>
            </w:r>
            <w:r w:rsidRPr="00362517">
              <w:rPr>
                <w:sz w:val="22"/>
                <w:szCs w:val="22"/>
                <w:vertAlign w:val="superscript"/>
              </w:rPr>
              <w:t xml:space="preserve"> 2</w:t>
            </w:r>
          </w:p>
        </w:tc>
        <w:tc>
          <w:tcPr>
            <w:tcW w:w="1464" w:type="dxa"/>
            <w:tcMar>
              <w:left w:w="115" w:type="dxa"/>
              <w:right w:w="576" w:type="dxa"/>
            </w:tcMar>
            <w:vAlign w:val="bottom"/>
          </w:tcPr>
          <w:p w14:paraId="69CDA655" w14:textId="77777777" w:rsidR="00D8365A" w:rsidRPr="00362517" w:rsidRDefault="00D8365A" w:rsidP="00BF6BC7">
            <w:pPr>
              <w:tabs>
                <w:tab w:val="decimal" w:pos="965"/>
              </w:tabs>
              <w:ind w:right="-462"/>
              <w:rPr>
                <w:sz w:val="22"/>
                <w:szCs w:val="22"/>
              </w:rPr>
            </w:pPr>
            <w:r w:rsidRPr="00362517">
              <w:rPr>
                <w:sz w:val="22"/>
                <w:szCs w:val="22"/>
              </w:rPr>
              <w:t>236</w:t>
            </w:r>
          </w:p>
        </w:tc>
        <w:tc>
          <w:tcPr>
            <w:tcW w:w="1416" w:type="dxa"/>
            <w:vAlign w:val="bottom"/>
          </w:tcPr>
          <w:p w14:paraId="11730265" w14:textId="77777777" w:rsidR="00D8365A" w:rsidRPr="00362517" w:rsidRDefault="00D8365A" w:rsidP="00BF6BC7">
            <w:pPr>
              <w:tabs>
                <w:tab w:val="decimal" w:pos="858"/>
              </w:tabs>
              <w:rPr>
                <w:sz w:val="22"/>
                <w:szCs w:val="22"/>
              </w:rPr>
            </w:pPr>
            <w:r w:rsidRPr="00362517">
              <w:rPr>
                <w:sz w:val="22"/>
                <w:szCs w:val="22"/>
              </w:rPr>
              <w:t>73</w:t>
            </w:r>
          </w:p>
        </w:tc>
        <w:tc>
          <w:tcPr>
            <w:tcW w:w="1238" w:type="dxa"/>
            <w:tcMar>
              <w:left w:w="115" w:type="dxa"/>
              <w:right w:w="576" w:type="dxa"/>
            </w:tcMar>
            <w:vAlign w:val="bottom"/>
          </w:tcPr>
          <w:p w14:paraId="042F854E" w14:textId="77777777" w:rsidR="00D8365A" w:rsidRPr="00362517" w:rsidRDefault="00D8365A" w:rsidP="00BF6BC7">
            <w:pPr>
              <w:tabs>
                <w:tab w:val="decimal" w:pos="605"/>
              </w:tabs>
              <w:ind w:right="-418"/>
              <w:rPr>
                <w:sz w:val="22"/>
                <w:szCs w:val="22"/>
              </w:rPr>
            </w:pPr>
            <w:r w:rsidRPr="00362517">
              <w:rPr>
                <w:sz w:val="22"/>
                <w:szCs w:val="22"/>
              </w:rPr>
              <w:t>0.0</w:t>
            </w:r>
          </w:p>
        </w:tc>
        <w:tc>
          <w:tcPr>
            <w:tcW w:w="1239" w:type="dxa"/>
            <w:tcMar>
              <w:left w:w="115" w:type="dxa"/>
              <w:right w:w="576" w:type="dxa"/>
            </w:tcMar>
            <w:vAlign w:val="bottom"/>
          </w:tcPr>
          <w:p w14:paraId="2E19C60C" w14:textId="77777777" w:rsidR="00D8365A" w:rsidRPr="00362517" w:rsidRDefault="00D8365A" w:rsidP="00BF6BC7">
            <w:pPr>
              <w:tabs>
                <w:tab w:val="decimal" w:pos="627"/>
              </w:tabs>
              <w:ind w:right="-439"/>
              <w:rPr>
                <w:sz w:val="22"/>
                <w:szCs w:val="22"/>
              </w:rPr>
            </w:pPr>
            <w:r w:rsidRPr="00362517">
              <w:rPr>
                <w:sz w:val="22"/>
                <w:szCs w:val="22"/>
              </w:rPr>
              <w:t>0.0</w:t>
            </w:r>
          </w:p>
        </w:tc>
        <w:tc>
          <w:tcPr>
            <w:tcW w:w="1239" w:type="dxa"/>
            <w:tcMar>
              <w:left w:w="115" w:type="dxa"/>
              <w:right w:w="576" w:type="dxa"/>
            </w:tcMar>
            <w:vAlign w:val="bottom"/>
          </w:tcPr>
          <w:p w14:paraId="2DCF837E"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0CF4370B" w14:textId="77777777" w:rsidR="00D8365A" w:rsidRPr="00362517" w:rsidRDefault="00D8365A" w:rsidP="00BF6BC7">
            <w:pPr>
              <w:tabs>
                <w:tab w:val="decimal" w:pos="489"/>
              </w:tabs>
              <w:ind w:right="-301"/>
              <w:rPr>
                <w:sz w:val="22"/>
                <w:szCs w:val="22"/>
              </w:rPr>
            </w:pPr>
            <w:r w:rsidRPr="00362517">
              <w:rPr>
                <w:sz w:val="22"/>
                <w:szCs w:val="22"/>
              </w:rPr>
              <w:t>0.0</w:t>
            </w:r>
          </w:p>
        </w:tc>
      </w:tr>
      <w:tr w:rsidR="00D8365A" w:rsidRPr="00362517" w14:paraId="7E00F462" w14:textId="77777777" w:rsidTr="007A2164">
        <w:tc>
          <w:tcPr>
            <w:tcW w:w="1525" w:type="dxa"/>
          </w:tcPr>
          <w:p w14:paraId="11921B62" w14:textId="77777777" w:rsidR="00D8365A" w:rsidRPr="00362517" w:rsidRDefault="00D8365A" w:rsidP="00BF6BC7">
            <w:pPr>
              <w:rPr>
                <w:sz w:val="22"/>
                <w:szCs w:val="22"/>
              </w:rPr>
            </w:pPr>
            <w:r w:rsidRPr="00362517">
              <w:rPr>
                <w:sz w:val="22"/>
                <w:szCs w:val="22"/>
              </w:rPr>
              <w:t>New Mexico</w:t>
            </w:r>
          </w:p>
        </w:tc>
        <w:tc>
          <w:tcPr>
            <w:tcW w:w="1464" w:type="dxa"/>
            <w:tcMar>
              <w:left w:w="115" w:type="dxa"/>
              <w:right w:w="576" w:type="dxa"/>
            </w:tcMar>
            <w:vAlign w:val="bottom"/>
          </w:tcPr>
          <w:p w14:paraId="2D31360D" w14:textId="77777777" w:rsidR="00D8365A" w:rsidRPr="00362517" w:rsidRDefault="00D8365A" w:rsidP="00BF6BC7">
            <w:pPr>
              <w:tabs>
                <w:tab w:val="decimal" w:pos="965"/>
              </w:tabs>
              <w:ind w:right="-462"/>
              <w:rPr>
                <w:sz w:val="22"/>
                <w:szCs w:val="22"/>
              </w:rPr>
            </w:pPr>
            <w:r w:rsidRPr="00362517">
              <w:rPr>
                <w:sz w:val="22"/>
                <w:szCs w:val="22"/>
              </w:rPr>
              <w:t>246</w:t>
            </w:r>
          </w:p>
        </w:tc>
        <w:tc>
          <w:tcPr>
            <w:tcW w:w="1416" w:type="dxa"/>
            <w:vAlign w:val="bottom"/>
          </w:tcPr>
          <w:p w14:paraId="53F35415" w14:textId="77777777" w:rsidR="00D8365A" w:rsidRPr="00362517" w:rsidRDefault="00D8365A" w:rsidP="00BF6BC7">
            <w:pPr>
              <w:tabs>
                <w:tab w:val="decimal" w:pos="858"/>
              </w:tabs>
              <w:rPr>
                <w:sz w:val="22"/>
                <w:szCs w:val="22"/>
              </w:rPr>
            </w:pPr>
            <w:r w:rsidRPr="00362517">
              <w:rPr>
                <w:sz w:val="22"/>
                <w:szCs w:val="22"/>
              </w:rPr>
              <w:t>91</w:t>
            </w:r>
          </w:p>
        </w:tc>
        <w:tc>
          <w:tcPr>
            <w:tcW w:w="1238" w:type="dxa"/>
            <w:tcMar>
              <w:left w:w="115" w:type="dxa"/>
              <w:right w:w="576" w:type="dxa"/>
            </w:tcMar>
            <w:vAlign w:val="bottom"/>
          </w:tcPr>
          <w:p w14:paraId="38ED8EC8" w14:textId="77777777" w:rsidR="00D8365A" w:rsidRPr="00362517" w:rsidRDefault="00D8365A" w:rsidP="00BF6BC7">
            <w:pPr>
              <w:tabs>
                <w:tab w:val="decimal" w:pos="605"/>
              </w:tabs>
              <w:ind w:right="-418"/>
              <w:rPr>
                <w:sz w:val="22"/>
                <w:szCs w:val="22"/>
              </w:rPr>
            </w:pPr>
            <w:r w:rsidRPr="00362517">
              <w:rPr>
                <w:sz w:val="22"/>
                <w:szCs w:val="22"/>
              </w:rPr>
              <w:t>5.5</w:t>
            </w:r>
          </w:p>
        </w:tc>
        <w:tc>
          <w:tcPr>
            <w:tcW w:w="1239" w:type="dxa"/>
            <w:tcMar>
              <w:left w:w="115" w:type="dxa"/>
              <w:right w:w="576" w:type="dxa"/>
            </w:tcMar>
            <w:vAlign w:val="bottom"/>
          </w:tcPr>
          <w:p w14:paraId="0C8B70BE" w14:textId="77777777" w:rsidR="00D8365A" w:rsidRPr="00362517" w:rsidRDefault="00D8365A" w:rsidP="00BF6BC7">
            <w:pPr>
              <w:tabs>
                <w:tab w:val="decimal" w:pos="627"/>
              </w:tabs>
              <w:ind w:right="-439"/>
              <w:rPr>
                <w:sz w:val="22"/>
                <w:szCs w:val="22"/>
              </w:rPr>
            </w:pPr>
            <w:r w:rsidRPr="00362517">
              <w:rPr>
                <w:sz w:val="22"/>
                <w:szCs w:val="22"/>
              </w:rPr>
              <w:t>7.8</w:t>
            </w:r>
          </w:p>
        </w:tc>
        <w:tc>
          <w:tcPr>
            <w:tcW w:w="1239" w:type="dxa"/>
            <w:tcMar>
              <w:left w:w="115" w:type="dxa"/>
              <w:right w:w="576" w:type="dxa"/>
            </w:tcMar>
            <w:vAlign w:val="bottom"/>
          </w:tcPr>
          <w:p w14:paraId="5C70D395" w14:textId="77777777" w:rsidR="00D8365A" w:rsidRPr="00362517" w:rsidRDefault="00D8365A" w:rsidP="00BF6BC7">
            <w:pPr>
              <w:tabs>
                <w:tab w:val="decimal" w:pos="558"/>
              </w:tabs>
              <w:ind w:right="-370"/>
              <w:rPr>
                <w:sz w:val="22"/>
                <w:szCs w:val="22"/>
              </w:rPr>
            </w:pPr>
            <w:r w:rsidRPr="00362517">
              <w:rPr>
                <w:sz w:val="22"/>
                <w:szCs w:val="22"/>
              </w:rPr>
              <w:t>0.1</w:t>
            </w:r>
          </w:p>
        </w:tc>
        <w:tc>
          <w:tcPr>
            <w:tcW w:w="1239" w:type="dxa"/>
            <w:tcMar>
              <w:left w:w="115" w:type="dxa"/>
              <w:right w:w="576" w:type="dxa"/>
            </w:tcMar>
            <w:vAlign w:val="bottom"/>
          </w:tcPr>
          <w:p w14:paraId="6F71DB8F" w14:textId="77777777" w:rsidR="00D8365A" w:rsidRPr="00362517" w:rsidRDefault="00D8365A" w:rsidP="00BF6BC7">
            <w:pPr>
              <w:tabs>
                <w:tab w:val="decimal" w:pos="489"/>
              </w:tabs>
              <w:ind w:right="-301"/>
              <w:rPr>
                <w:sz w:val="22"/>
                <w:szCs w:val="22"/>
              </w:rPr>
            </w:pPr>
            <w:r w:rsidRPr="00362517">
              <w:rPr>
                <w:sz w:val="22"/>
                <w:szCs w:val="22"/>
              </w:rPr>
              <w:t>0.5</w:t>
            </w:r>
          </w:p>
        </w:tc>
      </w:tr>
      <w:tr w:rsidR="00D8365A" w:rsidRPr="00362517" w14:paraId="2C90F59C" w14:textId="77777777" w:rsidTr="007A2164">
        <w:tc>
          <w:tcPr>
            <w:tcW w:w="1525" w:type="dxa"/>
          </w:tcPr>
          <w:p w14:paraId="05AC4220" w14:textId="77777777" w:rsidR="00D8365A" w:rsidRPr="00362517" w:rsidRDefault="00D8365A" w:rsidP="00BF6BC7">
            <w:pPr>
              <w:rPr>
                <w:sz w:val="22"/>
                <w:szCs w:val="22"/>
              </w:rPr>
            </w:pPr>
            <w:r w:rsidRPr="00362517">
              <w:rPr>
                <w:sz w:val="22"/>
                <w:szCs w:val="22"/>
              </w:rPr>
              <w:t>New York</w:t>
            </w:r>
          </w:p>
        </w:tc>
        <w:tc>
          <w:tcPr>
            <w:tcW w:w="1464" w:type="dxa"/>
            <w:tcMar>
              <w:left w:w="115" w:type="dxa"/>
              <w:right w:w="576" w:type="dxa"/>
            </w:tcMar>
            <w:vAlign w:val="bottom"/>
          </w:tcPr>
          <w:p w14:paraId="3C71761B" w14:textId="77777777" w:rsidR="00D8365A" w:rsidRPr="00362517" w:rsidRDefault="00D8365A" w:rsidP="00BF6BC7">
            <w:pPr>
              <w:tabs>
                <w:tab w:val="decimal" w:pos="965"/>
              </w:tabs>
              <w:ind w:right="-462"/>
              <w:rPr>
                <w:sz w:val="22"/>
                <w:szCs w:val="22"/>
              </w:rPr>
            </w:pPr>
            <w:r w:rsidRPr="00362517">
              <w:rPr>
                <w:sz w:val="22"/>
                <w:szCs w:val="22"/>
              </w:rPr>
              <w:t>1,351</w:t>
            </w:r>
          </w:p>
        </w:tc>
        <w:tc>
          <w:tcPr>
            <w:tcW w:w="1416" w:type="dxa"/>
            <w:vAlign w:val="bottom"/>
          </w:tcPr>
          <w:p w14:paraId="67CCB14A" w14:textId="77777777" w:rsidR="00D8365A" w:rsidRPr="00362517" w:rsidRDefault="00D8365A" w:rsidP="00BF6BC7">
            <w:pPr>
              <w:tabs>
                <w:tab w:val="decimal" w:pos="858"/>
              </w:tabs>
              <w:rPr>
                <w:sz w:val="22"/>
                <w:szCs w:val="22"/>
              </w:rPr>
            </w:pPr>
            <w:r w:rsidRPr="00362517">
              <w:rPr>
                <w:sz w:val="22"/>
                <w:szCs w:val="22"/>
              </w:rPr>
              <w:t>442</w:t>
            </w:r>
          </w:p>
        </w:tc>
        <w:tc>
          <w:tcPr>
            <w:tcW w:w="1238" w:type="dxa"/>
            <w:tcMar>
              <w:left w:w="115" w:type="dxa"/>
              <w:right w:w="576" w:type="dxa"/>
            </w:tcMar>
            <w:vAlign w:val="bottom"/>
          </w:tcPr>
          <w:p w14:paraId="32BA48AA" w14:textId="77777777" w:rsidR="00D8365A" w:rsidRPr="00362517" w:rsidRDefault="00D8365A" w:rsidP="00BF6BC7">
            <w:pPr>
              <w:tabs>
                <w:tab w:val="decimal" w:pos="605"/>
              </w:tabs>
              <w:ind w:right="-418"/>
              <w:rPr>
                <w:sz w:val="22"/>
                <w:szCs w:val="22"/>
              </w:rPr>
            </w:pPr>
            <w:r w:rsidRPr="00362517">
              <w:rPr>
                <w:sz w:val="22"/>
                <w:szCs w:val="22"/>
              </w:rPr>
              <w:t>11.1</w:t>
            </w:r>
          </w:p>
        </w:tc>
        <w:tc>
          <w:tcPr>
            <w:tcW w:w="1239" w:type="dxa"/>
            <w:tcMar>
              <w:left w:w="115" w:type="dxa"/>
              <w:right w:w="576" w:type="dxa"/>
            </w:tcMar>
            <w:vAlign w:val="bottom"/>
          </w:tcPr>
          <w:p w14:paraId="2F826100" w14:textId="77777777" w:rsidR="00D8365A" w:rsidRPr="00362517" w:rsidRDefault="00D8365A" w:rsidP="00BF6BC7">
            <w:pPr>
              <w:tabs>
                <w:tab w:val="decimal" w:pos="627"/>
              </w:tabs>
              <w:ind w:right="-439"/>
              <w:rPr>
                <w:sz w:val="22"/>
                <w:szCs w:val="22"/>
              </w:rPr>
            </w:pPr>
            <w:r w:rsidRPr="00362517">
              <w:rPr>
                <w:sz w:val="22"/>
                <w:szCs w:val="22"/>
              </w:rPr>
              <w:t>15.6</w:t>
            </w:r>
          </w:p>
        </w:tc>
        <w:tc>
          <w:tcPr>
            <w:tcW w:w="1239" w:type="dxa"/>
            <w:tcMar>
              <w:left w:w="115" w:type="dxa"/>
              <w:right w:w="576" w:type="dxa"/>
            </w:tcMar>
            <w:vAlign w:val="bottom"/>
          </w:tcPr>
          <w:p w14:paraId="37CFFC2A" w14:textId="77777777" w:rsidR="00D8365A" w:rsidRPr="00362517" w:rsidRDefault="00D8365A" w:rsidP="00BF6BC7">
            <w:pPr>
              <w:tabs>
                <w:tab w:val="decimal" w:pos="558"/>
              </w:tabs>
              <w:ind w:right="-370"/>
              <w:rPr>
                <w:sz w:val="22"/>
                <w:szCs w:val="22"/>
              </w:rPr>
            </w:pPr>
            <w:r w:rsidRPr="00362517">
              <w:rPr>
                <w:sz w:val="22"/>
                <w:szCs w:val="22"/>
              </w:rPr>
              <w:t>0.2</w:t>
            </w:r>
          </w:p>
        </w:tc>
        <w:tc>
          <w:tcPr>
            <w:tcW w:w="1239" w:type="dxa"/>
            <w:tcMar>
              <w:left w:w="115" w:type="dxa"/>
              <w:right w:w="576" w:type="dxa"/>
            </w:tcMar>
            <w:vAlign w:val="bottom"/>
          </w:tcPr>
          <w:p w14:paraId="4109B5D1" w14:textId="77777777" w:rsidR="00D8365A" w:rsidRPr="00362517" w:rsidRDefault="00D8365A" w:rsidP="00BF6BC7">
            <w:pPr>
              <w:tabs>
                <w:tab w:val="decimal" w:pos="489"/>
              </w:tabs>
              <w:ind w:right="-301"/>
              <w:rPr>
                <w:sz w:val="22"/>
                <w:szCs w:val="22"/>
              </w:rPr>
            </w:pPr>
            <w:r w:rsidRPr="00362517">
              <w:rPr>
                <w:sz w:val="22"/>
                <w:szCs w:val="22"/>
              </w:rPr>
              <w:t>1.0</w:t>
            </w:r>
          </w:p>
        </w:tc>
      </w:tr>
      <w:tr w:rsidR="00D8365A" w:rsidRPr="00362517" w14:paraId="03EAF7D6" w14:textId="77777777" w:rsidTr="007A2164">
        <w:tc>
          <w:tcPr>
            <w:tcW w:w="1525" w:type="dxa"/>
          </w:tcPr>
          <w:p w14:paraId="502B1D9D" w14:textId="77777777" w:rsidR="00D8365A" w:rsidRPr="00362517" w:rsidRDefault="00D8365A" w:rsidP="00BF6BC7">
            <w:pPr>
              <w:rPr>
                <w:sz w:val="22"/>
                <w:szCs w:val="22"/>
              </w:rPr>
            </w:pPr>
            <w:r w:rsidRPr="00362517">
              <w:rPr>
                <w:sz w:val="22"/>
                <w:szCs w:val="22"/>
              </w:rPr>
              <w:t>North Carolina</w:t>
            </w:r>
          </w:p>
        </w:tc>
        <w:tc>
          <w:tcPr>
            <w:tcW w:w="1464" w:type="dxa"/>
            <w:tcMar>
              <w:left w:w="115" w:type="dxa"/>
              <w:right w:w="576" w:type="dxa"/>
            </w:tcMar>
            <w:vAlign w:val="bottom"/>
          </w:tcPr>
          <w:p w14:paraId="211BF5DD" w14:textId="77777777" w:rsidR="00D8365A" w:rsidRPr="00362517" w:rsidRDefault="00D8365A" w:rsidP="00BF6BC7">
            <w:pPr>
              <w:tabs>
                <w:tab w:val="decimal" w:pos="965"/>
              </w:tabs>
              <w:ind w:right="-462"/>
              <w:rPr>
                <w:sz w:val="22"/>
                <w:szCs w:val="22"/>
              </w:rPr>
            </w:pPr>
            <w:r w:rsidRPr="00362517">
              <w:rPr>
                <w:sz w:val="22"/>
                <w:szCs w:val="22"/>
              </w:rPr>
              <w:t>3,596</w:t>
            </w:r>
          </w:p>
        </w:tc>
        <w:tc>
          <w:tcPr>
            <w:tcW w:w="1416" w:type="dxa"/>
            <w:vAlign w:val="bottom"/>
          </w:tcPr>
          <w:p w14:paraId="48B3F35B" w14:textId="77777777" w:rsidR="00D8365A" w:rsidRPr="00362517" w:rsidRDefault="00D8365A" w:rsidP="00BF6BC7">
            <w:pPr>
              <w:tabs>
                <w:tab w:val="decimal" w:pos="858"/>
              </w:tabs>
              <w:rPr>
                <w:sz w:val="22"/>
                <w:szCs w:val="22"/>
              </w:rPr>
            </w:pPr>
            <w:r w:rsidRPr="00362517">
              <w:rPr>
                <w:sz w:val="22"/>
                <w:szCs w:val="22"/>
              </w:rPr>
              <w:t>1,327</w:t>
            </w:r>
          </w:p>
        </w:tc>
        <w:tc>
          <w:tcPr>
            <w:tcW w:w="1238" w:type="dxa"/>
            <w:tcMar>
              <w:left w:w="115" w:type="dxa"/>
              <w:right w:w="576" w:type="dxa"/>
            </w:tcMar>
            <w:vAlign w:val="bottom"/>
          </w:tcPr>
          <w:p w14:paraId="3A8BBC41" w14:textId="77777777" w:rsidR="00D8365A" w:rsidRPr="00362517" w:rsidRDefault="00D8365A" w:rsidP="00BF6BC7">
            <w:pPr>
              <w:tabs>
                <w:tab w:val="decimal" w:pos="605"/>
              </w:tabs>
              <w:ind w:right="-418"/>
              <w:rPr>
                <w:sz w:val="22"/>
                <w:szCs w:val="22"/>
              </w:rPr>
            </w:pPr>
            <w:r w:rsidRPr="00362517">
              <w:rPr>
                <w:sz w:val="22"/>
                <w:szCs w:val="22"/>
              </w:rPr>
              <w:t>9.8</w:t>
            </w:r>
          </w:p>
        </w:tc>
        <w:tc>
          <w:tcPr>
            <w:tcW w:w="1239" w:type="dxa"/>
            <w:tcMar>
              <w:left w:w="115" w:type="dxa"/>
              <w:right w:w="576" w:type="dxa"/>
            </w:tcMar>
            <w:vAlign w:val="bottom"/>
          </w:tcPr>
          <w:p w14:paraId="1DC1ED6C" w14:textId="77777777" w:rsidR="00D8365A" w:rsidRPr="00362517" w:rsidRDefault="00D8365A" w:rsidP="00BF6BC7">
            <w:pPr>
              <w:tabs>
                <w:tab w:val="decimal" w:pos="627"/>
              </w:tabs>
              <w:ind w:right="-439"/>
              <w:rPr>
                <w:sz w:val="22"/>
                <w:szCs w:val="22"/>
              </w:rPr>
            </w:pPr>
            <w:r w:rsidRPr="00362517">
              <w:rPr>
                <w:sz w:val="22"/>
                <w:szCs w:val="22"/>
              </w:rPr>
              <w:t>13.8</w:t>
            </w:r>
          </w:p>
        </w:tc>
        <w:tc>
          <w:tcPr>
            <w:tcW w:w="1239" w:type="dxa"/>
            <w:tcMar>
              <w:left w:w="115" w:type="dxa"/>
              <w:right w:w="576" w:type="dxa"/>
            </w:tcMar>
            <w:vAlign w:val="bottom"/>
          </w:tcPr>
          <w:p w14:paraId="33BDF99D" w14:textId="77777777" w:rsidR="00D8365A" w:rsidRPr="00362517" w:rsidRDefault="00D8365A" w:rsidP="00BF6BC7">
            <w:pPr>
              <w:tabs>
                <w:tab w:val="decimal" w:pos="558"/>
              </w:tabs>
              <w:ind w:right="-370"/>
              <w:rPr>
                <w:sz w:val="22"/>
                <w:szCs w:val="22"/>
              </w:rPr>
            </w:pPr>
            <w:r w:rsidRPr="00362517">
              <w:rPr>
                <w:sz w:val="22"/>
                <w:szCs w:val="22"/>
              </w:rPr>
              <w:t>1.4</w:t>
            </w:r>
          </w:p>
        </w:tc>
        <w:tc>
          <w:tcPr>
            <w:tcW w:w="1239" w:type="dxa"/>
            <w:tcMar>
              <w:left w:w="115" w:type="dxa"/>
              <w:right w:w="576" w:type="dxa"/>
            </w:tcMar>
            <w:vAlign w:val="bottom"/>
          </w:tcPr>
          <w:p w14:paraId="1A1DCA6A" w14:textId="77777777" w:rsidR="00D8365A" w:rsidRPr="00362517" w:rsidRDefault="00D8365A" w:rsidP="00BF6BC7">
            <w:pPr>
              <w:tabs>
                <w:tab w:val="decimal" w:pos="489"/>
              </w:tabs>
              <w:ind w:right="-301"/>
              <w:rPr>
                <w:sz w:val="22"/>
                <w:szCs w:val="22"/>
              </w:rPr>
            </w:pPr>
            <w:r w:rsidRPr="00362517">
              <w:rPr>
                <w:sz w:val="22"/>
                <w:szCs w:val="22"/>
              </w:rPr>
              <w:t>6.7</w:t>
            </w:r>
          </w:p>
        </w:tc>
      </w:tr>
      <w:tr w:rsidR="00D8365A" w:rsidRPr="00362517" w14:paraId="19BE10D6" w14:textId="77777777" w:rsidTr="007A2164">
        <w:tc>
          <w:tcPr>
            <w:tcW w:w="1525" w:type="dxa"/>
          </w:tcPr>
          <w:p w14:paraId="6832907A" w14:textId="77777777" w:rsidR="00D8365A" w:rsidRPr="00362517" w:rsidRDefault="00D8365A" w:rsidP="00BF6BC7">
            <w:pPr>
              <w:rPr>
                <w:sz w:val="22"/>
                <w:szCs w:val="22"/>
              </w:rPr>
            </w:pPr>
            <w:r w:rsidRPr="00362517">
              <w:rPr>
                <w:sz w:val="22"/>
                <w:szCs w:val="22"/>
              </w:rPr>
              <w:t>North Dakota</w:t>
            </w:r>
          </w:p>
        </w:tc>
        <w:tc>
          <w:tcPr>
            <w:tcW w:w="1464" w:type="dxa"/>
            <w:tcMar>
              <w:left w:w="115" w:type="dxa"/>
              <w:right w:w="576" w:type="dxa"/>
            </w:tcMar>
            <w:vAlign w:val="bottom"/>
          </w:tcPr>
          <w:p w14:paraId="76DD79F3" w14:textId="77777777" w:rsidR="00D8365A" w:rsidRPr="00362517" w:rsidRDefault="00D8365A" w:rsidP="00BF6BC7">
            <w:pPr>
              <w:tabs>
                <w:tab w:val="decimal" w:pos="965"/>
              </w:tabs>
              <w:ind w:right="-462"/>
              <w:rPr>
                <w:sz w:val="22"/>
                <w:szCs w:val="22"/>
              </w:rPr>
            </w:pPr>
            <w:r w:rsidRPr="00362517">
              <w:rPr>
                <w:sz w:val="22"/>
                <w:szCs w:val="22"/>
              </w:rPr>
              <w:t>4,021</w:t>
            </w:r>
          </w:p>
        </w:tc>
        <w:tc>
          <w:tcPr>
            <w:tcW w:w="1416" w:type="dxa"/>
            <w:vAlign w:val="bottom"/>
          </w:tcPr>
          <w:p w14:paraId="299C531E" w14:textId="77777777" w:rsidR="00D8365A" w:rsidRPr="00362517" w:rsidRDefault="00D8365A" w:rsidP="00BF6BC7">
            <w:pPr>
              <w:tabs>
                <w:tab w:val="decimal" w:pos="858"/>
              </w:tabs>
              <w:rPr>
                <w:sz w:val="22"/>
                <w:szCs w:val="22"/>
              </w:rPr>
            </w:pPr>
            <w:r w:rsidRPr="00362517">
              <w:rPr>
                <w:sz w:val="22"/>
                <w:szCs w:val="22"/>
              </w:rPr>
              <w:t>1,206</w:t>
            </w:r>
          </w:p>
        </w:tc>
        <w:tc>
          <w:tcPr>
            <w:tcW w:w="1238" w:type="dxa"/>
            <w:tcMar>
              <w:left w:w="115" w:type="dxa"/>
              <w:right w:w="576" w:type="dxa"/>
            </w:tcMar>
            <w:vAlign w:val="bottom"/>
          </w:tcPr>
          <w:p w14:paraId="6D2D78D7" w14:textId="77777777" w:rsidR="00D8365A" w:rsidRPr="00362517" w:rsidRDefault="00D8365A" w:rsidP="00BF6BC7">
            <w:pPr>
              <w:tabs>
                <w:tab w:val="decimal" w:pos="605"/>
              </w:tabs>
              <w:ind w:right="-418"/>
              <w:rPr>
                <w:sz w:val="22"/>
                <w:szCs w:val="22"/>
              </w:rPr>
            </w:pPr>
            <w:r w:rsidRPr="00362517">
              <w:rPr>
                <w:sz w:val="22"/>
                <w:szCs w:val="22"/>
              </w:rPr>
              <w:t>5.1</w:t>
            </w:r>
          </w:p>
        </w:tc>
        <w:tc>
          <w:tcPr>
            <w:tcW w:w="1239" w:type="dxa"/>
            <w:tcMar>
              <w:left w:w="115" w:type="dxa"/>
              <w:right w:w="576" w:type="dxa"/>
            </w:tcMar>
            <w:vAlign w:val="bottom"/>
          </w:tcPr>
          <w:p w14:paraId="0481D33C" w14:textId="77777777" w:rsidR="00D8365A" w:rsidRPr="00362517" w:rsidRDefault="00D8365A" w:rsidP="00BF6BC7">
            <w:pPr>
              <w:tabs>
                <w:tab w:val="decimal" w:pos="627"/>
              </w:tabs>
              <w:ind w:right="-439"/>
              <w:rPr>
                <w:sz w:val="22"/>
                <w:szCs w:val="22"/>
              </w:rPr>
            </w:pPr>
            <w:r w:rsidRPr="00362517">
              <w:rPr>
                <w:sz w:val="22"/>
                <w:szCs w:val="22"/>
              </w:rPr>
              <w:t>7.3</w:t>
            </w:r>
          </w:p>
        </w:tc>
        <w:tc>
          <w:tcPr>
            <w:tcW w:w="1239" w:type="dxa"/>
            <w:tcMar>
              <w:left w:w="115" w:type="dxa"/>
              <w:right w:w="576" w:type="dxa"/>
            </w:tcMar>
            <w:vAlign w:val="bottom"/>
          </w:tcPr>
          <w:p w14:paraId="0391537B"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793C4F60" w14:textId="77777777" w:rsidR="00D8365A" w:rsidRPr="00362517" w:rsidRDefault="00D8365A" w:rsidP="00BF6BC7">
            <w:pPr>
              <w:tabs>
                <w:tab w:val="decimal" w:pos="489"/>
              </w:tabs>
              <w:ind w:right="-301"/>
              <w:rPr>
                <w:sz w:val="22"/>
                <w:szCs w:val="22"/>
              </w:rPr>
            </w:pPr>
            <w:r w:rsidRPr="00362517">
              <w:rPr>
                <w:sz w:val="22"/>
                <w:szCs w:val="22"/>
              </w:rPr>
              <w:t>0.0</w:t>
            </w:r>
          </w:p>
        </w:tc>
      </w:tr>
      <w:tr w:rsidR="00D8365A" w:rsidRPr="00362517" w14:paraId="7A455A82" w14:textId="77777777" w:rsidTr="007A2164">
        <w:tc>
          <w:tcPr>
            <w:tcW w:w="1525" w:type="dxa"/>
          </w:tcPr>
          <w:p w14:paraId="2B989811" w14:textId="77777777" w:rsidR="00D8365A" w:rsidRPr="00362517" w:rsidRDefault="00D8365A" w:rsidP="00BF6BC7">
            <w:pPr>
              <w:rPr>
                <w:sz w:val="22"/>
                <w:szCs w:val="22"/>
              </w:rPr>
            </w:pPr>
            <w:r w:rsidRPr="00362517">
              <w:rPr>
                <w:sz w:val="22"/>
                <w:szCs w:val="22"/>
              </w:rPr>
              <w:t>Ohio</w:t>
            </w:r>
          </w:p>
        </w:tc>
        <w:tc>
          <w:tcPr>
            <w:tcW w:w="1464" w:type="dxa"/>
            <w:tcMar>
              <w:left w:w="115" w:type="dxa"/>
              <w:right w:w="576" w:type="dxa"/>
            </w:tcMar>
            <w:vAlign w:val="bottom"/>
          </w:tcPr>
          <w:p w14:paraId="180E921B" w14:textId="77777777" w:rsidR="00D8365A" w:rsidRPr="00362517" w:rsidRDefault="00D8365A" w:rsidP="00BF6BC7">
            <w:pPr>
              <w:tabs>
                <w:tab w:val="decimal" w:pos="965"/>
              </w:tabs>
              <w:ind w:right="-462"/>
              <w:rPr>
                <w:sz w:val="22"/>
                <w:szCs w:val="22"/>
              </w:rPr>
            </w:pPr>
            <w:r w:rsidRPr="00362517">
              <w:rPr>
                <w:sz w:val="22"/>
                <w:szCs w:val="22"/>
              </w:rPr>
              <w:t>2,978</w:t>
            </w:r>
          </w:p>
        </w:tc>
        <w:tc>
          <w:tcPr>
            <w:tcW w:w="1416" w:type="dxa"/>
            <w:vAlign w:val="bottom"/>
          </w:tcPr>
          <w:p w14:paraId="0207C5B1" w14:textId="77777777" w:rsidR="00D8365A" w:rsidRPr="00362517" w:rsidRDefault="00D8365A" w:rsidP="00BF6BC7">
            <w:pPr>
              <w:tabs>
                <w:tab w:val="decimal" w:pos="858"/>
              </w:tabs>
              <w:rPr>
                <w:sz w:val="22"/>
                <w:szCs w:val="22"/>
              </w:rPr>
            </w:pPr>
            <w:r w:rsidRPr="00362517">
              <w:rPr>
                <w:sz w:val="22"/>
                <w:szCs w:val="22"/>
              </w:rPr>
              <w:t>929</w:t>
            </w:r>
          </w:p>
        </w:tc>
        <w:tc>
          <w:tcPr>
            <w:tcW w:w="1238" w:type="dxa"/>
            <w:tcMar>
              <w:left w:w="115" w:type="dxa"/>
              <w:right w:w="576" w:type="dxa"/>
            </w:tcMar>
            <w:vAlign w:val="bottom"/>
          </w:tcPr>
          <w:p w14:paraId="7F37CD65" w14:textId="77777777" w:rsidR="00D8365A" w:rsidRPr="00362517" w:rsidRDefault="00D8365A" w:rsidP="00BF6BC7">
            <w:pPr>
              <w:tabs>
                <w:tab w:val="decimal" w:pos="605"/>
              </w:tabs>
              <w:ind w:right="-418"/>
              <w:rPr>
                <w:sz w:val="22"/>
                <w:szCs w:val="22"/>
              </w:rPr>
            </w:pPr>
            <w:r w:rsidRPr="00362517">
              <w:rPr>
                <w:sz w:val="22"/>
                <w:szCs w:val="22"/>
              </w:rPr>
              <w:t>23.7</w:t>
            </w:r>
          </w:p>
        </w:tc>
        <w:tc>
          <w:tcPr>
            <w:tcW w:w="1239" w:type="dxa"/>
            <w:tcMar>
              <w:left w:w="115" w:type="dxa"/>
              <w:right w:w="576" w:type="dxa"/>
            </w:tcMar>
            <w:vAlign w:val="bottom"/>
          </w:tcPr>
          <w:p w14:paraId="1ACFA171" w14:textId="77777777" w:rsidR="00D8365A" w:rsidRPr="00362517" w:rsidRDefault="00D8365A" w:rsidP="00BF6BC7">
            <w:pPr>
              <w:tabs>
                <w:tab w:val="decimal" w:pos="627"/>
              </w:tabs>
              <w:ind w:right="-439"/>
              <w:rPr>
                <w:sz w:val="22"/>
                <w:szCs w:val="22"/>
              </w:rPr>
            </w:pPr>
            <w:r w:rsidRPr="00362517">
              <w:rPr>
                <w:sz w:val="22"/>
                <w:szCs w:val="22"/>
              </w:rPr>
              <w:t>33.3</w:t>
            </w:r>
          </w:p>
        </w:tc>
        <w:tc>
          <w:tcPr>
            <w:tcW w:w="1239" w:type="dxa"/>
            <w:tcMar>
              <w:left w:w="115" w:type="dxa"/>
              <w:right w:w="576" w:type="dxa"/>
            </w:tcMar>
            <w:vAlign w:val="bottom"/>
          </w:tcPr>
          <w:p w14:paraId="2A713F4C" w14:textId="77777777" w:rsidR="00D8365A" w:rsidRPr="00362517" w:rsidRDefault="00D8365A" w:rsidP="00BF6BC7">
            <w:pPr>
              <w:tabs>
                <w:tab w:val="decimal" w:pos="558"/>
              </w:tabs>
              <w:ind w:right="-370"/>
              <w:rPr>
                <w:sz w:val="22"/>
                <w:szCs w:val="22"/>
              </w:rPr>
            </w:pPr>
            <w:r w:rsidRPr="00362517">
              <w:rPr>
                <w:sz w:val="22"/>
                <w:szCs w:val="22"/>
              </w:rPr>
              <w:t>0.2</w:t>
            </w:r>
          </w:p>
        </w:tc>
        <w:tc>
          <w:tcPr>
            <w:tcW w:w="1239" w:type="dxa"/>
            <w:tcMar>
              <w:left w:w="115" w:type="dxa"/>
              <w:right w:w="576" w:type="dxa"/>
            </w:tcMar>
            <w:vAlign w:val="bottom"/>
          </w:tcPr>
          <w:p w14:paraId="559618E1" w14:textId="77777777" w:rsidR="00D8365A" w:rsidRPr="00362517" w:rsidRDefault="00D8365A" w:rsidP="00BF6BC7">
            <w:pPr>
              <w:tabs>
                <w:tab w:val="decimal" w:pos="489"/>
              </w:tabs>
              <w:ind w:right="-301"/>
              <w:rPr>
                <w:sz w:val="22"/>
                <w:szCs w:val="22"/>
              </w:rPr>
            </w:pPr>
            <w:r w:rsidRPr="00362517">
              <w:rPr>
                <w:sz w:val="22"/>
                <w:szCs w:val="22"/>
              </w:rPr>
              <w:t>1.0</w:t>
            </w:r>
          </w:p>
        </w:tc>
      </w:tr>
      <w:tr w:rsidR="00D8365A" w:rsidRPr="00362517" w14:paraId="4C2CA8AF" w14:textId="77777777" w:rsidTr="007A2164">
        <w:tc>
          <w:tcPr>
            <w:tcW w:w="1525" w:type="dxa"/>
          </w:tcPr>
          <w:p w14:paraId="51AE2736" w14:textId="77777777" w:rsidR="00D8365A" w:rsidRPr="00362517" w:rsidRDefault="00D8365A" w:rsidP="00BF6BC7">
            <w:pPr>
              <w:rPr>
                <w:sz w:val="22"/>
                <w:szCs w:val="22"/>
              </w:rPr>
            </w:pPr>
            <w:r w:rsidRPr="00362517">
              <w:rPr>
                <w:sz w:val="22"/>
                <w:szCs w:val="22"/>
              </w:rPr>
              <w:t>Oklahoma</w:t>
            </w:r>
          </w:p>
        </w:tc>
        <w:tc>
          <w:tcPr>
            <w:tcW w:w="1464" w:type="dxa"/>
            <w:tcMar>
              <w:left w:w="115" w:type="dxa"/>
              <w:right w:w="576" w:type="dxa"/>
            </w:tcMar>
            <w:vAlign w:val="bottom"/>
          </w:tcPr>
          <w:p w14:paraId="2123115E" w14:textId="77777777" w:rsidR="00D8365A" w:rsidRPr="00362517" w:rsidRDefault="00D8365A" w:rsidP="00BF6BC7">
            <w:pPr>
              <w:tabs>
                <w:tab w:val="decimal" w:pos="965"/>
              </w:tabs>
              <w:ind w:right="-462"/>
              <w:rPr>
                <w:sz w:val="22"/>
                <w:szCs w:val="22"/>
              </w:rPr>
            </w:pPr>
            <w:r w:rsidRPr="00362517">
              <w:rPr>
                <w:sz w:val="22"/>
                <w:szCs w:val="22"/>
              </w:rPr>
              <w:t>1,293</w:t>
            </w:r>
          </w:p>
        </w:tc>
        <w:tc>
          <w:tcPr>
            <w:tcW w:w="1416" w:type="dxa"/>
            <w:vAlign w:val="bottom"/>
          </w:tcPr>
          <w:p w14:paraId="595E1951" w14:textId="77777777" w:rsidR="00D8365A" w:rsidRPr="00362517" w:rsidRDefault="00D8365A" w:rsidP="00BF6BC7">
            <w:pPr>
              <w:tabs>
                <w:tab w:val="decimal" w:pos="858"/>
              </w:tabs>
              <w:rPr>
                <w:sz w:val="22"/>
                <w:szCs w:val="22"/>
              </w:rPr>
            </w:pPr>
            <w:r w:rsidRPr="00362517">
              <w:rPr>
                <w:sz w:val="22"/>
                <w:szCs w:val="22"/>
              </w:rPr>
              <w:t>513</w:t>
            </w:r>
          </w:p>
        </w:tc>
        <w:tc>
          <w:tcPr>
            <w:tcW w:w="1238" w:type="dxa"/>
            <w:tcMar>
              <w:left w:w="115" w:type="dxa"/>
              <w:right w:w="576" w:type="dxa"/>
            </w:tcMar>
            <w:vAlign w:val="bottom"/>
          </w:tcPr>
          <w:p w14:paraId="09FE0DEC" w14:textId="77777777" w:rsidR="00D8365A" w:rsidRPr="00362517" w:rsidRDefault="00D8365A" w:rsidP="00BF6BC7">
            <w:pPr>
              <w:tabs>
                <w:tab w:val="decimal" w:pos="605"/>
              </w:tabs>
              <w:ind w:right="-418"/>
              <w:rPr>
                <w:sz w:val="22"/>
                <w:szCs w:val="22"/>
              </w:rPr>
            </w:pPr>
            <w:r w:rsidRPr="00362517">
              <w:rPr>
                <w:sz w:val="22"/>
                <w:szCs w:val="22"/>
              </w:rPr>
              <w:t>17.5</w:t>
            </w:r>
          </w:p>
        </w:tc>
        <w:tc>
          <w:tcPr>
            <w:tcW w:w="1239" w:type="dxa"/>
            <w:tcMar>
              <w:left w:w="115" w:type="dxa"/>
              <w:right w:w="576" w:type="dxa"/>
            </w:tcMar>
            <w:vAlign w:val="bottom"/>
          </w:tcPr>
          <w:p w14:paraId="7268D3E0" w14:textId="77777777" w:rsidR="00D8365A" w:rsidRPr="00362517" w:rsidRDefault="00D8365A" w:rsidP="00BF6BC7">
            <w:pPr>
              <w:tabs>
                <w:tab w:val="decimal" w:pos="627"/>
              </w:tabs>
              <w:ind w:right="-439"/>
              <w:rPr>
                <w:sz w:val="22"/>
                <w:szCs w:val="22"/>
              </w:rPr>
            </w:pPr>
            <w:r w:rsidRPr="00362517">
              <w:rPr>
                <w:sz w:val="22"/>
                <w:szCs w:val="22"/>
              </w:rPr>
              <w:t>24.7</w:t>
            </w:r>
          </w:p>
        </w:tc>
        <w:tc>
          <w:tcPr>
            <w:tcW w:w="1239" w:type="dxa"/>
            <w:tcMar>
              <w:left w:w="115" w:type="dxa"/>
              <w:right w:w="576" w:type="dxa"/>
            </w:tcMar>
            <w:vAlign w:val="bottom"/>
          </w:tcPr>
          <w:p w14:paraId="3A951A9B" w14:textId="77777777" w:rsidR="00D8365A" w:rsidRPr="00362517" w:rsidRDefault="00D8365A" w:rsidP="00BF6BC7">
            <w:pPr>
              <w:tabs>
                <w:tab w:val="decimal" w:pos="558"/>
              </w:tabs>
              <w:ind w:right="-370"/>
              <w:rPr>
                <w:sz w:val="22"/>
                <w:szCs w:val="22"/>
              </w:rPr>
            </w:pPr>
            <w:r w:rsidRPr="00362517">
              <w:rPr>
                <w:sz w:val="22"/>
                <w:szCs w:val="22"/>
              </w:rPr>
              <w:t>0.7</w:t>
            </w:r>
          </w:p>
        </w:tc>
        <w:tc>
          <w:tcPr>
            <w:tcW w:w="1239" w:type="dxa"/>
            <w:tcMar>
              <w:left w:w="115" w:type="dxa"/>
              <w:right w:w="576" w:type="dxa"/>
            </w:tcMar>
            <w:vAlign w:val="bottom"/>
          </w:tcPr>
          <w:p w14:paraId="052A8B3F" w14:textId="77777777" w:rsidR="00D8365A" w:rsidRPr="00362517" w:rsidRDefault="00D8365A" w:rsidP="00BF6BC7">
            <w:pPr>
              <w:tabs>
                <w:tab w:val="decimal" w:pos="489"/>
              </w:tabs>
              <w:ind w:right="-301"/>
              <w:rPr>
                <w:sz w:val="22"/>
                <w:szCs w:val="22"/>
              </w:rPr>
            </w:pPr>
            <w:r w:rsidRPr="00362517">
              <w:rPr>
                <w:sz w:val="22"/>
                <w:szCs w:val="22"/>
              </w:rPr>
              <w:t>3.4</w:t>
            </w:r>
          </w:p>
        </w:tc>
      </w:tr>
      <w:tr w:rsidR="00D8365A" w:rsidRPr="00362517" w14:paraId="3E531F73" w14:textId="77777777" w:rsidTr="007A2164">
        <w:tc>
          <w:tcPr>
            <w:tcW w:w="1525" w:type="dxa"/>
          </w:tcPr>
          <w:p w14:paraId="68500F46" w14:textId="77777777" w:rsidR="00D8365A" w:rsidRPr="00362517" w:rsidRDefault="00D8365A" w:rsidP="00BF6BC7">
            <w:pPr>
              <w:rPr>
                <w:sz w:val="22"/>
                <w:szCs w:val="22"/>
              </w:rPr>
            </w:pPr>
            <w:r w:rsidRPr="00362517">
              <w:rPr>
                <w:sz w:val="22"/>
                <w:szCs w:val="22"/>
              </w:rPr>
              <w:t>Oregon</w:t>
            </w:r>
          </w:p>
        </w:tc>
        <w:tc>
          <w:tcPr>
            <w:tcW w:w="1464" w:type="dxa"/>
            <w:tcMar>
              <w:left w:w="115" w:type="dxa"/>
              <w:right w:w="576" w:type="dxa"/>
            </w:tcMar>
            <w:vAlign w:val="bottom"/>
          </w:tcPr>
          <w:p w14:paraId="6266D821" w14:textId="77777777" w:rsidR="00D8365A" w:rsidRPr="00362517" w:rsidRDefault="00D8365A" w:rsidP="00BF6BC7">
            <w:pPr>
              <w:tabs>
                <w:tab w:val="decimal" w:pos="965"/>
              </w:tabs>
              <w:ind w:right="-462"/>
              <w:rPr>
                <w:sz w:val="22"/>
                <w:szCs w:val="22"/>
              </w:rPr>
            </w:pPr>
            <w:r w:rsidRPr="00362517">
              <w:rPr>
                <w:sz w:val="22"/>
                <w:szCs w:val="22"/>
              </w:rPr>
              <w:t>657</w:t>
            </w:r>
          </w:p>
        </w:tc>
        <w:tc>
          <w:tcPr>
            <w:tcW w:w="1416" w:type="dxa"/>
            <w:vAlign w:val="bottom"/>
          </w:tcPr>
          <w:p w14:paraId="1E7E52D1" w14:textId="77777777" w:rsidR="00D8365A" w:rsidRPr="00362517" w:rsidRDefault="00D8365A" w:rsidP="00BF6BC7">
            <w:pPr>
              <w:tabs>
                <w:tab w:val="decimal" w:pos="858"/>
              </w:tabs>
              <w:rPr>
                <w:sz w:val="22"/>
                <w:szCs w:val="22"/>
              </w:rPr>
            </w:pPr>
            <w:r w:rsidRPr="00362517">
              <w:rPr>
                <w:sz w:val="22"/>
                <w:szCs w:val="22"/>
              </w:rPr>
              <w:t>203</w:t>
            </w:r>
          </w:p>
        </w:tc>
        <w:tc>
          <w:tcPr>
            <w:tcW w:w="1238" w:type="dxa"/>
            <w:tcMar>
              <w:left w:w="115" w:type="dxa"/>
              <w:right w:w="576" w:type="dxa"/>
            </w:tcMar>
            <w:vAlign w:val="bottom"/>
          </w:tcPr>
          <w:p w14:paraId="6F3BD3D2" w14:textId="77777777" w:rsidR="00D8365A" w:rsidRPr="00362517" w:rsidRDefault="00D8365A" w:rsidP="00BF6BC7">
            <w:pPr>
              <w:tabs>
                <w:tab w:val="decimal" w:pos="605"/>
              </w:tabs>
              <w:ind w:right="-418"/>
              <w:rPr>
                <w:sz w:val="22"/>
                <w:szCs w:val="22"/>
              </w:rPr>
            </w:pPr>
            <w:r w:rsidRPr="00362517">
              <w:rPr>
                <w:sz w:val="22"/>
                <w:szCs w:val="22"/>
              </w:rPr>
              <w:t>8.0</w:t>
            </w:r>
          </w:p>
        </w:tc>
        <w:tc>
          <w:tcPr>
            <w:tcW w:w="1239" w:type="dxa"/>
            <w:tcMar>
              <w:left w:w="115" w:type="dxa"/>
              <w:right w:w="576" w:type="dxa"/>
            </w:tcMar>
            <w:vAlign w:val="bottom"/>
          </w:tcPr>
          <w:p w14:paraId="653A0C75" w14:textId="77777777" w:rsidR="00D8365A" w:rsidRPr="00362517" w:rsidRDefault="00D8365A" w:rsidP="00BF6BC7">
            <w:pPr>
              <w:tabs>
                <w:tab w:val="decimal" w:pos="627"/>
              </w:tabs>
              <w:ind w:right="-439"/>
              <w:rPr>
                <w:sz w:val="22"/>
                <w:szCs w:val="22"/>
              </w:rPr>
            </w:pPr>
            <w:r w:rsidRPr="00362517">
              <w:rPr>
                <w:sz w:val="22"/>
                <w:szCs w:val="22"/>
              </w:rPr>
              <w:t>11.4</w:t>
            </w:r>
          </w:p>
        </w:tc>
        <w:tc>
          <w:tcPr>
            <w:tcW w:w="1239" w:type="dxa"/>
            <w:tcMar>
              <w:left w:w="115" w:type="dxa"/>
              <w:right w:w="576" w:type="dxa"/>
            </w:tcMar>
            <w:vAlign w:val="bottom"/>
          </w:tcPr>
          <w:p w14:paraId="7EFCD75E"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44DF1C72" w14:textId="77777777" w:rsidR="00D8365A" w:rsidRPr="00362517" w:rsidRDefault="00D8365A" w:rsidP="00BF6BC7">
            <w:pPr>
              <w:tabs>
                <w:tab w:val="decimal" w:pos="489"/>
              </w:tabs>
              <w:ind w:right="-301"/>
              <w:rPr>
                <w:sz w:val="22"/>
                <w:szCs w:val="22"/>
              </w:rPr>
            </w:pPr>
            <w:r w:rsidRPr="00362517">
              <w:rPr>
                <w:sz w:val="22"/>
                <w:szCs w:val="22"/>
              </w:rPr>
              <w:t>0.2</w:t>
            </w:r>
          </w:p>
        </w:tc>
      </w:tr>
      <w:tr w:rsidR="00D8365A" w:rsidRPr="00362517" w14:paraId="6C3BE4DA" w14:textId="77777777" w:rsidTr="007A2164">
        <w:tc>
          <w:tcPr>
            <w:tcW w:w="1525" w:type="dxa"/>
          </w:tcPr>
          <w:p w14:paraId="15EA570C" w14:textId="77777777" w:rsidR="00D8365A" w:rsidRPr="00362517" w:rsidRDefault="00D8365A" w:rsidP="00BF6BC7">
            <w:pPr>
              <w:rPr>
                <w:sz w:val="22"/>
                <w:szCs w:val="22"/>
              </w:rPr>
            </w:pPr>
            <w:r w:rsidRPr="00362517">
              <w:rPr>
                <w:sz w:val="22"/>
                <w:szCs w:val="22"/>
              </w:rPr>
              <w:t>Pennsylvania</w:t>
            </w:r>
          </w:p>
        </w:tc>
        <w:tc>
          <w:tcPr>
            <w:tcW w:w="1464" w:type="dxa"/>
            <w:tcMar>
              <w:left w:w="115" w:type="dxa"/>
              <w:right w:w="576" w:type="dxa"/>
            </w:tcMar>
            <w:vAlign w:val="bottom"/>
          </w:tcPr>
          <w:p w14:paraId="5A1A19C9" w14:textId="77777777" w:rsidR="00D8365A" w:rsidRPr="00362517" w:rsidRDefault="00D8365A" w:rsidP="00BF6BC7">
            <w:pPr>
              <w:tabs>
                <w:tab w:val="decimal" w:pos="965"/>
              </w:tabs>
              <w:ind w:right="-462"/>
              <w:rPr>
                <w:sz w:val="22"/>
                <w:szCs w:val="22"/>
              </w:rPr>
            </w:pPr>
            <w:r w:rsidRPr="00362517">
              <w:rPr>
                <w:sz w:val="22"/>
                <w:szCs w:val="22"/>
              </w:rPr>
              <w:t>3,428</w:t>
            </w:r>
          </w:p>
        </w:tc>
        <w:tc>
          <w:tcPr>
            <w:tcW w:w="1416" w:type="dxa"/>
            <w:vAlign w:val="bottom"/>
          </w:tcPr>
          <w:p w14:paraId="365C173A" w14:textId="77777777" w:rsidR="00D8365A" w:rsidRPr="00362517" w:rsidRDefault="00D8365A" w:rsidP="00BF6BC7">
            <w:pPr>
              <w:tabs>
                <w:tab w:val="decimal" w:pos="858"/>
              </w:tabs>
              <w:rPr>
                <w:sz w:val="22"/>
                <w:szCs w:val="22"/>
              </w:rPr>
            </w:pPr>
            <w:r w:rsidRPr="00362517">
              <w:rPr>
                <w:sz w:val="22"/>
                <w:szCs w:val="22"/>
              </w:rPr>
              <w:t>1,151</w:t>
            </w:r>
          </w:p>
        </w:tc>
        <w:tc>
          <w:tcPr>
            <w:tcW w:w="1238" w:type="dxa"/>
            <w:tcMar>
              <w:left w:w="115" w:type="dxa"/>
              <w:right w:w="576" w:type="dxa"/>
            </w:tcMar>
            <w:vAlign w:val="bottom"/>
          </w:tcPr>
          <w:p w14:paraId="05F3D26F" w14:textId="77777777" w:rsidR="00D8365A" w:rsidRPr="00362517" w:rsidRDefault="00D8365A" w:rsidP="00BF6BC7">
            <w:pPr>
              <w:tabs>
                <w:tab w:val="decimal" w:pos="605"/>
              </w:tabs>
              <w:ind w:right="-418"/>
              <w:rPr>
                <w:sz w:val="22"/>
                <w:szCs w:val="22"/>
              </w:rPr>
            </w:pPr>
            <w:r w:rsidRPr="00362517">
              <w:rPr>
                <w:sz w:val="22"/>
                <w:szCs w:val="22"/>
              </w:rPr>
              <w:t>24.0</w:t>
            </w:r>
          </w:p>
        </w:tc>
        <w:tc>
          <w:tcPr>
            <w:tcW w:w="1239" w:type="dxa"/>
            <w:tcMar>
              <w:left w:w="115" w:type="dxa"/>
              <w:right w:w="576" w:type="dxa"/>
            </w:tcMar>
            <w:vAlign w:val="bottom"/>
          </w:tcPr>
          <w:p w14:paraId="75DC8EF0" w14:textId="77777777" w:rsidR="00D8365A" w:rsidRPr="00362517" w:rsidRDefault="00D8365A" w:rsidP="00BF6BC7">
            <w:pPr>
              <w:tabs>
                <w:tab w:val="decimal" w:pos="627"/>
              </w:tabs>
              <w:ind w:right="-439"/>
              <w:rPr>
                <w:sz w:val="22"/>
                <w:szCs w:val="22"/>
              </w:rPr>
            </w:pPr>
            <w:r w:rsidRPr="00362517">
              <w:rPr>
                <w:sz w:val="22"/>
                <w:szCs w:val="22"/>
              </w:rPr>
              <w:t>33.8</w:t>
            </w:r>
          </w:p>
        </w:tc>
        <w:tc>
          <w:tcPr>
            <w:tcW w:w="1239" w:type="dxa"/>
            <w:tcMar>
              <w:left w:w="115" w:type="dxa"/>
              <w:right w:w="576" w:type="dxa"/>
            </w:tcMar>
            <w:vAlign w:val="bottom"/>
          </w:tcPr>
          <w:p w14:paraId="29648A3F" w14:textId="77777777" w:rsidR="00D8365A" w:rsidRPr="00362517" w:rsidRDefault="00D8365A" w:rsidP="00BF6BC7">
            <w:pPr>
              <w:tabs>
                <w:tab w:val="decimal" w:pos="558"/>
              </w:tabs>
              <w:ind w:right="-370"/>
              <w:rPr>
                <w:sz w:val="22"/>
                <w:szCs w:val="22"/>
              </w:rPr>
            </w:pPr>
            <w:r w:rsidRPr="00362517">
              <w:rPr>
                <w:sz w:val="22"/>
                <w:szCs w:val="22"/>
              </w:rPr>
              <w:t>0.7</w:t>
            </w:r>
          </w:p>
        </w:tc>
        <w:tc>
          <w:tcPr>
            <w:tcW w:w="1239" w:type="dxa"/>
            <w:tcMar>
              <w:left w:w="115" w:type="dxa"/>
              <w:right w:w="576" w:type="dxa"/>
            </w:tcMar>
            <w:vAlign w:val="bottom"/>
          </w:tcPr>
          <w:p w14:paraId="11184C83" w14:textId="77777777" w:rsidR="00D8365A" w:rsidRPr="00362517" w:rsidRDefault="00D8365A" w:rsidP="00BF6BC7">
            <w:pPr>
              <w:tabs>
                <w:tab w:val="decimal" w:pos="489"/>
              </w:tabs>
              <w:ind w:right="-301"/>
              <w:rPr>
                <w:sz w:val="22"/>
                <w:szCs w:val="22"/>
              </w:rPr>
            </w:pPr>
            <w:r w:rsidRPr="00362517">
              <w:rPr>
                <w:sz w:val="22"/>
                <w:szCs w:val="22"/>
              </w:rPr>
              <w:t>3.3</w:t>
            </w:r>
          </w:p>
        </w:tc>
      </w:tr>
      <w:tr w:rsidR="00D8365A" w:rsidRPr="00362517" w14:paraId="68FB2739" w14:textId="77777777" w:rsidTr="007A2164">
        <w:tc>
          <w:tcPr>
            <w:tcW w:w="1525" w:type="dxa"/>
          </w:tcPr>
          <w:p w14:paraId="50C75FED" w14:textId="77777777" w:rsidR="00D8365A" w:rsidRPr="00362517" w:rsidRDefault="00D8365A" w:rsidP="00BF6BC7">
            <w:pPr>
              <w:rPr>
                <w:sz w:val="22"/>
                <w:szCs w:val="22"/>
              </w:rPr>
            </w:pPr>
            <w:r w:rsidRPr="00362517">
              <w:rPr>
                <w:sz w:val="22"/>
                <w:szCs w:val="22"/>
              </w:rPr>
              <w:t>Rhode Island</w:t>
            </w:r>
          </w:p>
        </w:tc>
        <w:tc>
          <w:tcPr>
            <w:tcW w:w="1464" w:type="dxa"/>
            <w:tcMar>
              <w:left w:w="115" w:type="dxa"/>
              <w:right w:w="576" w:type="dxa"/>
            </w:tcMar>
            <w:vAlign w:val="bottom"/>
          </w:tcPr>
          <w:p w14:paraId="0BB7F41F" w14:textId="77777777" w:rsidR="00D8365A" w:rsidRPr="00362517" w:rsidRDefault="00D8365A" w:rsidP="00BF6BC7">
            <w:pPr>
              <w:tabs>
                <w:tab w:val="decimal" w:pos="965"/>
              </w:tabs>
              <w:ind w:right="-462"/>
              <w:rPr>
                <w:sz w:val="22"/>
                <w:szCs w:val="22"/>
              </w:rPr>
            </w:pPr>
            <w:r w:rsidRPr="00362517">
              <w:rPr>
                <w:sz w:val="22"/>
                <w:szCs w:val="22"/>
              </w:rPr>
              <w:t>17</w:t>
            </w:r>
          </w:p>
        </w:tc>
        <w:tc>
          <w:tcPr>
            <w:tcW w:w="1416" w:type="dxa"/>
            <w:vAlign w:val="bottom"/>
          </w:tcPr>
          <w:p w14:paraId="2B1D07C1" w14:textId="77777777" w:rsidR="00D8365A" w:rsidRPr="00362517" w:rsidRDefault="00D8365A" w:rsidP="00BF6BC7">
            <w:pPr>
              <w:tabs>
                <w:tab w:val="decimal" w:pos="858"/>
              </w:tabs>
              <w:rPr>
                <w:sz w:val="22"/>
                <w:szCs w:val="22"/>
              </w:rPr>
            </w:pPr>
            <w:r w:rsidRPr="00362517">
              <w:rPr>
                <w:sz w:val="22"/>
                <w:szCs w:val="22"/>
              </w:rPr>
              <w:t>5</w:t>
            </w:r>
          </w:p>
        </w:tc>
        <w:tc>
          <w:tcPr>
            <w:tcW w:w="1238" w:type="dxa"/>
            <w:tcMar>
              <w:left w:w="115" w:type="dxa"/>
              <w:right w:w="576" w:type="dxa"/>
            </w:tcMar>
            <w:vAlign w:val="bottom"/>
          </w:tcPr>
          <w:p w14:paraId="13BF3D53" w14:textId="77777777" w:rsidR="00D8365A" w:rsidRPr="00362517" w:rsidRDefault="00D8365A" w:rsidP="00BF6BC7">
            <w:pPr>
              <w:tabs>
                <w:tab w:val="decimal" w:pos="605"/>
              </w:tabs>
              <w:ind w:right="-418"/>
              <w:rPr>
                <w:sz w:val="22"/>
                <w:szCs w:val="22"/>
              </w:rPr>
            </w:pPr>
            <w:r w:rsidRPr="00362517">
              <w:rPr>
                <w:sz w:val="22"/>
                <w:szCs w:val="22"/>
              </w:rPr>
              <w:t>0.5</w:t>
            </w:r>
          </w:p>
        </w:tc>
        <w:tc>
          <w:tcPr>
            <w:tcW w:w="1239" w:type="dxa"/>
            <w:tcMar>
              <w:left w:w="115" w:type="dxa"/>
              <w:right w:w="576" w:type="dxa"/>
            </w:tcMar>
            <w:vAlign w:val="bottom"/>
          </w:tcPr>
          <w:p w14:paraId="2AA05433" w14:textId="77777777" w:rsidR="00D8365A" w:rsidRPr="00362517" w:rsidRDefault="00D8365A" w:rsidP="00BF6BC7">
            <w:pPr>
              <w:tabs>
                <w:tab w:val="decimal" w:pos="627"/>
              </w:tabs>
              <w:ind w:right="-439"/>
              <w:rPr>
                <w:sz w:val="22"/>
                <w:szCs w:val="22"/>
              </w:rPr>
            </w:pPr>
            <w:r w:rsidRPr="00362517">
              <w:rPr>
                <w:sz w:val="22"/>
                <w:szCs w:val="22"/>
              </w:rPr>
              <w:t>0.7</w:t>
            </w:r>
          </w:p>
        </w:tc>
        <w:tc>
          <w:tcPr>
            <w:tcW w:w="1239" w:type="dxa"/>
            <w:tcMar>
              <w:left w:w="115" w:type="dxa"/>
              <w:right w:w="576" w:type="dxa"/>
            </w:tcMar>
            <w:vAlign w:val="bottom"/>
          </w:tcPr>
          <w:p w14:paraId="63CAE119"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792A5B3D" w14:textId="77777777" w:rsidR="00D8365A" w:rsidRPr="00362517" w:rsidRDefault="00D8365A" w:rsidP="00BF6BC7">
            <w:pPr>
              <w:tabs>
                <w:tab w:val="decimal" w:pos="489"/>
              </w:tabs>
              <w:ind w:right="-301"/>
              <w:rPr>
                <w:sz w:val="22"/>
                <w:szCs w:val="22"/>
              </w:rPr>
            </w:pPr>
            <w:r w:rsidRPr="00362517">
              <w:rPr>
                <w:sz w:val="22"/>
                <w:szCs w:val="22"/>
              </w:rPr>
              <w:t>0.0</w:t>
            </w:r>
          </w:p>
        </w:tc>
      </w:tr>
      <w:tr w:rsidR="00D8365A" w:rsidRPr="00362517" w14:paraId="65F7CB96" w14:textId="77777777" w:rsidTr="007A2164">
        <w:tc>
          <w:tcPr>
            <w:tcW w:w="1525" w:type="dxa"/>
          </w:tcPr>
          <w:p w14:paraId="061C9D7D" w14:textId="77777777" w:rsidR="00D8365A" w:rsidRPr="00362517" w:rsidRDefault="00D8365A" w:rsidP="00BF6BC7">
            <w:pPr>
              <w:rPr>
                <w:sz w:val="22"/>
                <w:szCs w:val="22"/>
              </w:rPr>
            </w:pPr>
            <w:r w:rsidRPr="00362517">
              <w:rPr>
                <w:sz w:val="22"/>
                <w:szCs w:val="22"/>
              </w:rPr>
              <w:t>South Carolina</w:t>
            </w:r>
          </w:p>
        </w:tc>
        <w:tc>
          <w:tcPr>
            <w:tcW w:w="1464" w:type="dxa"/>
            <w:tcMar>
              <w:left w:w="115" w:type="dxa"/>
              <w:right w:w="576" w:type="dxa"/>
            </w:tcMar>
            <w:vAlign w:val="bottom"/>
          </w:tcPr>
          <w:p w14:paraId="12D2677B" w14:textId="77777777" w:rsidR="00D8365A" w:rsidRPr="00362517" w:rsidRDefault="00D8365A" w:rsidP="00BF6BC7">
            <w:pPr>
              <w:tabs>
                <w:tab w:val="decimal" w:pos="965"/>
              </w:tabs>
              <w:ind w:right="-462"/>
              <w:rPr>
                <w:sz w:val="22"/>
                <w:szCs w:val="22"/>
              </w:rPr>
            </w:pPr>
            <w:r w:rsidRPr="00362517">
              <w:rPr>
                <w:sz w:val="22"/>
                <w:szCs w:val="22"/>
              </w:rPr>
              <w:t>782</w:t>
            </w:r>
          </w:p>
        </w:tc>
        <w:tc>
          <w:tcPr>
            <w:tcW w:w="1416" w:type="dxa"/>
            <w:vAlign w:val="bottom"/>
          </w:tcPr>
          <w:p w14:paraId="2CD88D76" w14:textId="77777777" w:rsidR="00D8365A" w:rsidRPr="00362517" w:rsidRDefault="00D8365A" w:rsidP="00BF6BC7">
            <w:pPr>
              <w:tabs>
                <w:tab w:val="decimal" w:pos="858"/>
              </w:tabs>
              <w:rPr>
                <w:sz w:val="22"/>
                <w:szCs w:val="22"/>
              </w:rPr>
            </w:pPr>
            <w:r w:rsidRPr="00362517">
              <w:rPr>
                <w:sz w:val="22"/>
                <w:szCs w:val="22"/>
              </w:rPr>
              <w:t>255</w:t>
            </w:r>
          </w:p>
        </w:tc>
        <w:tc>
          <w:tcPr>
            <w:tcW w:w="1238" w:type="dxa"/>
            <w:tcMar>
              <w:left w:w="115" w:type="dxa"/>
              <w:right w:w="576" w:type="dxa"/>
            </w:tcMar>
            <w:vAlign w:val="bottom"/>
          </w:tcPr>
          <w:p w14:paraId="0AB7AF0D" w14:textId="77777777" w:rsidR="00D8365A" w:rsidRPr="00362517" w:rsidRDefault="00D8365A" w:rsidP="00BF6BC7">
            <w:pPr>
              <w:tabs>
                <w:tab w:val="decimal" w:pos="605"/>
              </w:tabs>
              <w:ind w:right="-418"/>
              <w:rPr>
                <w:sz w:val="22"/>
                <w:szCs w:val="22"/>
              </w:rPr>
            </w:pPr>
            <w:r w:rsidRPr="00362517">
              <w:rPr>
                <w:sz w:val="22"/>
                <w:szCs w:val="22"/>
              </w:rPr>
              <w:t>5.0</w:t>
            </w:r>
          </w:p>
        </w:tc>
        <w:tc>
          <w:tcPr>
            <w:tcW w:w="1239" w:type="dxa"/>
            <w:tcMar>
              <w:left w:w="115" w:type="dxa"/>
              <w:right w:w="576" w:type="dxa"/>
            </w:tcMar>
            <w:vAlign w:val="bottom"/>
          </w:tcPr>
          <w:p w14:paraId="43C34EA1" w14:textId="77777777" w:rsidR="00D8365A" w:rsidRPr="00362517" w:rsidRDefault="00D8365A" w:rsidP="00BF6BC7">
            <w:pPr>
              <w:tabs>
                <w:tab w:val="decimal" w:pos="627"/>
              </w:tabs>
              <w:ind w:right="-439"/>
              <w:rPr>
                <w:sz w:val="22"/>
                <w:szCs w:val="22"/>
              </w:rPr>
            </w:pPr>
            <w:r w:rsidRPr="00362517">
              <w:rPr>
                <w:sz w:val="22"/>
                <w:szCs w:val="22"/>
              </w:rPr>
              <w:t>7.0</w:t>
            </w:r>
          </w:p>
        </w:tc>
        <w:tc>
          <w:tcPr>
            <w:tcW w:w="1239" w:type="dxa"/>
            <w:tcMar>
              <w:left w:w="115" w:type="dxa"/>
              <w:right w:w="576" w:type="dxa"/>
            </w:tcMar>
            <w:vAlign w:val="bottom"/>
          </w:tcPr>
          <w:p w14:paraId="36AC4636" w14:textId="77777777" w:rsidR="00D8365A" w:rsidRPr="00362517" w:rsidRDefault="00D8365A" w:rsidP="00BF6BC7">
            <w:pPr>
              <w:tabs>
                <w:tab w:val="decimal" w:pos="558"/>
              </w:tabs>
              <w:ind w:right="-370"/>
              <w:rPr>
                <w:sz w:val="22"/>
                <w:szCs w:val="22"/>
              </w:rPr>
            </w:pPr>
            <w:r w:rsidRPr="00362517">
              <w:rPr>
                <w:sz w:val="22"/>
                <w:szCs w:val="22"/>
              </w:rPr>
              <w:t>0.1</w:t>
            </w:r>
          </w:p>
        </w:tc>
        <w:tc>
          <w:tcPr>
            <w:tcW w:w="1239" w:type="dxa"/>
            <w:tcMar>
              <w:left w:w="115" w:type="dxa"/>
              <w:right w:w="576" w:type="dxa"/>
            </w:tcMar>
            <w:vAlign w:val="bottom"/>
          </w:tcPr>
          <w:p w14:paraId="0A0E69A6" w14:textId="77777777" w:rsidR="00D8365A" w:rsidRPr="00362517" w:rsidRDefault="00D8365A" w:rsidP="00BF6BC7">
            <w:pPr>
              <w:tabs>
                <w:tab w:val="decimal" w:pos="489"/>
              </w:tabs>
              <w:ind w:right="-301"/>
              <w:rPr>
                <w:sz w:val="22"/>
                <w:szCs w:val="22"/>
              </w:rPr>
            </w:pPr>
            <w:r w:rsidRPr="00362517">
              <w:rPr>
                <w:sz w:val="22"/>
                <w:szCs w:val="22"/>
              </w:rPr>
              <w:t>0.6</w:t>
            </w:r>
          </w:p>
        </w:tc>
      </w:tr>
      <w:tr w:rsidR="00D8365A" w:rsidRPr="00362517" w14:paraId="6B5C0988" w14:textId="77777777" w:rsidTr="007A2164">
        <w:tc>
          <w:tcPr>
            <w:tcW w:w="1525" w:type="dxa"/>
          </w:tcPr>
          <w:p w14:paraId="6E4A21DD" w14:textId="77777777" w:rsidR="00D8365A" w:rsidRPr="00362517" w:rsidRDefault="00D8365A" w:rsidP="00BF6BC7">
            <w:pPr>
              <w:rPr>
                <w:sz w:val="22"/>
                <w:szCs w:val="22"/>
              </w:rPr>
            </w:pPr>
            <w:r w:rsidRPr="00362517">
              <w:rPr>
                <w:sz w:val="22"/>
                <w:szCs w:val="22"/>
              </w:rPr>
              <w:t>South Dakota</w:t>
            </w:r>
            <w:r w:rsidRPr="00362517">
              <w:rPr>
                <w:sz w:val="22"/>
                <w:szCs w:val="22"/>
                <w:vertAlign w:val="superscript"/>
              </w:rPr>
              <w:t xml:space="preserve"> 1</w:t>
            </w:r>
          </w:p>
        </w:tc>
        <w:tc>
          <w:tcPr>
            <w:tcW w:w="1464" w:type="dxa"/>
            <w:tcMar>
              <w:left w:w="115" w:type="dxa"/>
              <w:right w:w="576" w:type="dxa"/>
            </w:tcMar>
            <w:vAlign w:val="bottom"/>
          </w:tcPr>
          <w:p w14:paraId="2D021C77" w14:textId="77777777" w:rsidR="00D8365A" w:rsidRPr="00362517" w:rsidRDefault="00D8365A" w:rsidP="00BF6BC7">
            <w:pPr>
              <w:tabs>
                <w:tab w:val="decimal" w:pos="965"/>
              </w:tabs>
              <w:ind w:right="-462"/>
              <w:rPr>
                <w:sz w:val="22"/>
                <w:szCs w:val="22"/>
              </w:rPr>
            </w:pPr>
            <w:r w:rsidRPr="00362517">
              <w:rPr>
                <w:sz w:val="22"/>
                <w:szCs w:val="22"/>
              </w:rPr>
              <w:t>0</w:t>
            </w:r>
          </w:p>
        </w:tc>
        <w:tc>
          <w:tcPr>
            <w:tcW w:w="1416" w:type="dxa"/>
            <w:vAlign w:val="bottom"/>
          </w:tcPr>
          <w:p w14:paraId="450ABA67" w14:textId="77777777" w:rsidR="00D8365A" w:rsidRPr="00362517" w:rsidRDefault="00D8365A" w:rsidP="00BF6BC7">
            <w:pPr>
              <w:tabs>
                <w:tab w:val="decimal" w:pos="858"/>
              </w:tabs>
              <w:rPr>
                <w:sz w:val="22"/>
                <w:szCs w:val="22"/>
              </w:rPr>
            </w:pPr>
            <w:r w:rsidRPr="00362517">
              <w:rPr>
                <w:sz w:val="22"/>
                <w:szCs w:val="22"/>
              </w:rPr>
              <w:t>0</w:t>
            </w:r>
          </w:p>
        </w:tc>
        <w:tc>
          <w:tcPr>
            <w:tcW w:w="1238" w:type="dxa"/>
            <w:tcMar>
              <w:left w:w="115" w:type="dxa"/>
              <w:right w:w="576" w:type="dxa"/>
            </w:tcMar>
            <w:vAlign w:val="bottom"/>
          </w:tcPr>
          <w:p w14:paraId="479DCB99" w14:textId="77777777" w:rsidR="00D8365A" w:rsidRPr="00362517" w:rsidRDefault="00D8365A" w:rsidP="00BF6BC7">
            <w:pPr>
              <w:tabs>
                <w:tab w:val="decimal" w:pos="605"/>
              </w:tabs>
              <w:ind w:right="-418"/>
              <w:rPr>
                <w:sz w:val="22"/>
                <w:szCs w:val="22"/>
              </w:rPr>
            </w:pPr>
            <w:r w:rsidRPr="00362517">
              <w:rPr>
                <w:sz w:val="22"/>
                <w:szCs w:val="22"/>
              </w:rPr>
              <w:t>0.0</w:t>
            </w:r>
          </w:p>
        </w:tc>
        <w:tc>
          <w:tcPr>
            <w:tcW w:w="1239" w:type="dxa"/>
            <w:tcMar>
              <w:left w:w="115" w:type="dxa"/>
              <w:right w:w="576" w:type="dxa"/>
            </w:tcMar>
            <w:vAlign w:val="bottom"/>
          </w:tcPr>
          <w:p w14:paraId="0B987FAE" w14:textId="77777777" w:rsidR="00D8365A" w:rsidRPr="00362517" w:rsidRDefault="00D8365A" w:rsidP="00BF6BC7">
            <w:pPr>
              <w:tabs>
                <w:tab w:val="decimal" w:pos="627"/>
              </w:tabs>
              <w:ind w:right="-439"/>
              <w:rPr>
                <w:sz w:val="22"/>
                <w:szCs w:val="22"/>
              </w:rPr>
            </w:pPr>
            <w:r w:rsidRPr="00362517">
              <w:rPr>
                <w:sz w:val="22"/>
                <w:szCs w:val="22"/>
              </w:rPr>
              <w:t>0.0</w:t>
            </w:r>
          </w:p>
        </w:tc>
        <w:tc>
          <w:tcPr>
            <w:tcW w:w="1239" w:type="dxa"/>
            <w:tcMar>
              <w:left w:w="115" w:type="dxa"/>
              <w:right w:w="576" w:type="dxa"/>
            </w:tcMar>
            <w:vAlign w:val="bottom"/>
          </w:tcPr>
          <w:p w14:paraId="7466FA8B"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2DA69983" w14:textId="77777777" w:rsidR="00D8365A" w:rsidRPr="00362517" w:rsidRDefault="00D8365A" w:rsidP="00BF6BC7">
            <w:pPr>
              <w:tabs>
                <w:tab w:val="decimal" w:pos="489"/>
              </w:tabs>
              <w:ind w:right="-301"/>
              <w:rPr>
                <w:sz w:val="22"/>
                <w:szCs w:val="22"/>
              </w:rPr>
            </w:pPr>
            <w:r w:rsidRPr="00362517">
              <w:rPr>
                <w:sz w:val="22"/>
                <w:szCs w:val="22"/>
              </w:rPr>
              <w:t>0.0</w:t>
            </w:r>
          </w:p>
        </w:tc>
      </w:tr>
      <w:tr w:rsidR="00D8365A" w:rsidRPr="00362517" w14:paraId="5DD5B475" w14:textId="77777777" w:rsidTr="007A2164">
        <w:tc>
          <w:tcPr>
            <w:tcW w:w="1525" w:type="dxa"/>
          </w:tcPr>
          <w:p w14:paraId="44E6A988" w14:textId="77777777" w:rsidR="00D8365A" w:rsidRPr="00362517" w:rsidRDefault="00D8365A" w:rsidP="00BF6BC7">
            <w:pPr>
              <w:rPr>
                <w:sz w:val="22"/>
                <w:szCs w:val="22"/>
              </w:rPr>
            </w:pPr>
            <w:r w:rsidRPr="00362517">
              <w:rPr>
                <w:sz w:val="22"/>
                <w:szCs w:val="22"/>
              </w:rPr>
              <w:t>Tennessee</w:t>
            </w:r>
          </w:p>
        </w:tc>
        <w:tc>
          <w:tcPr>
            <w:tcW w:w="1464" w:type="dxa"/>
            <w:tcMar>
              <w:left w:w="115" w:type="dxa"/>
              <w:right w:w="576" w:type="dxa"/>
            </w:tcMar>
            <w:vAlign w:val="bottom"/>
          </w:tcPr>
          <w:p w14:paraId="60029B73" w14:textId="77777777" w:rsidR="00D8365A" w:rsidRPr="00362517" w:rsidRDefault="00D8365A" w:rsidP="00BF6BC7">
            <w:pPr>
              <w:tabs>
                <w:tab w:val="decimal" w:pos="965"/>
              </w:tabs>
              <w:ind w:right="-462"/>
              <w:rPr>
                <w:sz w:val="22"/>
                <w:szCs w:val="22"/>
              </w:rPr>
            </w:pPr>
            <w:r w:rsidRPr="00362517">
              <w:rPr>
                <w:sz w:val="22"/>
                <w:szCs w:val="22"/>
              </w:rPr>
              <w:t>842</w:t>
            </w:r>
          </w:p>
        </w:tc>
        <w:tc>
          <w:tcPr>
            <w:tcW w:w="1416" w:type="dxa"/>
            <w:vAlign w:val="bottom"/>
          </w:tcPr>
          <w:p w14:paraId="5F126AD5" w14:textId="77777777" w:rsidR="00D8365A" w:rsidRPr="00362517" w:rsidRDefault="00D8365A" w:rsidP="00BF6BC7">
            <w:pPr>
              <w:tabs>
                <w:tab w:val="decimal" w:pos="858"/>
              </w:tabs>
              <w:rPr>
                <w:sz w:val="22"/>
                <w:szCs w:val="22"/>
              </w:rPr>
            </w:pPr>
            <w:r w:rsidRPr="00362517">
              <w:rPr>
                <w:sz w:val="22"/>
                <w:szCs w:val="22"/>
              </w:rPr>
              <w:t>253</w:t>
            </w:r>
          </w:p>
        </w:tc>
        <w:tc>
          <w:tcPr>
            <w:tcW w:w="1238" w:type="dxa"/>
            <w:tcMar>
              <w:left w:w="115" w:type="dxa"/>
              <w:right w:w="576" w:type="dxa"/>
            </w:tcMar>
            <w:vAlign w:val="bottom"/>
          </w:tcPr>
          <w:p w14:paraId="60996856" w14:textId="77777777" w:rsidR="00D8365A" w:rsidRPr="00362517" w:rsidRDefault="00D8365A" w:rsidP="00BF6BC7">
            <w:pPr>
              <w:tabs>
                <w:tab w:val="decimal" w:pos="605"/>
              </w:tabs>
              <w:ind w:right="-418"/>
              <w:rPr>
                <w:sz w:val="22"/>
                <w:szCs w:val="22"/>
              </w:rPr>
            </w:pPr>
            <w:r w:rsidRPr="00362517">
              <w:rPr>
                <w:sz w:val="22"/>
                <w:szCs w:val="22"/>
              </w:rPr>
              <w:t>15.3</w:t>
            </w:r>
          </w:p>
        </w:tc>
        <w:tc>
          <w:tcPr>
            <w:tcW w:w="1239" w:type="dxa"/>
            <w:tcMar>
              <w:left w:w="115" w:type="dxa"/>
              <w:right w:w="576" w:type="dxa"/>
            </w:tcMar>
            <w:vAlign w:val="bottom"/>
          </w:tcPr>
          <w:p w14:paraId="784487DA" w14:textId="77777777" w:rsidR="00D8365A" w:rsidRPr="00362517" w:rsidRDefault="00D8365A" w:rsidP="00BF6BC7">
            <w:pPr>
              <w:tabs>
                <w:tab w:val="decimal" w:pos="627"/>
              </w:tabs>
              <w:ind w:right="-439"/>
              <w:rPr>
                <w:sz w:val="22"/>
                <w:szCs w:val="22"/>
              </w:rPr>
            </w:pPr>
            <w:r w:rsidRPr="00362517">
              <w:rPr>
                <w:sz w:val="22"/>
                <w:szCs w:val="22"/>
              </w:rPr>
              <w:t>21.7</w:t>
            </w:r>
          </w:p>
        </w:tc>
        <w:tc>
          <w:tcPr>
            <w:tcW w:w="1239" w:type="dxa"/>
            <w:tcMar>
              <w:left w:w="115" w:type="dxa"/>
              <w:right w:w="576" w:type="dxa"/>
            </w:tcMar>
            <w:vAlign w:val="bottom"/>
          </w:tcPr>
          <w:p w14:paraId="781CA383"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7DB9D963" w14:textId="77777777" w:rsidR="00D8365A" w:rsidRPr="00362517" w:rsidRDefault="00D8365A" w:rsidP="00BF6BC7">
            <w:pPr>
              <w:tabs>
                <w:tab w:val="decimal" w:pos="489"/>
              </w:tabs>
              <w:ind w:right="-301"/>
              <w:rPr>
                <w:sz w:val="22"/>
                <w:szCs w:val="22"/>
              </w:rPr>
            </w:pPr>
            <w:r w:rsidRPr="00362517">
              <w:rPr>
                <w:sz w:val="22"/>
                <w:szCs w:val="22"/>
              </w:rPr>
              <w:t>0.0</w:t>
            </w:r>
          </w:p>
        </w:tc>
      </w:tr>
      <w:tr w:rsidR="00D8365A" w:rsidRPr="00362517" w14:paraId="77202696" w14:textId="77777777" w:rsidTr="007A2164">
        <w:tc>
          <w:tcPr>
            <w:tcW w:w="1525" w:type="dxa"/>
          </w:tcPr>
          <w:p w14:paraId="6A78D254" w14:textId="77777777" w:rsidR="00D8365A" w:rsidRPr="00362517" w:rsidRDefault="00D8365A" w:rsidP="00BF6BC7">
            <w:pPr>
              <w:rPr>
                <w:sz w:val="22"/>
                <w:szCs w:val="22"/>
              </w:rPr>
            </w:pPr>
            <w:r w:rsidRPr="00362517">
              <w:rPr>
                <w:sz w:val="22"/>
                <w:szCs w:val="22"/>
              </w:rPr>
              <w:t>Texas</w:t>
            </w:r>
          </w:p>
        </w:tc>
        <w:tc>
          <w:tcPr>
            <w:tcW w:w="1464" w:type="dxa"/>
            <w:tcMar>
              <w:left w:w="115" w:type="dxa"/>
              <w:right w:w="576" w:type="dxa"/>
            </w:tcMar>
            <w:vAlign w:val="bottom"/>
          </w:tcPr>
          <w:p w14:paraId="3829DAF3" w14:textId="77777777" w:rsidR="00D8365A" w:rsidRPr="00362517" w:rsidRDefault="00D8365A" w:rsidP="00BF6BC7">
            <w:pPr>
              <w:tabs>
                <w:tab w:val="decimal" w:pos="965"/>
              </w:tabs>
              <w:ind w:right="-462"/>
              <w:rPr>
                <w:sz w:val="22"/>
                <w:szCs w:val="22"/>
              </w:rPr>
            </w:pPr>
            <w:r w:rsidRPr="00362517">
              <w:rPr>
                <w:sz w:val="22"/>
                <w:szCs w:val="22"/>
              </w:rPr>
              <w:t>3,869</w:t>
            </w:r>
          </w:p>
        </w:tc>
        <w:tc>
          <w:tcPr>
            <w:tcW w:w="1416" w:type="dxa"/>
            <w:vAlign w:val="bottom"/>
          </w:tcPr>
          <w:p w14:paraId="38C16E79" w14:textId="77777777" w:rsidR="00D8365A" w:rsidRPr="00362517" w:rsidRDefault="00D8365A" w:rsidP="00BF6BC7">
            <w:pPr>
              <w:tabs>
                <w:tab w:val="decimal" w:pos="858"/>
              </w:tabs>
              <w:rPr>
                <w:sz w:val="22"/>
                <w:szCs w:val="22"/>
              </w:rPr>
            </w:pPr>
            <w:r w:rsidRPr="00362517">
              <w:rPr>
                <w:sz w:val="22"/>
                <w:szCs w:val="22"/>
              </w:rPr>
              <w:t>1,580</w:t>
            </w:r>
          </w:p>
        </w:tc>
        <w:tc>
          <w:tcPr>
            <w:tcW w:w="1238" w:type="dxa"/>
            <w:tcMar>
              <w:left w:w="115" w:type="dxa"/>
              <w:right w:w="576" w:type="dxa"/>
            </w:tcMar>
            <w:vAlign w:val="bottom"/>
          </w:tcPr>
          <w:p w14:paraId="6FB7FBC2" w14:textId="77777777" w:rsidR="00D8365A" w:rsidRPr="00362517" w:rsidRDefault="00D8365A" w:rsidP="00BF6BC7">
            <w:pPr>
              <w:tabs>
                <w:tab w:val="decimal" w:pos="605"/>
              </w:tabs>
              <w:ind w:right="-418"/>
              <w:rPr>
                <w:sz w:val="22"/>
                <w:szCs w:val="22"/>
              </w:rPr>
            </w:pPr>
            <w:r w:rsidRPr="00362517">
              <w:rPr>
                <w:sz w:val="22"/>
                <w:szCs w:val="22"/>
              </w:rPr>
              <w:t>42.0</w:t>
            </w:r>
          </w:p>
        </w:tc>
        <w:tc>
          <w:tcPr>
            <w:tcW w:w="1239" w:type="dxa"/>
            <w:tcMar>
              <w:left w:w="115" w:type="dxa"/>
              <w:right w:w="576" w:type="dxa"/>
            </w:tcMar>
            <w:vAlign w:val="bottom"/>
          </w:tcPr>
          <w:p w14:paraId="00423F96" w14:textId="77777777" w:rsidR="00D8365A" w:rsidRPr="00362517" w:rsidRDefault="00D8365A" w:rsidP="00BF6BC7">
            <w:pPr>
              <w:tabs>
                <w:tab w:val="decimal" w:pos="627"/>
              </w:tabs>
              <w:ind w:right="-439"/>
              <w:rPr>
                <w:sz w:val="22"/>
                <w:szCs w:val="22"/>
              </w:rPr>
            </w:pPr>
            <w:r w:rsidRPr="00362517">
              <w:rPr>
                <w:sz w:val="22"/>
                <w:szCs w:val="22"/>
              </w:rPr>
              <w:t>58.9</w:t>
            </w:r>
          </w:p>
        </w:tc>
        <w:tc>
          <w:tcPr>
            <w:tcW w:w="1239" w:type="dxa"/>
            <w:tcMar>
              <w:left w:w="115" w:type="dxa"/>
              <w:right w:w="576" w:type="dxa"/>
            </w:tcMar>
            <w:vAlign w:val="bottom"/>
          </w:tcPr>
          <w:p w14:paraId="088E0595" w14:textId="77777777" w:rsidR="00D8365A" w:rsidRPr="00362517" w:rsidRDefault="00D8365A" w:rsidP="00BF6BC7">
            <w:pPr>
              <w:tabs>
                <w:tab w:val="decimal" w:pos="558"/>
              </w:tabs>
              <w:ind w:right="-370"/>
              <w:rPr>
                <w:sz w:val="22"/>
                <w:szCs w:val="22"/>
              </w:rPr>
            </w:pPr>
            <w:r w:rsidRPr="00362517">
              <w:rPr>
                <w:sz w:val="22"/>
                <w:szCs w:val="22"/>
              </w:rPr>
              <w:t>2.4</w:t>
            </w:r>
          </w:p>
        </w:tc>
        <w:tc>
          <w:tcPr>
            <w:tcW w:w="1239" w:type="dxa"/>
            <w:tcMar>
              <w:left w:w="115" w:type="dxa"/>
              <w:right w:w="576" w:type="dxa"/>
            </w:tcMar>
            <w:vAlign w:val="bottom"/>
          </w:tcPr>
          <w:p w14:paraId="4B78DF6D" w14:textId="77777777" w:rsidR="00D8365A" w:rsidRPr="00362517" w:rsidRDefault="00D8365A" w:rsidP="00BF6BC7">
            <w:pPr>
              <w:tabs>
                <w:tab w:val="decimal" w:pos="489"/>
              </w:tabs>
              <w:ind w:right="-301"/>
              <w:rPr>
                <w:sz w:val="22"/>
                <w:szCs w:val="22"/>
              </w:rPr>
            </w:pPr>
            <w:r w:rsidRPr="00362517">
              <w:rPr>
                <w:sz w:val="22"/>
                <w:szCs w:val="22"/>
              </w:rPr>
              <w:t>11.4</w:t>
            </w:r>
          </w:p>
        </w:tc>
      </w:tr>
      <w:tr w:rsidR="00D8365A" w:rsidRPr="00362517" w14:paraId="0441AB3D" w14:textId="77777777" w:rsidTr="007A2164">
        <w:tc>
          <w:tcPr>
            <w:tcW w:w="1525" w:type="dxa"/>
          </w:tcPr>
          <w:p w14:paraId="27753CC8" w14:textId="77777777" w:rsidR="00D8365A" w:rsidRPr="00362517" w:rsidRDefault="00D8365A" w:rsidP="00BF6BC7">
            <w:pPr>
              <w:rPr>
                <w:sz w:val="22"/>
                <w:szCs w:val="22"/>
              </w:rPr>
            </w:pPr>
            <w:r w:rsidRPr="00362517">
              <w:rPr>
                <w:sz w:val="22"/>
                <w:szCs w:val="22"/>
              </w:rPr>
              <w:t>Utah</w:t>
            </w:r>
          </w:p>
        </w:tc>
        <w:tc>
          <w:tcPr>
            <w:tcW w:w="1464" w:type="dxa"/>
            <w:tcMar>
              <w:left w:w="115" w:type="dxa"/>
              <w:right w:w="576" w:type="dxa"/>
            </w:tcMar>
            <w:vAlign w:val="bottom"/>
          </w:tcPr>
          <w:p w14:paraId="57A99AE6" w14:textId="77777777" w:rsidR="00D8365A" w:rsidRPr="00362517" w:rsidRDefault="00D8365A" w:rsidP="00BF6BC7">
            <w:pPr>
              <w:tabs>
                <w:tab w:val="decimal" w:pos="965"/>
              </w:tabs>
              <w:ind w:right="-462"/>
              <w:rPr>
                <w:sz w:val="22"/>
                <w:szCs w:val="22"/>
              </w:rPr>
            </w:pPr>
            <w:r w:rsidRPr="00362517">
              <w:rPr>
                <w:sz w:val="22"/>
                <w:szCs w:val="22"/>
              </w:rPr>
              <w:t>153</w:t>
            </w:r>
          </w:p>
        </w:tc>
        <w:tc>
          <w:tcPr>
            <w:tcW w:w="1416" w:type="dxa"/>
            <w:vAlign w:val="bottom"/>
          </w:tcPr>
          <w:p w14:paraId="20A84605" w14:textId="77777777" w:rsidR="00D8365A" w:rsidRPr="00362517" w:rsidRDefault="00D8365A" w:rsidP="00BF6BC7">
            <w:pPr>
              <w:tabs>
                <w:tab w:val="decimal" w:pos="858"/>
              </w:tabs>
              <w:rPr>
                <w:sz w:val="22"/>
                <w:szCs w:val="22"/>
              </w:rPr>
            </w:pPr>
            <w:r w:rsidRPr="00362517">
              <w:rPr>
                <w:sz w:val="22"/>
                <w:szCs w:val="22"/>
              </w:rPr>
              <w:t>50</w:t>
            </w:r>
          </w:p>
        </w:tc>
        <w:tc>
          <w:tcPr>
            <w:tcW w:w="1238" w:type="dxa"/>
            <w:tcMar>
              <w:left w:w="115" w:type="dxa"/>
              <w:right w:w="576" w:type="dxa"/>
            </w:tcMar>
            <w:vAlign w:val="bottom"/>
          </w:tcPr>
          <w:p w14:paraId="7292E6D6" w14:textId="77777777" w:rsidR="00D8365A" w:rsidRPr="00362517" w:rsidRDefault="00D8365A" w:rsidP="00BF6BC7">
            <w:pPr>
              <w:tabs>
                <w:tab w:val="decimal" w:pos="605"/>
              </w:tabs>
              <w:ind w:right="-418"/>
              <w:rPr>
                <w:sz w:val="22"/>
                <w:szCs w:val="22"/>
              </w:rPr>
            </w:pPr>
            <w:r w:rsidRPr="00362517">
              <w:rPr>
                <w:sz w:val="22"/>
                <w:szCs w:val="22"/>
              </w:rPr>
              <w:t>4.8</w:t>
            </w:r>
          </w:p>
        </w:tc>
        <w:tc>
          <w:tcPr>
            <w:tcW w:w="1239" w:type="dxa"/>
            <w:tcMar>
              <w:left w:w="115" w:type="dxa"/>
              <w:right w:w="576" w:type="dxa"/>
            </w:tcMar>
            <w:vAlign w:val="bottom"/>
          </w:tcPr>
          <w:p w14:paraId="08AE825A" w14:textId="77777777" w:rsidR="00D8365A" w:rsidRPr="00362517" w:rsidRDefault="00D8365A" w:rsidP="00BF6BC7">
            <w:pPr>
              <w:tabs>
                <w:tab w:val="decimal" w:pos="627"/>
              </w:tabs>
              <w:ind w:right="-439"/>
              <w:rPr>
                <w:sz w:val="22"/>
                <w:szCs w:val="22"/>
              </w:rPr>
            </w:pPr>
            <w:r w:rsidRPr="00362517">
              <w:rPr>
                <w:sz w:val="22"/>
                <w:szCs w:val="22"/>
              </w:rPr>
              <w:t>6.8</w:t>
            </w:r>
          </w:p>
        </w:tc>
        <w:tc>
          <w:tcPr>
            <w:tcW w:w="1239" w:type="dxa"/>
            <w:tcMar>
              <w:left w:w="115" w:type="dxa"/>
              <w:right w:w="576" w:type="dxa"/>
            </w:tcMar>
            <w:vAlign w:val="bottom"/>
          </w:tcPr>
          <w:p w14:paraId="29CB6BAC"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7BEE6911" w14:textId="77777777" w:rsidR="00D8365A" w:rsidRPr="00362517" w:rsidRDefault="00D8365A" w:rsidP="00BF6BC7">
            <w:pPr>
              <w:tabs>
                <w:tab w:val="decimal" w:pos="489"/>
              </w:tabs>
              <w:ind w:right="-301"/>
              <w:rPr>
                <w:sz w:val="22"/>
                <w:szCs w:val="22"/>
              </w:rPr>
            </w:pPr>
            <w:r w:rsidRPr="00362517">
              <w:rPr>
                <w:sz w:val="22"/>
                <w:szCs w:val="22"/>
              </w:rPr>
              <w:t>0.1</w:t>
            </w:r>
          </w:p>
        </w:tc>
      </w:tr>
      <w:tr w:rsidR="00D8365A" w:rsidRPr="00362517" w14:paraId="700C3BED" w14:textId="77777777" w:rsidTr="007A2164">
        <w:tc>
          <w:tcPr>
            <w:tcW w:w="1525" w:type="dxa"/>
          </w:tcPr>
          <w:p w14:paraId="6652F296" w14:textId="77777777" w:rsidR="00D8365A" w:rsidRPr="00362517" w:rsidRDefault="00D8365A" w:rsidP="00BF6BC7">
            <w:pPr>
              <w:rPr>
                <w:sz w:val="22"/>
                <w:szCs w:val="22"/>
              </w:rPr>
            </w:pPr>
            <w:r w:rsidRPr="00362517">
              <w:rPr>
                <w:sz w:val="22"/>
                <w:szCs w:val="22"/>
              </w:rPr>
              <w:t>Vermont</w:t>
            </w:r>
            <w:r w:rsidRPr="00362517">
              <w:rPr>
                <w:sz w:val="22"/>
                <w:szCs w:val="22"/>
                <w:vertAlign w:val="superscript"/>
              </w:rPr>
              <w:t xml:space="preserve"> 3</w:t>
            </w:r>
          </w:p>
        </w:tc>
        <w:tc>
          <w:tcPr>
            <w:tcW w:w="1464" w:type="dxa"/>
            <w:tcMar>
              <w:left w:w="115" w:type="dxa"/>
              <w:right w:w="576" w:type="dxa"/>
            </w:tcMar>
            <w:vAlign w:val="bottom"/>
          </w:tcPr>
          <w:p w14:paraId="173163E0" w14:textId="77777777" w:rsidR="00D8365A" w:rsidRPr="00362517" w:rsidRDefault="00D8365A" w:rsidP="00BF6BC7">
            <w:pPr>
              <w:tabs>
                <w:tab w:val="decimal" w:pos="965"/>
              </w:tabs>
              <w:ind w:right="-462"/>
              <w:rPr>
                <w:sz w:val="22"/>
                <w:szCs w:val="22"/>
              </w:rPr>
            </w:pPr>
            <w:r w:rsidRPr="00362517">
              <w:rPr>
                <w:sz w:val="22"/>
                <w:szCs w:val="22"/>
              </w:rPr>
              <w:t>90</w:t>
            </w:r>
          </w:p>
        </w:tc>
        <w:tc>
          <w:tcPr>
            <w:tcW w:w="1416" w:type="dxa"/>
            <w:vAlign w:val="bottom"/>
          </w:tcPr>
          <w:p w14:paraId="5CD133C2" w14:textId="77777777" w:rsidR="00D8365A" w:rsidRPr="00362517" w:rsidRDefault="00D8365A" w:rsidP="00BF6BC7">
            <w:pPr>
              <w:tabs>
                <w:tab w:val="decimal" w:pos="858"/>
              </w:tabs>
              <w:rPr>
                <w:sz w:val="22"/>
                <w:szCs w:val="22"/>
              </w:rPr>
            </w:pPr>
            <w:r w:rsidRPr="00362517">
              <w:rPr>
                <w:sz w:val="22"/>
                <w:szCs w:val="22"/>
              </w:rPr>
              <w:t>29</w:t>
            </w:r>
          </w:p>
        </w:tc>
        <w:tc>
          <w:tcPr>
            <w:tcW w:w="1238" w:type="dxa"/>
            <w:tcMar>
              <w:left w:w="115" w:type="dxa"/>
              <w:right w:w="576" w:type="dxa"/>
            </w:tcMar>
            <w:vAlign w:val="bottom"/>
          </w:tcPr>
          <w:p w14:paraId="60BB79D5" w14:textId="77777777" w:rsidR="00D8365A" w:rsidRPr="00362517" w:rsidRDefault="00D8365A" w:rsidP="00BF6BC7">
            <w:pPr>
              <w:tabs>
                <w:tab w:val="decimal" w:pos="605"/>
              </w:tabs>
              <w:ind w:right="-418"/>
              <w:rPr>
                <w:sz w:val="22"/>
                <w:szCs w:val="22"/>
              </w:rPr>
            </w:pPr>
            <w:r w:rsidRPr="00362517">
              <w:rPr>
                <w:sz w:val="22"/>
                <w:szCs w:val="22"/>
              </w:rPr>
              <w:t>0.0</w:t>
            </w:r>
          </w:p>
        </w:tc>
        <w:tc>
          <w:tcPr>
            <w:tcW w:w="1239" w:type="dxa"/>
            <w:tcMar>
              <w:left w:w="115" w:type="dxa"/>
              <w:right w:w="576" w:type="dxa"/>
            </w:tcMar>
            <w:vAlign w:val="bottom"/>
          </w:tcPr>
          <w:p w14:paraId="133DD0D9" w14:textId="77777777" w:rsidR="00D8365A" w:rsidRPr="00362517" w:rsidRDefault="00D8365A" w:rsidP="00BF6BC7">
            <w:pPr>
              <w:tabs>
                <w:tab w:val="decimal" w:pos="627"/>
              </w:tabs>
              <w:ind w:right="-439"/>
              <w:rPr>
                <w:sz w:val="22"/>
                <w:szCs w:val="22"/>
              </w:rPr>
            </w:pPr>
            <w:r w:rsidRPr="00362517">
              <w:rPr>
                <w:sz w:val="22"/>
                <w:szCs w:val="22"/>
              </w:rPr>
              <w:t>2.3</w:t>
            </w:r>
          </w:p>
        </w:tc>
        <w:tc>
          <w:tcPr>
            <w:tcW w:w="1239" w:type="dxa"/>
            <w:tcMar>
              <w:left w:w="115" w:type="dxa"/>
              <w:right w:w="576" w:type="dxa"/>
            </w:tcMar>
            <w:vAlign w:val="bottom"/>
          </w:tcPr>
          <w:p w14:paraId="4581E0F6"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22A005D3" w14:textId="77777777" w:rsidR="00D8365A" w:rsidRPr="00362517" w:rsidRDefault="00D8365A" w:rsidP="00BF6BC7">
            <w:pPr>
              <w:tabs>
                <w:tab w:val="decimal" w:pos="489"/>
              </w:tabs>
              <w:ind w:right="-301"/>
              <w:rPr>
                <w:sz w:val="22"/>
                <w:szCs w:val="22"/>
              </w:rPr>
            </w:pPr>
            <w:r w:rsidRPr="00362517">
              <w:rPr>
                <w:sz w:val="22"/>
                <w:szCs w:val="22"/>
              </w:rPr>
              <w:t>0.0</w:t>
            </w:r>
          </w:p>
        </w:tc>
      </w:tr>
      <w:tr w:rsidR="00D8365A" w:rsidRPr="00362517" w14:paraId="53FB936A" w14:textId="77777777" w:rsidTr="007A2164">
        <w:tc>
          <w:tcPr>
            <w:tcW w:w="1525" w:type="dxa"/>
          </w:tcPr>
          <w:p w14:paraId="2063EFDB" w14:textId="77777777" w:rsidR="00D8365A" w:rsidRPr="00362517" w:rsidRDefault="00D8365A" w:rsidP="00BF6BC7">
            <w:pPr>
              <w:rPr>
                <w:sz w:val="22"/>
                <w:szCs w:val="22"/>
              </w:rPr>
            </w:pPr>
            <w:r w:rsidRPr="00362517">
              <w:rPr>
                <w:sz w:val="22"/>
                <w:szCs w:val="22"/>
              </w:rPr>
              <w:t>Virginia</w:t>
            </w:r>
          </w:p>
        </w:tc>
        <w:tc>
          <w:tcPr>
            <w:tcW w:w="1464" w:type="dxa"/>
            <w:tcMar>
              <w:left w:w="115" w:type="dxa"/>
              <w:right w:w="576" w:type="dxa"/>
            </w:tcMar>
            <w:vAlign w:val="bottom"/>
          </w:tcPr>
          <w:p w14:paraId="34F568AB" w14:textId="77777777" w:rsidR="00D8365A" w:rsidRPr="00362517" w:rsidRDefault="00D8365A" w:rsidP="00BF6BC7">
            <w:pPr>
              <w:tabs>
                <w:tab w:val="decimal" w:pos="965"/>
              </w:tabs>
              <w:ind w:right="-462"/>
              <w:rPr>
                <w:sz w:val="22"/>
                <w:szCs w:val="22"/>
              </w:rPr>
            </w:pPr>
            <w:r w:rsidRPr="00362517">
              <w:rPr>
                <w:sz w:val="22"/>
                <w:szCs w:val="22"/>
              </w:rPr>
              <w:t>662</w:t>
            </w:r>
          </w:p>
        </w:tc>
        <w:tc>
          <w:tcPr>
            <w:tcW w:w="1416" w:type="dxa"/>
            <w:vAlign w:val="bottom"/>
          </w:tcPr>
          <w:p w14:paraId="45BD463B" w14:textId="77777777" w:rsidR="00D8365A" w:rsidRPr="00362517" w:rsidRDefault="00D8365A" w:rsidP="00BF6BC7">
            <w:pPr>
              <w:tabs>
                <w:tab w:val="decimal" w:pos="858"/>
              </w:tabs>
              <w:rPr>
                <w:sz w:val="22"/>
                <w:szCs w:val="22"/>
              </w:rPr>
            </w:pPr>
            <w:r w:rsidRPr="00362517">
              <w:rPr>
                <w:sz w:val="22"/>
                <w:szCs w:val="22"/>
              </w:rPr>
              <w:t>218</w:t>
            </w:r>
          </w:p>
        </w:tc>
        <w:tc>
          <w:tcPr>
            <w:tcW w:w="1238" w:type="dxa"/>
            <w:tcMar>
              <w:left w:w="115" w:type="dxa"/>
              <w:right w:w="576" w:type="dxa"/>
            </w:tcMar>
            <w:vAlign w:val="bottom"/>
          </w:tcPr>
          <w:p w14:paraId="093C24AC" w14:textId="77777777" w:rsidR="00D8365A" w:rsidRPr="00362517" w:rsidRDefault="00D8365A" w:rsidP="00BF6BC7">
            <w:pPr>
              <w:tabs>
                <w:tab w:val="decimal" w:pos="605"/>
              </w:tabs>
              <w:ind w:right="-418"/>
              <w:rPr>
                <w:sz w:val="22"/>
                <w:szCs w:val="22"/>
              </w:rPr>
            </w:pPr>
            <w:r w:rsidRPr="00362517">
              <w:rPr>
                <w:sz w:val="22"/>
                <w:szCs w:val="22"/>
              </w:rPr>
              <w:t>10.5</w:t>
            </w:r>
          </w:p>
        </w:tc>
        <w:tc>
          <w:tcPr>
            <w:tcW w:w="1239" w:type="dxa"/>
            <w:tcMar>
              <w:left w:w="115" w:type="dxa"/>
              <w:right w:w="576" w:type="dxa"/>
            </w:tcMar>
            <w:vAlign w:val="bottom"/>
          </w:tcPr>
          <w:p w14:paraId="635788CA" w14:textId="77777777" w:rsidR="00D8365A" w:rsidRPr="00362517" w:rsidRDefault="00D8365A" w:rsidP="00BF6BC7">
            <w:pPr>
              <w:tabs>
                <w:tab w:val="decimal" w:pos="627"/>
              </w:tabs>
              <w:ind w:right="-439"/>
              <w:rPr>
                <w:sz w:val="22"/>
                <w:szCs w:val="22"/>
              </w:rPr>
            </w:pPr>
            <w:r w:rsidRPr="00362517">
              <w:rPr>
                <w:sz w:val="22"/>
                <w:szCs w:val="22"/>
              </w:rPr>
              <w:t>14.7</w:t>
            </w:r>
          </w:p>
        </w:tc>
        <w:tc>
          <w:tcPr>
            <w:tcW w:w="1239" w:type="dxa"/>
            <w:tcMar>
              <w:left w:w="115" w:type="dxa"/>
              <w:right w:w="576" w:type="dxa"/>
            </w:tcMar>
            <w:vAlign w:val="bottom"/>
          </w:tcPr>
          <w:p w14:paraId="302790F7" w14:textId="77777777" w:rsidR="00D8365A" w:rsidRPr="00362517" w:rsidRDefault="00D8365A" w:rsidP="00BF6BC7">
            <w:pPr>
              <w:tabs>
                <w:tab w:val="decimal" w:pos="558"/>
              </w:tabs>
              <w:ind w:right="-370"/>
              <w:rPr>
                <w:sz w:val="22"/>
                <w:szCs w:val="22"/>
              </w:rPr>
            </w:pPr>
            <w:r w:rsidRPr="00362517">
              <w:rPr>
                <w:sz w:val="22"/>
                <w:szCs w:val="22"/>
              </w:rPr>
              <w:t>0.1</w:t>
            </w:r>
          </w:p>
        </w:tc>
        <w:tc>
          <w:tcPr>
            <w:tcW w:w="1239" w:type="dxa"/>
            <w:tcMar>
              <w:left w:w="115" w:type="dxa"/>
              <w:right w:w="576" w:type="dxa"/>
            </w:tcMar>
            <w:vAlign w:val="bottom"/>
          </w:tcPr>
          <w:p w14:paraId="78F11690" w14:textId="77777777" w:rsidR="00D8365A" w:rsidRPr="00362517" w:rsidRDefault="00D8365A" w:rsidP="00BF6BC7">
            <w:pPr>
              <w:tabs>
                <w:tab w:val="decimal" w:pos="489"/>
              </w:tabs>
              <w:ind w:right="-301"/>
              <w:rPr>
                <w:sz w:val="22"/>
                <w:szCs w:val="22"/>
              </w:rPr>
            </w:pPr>
            <w:r w:rsidRPr="00362517">
              <w:rPr>
                <w:sz w:val="22"/>
                <w:szCs w:val="22"/>
              </w:rPr>
              <w:t>0.5</w:t>
            </w:r>
          </w:p>
        </w:tc>
      </w:tr>
      <w:tr w:rsidR="00D8365A" w:rsidRPr="00362517" w14:paraId="6EFC41BF" w14:textId="77777777" w:rsidTr="007A2164">
        <w:tc>
          <w:tcPr>
            <w:tcW w:w="1525" w:type="dxa"/>
          </w:tcPr>
          <w:p w14:paraId="75532225" w14:textId="77777777" w:rsidR="00D8365A" w:rsidRPr="00362517" w:rsidRDefault="00D8365A" w:rsidP="00BF6BC7">
            <w:pPr>
              <w:rPr>
                <w:sz w:val="22"/>
                <w:szCs w:val="22"/>
              </w:rPr>
            </w:pPr>
            <w:r w:rsidRPr="00362517">
              <w:rPr>
                <w:sz w:val="22"/>
                <w:szCs w:val="22"/>
              </w:rPr>
              <w:t>Washington</w:t>
            </w:r>
          </w:p>
        </w:tc>
        <w:tc>
          <w:tcPr>
            <w:tcW w:w="1464" w:type="dxa"/>
            <w:tcMar>
              <w:left w:w="115" w:type="dxa"/>
              <w:right w:w="576" w:type="dxa"/>
            </w:tcMar>
            <w:vAlign w:val="bottom"/>
          </w:tcPr>
          <w:p w14:paraId="1151E114" w14:textId="77777777" w:rsidR="00D8365A" w:rsidRPr="00362517" w:rsidRDefault="00D8365A" w:rsidP="00BF6BC7">
            <w:pPr>
              <w:tabs>
                <w:tab w:val="decimal" w:pos="965"/>
              </w:tabs>
              <w:ind w:right="-462"/>
              <w:rPr>
                <w:sz w:val="22"/>
                <w:szCs w:val="22"/>
              </w:rPr>
            </w:pPr>
            <w:r w:rsidRPr="00362517">
              <w:rPr>
                <w:sz w:val="22"/>
                <w:szCs w:val="22"/>
              </w:rPr>
              <w:t>2,739</w:t>
            </w:r>
          </w:p>
        </w:tc>
        <w:tc>
          <w:tcPr>
            <w:tcW w:w="1416" w:type="dxa"/>
            <w:vAlign w:val="bottom"/>
          </w:tcPr>
          <w:p w14:paraId="0D3464A8" w14:textId="77777777" w:rsidR="00D8365A" w:rsidRPr="00362517" w:rsidRDefault="00D8365A" w:rsidP="00BF6BC7">
            <w:pPr>
              <w:tabs>
                <w:tab w:val="decimal" w:pos="858"/>
              </w:tabs>
              <w:rPr>
                <w:sz w:val="22"/>
                <w:szCs w:val="22"/>
              </w:rPr>
            </w:pPr>
            <w:r w:rsidRPr="00362517">
              <w:rPr>
                <w:sz w:val="22"/>
                <w:szCs w:val="22"/>
              </w:rPr>
              <w:t>901</w:t>
            </w:r>
          </w:p>
        </w:tc>
        <w:tc>
          <w:tcPr>
            <w:tcW w:w="1238" w:type="dxa"/>
            <w:tcMar>
              <w:left w:w="115" w:type="dxa"/>
              <w:right w:w="576" w:type="dxa"/>
            </w:tcMar>
            <w:vAlign w:val="bottom"/>
          </w:tcPr>
          <w:p w14:paraId="2E0630D6" w14:textId="77777777" w:rsidR="00D8365A" w:rsidRPr="00362517" w:rsidRDefault="00D8365A" w:rsidP="00BF6BC7">
            <w:pPr>
              <w:tabs>
                <w:tab w:val="decimal" w:pos="605"/>
              </w:tabs>
              <w:ind w:right="-418"/>
              <w:rPr>
                <w:sz w:val="22"/>
                <w:szCs w:val="22"/>
              </w:rPr>
            </w:pPr>
            <w:r w:rsidRPr="00362517">
              <w:rPr>
                <w:sz w:val="22"/>
                <w:szCs w:val="22"/>
              </w:rPr>
              <w:t>7.1</w:t>
            </w:r>
          </w:p>
        </w:tc>
        <w:tc>
          <w:tcPr>
            <w:tcW w:w="1239" w:type="dxa"/>
            <w:tcMar>
              <w:left w:w="115" w:type="dxa"/>
              <w:right w:w="576" w:type="dxa"/>
            </w:tcMar>
            <w:vAlign w:val="bottom"/>
          </w:tcPr>
          <w:p w14:paraId="3E8C573C" w14:textId="77777777" w:rsidR="00D8365A" w:rsidRPr="00362517" w:rsidRDefault="00D8365A" w:rsidP="00BF6BC7">
            <w:pPr>
              <w:tabs>
                <w:tab w:val="decimal" w:pos="627"/>
              </w:tabs>
              <w:ind w:right="-439"/>
              <w:rPr>
                <w:sz w:val="22"/>
                <w:szCs w:val="22"/>
              </w:rPr>
            </w:pPr>
            <w:r w:rsidRPr="00362517">
              <w:rPr>
                <w:sz w:val="22"/>
                <w:szCs w:val="22"/>
              </w:rPr>
              <w:t>10.1</w:t>
            </w:r>
          </w:p>
        </w:tc>
        <w:tc>
          <w:tcPr>
            <w:tcW w:w="1239" w:type="dxa"/>
            <w:tcMar>
              <w:left w:w="115" w:type="dxa"/>
              <w:right w:w="576" w:type="dxa"/>
            </w:tcMar>
            <w:vAlign w:val="bottom"/>
          </w:tcPr>
          <w:p w14:paraId="28FB7C4E" w14:textId="77777777" w:rsidR="00D8365A" w:rsidRPr="00362517" w:rsidRDefault="00D8365A" w:rsidP="00BF6BC7">
            <w:pPr>
              <w:tabs>
                <w:tab w:val="decimal" w:pos="558"/>
              </w:tabs>
              <w:ind w:right="-370"/>
              <w:rPr>
                <w:sz w:val="22"/>
                <w:szCs w:val="22"/>
              </w:rPr>
            </w:pPr>
            <w:r w:rsidRPr="00362517">
              <w:rPr>
                <w:sz w:val="22"/>
                <w:szCs w:val="22"/>
              </w:rPr>
              <w:t>0.5</w:t>
            </w:r>
          </w:p>
        </w:tc>
        <w:tc>
          <w:tcPr>
            <w:tcW w:w="1239" w:type="dxa"/>
            <w:tcMar>
              <w:left w:w="115" w:type="dxa"/>
              <w:right w:w="576" w:type="dxa"/>
            </w:tcMar>
            <w:vAlign w:val="bottom"/>
          </w:tcPr>
          <w:p w14:paraId="52DC7834" w14:textId="77777777" w:rsidR="00D8365A" w:rsidRPr="00362517" w:rsidRDefault="00D8365A" w:rsidP="00BF6BC7">
            <w:pPr>
              <w:tabs>
                <w:tab w:val="decimal" w:pos="489"/>
              </w:tabs>
              <w:ind w:right="-301"/>
              <w:rPr>
                <w:sz w:val="22"/>
                <w:szCs w:val="22"/>
              </w:rPr>
            </w:pPr>
            <w:r w:rsidRPr="00362517">
              <w:rPr>
                <w:sz w:val="22"/>
                <w:szCs w:val="22"/>
              </w:rPr>
              <w:t>2.1</w:t>
            </w:r>
          </w:p>
        </w:tc>
      </w:tr>
      <w:tr w:rsidR="00D8365A" w:rsidRPr="00362517" w14:paraId="2B52A2A4" w14:textId="77777777" w:rsidTr="007A2164">
        <w:tc>
          <w:tcPr>
            <w:tcW w:w="1525" w:type="dxa"/>
          </w:tcPr>
          <w:p w14:paraId="5E733AF0" w14:textId="77777777" w:rsidR="00D8365A" w:rsidRPr="00362517" w:rsidRDefault="00D8365A" w:rsidP="00BF6BC7">
            <w:pPr>
              <w:rPr>
                <w:sz w:val="22"/>
                <w:szCs w:val="22"/>
              </w:rPr>
            </w:pPr>
            <w:r w:rsidRPr="00362517">
              <w:rPr>
                <w:sz w:val="22"/>
                <w:szCs w:val="22"/>
              </w:rPr>
              <w:t>West Virginia</w:t>
            </w:r>
          </w:p>
        </w:tc>
        <w:tc>
          <w:tcPr>
            <w:tcW w:w="1464" w:type="dxa"/>
            <w:tcMar>
              <w:left w:w="115" w:type="dxa"/>
              <w:right w:w="576" w:type="dxa"/>
            </w:tcMar>
            <w:vAlign w:val="bottom"/>
          </w:tcPr>
          <w:p w14:paraId="05A90174" w14:textId="77777777" w:rsidR="00D8365A" w:rsidRPr="00362517" w:rsidRDefault="00D8365A" w:rsidP="00BF6BC7">
            <w:pPr>
              <w:tabs>
                <w:tab w:val="decimal" w:pos="965"/>
              </w:tabs>
              <w:ind w:right="-462"/>
              <w:rPr>
                <w:sz w:val="22"/>
                <w:szCs w:val="22"/>
              </w:rPr>
            </w:pPr>
            <w:r w:rsidRPr="00362517">
              <w:rPr>
                <w:sz w:val="22"/>
                <w:szCs w:val="22"/>
              </w:rPr>
              <w:t>66</w:t>
            </w:r>
          </w:p>
        </w:tc>
        <w:tc>
          <w:tcPr>
            <w:tcW w:w="1416" w:type="dxa"/>
            <w:vAlign w:val="bottom"/>
          </w:tcPr>
          <w:p w14:paraId="3FA960B5" w14:textId="77777777" w:rsidR="00D8365A" w:rsidRPr="00362517" w:rsidRDefault="00D8365A" w:rsidP="00BF6BC7">
            <w:pPr>
              <w:tabs>
                <w:tab w:val="decimal" w:pos="858"/>
              </w:tabs>
              <w:rPr>
                <w:sz w:val="22"/>
                <w:szCs w:val="22"/>
              </w:rPr>
            </w:pPr>
            <w:r w:rsidRPr="00362517">
              <w:rPr>
                <w:sz w:val="22"/>
                <w:szCs w:val="22"/>
              </w:rPr>
              <w:t>26</w:t>
            </w:r>
          </w:p>
        </w:tc>
        <w:tc>
          <w:tcPr>
            <w:tcW w:w="1238" w:type="dxa"/>
            <w:tcMar>
              <w:left w:w="115" w:type="dxa"/>
              <w:right w:w="576" w:type="dxa"/>
            </w:tcMar>
            <w:vAlign w:val="bottom"/>
          </w:tcPr>
          <w:p w14:paraId="5FEFE7FA" w14:textId="77777777" w:rsidR="00D8365A" w:rsidRPr="00362517" w:rsidRDefault="00D8365A" w:rsidP="00BF6BC7">
            <w:pPr>
              <w:tabs>
                <w:tab w:val="decimal" w:pos="605"/>
              </w:tabs>
              <w:ind w:right="-418"/>
              <w:rPr>
                <w:sz w:val="22"/>
                <w:szCs w:val="22"/>
              </w:rPr>
            </w:pPr>
            <w:r w:rsidRPr="00362517">
              <w:rPr>
                <w:sz w:val="22"/>
                <w:szCs w:val="22"/>
              </w:rPr>
              <w:t>5.0</w:t>
            </w:r>
          </w:p>
        </w:tc>
        <w:tc>
          <w:tcPr>
            <w:tcW w:w="1239" w:type="dxa"/>
            <w:tcMar>
              <w:left w:w="115" w:type="dxa"/>
              <w:right w:w="576" w:type="dxa"/>
            </w:tcMar>
            <w:vAlign w:val="bottom"/>
          </w:tcPr>
          <w:p w14:paraId="11A35510" w14:textId="77777777" w:rsidR="00D8365A" w:rsidRPr="00362517" w:rsidRDefault="00D8365A" w:rsidP="00BF6BC7">
            <w:pPr>
              <w:tabs>
                <w:tab w:val="decimal" w:pos="627"/>
              </w:tabs>
              <w:ind w:right="-439"/>
              <w:rPr>
                <w:sz w:val="22"/>
                <w:szCs w:val="22"/>
              </w:rPr>
            </w:pPr>
            <w:r w:rsidRPr="00362517">
              <w:rPr>
                <w:sz w:val="22"/>
                <w:szCs w:val="22"/>
              </w:rPr>
              <w:t>7.1</w:t>
            </w:r>
          </w:p>
        </w:tc>
        <w:tc>
          <w:tcPr>
            <w:tcW w:w="1239" w:type="dxa"/>
            <w:tcMar>
              <w:left w:w="115" w:type="dxa"/>
              <w:right w:w="576" w:type="dxa"/>
            </w:tcMar>
            <w:vAlign w:val="bottom"/>
          </w:tcPr>
          <w:p w14:paraId="4203083A"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Mar>
              <w:left w:w="115" w:type="dxa"/>
              <w:right w:w="576" w:type="dxa"/>
            </w:tcMar>
            <w:vAlign w:val="bottom"/>
          </w:tcPr>
          <w:p w14:paraId="095F6281" w14:textId="77777777" w:rsidR="00D8365A" w:rsidRPr="00362517" w:rsidRDefault="00D8365A" w:rsidP="00BF6BC7">
            <w:pPr>
              <w:tabs>
                <w:tab w:val="decimal" w:pos="489"/>
              </w:tabs>
              <w:ind w:right="-301"/>
              <w:rPr>
                <w:sz w:val="22"/>
                <w:szCs w:val="22"/>
              </w:rPr>
            </w:pPr>
            <w:r w:rsidRPr="00362517">
              <w:rPr>
                <w:sz w:val="22"/>
                <w:szCs w:val="22"/>
              </w:rPr>
              <w:t>0.2</w:t>
            </w:r>
          </w:p>
        </w:tc>
      </w:tr>
      <w:tr w:rsidR="00D8365A" w:rsidRPr="00362517" w14:paraId="1D3BB01D" w14:textId="77777777" w:rsidTr="007A2164">
        <w:tc>
          <w:tcPr>
            <w:tcW w:w="1525" w:type="dxa"/>
          </w:tcPr>
          <w:p w14:paraId="1C3634C3" w14:textId="77777777" w:rsidR="00D8365A" w:rsidRPr="00362517" w:rsidRDefault="00D8365A" w:rsidP="00BF6BC7">
            <w:pPr>
              <w:rPr>
                <w:sz w:val="22"/>
                <w:szCs w:val="22"/>
              </w:rPr>
            </w:pPr>
            <w:r w:rsidRPr="00362517">
              <w:rPr>
                <w:sz w:val="22"/>
                <w:szCs w:val="22"/>
              </w:rPr>
              <w:t>Wisconsin</w:t>
            </w:r>
          </w:p>
        </w:tc>
        <w:tc>
          <w:tcPr>
            <w:tcW w:w="1464" w:type="dxa"/>
            <w:tcMar>
              <w:left w:w="115" w:type="dxa"/>
              <w:right w:w="576" w:type="dxa"/>
            </w:tcMar>
            <w:vAlign w:val="bottom"/>
          </w:tcPr>
          <w:p w14:paraId="6692E5BE" w14:textId="77777777" w:rsidR="00D8365A" w:rsidRPr="00362517" w:rsidRDefault="00D8365A" w:rsidP="00BF6BC7">
            <w:pPr>
              <w:tabs>
                <w:tab w:val="decimal" w:pos="965"/>
              </w:tabs>
              <w:ind w:right="-462"/>
              <w:rPr>
                <w:sz w:val="22"/>
                <w:szCs w:val="22"/>
              </w:rPr>
            </w:pPr>
            <w:r w:rsidRPr="00362517">
              <w:rPr>
                <w:sz w:val="22"/>
                <w:szCs w:val="22"/>
              </w:rPr>
              <w:t>3,020</w:t>
            </w:r>
          </w:p>
        </w:tc>
        <w:tc>
          <w:tcPr>
            <w:tcW w:w="1416" w:type="dxa"/>
            <w:vAlign w:val="bottom"/>
          </w:tcPr>
          <w:p w14:paraId="2C84A01D" w14:textId="77777777" w:rsidR="00D8365A" w:rsidRPr="00362517" w:rsidRDefault="00D8365A" w:rsidP="00BF6BC7">
            <w:pPr>
              <w:tabs>
                <w:tab w:val="decimal" w:pos="858"/>
              </w:tabs>
              <w:rPr>
                <w:sz w:val="22"/>
                <w:szCs w:val="22"/>
              </w:rPr>
            </w:pPr>
            <w:r w:rsidRPr="00362517">
              <w:rPr>
                <w:sz w:val="22"/>
                <w:szCs w:val="22"/>
              </w:rPr>
              <w:t>975</w:t>
            </w:r>
          </w:p>
        </w:tc>
        <w:tc>
          <w:tcPr>
            <w:tcW w:w="1238" w:type="dxa"/>
            <w:tcMar>
              <w:left w:w="115" w:type="dxa"/>
              <w:right w:w="576" w:type="dxa"/>
            </w:tcMar>
            <w:vAlign w:val="bottom"/>
          </w:tcPr>
          <w:p w14:paraId="76FF3633" w14:textId="77777777" w:rsidR="00D8365A" w:rsidRPr="00362517" w:rsidRDefault="00D8365A" w:rsidP="00BF6BC7">
            <w:pPr>
              <w:tabs>
                <w:tab w:val="decimal" w:pos="605"/>
              </w:tabs>
              <w:ind w:right="-418"/>
              <w:rPr>
                <w:sz w:val="22"/>
                <w:szCs w:val="22"/>
              </w:rPr>
            </w:pPr>
            <w:r w:rsidRPr="00362517">
              <w:rPr>
                <w:sz w:val="22"/>
                <w:szCs w:val="22"/>
              </w:rPr>
              <w:t>18.8</w:t>
            </w:r>
          </w:p>
        </w:tc>
        <w:tc>
          <w:tcPr>
            <w:tcW w:w="1239" w:type="dxa"/>
            <w:tcMar>
              <w:left w:w="115" w:type="dxa"/>
              <w:right w:w="576" w:type="dxa"/>
            </w:tcMar>
            <w:vAlign w:val="bottom"/>
          </w:tcPr>
          <w:p w14:paraId="37CF2F2D" w14:textId="77777777" w:rsidR="00D8365A" w:rsidRPr="00362517" w:rsidRDefault="00D8365A" w:rsidP="00BF6BC7">
            <w:pPr>
              <w:tabs>
                <w:tab w:val="decimal" w:pos="627"/>
              </w:tabs>
              <w:ind w:right="-439"/>
              <w:rPr>
                <w:sz w:val="22"/>
                <w:szCs w:val="22"/>
              </w:rPr>
            </w:pPr>
            <w:r w:rsidRPr="00362517">
              <w:rPr>
                <w:sz w:val="22"/>
                <w:szCs w:val="22"/>
              </w:rPr>
              <w:t>26.6</w:t>
            </w:r>
          </w:p>
        </w:tc>
        <w:tc>
          <w:tcPr>
            <w:tcW w:w="1239" w:type="dxa"/>
            <w:tcMar>
              <w:left w:w="115" w:type="dxa"/>
              <w:right w:w="576" w:type="dxa"/>
            </w:tcMar>
            <w:vAlign w:val="bottom"/>
          </w:tcPr>
          <w:p w14:paraId="22519383" w14:textId="77777777" w:rsidR="00D8365A" w:rsidRPr="00362517" w:rsidRDefault="00D8365A" w:rsidP="00BF6BC7">
            <w:pPr>
              <w:tabs>
                <w:tab w:val="decimal" w:pos="558"/>
              </w:tabs>
              <w:ind w:right="-370"/>
              <w:rPr>
                <w:sz w:val="22"/>
                <w:szCs w:val="22"/>
              </w:rPr>
            </w:pPr>
            <w:r w:rsidRPr="00362517">
              <w:rPr>
                <w:sz w:val="22"/>
                <w:szCs w:val="22"/>
              </w:rPr>
              <w:t>0.4</w:t>
            </w:r>
          </w:p>
        </w:tc>
        <w:tc>
          <w:tcPr>
            <w:tcW w:w="1239" w:type="dxa"/>
            <w:tcMar>
              <w:left w:w="115" w:type="dxa"/>
              <w:right w:w="576" w:type="dxa"/>
            </w:tcMar>
            <w:vAlign w:val="bottom"/>
          </w:tcPr>
          <w:p w14:paraId="2E94CAFA" w14:textId="77777777" w:rsidR="00D8365A" w:rsidRPr="00362517" w:rsidRDefault="00D8365A" w:rsidP="00BF6BC7">
            <w:pPr>
              <w:tabs>
                <w:tab w:val="decimal" w:pos="489"/>
              </w:tabs>
              <w:ind w:right="-301"/>
              <w:rPr>
                <w:sz w:val="22"/>
                <w:szCs w:val="22"/>
              </w:rPr>
            </w:pPr>
            <w:r w:rsidRPr="00362517">
              <w:rPr>
                <w:sz w:val="22"/>
                <w:szCs w:val="22"/>
              </w:rPr>
              <w:t>1.9</w:t>
            </w:r>
          </w:p>
        </w:tc>
      </w:tr>
      <w:tr w:rsidR="00D8365A" w:rsidRPr="00362517" w14:paraId="06C21375" w14:textId="77777777" w:rsidTr="007A2164">
        <w:tc>
          <w:tcPr>
            <w:tcW w:w="1525" w:type="dxa"/>
          </w:tcPr>
          <w:p w14:paraId="15E01377" w14:textId="77777777" w:rsidR="00D8365A" w:rsidRPr="00362517" w:rsidRDefault="00D8365A" w:rsidP="00BF6BC7">
            <w:pPr>
              <w:rPr>
                <w:sz w:val="22"/>
                <w:szCs w:val="22"/>
              </w:rPr>
            </w:pPr>
            <w:r w:rsidRPr="00362517">
              <w:rPr>
                <w:sz w:val="22"/>
                <w:szCs w:val="22"/>
              </w:rPr>
              <w:t>Wyoming</w:t>
            </w:r>
          </w:p>
        </w:tc>
        <w:tc>
          <w:tcPr>
            <w:tcW w:w="1464" w:type="dxa"/>
            <w:tcMar>
              <w:left w:w="115" w:type="dxa"/>
              <w:right w:w="576" w:type="dxa"/>
            </w:tcMar>
            <w:vAlign w:val="bottom"/>
          </w:tcPr>
          <w:p w14:paraId="50578848" w14:textId="77777777" w:rsidR="00D8365A" w:rsidRPr="00362517" w:rsidRDefault="00D8365A" w:rsidP="00BF6BC7">
            <w:pPr>
              <w:tabs>
                <w:tab w:val="decimal" w:pos="965"/>
              </w:tabs>
              <w:ind w:right="-462"/>
              <w:rPr>
                <w:sz w:val="22"/>
                <w:szCs w:val="22"/>
              </w:rPr>
            </w:pPr>
            <w:r w:rsidRPr="00362517">
              <w:rPr>
                <w:sz w:val="22"/>
                <w:szCs w:val="22"/>
              </w:rPr>
              <w:t>953</w:t>
            </w:r>
          </w:p>
        </w:tc>
        <w:tc>
          <w:tcPr>
            <w:tcW w:w="1416" w:type="dxa"/>
            <w:vAlign w:val="bottom"/>
          </w:tcPr>
          <w:p w14:paraId="49141A02" w14:textId="77777777" w:rsidR="00D8365A" w:rsidRPr="00362517" w:rsidRDefault="00D8365A" w:rsidP="00BF6BC7">
            <w:pPr>
              <w:tabs>
                <w:tab w:val="decimal" w:pos="858"/>
              </w:tabs>
              <w:rPr>
                <w:sz w:val="22"/>
                <w:szCs w:val="22"/>
              </w:rPr>
            </w:pPr>
            <w:r w:rsidRPr="00362517">
              <w:rPr>
                <w:sz w:val="22"/>
                <w:szCs w:val="22"/>
              </w:rPr>
              <w:t>445</w:t>
            </w:r>
          </w:p>
        </w:tc>
        <w:tc>
          <w:tcPr>
            <w:tcW w:w="1238" w:type="dxa"/>
            <w:tcMar>
              <w:left w:w="115" w:type="dxa"/>
              <w:right w:w="576" w:type="dxa"/>
            </w:tcMar>
            <w:vAlign w:val="bottom"/>
          </w:tcPr>
          <w:p w14:paraId="23368F20" w14:textId="77777777" w:rsidR="00D8365A" w:rsidRPr="00362517" w:rsidRDefault="00D8365A" w:rsidP="00BF6BC7">
            <w:pPr>
              <w:tabs>
                <w:tab w:val="decimal" w:pos="605"/>
              </w:tabs>
              <w:ind w:right="-418"/>
              <w:rPr>
                <w:sz w:val="22"/>
                <w:szCs w:val="22"/>
              </w:rPr>
            </w:pPr>
            <w:r w:rsidRPr="00362517">
              <w:rPr>
                <w:sz w:val="22"/>
                <w:szCs w:val="22"/>
              </w:rPr>
              <w:t>2.0</w:t>
            </w:r>
          </w:p>
        </w:tc>
        <w:tc>
          <w:tcPr>
            <w:tcW w:w="1239" w:type="dxa"/>
            <w:tcMar>
              <w:left w:w="115" w:type="dxa"/>
              <w:right w:w="576" w:type="dxa"/>
            </w:tcMar>
            <w:vAlign w:val="bottom"/>
          </w:tcPr>
          <w:p w14:paraId="7F1D94A4" w14:textId="77777777" w:rsidR="00D8365A" w:rsidRPr="00362517" w:rsidRDefault="00D8365A" w:rsidP="00BF6BC7">
            <w:pPr>
              <w:tabs>
                <w:tab w:val="decimal" w:pos="627"/>
              </w:tabs>
              <w:ind w:right="-439"/>
              <w:rPr>
                <w:sz w:val="22"/>
                <w:szCs w:val="22"/>
              </w:rPr>
            </w:pPr>
            <w:r w:rsidRPr="00362517">
              <w:rPr>
                <w:sz w:val="22"/>
                <w:szCs w:val="22"/>
              </w:rPr>
              <w:t>3.0</w:t>
            </w:r>
          </w:p>
        </w:tc>
        <w:tc>
          <w:tcPr>
            <w:tcW w:w="1239" w:type="dxa"/>
            <w:tcMar>
              <w:left w:w="115" w:type="dxa"/>
              <w:right w:w="576" w:type="dxa"/>
            </w:tcMar>
            <w:vAlign w:val="bottom"/>
          </w:tcPr>
          <w:p w14:paraId="2CDC4580" w14:textId="77777777" w:rsidR="00D8365A" w:rsidRPr="00362517" w:rsidRDefault="00D8365A" w:rsidP="00BF6BC7">
            <w:pPr>
              <w:tabs>
                <w:tab w:val="decimal" w:pos="558"/>
              </w:tabs>
              <w:ind w:right="-370"/>
              <w:rPr>
                <w:sz w:val="22"/>
                <w:szCs w:val="22"/>
              </w:rPr>
            </w:pPr>
            <w:r w:rsidRPr="00362517">
              <w:rPr>
                <w:sz w:val="22"/>
                <w:szCs w:val="22"/>
              </w:rPr>
              <w:t>0.9</w:t>
            </w:r>
          </w:p>
        </w:tc>
        <w:tc>
          <w:tcPr>
            <w:tcW w:w="1239" w:type="dxa"/>
            <w:tcMar>
              <w:left w:w="115" w:type="dxa"/>
              <w:right w:w="576" w:type="dxa"/>
            </w:tcMar>
            <w:vAlign w:val="bottom"/>
          </w:tcPr>
          <w:p w14:paraId="196304F6" w14:textId="77777777" w:rsidR="00D8365A" w:rsidRPr="00362517" w:rsidRDefault="00D8365A" w:rsidP="00BF6BC7">
            <w:pPr>
              <w:tabs>
                <w:tab w:val="decimal" w:pos="489"/>
              </w:tabs>
              <w:ind w:right="-301"/>
              <w:rPr>
                <w:sz w:val="22"/>
                <w:szCs w:val="22"/>
              </w:rPr>
            </w:pPr>
            <w:r w:rsidRPr="00362517">
              <w:rPr>
                <w:sz w:val="22"/>
                <w:szCs w:val="22"/>
              </w:rPr>
              <w:t>4.3</w:t>
            </w:r>
          </w:p>
        </w:tc>
      </w:tr>
      <w:tr w:rsidR="00D8365A" w:rsidRPr="00362517" w14:paraId="48011AD8" w14:textId="77777777" w:rsidTr="007A2164">
        <w:tc>
          <w:tcPr>
            <w:tcW w:w="1525" w:type="dxa"/>
          </w:tcPr>
          <w:p w14:paraId="5E712AEC" w14:textId="77777777" w:rsidR="00D8365A" w:rsidRPr="00362517" w:rsidRDefault="00D8365A" w:rsidP="00BF6BC7">
            <w:pPr>
              <w:rPr>
                <w:sz w:val="22"/>
                <w:szCs w:val="22"/>
              </w:rPr>
            </w:pPr>
            <w:r w:rsidRPr="00362517">
              <w:rPr>
                <w:sz w:val="22"/>
                <w:szCs w:val="22"/>
              </w:rPr>
              <w:t>Puerto Rico</w:t>
            </w:r>
          </w:p>
        </w:tc>
        <w:tc>
          <w:tcPr>
            <w:tcW w:w="1464" w:type="dxa"/>
            <w:tcMar>
              <w:left w:w="115" w:type="dxa"/>
              <w:right w:w="576" w:type="dxa"/>
            </w:tcMar>
            <w:vAlign w:val="center"/>
          </w:tcPr>
          <w:p w14:paraId="36887B26" w14:textId="77777777" w:rsidR="00D8365A" w:rsidRPr="00362517" w:rsidRDefault="00D8365A" w:rsidP="00BF6BC7">
            <w:pPr>
              <w:tabs>
                <w:tab w:val="decimal" w:pos="965"/>
              </w:tabs>
              <w:ind w:right="-462"/>
              <w:rPr>
                <w:sz w:val="22"/>
                <w:szCs w:val="22"/>
              </w:rPr>
            </w:pPr>
            <w:r w:rsidRPr="00362517">
              <w:rPr>
                <w:sz w:val="22"/>
                <w:szCs w:val="22"/>
              </w:rPr>
              <w:t>3,479</w:t>
            </w:r>
          </w:p>
        </w:tc>
        <w:tc>
          <w:tcPr>
            <w:tcW w:w="1416" w:type="dxa"/>
            <w:vAlign w:val="bottom"/>
          </w:tcPr>
          <w:p w14:paraId="2CE92B5C" w14:textId="77777777" w:rsidR="00D8365A" w:rsidRPr="00362517" w:rsidRDefault="00D8365A" w:rsidP="00BF6BC7">
            <w:pPr>
              <w:tabs>
                <w:tab w:val="decimal" w:pos="858"/>
              </w:tabs>
              <w:rPr>
                <w:sz w:val="22"/>
                <w:szCs w:val="22"/>
              </w:rPr>
            </w:pPr>
            <w:r w:rsidRPr="00362517">
              <w:rPr>
                <w:sz w:val="22"/>
                <w:szCs w:val="22"/>
              </w:rPr>
              <w:t>1,601</w:t>
            </w:r>
          </w:p>
        </w:tc>
        <w:tc>
          <w:tcPr>
            <w:tcW w:w="1238" w:type="dxa"/>
            <w:tcMar>
              <w:left w:w="115" w:type="dxa"/>
              <w:right w:w="576" w:type="dxa"/>
            </w:tcMar>
            <w:vAlign w:val="bottom"/>
          </w:tcPr>
          <w:p w14:paraId="08313800" w14:textId="77777777" w:rsidR="00D8365A" w:rsidRPr="00362517" w:rsidRDefault="00D8365A" w:rsidP="00BF6BC7">
            <w:pPr>
              <w:tabs>
                <w:tab w:val="decimal" w:pos="605"/>
              </w:tabs>
              <w:ind w:right="-418"/>
              <w:rPr>
                <w:sz w:val="22"/>
                <w:szCs w:val="22"/>
              </w:rPr>
            </w:pPr>
            <w:r w:rsidRPr="00362517">
              <w:rPr>
                <w:sz w:val="22"/>
                <w:szCs w:val="22"/>
              </w:rPr>
              <w:t>1.0</w:t>
            </w:r>
          </w:p>
        </w:tc>
        <w:tc>
          <w:tcPr>
            <w:tcW w:w="1239" w:type="dxa"/>
            <w:tcMar>
              <w:left w:w="115" w:type="dxa"/>
              <w:right w:w="576" w:type="dxa"/>
            </w:tcMar>
            <w:vAlign w:val="bottom"/>
          </w:tcPr>
          <w:p w14:paraId="633E07BA" w14:textId="77777777" w:rsidR="00D8365A" w:rsidRPr="00362517" w:rsidRDefault="00D8365A" w:rsidP="00BF6BC7">
            <w:pPr>
              <w:tabs>
                <w:tab w:val="decimal" w:pos="627"/>
              </w:tabs>
              <w:ind w:right="-439"/>
              <w:rPr>
                <w:sz w:val="22"/>
                <w:szCs w:val="22"/>
              </w:rPr>
            </w:pPr>
            <w:r w:rsidRPr="00362517">
              <w:rPr>
                <w:sz w:val="22"/>
                <w:szCs w:val="22"/>
              </w:rPr>
              <w:t>1.4</w:t>
            </w:r>
          </w:p>
        </w:tc>
        <w:tc>
          <w:tcPr>
            <w:tcW w:w="1239" w:type="dxa"/>
            <w:tcMar>
              <w:left w:w="115" w:type="dxa"/>
              <w:right w:w="576" w:type="dxa"/>
            </w:tcMar>
            <w:vAlign w:val="bottom"/>
          </w:tcPr>
          <w:p w14:paraId="5DBB5F75" w14:textId="77777777" w:rsidR="00D8365A" w:rsidRPr="00362517" w:rsidRDefault="00D8365A" w:rsidP="00BF6BC7">
            <w:pPr>
              <w:tabs>
                <w:tab w:val="decimal" w:pos="558"/>
              </w:tabs>
              <w:ind w:right="-370"/>
              <w:rPr>
                <w:sz w:val="22"/>
                <w:szCs w:val="22"/>
              </w:rPr>
            </w:pPr>
            <w:r w:rsidRPr="00362517">
              <w:rPr>
                <w:sz w:val="22"/>
                <w:szCs w:val="22"/>
              </w:rPr>
              <w:t>3.2</w:t>
            </w:r>
          </w:p>
        </w:tc>
        <w:tc>
          <w:tcPr>
            <w:tcW w:w="1239" w:type="dxa"/>
            <w:tcMar>
              <w:left w:w="115" w:type="dxa"/>
              <w:right w:w="576" w:type="dxa"/>
            </w:tcMar>
            <w:vAlign w:val="bottom"/>
          </w:tcPr>
          <w:p w14:paraId="7849F320" w14:textId="77777777" w:rsidR="00D8365A" w:rsidRPr="00362517" w:rsidRDefault="00D8365A" w:rsidP="00BF6BC7">
            <w:pPr>
              <w:tabs>
                <w:tab w:val="decimal" w:pos="489"/>
              </w:tabs>
              <w:ind w:right="-301"/>
              <w:rPr>
                <w:sz w:val="22"/>
                <w:szCs w:val="22"/>
              </w:rPr>
            </w:pPr>
            <w:r w:rsidRPr="00362517">
              <w:rPr>
                <w:sz w:val="22"/>
                <w:szCs w:val="22"/>
              </w:rPr>
              <w:t>15.1</w:t>
            </w:r>
          </w:p>
        </w:tc>
      </w:tr>
      <w:tr w:rsidR="00D8365A" w:rsidRPr="00362517" w14:paraId="32AF3F26" w14:textId="77777777" w:rsidTr="007A2164">
        <w:tc>
          <w:tcPr>
            <w:tcW w:w="1525" w:type="dxa"/>
            <w:tcBorders>
              <w:bottom w:val="single" w:sz="12" w:space="0" w:color="auto"/>
            </w:tcBorders>
          </w:tcPr>
          <w:p w14:paraId="6D6FB2FF" w14:textId="77777777" w:rsidR="00D8365A" w:rsidRPr="00362517" w:rsidRDefault="00D8365A" w:rsidP="00BF6BC7">
            <w:pPr>
              <w:rPr>
                <w:sz w:val="22"/>
                <w:szCs w:val="22"/>
              </w:rPr>
            </w:pPr>
            <w:r w:rsidRPr="00362517">
              <w:rPr>
                <w:sz w:val="22"/>
                <w:szCs w:val="22"/>
              </w:rPr>
              <w:t>Other Jurisdictions</w:t>
            </w:r>
          </w:p>
        </w:tc>
        <w:tc>
          <w:tcPr>
            <w:tcW w:w="1464" w:type="dxa"/>
            <w:tcBorders>
              <w:bottom w:val="single" w:sz="12" w:space="0" w:color="auto"/>
            </w:tcBorders>
            <w:tcMar>
              <w:left w:w="115" w:type="dxa"/>
              <w:right w:w="576" w:type="dxa"/>
            </w:tcMar>
            <w:vAlign w:val="center"/>
          </w:tcPr>
          <w:p w14:paraId="7132DB5E" w14:textId="77777777" w:rsidR="00D8365A" w:rsidRPr="00362517" w:rsidRDefault="00D8365A" w:rsidP="00BF6BC7">
            <w:pPr>
              <w:tabs>
                <w:tab w:val="decimal" w:pos="965"/>
              </w:tabs>
              <w:ind w:right="-462"/>
              <w:rPr>
                <w:sz w:val="22"/>
                <w:szCs w:val="22"/>
              </w:rPr>
            </w:pPr>
            <w:r w:rsidRPr="00362517">
              <w:rPr>
                <w:sz w:val="22"/>
                <w:szCs w:val="22"/>
              </w:rPr>
              <w:t>44</w:t>
            </w:r>
          </w:p>
        </w:tc>
        <w:tc>
          <w:tcPr>
            <w:tcW w:w="1416" w:type="dxa"/>
            <w:tcBorders>
              <w:bottom w:val="single" w:sz="12" w:space="0" w:color="auto"/>
            </w:tcBorders>
            <w:vAlign w:val="center"/>
          </w:tcPr>
          <w:p w14:paraId="4716935E" w14:textId="77777777" w:rsidR="00D8365A" w:rsidRPr="00362517" w:rsidRDefault="00D8365A" w:rsidP="00BF6BC7">
            <w:pPr>
              <w:tabs>
                <w:tab w:val="decimal" w:pos="858"/>
              </w:tabs>
              <w:rPr>
                <w:sz w:val="22"/>
                <w:szCs w:val="22"/>
              </w:rPr>
            </w:pPr>
            <w:r w:rsidRPr="00362517">
              <w:rPr>
                <w:sz w:val="22"/>
                <w:szCs w:val="22"/>
              </w:rPr>
              <w:t>15</w:t>
            </w:r>
          </w:p>
        </w:tc>
        <w:tc>
          <w:tcPr>
            <w:tcW w:w="1238" w:type="dxa"/>
            <w:tcBorders>
              <w:bottom w:val="single" w:sz="12" w:space="0" w:color="auto"/>
            </w:tcBorders>
            <w:tcMar>
              <w:left w:w="115" w:type="dxa"/>
              <w:right w:w="576" w:type="dxa"/>
            </w:tcMar>
            <w:vAlign w:val="center"/>
          </w:tcPr>
          <w:p w14:paraId="48205E7B" w14:textId="77777777" w:rsidR="00D8365A" w:rsidRPr="00362517" w:rsidRDefault="00D8365A" w:rsidP="00BF6BC7">
            <w:pPr>
              <w:tabs>
                <w:tab w:val="decimal" w:pos="605"/>
              </w:tabs>
              <w:ind w:right="-418"/>
              <w:rPr>
                <w:sz w:val="22"/>
                <w:szCs w:val="22"/>
              </w:rPr>
            </w:pPr>
            <w:r w:rsidRPr="00362517">
              <w:rPr>
                <w:sz w:val="22"/>
                <w:szCs w:val="22"/>
              </w:rPr>
              <w:t>6.0</w:t>
            </w:r>
          </w:p>
        </w:tc>
        <w:tc>
          <w:tcPr>
            <w:tcW w:w="1239" w:type="dxa"/>
            <w:tcBorders>
              <w:bottom w:val="single" w:sz="12" w:space="0" w:color="auto"/>
            </w:tcBorders>
            <w:tcMar>
              <w:left w:w="115" w:type="dxa"/>
              <w:right w:w="576" w:type="dxa"/>
            </w:tcMar>
            <w:vAlign w:val="center"/>
          </w:tcPr>
          <w:p w14:paraId="1CD56CA7" w14:textId="77777777" w:rsidR="00D8365A" w:rsidRPr="00362517" w:rsidRDefault="00D8365A" w:rsidP="00BF6BC7">
            <w:pPr>
              <w:tabs>
                <w:tab w:val="decimal" w:pos="627"/>
              </w:tabs>
              <w:ind w:right="-439"/>
              <w:rPr>
                <w:sz w:val="22"/>
                <w:szCs w:val="22"/>
              </w:rPr>
            </w:pPr>
            <w:r w:rsidRPr="00362517">
              <w:rPr>
                <w:sz w:val="22"/>
                <w:szCs w:val="22"/>
              </w:rPr>
              <w:t>8.6</w:t>
            </w:r>
          </w:p>
        </w:tc>
        <w:tc>
          <w:tcPr>
            <w:tcW w:w="1239" w:type="dxa"/>
            <w:tcBorders>
              <w:bottom w:val="single" w:sz="12" w:space="0" w:color="auto"/>
            </w:tcBorders>
            <w:tcMar>
              <w:left w:w="115" w:type="dxa"/>
              <w:right w:w="576" w:type="dxa"/>
            </w:tcMar>
            <w:vAlign w:val="center"/>
          </w:tcPr>
          <w:p w14:paraId="42B5FF96" w14:textId="77777777" w:rsidR="00D8365A" w:rsidRPr="00362517" w:rsidRDefault="00D8365A" w:rsidP="00BF6BC7">
            <w:pPr>
              <w:tabs>
                <w:tab w:val="decimal" w:pos="558"/>
              </w:tabs>
              <w:ind w:right="-370"/>
              <w:rPr>
                <w:sz w:val="22"/>
                <w:szCs w:val="22"/>
              </w:rPr>
            </w:pPr>
            <w:r w:rsidRPr="00362517">
              <w:rPr>
                <w:sz w:val="22"/>
                <w:szCs w:val="22"/>
              </w:rPr>
              <w:t>0.0</w:t>
            </w:r>
          </w:p>
        </w:tc>
        <w:tc>
          <w:tcPr>
            <w:tcW w:w="1239" w:type="dxa"/>
            <w:tcBorders>
              <w:bottom w:val="single" w:sz="12" w:space="0" w:color="auto"/>
            </w:tcBorders>
            <w:tcMar>
              <w:left w:w="115" w:type="dxa"/>
              <w:right w:w="576" w:type="dxa"/>
            </w:tcMar>
            <w:vAlign w:val="center"/>
          </w:tcPr>
          <w:p w14:paraId="5B1AEAD1" w14:textId="77777777" w:rsidR="00D8365A" w:rsidRPr="00362517" w:rsidRDefault="00D8365A" w:rsidP="00BF6BC7">
            <w:pPr>
              <w:tabs>
                <w:tab w:val="decimal" w:pos="489"/>
              </w:tabs>
              <w:ind w:right="-301"/>
              <w:rPr>
                <w:sz w:val="22"/>
                <w:szCs w:val="22"/>
              </w:rPr>
            </w:pPr>
            <w:r w:rsidRPr="00362517">
              <w:rPr>
                <w:sz w:val="22"/>
                <w:szCs w:val="22"/>
              </w:rPr>
              <w:t>0.1</w:t>
            </w:r>
          </w:p>
        </w:tc>
      </w:tr>
      <w:tr w:rsidR="00D8365A" w:rsidRPr="00362517" w14:paraId="32B7E184" w14:textId="77777777" w:rsidTr="007A2164">
        <w:tc>
          <w:tcPr>
            <w:tcW w:w="1525" w:type="dxa"/>
            <w:tcBorders>
              <w:top w:val="single" w:sz="12" w:space="0" w:color="auto"/>
              <w:bottom w:val="single" w:sz="12" w:space="0" w:color="auto"/>
            </w:tcBorders>
          </w:tcPr>
          <w:p w14:paraId="08166BE0" w14:textId="77777777" w:rsidR="00D8365A" w:rsidRPr="00362517" w:rsidRDefault="00D8365A" w:rsidP="00BF6BC7">
            <w:pPr>
              <w:rPr>
                <w:sz w:val="22"/>
                <w:szCs w:val="22"/>
              </w:rPr>
            </w:pPr>
            <w:r w:rsidRPr="00362517">
              <w:rPr>
                <w:b/>
                <w:sz w:val="22"/>
                <w:szCs w:val="22"/>
              </w:rPr>
              <w:t>U.S.</w:t>
            </w:r>
          </w:p>
        </w:tc>
        <w:tc>
          <w:tcPr>
            <w:tcW w:w="1464" w:type="dxa"/>
            <w:tcBorders>
              <w:top w:val="single" w:sz="12" w:space="0" w:color="auto"/>
              <w:bottom w:val="single" w:sz="12" w:space="0" w:color="auto"/>
            </w:tcBorders>
            <w:tcMar>
              <w:left w:w="115" w:type="dxa"/>
              <w:right w:w="576" w:type="dxa"/>
            </w:tcMar>
            <w:vAlign w:val="center"/>
          </w:tcPr>
          <w:p w14:paraId="5F352666" w14:textId="77777777" w:rsidR="00D8365A" w:rsidRPr="00362517" w:rsidRDefault="00D8365A" w:rsidP="00BF6BC7">
            <w:pPr>
              <w:tabs>
                <w:tab w:val="decimal" w:pos="965"/>
              </w:tabs>
              <w:ind w:right="-462"/>
              <w:rPr>
                <w:b/>
                <w:sz w:val="22"/>
                <w:szCs w:val="22"/>
              </w:rPr>
            </w:pPr>
            <w:r w:rsidRPr="00362517">
              <w:rPr>
                <w:b/>
                <w:sz w:val="22"/>
                <w:szCs w:val="22"/>
              </w:rPr>
              <w:t>80,587</w:t>
            </w:r>
          </w:p>
        </w:tc>
        <w:tc>
          <w:tcPr>
            <w:tcW w:w="1416" w:type="dxa"/>
            <w:tcBorders>
              <w:top w:val="single" w:sz="12" w:space="0" w:color="auto"/>
              <w:bottom w:val="single" w:sz="12" w:space="0" w:color="auto"/>
            </w:tcBorders>
            <w:vAlign w:val="center"/>
          </w:tcPr>
          <w:p w14:paraId="150EEF79" w14:textId="77777777" w:rsidR="00D8365A" w:rsidRPr="00362517" w:rsidRDefault="00D8365A" w:rsidP="00BF6BC7">
            <w:pPr>
              <w:tabs>
                <w:tab w:val="decimal" w:pos="858"/>
              </w:tabs>
              <w:rPr>
                <w:b/>
                <w:sz w:val="22"/>
                <w:szCs w:val="22"/>
              </w:rPr>
            </w:pPr>
            <w:r w:rsidRPr="00362517">
              <w:rPr>
                <w:b/>
                <w:sz w:val="22"/>
                <w:szCs w:val="22"/>
              </w:rPr>
              <w:t>27,104</w:t>
            </w:r>
          </w:p>
        </w:tc>
        <w:tc>
          <w:tcPr>
            <w:tcW w:w="1238" w:type="dxa"/>
            <w:tcBorders>
              <w:top w:val="single" w:sz="12" w:space="0" w:color="auto"/>
              <w:bottom w:val="single" w:sz="12" w:space="0" w:color="auto"/>
            </w:tcBorders>
            <w:tcMar>
              <w:left w:w="115" w:type="dxa"/>
              <w:right w:w="576" w:type="dxa"/>
            </w:tcMar>
            <w:vAlign w:val="center"/>
          </w:tcPr>
          <w:p w14:paraId="7905B551" w14:textId="77777777" w:rsidR="00D8365A" w:rsidRPr="00362517" w:rsidRDefault="00D8365A" w:rsidP="00BF6BC7">
            <w:pPr>
              <w:tabs>
                <w:tab w:val="decimal" w:pos="605"/>
              </w:tabs>
              <w:ind w:right="-418"/>
              <w:rPr>
                <w:b/>
                <w:sz w:val="22"/>
                <w:szCs w:val="22"/>
              </w:rPr>
            </w:pPr>
            <w:r w:rsidRPr="00362517">
              <w:rPr>
                <w:b/>
                <w:sz w:val="22"/>
                <w:szCs w:val="22"/>
              </w:rPr>
              <w:t>403.1</w:t>
            </w:r>
          </w:p>
        </w:tc>
        <w:tc>
          <w:tcPr>
            <w:tcW w:w="1239" w:type="dxa"/>
            <w:tcBorders>
              <w:top w:val="single" w:sz="12" w:space="0" w:color="auto"/>
              <w:bottom w:val="single" w:sz="12" w:space="0" w:color="auto"/>
            </w:tcBorders>
            <w:tcMar>
              <w:left w:w="115" w:type="dxa"/>
              <w:right w:w="576" w:type="dxa"/>
            </w:tcMar>
            <w:vAlign w:val="center"/>
          </w:tcPr>
          <w:p w14:paraId="6B09E5C0" w14:textId="77777777" w:rsidR="00D8365A" w:rsidRPr="00362517" w:rsidRDefault="00D8365A" w:rsidP="00BF6BC7">
            <w:pPr>
              <w:tabs>
                <w:tab w:val="decimal" w:pos="627"/>
              </w:tabs>
              <w:ind w:right="-439"/>
              <w:rPr>
                <w:b/>
                <w:sz w:val="22"/>
                <w:szCs w:val="22"/>
              </w:rPr>
            </w:pPr>
            <w:r w:rsidRPr="00362517">
              <w:rPr>
                <w:b/>
                <w:sz w:val="22"/>
                <w:szCs w:val="22"/>
              </w:rPr>
              <w:t>584.5</w:t>
            </w:r>
          </w:p>
        </w:tc>
        <w:tc>
          <w:tcPr>
            <w:tcW w:w="1239" w:type="dxa"/>
            <w:tcBorders>
              <w:top w:val="single" w:sz="12" w:space="0" w:color="auto"/>
              <w:bottom w:val="single" w:sz="12" w:space="0" w:color="auto"/>
            </w:tcBorders>
            <w:tcMar>
              <w:left w:w="115" w:type="dxa"/>
              <w:right w:w="576" w:type="dxa"/>
            </w:tcMar>
            <w:vAlign w:val="center"/>
          </w:tcPr>
          <w:p w14:paraId="75BFE45E" w14:textId="77777777" w:rsidR="00D8365A" w:rsidRPr="00362517" w:rsidRDefault="00D8365A" w:rsidP="00BF6BC7">
            <w:pPr>
              <w:tabs>
                <w:tab w:val="decimal" w:pos="558"/>
              </w:tabs>
              <w:ind w:right="-370"/>
              <w:rPr>
                <w:b/>
                <w:sz w:val="22"/>
                <w:szCs w:val="22"/>
              </w:rPr>
            </w:pPr>
            <w:r w:rsidRPr="00362517">
              <w:rPr>
                <w:b/>
                <w:sz w:val="22"/>
                <w:szCs w:val="22"/>
              </w:rPr>
              <w:t>15.3</w:t>
            </w:r>
          </w:p>
        </w:tc>
        <w:tc>
          <w:tcPr>
            <w:tcW w:w="1239" w:type="dxa"/>
            <w:tcBorders>
              <w:top w:val="single" w:sz="12" w:space="0" w:color="auto"/>
              <w:bottom w:val="single" w:sz="12" w:space="0" w:color="auto"/>
            </w:tcBorders>
            <w:tcMar>
              <w:left w:w="115" w:type="dxa"/>
              <w:right w:w="576" w:type="dxa"/>
            </w:tcMar>
            <w:vAlign w:val="center"/>
          </w:tcPr>
          <w:p w14:paraId="5DA8E075" w14:textId="77777777" w:rsidR="00D8365A" w:rsidRPr="00362517" w:rsidRDefault="00D8365A" w:rsidP="00BF6BC7">
            <w:pPr>
              <w:tabs>
                <w:tab w:val="decimal" w:pos="489"/>
              </w:tabs>
              <w:ind w:right="-301"/>
              <w:rPr>
                <w:b/>
                <w:sz w:val="22"/>
                <w:szCs w:val="22"/>
              </w:rPr>
            </w:pPr>
            <w:r w:rsidRPr="00362517">
              <w:rPr>
                <w:b/>
                <w:sz w:val="22"/>
                <w:szCs w:val="22"/>
              </w:rPr>
              <w:t>78.4</w:t>
            </w:r>
          </w:p>
        </w:tc>
      </w:tr>
    </w:tbl>
    <w:p w14:paraId="535345D7" w14:textId="77777777" w:rsidR="00D8365A" w:rsidRPr="00362517" w:rsidRDefault="00D8365A" w:rsidP="00BF6BC7">
      <w:pPr>
        <w:pStyle w:val="BodyText"/>
        <w:rPr>
          <w:sz w:val="22"/>
          <w:szCs w:val="22"/>
        </w:rPr>
      </w:pPr>
      <w:r w:rsidRPr="00362517">
        <w:rPr>
          <w:sz w:val="22"/>
          <w:szCs w:val="22"/>
        </w:rPr>
        <w:t>Source:  EPA estimation based on CPARD data and NASS (2014c, 2008)</w:t>
      </w:r>
    </w:p>
    <w:p w14:paraId="3CAB2E7C" w14:textId="77777777" w:rsidR="00D8365A" w:rsidRPr="00362517" w:rsidRDefault="00D8365A" w:rsidP="00BF6BC7">
      <w:pPr>
        <w:pStyle w:val="BodyText"/>
        <w:ind w:left="360" w:hanging="360"/>
        <w:rPr>
          <w:sz w:val="22"/>
          <w:szCs w:val="22"/>
        </w:rPr>
      </w:pPr>
      <w:r w:rsidRPr="00362517">
        <w:rPr>
          <w:vertAlign w:val="superscript"/>
        </w:rPr>
        <w:t>1</w:t>
      </w:r>
      <w:r w:rsidRPr="00362517">
        <w:rPr>
          <w:sz w:val="22"/>
          <w:szCs w:val="22"/>
        </w:rPr>
        <w:tab/>
        <w:t>State prohibits noncertified applicators from applying RUPs.</w:t>
      </w:r>
    </w:p>
    <w:p w14:paraId="0E231BAC" w14:textId="77777777" w:rsidR="00D8365A" w:rsidRPr="00362517" w:rsidRDefault="00D8365A" w:rsidP="00BF6BC7">
      <w:pPr>
        <w:pStyle w:val="BodyText"/>
        <w:ind w:left="360" w:hanging="360"/>
        <w:rPr>
          <w:sz w:val="22"/>
          <w:szCs w:val="22"/>
        </w:rPr>
      </w:pPr>
      <w:r w:rsidRPr="00362517">
        <w:rPr>
          <w:vertAlign w:val="superscript"/>
        </w:rPr>
        <w:t>2</w:t>
      </w:r>
      <w:r w:rsidRPr="00362517">
        <w:rPr>
          <w:sz w:val="22"/>
          <w:szCs w:val="22"/>
        </w:rPr>
        <w:tab/>
        <w:t>State minimum age of 18 for noncertified applicators applying RUPs.</w:t>
      </w:r>
    </w:p>
    <w:p w14:paraId="73E95A0A" w14:textId="77777777" w:rsidR="00D8365A" w:rsidRPr="00362517" w:rsidRDefault="00D8365A" w:rsidP="00BF6BC7">
      <w:pPr>
        <w:pStyle w:val="BodyText"/>
        <w:ind w:left="360" w:hanging="360"/>
        <w:rPr>
          <w:sz w:val="22"/>
          <w:szCs w:val="22"/>
        </w:rPr>
      </w:pPr>
      <w:r w:rsidRPr="00362517">
        <w:rPr>
          <w:vertAlign w:val="superscript"/>
        </w:rPr>
        <w:t>3</w:t>
      </w:r>
      <w:r w:rsidRPr="00362517">
        <w:rPr>
          <w:sz w:val="22"/>
          <w:szCs w:val="22"/>
        </w:rPr>
        <w:tab/>
        <w:t>State minimum age of 16 for noncertified applicators applying RUPs.</w:t>
      </w:r>
    </w:p>
    <w:p w14:paraId="5A30398D" w14:textId="77777777" w:rsidR="00D8365A" w:rsidRPr="00362517" w:rsidRDefault="00D8365A" w:rsidP="00BF6BC7"/>
    <w:p w14:paraId="071CC33F" w14:textId="77777777" w:rsidR="00D8365A" w:rsidRPr="00362517" w:rsidRDefault="00D8365A" w:rsidP="00BF6BC7">
      <w:r w:rsidRPr="00362517">
        <w:t>As with noncertified applicators applying RUPs under the supervision of commercial applicators, noncertified applicators applying RUPs under the supervision of private applicators must undergo pesticide safety training.  Pesticide handlers who receive training under the WPS will be in compliance; these would be pesticide handlers working in crop production.  To estimate the number of noncertified applicators who might not be subject to the WPS requirement because the pesticide is used for livestock protection, EPA multiplies the total number of noncertified applicators by the proportion of people employed in pest control in the Agricultural Support Sector out of all pest control employment reported in the BLS data (2015).  In addition, since immediate family members of the farm owner are exempt from the WPS training requirement, we add another 30 percent of noncertified applicators across all certifying authorities.</w:t>
      </w:r>
    </w:p>
    <w:p w14:paraId="757B0660" w14:textId="77777777" w:rsidR="00D8365A" w:rsidRPr="00362517" w:rsidRDefault="00D8365A" w:rsidP="00BF6BC7"/>
    <w:p w14:paraId="0BB07D73" w14:textId="77777777" w:rsidR="00D8365A" w:rsidRPr="00362517" w:rsidRDefault="00D8365A" w:rsidP="00BF6BC7">
      <w:pPr>
        <w:pStyle w:val="BodyText"/>
      </w:pPr>
      <w:r w:rsidRPr="00362517">
        <w:t>Finally, we estimate the number of noncertified adolescents that may apply RUPs under the direct supervision of a private applicator.</w:t>
      </w:r>
    </w:p>
    <w:p w14:paraId="0CC95FE6" w14:textId="77777777" w:rsidR="00D8365A" w:rsidRPr="00362517" w:rsidRDefault="00D8365A" w:rsidP="00BF6BC7"/>
    <w:p w14:paraId="2470BA19" w14:textId="77777777" w:rsidR="00D8365A" w:rsidRPr="00362517" w:rsidRDefault="00D8365A" w:rsidP="00BF6BC7">
      <w:pPr>
        <w:pStyle w:val="BodyText"/>
      </w:pPr>
      <w:r w:rsidRPr="00362517">
        <w:t>To estimate the number of noncertified adolescent family members who might apply RUPs under the direct supervision of a private applicator, we follow a procedure similar to that of estimating adolescent private applicators.  In this case, we base the estimates on the number of second and third farm operators under the age of 25, as reported in the 2012 Census of Agriculture (NASS, 2014c).  We again assume 0.5 percent of second and third operators under the age of 25 are 14, 0.75 percent are 15 and 16, and one percent are 17 years old.</w:t>
      </w:r>
    </w:p>
    <w:p w14:paraId="13A005C2" w14:textId="77777777" w:rsidR="00D8365A" w:rsidRPr="00362517" w:rsidRDefault="00D8365A" w:rsidP="00BF6BC7"/>
    <w:p w14:paraId="7D09B18C" w14:textId="77777777" w:rsidR="00D8365A" w:rsidRPr="00362517" w:rsidRDefault="00D8365A" w:rsidP="00BF6BC7">
      <w:pPr>
        <w:pStyle w:val="BodyText"/>
      </w:pPr>
      <w:r w:rsidRPr="00362517">
        <w:t>To estimate the number of noncertified non-family adolescents applying RUPs under the direct supervision of a private applicator, we rely on data from the National Agricultural Worker Survey (DoL, 2011).  According to the survey, 0.4 percent of pesticide handlers were under 16 and 1.9 percent were 16 and 17 years old.  We multiply these percentages by the total number of applicators UTS in each state to obtain the estimates shown in Table 3.3-8.  Because the WPS prohibits adolescents working in crop production from handling pesticides, we weight this number by the proportion of commercial certifications for livestock protection out of all commercial certifications issued for crop and livestock protection.</w:t>
      </w:r>
    </w:p>
    <w:p w14:paraId="77ED5266" w14:textId="77777777" w:rsidR="00D8365A" w:rsidRPr="00362517" w:rsidRDefault="00D8365A" w:rsidP="00BF6BC7"/>
    <w:p w14:paraId="667F0DB6" w14:textId="77777777" w:rsidR="00D8365A" w:rsidRPr="00362517" w:rsidRDefault="00D8365A" w:rsidP="00BF6BC7">
      <w:pPr>
        <w:pStyle w:val="BodyText"/>
      </w:pPr>
      <w:r w:rsidRPr="00362517">
        <w:t>Finally, some states have age restrictions precluding adolescents from applying RUPs.  Four states (Alabama, Connecticut, Delaware, and New Jersey) have set a minimum age of 18 and three states (Alaska, Nebraska, and Vermont) have set a minimum age of 16.</w:t>
      </w:r>
    </w:p>
    <w:p w14:paraId="333DE64B" w14:textId="77777777" w:rsidR="00D8365A" w:rsidRPr="00362517" w:rsidRDefault="00D8365A" w:rsidP="00BF6BC7">
      <w:bookmarkStart w:id="159" w:name="_Toc283126893"/>
    </w:p>
    <w:p w14:paraId="68B8A9A7" w14:textId="77777777" w:rsidR="00D8365A" w:rsidRPr="00362517" w:rsidRDefault="00D8365A" w:rsidP="00BF6BC7"/>
    <w:p w14:paraId="0F5166C7" w14:textId="77777777" w:rsidR="00D8365A" w:rsidRPr="00362517" w:rsidRDefault="00D8365A" w:rsidP="00BF6BC7">
      <w:pPr>
        <w:pStyle w:val="Heading3"/>
      </w:pPr>
      <w:bookmarkStart w:id="160" w:name="_Toc395788106"/>
      <w:bookmarkStart w:id="161" w:name="_Toc396483162"/>
      <w:bookmarkStart w:id="162" w:name="_Toc452020143"/>
      <w:bookmarkStart w:id="163" w:name="_Toc456270166"/>
      <w:bookmarkStart w:id="164" w:name="_Toc468872082"/>
      <w:r w:rsidRPr="00362517">
        <w:t>3.3.5</w:t>
      </w:r>
      <w:r w:rsidRPr="00362517">
        <w:tab/>
        <w:t>Wage Rates</w:t>
      </w:r>
      <w:bookmarkEnd w:id="160"/>
      <w:bookmarkEnd w:id="161"/>
      <w:bookmarkEnd w:id="162"/>
      <w:bookmarkEnd w:id="163"/>
      <w:bookmarkEnd w:id="164"/>
    </w:p>
    <w:p w14:paraId="40E0A47A" w14:textId="77777777" w:rsidR="00D8365A" w:rsidRPr="00362517" w:rsidRDefault="00D8365A" w:rsidP="00BF6BC7"/>
    <w:p w14:paraId="0512C167" w14:textId="77777777" w:rsidR="00D8365A" w:rsidRPr="00362517" w:rsidRDefault="00D8365A" w:rsidP="00BF6BC7">
      <w:pPr>
        <w:pStyle w:val="BodyText"/>
      </w:pPr>
      <w:r w:rsidRPr="00362517">
        <w:t xml:space="preserve">Wage rates are used to estimate unit costs for the baseline and final requirements.  The Bureau of Labor Statistics’ (BLS) Occupational Employment Statistics (OES) data series for national industry-specific occupational employment and wage estimates are used to determine hourly wage rates of affected actors.  Wages vary by jurisdiction, but EPA used the national average wage rates.  This would result in the over (under)-estimation of impacts for the low (high) wage jurisdictions.  However, the differences in wages across jurisdictions should largely cancel out at the national level.  </w:t>
      </w:r>
    </w:p>
    <w:p w14:paraId="3B92412B" w14:textId="77777777" w:rsidR="00D8365A" w:rsidRPr="00362517" w:rsidRDefault="00D8365A" w:rsidP="00BF6BC7"/>
    <w:p w14:paraId="74DAE3A9" w14:textId="77777777" w:rsidR="00D8365A" w:rsidRPr="00362517" w:rsidRDefault="00D8365A" w:rsidP="00BF6BC7">
      <w:pPr>
        <w:pStyle w:val="AbtHeadE"/>
        <w:ind w:left="0"/>
      </w:pPr>
      <w:r w:rsidRPr="00362517">
        <w:t>Wage rates of commercial applicators</w:t>
      </w:r>
    </w:p>
    <w:p w14:paraId="0C5CD0D2" w14:textId="77777777" w:rsidR="00D8365A" w:rsidRPr="00362517" w:rsidRDefault="00D8365A" w:rsidP="00BF6BC7">
      <w:pPr>
        <w:spacing w:before="240"/>
      </w:pPr>
      <w:r w:rsidRPr="00362517">
        <w:t xml:space="preserve">For commercial applicators 18 years and over, we obtain the unloaded mean wage rate ($14.74) for Pesticide Handlers &amp; Applicators (Standard Occupational Code 37-3012) from the U.S. Department of Labor, Bureau of Labor Statistics (BLS, 2016a).  Commercial applicators are paid benefits that amount to 46.3% of the unloaded wage rate (BLS, 2013b), which is added to the unloaded wage rate to obtain the loaded wage rate of $21.56.  However, for aerial applicators, which is a new application method-specific certification category of the final rule, the loaded wage rate of $73.15/hour is used, as this type of application requires highly skilled labor.  This wage rate is based on the </w:t>
      </w:r>
      <w:r w:rsidRPr="00362517">
        <w:rPr>
          <w:rFonts w:eastAsiaTheme="minorHAnsi"/>
        </w:rPr>
        <w:t xml:space="preserve">average salary for agricultural pilot jobs before benefits of $52,000 for 6 months of employment (Lake Area Technical Institute, undated), </w:t>
      </w:r>
      <w:r w:rsidRPr="00362517">
        <w:t xml:space="preserve">plus 46.3% benefits.  We assume that commercial applicators aged 16 or 17 years are paid the loaded wage rate that is 75% of the loaded wage rate for commercial applicators 18 years and over.  That is, the loaded wage rate for commercial applicators aged 16 or 17 is $16.17.      </w:t>
      </w:r>
    </w:p>
    <w:p w14:paraId="5FC3B6AB" w14:textId="77777777" w:rsidR="00D8365A" w:rsidRPr="00362517" w:rsidRDefault="00D8365A" w:rsidP="00BF6BC7"/>
    <w:p w14:paraId="7243A8AB" w14:textId="77777777" w:rsidR="00D8365A" w:rsidRPr="00362517" w:rsidRDefault="00D8365A" w:rsidP="00BF6BC7">
      <w:pPr>
        <w:pStyle w:val="AbtHeadE"/>
        <w:ind w:left="0"/>
      </w:pPr>
      <w:r w:rsidRPr="00362517">
        <w:t>Wage rates of private applicators</w:t>
      </w:r>
    </w:p>
    <w:p w14:paraId="28AA8D33" w14:textId="77777777" w:rsidR="00D8365A" w:rsidRPr="00362517" w:rsidRDefault="00D8365A" w:rsidP="00BF6BC7">
      <w:pPr>
        <w:pStyle w:val="BodyText"/>
      </w:pPr>
      <w:r w:rsidRPr="00362517">
        <w:t>The unloaded hourly wage rate for private applicators is from the BLS employment category 11-9013 (Farmers and Ranchers), which has a wage rate of $35.17 (BLS, 2016a).  Private applicators are paid benefits that amount to 46.3% of the unloaded wage rate (BLS, 2013b), which is added to the unloaded wage rate to obtain the loaded wage rate of $51.45.</w:t>
      </w:r>
    </w:p>
    <w:p w14:paraId="31F7B8B7" w14:textId="77777777" w:rsidR="00D8365A" w:rsidRPr="00362517" w:rsidRDefault="00D8365A" w:rsidP="00BF6BC7"/>
    <w:p w14:paraId="0776207F" w14:textId="77777777" w:rsidR="00D8365A" w:rsidRPr="00362517" w:rsidRDefault="00D8365A" w:rsidP="00BF6BC7">
      <w:pPr>
        <w:pStyle w:val="BodyText"/>
      </w:pPr>
      <w:r w:rsidRPr="00362517">
        <w:t>In addition to the age groups used for commercial applicators, we include a third age group of private applicators — those who are under the age of 16.  We assume that private applicators under 16 years old are paid a wage that is 50% of the operator wage rate, and that private applicators aged 16 or 17 years old are paid a wage 60% of the operator wage rate.  Thus, private applicators under 16 years old are paid the loaded wage rate of $25.73 and private applicators aged 16 or 17 years old are paid the loaded wage rate of $30.87.</w:t>
      </w:r>
    </w:p>
    <w:p w14:paraId="59C95DB6" w14:textId="77777777" w:rsidR="00D8365A" w:rsidRPr="00362517" w:rsidRDefault="00D8365A" w:rsidP="00BF6BC7"/>
    <w:p w14:paraId="1D1CE417" w14:textId="77777777" w:rsidR="00D8365A" w:rsidRPr="00362517" w:rsidRDefault="00D8365A" w:rsidP="00BF6BC7">
      <w:pPr>
        <w:pStyle w:val="AbtHeadE"/>
        <w:ind w:left="0"/>
      </w:pPr>
      <w:r w:rsidRPr="00362517">
        <w:t>Wage rates of noncertified applicators that apply RUPs under the direct supervision of commercial applicators</w:t>
      </w:r>
    </w:p>
    <w:p w14:paraId="7866F914" w14:textId="77777777" w:rsidR="00D8365A" w:rsidRPr="00362517" w:rsidRDefault="00D8365A" w:rsidP="00BF6BC7">
      <w:pPr>
        <w:pStyle w:val="BodyText"/>
      </w:pPr>
      <w:r w:rsidRPr="00362517">
        <w:t>The loaded wage rate for all noncertified applicators applying RUPs under the direct supervision of commercial applicators is based on the national mean unloaded hourly wage rate of $12.11 for the employment category 37-3011 (Landscaping and Groundskeeping Workers), as reported in the OES data series for May 2014 (BLS, 2016a).  Noncertified applicators are paid benefits that amount to 46.3% of the unloaded wage rate (BLS, 2013b), which is added to the unloaded wage rate to obtain the loaded wage rate of $17.72.  We assume that there are no noncertified applicators applying RUPs under the direct supervision of commercial applicators under age 16.  Noncertified applicators applying RUPs under the direct supervision of commercial applicators aged 16 or 17 years old are assumed to earn 75% of the adult wage rate or $13.29.</w:t>
      </w:r>
    </w:p>
    <w:p w14:paraId="216E7359" w14:textId="77777777" w:rsidR="00D8365A" w:rsidRPr="00362517" w:rsidRDefault="00D8365A" w:rsidP="00BF6BC7"/>
    <w:p w14:paraId="254BD335" w14:textId="77777777" w:rsidR="00D8365A" w:rsidRPr="00362517" w:rsidRDefault="00D8365A" w:rsidP="00BF6BC7">
      <w:pPr>
        <w:pStyle w:val="AbtHeadE"/>
        <w:ind w:left="0"/>
      </w:pPr>
      <w:r w:rsidRPr="00362517">
        <w:t>Wage rates of noncertified applicators that apply RUPs under the direct supervision of private applicators</w:t>
      </w:r>
    </w:p>
    <w:p w14:paraId="68F262BB" w14:textId="77777777" w:rsidR="00D8365A" w:rsidRPr="00362517" w:rsidRDefault="00D8365A" w:rsidP="00BF6BC7">
      <w:pPr>
        <w:pStyle w:val="BodyText"/>
      </w:pPr>
      <w:r w:rsidRPr="00362517">
        <w:t>For noncertified applicators applying RUPs under the direct supervision of private applicators, we have identified the same three age groups as those for private applicators.  For noncertified applicators 18 years and over, we obtain the unloaded mean wage rate ($14.74) for Pesticide Handlers &amp; Applicators (Standard Occupational Code 37-3012) from the U.S. Department of Labor, Bureau of Labor Statistics (BLS,2016a), to which is added 46.3% in benefits to obtain the loaded wage rate of $21.56.  EPA assumes that wage rates for noncertified applicators under age 16 and 16-17 years-old are, respectively, 50% and 60% of the average wage rate for a noncertified applicators 18 years or older applying RUPs under the direct supervision of a private applicator.  Assuming that private applicators are paid benefits that amount to 46.3% of the total remuneration, we calculate average loaded wage rate for noncertified applicators under age 16 to be $10.78 and for those aged 16 or 17 to be $12.94.</w:t>
      </w:r>
    </w:p>
    <w:p w14:paraId="35C28EE7" w14:textId="77777777" w:rsidR="00D8365A" w:rsidRPr="00362517" w:rsidRDefault="00D8365A" w:rsidP="00BF6BC7"/>
    <w:p w14:paraId="03F10E23" w14:textId="77777777" w:rsidR="00D8365A" w:rsidRPr="00362517" w:rsidRDefault="00D8365A" w:rsidP="00BF6BC7">
      <w:pPr>
        <w:pStyle w:val="BodyText"/>
      </w:pPr>
      <w:r w:rsidRPr="00362517">
        <w:t>The loaded average overall wage rates for each age group and labor category appear in Table 3.3-11.</w:t>
      </w:r>
    </w:p>
    <w:p w14:paraId="51B7FC80" w14:textId="77777777" w:rsidR="00D8365A" w:rsidRPr="00362517" w:rsidRDefault="00D8365A" w:rsidP="00BF6BC7"/>
    <w:p w14:paraId="1A5EA5A6" w14:textId="77777777" w:rsidR="00D8365A" w:rsidRPr="00362517" w:rsidRDefault="00D8365A" w:rsidP="00BF6BC7">
      <w:pPr>
        <w:pStyle w:val="Caption"/>
      </w:pPr>
      <w:r w:rsidRPr="00362517">
        <w:t>Table 3.3-11:</w:t>
      </w:r>
      <w:r w:rsidRPr="00362517">
        <w:tab/>
        <w:t>Applicator Loaded Average Hourly Wage Rates, by Age Group</w:t>
      </w:r>
    </w:p>
    <w:tbl>
      <w:tblPr>
        <w:tblW w:w="5000" w:type="pct"/>
        <w:tblLook w:val="04A0" w:firstRow="1" w:lastRow="0" w:firstColumn="1" w:lastColumn="0" w:noHBand="0" w:noVBand="1"/>
      </w:tblPr>
      <w:tblGrid>
        <w:gridCol w:w="2927"/>
        <w:gridCol w:w="2769"/>
        <w:gridCol w:w="1827"/>
        <w:gridCol w:w="1827"/>
      </w:tblGrid>
      <w:tr w:rsidR="00D8365A" w:rsidRPr="00362517" w14:paraId="7A438CEF" w14:textId="77777777" w:rsidTr="007A2164">
        <w:trPr>
          <w:trHeight w:val="525"/>
        </w:trPr>
        <w:tc>
          <w:tcPr>
            <w:tcW w:w="1565" w:type="pct"/>
            <w:tcBorders>
              <w:top w:val="single" w:sz="4" w:space="0" w:color="auto"/>
              <w:left w:val="single" w:sz="4" w:space="0" w:color="auto"/>
              <w:bottom w:val="double" w:sz="6" w:space="0" w:color="auto"/>
              <w:right w:val="single" w:sz="8" w:space="0" w:color="auto"/>
            </w:tcBorders>
            <w:shd w:val="clear" w:color="auto" w:fill="auto"/>
            <w:noWrap/>
            <w:vAlign w:val="bottom"/>
            <w:hideMark/>
          </w:tcPr>
          <w:p w14:paraId="3C05A167" w14:textId="77777777" w:rsidR="00D8365A" w:rsidRPr="00362517" w:rsidRDefault="00D8365A" w:rsidP="00BF6BC7">
            <w:pPr>
              <w:keepNext/>
              <w:rPr>
                <w:lang w:eastAsia="ko-KR"/>
              </w:rPr>
            </w:pPr>
            <w:r w:rsidRPr="00362517">
              <w:rPr>
                <w:lang w:eastAsia="ko-KR"/>
              </w:rPr>
              <w:t>Labor Category</w:t>
            </w:r>
          </w:p>
        </w:tc>
        <w:tc>
          <w:tcPr>
            <w:tcW w:w="1481" w:type="pct"/>
            <w:tcBorders>
              <w:top w:val="single" w:sz="4" w:space="0" w:color="auto"/>
              <w:left w:val="nil"/>
              <w:bottom w:val="double" w:sz="6" w:space="0" w:color="auto"/>
              <w:right w:val="single" w:sz="8" w:space="0" w:color="auto"/>
            </w:tcBorders>
            <w:shd w:val="clear" w:color="auto" w:fill="auto"/>
            <w:vAlign w:val="bottom"/>
            <w:hideMark/>
          </w:tcPr>
          <w:p w14:paraId="3F0DCCED" w14:textId="77777777" w:rsidR="00D8365A" w:rsidRPr="00362517" w:rsidRDefault="00D8365A" w:rsidP="00BF6BC7">
            <w:pPr>
              <w:keepNext/>
              <w:jc w:val="center"/>
              <w:rPr>
                <w:lang w:eastAsia="ko-KR"/>
              </w:rPr>
            </w:pPr>
            <w:r w:rsidRPr="00362517">
              <w:rPr>
                <w:lang w:eastAsia="ko-KR"/>
              </w:rPr>
              <w:t>Under age 16</w:t>
            </w:r>
          </w:p>
        </w:tc>
        <w:tc>
          <w:tcPr>
            <w:tcW w:w="977" w:type="pct"/>
            <w:tcBorders>
              <w:top w:val="single" w:sz="4" w:space="0" w:color="auto"/>
              <w:left w:val="nil"/>
              <w:bottom w:val="double" w:sz="6" w:space="0" w:color="auto"/>
              <w:right w:val="single" w:sz="8" w:space="0" w:color="auto"/>
            </w:tcBorders>
            <w:shd w:val="clear" w:color="auto" w:fill="auto"/>
            <w:vAlign w:val="bottom"/>
            <w:hideMark/>
          </w:tcPr>
          <w:p w14:paraId="0F7B7824" w14:textId="77777777" w:rsidR="00D8365A" w:rsidRPr="00362517" w:rsidRDefault="00D8365A" w:rsidP="00BF6BC7">
            <w:pPr>
              <w:keepNext/>
              <w:jc w:val="center"/>
              <w:rPr>
                <w:lang w:eastAsia="ko-KR"/>
              </w:rPr>
            </w:pPr>
            <w:r w:rsidRPr="00362517">
              <w:rPr>
                <w:lang w:eastAsia="ko-KR"/>
              </w:rPr>
              <w:t>Age 16 to 17</w:t>
            </w:r>
          </w:p>
        </w:tc>
        <w:tc>
          <w:tcPr>
            <w:tcW w:w="977" w:type="pct"/>
            <w:tcBorders>
              <w:top w:val="single" w:sz="4" w:space="0" w:color="auto"/>
              <w:left w:val="nil"/>
              <w:bottom w:val="double" w:sz="6" w:space="0" w:color="auto"/>
              <w:right w:val="single" w:sz="4" w:space="0" w:color="auto"/>
            </w:tcBorders>
            <w:shd w:val="clear" w:color="auto" w:fill="auto"/>
            <w:vAlign w:val="bottom"/>
            <w:hideMark/>
          </w:tcPr>
          <w:p w14:paraId="0EBCC0F7" w14:textId="77777777" w:rsidR="00D8365A" w:rsidRPr="00362517" w:rsidRDefault="00D8365A" w:rsidP="00BF6BC7">
            <w:pPr>
              <w:keepNext/>
              <w:jc w:val="center"/>
              <w:rPr>
                <w:lang w:eastAsia="ko-KR"/>
              </w:rPr>
            </w:pPr>
            <w:r w:rsidRPr="00362517">
              <w:rPr>
                <w:lang w:eastAsia="ko-KR"/>
              </w:rPr>
              <w:t>18 years or older</w:t>
            </w:r>
          </w:p>
        </w:tc>
      </w:tr>
      <w:tr w:rsidR="00D8365A" w:rsidRPr="00362517" w14:paraId="091E3AC8" w14:textId="77777777" w:rsidTr="007A2164">
        <w:trPr>
          <w:trHeight w:val="330"/>
        </w:trPr>
        <w:tc>
          <w:tcPr>
            <w:tcW w:w="5000" w:type="pct"/>
            <w:gridSpan w:val="4"/>
            <w:tcBorders>
              <w:top w:val="double" w:sz="6" w:space="0" w:color="auto"/>
              <w:left w:val="single" w:sz="4" w:space="0" w:color="auto"/>
              <w:bottom w:val="single" w:sz="12" w:space="0" w:color="auto"/>
              <w:right w:val="single" w:sz="4" w:space="0" w:color="000000"/>
            </w:tcBorders>
            <w:shd w:val="clear" w:color="auto" w:fill="auto"/>
            <w:vAlign w:val="center"/>
            <w:hideMark/>
          </w:tcPr>
          <w:p w14:paraId="0C82986D" w14:textId="77777777" w:rsidR="00D8365A" w:rsidRPr="00362517" w:rsidRDefault="00D8365A" w:rsidP="00BF6BC7">
            <w:pPr>
              <w:keepNext/>
              <w:jc w:val="center"/>
              <w:rPr>
                <w:lang w:eastAsia="ko-KR"/>
              </w:rPr>
            </w:pPr>
            <w:r w:rsidRPr="00362517">
              <w:rPr>
                <w:lang w:eastAsia="ko-KR"/>
              </w:rPr>
              <w:t>Commercial applicators</w:t>
            </w:r>
          </w:p>
        </w:tc>
      </w:tr>
      <w:tr w:rsidR="00D8365A" w:rsidRPr="00362517" w14:paraId="52843374" w14:textId="77777777" w:rsidTr="007A2164">
        <w:trPr>
          <w:trHeight w:val="330"/>
        </w:trPr>
        <w:tc>
          <w:tcPr>
            <w:tcW w:w="1565" w:type="pct"/>
            <w:tcBorders>
              <w:top w:val="nil"/>
              <w:left w:val="single" w:sz="4" w:space="0" w:color="auto"/>
              <w:bottom w:val="single" w:sz="8" w:space="0" w:color="auto"/>
              <w:right w:val="single" w:sz="8" w:space="0" w:color="auto"/>
            </w:tcBorders>
            <w:shd w:val="clear" w:color="auto" w:fill="auto"/>
            <w:vAlign w:val="center"/>
            <w:hideMark/>
          </w:tcPr>
          <w:p w14:paraId="67C1D26F" w14:textId="77777777" w:rsidR="00D8365A" w:rsidRPr="00362517" w:rsidRDefault="00D8365A" w:rsidP="00BF6BC7">
            <w:pPr>
              <w:keepNext/>
              <w:rPr>
                <w:lang w:eastAsia="ko-KR"/>
              </w:rPr>
            </w:pPr>
            <w:r w:rsidRPr="00362517">
              <w:rPr>
                <w:lang w:eastAsia="ko-KR"/>
              </w:rPr>
              <w:t xml:space="preserve">Certified </w:t>
            </w:r>
          </w:p>
        </w:tc>
        <w:tc>
          <w:tcPr>
            <w:tcW w:w="1481" w:type="pct"/>
            <w:vMerge w:val="restart"/>
            <w:tcBorders>
              <w:top w:val="nil"/>
              <w:left w:val="single" w:sz="8" w:space="0" w:color="auto"/>
              <w:bottom w:val="single" w:sz="12" w:space="0" w:color="000000"/>
              <w:right w:val="single" w:sz="8" w:space="0" w:color="auto"/>
            </w:tcBorders>
            <w:shd w:val="clear" w:color="auto" w:fill="auto"/>
            <w:vAlign w:val="center"/>
            <w:hideMark/>
          </w:tcPr>
          <w:p w14:paraId="11B2ECFB" w14:textId="77777777" w:rsidR="00D8365A" w:rsidRPr="00362517" w:rsidRDefault="00D8365A" w:rsidP="00BF6BC7">
            <w:pPr>
              <w:keepNext/>
              <w:jc w:val="center"/>
              <w:rPr>
                <w:i/>
                <w:iCs/>
                <w:lang w:eastAsia="ko-KR"/>
              </w:rPr>
            </w:pPr>
            <w:r w:rsidRPr="00362517">
              <w:rPr>
                <w:i/>
                <w:iCs/>
                <w:lang w:eastAsia="ko-KR"/>
              </w:rPr>
              <w:t>No commercial or noncertified applicators in this age group</w:t>
            </w:r>
          </w:p>
        </w:tc>
        <w:tc>
          <w:tcPr>
            <w:tcW w:w="977" w:type="pct"/>
            <w:tcBorders>
              <w:top w:val="nil"/>
              <w:left w:val="nil"/>
              <w:bottom w:val="single" w:sz="8" w:space="0" w:color="auto"/>
              <w:right w:val="single" w:sz="8" w:space="0" w:color="auto"/>
            </w:tcBorders>
            <w:shd w:val="clear" w:color="auto" w:fill="auto"/>
            <w:vAlign w:val="center"/>
            <w:hideMark/>
          </w:tcPr>
          <w:p w14:paraId="183A07F1" w14:textId="77777777" w:rsidR="00D8365A" w:rsidRPr="00362517" w:rsidRDefault="00D8365A" w:rsidP="00BF6BC7">
            <w:pPr>
              <w:keepNext/>
              <w:jc w:val="center"/>
              <w:rPr>
                <w:lang w:eastAsia="ko-KR"/>
              </w:rPr>
            </w:pPr>
            <w:r w:rsidRPr="00362517">
              <w:rPr>
                <w:lang w:eastAsia="ko-KR"/>
              </w:rPr>
              <w:t>$16.17</w:t>
            </w:r>
          </w:p>
        </w:tc>
        <w:tc>
          <w:tcPr>
            <w:tcW w:w="977" w:type="pct"/>
            <w:tcBorders>
              <w:top w:val="nil"/>
              <w:left w:val="nil"/>
              <w:bottom w:val="single" w:sz="8" w:space="0" w:color="auto"/>
              <w:right w:val="single" w:sz="4" w:space="0" w:color="auto"/>
            </w:tcBorders>
            <w:shd w:val="clear" w:color="auto" w:fill="auto"/>
            <w:vAlign w:val="center"/>
            <w:hideMark/>
          </w:tcPr>
          <w:p w14:paraId="054F6938" w14:textId="77777777" w:rsidR="00D8365A" w:rsidRPr="00362517" w:rsidRDefault="00D8365A" w:rsidP="00BF6BC7">
            <w:pPr>
              <w:keepNext/>
              <w:jc w:val="center"/>
              <w:rPr>
                <w:lang w:eastAsia="ko-KR"/>
              </w:rPr>
            </w:pPr>
            <w:r w:rsidRPr="00362517">
              <w:rPr>
                <w:lang w:eastAsia="ko-KR"/>
              </w:rPr>
              <w:t>$21.56</w:t>
            </w:r>
          </w:p>
        </w:tc>
      </w:tr>
      <w:tr w:rsidR="00D8365A" w:rsidRPr="00362517" w14:paraId="2D3FD01D" w14:textId="77777777" w:rsidTr="007A2164">
        <w:trPr>
          <w:trHeight w:val="519"/>
        </w:trPr>
        <w:tc>
          <w:tcPr>
            <w:tcW w:w="1565" w:type="pct"/>
            <w:tcBorders>
              <w:top w:val="nil"/>
              <w:left w:val="single" w:sz="4" w:space="0" w:color="auto"/>
              <w:bottom w:val="single" w:sz="12" w:space="0" w:color="auto"/>
              <w:right w:val="single" w:sz="8" w:space="0" w:color="auto"/>
            </w:tcBorders>
            <w:shd w:val="clear" w:color="auto" w:fill="auto"/>
            <w:vAlign w:val="center"/>
            <w:hideMark/>
          </w:tcPr>
          <w:p w14:paraId="34B6C621" w14:textId="77777777" w:rsidR="00D8365A" w:rsidRPr="00362517" w:rsidRDefault="00D8365A" w:rsidP="00BF6BC7">
            <w:pPr>
              <w:keepNext/>
              <w:rPr>
                <w:lang w:eastAsia="ko-KR"/>
              </w:rPr>
            </w:pPr>
            <w:r w:rsidRPr="00362517">
              <w:rPr>
                <w:lang w:eastAsia="ko-KR"/>
              </w:rPr>
              <w:t>Noncertified applying RUPs under the direct supervision</w:t>
            </w:r>
          </w:p>
        </w:tc>
        <w:tc>
          <w:tcPr>
            <w:tcW w:w="1481" w:type="pct"/>
            <w:vMerge/>
            <w:tcBorders>
              <w:top w:val="nil"/>
              <w:left w:val="single" w:sz="8" w:space="0" w:color="auto"/>
              <w:bottom w:val="single" w:sz="12" w:space="0" w:color="000000"/>
              <w:right w:val="single" w:sz="8" w:space="0" w:color="auto"/>
            </w:tcBorders>
            <w:vAlign w:val="center"/>
            <w:hideMark/>
          </w:tcPr>
          <w:p w14:paraId="62DBA36C" w14:textId="77777777" w:rsidR="00D8365A" w:rsidRPr="00362517" w:rsidRDefault="00D8365A" w:rsidP="00BF6BC7">
            <w:pPr>
              <w:keepNext/>
              <w:rPr>
                <w:i/>
                <w:iCs/>
                <w:lang w:eastAsia="ko-KR"/>
              </w:rPr>
            </w:pPr>
          </w:p>
        </w:tc>
        <w:tc>
          <w:tcPr>
            <w:tcW w:w="977" w:type="pct"/>
            <w:tcBorders>
              <w:top w:val="nil"/>
              <w:left w:val="nil"/>
              <w:bottom w:val="single" w:sz="12" w:space="0" w:color="auto"/>
              <w:right w:val="single" w:sz="8" w:space="0" w:color="auto"/>
            </w:tcBorders>
            <w:shd w:val="clear" w:color="auto" w:fill="auto"/>
            <w:vAlign w:val="center"/>
            <w:hideMark/>
          </w:tcPr>
          <w:p w14:paraId="1F19525C" w14:textId="77777777" w:rsidR="00D8365A" w:rsidRPr="00362517" w:rsidRDefault="00D8365A" w:rsidP="00BF6BC7">
            <w:pPr>
              <w:keepNext/>
              <w:jc w:val="center"/>
              <w:rPr>
                <w:lang w:eastAsia="ko-KR"/>
              </w:rPr>
            </w:pPr>
            <w:r w:rsidRPr="00362517">
              <w:rPr>
                <w:lang w:eastAsia="ko-KR"/>
              </w:rPr>
              <w:t>$13.29</w:t>
            </w:r>
          </w:p>
        </w:tc>
        <w:tc>
          <w:tcPr>
            <w:tcW w:w="977" w:type="pct"/>
            <w:tcBorders>
              <w:top w:val="nil"/>
              <w:left w:val="nil"/>
              <w:bottom w:val="single" w:sz="12" w:space="0" w:color="auto"/>
              <w:right w:val="single" w:sz="4" w:space="0" w:color="auto"/>
            </w:tcBorders>
            <w:shd w:val="clear" w:color="auto" w:fill="auto"/>
            <w:vAlign w:val="center"/>
            <w:hideMark/>
          </w:tcPr>
          <w:p w14:paraId="29794B05" w14:textId="77777777" w:rsidR="00D8365A" w:rsidRPr="00362517" w:rsidRDefault="00D8365A" w:rsidP="00BF6BC7">
            <w:pPr>
              <w:keepNext/>
              <w:jc w:val="center"/>
              <w:rPr>
                <w:lang w:eastAsia="ko-KR"/>
              </w:rPr>
            </w:pPr>
            <w:r w:rsidRPr="00362517">
              <w:rPr>
                <w:lang w:eastAsia="ko-KR"/>
              </w:rPr>
              <w:t>$17.72</w:t>
            </w:r>
          </w:p>
        </w:tc>
      </w:tr>
      <w:tr w:rsidR="00D8365A" w:rsidRPr="00362517" w14:paraId="51E6893E" w14:textId="77777777" w:rsidTr="007A2164">
        <w:trPr>
          <w:trHeight w:val="330"/>
        </w:trPr>
        <w:tc>
          <w:tcPr>
            <w:tcW w:w="5000" w:type="pct"/>
            <w:gridSpan w:val="4"/>
            <w:tcBorders>
              <w:top w:val="single" w:sz="12" w:space="0" w:color="auto"/>
              <w:left w:val="single" w:sz="4" w:space="0" w:color="auto"/>
              <w:bottom w:val="single" w:sz="12" w:space="0" w:color="auto"/>
              <w:right w:val="single" w:sz="4" w:space="0" w:color="000000"/>
            </w:tcBorders>
            <w:shd w:val="clear" w:color="auto" w:fill="auto"/>
            <w:vAlign w:val="center"/>
            <w:hideMark/>
          </w:tcPr>
          <w:p w14:paraId="041FC573" w14:textId="77777777" w:rsidR="00D8365A" w:rsidRPr="00362517" w:rsidRDefault="00D8365A" w:rsidP="00BF6BC7">
            <w:pPr>
              <w:keepNext/>
              <w:jc w:val="center"/>
              <w:rPr>
                <w:lang w:eastAsia="ko-KR"/>
              </w:rPr>
            </w:pPr>
            <w:r w:rsidRPr="00362517">
              <w:rPr>
                <w:lang w:eastAsia="ko-KR"/>
              </w:rPr>
              <w:t>Private applicators</w:t>
            </w:r>
          </w:p>
        </w:tc>
      </w:tr>
      <w:tr w:rsidR="00D8365A" w:rsidRPr="00362517" w14:paraId="130DC9F5" w14:textId="77777777" w:rsidTr="007A2164">
        <w:trPr>
          <w:trHeight w:val="330"/>
        </w:trPr>
        <w:tc>
          <w:tcPr>
            <w:tcW w:w="1565" w:type="pct"/>
            <w:tcBorders>
              <w:top w:val="nil"/>
              <w:left w:val="single" w:sz="4" w:space="0" w:color="auto"/>
              <w:bottom w:val="single" w:sz="8" w:space="0" w:color="auto"/>
              <w:right w:val="single" w:sz="8" w:space="0" w:color="auto"/>
            </w:tcBorders>
            <w:shd w:val="clear" w:color="auto" w:fill="auto"/>
            <w:vAlign w:val="center"/>
            <w:hideMark/>
          </w:tcPr>
          <w:p w14:paraId="142BFFC5" w14:textId="77777777" w:rsidR="00D8365A" w:rsidRPr="00362517" w:rsidRDefault="00D8365A" w:rsidP="00BF6BC7">
            <w:pPr>
              <w:keepNext/>
              <w:rPr>
                <w:lang w:eastAsia="ko-KR"/>
              </w:rPr>
            </w:pPr>
            <w:r w:rsidRPr="00362517">
              <w:rPr>
                <w:lang w:eastAsia="ko-KR"/>
              </w:rPr>
              <w:t xml:space="preserve">Certified </w:t>
            </w:r>
          </w:p>
        </w:tc>
        <w:tc>
          <w:tcPr>
            <w:tcW w:w="1481" w:type="pct"/>
            <w:tcBorders>
              <w:top w:val="nil"/>
              <w:left w:val="nil"/>
              <w:bottom w:val="single" w:sz="8" w:space="0" w:color="auto"/>
              <w:right w:val="single" w:sz="8" w:space="0" w:color="auto"/>
            </w:tcBorders>
            <w:shd w:val="clear" w:color="auto" w:fill="auto"/>
            <w:vAlign w:val="center"/>
            <w:hideMark/>
          </w:tcPr>
          <w:p w14:paraId="76FFDFC9" w14:textId="77777777" w:rsidR="00D8365A" w:rsidRPr="00362517" w:rsidRDefault="00D8365A" w:rsidP="00BF6BC7">
            <w:pPr>
              <w:keepNext/>
              <w:jc w:val="center"/>
              <w:rPr>
                <w:lang w:eastAsia="ko-KR"/>
              </w:rPr>
            </w:pPr>
            <w:r w:rsidRPr="00362517">
              <w:rPr>
                <w:lang w:eastAsia="ko-KR"/>
              </w:rPr>
              <w:t>$25.73</w:t>
            </w:r>
          </w:p>
        </w:tc>
        <w:tc>
          <w:tcPr>
            <w:tcW w:w="977" w:type="pct"/>
            <w:tcBorders>
              <w:top w:val="nil"/>
              <w:left w:val="nil"/>
              <w:bottom w:val="single" w:sz="8" w:space="0" w:color="auto"/>
              <w:right w:val="single" w:sz="8" w:space="0" w:color="auto"/>
            </w:tcBorders>
            <w:shd w:val="clear" w:color="auto" w:fill="auto"/>
            <w:vAlign w:val="center"/>
            <w:hideMark/>
          </w:tcPr>
          <w:p w14:paraId="51391D33" w14:textId="77777777" w:rsidR="00D8365A" w:rsidRPr="00362517" w:rsidRDefault="00D8365A" w:rsidP="00BF6BC7">
            <w:pPr>
              <w:keepNext/>
              <w:jc w:val="center"/>
              <w:rPr>
                <w:lang w:eastAsia="ko-KR"/>
              </w:rPr>
            </w:pPr>
            <w:r w:rsidRPr="00362517">
              <w:rPr>
                <w:lang w:eastAsia="ko-KR"/>
              </w:rPr>
              <w:t>$30.87</w:t>
            </w:r>
          </w:p>
        </w:tc>
        <w:tc>
          <w:tcPr>
            <w:tcW w:w="977" w:type="pct"/>
            <w:tcBorders>
              <w:top w:val="nil"/>
              <w:left w:val="nil"/>
              <w:bottom w:val="single" w:sz="8" w:space="0" w:color="auto"/>
              <w:right w:val="single" w:sz="4" w:space="0" w:color="auto"/>
            </w:tcBorders>
            <w:shd w:val="clear" w:color="auto" w:fill="auto"/>
            <w:vAlign w:val="center"/>
            <w:hideMark/>
          </w:tcPr>
          <w:p w14:paraId="17221F0C" w14:textId="77777777" w:rsidR="00D8365A" w:rsidRPr="00362517" w:rsidRDefault="00D8365A" w:rsidP="00BF6BC7">
            <w:pPr>
              <w:keepNext/>
              <w:jc w:val="center"/>
              <w:rPr>
                <w:lang w:eastAsia="ko-KR"/>
              </w:rPr>
            </w:pPr>
            <w:r w:rsidRPr="00362517">
              <w:rPr>
                <w:lang w:eastAsia="ko-KR"/>
              </w:rPr>
              <w:t>$51.45</w:t>
            </w:r>
          </w:p>
        </w:tc>
      </w:tr>
      <w:tr w:rsidR="00D8365A" w:rsidRPr="00362517" w14:paraId="3D98311B" w14:textId="77777777" w:rsidTr="007A2164">
        <w:trPr>
          <w:trHeight w:val="520"/>
        </w:trPr>
        <w:tc>
          <w:tcPr>
            <w:tcW w:w="1565" w:type="pct"/>
            <w:tcBorders>
              <w:top w:val="nil"/>
              <w:left w:val="single" w:sz="4" w:space="0" w:color="auto"/>
              <w:bottom w:val="single" w:sz="4" w:space="0" w:color="auto"/>
              <w:right w:val="single" w:sz="8" w:space="0" w:color="auto"/>
            </w:tcBorders>
            <w:shd w:val="clear" w:color="auto" w:fill="auto"/>
            <w:vAlign w:val="center"/>
            <w:hideMark/>
          </w:tcPr>
          <w:p w14:paraId="13097122" w14:textId="77777777" w:rsidR="00D8365A" w:rsidRPr="00362517" w:rsidRDefault="00D8365A" w:rsidP="00BF6BC7">
            <w:pPr>
              <w:keepNext/>
              <w:rPr>
                <w:lang w:eastAsia="ko-KR"/>
              </w:rPr>
            </w:pPr>
            <w:r w:rsidRPr="00362517">
              <w:rPr>
                <w:lang w:eastAsia="ko-KR"/>
              </w:rPr>
              <w:t>Noncertified applying RUPs under the direct supervision</w:t>
            </w:r>
          </w:p>
        </w:tc>
        <w:tc>
          <w:tcPr>
            <w:tcW w:w="1481" w:type="pct"/>
            <w:tcBorders>
              <w:top w:val="nil"/>
              <w:left w:val="nil"/>
              <w:bottom w:val="single" w:sz="4" w:space="0" w:color="auto"/>
              <w:right w:val="single" w:sz="8" w:space="0" w:color="auto"/>
            </w:tcBorders>
            <w:shd w:val="clear" w:color="auto" w:fill="auto"/>
            <w:vAlign w:val="center"/>
            <w:hideMark/>
          </w:tcPr>
          <w:p w14:paraId="6C45D082" w14:textId="77777777" w:rsidR="00D8365A" w:rsidRPr="00362517" w:rsidRDefault="00D8365A" w:rsidP="00BF6BC7">
            <w:pPr>
              <w:keepNext/>
              <w:jc w:val="center"/>
              <w:rPr>
                <w:lang w:eastAsia="ko-KR"/>
              </w:rPr>
            </w:pPr>
            <w:r w:rsidRPr="00362517">
              <w:rPr>
                <w:lang w:eastAsia="ko-KR"/>
              </w:rPr>
              <w:t>$10.78</w:t>
            </w:r>
          </w:p>
        </w:tc>
        <w:tc>
          <w:tcPr>
            <w:tcW w:w="977" w:type="pct"/>
            <w:tcBorders>
              <w:top w:val="nil"/>
              <w:left w:val="nil"/>
              <w:bottom w:val="single" w:sz="4" w:space="0" w:color="auto"/>
              <w:right w:val="single" w:sz="8" w:space="0" w:color="auto"/>
            </w:tcBorders>
            <w:shd w:val="clear" w:color="auto" w:fill="auto"/>
            <w:vAlign w:val="center"/>
            <w:hideMark/>
          </w:tcPr>
          <w:p w14:paraId="4D5CFD0B" w14:textId="77777777" w:rsidR="00D8365A" w:rsidRPr="00362517" w:rsidRDefault="00D8365A" w:rsidP="00BF6BC7">
            <w:pPr>
              <w:keepNext/>
              <w:jc w:val="center"/>
              <w:rPr>
                <w:lang w:eastAsia="ko-KR"/>
              </w:rPr>
            </w:pPr>
            <w:r w:rsidRPr="00362517">
              <w:rPr>
                <w:lang w:eastAsia="ko-KR"/>
              </w:rPr>
              <w:t>$12.94</w:t>
            </w:r>
          </w:p>
        </w:tc>
        <w:tc>
          <w:tcPr>
            <w:tcW w:w="977" w:type="pct"/>
            <w:tcBorders>
              <w:top w:val="nil"/>
              <w:left w:val="nil"/>
              <w:bottom w:val="single" w:sz="4" w:space="0" w:color="auto"/>
              <w:right w:val="single" w:sz="4" w:space="0" w:color="auto"/>
            </w:tcBorders>
            <w:shd w:val="clear" w:color="auto" w:fill="auto"/>
            <w:vAlign w:val="center"/>
            <w:hideMark/>
          </w:tcPr>
          <w:p w14:paraId="0364658B" w14:textId="77777777" w:rsidR="00D8365A" w:rsidRPr="00362517" w:rsidRDefault="00D8365A" w:rsidP="00BF6BC7">
            <w:pPr>
              <w:keepNext/>
              <w:jc w:val="center"/>
              <w:rPr>
                <w:lang w:eastAsia="ko-KR"/>
              </w:rPr>
            </w:pPr>
            <w:r w:rsidRPr="00362517">
              <w:rPr>
                <w:lang w:eastAsia="ko-KR"/>
              </w:rPr>
              <w:t>$21.56</w:t>
            </w:r>
          </w:p>
        </w:tc>
      </w:tr>
    </w:tbl>
    <w:p w14:paraId="12A0A7B6" w14:textId="77777777" w:rsidR="00D8365A" w:rsidRPr="00362517" w:rsidRDefault="00D8365A" w:rsidP="00BF6BC7">
      <w:pPr>
        <w:pStyle w:val="Source"/>
        <w:keepNext/>
        <w:spacing w:after="0"/>
        <w:ind w:left="720" w:hanging="720"/>
      </w:pPr>
      <w:r w:rsidRPr="00362517">
        <w:t>Source: BLS 2016a.</w:t>
      </w:r>
    </w:p>
    <w:p w14:paraId="384EAEDC" w14:textId="77777777" w:rsidR="00D8365A" w:rsidRPr="00362517" w:rsidRDefault="00D8365A" w:rsidP="00BF6BC7"/>
    <w:p w14:paraId="3D96FB2C" w14:textId="77777777" w:rsidR="00D8365A" w:rsidRPr="00362517" w:rsidRDefault="00D8365A" w:rsidP="00BF6BC7">
      <w:pPr>
        <w:rPr>
          <w:i/>
        </w:rPr>
      </w:pPr>
      <w:r w:rsidRPr="00362517">
        <w:rPr>
          <w:i/>
        </w:rPr>
        <w:t>Wage rates for state employees</w:t>
      </w:r>
    </w:p>
    <w:p w14:paraId="642EAB3D" w14:textId="77777777" w:rsidR="00D8365A" w:rsidRPr="00362517" w:rsidRDefault="00D8365A" w:rsidP="00BF6BC7"/>
    <w:p w14:paraId="6D6C1E58" w14:textId="77777777" w:rsidR="00D8365A" w:rsidRPr="00362517" w:rsidRDefault="00D8365A" w:rsidP="00BF6BC7">
      <w:pPr>
        <w:pStyle w:val="BodyText"/>
      </w:pPr>
      <w:r w:rsidRPr="00362517">
        <w:t>Wage rates for state implementation costs are organized into three groups: Senior Technical, Junior Technical, and Clerical.  Unloaded wage rates for these three groups are obtained from BLS (BLS, 2016a) for 11-0000, Management Occupations; 19-0000, Life, Physical, and Social Science Occupations; and 43-0000, Office and Administrative Support Occupations, respectively.  We then load the unloaded wage rates with benefit rate of 46.3% to obtain loaded wages.  Table 3.3-12 presents the wage rates for each group of state costs.</w:t>
      </w:r>
    </w:p>
    <w:p w14:paraId="67D51858" w14:textId="77777777" w:rsidR="00D8365A" w:rsidRPr="00362517" w:rsidRDefault="00D8365A" w:rsidP="00BF6BC7"/>
    <w:p w14:paraId="7513C3E7" w14:textId="77777777" w:rsidR="00D8365A" w:rsidRPr="00362517" w:rsidRDefault="00D8365A" w:rsidP="00BF6BC7">
      <w:pPr>
        <w:pStyle w:val="Caption"/>
      </w:pPr>
      <w:r w:rsidRPr="00362517">
        <w:t>Table 3.3-12:</w:t>
      </w:r>
      <w:r w:rsidRPr="00362517">
        <w:tab/>
        <w:t>Wage Rates for State Costs</w:t>
      </w:r>
    </w:p>
    <w:tbl>
      <w:tblPr>
        <w:tblW w:w="9360" w:type="dxa"/>
        <w:tblBorders>
          <w:top w:val="single" w:sz="8" w:space="0" w:color="auto"/>
          <w:left w:val="single" w:sz="8" w:space="0" w:color="auto"/>
          <w:bottom w:val="single" w:sz="12" w:space="0" w:color="auto"/>
          <w:right w:val="single" w:sz="8" w:space="0" w:color="auto"/>
          <w:insideH w:val="single" w:sz="2" w:space="0" w:color="auto"/>
          <w:insideV w:val="single" w:sz="2" w:space="0" w:color="auto"/>
        </w:tblBorders>
        <w:tblLook w:val="01E0" w:firstRow="1" w:lastRow="1" w:firstColumn="1" w:lastColumn="1" w:noHBand="0" w:noVBand="0"/>
      </w:tblPr>
      <w:tblGrid>
        <w:gridCol w:w="2892"/>
        <w:gridCol w:w="2156"/>
        <w:gridCol w:w="2156"/>
        <w:gridCol w:w="2156"/>
      </w:tblGrid>
      <w:tr w:rsidR="00D8365A" w:rsidRPr="00362517" w14:paraId="7E74576C" w14:textId="77777777" w:rsidTr="007A2164">
        <w:trPr>
          <w:trHeight w:val="255"/>
        </w:trPr>
        <w:tc>
          <w:tcPr>
            <w:tcW w:w="2892" w:type="dxa"/>
            <w:tcBorders>
              <w:top w:val="single" w:sz="8" w:space="0" w:color="auto"/>
              <w:left w:val="single" w:sz="8" w:space="0" w:color="auto"/>
              <w:bottom w:val="double" w:sz="4" w:space="0" w:color="auto"/>
              <w:right w:val="single" w:sz="2" w:space="0" w:color="auto"/>
            </w:tcBorders>
            <w:noWrap/>
          </w:tcPr>
          <w:p w14:paraId="124F7041" w14:textId="77777777" w:rsidR="00D8365A" w:rsidRPr="00362517" w:rsidRDefault="00D8365A" w:rsidP="00BF6BC7">
            <w:pPr>
              <w:keepNext/>
              <w:keepLines/>
            </w:pPr>
          </w:p>
        </w:tc>
        <w:tc>
          <w:tcPr>
            <w:tcW w:w="2156" w:type="dxa"/>
            <w:tcBorders>
              <w:top w:val="single" w:sz="8" w:space="0" w:color="auto"/>
              <w:left w:val="single" w:sz="2" w:space="0" w:color="auto"/>
              <w:bottom w:val="double" w:sz="4" w:space="0" w:color="auto"/>
              <w:right w:val="single" w:sz="2" w:space="0" w:color="auto"/>
            </w:tcBorders>
            <w:vAlign w:val="bottom"/>
            <w:hideMark/>
          </w:tcPr>
          <w:p w14:paraId="0C92207E" w14:textId="77777777" w:rsidR="00D8365A" w:rsidRPr="00362517" w:rsidRDefault="00D8365A" w:rsidP="00BF6BC7">
            <w:pPr>
              <w:keepNext/>
              <w:keepLines/>
              <w:jc w:val="center"/>
            </w:pPr>
            <w:r w:rsidRPr="00362517">
              <w:t>Senior Technical</w:t>
            </w:r>
          </w:p>
        </w:tc>
        <w:tc>
          <w:tcPr>
            <w:tcW w:w="2156" w:type="dxa"/>
            <w:tcBorders>
              <w:top w:val="single" w:sz="8" w:space="0" w:color="auto"/>
              <w:left w:val="single" w:sz="2" w:space="0" w:color="auto"/>
              <w:bottom w:val="double" w:sz="4" w:space="0" w:color="auto"/>
              <w:right w:val="single" w:sz="2" w:space="0" w:color="auto"/>
            </w:tcBorders>
            <w:vAlign w:val="bottom"/>
            <w:hideMark/>
          </w:tcPr>
          <w:p w14:paraId="5CF5420F" w14:textId="77777777" w:rsidR="00D8365A" w:rsidRPr="00362517" w:rsidRDefault="00D8365A" w:rsidP="00BF6BC7">
            <w:pPr>
              <w:keepNext/>
              <w:keepLines/>
              <w:jc w:val="center"/>
            </w:pPr>
            <w:r w:rsidRPr="00362517">
              <w:t>Junior Technical</w:t>
            </w:r>
          </w:p>
        </w:tc>
        <w:tc>
          <w:tcPr>
            <w:tcW w:w="2156" w:type="dxa"/>
            <w:tcBorders>
              <w:top w:val="single" w:sz="8" w:space="0" w:color="auto"/>
              <w:left w:val="single" w:sz="2" w:space="0" w:color="auto"/>
              <w:bottom w:val="double" w:sz="4" w:space="0" w:color="auto"/>
              <w:right w:val="single" w:sz="8" w:space="0" w:color="auto"/>
            </w:tcBorders>
            <w:vAlign w:val="bottom"/>
            <w:hideMark/>
          </w:tcPr>
          <w:p w14:paraId="47F433CF" w14:textId="77777777" w:rsidR="00D8365A" w:rsidRPr="00362517" w:rsidRDefault="00D8365A" w:rsidP="00BF6BC7">
            <w:pPr>
              <w:keepNext/>
              <w:keepLines/>
              <w:jc w:val="center"/>
            </w:pPr>
            <w:r w:rsidRPr="00362517">
              <w:t>Clerical</w:t>
            </w:r>
          </w:p>
        </w:tc>
      </w:tr>
      <w:tr w:rsidR="00D8365A" w:rsidRPr="00362517" w14:paraId="2C411DB6" w14:textId="77777777" w:rsidTr="007A2164">
        <w:trPr>
          <w:trHeight w:val="269"/>
        </w:trPr>
        <w:tc>
          <w:tcPr>
            <w:tcW w:w="2892" w:type="dxa"/>
            <w:tcBorders>
              <w:top w:val="single" w:sz="2" w:space="0" w:color="auto"/>
              <w:left w:val="single" w:sz="8" w:space="0" w:color="auto"/>
              <w:bottom w:val="single" w:sz="2" w:space="0" w:color="auto"/>
              <w:right w:val="single" w:sz="2" w:space="0" w:color="auto"/>
            </w:tcBorders>
            <w:vAlign w:val="center"/>
            <w:hideMark/>
          </w:tcPr>
          <w:p w14:paraId="504AD886" w14:textId="77777777" w:rsidR="00D8365A" w:rsidRPr="00362517" w:rsidRDefault="00D8365A" w:rsidP="00BF6BC7">
            <w:pPr>
              <w:keepNext/>
              <w:keepLines/>
            </w:pPr>
            <w:r w:rsidRPr="00362517">
              <w:t>Unloaded Wage Rate ($/hour)</w:t>
            </w:r>
          </w:p>
        </w:tc>
        <w:tc>
          <w:tcPr>
            <w:tcW w:w="2156" w:type="dxa"/>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6261641F" w14:textId="77777777" w:rsidR="00D8365A" w:rsidRPr="00362517" w:rsidRDefault="00D8365A" w:rsidP="00BF6BC7">
            <w:pPr>
              <w:keepNext/>
              <w:keepLines/>
              <w:jc w:val="center"/>
            </w:pPr>
            <w:r w:rsidRPr="00362517">
              <w:t>40.88</w:t>
            </w:r>
          </w:p>
        </w:tc>
        <w:tc>
          <w:tcPr>
            <w:tcW w:w="2156" w:type="dxa"/>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4D4AD220" w14:textId="77777777" w:rsidR="00D8365A" w:rsidRPr="00362517" w:rsidRDefault="00D8365A" w:rsidP="00BF6BC7">
            <w:pPr>
              <w:keepNext/>
              <w:keepLines/>
              <w:jc w:val="center"/>
            </w:pPr>
            <w:r w:rsidRPr="00362517">
              <w:t>27.80</w:t>
            </w:r>
          </w:p>
        </w:tc>
        <w:tc>
          <w:tcPr>
            <w:tcW w:w="2156" w:type="dxa"/>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4A6BFFCC" w14:textId="77777777" w:rsidR="00D8365A" w:rsidRPr="00362517" w:rsidRDefault="00D8365A" w:rsidP="00BF6BC7">
            <w:pPr>
              <w:keepNext/>
              <w:keepLines/>
              <w:jc w:val="center"/>
            </w:pPr>
            <w:r w:rsidRPr="00362517">
              <w:t>19.17</w:t>
            </w:r>
          </w:p>
        </w:tc>
      </w:tr>
      <w:tr w:rsidR="00D8365A" w:rsidRPr="00362517" w14:paraId="2F6CBC8A" w14:textId="77777777" w:rsidTr="007A2164">
        <w:trPr>
          <w:trHeight w:val="269"/>
        </w:trPr>
        <w:tc>
          <w:tcPr>
            <w:tcW w:w="2892" w:type="dxa"/>
            <w:tcBorders>
              <w:top w:val="single" w:sz="2" w:space="0" w:color="auto"/>
              <w:left w:val="single" w:sz="8" w:space="0" w:color="auto"/>
              <w:bottom w:val="single" w:sz="2" w:space="0" w:color="auto"/>
              <w:right w:val="single" w:sz="2" w:space="0" w:color="auto"/>
            </w:tcBorders>
            <w:vAlign w:val="center"/>
            <w:hideMark/>
          </w:tcPr>
          <w:p w14:paraId="591D9879" w14:textId="77777777" w:rsidR="00D8365A" w:rsidRPr="00362517" w:rsidRDefault="00D8365A" w:rsidP="00BF6BC7">
            <w:pPr>
              <w:keepNext/>
              <w:keepLines/>
            </w:pPr>
            <w:r w:rsidRPr="00362517">
              <w:t>Benefits Factor</w:t>
            </w:r>
          </w:p>
        </w:tc>
        <w:tc>
          <w:tcPr>
            <w:tcW w:w="2156" w:type="dxa"/>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5F6F2D20" w14:textId="77777777" w:rsidR="00D8365A" w:rsidRPr="00362517" w:rsidRDefault="00D8365A" w:rsidP="00BF6BC7">
            <w:pPr>
              <w:keepNext/>
              <w:keepLines/>
              <w:jc w:val="center"/>
            </w:pPr>
            <w:r w:rsidRPr="00362517">
              <w:t>1.463</w:t>
            </w:r>
          </w:p>
        </w:tc>
        <w:tc>
          <w:tcPr>
            <w:tcW w:w="2156" w:type="dxa"/>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4723164B" w14:textId="77777777" w:rsidR="00D8365A" w:rsidRPr="00362517" w:rsidRDefault="00D8365A" w:rsidP="00BF6BC7">
            <w:pPr>
              <w:keepNext/>
              <w:keepLines/>
              <w:jc w:val="center"/>
            </w:pPr>
            <w:r w:rsidRPr="00362517">
              <w:t>1.463</w:t>
            </w:r>
          </w:p>
        </w:tc>
        <w:tc>
          <w:tcPr>
            <w:tcW w:w="2156" w:type="dxa"/>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281B03C7" w14:textId="77777777" w:rsidR="00D8365A" w:rsidRPr="00362517" w:rsidRDefault="00D8365A" w:rsidP="00BF6BC7">
            <w:pPr>
              <w:keepNext/>
              <w:keepLines/>
              <w:jc w:val="center"/>
            </w:pPr>
            <w:r w:rsidRPr="00362517">
              <w:t>1.463</w:t>
            </w:r>
          </w:p>
        </w:tc>
      </w:tr>
      <w:tr w:rsidR="00D8365A" w:rsidRPr="00362517" w14:paraId="7294FD9A" w14:textId="77777777" w:rsidTr="007A2164">
        <w:trPr>
          <w:trHeight w:val="269"/>
        </w:trPr>
        <w:tc>
          <w:tcPr>
            <w:tcW w:w="2892" w:type="dxa"/>
            <w:tcBorders>
              <w:top w:val="single" w:sz="2" w:space="0" w:color="auto"/>
              <w:left w:val="single" w:sz="8" w:space="0" w:color="auto"/>
              <w:bottom w:val="single" w:sz="12" w:space="0" w:color="auto"/>
              <w:right w:val="single" w:sz="2" w:space="0" w:color="auto"/>
            </w:tcBorders>
            <w:vAlign w:val="center"/>
            <w:hideMark/>
          </w:tcPr>
          <w:p w14:paraId="7989CC67" w14:textId="77777777" w:rsidR="00D8365A" w:rsidRPr="00362517" w:rsidRDefault="00D8365A" w:rsidP="00BF6BC7">
            <w:pPr>
              <w:keepNext/>
              <w:keepLines/>
            </w:pPr>
            <w:r w:rsidRPr="00362517">
              <w:t>Loaded Wage Rates ($/hour)</w:t>
            </w:r>
          </w:p>
        </w:tc>
        <w:tc>
          <w:tcPr>
            <w:tcW w:w="2156" w:type="dxa"/>
            <w:tcBorders>
              <w:top w:val="single" w:sz="2" w:space="0" w:color="auto"/>
              <w:left w:val="single" w:sz="2" w:space="0" w:color="auto"/>
              <w:bottom w:val="single" w:sz="12" w:space="0" w:color="auto"/>
              <w:right w:val="single" w:sz="2" w:space="0" w:color="auto"/>
            </w:tcBorders>
            <w:tcMar>
              <w:left w:w="115" w:type="dxa"/>
              <w:right w:w="288" w:type="dxa"/>
            </w:tcMar>
            <w:vAlign w:val="center"/>
            <w:hideMark/>
          </w:tcPr>
          <w:p w14:paraId="36737631" w14:textId="77777777" w:rsidR="00D8365A" w:rsidRPr="00362517" w:rsidRDefault="00D8365A" w:rsidP="00BF6BC7">
            <w:pPr>
              <w:keepNext/>
              <w:keepLines/>
              <w:jc w:val="center"/>
            </w:pPr>
            <w:r w:rsidRPr="00362517">
              <w:t>59.81</w:t>
            </w:r>
          </w:p>
        </w:tc>
        <w:tc>
          <w:tcPr>
            <w:tcW w:w="2156" w:type="dxa"/>
            <w:tcBorders>
              <w:top w:val="single" w:sz="2" w:space="0" w:color="auto"/>
              <w:left w:val="single" w:sz="2" w:space="0" w:color="auto"/>
              <w:bottom w:val="single" w:sz="12" w:space="0" w:color="auto"/>
              <w:right w:val="single" w:sz="2" w:space="0" w:color="auto"/>
            </w:tcBorders>
            <w:tcMar>
              <w:left w:w="115" w:type="dxa"/>
              <w:right w:w="288" w:type="dxa"/>
            </w:tcMar>
            <w:vAlign w:val="center"/>
            <w:hideMark/>
          </w:tcPr>
          <w:p w14:paraId="068A0980" w14:textId="77777777" w:rsidR="00D8365A" w:rsidRPr="00362517" w:rsidRDefault="00D8365A" w:rsidP="00BF6BC7">
            <w:pPr>
              <w:keepNext/>
              <w:keepLines/>
              <w:jc w:val="center"/>
            </w:pPr>
            <w:r w:rsidRPr="00362517">
              <w:t>40.68</w:t>
            </w:r>
          </w:p>
        </w:tc>
        <w:tc>
          <w:tcPr>
            <w:tcW w:w="2156" w:type="dxa"/>
            <w:tcBorders>
              <w:top w:val="single" w:sz="2" w:space="0" w:color="auto"/>
              <w:left w:val="single" w:sz="2" w:space="0" w:color="auto"/>
              <w:bottom w:val="single" w:sz="12" w:space="0" w:color="auto"/>
              <w:right w:val="single" w:sz="8" w:space="0" w:color="auto"/>
            </w:tcBorders>
            <w:tcMar>
              <w:left w:w="115" w:type="dxa"/>
              <w:right w:w="288" w:type="dxa"/>
            </w:tcMar>
            <w:vAlign w:val="center"/>
            <w:hideMark/>
          </w:tcPr>
          <w:p w14:paraId="789B22DA" w14:textId="77777777" w:rsidR="00D8365A" w:rsidRPr="00362517" w:rsidRDefault="00D8365A" w:rsidP="00BF6BC7">
            <w:pPr>
              <w:keepNext/>
              <w:keepLines/>
              <w:jc w:val="center"/>
            </w:pPr>
            <w:r w:rsidRPr="00362517">
              <w:t>28.05</w:t>
            </w:r>
          </w:p>
        </w:tc>
      </w:tr>
    </w:tbl>
    <w:p w14:paraId="58D1F940" w14:textId="77777777" w:rsidR="00D8365A" w:rsidRPr="00362517" w:rsidRDefault="00D8365A" w:rsidP="00BF6BC7">
      <w:pPr>
        <w:pStyle w:val="Source"/>
        <w:keepNext/>
        <w:keepLines/>
        <w:spacing w:after="0"/>
        <w:ind w:left="720" w:hanging="720"/>
      </w:pPr>
      <w:r w:rsidRPr="00362517">
        <w:t>Source: Unloaded wage rates and benefits factors are obtained from BLS Employer Costs for Employee Compensation - May 2014 (BLS, 2016a)).</w:t>
      </w:r>
      <w:r w:rsidRPr="00362517" w:rsidDel="007B5507">
        <w:t xml:space="preserve"> </w:t>
      </w:r>
    </w:p>
    <w:p w14:paraId="0A53F348" w14:textId="77777777" w:rsidR="00D8365A" w:rsidRPr="00362517" w:rsidRDefault="00D8365A" w:rsidP="00BF6BC7">
      <w:pPr>
        <w:pStyle w:val="Source"/>
        <w:keepNext/>
        <w:keepLines/>
        <w:spacing w:after="0"/>
        <w:ind w:left="720" w:hanging="720"/>
      </w:pPr>
    </w:p>
    <w:bookmarkEnd w:id="159"/>
    <w:p w14:paraId="51A8BB44" w14:textId="77777777" w:rsidR="00D8365A" w:rsidRPr="00362517" w:rsidRDefault="00D8365A" w:rsidP="00BF6BC7">
      <w:pPr>
        <w:pStyle w:val="BodyText"/>
      </w:pPr>
    </w:p>
    <w:p w14:paraId="5124FCB0" w14:textId="4139FF07" w:rsidR="00D8365A" w:rsidRPr="00362517" w:rsidRDefault="00D8365A" w:rsidP="00BF6BC7">
      <w:pPr>
        <w:pStyle w:val="Heading2"/>
        <w:rPr>
          <w:b w:val="0"/>
        </w:rPr>
      </w:pPr>
      <w:bookmarkStart w:id="165" w:name="_Toc283126895"/>
      <w:bookmarkStart w:id="166" w:name="_Ref282769710"/>
      <w:bookmarkStart w:id="167" w:name="_Toc310953805"/>
      <w:bookmarkStart w:id="168" w:name="_Toc395177710"/>
      <w:bookmarkStart w:id="169" w:name="_Toc395788107"/>
      <w:bookmarkStart w:id="170" w:name="_Toc396483163"/>
      <w:bookmarkStart w:id="171" w:name="_Toc452020144"/>
      <w:bookmarkStart w:id="172" w:name="_Toc456270167"/>
      <w:bookmarkStart w:id="173" w:name="_Toc468872083"/>
      <w:bookmarkStart w:id="174" w:name="OLE_LINK15"/>
      <w:r w:rsidRPr="00362517">
        <w:t>3.4</w:t>
      </w:r>
      <w:r w:rsidRPr="00362517">
        <w:tab/>
      </w:r>
      <w:bookmarkEnd w:id="165"/>
      <w:bookmarkEnd w:id="166"/>
      <w:r w:rsidRPr="00362517">
        <w:t xml:space="preserve">Cost of Final </w:t>
      </w:r>
      <w:bookmarkEnd w:id="167"/>
      <w:bookmarkEnd w:id="168"/>
      <w:bookmarkEnd w:id="169"/>
      <w:bookmarkEnd w:id="170"/>
      <w:r w:rsidRPr="00362517">
        <w:t>Requirements</w:t>
      </w:r>
      <w:bookmarkEnd w:id="171"/>
      <w:bookmarkEnd w:id="172"/>
      <w:bookmarkEnd w:id="173"/>
      <w:r w:rsidRPr="00362517">
        <w:t xml:space="preserve"> </w:t>
      </w:r>
    </w:p>
    <w:p w14:paraId="12FED5BD" w14:textId="77777777" w:rsidR="00D8365A" w:rsidRPr="00362517" w:rsidRDefault="00D8365A" w:rsidP="00BF6BC7"/>
    <w:bookmarkEnd w:id="174"/>
    <w:p w14:paraId="555A796B" w14:textId="77777777" w:rsidR="00D8365A" w:rsidRPr="00362517" w:rsidRDefault="00D8365A" w:rsidP="00BF6BC7">
      <w:pPr>
        <w:pStyle w:val="BodyText"/>
      </w:pPr>
      <w:r w:rsidRPr="00362517">
        <w:t xml:space="preserve">This section provides EPA’s cost estimates for the final requirements.  Cost estimates are presented in tabular format, with a brief description.  Details on the calculation method, data, and assumptions are provided in Appendix A.  </w:t>
      </w:r>
    </w:p>
    <w:p w14:paraId="0AF0DBD6" w14:textId="77777777" w:rsidR="00D8365A" w:rsidRPr="00362517" w:rsidRDefault="00D8365A" w:rsidP="00BF6BC7"/>
    <w:p w14:paraId="552E4BAD" w14:textId="77777777" w:rsidR="00D8365A" w:rsidRPr="00362517" w:rsidRDefault="00D8365A" w:rsidP="00BF6BC7">
      <w:pPr>
        <w:pStyle w:val="BodyText"/>
      </w:pPr>
      <w:r w:rsidRPr="00362517">
        <w:t>The primary group affected by the final rule are commercial and private applicators, including those obtaining certification for the first time.  These applicators may be owners of farms or commercial pest control firms or their employees.  Other commercial and government entities may also hire commercial applicators to apply RUPs.  Pesticide dealers and registrants are also impacted by the final requirements. State governments are required by the final rule to implement the changes by changing state regulations and state certification plans and to carry out many of the activities under the final requirements including training, administering exams, and development of training and examination materials.</w:t>
      </w:r>
    </w:p>
    <w:p w14:paraId="6C1A08C2" w14:textId="77777777" w:rsidR="00D8365A" w:rsidRPr="00362517" w:rsidRDefault="00D8365A" w:rsidP="00BF6BC7">
      <w:pPr>
        <w:pStyle w:val="BodyText"/>
      </w:pPr>
    </w:p>
    <w:p w14:paraId="3DCEDD4F" w14:textId="77777777" w:rsidR="00D8365A" w:rsidRPr="00362517" w:rsidRDefault="00D8365A" w:rsidP="00BF6BC7">
      <w:pPr>
        <w:pStyle w:val="BodyText"/>
      </w:pPr>
      <w:r w:rsidRPr="00362517">
        <w:t>This analysis assumes that states and other jurisdictions will take two years to update their certification programs after which certified applicators must meet the new requirements.  As a result, most costs for the certified applicators start in Year 3 of the analysis.  Costs incurred before Year 3 include state costs to rewrite regulations, work changes through their legislatures, develop training programs and examination materials, and to revise tracking databases that maintain applicators’ certification/recertification status.  This analysis assumes a significantly shorter implementation period than the rule requires.  The rule allows certifying authorities up to three years to revise their plans, and gives EPA two years to approve those plans.  However, it is unlikely that actual implementation will take that long in all jurisdictions.  The assumption of two years before the requirements take effect for the purpose of deriving cost estimates is to avoid underestimating costs over the ten-year time horizon.</w:t>
      </w:r>
    </w:p>
    <w:p w14:paraId="440CE9A7" w14:textId="77777777" w:rsidR="00D8365A" w:rsidRPr="00362517" w:rsidRDefault="00D8365A" w:rsidP="00BF6BC7"/>
    <w:p w14:paraId="3E6C9039" w14:textId="77777777" w:rsidR="00D8365A" w:rsidRPr="00362517" w:rsidRDefault="00D8365A" w:rsidP="00BF6BC7">
      <w:pPr>
        <w:pStyle w:val="BodyText"/>
      </w:pPr>
      <w:r w:rsidRPr="00362517">
        <w:t>Below, we provide a brief summary of the cost of each final requirement in tabular form by affected entity for each area of the final rule.  The cost estimates presented in these tables are the present value of the cost over the ten-year time horizon and provide national level costs considering the jurisdiction baselines (NC</w:t>
      </w:r>
      <w:r w:rsidRPr="00362517">
        <w:rPr>
          <w:vertAlign w:val="superscript"/>
        </w:rPr>
        <w:t>B</w:t>
      </w:r>
      <w:r w:rsidRPr="00362517">
        <w:t>) and national level costs for the final requirements (NC</w:t>
      </w:r>
      <w:r w:rsidRPr="00362517">
        <w:rPr>
          <w:vertAlign w:val="superscript"/>
        </w:rPr>
        <w:t>P</w:t>
      </w:r>
      <w:r w:rsidRPr="00362517">
        <w:t xml:space="preserve">).  This is followed by the national level incremental costs (NIC) from the national level cost for the final requirement to the current national level cost of the jurisdiction baseline.  Tables are followed by a brief description of the costs of the final requirements.    </w:t>
      </w:r>
    </w:p>
    <w:p w14:paraId="65E5AB67" w14:textId="77777777" w:rsidR="00D8365A" w:rsidRPr="00362517" w:rsidRDefault="00D8365A" w:rsidP="00BF6BC7"/>
    <w:p w14:paraId="36ED804F" w14:textId="77777777" w:rsidR="00D8365A" w:rsidRPr="00362517" w:rsidRDefault="00D8365A" w:rsidP="00BF6BC7">
      <w:pPr>
        <w:pStyle w:val="BodyText"/>
      </w:pPr>
      <w:r w:rsidRPr="00362517">
        <w:t xml:space="preserve">Industry (i.e., commercial and private applicators) and state costs are presented together for each final requirement.  </w:t>
      </w:r>
    </w:p>
    <w:p w14:paraId="50603422" w14:textId="77777777" w:rsidR="00D8365A" w:rsidRPr="00362517" w:rsidRDefault="00D8365A" w:rsidP="00BF6BC7">
      <w:pPr>
        <w:pStyle w:val="BodyText"/>
      </w:pPr>
    </w:p>
    <w:p w14:paraId="15BCE99A" w14:textId="77777777" w:rsidR="00D8365A" w:rsidRPr="00362517" w:rsidRDefault="00D8365A" w:rsidP="00BF6BC7">
      <w:pPr>
        <w:pStyle w:val="BodyText"/>
      </w:pPr>
      <w:r w:rsidRPr="00362517">
        <w:t>The section is organized as:</w:t>
      </w:r>
    </w:p>
    <w:p w14:paraId="0B5A65FB" w14:textId="77777777" w:rsidR="00D8365A" w:rsidRPr="00362517" w:rsidRDefault="00D8365A" w:rsidP="00BF6BC7">
      <w:pPr>
        <w:pStyle w:val="BodyText"/>
      </w:pPr>
    </w:p>
    <w:p w14:paraId="26070808" w14:textId="77777777" w:rsidR="00D8365A" w:rsidRPr="00362517" w:rsidRDefault="00D8365A" w:rsidP="00BF6BC7">
      <w:pPr>
        <w:pStyle w:val="BodyText"/>
      </w:pPr>
      <w:r w:rsidRPr="00362517">
        <w:t xml:space="preserve">3.4.1 -- Enhancement of Private Applicator Competency Standards; </w:t>
      </w:r>
    </w:p>
    <w:p w14:paraId="76CBD712" w14:textId="77777777" w:rsidR="00D8365A" w:rsidRPr="00362517" w:rsidRDefault="00D8365A" w:rsidP="00BF6BC7">
      <w:pPr>
        <w:pStyle w:val="BodyText"/>
      </w:pPr>
      <w:r w:rsidRPr="00362517">
        <w:t xml:space="preserve">3.4.2 -- Additional Categories; </w:t>
      </w:r>
    </w:p>
    <w:p w14:paraId="0506C847" w14:textId="77777777" w:rsidR="00D8365A" w:rsidRPr="00362517" w:rsidRDefault="00D8365A" w:rsidP="00BF6BC7">
      <w:pPr>
        <w:pStyle w:val="BodyText"/>
      </w:pPr>
      <w:r w:rsidRPr="00362517">
        <w:t xml:space="preserve">3.4.3 -- Examination and Alternate Certification Method Security Standards for Commercial and Private Applicators; </w:t>
      </w:r>
    </w:p>
    <w:p w14:paraId="703DED49" w14:textId="77777777" w:rsidR="00D8365A" w:rsidRPr="00362517" w:rsidRDefault="00D8365A" w:rsidP="00BF6BC7">
      <w:pPr>
        <w:pStyle w:val="BodyText"/>
      </w:pPr>
      <w:r w:rsidRPr="00362517">
        <w:t xml:space="preserve">3.4.4 -- Standards for Supervision of Noncertified Applicators Applying RUPs under the Direct Supervision of Certified Applicators, Levels of Supervision, and Provisions for Commercial Applicator Recordkeeping of Applicator Training for Noncertified Applicators Applying RUPs under the Direct Supervision of Certified Applicators; </w:t>
      </w:r>
    </w:p>
    <w:p w14:paraId="12C4EAC8" w14:textId="77777777" w:rsidR="00D8365A" w:rsidRPr="00362517" w:rsidRDefault="00D8365A" w:rsidP="00BF6BC7">
      <w:pPr>
        <w:pStyle w:val="BodyText"/>
      </w:pPr>
      <w:r w:rsidRPr="00362517">
        <w:t xml:space="preserve">3.4.5 -- Age Requirements for Certified Applicators and Noncertified Applicators Applying RUPs under the Direct Supervision of Certified Applicators; </w:t>
      </w:r>
    </w:p>
    <w:p w14:paraId="276FA571" w14:textId="77777777" w:rsidR="00D8365A" w:rsidRPr="00362517" w:rsidRDefault="00D8365A" w:rsidP="00BF6BC7">
      <w:pPr>
        <w:pStyle w:val="BodyText"/>
      </w:pPr>
      <w:r w:rsidRPr="00362517">
        <w:t xml:space="preserve">3.4.6 -- Standards for Recertification of Certified applicators; </w:t>
      </w:r>
    </w:p>
    <w:p w14:paraId="012AAF08" w14:textId="77777777" w:rsidR="00D8365A" w:rsidRPr="00362517" w:rsidRDefault="00D8365A" w:rsidP="00BF6BC7">
      <w:pPr>
        <w:pStyle w:val="BodyText"/>
      </w:pPr>
      <w:r w:rsidRPr="00362517">
        <w:t xml:space="preserve">3.4.7 -- Requirements for Submission, Approval and Maintenance of State Certification Plans, and Federal Agency Certification Plans, Tribal Certification Plans, and EPA-Administered Federal Certification Plans.  </w:t>
      </w:r>
    </w:p>
    <w:p w14:paraId="5D896440" w14:textId="77777777" w:rsidR="00D8365A" w:rsidRPr="00362517" w:rsidRDefault="00D8365A" w:rsidP="00BF6BC7">
      <w:pPr>
        <w:pStyle w:val="BodyText"/>
      </w:pPr>
    </w:p>
    <w:p w14:paraId="7AD7DABE" w14:textId="77777777" w:rsidR="00D8365A" w:rsidRPr="00362517" w:rsidRDefault="00D8365A" w:rsidP="00BF6BC7">
      <w:pPr>
        <w:pStyle w:val="BodyText"/>
      </w:pPr>
      <w:r w:rsidRPr="00362517">
        <w:t xml:space="preserve">There are essentially no cost interactions between the various components of the final rule, so estimated incremental costs of each component can be summed to estimate the total incremental cost of the final revisions, which are presented in Section 3.5.  </w:t>
      </w:r>
    </w:p>
    <w:p w14:paraId="45EF9B1E" w14:textId="77777777" w:rsidR="00D8365A" w:rsidRPr="00362517" w:rsidRDefault="00D8365A" w:rsidP="00BF6BC7"/>
    <w:p w14:paraId="141E9D8D" w14:textId="77777777" w:rsidR="00D8365A" w:rsidRPr="00362517" w:rsidRDefault="00D8365A" w:rsidP="00BF6BC7"/>
    <w:p w14:paraId="758EE0EB" w14:textId="77777777" w:rsidR="00D8365A" w:rsidRPr="00362517" w:rsidRDefault="00D8365A" w:rsidP="00BF6BC7">
      <w:pPr>
        <w:pStyle w:val="Heading3"/>
      </w:pPr>
      <w:bookmarkStart w:id="175" w:name="_Toc395788108"/>
      <w:bookmarkStart w:id="176" w:name="_Toc396483164"/>
      <w:bookmarkStart w:id="177" w:name="_Toc452020145"/>
      <w:bookmarkStart w:id="178" w:name="_Toc456270168"/>
      <w:bookmarkStart w:id="179" w:name="_Toc468872084"/>
      <w:bookmarkStart w:id="180" w:name="OLE_LINK30"/>
      <w:bookmarkStart w:id="181" w:name="OLE_LINK29"/>
      <w:bookmarkStart w:id="182" w:name="_Toc283126896"/>
      <w:r w:rsidRPr="00362517">
        <w:t>3.4.1</w:t>
      </w:r>
      <w:r w:rsidRPr="00362517">
        <w:tab/>
        <w:t>Enhancement of Private Applicator General Competency Standards</w:t>
      </w:r>
      <w:bookmarkEnd w:id="175"/>
      <w:bookmarkEnd w:id="176"/>
      <w:bookmarkEnd w:id="177"/>
      <w:bookmarkEnd w:id="178"/>
      <w:bookmarkEnd w:id="179"/>
      <w:r w:rsidRPr="00362517">
        <w:t xml:space="preserve"> </w:t>
      </w:r>
    </w:p>
    <w:bookmarkEnd w:id="180"/>
    <w:bookmarkEnd w:id="181"/>
    <w:p w14:paraId="05578824" w14:textId="77777777" w:rsidR="00D8365A" w:rsidRPr="00362517" w:rsidRDefault="00D8365A" w:rsidP="00BF6BC7"/>
    <w:p w14:paraId="0A0E8ECB" w14:textId="77777777" w:rsidR="00D8365A" w:rsidRPr="00362517" w:rsidRDefault="00D8365A" w:rsidP="00BF6BC7">
      <w:r w:rsidRPr="00362517">
        <w:t xml:space="preserve">The final requirements in this category will </w:t>
      </w:r>
      <w:bookmarkStart w:id="183" w:name="OLE_LINK134"/>
      <w:r w:rsidRPr="00362517">
        <w:t>enhance private applicator core competency standards and certification requirements to more clearly reflect the knowledge and skills needed by private applicators to apply restricted use pesticides (RUPs) safely and effectively</w:t>
      </w:r>
      <w:bookmarkEnd w:id="183"/>
      <w:r w:rsidRPr="00362517">
        <w:t xml:space="preserve">.  The current requirements for commercial applicator general competency are not being revised. </w:t>
      </w:r>
    </w:p>
    <w:p w14:paraId="6B88C0AF" w14:textId="77777777" w:rsidR="00D8365A" w:rsidRPr="00362517" w:rsidRDefault="00D8365A" w:rsidP="00BF6BC7"/>
    <w:p w14:paraId="7854E997" w14:textId="77777777" w:rsidR="00D8365A" w:rsidRPr="00362517" w:rsidRDefault="00D8365A" w:rsidP="00BF6BC7">
      <w:r w:rsidRPr="00362517">
        <w:t xml:space="preserve">Currently, private applicators must be certified as competent on five general topics: recognizing pests; reading and understanding labeling; applying pesticides in accordance with the labeling; recognizing environmental conditions and avoiding contamination; and recognizing poisoning symptoms and procedures to follow in the case of a pesticide accident.  </w:t>
      </w:r>
    </w:p>
    <w:p w14:paraId="6C9234F9" w14:textId="77777777" w:rsidR="00D8365A" w:rsidRPr="00362517" w:rsidRDefault="00D8365A" w:rsidP="00BF6BC7"/>
    <w:p w14:paraId="40071CAF" w14:textId="77777777" w:rsidR="00D8365A" w:rsidRPr="00362517" w:rsidRDefault="00D8365A" w:rsidP="00BF6BC7">
      <w:r w:rsidRPr="00362517">
        <w:t xml:space="preserve">The final rule requires that private applicators must demonstrate competency in the general core competency standards similar to those for commercial applicators (i.e., </w:t>
      </w:r>
      <w:r w:rsidRPr="00362517">
        <w:rPr>
          <w:bCs/>
        </w:rPr>
        <w:t xml:space="preserve">label and labeling comprehension; safety; environment; pests; pesticides; equipment; application techniques; laws and regulations; responsibilities for supervisors of noncertified applicators; stewardship) along with general knowledge of agricultural pest control.  See Unit VI.A of the preamble to the final rule for details and </w:t>
      </w:r>
      <w:r w:rsidRPr="00362517">
        <w:t>Chapter 2.2.1 for the reasons to place these requirements on applicators.</w:t>
      </w:r>
    </w:p>
    <w:p w14:paraId="6BE43286" w14:textId="77777777" w:rsidR="00D8365A" w:rsidRPr="00362517" w:rsidRDefault="00D8365A" w:rsidP="00BF6BC7"/>
    <w:p w14:paraId="2C732D6D" w14:textId="77777777" w:rsidR="00D8365A" w:rsidRPr="00362517" w:rsidRDefault="00D8365A" w:rsidP="00BF6BC7">
      <w:pPr>
        <w:pStyle w:val="BodyText"/>
      </w:pPr>
      <w:r w:rsidRPr="00362517">
        <w:t>The final revision will require persons seeking initial certification as private applicators to take a written exam or complete a training course.  Courses EPA has designed for tribal areas take about 12 hours, which is probably also reflective of the time spent preparing for and taking a written exam.  Private applicator incremental costs are $4.3 million annually.  See Table 3.4-1.  This is the highest cost requirement of the final revisions, but many certifying authorities currently have similar requirements and are in compliance as, high baseline costs indicate.</w:t>
      </w:r>
    </w:p>
    <w:p w14:paraId="59A2740E" w14:textId="77777777" w:rsidR="00D8365A" w:rsidRPr="00362517" w:rsidRDefault="00D8365A" w:rsidP="00BF6BC7"/>
    <w:p w14:paraId="484B2589" w14:textId="77777777" w:rsidR="00D8365A" w:rsidRPr="00362517" w:rsidRDefault="00D8365A" w:rsidP="00BF6BC7">
      <w:r w:rsidRPr="00362517">
        <w:t>Table 3.4-1 presents the national-level annualized costs for final requirement, baseline, and incremental cost for the affected parties.  The $4.3 million incremental costs for enhancing private applicator general competency standards is from only eight states (AR, GA, KY, MO, MT SD, TN, and WY).  These states have low costs in the baseline, so they face higher incremental costs.  The incremental costs to these states is 52% of the total cost of the rule.  Details on estimation method, data, and assumptions are provided in Appendix A.</w:t>
      </w:r>
    </w:p>
    <w:p w14:paraId="05EBDA8E" w14:textId="77777777" w:rsidR="00D8365A" w:rsidRPr="00362517" w:rsidRDefault="00D8365A" w:rsidP="00BF6BC7"/>
    <w:p w14:paraId="442C2EA3" w14:textId="77777777" w:rsidR="00D8365A" w:rsidRPr="00362517" w:rsidRDefault="00D8365A" w:rsidP="00BF6BC7">
      <w:pPr>
        <w:pStyle w:val="Caption"/>
      </w:pPr>
      <w:r w:rsidRPr="00362517">
        <w:t>Table 3.4-1: Annualized Costs of Enhancing Private Applicator General Competency Standards</w:t>
      </w:r>
      <w:r w:rsidRPr="00362517">
        <w:rPr>
          <w:vertAlign w:val="superscript"/>
        </w:rPr>
        <w:t>1</w:t>
      </w:r>
    </w:p>
    <w:tbl>
      <w:tblPr>
        <w:tblW w:w="5000" w:type="pct"/>
        <w:tblBorders>
          <w:top w:val="single" w:sz="8" w:space="0" w:color="auto"/>
          <w:left w:val="single" w:sz="8" w:space="0" w:color="auto"/>
          <w:bottom w:val="single" w:sz="12" w:space="0" w:color="auto"/>
          <w:right w:val="single" w:sz="8" w:space="0" w:color="auto"/>
          <w:insideH w:val="single" w:sz="2" w:space="0" w:color="auto"/>
          <w:insideV w:val="single" w:sz="2" w:space="0" w:color="auto"/>
        </w:tblBorders>
        <w:tblLook w:val="04A0" w:firstRow="1" w:lastRow="0" w:firstColumn="1" w:lastColumn="0" w:noHBand="0" w:noVBand="1"/>
      </w:tblPr>
      <w:tblGrid>
        <w:gridCol w:w="1860"/>
        <w:gridCol w:w="2568"/>
        <w:gridCol w:w="1353"/>
        <w:gridCol w:w="1830"/>
        <w:gridCol w:w="1729"/>
      </w:tblGrid>
      <w:tr w:rsidR="00D8365A" w:rsidRPr="00362517" w14:paraId="4574D26C" w14:textId="77777777" w:rsidTr="007A2164">
        <w:trPr>
          <w:cantSplit/>
          <w:tblHeader/>
        </w:trPr>
        <w:tc>
          <w:tcPr>
            <w:tcW w:w="996" w:type="pct"/>
            <w:tcBorders>
              <w:top w:val="single" w:sz="8" w:space="0" w:color="auto"/>
              <w:left w:val="single" w:sz="8" w:space="0" w:color="auto"/>
              <w:bottom w:val="double" w:sz="4" w:space="0" w:color="auto"/>
              <w:right w:val="single" w:sz="2" w:space="0" w:color="auto"/>
            </w:tcBorders>
            <w:vAlign w:val="bottom"/>
            <w:hideMark/>
          </w:tcPr>
          <w:p w14:paraId="6E05EDC4" w14:textId="77777777" w:rsidR="00D8365A" w:rsidRPr="00362517" w:rsidRDefault="00D8365A" w:rsidP="00BF6BC7">
            <w:pPr>
              <w:pStyle w:val="BodyText"/>
            </w:pPr>
            <w:bookmarkStart w:id="184" w:name="_Hlk285812407"/>
            <w:r w:rsidRPr="00362517">
              <w:rPr>
                <w:sz w:val="22"/>
                <w:szCs w:val="22"/>
              </w:rPr>
              <w:t>Final Requirement</w:t>
            </w:r>
          </w:p>
        </w:tc>
        <w:tc>
          <w:tcPr>
            <w:tcW w:w="1375" w:type="pct"/>
            <w:tcBorders>
              <w:top w:val="single" w:sz="8" w:space="0" w:color="auto"/>
              <w:left w:val="single" w:sz="2" w:space="0" w:color="auto"/>
              <w:bottom w:val="double" w:sz="4" w:space="0" w:color="auto"/>
              <w:right w:val="single" w:sz="2" w:space="0" w:color="auto"/>
            </w:tcBorders>
            <w:vAlign w:val="bottom"/>
            <w:hideMark/>
          </w:tcPr>
          <w:p w14:paraId="747F6E23" w14:textId="77777777" w:rsidR="00D8365A" w:rsidRPr="00362517" w:rsidRDefault="00D8365A" w:rsidP="00BF6BC7">
            <w:pPr>
              <w:pStyle w:val="BodyText"/>
            </w:pPr>
            <w:r w:rsidRPr="00362517">
              <w:rPr>
                <w:sz w:val="22"/>
                <w:szCs w:val="22"/>
              </w:rPr>
              <w:t>Type of Cost</w:t>
            </w:r>
          </w:p>
        </w:tc>
        <w:tc>
          <w:tcPr>
            <w:tcW w:w="723" w:type="pct"/>
            <w:tcBorders>
              <w:top w:val="single" w:sz="8" w:space="0" w:color="auto"/>
              <w:left w:val="single" w:sz="2" w:space="0" w:color="auto"/>
              <w:bottom w:val="double" w:sz="4" w:space="0" w:color="auto"/>
              <w:right w:val="single" w:sz="2" w:space="0" w:color="auto"/>
            </w:tcBorders>
            <w:vAlign w:val="bottom"/>
            <w:hideMark/>
          </w:tcPr>
          <w:p w14:paraId="57B13152" w14:textId="77777777" w:rsidR="00D8365A" w:rsidRPr="00362517" w:rsidRDefault="00D8365A" w:rsidP="00BF6BC7">
            <w:pPr>
              <w:pStyle w:val="TableGridCT"/>
              <w:keepNext/>
              <w:widowControl w:val="0"/>
              <w:tabs>
                <w:tab w:val="left" w:pos="720"/>
                <w:tab w:val="left" w:pos="1080"/>
                <w:tab w:val="left" w:pos="1440"/>
                <w:tab w:val="left" w:pos="1800"/>
              </w:tabs>
              <w:suppressAutoHyphens/>
              <w:spacing w:line="264" w:lineRule="auto"/>
              <w:jc w:val="center"/>
              <w:rPr>
                <w:bCs/>
              </w:rPr>
            </w:pPr>
            <w:r w:rsidRPr="00362517">
              <w:rPr>
                <w:bCs/>
              </w:rPr>
              <w:t>National Cost of Final Requirement (NC</w:t>
            </w:r>
            <w:r w:rsidRPr="00362517">
              <w:rPr>
                <w:bCs/>
                <w:vertAlign w:val="superscript"/>
              </w:rPr>
              <w:t>P</w:t>
            </w:r>
            <w:r w:rsidRPr="00362517">
              <w:rPr>
                <w:bCs/>
              </w:rPr>
              <w:t>) ($000)</w:t>
            </w:r>
          </w:p>
        </w:tc>
        <w:tc>
          <w:tcPr>
            <w:tcW w:w="980" w:type="pct"/>
            <w:tcBorders>
              <w:top w:val="single" w:sz="8" w:space="0" w:color="auto"/>
              <w:left w:val="single" w:sz="2" w:space="0" w:color="auto"/>
              <w:bottom w:val="double" w:sz="4" w:space="0" w:color="auto"/>
              <w:right w:val="single" w:sz="2" w:space="0" w:color="auto"/>
            </w:tcBorders>
            <w:vAlign w:val="bottom"/>
            <w:hideMark/>
          </w:tcPr>
          <w:p w14:paraId="43BDF353" w14:textId="77777777" w:rsidR="00D8365A" w:rsidRPr="00362517" w:rsidRDefault="00D8365A" w:rsidP="00BF6BC7">
            <w:pPr>
              <w:pStyle w:val="TableGridCT"/>
              <w:keepNext/>
              <w:widowControl w:val="0"/>
              <w:tabs>
                <w:tab w:val="left" w:pos="720"/>
                <w:tab w:val="left" w:pos="1080"/>
                <w:tab w:val="left" w:pos="1440"/>
                <w:tab w:val="left" w:pos="1800"/>
              </w:tabs>
              <w:suppressAutoHyphens/>
              <w:spacing w:line="264" w:lineRule="auto"/>
              <w:jc w:val="center"/>
              <w:rPr>
                <w:bCs/>
              </w:rPr>
            </w:pPr>
            <w:r w:rsidRPr="00362517">
              <w:rPr>
                <w:bCs/>
              </w:rPr>
              <w:t>National Cost of  Baseline (NC</w:t>
            </w:r>
            <w:r w:rsidRPr="00362517">
              <w:rPr>
                <w:bCs/>
                <w:vertAlign w:val="superscript"/>
              </w:rPr>
              <w:t>B</w:t>
            </w:r>
            <w:r w:rsidRPr="00362517">
              <w:rPr>
                <w:bCs/>
              </w:rPr>
              <w:t>)</w:t>
            </w:r>
          </w:p>
          <w:p w14:paraId="692C9D81" w14:textId="77777777" w:rsidR="00D8365A" w:rsidRPr="00362517" w:rsidRDefault="00D8365A" w:rsidP="00BF6BC7">
            <w:pPr>
              <w:pStyle w:val="TableGridCT"/>
              <w:keepNext/>
              <w:widowControl w:val="0"/>
              <w:tabs>
                <w:tab w:val="left" w:pos="720"/>
                <w:tab w:val="left" w:pos="1080"/>
                <w:tab w:val="left" w:pos="1440"/>
                <w:tab w:val="left" w:pos="1800"/>
              </w:tabs>
              <w:suppressAutoHyphens/>
              <w:spacing w:line="264" w:lineRule="auto"/>
              <w:jc w:val="center"/>
              <w:rPr>
                <w:bCs/>
              </w:rPr>
            </w:pPr>
            <w:r w:rsidRPr="00362517">
              <w:rPr>
                <w:bCs/>
              </w:rPr>
              <w:t>($000)</w:t>
            </w:r>
          </w:p>
        </w:tc>
        <w:tc>
          <w:tcPr>
            <w:tcW w:w="926" w:type="pct"/>
            <w:tcBorders>
              <w:top w:val="single" w:sz="8" w:space="0" w:color="auto"/>
              <w:left w:val="single" w:sz="2" w:space="0" w:color="auto"/>
              <w:bottom w:val="double" w:sz="4" w:space="0" w:color="auto"/>
              <w:right w:val="single" w:sz="8" w:space="0" w:color="auto"/>
            </w:tcBorders>
            <w:vAlign w:val="bottom"/>
            <w:hideMark/>
          </w:tcPr>
          <w:p w14:paraId="6FA33C58" w14:textId="77777777" w:rsidR="00D8365A" w:rsidRPr="00362517" w:rsidRDefault="00D8365A" w:rsidP="00BF6BC7">
            <w:pPr>
              <w:pStyle w:val="TableGridCT"/>
              <w:keepNext/>
              <w:widowControl w:val="0"/>
              <w:tabs>
                <w:tab w:val="left" w:pos="720"/>
                <w:tab w:val="left" w:pos="1080"/>
                <w:tab w:val="left" w:pos="1440"/>
                <w:tab w:val="left" w:pos="1800"/>
              </w:tabs>
              <w:suppressAutoHyphens/>
              <w:spacing w:line="264" w:lineRule="auto"/>
              <w:jc w:val="center"/>
              <w:rPr>
                <w:bCs/>
              </w:rPr>
            </w:pPr>
            <w:r w:rsidRPr="00362517">
              <w:rPr>
                <w:bCs/>
              </w:rPr>
              <w:t>National Incremental Cost (NIC)</w:t>
            </w:r>
          </w:p>
          <w:p w14:paraId="644EFE0B" w14:textId="77777777" w:rsidR="00D8365A" w:rsidRPr="00362517" w:rsidRDefault="00D8365A" w:rsidP="00BF6BC7">
            <w:pPr>
              <w:pStyle w:val="TableGridCT"/>
              <w:keepNext/>
              <w:widowControl w:val="0"/>
              <w:tabs>
                <w:tab w:val="left" w:pos="720"/>
                <w:tab w:val="left" w:pos="1080"/>
                <w:tab w:val="left" w:pos="1440"/>
                <w:tab w:val="left" w:pos="1800"/>
              </w:tabs>
              <w:suppressAutoHyphens/>
              <w:spacing w:line="264" w:lineRule="auto"/>
              <w:jc w:val="center"/>
              <w:rPr>
                <w:bCs/>
              </w:rPr>
            </w:pPr>
            <w:r w:rsidRPr="00362517">
              <w:rPr>
                <w:bCs/>
              </w:rPr>
              <w:t>($000)</w:t>
            </w:r>
          </w:p>
        </w:tc>
      </w:tr>
      <w:tr w:rsidR="00D8365A" w:rsidRPr="00362517" w14:paraId="3B725D87" w14:textId="77777777" w:rsidTr="007A2164">
        <w:trPr>
          <w:cantSplit/>
        </w:trPr>
        <w:tc>
          <w:tcPr>
            <w:tcW w:w="5000" w:type="pct"/>
            <w:gridSpan w:val="5"/>
            <w:tcBorders>
              <w:top w:val="single" w:sz="2" w:space="0" w:color="auto"/>
              <w:left w:val="single" w:sz="8" w:space="0" w:color="auto"/>
              <w:bottom w:val="single" w:sz="2" w:space="0" w:color="auto"/>
              <w:right w:val="single" w:sz="8" w:space="0" w:color="auto"/>
            </w:tcBorders>
            <w:vAlign w:val="center"/>
            <w:hideMark/>
          </w:tcPr>
          <w:p w14:paraId="2DB95EB0" w14:textId="77777777" w:rsidR="00D8365A" w:rsidRPr="00362517" w:rsidRDefault="00D8365A" w:rsidP="00BF6BC7">
            <w:pPr>
              <w:pStyle w:val="BodyText"/>
              <w:rPr>
                <w:bCs/>
              </w:rPr>
            </w:pPr>
            <w:r w:rsidRPr="00362517">
              <w:rPr>
                <w:sz w:val="22"/>
                <w:szCs w:val="22"/>
              </w:rPr>
              <w:t>Certification of Private Applicators</w:t>
            </w:r>
          </w:p>
        </w:tc>
      </w:tr>
      <w:bookmarkEnd w:id="184"/>
      <w:tr w:rsidR="00D8365A" w:rsidRPr="00362517" w14:paraId="51C48E0B" w14:textId="77777777" w:rsidTr="007A2164">
        <w:trPr>
          <w:cantSplit/>
          <w:trHeight w:val="535"/>
        </w:trPr>
        <w:tc>
          <w:tcPr>
            <w:tcW w:w="996" w:type="pct"/>
            <w:vMerge w:val="restart"/>
            <w:tcBorders>
              <w:top w:val="single" w:sz="2" w:space="0" w:color="auto"/>
              <w:left w:val="single" w:sz="8" w:space="0" w:color="auto"/>
              <w:right w:val="single" w:sz="2" w:space="0" w:color="auto"/>
            </w:tcBorders>
            <w:vAlign w:val="center"/>
          </w:tcPr>
          <w:p w14:paraId="2D7AEAD9" w14:textId="77777777" w:rsidR="00D8365A" w:rsidRPr="00362517" w:rsidRDefault="00D8365A" w:rsidP="00BF6BC7">
            <w:pPr>
              <w:keepNext/>
              <w:widowControl w:val="0"/>
              <w:suppressAutoHyphens/>
            </w:pPr>
            <w:r w:rsidRPr="00362517">
              <w:rPr>
                <w:sz w:val="22"/>
                <w:szCs w:val="22"/>
              </w:rPr>
              <w:t>Exam or 12-hour training for private certification</w:t>
            </w:r>
          </w:p>
        </w:tc>
        <w:tc>
          <w:tcPr>
            <w:tcW w:w="1375" w:type="pct"/>
            <w:tcBorders>
              <w:top w:val="single" w:sz="2" w:space="0" w:color="auto"/>
              <w:left w:val="single" w:sz="2" w:space="0" w:color="auto"/>
              <w:bottom w:val="single" w:sz="2" w:space="0" w:color="auto"/>
              <w:right w:val="single" w:sz="2" w:space="0" w:color="auto"/>
            </w:tcBorders>
            <w:vAlign w:val="center"/>
          </w:tcPr>
          <w:p w14:paraId="5F904266" w14:textId="77777777" w:rsidR="00D8365A" w:rsidRPr="00362517" w:rsidRDefault="00D8365A" w:rsidP="00BF6BC7">
            <w:pPr>
              <w:keepNext/>
              <w:widowControl w:val="0"/>
              <w:suppressAutoHyphens/>
            </w:pPr>
            <w:r w:rsidRPr="00362517">
              <w:rPr>
                <w:sz w:val="22"/>
                <w:szCs w:val="22"/>
              </w:rPr>
              <w:t xml:space="preserve">Industry costs </w:t>
            </w:r>
          </w:p>
        </w:tc>
        <w:tc>
          <w:tcPr>
            <w:tcW w:w="723"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3C502C68" w14:textId="77777777" w:rsidR="00D8365A" w:rsidRPr="00362517" w:rsidRDefault="00D8365A" w:rsidP="00BF6BC7">
            <w:pPr>
              <w:keepNext/>
              <w:jc w:val="center"/>
            </w:pPr>
            <w:r w:rsidRPr="00362517">
              <w:rPr>
                <w:sz w:val="22"/>
                <w:szCs w:val="22"/>
              </w:rPr>
              <w:t>23,391</w:t>
            </w:r>
          </w:p>
        </w:tc>
        <w:tc>
          <w:tcPr>
            <w:tcW w:w="980"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6AC45417" w14:textId="77777777" w:rsidR="00D8365A" w:rsidRPr="00362517" w:rsidRDefault="00D8365A" w:rsidP="00BF6BC7">
            <w:pPr>
              <w:keepNext/>
              <w:jc w:val="center"/>
            </w:pPr>
            <w:r w:rsidRPr="00362517">
              <w:rPr>
                <w:sz w:val="22"/>
                <w:szCs w:val="22"/>
              </w:rPr>
              <w:t>19,044</w:t>
            </w:r>
          </w:p>
        </w:tc>
        <w:tc>
          <w:tcPr>
            <w:tcW w:w="926" w:type="pct"/>
            <w:tcBorders>
              <w:top w:val="single" w:sz="2" w:space="0" w:color="auto"/>
              <w:left w:val="single" w:sz="2" w:space="0" w:color="auto"/>
              <w:bottom w:val="single" w:sz="2" w:space="0" w:color="auto"/>
              <w:right w:val="single" w:sz="8" w:space="0" w:color="auto"/>
            </w:tcBorders>
            <w:tcMar>
              <w:left w:w="115" w:type="dxa"/>
              <w:right w:w="288" w:type="dxa"/>
            </w:tcMar>
            <w:vAlign w:val="center"/>
          </w:tcPr>
          <w:p w14:paraId="08DAED0C" w14:textId="77777777" w:rsidR="00D8365A" w:rsidRPr="00362517" w:rsidRDefault="00D8365A" w:rsidP="00BF6BC7">
            <w:pPr>
              <w:keepNext/>
              <w:jc w:val="center"/>
            </w:pPr>
            <w:r w:rsidRPr="00362517">
              <w:rPr>
                <w:sz w:val="22"/>
                <w:szCs w:val="22"/>
              </w:rPr>
              <w:t>4,348</w:t>
            </w:r>
          </w:p>
        </w:tc>
      </w:tr>
      <w:tr w:rsidR="00D8365A" w:rsidRPr="00362517" w14:paraId="1B020F1C" w14:textId="77777777" w:rsidTr="007A2164">
        <w:trPr>
          <w:cantSplit/>
          <w:trHeight w:val="535"/>
        </w:trPr>
        <w:tc>
          <w:tcPr>
            <w:tcW w:w="996" w:type="pct"/>
            <w:vMerge/>
            <w:tcBorders>
              <w:left w:val="single" w:sz="8" w:space="0" w:color="auto"/>
              <w:right w:val="single" w:sz="2" w:space="0" w:color="auto"/>
            </w:tcBorders>
            <w:vAlign w:val="center"/>
          </w:tcPr>
          <w:p w14:paraId="7C8A2E09" w14:textId="77777777" w:rsidR="00D8365A" w:rsidRPr="00362517" w:rsidRDefault="00D8365A" w:rsidP="00BF6BC7">
            <w:pPr>
              <w:keepNext/>
              <w:widowControl w:val="0"/>
              <w:suppressAutoHyphens/>
            </w:pPr>
          </w:p>
        </w:tc>
        <w:tc>
          <w:tcPr>
            <w:tcW w:w="1375" w:type="pct"/>
            <w:tcBorders>
              <w:top w:val="single" w:sz="2" w:space="0" w:color="auto"/>
              <w:left w:val="single" w:sz="2" w:space="0" w:color="auto"/>
              <w:bottom w:val="single" w:sz="2" w:space="0" w:color="auto"/>
              <w:right w:val="single" w:sz="2" w:space="0" w:color="auto"/>
            </w:tcBorders>
            <w:vAlign w:val="center"/>
          </w:tcPr>
          <w:p w14:paraId="5C14FAA4" w14:textId="77777777" w:rsidR="00D8365A" w:rsidRPr="00362517" w:rsidRDefault="00D8365A" w:rsidP="00BF6BC7">
            <w:pPr>
              <w:keepNext/>
              <w:widowControl w:val="0"/>
              <w:suppressAutoHyphens/>
            </w:pPr>
            <w:r w:rsidRPr="00362517">
              <w:rPr>
                <w:sz w:val="22"/>
                <w:szCs w:val="22"/>
              </w:rPr>
              <w:t xml:space="preserve">State costs: develop exam or training </w:t>
            </w:r>
          </w:p>
        </w:tc>
        <w:tc>
          <w:tcPr>
            <w:tcW w:w="723"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2BE04AA8" w14:textId="77777777" w:rsidR="00D8365A" w:rsidRPr="00362517" w:rsidRDefault="00D8365A" w:rsidP="00BF6BC7">
            <w:pPr>
              <w:keepNext/>
              <w:widowControl w:val="0"/>
              <w:suppressAutoHyphens/>
              <w:jc w:val="center"/>
            </w:pPr>
            <w:r w:rsidRPr="00362517">
              <w:rPr>
                <w:sz w:val="22"/>
                <w:szCs w:val="22"/>
              </w:rPr>
              <w:t>6.4</w:t>
            </w:r>
          </w:p>
        </w:tc>
        <w:tc>
          <w:tcPr>
            <w:tcW w:w="980"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569CEA25" w14:textId="77777777" w:rsidR="00D8365A" w:rsidRPr="00362517" w:rsidRDefault="00D8365A" w:rsidP="00BF6BC7">
            <w:pPr>
              <w:keepNext/>
              <w:widowControl w:val="0"/>
              <w:suppressAutoHyphens/>
              <w:jc w:val="center"/>
            </w:pPr>
            <w:r w:rsidRPr="00362517">
              <w:rPr>
                <w:sz w:val="22"/>
                <w:szCs w:val="22"/>
              </w:rPr>
              <w:t>0</w:t>
            </w:r>
          </w:p>
        </w:tc>
        <w:tc>
          <w:tcPr>
            <w:tcW w:w="926" w:type="pct"/>
            <w:tcBorders>
              <w:top w:val="single" w:sz="2" w:space="0" w:color="auto"/>
              <w:left w:val="single" w:sz="2" w:space="0" w:color="auto"/>
              <w:bottom w:val="single" w:sz="2" w:space="0" w:color="auto"/>
              <w:right w:val="single" w:sz="8" w:space="0" w:color="auto"/>
            </w:tcBorders>
            <w:tcMar>
              <w:left w:w="115" w:type="dxa"/>
              <w:right w:w="288" w:type="dxa"/>
            </w:tcMar>
            <w:vAlign w:val="center"/>
          </w:tcPr>
          <w:p w14:paraId="5CCF627C" w14:textId="77777777" w:rsidR="00D8365A" w:rsidRPr="00362517" w:rsidRDefault="00D8365A" w:rsidP="00BF6BC7">
            <w:pPr>
              <w:keepNext/>
              <w:widowControl w:val="0"/>
              <w:suppressAutoHyphens/>
              <w:jc w:val="center"/>
            </w:pPr>
            <w:r w:rsidRPr="00362517">
              <w:rPr>
                <w:sz w:val="22"/>
                <w:szCs w:val="22"/>
              </w:rPr>
              <w:t>6.4</w:t>
            </w:r>
          </w:p>
        </w:tc>
      </w:tr>
      <w:tr w:rsidR="00D8365A" w:rsidRPr="00362517" w14:paraId="5FED630C" w14:textId="77777777" w:rsidTr="007A2164">
        <w:trPr>
          <w:cantSplit/>
          <w:trHeight w:val="535"/>
        </w:trPr>
        <w:tc>
          <w:tcPr>
            <w:tcW w:w="996" w:type="pct"/>
            <w:vMerge/>
            <w:tcBorders>
              <w:left w:val="single" w:sz="8" w:space="0" w:color="auto"/>
              <w:bottom w:val="single" w:sz="2" w:space="0" w:color="auto"/>
              <w:right w:val="single" w:sz="2" w:space="0" w:color="auto"/>
            </w:tcBorders>
            <w:vAlign w:val="center"/>
          </w:tcPr>
          <w:p w14:paraId="390A5367" w14:textId="77777777" w:rsidR="00D8365A" w:rsidRPr="00362517" w:rsidRDefault="00D8365A" w:rsidP="00BF6BC7">
            <w:pPr>
              <w:keepNext/>
              <w:widowControl w:val="0"/>
              <w:suppressAutoHyphens/>
            </w:pPr>
          </w:p>
        </w:tc>
        <w:tc>
          <w:tcPr>
            <w:tcW w:w="1375" w:type="pct"/>
            <w:tcBorders>
              <w:top w:val="single" w:sz="2" w:space="0" w:color="auto"/>
              <w:left w:val="single" w:sz="2" w:space="0" w:color="auto"/>
              <w:bottom w:val="single" w:sz="2" w:space="0" w:color="auto"/>
              <w:right w:val="single" w:sz="2" w:space="0" w:color="auto"/>
            </w:tcBorders>
            <w:vAlign w:val="center"/>
          </w:tcPr>
          <w:p w14:paraId="5C2E7307" w14:textId="77777777" w:rsidR="00D8365A" w:rsidRPr="00362517" w:rsidRDefault="00D8365A" w:rsidP="00BF6BC7">
            <w:pPr>
              <w:keepNext/>
              <w:widowControl w:val="0"/>
              <w:suppressAutoHyphens/>
            </w:pPr>
            <w:r w:rsidRPr="00362517">
              <w:rPr>
                <w:sz w:val="22"/>
                <w:szCs w:val="22"/>
              </w:rPr>
              <w:t>State costs: administer exam or training</w:t>
            </w:r>
          </w:p>
        </w:tc>
        <w:tc>
          <w:tcPr>
            <w:tcW w:w="723"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7CFFC0DC" w14:textId="77777777" w:rsidR="00D8365A" w:rsidRPr="00362517" w:rsidRDefault="00D8365A" w:rsidP="00BF6BC7">
            <w:pPr>
              <w:keepNext/>
              <w:jc w:val="center"/>
            </w:pPr>
            <w:r w:rsidRPr="00362517">
              <w:rPr>
                <w:sz w:val="22"/>
                <w:szCs w:val="22"/>
              </w:rPr>
              <w:t>128</w:t>
            </w:r>
          </w:p>
        </w:tc>
        <w:tc>
          <w:tcPr>
            <w:tcW w:w="980"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7A96B8A5" w14:textId="77777777" w:rsidR="00D8365A" w:rsidRPr="00362517" w:rsidRDefault="00D8365A" w:rsidP="00BF6BC7">
            <w:pPr>
              <w:keepNext/>
              <w:jc w:val="center"/>
            </w:pPr>
            <w:r w:rsidRPr="00362517">
              <w:rPr>
                <w:sz w:val="22"/>
                <w:szCs w:val="22"/>
              </w:rPr>
              <w:t>60</w:t>
            </w:r>
          </w:p>
        </w:tc>
        <w:tc>
          <w:tcPr>
            <w:tcW w:w="926" w:type="pct"/>
            <w:tcBorders>
              <w:top w:val="single" w:sz="2" w:space="0" w:color="auto"/>
              <w:left w:val="single" w:sz="2" w:space="0" w:color="auto"/>
              <w:bottom w:val="single" w:sz="2" w:space="0" w:color="auto"/>
              <w:right w:val="single" w:sz="8" w:space="0" w:color="auto"/>
            </w:tcBorders>
            <w:tcMar>
              <w:left w:w="115" w:type="dxa"/>
              <w:right w:w="288" w:type="dxa"/>
            </w:tcMar>
            <w:vAlign w:val="center"/>
          </w:tcPr>
          <w:p w14:paraId="0336948C" w14:textId="77777777" w:rsidR="00D8365A" w:rsidRPr="00362517" w:rsidRDefault="00D8365A" w:rsidP="00BF6BC7">
            <w:pPr>
              <w:keepNext/>
              <w:widowControl w:val="0"/>
              <w:suppressAutoHyphens/>
              <w:jc w:val="center"/>
            </w:pPr>
            <w:r w:rsidRPr="00362517">
              <w:rPr>
                <w:sz w:val="22"/>
                <w:szCs w:val="22"/>
              </w:rPr>
              <w:t>68</w:t>
            </w:r>
          </w:p>
        </w:tc>
      </w:tr>
    </w:tbl>
    <w:p w14:paraId="30FDB94D" w14:textId="5E26C158" w:rsidR="00D8365A" w:rsidRPr="00362517" w:rsidRDefault="00D8365A" w:rsidP="00BF6BC7">
      <w:pPr>
        <w:pStyle w:val="Source"/>
        <w:keepNext/>
        <w:widowControl w:val="0"/>
        <w:suppressAutoHyphens/>
        <w:rPr>
          <w:sz w:val="20"/>
          <w:szCs w:val="20"/>
        </w:rPr>
      </w:pPr>
      <w:r w:rsidRPr="00362517">
        <w:rPr>
          <w:sz w:val="20"/>
          <w:szCs w:val="20"/>
          <w:vertAlign w:val="superscript"/>
        </w:rPr>
        <w:t>1</w:t>
      </w:r>
      <w:r w:rsidRPr="00362517">
        <w:rPr>
          <w:sz w:val="22"/>
          <w:szCs w:val="22"/>
        </w:rPr>
        <w:t xml:space="preserve"> Source:  EPA calculations using a three percent discount rate over a ten</w:t>
      </w:r>
      <w:r w:rsidR="00CA28EA">
        <w:rPr>
          <w:sz w:val="22"/>
          <w:szCs w:val="22"/>
        </w:rPr>
        <w:t>-</w:t>
      </w:r>
      <w:r w:rsidRPr="00362517">
        <w:rPr>
          <w:sz w:val="22"/>
          <w:szCs w:val="22"/>
        </w:rPr>
        <w:t>year horizon.</w:t>
      </w:r>
    </w:p>
    <w:p w14:paraId="10BA85B5" w14:textId="77777777" w:rsidR="00D8365A" w:rsidRPr="00362517" w:rsidRDefault="00D8365A" w:rsidP="00BF6BC7">
      <w:bookmarkStart w:id="185" w:name="OLE_LINK146"/>
      <w:bookmarkStart w:id="186" w:name="OLE_LINK147"/>
    </w:p>
    <w:p w14:paraId="5EA83636" w14:textId="77777777" w:rsidR="00D8365A" w:rsidRPr="00362517" w:rsidRDefault="00D8365A" w:rsidP="00BF6BC7">
      <w:pPr>
        <w:pStyle w:val="BodyText"/>
      </w:pPr>
      <w:r w:rsidRPr="00362517">
        <w:t xml:space="preserve">State costs are $6,400 for developing the exam or the trainings per year and $68 thousand per year to administer the exam or trainings.  </w:t>
      </w:r>
      <w:bookmarkStart w:id="187" w:name="OLE_LINK69"/>
      <w:bookmarkStart w:id="188" w:name="OLE_LINK24"/>
      <w:r w:rsidRPr="00362517">
        <w:t>Certifying authorities can choose between requiring certification training for the specified time period or a written certification exam.</w:t>
      </w:r>
    </w:p>
    <w:p w14:paraId="76349E10" w14:textId="77777777" w:rsidR="00D8365A" w:rsidRPr="00362517" w:rsidRDefault="00D8365A" w:rsidP="00BF6BC7">
      <w:r w:rsidRPr="00362517">
        <w:t xml:space="preserve"> </w:t>
      </w:r>
    </w:p>
    <w:p w14:paraId="5BA0D3F5" w14:textId="77777777" w:rsidR="00D8365A" w:rsidRPr="00362517" w:rsidRDefault="00D8365A" w:rsidP="00BF6BC7">
      <w:pPr>
        <w:pStyle w:val="Heading3"/>
        <w:rPr>
          <w:i/>
        </w:rPr>
      </w:pPr>
      <w:bookmarkStart w:id="189" w:name="_Toc395788109"/>
      <w:bookmarkStart w:id="190" w:name="_Toc396483165"/>
      <w:bookmarkStart w:id="191" w:name="_Toc452020146"/>
      <w:bookmarkStart w:id="192" w:name="_Toc456270169"/>
      <w:bookmarkStart w:id="193" w:name="_Toc468872085"/>
      <w:bookmarkEnd w:id="185"/>
      <w:bookmarkEnd w:id="186"/>
      <w:bookmarkEnd w:id="187"/>
      <w:bookmarkEnd w:id="188"/>
      <w:r w:rsidRPr="00362517">
        <w:t>3.4.2</w:t>
      </w:r>
      <w:r w:rsidRPr="00362517">
        <w:tab/>
        <w:t>Additional Categories</w:t>
      </w:r>
      <w:bookmarkEnd w:id="189"/>
      <w:bookmarkEnd w:id="190"/>
      <w:bookmarkEnd w:id="191"/>
      <w:bookmarkEnd w:id="192"/>
      <w:bookmarkEnd w:id="193"/>
    </w:p>
    <w:p w14:paraId="43F0397E" w14:textId="77777777" w:rsidR="00D8365A" w:rsidRPr="00362517" w:rsidRDefault="00D8365A" w:rsidP="00BF6BC7"/>
    <w:p w14:paraId="71DA684B" w14:textId="77777777" w:rsidR="00D8365A" w:rsidRPr="00362517" w:rsidRDefault="00D8365A" w:rsidP="00BF6BC7">
      <w:pPr>
        <w:rPr>
          <w:bCs/>
        </w:rPr>
      </w:pPr>
      <w:r w:rsidRPr="00362517">
        <w:t xml:space="preserve">The final revision establishes additional certification categories for commercial and private applicators using restricted use pesticides (RUPs) in fumigation (including soil and non-soil fumigation) and aerial application.  Final requirements address the elevated risks associated with certain application methods and promote consistency in protections across jurisdictions.  </w:t>
      </w:r>
      <w:r w:rsidRPr="00362517">
        <w:rPr>
          <w:bCs/>
        </w:rPr>
        <w:t>See Section 2.2.2 or Unit VII of the preamble for more details.</w:t>
      </w:r>
    </w:p>
    <w:p w14:paraId="62DFF70F" w14:textId="77777777" w:rsidR="00D8365A" w:rsidRPr="00362517" w:rsidRDefault="00D8365A" w:rsidP="00BF6BC7">
      <w:pPr>
        <w:rPr>
          <w:b/>
        </w:rPr>
      </w:pPr>
    </w:p>
    <w:p w14:paraId="4515F75B" w14:textId="77777777" w:rsidR="00D8365A" w:rsidRPr="00362517" w:rsidRDefault="00D8365A" w:rsidP="00BF6BC7">
      <w:pPr>
        <w:pStyle w:val="NoSpacing"/>
        <w:rPr>
          <w:b/>
        </w:rPr>
      </w:pPr>
      <w:r w:rsidRPr="00362517">
        <w:rPr>
          <w:b/>
        </w:rPr>
        <w:t>3.4.2.1 Establish Certification Categories for Commercial Applicators</w:t>
      </w:r>
    </w:p>
    <w:p w14:paraId="76BF3007" w14:textId="77777777" w:rsidR="00D8365A" w:rsidRPr="00362517" w:rsidRDefault="00D8365A" w:rsidP="00BF6BC7">
      <w:pPr>
        <w:rPr>
          <w:bCs/>
        </w:rPr>
      </w:pPr>
    </w:p>
    <w:p w14:paraId="1FA271CF" w14:textId="77777777" w:rsidR="00D8365A" w:rsidRPr="00362517" w:rsidRDefault="00D8365A" w:rsidP="00BF6BC7">
      <w:r w:rsidRPr="00362517">
        <w:t>Table 3.4-2 presents the number of commercial applicators in each of the certification categories at the national level.  See Section 3.3.1, Table 3.3-3 for state-level estimates.</w:t>
      </w:r>
    </w:p>
    <w:p w14:paraId="35F4D004" w14:textId="77777777" w:rsidR="00D8365A" w:rsidRPr="00362517" w:rsidRDefault="00D8365A" w:rsidP="00BF6BC7"/>
    <w:p w14:paraId="0BDCFDAD" w14:textId="77777777" w:rsidR="00D8365A" w:rsidRPr="00362517" w:rsidRDefault="00D8365A" w:rsidP="00BF6BC7">
      <w:pPr>
        <w:pStyle w:val="Caption"/>
      </w:pPr>
      <w:r w:rsidRPr="00362517">
        <w:t>Table 3.4-2: Commercial Applicator Numbers by Potential Category</w:t>
      </w:r>
    </w:p>
    <w:tbl>
      <w:tblPr>
        <w:tblW w:w="9468" w:type="dxa"/>
        <w:tblBorders>
          <w:top w:val="single" w:sz="8" w:space="0" w:color="auto"/>
          <w:left w:val="single" w:sz="8" w:space="0" w:color="auto"/>
          <w:bottom w:val="single" w:sz="12" w:space="0" w:color="auto"/>
          <w:right w:val="single" w:sz="8" w:space="0" w:color="auto"/>
          <w:insideH w:val="single" w:sz="2" w:space="0" w:color="auto"/>
          <w:insideV w:val="single" w:sz="2" w:space="0" w:color="auto"/>
        </w:tblBorders>
        <w:tblLook w:val="01E0" w:firstRow="1" w:lastRow="1" w:firstColumn="1" w:lastColumn="1" w:noHBand="0" w:noVBand="0"/>
      </w:tblPr>
      <w:tblGrid>
        <w:gridCol w:w="4428"/>
        <w:gridCol w:w="1616"/>
        <w:gridCol w:w="1744"/>
        <w:gridCol w:w="1680"/>
      </w:tblGrid>
      <w:tr w:rsidR="00D8365A" w:rsidRPr="00362517" w14:paraId="396A5B67" w14:textId="77777777" w:rsidTr="007A2164">
        <w:trPr>
          <w:trHeight w:val="255"/>
        </w:trPr>
        <w:tc>
          <w:tcPr>
            <w:tcW w:w="4428" w:type="dxa"/>
            <w:tcBorders>
              <w:top w:val="single" w:sz="8" w:space="0" w:color="auto"/>
              <w:left w:val="single" w:sz="8" w:space="0" w:color="auto"/>
              <w:bottom w:val="double" w:sz="4" w:space="0" w:color="auto"/>
              <w:right w:val="single" w:sz="2" w:space="0" w:color="auto"/>
            </w:tcBorders>
            <w:noWrap/>
            <w:vAlign w:val="bottom"/>
            <w:hideMark/>
          </w:tcPr>
          <w:p w14:paraId="37FC8F9E" w14:textId="77777777" w:rsidR="00D8365A" w:rsidRPr="00362517" w:rsidRDefault="00D8365A" w:rsidP="00BF6BC7">
            <w:pPr>
              <w:keepNext/>
              <w:keepLines/>
              <w:rPr>
                <w:b/>
              </w:rPr>
            </w:pPr>
            <w:r w:rsidRPr="00362517">
              <w:rPr>
                <w:b/>
              </w:rPr>
              <w:t>Region</w:t>
            </w:r>
          </w:p>
        </w:tc>
        <w:tc>
          <w:tcPr>
            <w:tcW w:w="1616" w:type="dxa"/>
            <w:tcBorders>
              <w:top w:val="single" w:sz="8" w:space="0" w:color="auto"/>
              <w:left w:val="single" w:sz="2" w:space="0" w:color="auto"/>
              <w:bottom w:val="double" w:sz="4" w:space="0" w:color="auto"/>
              <w:right w:val="single" w:sz="2" w:space="0" w:color="auto"/>
            </w:tcBorders>
            <w:hideMark/>
          </w:tcPr>
          <w:p w14:paraId="6F1E7BF5" w14:textId="77777777" w:rsidR="00D8365A" w:rsidRPr="00362517" w:rsidRDefault="00D8365A" w:rsidP="00BF6BC7">
            <w:pPr>
              <w:keepNext/>
              <w:keepLines/>
              <w:jc w:val="center"/>
              <w:rPr>
                <w:b/>
              </w:rPr>
            </w:pPr>
            <w:r w:rsidRPr="00362517">
              <w:rPr>
                <w:b/>
              </w:rPr>
              <w:t>First-time Certifications</w:t>
            </w:r>
          </w:p>
        </w:tc>
        <w:tc>
          <w:tcPr>
            <w:tcW w:w="1744" w:type="dxa"/>
            <w:tcBorders>
              <w:top w:val="single" w:sz="8" w:space="0" w:color="auto"/>
              <w:left w:val="single" w:sz="2" w:space="0" w:color="auto"/>
              <w:bottom w:val="double" w:sz="4" w:space="0" w:color="auto"/>
              <w:right w:val="single" w:sz="2" w:space="0" w:color="auto"/>
            </w:tcBorders>
            <w:hideMark/>
          </w:tcPr>
          <w:p w14:paraId="7F8664DB" w14:textId="77777777" w:rsidR="00D8365A" w:rsidRPr="00362517" w:rsidRDefault="00D8365A" w:rsidP="00BF6BC7">
            <w:pPr>
              <w:keepNext/>
              <w:keepLines/>
              <w:jc w:val="center"/>
              <w:rPr>
                <w:b/>
              </w:rPr>
            </w:pPr>
            <w:r w:rsidRPr="00362517">
              <w:rPr>
                <w:b/>
              </w:rPr>
              <w:t>Existing Certifications</w:t>
            </w:r>
          </w:p>
        </w:tc>
        <w:tc>
          <w:tcPr>
            <w:tcW w:w="1680" w:type="dxa"/>
            <w:tcBorders>
              <w:top w:val="single" w:sz="8" w:space="0" w:color="auto"/>
              <w:left w:val="single" w:sz="2" w:space="0" w:color="auto"/>
              <w:bottom w:val="double" w:sz="4" w:space="0" w:color="auto"/>
              <w:right w:val="single" w:sz="8" w:space="0" w:color="auto"/>
            </w:tcBorders>
            <w:hideMark/>
          </w:tcPr>
          <w:p w14:paraId="61D81354" w14:textId="77777777" w:rsidR="00D8365A" w:rsidRPr="00362517" w:rsidRDefault="00D8365A" w:rsidP="00BF6BC7">
            <w:pPr>
              <w:keepNext/>
              <w:keepLines/>
              <w:jc w:val="center"/>
              <w:rPr>
                <w:b/>
              </w:rPr>
            </w:pPr>
            <w:r w:rsidRPr="00362517">
              <w:rPr>
                <w:b/>
              </w:rPr>
              <w:t>Total Certifications</w:t>
            </w:r>
          </w:p>
        </w:tc>
      </w:tr>
      <w:tr w:rsidR="00D8365A" w:rsidRPr="00362517" w14:paraId="5D61C546" w14:textId="77777777" w:rsidTr="007A2164">
        <w:trPr>
          <w:cantSplit/>
          <w:trHeight w:val="269"/>
        </w:trPr>
        <w:tc>
          <w:tcPr>
            <w:tcW w:w="4428" w:type="dxa"/>
            <w:tcBorders>
              <w:top w:val="single" w:sz="2" w:space="0" w:color="auto"/>
              <w:left w:val="single" w:sz="8" w:space="0" w:color="auto"/>
              <w:bottom w:val="single" w:sz="2" w:space="0" w:color="auto"/>
              <w:right w:val="single" w:sz="2" w:space="0" w:color="auto"/>
            </w:tcBorders>
            <w:vAlign w:val="center"/>
            <w:hideMark/>
          </w:tcPr>
          <w:p w14:paraId="404148BF" w14:textId="77777777" w:rsidR="00D8365A" w:rsidRPr="00362517" w:rsidRDefault="00D8365A" w:rsidP="00BF6BC7">
            <w:pPr>
              <w:keepNext/>
              <w:keepLines/>
            </w:pPr>
            <w:r w:rsidRPr="00362517">
              <w:t>Commercial Applicator Certifications in the Aerial Category</w:t>
            </w:r>
          </w:p>
        </w:tc>
        <w:tc>
          <w:tcPr>
            <w:tcW w:w="1616" w:type="dxa"/>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2390A86C" w14:textId="77777777" w:rsidR="00D8365A" w:rsidRPr="00362517" w:rsidRDefault="00D8365A" w:rsidP="00BF6BC7">
            <w:pPr>
              <w:keepNext/>
              <w:keepLines/>
              <w:jc w:val="center"/>
            </w:pPr>
            <w:r w:rsidRPr="00362517">
              <w:t>1,086</w:t>
            </w:r>
          </w:p>
        </w:tc>
        <w:tc>
          <w:tcPr>
            <w:tcW w:w="1744" w:type="dxa"/>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7F99F353" w14:textId="77777777" w:rsidR="00D8365A" w:rsidRPr="00362517" w:rsidRDefault="00D8365A" w:rsidP="00BF6BC7">
            <w:pPr>
              <w:keepNext/>
              <w:keepLines/>
              <w:jc w:val="center"/>
            </w:pPr>
            <w:r w:rsidRPr="00362517">
              <w:t>9,049</w:t>
            </w:r>
          </w:p>
        </w:tc>
        <w:tc>
          <w:tcPr>
            <w:tcW w:w="1680" w:type="dxa"/>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5018AAEA" w14:textId="77777777" w:rsidR="00D8365A" w:rsidRPr="00362517" w:rsidRDefault="00D8365A" w:rsidP="00BF6BC7">
            <w:pPr>
              <w:keepNext/>
              <w:keepLines/>
              <w:jc w:val="center"/>
            </w:pPr>
            <w:r w:rsidRPr="00362517">
              <w:t>10,135</w:t>
            </w:r>
          </w:p>
        </w:tc>
      </w:tr>
      <w:tr w:rsidR="00D8365A" w:rsidRPr="00362517" w14:paraId="526F8966" w14:textId="77777777" w:rsidTr="007A2164">
        <w:trPr>
          <w:cantSplit/>
          <w:trHeight w:val="269"/>
        </w:trPr>
        <w:tc>
          <w:tcPr>
            <w:tcW w:w="4428" w:type="dxa"/>
            <w:tcBorders>
              <w:top w:val="single" w:sz="2" w:space="0" w:color="auto"/>
              <w:left w:val="single" w:sz="8" w:space="0" w:color="auto"/>
              <w:bottom w:val="single" w:sz="2" w:space="0" w:color="auto"/>
              <w:right w:val="single" w:sz="2" w:space="0" w:color="auto"/>
            </w:tcBorders>
            <w:vAlign w:val="center"/>
            <w:hideMark/>
          </w:tcPr>
          <w:p w14:paraId="0AD9E859" w14:textId="77777777" w:rsidR="00D8365A" w:rsidRPr="00362517" w:rsidRDefault="00D8365A" w:rsidP="00BF6BC7">
            <w:pPr>
              <w:keepNext/>
              <w:keepLines/>
            </w:pPr>
            <w:r w:rsidRPr="00362517">
              <w:t>Commercial Applicator Certifications in the Non-Soil Fumigation Category</w:t>
            </w:r>
          </w:p>
        </w:tc>
        <w:tc>
          <w:tcPr>
            <w:tcW w:w="1616" w:type="dxa"/>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64B3509B" w14:textId="77777777" w:rsidR="00D8365A" w:rsidRPr="00362517" w:rsidRDefault="00D8365A" w:rsidP="00BF6BC7">
            <w:pPr>
              <w:keepNext/>
              <w:keepLines/>
              <w:jc w:val="center"/>
            </w:pPr>
            <w:r w:rsidRPr="00362517">
              <w:t>1,529</w:t>
            </w:r>
          </w:p>
        </w:tc>
        <w:tc>
          <w:tcPr>
            <w:tcW w:w="1744" w:type="dxa"/>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4E2845F1" w14:textId="77777777" w:rsidR="00D8365A" w:rsidRPr="00362517" w:rsidRDefault="00D8365A" w:rsidP="00BF6BC7">
            <w:pPr>
              <w:keepNext/>
              <w:keepLines/>
              <w:jc w:val="center"/>
            </w:pPr>
            <w:r w:rsidRPr="00362517">
              <w:t>21,849</w:t>
            </w:r>
          </w:p>
        </w:tc>
        <w:tc>
          <w:tcPr>
            <w:tcW w:w="1680" w:type="dxa"/>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7A0FFD26" w14:textId="77777777" w:rsidR="00D8365A" w:rsidRPr="00362517" w:rsidRDefault="00D8365A" w:rsidP="00BF6BC7">
            <w:pPr>
              <w:keepNext/>
              <w:keepLines/>
              <w:jc w:val="center"/>
            </w:pPr>
            <w:r w:rsidRPr="00362517">
              <w:t>23,378</w:t>
            </w:r>
          </w:p>
        </w:tc>
      </w:tr>
      <w:tr w:rsidR="00D8365A" w:rsidRPr="00362517" w14:paraId="0C0082D9" w14:textId="77777777" w:rsidTr="007A2164">
        <w:trPr>
          <w:cantSplit/>
          <w:trHeight w:val="269"/>
        </w:trPr>
        <w:tc>
          <w:tcPr>
            <w:tcW w:w="4428" w:type="dxa"/>
            <w:tcBorders>
              <w:top w:val="single" w:sz="2" w:space="0" w:color="auto"/>
              <w:left w:val="single" w:sz="8" w:space="0" w:color="auto"/>
              <w:bottom w:val="single" w:sz="2" w:space="0" w:color="auto"/>
              <w:right w:val="single" w:sz="2" w:space="0" w:color="auto"/>
            </w:tcBorders>
            <w:vAlign w:val="center"/>
            <w:hideMark/>
          </w:tcPr>
          <w:p w14:paraId="1BF6EBCB" w14:textId="77777777" w:rsidR="00D8365A" w:rsidRPr="00362517" w:rsidRDefault="00D8365A" w:rsidP="00BF6BC7">
            <w:pPr>
              <w:keepNext/>
              <w:keepLines/>
            </w:pPr>
            <w:r w:rsidRPr="00362517">
              <w:t>Commercial Applicator Certifications in the Soil Fumigation Category</w:t>
            </w:r>
          </w:p>
        </w:tc>
        <w:tc>
          <w:tcPr>
            <w:tcW w:w="1616" w:type="dxa"/>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6AC08723" w14:textId="77777777" w:rsidR="00D8365A" w:rsidRPr="00362517" w:rsidRDefault="00D8365A" w:rsidP="00BF6BC7">
            <w:pPr>
              <w:keepNext/>
              <w:keepLines/>
              <w:jc w:val="center"/>
            </w:pPr>
            <w:r w:rsidRPr="00362517">
              <w:t>484</w:t>
            </w:r>
          </w:p>
        </w:tc>
        <w:tc>
          <w:tcPr>
            <w:tcW w:w="1744" w:type="dxa"/>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770D32FC" w14:textId="77777777" w:rsidR="00D8365A" w:rsidRPr="00362517" w:rsidRDefault="00D8365A" w:rsidP="00BF6BC7">
            <w:pPr>
              <w:keepNext/>
              <w:keepLines/>
              <w:jc w:val="center"/>
            </w:pPr>
            <w:r w:rsidRPr="00362517">
              <w:t>4,400</w:t>
            </w:r>
          </w:p>
        </w:tc>
        <w:tc>
          <w:tcPr>
            <w:tcW w:w="1680" w:type="dxa"/>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5069F59E" w14:textId="77777777" w:rsidR="00D8365A" w:rsidRPr="00362517" w:rsidRDefault="00D8365A" w:rsidP="00BF6BC7">
            <w:pPr>
              <w:keepNext/>
              <w:keepLines/>
              <w:jc w:val="center"/>
            </w:pPr>
            <w:r w:rsidRPr="00362517">
              <w:t>4,884</w:t>
            </w:r>
          </w:p>
        </w:tc>
      </w:tr>
    </w:tbl>
    <w:p w14:paraId="0AA86726" w14:textId="77777777" w:rsidR="00D8365A" w:rsidRPr="00362517" w:rsidRDefault="00D8365A" w:rsidP="00BF6BC7">
      <w:pPr>
        <w:rPr>
          <w:sz w:val="20"/>
          <w:szCs w:val="20"/>
        </w:rPr>
      </w:pPr>
      <w:r w:rsidRPr="00362517">
        <w:rPr>
          <w:sz w:val="20"/>
          <w:szCs w:val="20"/>
        </w:rPr>
        <w:t>Source: CPARD 2015 and EPA estimations.</w:t>
      </w:r>
    </w:p>
    <w:p w14:paraId="7989C5A3" w14:textId="77777777" w:rsidR="00D8365A" w:rsidRPr="00362517" w:rsidRDefault="00D8365A" w:rsidP="00BF6BC7"/>
    <w:p w14:paraId="356FFE31" w14:textId="77777777" w:rsidR="00D8365A" w:rsidRPr="00362517" w:rsidRDefault="00D8365A" w:rsidP="00BF6BC7">
      <w:r w:rsidRPr="00362517">
        <w:t>Final requirements will require that commercial applicators who intend to apply aerially, or through fumigation must be certified in a specific commercial category by passing a written exam expected to take about 30 minutes (with 6 to 8 hours of preparation time).  EPA assumes that the applicator already has core certification and certification in an existing category according to site (e.g., agricultural plant pest control, forest pest control, ornamental and turf pest control, etc.).  As explained in the example above (Section 3.2.2), in certifying authorities that currently do not have an additional category, commercial applicators already conducting those applications will have to become certified.  In subsequent years, only new entrants to these application methods would require certification.  Recertification costs are estimated in Section 3.4.6.</w:t>
      </w:r>
    </w:p>
    <w:p w14:paraId="247780EF" w14:textId="77777777" w:rsidR="00D8365A" w:rsidRPr="00362517" w:rsidRDefault="00D8365A" w:rsidP="00BF6BC7"/>
    <w:p w14:paraId="179A1037" w14:textId="77777777" w:rsidR="00D8365A" w:rsidRPr="00362517" w:rsidRDefault="00D8365A" w:rsidP="00BF6BC7">
      <w:r w:rsidRPr="00362517">
        <w:t>Soil fumigation labels already require training in the use of these products.  This rule merely codifies those requirements and bring them under the state certification programs.  Therefore, applicators do not bear any additional costs.</w:t>
      </w:r>
    </w:p>
    <w:p w14:paraId="0C6CDB16" w14:textId="77777777" w:rsidR="00D8365A" w:rsidRPr="00362517" w:rsidRDefault="00D8365A" w:rsidP="00BF6BC7">
      <w:bookmarkStart w:id="194" w:name="OLE_LINK122"/>
    </w:p>
    <w:bookmarkEnd w:id="194"/>
    <w:p w14:paraId="471D8AF2" w14:textId="77777777" w:rsidR="00D8365A" w:rsidRPr="00362517" w:rsidRDefault="00D8365A" w:rsidP="00BF6BC7">
      <w:pPr>
        <w:pStyle w:val="BodyText"/>
      </w:pPr>
      <w:r w:rsidRPr="00362517">
        <w:t>Table 3.4-3 below presents the national-level annualized costs for final requirement, baseline, and incremental cost for the affected parties.  The annual national incremental costs for commercial applicators obtaining aerial certification are estimated to be $396 thousand, while state costs to develop the exams are estimated at $9 thousand.  Commercial applicator incremental costs of obtaining non-soil fumigation certifications are estimated to be $151 thousand per year for commercial applicators employed by industry.  State incremental costs to develop non-soil fumigation certification exams are estimated at $7 thousand.  Details on estimation method, data, and assumptions are provided in Appendix A.</w:t>
      </w:r>
    </w:p>
    <w:p w14:paraId="53684958" w14:textId="77777777" w:rsidR="00D8365A" w:rsidRPr="00362517" w:rsidRDefault="00D8365A" w:rsidP="00BF6BC7"/>
    <w:p w14:paraId="62D2903B" w14:textId="77777777" w:rsidR="00D8365A" w:rsidRPr="00362517" w:rsidRDefault="00D8365A" w:rsidP="00BF6BC7">
      <w:pPr>
        <w:pStyle w:val="Caption"/>
      </w:pPr>
      <w:bookmarkStart w:id="195" w:name="OLE_LINK26"/>
      <w:bookmarkStart w:id="196" w:name="OLE_LINK25"/>
      <w:r w:rsidRPr="00362517">
        <w:t>Table 3.4-3: Annualized Costs for Establishing Additional Certification Categories for Commercial Applicators</w:t>
      </w:r>
      <w:r w:rsidRPr="00362517">
        <w:rPr>
          <w:vertAlign w:val="superscript"/>
        </w:rPr>
        <w:t>1</w:t>
      </w:r>
    </w:p>
    <w:tbl>
      <w:tblPr>
        <w:tblW w:w="0" w:type="auto"/>
        <w:tblBorders>
          <w:top w:val="single" w:sz="8" w:space="0" w:color="auto"/>
          <w:left w:val="single" w:sz="8" w:space="0" w:color="auto"/>
          <w:bottom w:val="single" w:sz="12" w:space="0" w:color="auto"/>
          <w:right w:val="single" w:sz="8" w:space="0" w:color="auto"/>
          <w:insideH w:val="single" w:sz="2" w:space="0" w:color="auto"/>
          <w:insideV w:val="single" w:sz="2" w:space="0" w:color="auto"/>
        </w:tblBorders>
        <w:tblLook w:val="04A0" w:firstRow="1" w:lastRow="0" w:firstColumn="1" w:lastColumn="0" w:noHBand="0" w:noVBand="1"/>
      </w:tblPr>
      <w:tblGrid>
        <w:gridCol w:w="2168"/>
        <w:gridCol w:w="1928"/>
        <w:gridCol w:w="2053"/>
        <w:gridCol w:w="1499"/>
        <w:gridCol w:w="1692"/>
      </w:tblGrid>
      <w:tr w:rsidR="00D8365A" w:rsidRPr="00362517" w14:paraId="06B0DBD2" w14:textId="77777777" w:rsidTr="007A2164">
        <w:trPr>
          <w:trHeight w:val="1051"/>
        </w:trPr>
        <w:tc>
          <w:tcPr>
            <w:tcW w:w="0" w:type="auto"/>
            <w:tcBorders>
              <w:top w:val="single" w:sz="8" w:space="0" w:color="auto"/>
              <w:left w:val="single" w:sz="8" w:space="0" w:color="auto"/>
              <w:bottom w:val="double" w:sz="4" w:space="0" w:color="auto"/>
              <w:right w:val="single" w:sz="2" w:space="0" w:color="auto"/>
            </w:tcBorders>
            <w:vAlign w:val="bottom"/>
            <w:hideMark/>
          </w:tcPr>
          <w:p w14:paraId="42F40A6A" w14:textId="77777777" w:rsidR="00D8365A" w:rsidRPr="00362517" w:rsidRDefault="00D8365A" w:rsidP="00BF6BC7">
            <w:pPr>
              <w:pStyle w:val="BodyText"/>
              <w:rPr>
                <w:sz w:val="20"/>
                <w:szCs w:val="20"/>
              </w:rPr>
            </w:pPr>
            <w:r w:rsidRPr="00362517">
              <w:rPr>
                <w:sz w:val="20"/>
                <w:szCs w:val="20"/>
              </w:rPr>
              <w:t>Final Requirements</w:t>
            </w:r>
          </w:p>
          <w:p w14:paraId="27405C53" w14:textId="77777777" w:rsidR="00D8365A" w:rsidRPr="00362517" w:rsidRDefault="00D8365A" w:rsidP="00BF6BC7">
            <w:pPr>
              <w:pStyle w:val="BodyText"/>
              <w:rPr>
                <w:sz w:val="20"/>
                <w:szCs w:val="20"/>
              </w:rPr>
            </w:pPr>
          </w:p>
        </w:tc>
        <w:tc>
          <w:tcPr>
            <w:tcW w:w="1928" w:type="dxa"/>
            <w:tcBorders>
              <w:top w:val="single" w:sz="8" w:space="0" w:color="auto"/>
              <w:left w:val="single" w:sz="2" w:space="0" w:color="auto"/>
              <w:bottom w:val="double" w:sz="4" w:space="0" w:color="auto"/>
              <w:right w:val="single" w:sz="2" w:space="0" w:color="auto"/>
            </w:tcBorders>
            <w:vAlign w:val="bottom"/>
            <w:hideMark/>
          </w:tcPr>
          <w:p w14:paraId="6B22B17E" w14:textId="77777777" w:rsidR="00D8365A" w:rsidRPr="00362517" w:rsidRDefault="00D8365A" w:rsidP="00BF6BC7">
            <w:pPr>
              <w:pStyle w:val="BodyText"/>
              <w:rPr>
                <w:sz w:val="20"/>
                <w:szCs w:val="20"/>
              </w:rPr>
            </w:pPr>
            <w:r w:rsidRPr="00362517">
              <w:rPr>
                <w:sz w:val="20"/>
                <w:szCs w:val="20"/>
              </w:rPr>
              <w:t>Type of Cost</w:t>
            </w:r>
          </w:p>
        </w:tc>
        <w:tc>
          <w:tcPr>
            <w:tcW w:w="2053" w:type="dxa"/>
            <w:tcBorders>
              <w:top w:val="single" w:sz="8" w:space="0" w:color="auto"/>
              <w:left w:val="single" w:sz="2" w:space="0" w:color="auto"/>
              <w:bottom w:val="double" w:sz="4" w:space="0" w:color="auto"/>
              <w:right w:val="single" w:sz="2" w:space="0" w:color="auto"/>
            </w:tcBorders>
            <w:vAlign w:val="bottom"/>
            <w:hideMark/>
          </w:tcPr>
          <w:p w14:paraId="2D002AB5" w14:textId="77777777" w:rsidR="00D8365A" w:rsidRPr="00362517" w:rsidRDefault="00D8365A" w:rsidP="00BF6BC7">
            <w:pPr>
              <w:pStyle w:val="TableGridCT"/>
              <w:keepNext/>
              <w:keepLines/>
              <w:tabs>
                <w:tab w:val="left" w:pos="720"/>
                <w:tab w:val="left" w:pos="1080"/>
                <w:tab w:val="left" w:pos="1440"/>
                <w:tab w:val="left" w:pos="1800"/>
              </w:tabs>
              <w:spacing w:line="264" w:lineRule="auto"/>
              <w:jc w:val="center"/>
              <w:rPr>
                <w:bCs/>
                <w:sz w:val="20"/>
                <w:szCs w:val="20"/>
              </w:rPr>
            </w:pPr>
            <w:r w:rsidRPr="00362517">
              <w:rPr>
                <w:bCs/>
                <w:sz w:val="20"/>
                <w:szCs w:val="20"/>
              </w:rPr>
              <w:t>National Cost of Final Requirement (NC</w:t>
            </w:r>
            <w:r w:rsidRPr="00362517">
              <w:rPr>
                <w:bCs/>
                <w:sz w:val="20"/>
                <w:szCs w:val="20"/>
                <w:vertAlign w:val="superscript"/>
              </w:rPr>
              <w:t>F</w:t>
            </w:r>
            <w:r w:rsidRPr="00362517">
              <w:rPr>
                <w:bCs/>
                <w:sz w:val="20"/>
                <w:szCs w:val="20"/>
              </w:rPr>
              <w:t>)</w:t>
            </w:r>
          </w:p>
          <w:p w14:paraId="7A732603" w14:textId="77777777" w:rsidR="00D8365A" w:rsidRPr="00362517" w:rsidRDefault="00D8365A" w:rsidP="00BF6BC7">
            <w:pPr>
              <w:pStyle w:val="TableGridCT"/>
              <w:keepNext/>
              <w:keepLines/>
              <w:tabs>
                <w:tab w:val="left" w:pos="720"/>
                <w:tab w:val="left" w:pos="1080"/>
                <w:tab w:val="left" w:pos="1440"/>
                <w:tab w:val="left" w:pos="1800"/>
              </w:tabs>
              <w:spacing w:line="264" w:lineRule="auto"/>
              <w:jc w:val="center"/>
              <w:rPr>
                <w:bCs/>
                <w:sz w:val="20"/>
                <w:szCs w:val="20"/>
              </w:rPr>
            </w:pPr>
            <w:r w:rsidRPr="00362517">
              <w:rPr>
                <w:bCs/>
                <w:sz w:val="20"/>
                <w:szCs w:val="20"/>
              </w:rPr>
              <w:t>($000)</w:t>
            </w:r>
          </w:p>
        </w:tc>
        <w:tc>
          <w:tcPr>
            <w:tcW w:w="0" w:type="auto"/>
            <w:tcBorders>
              <w:top w:val="single" w:sz="8" w:space="0" w:color="auto"/>
              <w:left w:val="single" w:sz="2" w:space="0" w:color="auto"/>
              <w:bottom w:val="double" w:sz="4" w:space="0" w:color="auto"/>
              <w:right w:val="single" w:sz="2" w:space="0" w:color="auto"/>
            </w:tcBorders>
            <w:vAlign w:val="bottom"/>
            <w:hideMark/>
          </w:tcPr>
          <w:p w14:paraId="2E862D23" w14:textId="77777777" w:rsidR="00D8365A" w:rsidRPr="00362517" w:rsidRDefault="00D8365A" w:rsidP="00BF6BC7">
            <w:pPr>
              <w:pStyle w:val="TableGridCT"/>
              <w:keepNext/>
              <w:keepLines/>
              <w:tabs>
                <w:tab w:val="left" w:pos="720"/>
                <w:tab w:val="left" w:pos="1080"/>
                <w:tab w:val="left" w:pos="1440"/>
                <w:tab w:val="left" w:pos="1800"/>
              </w:tabs>
              <w:spacing w:line="264" w:lineRule="auto"/>
              <w:jc w:val="center"/>
              <w:rPr>
                <w:bCs/>
                <w:sz w:val="20"/>
                <w:szCs w:val="20"/>
              </w:rPr>
            </w:pPr>
            <w:r w:rsidRPr="00362517">
              <w:rPr>
                <w:bCs/>
                <w:sz w:val="20"/>
                <w:szCs w:val="20"/>
              </w:rPr>
              <w:t>National Cost of Baseline (NC</w:t>
            </w:r>
            <w:r w:rsidRPr="00362517">
              <w:rPr>
                <w:bCs/>
                <w:sz w:val="20"/>
                <w:szCs w:val="20"/>
                <w:vertAlign w:val="superscript"/>
              </w:rPr>
              <w:t>B</w:t>
            </w:r>
            <w:r w:rsidRPr="00362517">
              <w:rPr>
                <w:bCs/>
                <w:sz w:val="20"/>
                <w:szCs w:val="20"/>
              </w:rPr>
              <w:t>)</w:t>
            </w:r>
          </w:p>
          <w:p w14:paraId="6C7E6EDB" w14:textId="77777777" w:rsidR="00D8365A" w:rsidRPr="00362517" w:rsidRDefault="00D8365A" w:rsidP="00BF6BC7">
            <w:pPr>
              <w:pStyle w:val="TableGridCT"/>
              <w:keepNext/>
              <w:keepLines/>
              <w:tabs>
                <w:tab w:val="left" w:pos="720"/>
                <w:tab w:val="left" w:pos="1080"/>
                <w:tab w:val="left" w:pos="1440"/>
                <w:tab w:val="left" w:pos="1800"/>
              </w:tabs>
              <w:spacing w:line="264" w:lineRule="auto"/>
              <w:jc w:val="center"/>
              <w:rPr>
                <w:bCs/>
                <w:sz w:val="20"/>
                <w:szCs w:val="20"/>
              </w:rPr>
            </w:pPr>
            <w:r w:rsidRPr="00362517">
              <w:rPr>
                <w:bCs/>
                <w:sz w:val="20"/>
                <w:szCs w:val="20"/>
              </w:rPr>
              <w:t>($000)</w:t>
            </w:r>
          </w:p>
        </w:tc>
        <w:tc>
          <w:tcPr>
            <w:tcW w:w="0" w:type="auto"/>
            <w:tcBorders>
              <w:top w:val="single" w:sz="8" w:space="0" w:color="auto"/>
              <w:left w:val="single" w:sz="2" w:space="0" w:color="auto"/>
              <w:bottom w:val="double" w:sz="4" w:space="0" w:color="auto"/>
              <w:right w:val="single" w:sz="8" w:space="0" w:color="auto"/>
            </w:tcBorders>
            <w:vAlign w:val="bottom"/>
            <w:hideMark/>
          </w:tcPr>
          <w:p w14:paraId="496FAAEA" w14:textId="77777777" w:rsidR="00D8365A" w:rsidRPr="00362517" w:rsidRDefault="00D8365A" w:rsidP="00BF6BC7">
            <w:pPr>
              <w:pStyle w:val="TableGridCT"/>
              <w:keepNext/>
              <w:keepLines/>
              <w:tabs>
                <w:tab w:val="left" w:pos="720"/>
                <w:tab w:val="left" w:pos="1080"/>
                <w:tab w:val="left" w:pos="1440"/>
                <w:tab w:val="left" w:pos="1800"/>
              </w:tabs>
              <w:spacing w:line="264" w:lineRule="auto"/>
              <w:jc w:val="center"/>
              <w:rPr>
                <w:bCs/>
                <w:sz w:val="20"/>
                <w:szCs w:val="20"/>
              </w:rPr>
            </w:pPr>
            <w:r w:rsidRPr="00362517">
              <w:rPr>
                <w:bCs/>
                <w:sz w:val="20"/>
                <w:szCs w:val="20"/>
              </w:rPr>
              <w:t>National Incremental Cost (NIC)</w:t>
            </w:r>
          </w:p>
          <w:p w14:paraId="5BFCA773" w14:textId="77777777" w:rsidR="00D8365A" w:rsidRPr="00362517" w:rsidRDefault="00D8365A" w:rsidP="00BF6BC7">
            <w:pPr>
              <w:pStyle w:val="TableGridCT"/>
              <w:keepNext/>
              <w:keepLines/>
              <w:tabs>
                <w:tab w:val="left" w:pos="720"/>
                <w:tab w:val="left" w:pos="1080"/>
                <w:tab w:val="left" w:pos="1440"/>
                <w:tab w:val="left" w:pos="1800"/>
              </w:tabs>
              <w:spacing w:line="264" w:lineRule="auto"/>
              <w:jc w:val="center"/>
              <w:rPr>
                <w:bCs/>
                <w:sz w:val="20"/>
                <w:szCs w:val="20"/>
              </w:rPr>
            </w:pPr>
            <w:r w:rsidRPr="00362517">
              <w:rPr>
                <w:bCs/>
                <w:sz w:val="20"/>
                <w:szCs w:val="20"/>
              </w:rPr>
              <w:t>($000)</w:t>
            </w:r>
          </w:p>
        </w:tc>
      </w:tr>
      <w:tr w:rsidR="00D8365A" w:rsidRPr="00362517" w14:paraId="7018AFBE" w14:textId="77777777" w:rsidTr="007A2164">
        <w:trPr>
          <w:trHeight w:val="510"/>
        </w:trPr>
        <w:tc>
          <w:tcPr>
            <w:tcW w:w="0" w:type="auto"/>
            <w:vMerge w:val="restart"/>
            <w:tcBorders>
              <w:top w:val="single" w:sz="2" w:space="0" w:color="auto"/>
              <w:left w:val="single" w:sz="8" w:space="0" w:color="auto"/>
              <w:right w:val="single" w:sz="2" w:space="0" w:color="auto"/>
            </w:tcBorders>
            <w:vAlign w:val="center"/>
            <w:hideMark/>
          </w:tcPr>
          <w:p w14:paraId="49EDB020" w14:textId="77777777" w:rsidR="00D8365A" w:rsidRPr="00362517" w:rsidRDefault="00D8365A" w:rsidP="00BF6BC7">
            <w:pPr>
              <w:keepNext/>
              <w:keepLines/>
              <w:rPr>
                <w:sz w:val="20"/>
                <w:szCs w:val="20"/>
              </w:rPr>
            </w:pPr>
            <w:r w:rsidRPr="00362517">
              <w:rPr>
                <w:sz w:val="20"/>
                <w:szCs w:val="20"/>
              </w:rPr>
              <w:t>Add commercial aerial category</w:t>
            </w:r>
          </w:p>
        </w:tc>
        <w:tc>
          <w:tcPr>
            <w:tcW w:w="1928" w:type="dxa"/>
            <w:tcBorders>
              <w:top w:val="single" w:sz="2" w:space="0" w:color="auto"/>
              <w:left w:val="single" w:sz="2" w:space="0" w:color="auto"/>
              <w:bottom w:val="single" w:sz="2" w:space="0" w:color="auto"/>
              <w:right w:val="single" w:sz="2" w:space="0" w:color="auto"/>
            </w:tcBorders>
            <w:vAlign w:val="center"/>
            <w:hideMark/>
          </w:tcPr>
          <w:p w14:paraId="3E8A953D" w14:textId="77777777" w:rsidR="00D8365A" w:rsidRPr="00362517" w:rsidRDefault="00D8365A" w:rsidP="00BF6BC7">
            <w:pPr>
              <w:keepNext/>
              <w:keepLines/>
              <w:rPr>
                <w:sz w:val="20"/>
                <w:szCs w:val="20"/>
              </w:rPr>
            </w:pPr>
            <w:r w:rsidRPr="00362517">
              <w:rPr>
                <w:sz w:val="20"/>
                <w:szCs w:val="20"/>
              </w:rPr>
              <w:t xml:space="preserve">Industry costs </w:t>
            </w:r>
          </w:p>
        </w:tc>
        <w:tc>
          <w:tcPr>
            <w:tcW w:w="2053" w:type="dxa"/>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658C284A" w14:textId="77777777" w:rsidR="00D8365A" w:rsidRPr="00362517" w:rsidRDefault="00D8365A" w:rsidP="00BF6BC7">
            <w:pPr>
              <w:keepNext/>
              <w:keepLines/>
              <w:jc w:val="center"/>
              <w:rPr>
                <w:sz w:val="20"/>
                <w:szCs w:val="20"/>
              </w:rPr>
            </w:pPr>
            <w:r w:rsidRPr="00362517">
              <w:rPr>
                <w:sz w:val="20"/>
                <w:szCs w:val="20"/>
              </w:rPr>
              <w:t>868</w:t>
            </w:r>
          </w:p>
        </w:tc>
        <w:tc>
          <w:tcPr>
            <w:tcW w:w="0" w:type="auto"/>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4CF284A3" w14:textId="77777777" w:rsidR="00D8365A" w:rsidRPr="00362517" w:rsidRDefault="00D8365A" w:rsidP="00BF6BC7">
            <w:pPr>
              <w:keepNext/>
              <w:keepLines/>
              <w:jc w:val="center"/>
              <w:rPr>
                <w:sz w:val="20"/>
                <w:szCs w:val="20"/>
              </w:rPr>
            </w:pPr>
            <w:r w:rsidRPr="00362517">
              <w:rPr>
                <w:sz w:val="20"/>
                <w:szCs w:val="20"/>
              </w:rPr>
              <w:t>472</w:t>
            </w:r>
          </w:p>
        </w:tc>
        <w:tc>
          <w:tcPr>
            <w:tcW w:w="0" w:type="auto"/>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0ED72E52" w14:textId="77777777" w:rsidR="00D8365A" w:rsidRPr="00362517" w:rsidRDefault="00D8365A" w:rsidP="00BF6BC7">
            <w:pPr>
              <w:keepNext/>
              <w:keepLines/>
              <w:jc w:val="center"/>
              <w:rPr>
                <w:sz w:val="20"/>
                <w:szCs w:val="20"/>
              </w:rPr>
            </w:pPr>
            <w:r w:rsidRPr="00362517">
              <w:rPr>
                <w:sz w:val="20"/>
                <w:szCs w:val="20"/>
              </w:rPr>
              <w:t>396</w:t>
            </w:r>
          </w:p>
        </w:tc>
      </w:tr>
      <w:tr w:rsidR="00D8365A" w:rsidRPr="00362517" w14:paraId="7355AA32" w14:textId="77777777" w:rsidTr="007A2164">
        <w:tc>
          <w:tcPr>
            <w:tcW w:w="0" w:type="auto"/>
            <w:vMerge/>
            <w:tcBorders>
              <w:left w:val="single" w:sz="8" w:space="0" w:color="auto"/>
              <w:right w:val="single" w:sz="2" w:space="0" w:color="auto"/>
            </w:tcBorders>
            <w:vAlign w:val="center"/>
            <w:hideMark/>
          </w:tcPr>
          <w:p w14:paraId="7E1AEF73" w14:textId="77777777" w:rsidR="00D8365A" w:rsidRPr="00362517" w:rsidRDefault="00D8365A" w:rsidP="00BF6BC7">
            <w:pPr>
              <w:keepNext/>
              <w:keepLines/>
              <w:rPr>
                <w:sz w:val="20"/>
                <w:szCs w:val="20"/>
              </w:rPr>
            </w:pPr>
          </w:p>
        </w:tc>
        <w:tc>
          <w:tcPr>
            <w:tcW w:w="1928" w:type="dxa"/>
            <w:tcBorders>
              <w:top w:val="single" w:sz="2" w:space="0" w:color="auto"/>
              <w:left w:val="single" w:sz="2" w:space="0" w:color="auto"/>
              <w:bottom w:val="single" w:sz="2" w:space="0" w:color="auto"/>
              <w:right w:val="single" w:sz="2" w:space="0" w:color="auto"/>
            </w:tcBorders>
            <w:vAlign w:val="center"/>
            <w:hideMark/>
          </w:tcPr>
          <w:p w14:paraId="6A61107A" w14:textId="77777777" w:rsidR="00D8365A" w:rsidRPr="00362517" w:rsidRDefault="00D8365A" w:rsidP="00BF6BC7">
            <w:pPr>
              <w:keepNext/>
              <w:keepLines/>
              <w:rPr>
                <w:sz w:val="20"/>
                <w:szCs w:val="20"/>
              </w:rPr>
            </w:pPr>
            <w:r w:rsidRPr="00362517">
              <w:rPr>
                <w:sz w:val="20"/>
                <w:szCs w:val="20"/>
              </w:rPr>
              <w:t>State costs: administer exam</w:t>
            </w:r>
          </w:p>
        </w:tc>
        <w:tc>
          <w:tcPr>
            <w:tcW w:w="2053" w:type="dxa"/>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28C20258" w14:textId="77777777" w:rsidR="00D8365A" w:rsidRPr="00362517" w:rsidRDefault="00D8365A" w:rsidP="00BF6BC7">
            <w:pPr>
              <w:keepNext/>
              <w:keepLines/>
              <w:jc w:val="center"/>
              <w:rPr>
                <w:sz w:val="20"/>
                <w:szCs w:val="20"/>
              </w:rPr>
            </w:pPr>
            <w:r w:rsidRPr="00362517">
              <w:rPr>
                <w:sz w:val="20"/>
                <w:szCs w:val="20"/>
              </w:rPr>
              <w:t>1.9</w:t>
            </w:r>
          </w:p>
        </w:tc>
        <w:tc>
          <w:tcPr>
            <w:tcW w:w="0" w:type="auto"/>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35E0C4A2" w14:textId="77777777" w:rsidR="00D8365A" w:rsidRPr="00362517" w:rsidRDefault="00D8365A" w:rsidP="00BF6BC7">
            <w:pPr>
              <w:keepNext/>
              <w:keepLines/>
              <w:jc w:val="center"/>
              <w:rPr>
                <w:sz w:val="20"/>
                <w:szCs w:val="20"/>
              </w:rPr>
            </w:pPr>
            <w:r w:rsidRPr="00362517">
              <w:rPr>
                <w:sz w:val="20"/>
                <w:szCs w:val="20"/>
              </w:rPr>
              <w:t>0.9</w:t>
            </w:r>
          </w:p>
        </w:tc>
        <w:tc>
          <w:tcPr>
            <w:tcW w:w="0" w:type="auto"/>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0AE44C74" w14:textId="77777777" w:rsidR="00D8365A" w:rsidRPr="00362517" w:rsidRDefault="00D8365A" w:rsidP="00BF6BC7">
            <w:pPr>
              <w:keepNext/>
              <w:keepLines/>
              <w:jc w:val="center"/>
              <w:rPr>
                <w:sz w:val="20"/>
                <w:szCs w:val="20"/>
              </w:rPr>
            </w:pPr>
            <w:r w:rsidRPr="00362517">
              <w:rPr>
                <w:sz w:val="20"/>
                <w:szCs w:val="20"/>
              </w:rPr>
              <w:t>0.9</w:t>
            </w:r>
          </w:p>
        </w:tc>
      </w:tr>
      <w:tr w:rsidR="00D8365A" w:rsidRPr="00362517" w14:paraId="2C3248C1" w14:textId="77777777" w:rsidTr="007A2164">
        <w:tc>
          <w:tcPr>
            <w:tcW w:w="0" w:type="auto"/>
            <w:vMerge/>
            <w:tcBorders>
              <w:left w:val="single" w:sz="8" w:space="0" w:color="auto"/>
              <w:bottom w:val="single" w:sz="2" w:space="0" w:color="auto"/>
              <w:right w:val="single" w:sz="2" w:space="0" w:color="auto"/>
            </w:tcBorders>
            <w:vAlign w:val="center"/>
            <w:hideMark/>
          </w:tcPr>
          <w:p w14:paraId="386F38E0" w14:textId="77777777" w:rsidR="00D8365A" w:rsidRPr="00362517" w:rsidRDefault="00D8365A" w:rsidP="00BF6BC7">
            <w:pPr>
              <w:rPr>
                <w:sz w:val="20"/>
                <w:szCs w:val="20"/>
              </w:rPr>
            </w:pPr>
          </w:p>
        </w:tc>
        <w:tc>
          <w:tcPr>
            <w:tcW w:w="1928" w:type="dxa"/>
            <w:tcBorders>
              <w:top w:val="single" w:sz="2" w:space="0" w:color="auto"/>
              <w:left w:val="single" w:sz="2" w:space="0" w:color="auto"/>
              <w:bottom w:val="single" w:sz="2" w:space="0" w:color="auto"/>
              <w:right w:val="single" w:sz="2" w:space="0" w:color="auto"/>
            </w:tcBorders>
            <w:vAlign w:val="center"/>
            <w:hideMark/>
          </w:tcPr>
          <w:p w14:paraId="1DE5B4D5" w14:textId="77777777" w:rsidR="00D8365A" w:rsidRPr="00362517" w:rsidRDefault="00D8365A" w:rsidP="00BF6BC7">
            <w:pPr>
              <w:keepNext/>
              <w:keepLines/>
              <w:rPr>
                <w:sz w:val="20"/>
                <w:szCs w:val="20"/>
              </w:rPr>
            </w:pPr>
            <w:r w:rsidRPr="00362517">
              <w:rPr>
                <w:sz w:val="20"/>
                <w:szCs w:val="20"/>
              </w:rPr>
              <w:t>State costs: develop exam</w:t>
            </w:r>
          </w:p>
        </w:tc>
        <w:tc>
          <w:tcPr>
            <w:tcW w:w="2053" w:type="dxa"/>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1056FF7C" w14:textId="77777777" w:rsidR="00D8365A" w:rsidRPr="00362517" w:rsidRDefault="00D8365A" w:rsidP="00BF6BC7">
            <w:pPr>
              <w:jc w:val="center"/>
              <w:rPr>
                <w:sz w:val="20"/>
                <w:szCs w:val="20"/>
              </w:rPr>
            </w:pPr>
            <w:r w:rsidRPr="00362517">
              <w:rPr>
                <w:sz w:val="20"/>
                <w:szCs w:val="20"/>
              </w:rPr>
              <w:t>9</w:t>
            </w:r>
          </w:p>
        </w:tc>
        <w:tc>
          <w:tcPr>
            <w:tcW w:w="0" w:type="auto"/>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7494030C" w14:textId="77777777" w:rsidR="00D8365A" w:rsidRPr="00362517" w:rsidRDefault="00D8365A" w:rsidP="00BF6BC7">
            <w:pPr>
              <w:jc w:val="center"/>
              <w:rPr>
                <w:sz w:val="20"/>
                <w:szCs w:val="20"/>
              </w:rPr>
            </w:pPr>
            <w:r w:rsidRPr="00362517">
              <w:rPr>
                <w:sz w:val="20"/>
                <w:szCs w:val="20"/>
              </w:rPr>
              <w:t>0</w:t>
            </w:r>
          </w:p>
        </w:tc>
        <w:tc>
          <w:tcPr>
            <w:tcW w:w="0" w:type="auto"/>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6D45DCBE" w14:textId="77777777" w:rsidR="00D8365A" w:rsidRPr="00362517" w:rsidRDefault="00D8365A" w:rsidP="00BF6BC7">
            <w:pPr>
              <w:jc w:val="center"/>
              <w:rPr>
                <w:sz w:val="20"/>
                <w:szCs w:val="20"/>
              </w:rPr>
            </w:pPr>
            <w:r w:rsidRPr="00362517">
              <w:rPr>
                <w:sz w:val="20"/>
                <w:szCs w:val="20"/>
              </w:rPr>
              <w:t>9</w:t>
            </w:r>
          </w:p>
        </w:tc>
      </w:tr>
      <w:tr w:rsidR="00D8365A" w:rsidRPr="00362517" w14:paraId="53B9131F" w14:textId="77777777" w:rsidTr="007A2164">
        <w:tc>
          <w:tcPr>
            <w:tcW w:w="0" w:type="auto"/>
            <w:vMerge w:val="restart"/>
            <w:tcBorders>
              <w:top w:val="single" w:sz="2" w:space="0" w:color="auto"/>
              <w:left w:val="single" w:sz="8" w:space="0" w:color="auto"/>
              <w:bottom w:val="single" w:sz="12" w:space="0" w:color="auto"/>
              <w:right w:val="single" w:sz="2" w:space="0" w:color="auto"/>
            </w:tcBorders>
            <w:vAlign w:val="center"/>
            <w:hideMark/>
          </w:tcPr>
          <w:p w14:paraId="201DE4F7" w14:textId="77777777" w:rsidR="00D8365A" w:rsidRPr="00362517" w:rsidRDefault="00D8365A" w:rsidP="00BF6BC7">
            <w:pPr>
              <w:pStyle w:val="BodyText"/>
              <w:rPr>
                <w:sz w:val="20"/>
                <w:szCs w:val="20"/>
              </w:rPr>
            </w:pPr>
            <w:r w:rsidRPr="00362517">
              <w:rPr>
                <w:sz w:val="20"/>
                <w:szCs w:val="20"/>
              </w:rPr>
              <w:t>Add commercial non-soil fumigation categories</w:t>
            </w:r>
          </w:p>
        </w:tc>
        <w:tc>
          <w:tcPr>
            <w:tcW w:w="1928" w:type="dxa"/>
            <w:tcBorders>
              <w:top w:val="single" w:sz="2" w:space="0" w:color="auto"/>
              <w:left w:val="single" w:sz="2" w:space="0" w:color="auto"/>
              <w:bottom w:val="single" w:sz="4" w:space="0" w:color="auto"/>
              <w:right w:val="single" w:sz="2" w:space="0" w:color="auto"/>
            </w:tcBorders>
            <w:vAlign w:val="center"/>
            <w:hideMark/>
          </w:tcPr>
          <w:p w14:paraId="35E58AD5" w14:textId="77777777" w:rsidR="00D8365A" w:rsidRPr="00362517" w:rsidRDefault="00D8365A" w:rsidP="00BF6BC7">
            <w:pPr>
              <w:pStyle w:val="BodyText"/>
              <w:rPr>
                <w:sz w:val="20"/>
                <w:szCs w:val="20"/>
              </w:rPr>
            </w:pPr>
            <w:r w:rsidRPr="00362517">
              <w:rPr>
                <w:sz w:val="20"/>
                <w:szCs w:val="20"/>
              </w:rPr>
              <w:t xml:space="preserve">Industry costs </w:t>
            </w:r>
          </w:p>
        </w:tc>
        <w:tc>
          <w:tcPr>
            <w:tcW w:w="2053" w:type="dxa"/>
            <w:tcBorders>
              <w:top w:val="single" w:sz="2" w:space="0" w:color="auto"/>
              <w:left w:val="single" w:sz="2" w:space="0" w:color="auto"/>
              <w:bottom w:val="single" w:sz="4" w:space="0" w:color="auto"/>
              <w:right w:val="single" w:sz="2" w:space="0" w:color="auto"/>
            </w:tcBorders>
            <w:tcMar>
              <w:left w:w="115" w:type="dxa"/>
              <w:right w:w="288" w:type="dxa"/>
            </w:tcMar>
            <w:vAlign w:val="center"/>
            <w:hideMark/>
          </w:tcPr>
          <w:p w14:paraId="420BE293" w14:textId="77777777" w:rsidR="00D8365A" w:rsidRPr="00362517" w:rsidRDefault="00D8365A" w:rsidP="00BF6BC7">
            <w:pPr>
              <w:keepNext/>
              <w:keepLines/>
              <w:jc w:val="center"/>
              <w:rPr>
                <w:sz w:val="20"/>
                <w:szCs w:val="20"/>
              </w:rPr>
            </w:pPr>
            <w:r w:rsidRPr="00362517">
              <w:rPr>
                <w:sz w:val="20"/>
                <w:szCs w:val="20"/>
              </w:rPr>
              <w:t>406</w:t>
            </w:r>
          </w:p>
        </w:tc>
        <w:tc>
          <w:tcPr>
            <w:tcW w:w="0" w:type="auto"/>
            <w:tcBorders>
              <w:top w:val="single" w:sz="2" w:space="0" w:color="auto"/>
              <w:left w:val="single" w:sz="2" w:space="0" w:color="auto"/>
              <w:bottom w:val="single" w:sz="4" w:space="0" w:color="auto"/>
              <w:right w:val="single" w:sz="2" w:space="0" w:color="auto"/>
            </w:tcBorders>
            <w:tcMar>
              <w:left w:w="115" w:type="dxa"/>
              <w:right w:w="288" w:type="dxa"/>
            </w:tcMar>
            <w:vAlign w:val="center"/>
            <w:hideMark/>
          </w:tcPr>
          <w:p w14:paraId="5CFFE908" w14:textId="77777777" w:rsidR="00D8365A" w:rsidRPr="00362517" w:rsidRDefault="00D8365A" w:rsidP="00BF6BC7">
            <w:pPr>
              <w:keepNext/>
              <w:keepLines/>
              <w:jc w:val="center"/>
              <w:rPr>
                <w:sz w:val="20"/>
                <w:szCs w:val="20"/>
              </w:rPr>
            </w:pPr>
            <w:r w:rsidRPr="00362517">
              <w:rPr>
                <w:sz w:val="20"/>
                <w:szCs w:val="20"/>
              </w:rPr>
              <w:t>255</w:t>
            </w:r>
          </w:p>
        </w:tc>
        <w:tc>
          <w:tcPr>
            <w:tcW w:w="0" w:type="auto"/>
            <w:tcBorders>
              <w:top w:val="single" w:sz="2" w:space="0" w:color="auto"/>
              <w:left w:val="single" w:sz="2" w:space="0" w:color="auto"/>
              <w:bottom w:val="single" w:sz="4" w:space="0" w:color="auto"/>
              <w:right w:val="single" w:sz="8" w:space="0" w:color="auto"/>
            </w:tcBorders>
            <w:tcMar>
              <w:left w:w="115" w:type="dxa"/>
              <w:right w:w="288" w:type="dxa"/>
            </w:tcMar>
            <w:vAlign w:val="center"/>
            <w:hideMark/>
          </w:tcPr>
          <w:p w14:paraId="609BCA9F" w14:textId="77777777" w:rsidR="00D8365A" w:rsidRPr="00362517" w:rsidRDefault="00D8365A" w:rsidP="00BF6BC7">
            <w:pPr>
              <w:keepNext/>
              <w:keepLines/>
              <w:jc w:val="center"/>
              <w:rPr>
                <w:sz w:val="20"/>
                <w:szCs w:val="20"/>
              </w:rPr>
            </w:pPr>
            <w:r w:rsidRPr="00362517">
              <w:rPr>
                <w:sz w:val="20"/>
                <w:szCs w:val="20"/>
              </w:rPr>
              <w:t>151</w:t>
            </w:r>
          </w:p>
        </w:tc>
      </w:tr>
      <w:tr w:rsidR="00D8365A" w:rsidRPr="00362517" w14:paraId="2163F58C" w14:textId="77777777" w:rsidTr="007A2164">
        <w:tc>
          <w:tcPr>
            <w:tcW w:w="0" w:type="auto"/>
            <w:vMerge/>
            <w:tcBorders>
              <w:top w:val="single" w:sz="2" w:space="0" w:color="auto"/>
              <w:left w:val="single" w:sz="8" w:space="0" w:color="auto"/>
              <w:bottom w:val="single" w:sz="12" w:space="0" w:color="auto"/>
              <w:right w:val="single" w:sz="4" w:space="0" w:color="auto"/>
            </w:tcBorders>
            <w:vAlign w:val="center"/>
            <w:hideMark/>
          </w:tcPr>
          <w:p w14:paraId="7E1F7289" w14:textId="77777777" w:rsidR="00D8365A" w:rsidRPr="00362517" w:rsidRDefault="00D8365A" w:rsidP="00BF6BC7">
            <w:pPr>
              <w:rPr>
                <w:rFonts w:cs="Arial"/>
                <w:sz w:val="20"/>
                <w:szCs w:val="20"/>
              </w:rPr>
            </w:pPr>
          </w:p>
        </w:tc>
        <w:tc>
          <w:tcPr>
            <w:tcW w:w="1928" w:type="dxa"/>
            <w:tcBorders>
              <w:top w:val="single" w:sz="4" w:space="0" w:color="auto"/>
              <w:left w:val="single" w:sz="4" w:space="0" w:color="auto"/>
              <w:bottom w:val="single" w:sz="4" w:space="0" w:color="auto"/>
              <w:right w:val="single" w:sz="4" w:space="0" w:color="auto"/>
            </w:tcBorders>
            <w:vAlign w:val="center"/>
            <w:hideMark/>
          </w:tcPr>
          <w:p w14:paraId="1779EFA7" w14:textId="77777777" w:rsidR="00D8365A" w:rsidRPr="00362517" w:rsidRDefault="00D8365A" w:rsidP="00BF6BC7">
            <w:pPr>
              <w:pStyle w:val="BodyText"/>
              <w:rPr>
                <w:sz w:val="20"/>
                <w:szCs w:val="20"/>
              </w:rPr>
            </w:pPr>
            <w:r w:rsidRPr="00362517">
              <w:rPr>
                <w:sz w:val="20"/>
                <w:szCs w:val="20"/>
              </w:rPr>
              <w:t xml:space="preserve">State costs: administer exam </w:t>
            </w:r>
          </w:p>
        </w:tc>
        <w:tc>
          <w:tcPr>
            <w:tcW w:w="2053" w:type="dxa"/>
            <w:tcBorders>
              <w:top w:val="single" w:sz="4" w:space="0" w:color="auto"/>
              <w:left w:val="single" w:sz="4" w:space="0" w:color="auto"/>
              <w:bottom w:val="single" w:sz="4" w:space="0" w:color="auto"/>
              <w:right w:val="single" w:sz="4" w:space="0" w:color="auto"/>
            </w:tcBorders>
            <w:tcMar>
              <w:left w:w="115" w:type="dxa"/>
              <w:right w:w="288" w:type="dxa"/>
            </w:tcMar>
            <w:vAlign w:val="center"/>
            <w:hideMark/>
          </w:tcPr>
          <w:p w14:paraId="3BEB9323" w14:textId="77777777" w:rsidR="00D8365A" w:rsidRPr="00362517" w:rsidRDefault="00D8365A" w:rsidP="00BF6BC7">
            <w:pPr>
              <w:jc w:val="center"/>
              <w:rPr>
                <w:sz w:val="20"/>
                <w:szCs w:val="20"/>
              </w:rPr>
            </w:pPr>
            <w:r w:rsidRPr="00362517">
              <w:rPr>
                <w:sz w:val="20"/>
                <w:szCs w:val="20"/>
              </w:rPr>
              <w:t>2.7</w:t>
            </w:r>
          </w:p>
        </w:tc>
        <w:tc>
          <w:tcPr>
            <w:tcW w:w="0" w:type="auto"/>
            <w:tcBorders>
              <w:top w:val="single" w:sz="4" w:space="0" w:color="auto"/>
              <w:left w:val="single" w:sz="4" w:space="0" w:color="auto"/>
              <w:bottom w:val="single" w:sz="4" w:space="0" w:color="auto"/>
              <w:right w:val="single" w:sz="4" w:space="0" w:color="auto"/>
            </w:tcBorders>
            <w:tcMar>
              <w:left w:w="115" w:type="dxa"/>
              <w:right w:w="288" w:type="dxa"/>
            </w:tcMar>
            <w:vAlign w:val="center"/>
            <w:hideMark/>
          </w:tcPr>
          <w:p w14:paraId="57788BC4" w14:textId="77777777" w:rsidR="00D8365A" w:rsidRPr="00362517" w:rsidRDefault="00D8365A" w:rsidP="00BF6BC7">
            <w:pPr>
              <w:jc w:val="center"/>
              <w:rPr>
                <w:sz w:val="20"/>
                <w:szCs w:val="20"/>
              </w:rPr>
            </w:pPr>
            <w:r w:rsidRPr="00362517">
              <w:rPr>
                <w:sz w:val="20"/>
                <w:szCs w:val="20"/>
              </w:rPr>
              <w:t>1.2</w:t>
            </w:r>
          </w:p>
        </w:tc>
        <w:tc>
          <w:tcPr>
            <w:tcW w:w="0" w:type="auto"/>
            <w:tcBorders>
              <w:top w:val="single" w:sz="4" w:space="0" w:color="auto"/>
              <w:left w:val="single" w:sz="4" w:space="0" w:color="auto"/>
              <w:bottom w:val="single" w:sz="4" w:space="0" w:color="auto"/>
              <w:right w:val="single" w:sz="4" w:space="0" w:color="auto"/>
            </w:tcBorders>
            <w:tcMar>
              <w:left w:w="115" w:type="dxa"/>
              <w:right w:w="288" w:type="dxa"/>
            </w:tcMar>
            <w:vAlign w:val="center"/>
            <w:hideMark/>
          </w:tcPr>
          <w:p w14:paraId="4696C72D" w14:textId="77777777" w:rsidR="00D8365A" w:rsidRPr="00362517" w:rsidRDefault="00D8365A" w:rsidP="00BF6BC7">
            <w:pPr>
              <w:jc w:val="center"/>
              <w:rPr>
                <w:sz w:val="20"/>
                <w:szCs w:val="20"/>
              </w:rPr>
            </w:pPr>
            <w:r w:rsidRPr="00362517">
              <w:rPr>
                <w:sz w:val="20"/>
                <w:szCs w:val="20"/>
              </w:rPr>
              <w:t>1.4</w:t>
            </w:r>
          </w:p>
        </w:tc>
      </w:tr>
      <w:tr w:rsidR="00D8365A" w:rsidRPr="00362517" w14:paraId="29F71DC7" w14:textId="77777777" w:rsidTr="007A2164">
        <w:tc>
          <w:tcPr>
            <w:tcW w:w="0" w:type="auto"/>
            <w:vMerge/>
            <w:tcBorders>
              <w:top w:val="single" w:sz="2" w:space="0" w:color="auto"/>
              <w:left w:val="single" w:sz="8" w:space="0" w:color="auto"/>
              <w:bottom w:val="single" w:sz="12" w:space="0" w:color="auto"/>
              <w:right w:val="single" w:sz="2" w:space="0" w:color="auto"/>
            </w:tcBorders>
            <w:vAlign w:val="center"/>
            <w:hideMark/>
          </w:tcPr>
          <w:p w14:paraId="12CFBA6D" w14:textId="77777777" w:rsidR="00D8365A" w:rsidRPr="00362517" w:rsidRDefault="00D8365A" w:rsidP="00BF6BC7">
            <w:pPr>
              <w:rPr>
                <w:rFonts w:cs="Arial"/>
                <w:sz w:val="20"/>
                <w:szCs w:val="20"/>
              </w:rPr>
            </w:pPr>
          </w:p>
        </w:tc>
        <w:tc>
          <w:tcPr>
            <w:tcW w:w="1928" w:type="dxa"/>
            <w:tcBorders>
              <w:top w:val="single" w:sz="4" w:space="0" w:color="auto"/>
              <w:left w:val="single" w:sz="2" w:space="0" w:color="auto"/>
              <w:bottom w:val="single" w:sz="12" w:space="0" w:color="auto"/>
              <w:right w:val="single" w:sz="2" w:space="0" w:color="auto"/>
            </w:tcBorders>
            <w:vAlign w:val="center"/>
            <w:hideMark/>
          </w:tcPr>
          <w:p w14:paraId="462FB4C6" w14:textId="77777777" w:rsidR="00D8365A" w:rsidRPr="00362517" w:rsidRDefault="00D8365A" w:rsidP="00BF6BC7">
            <w:pPr>
              <w:keepNext/>
              <w:keepLines/>
              <w:rPr>
                <w:sz w:val="20"/>
                <w:szCs w:val="20"/>
              </w:rPr>
            </w:pPr>
            <w:r w:rsidRPr="00362517">
              <w:rPr>
                <w:sz w:val="20"/>
                <w:szCs w:val="20"/>
              </w:rPr>
              <w:t>State costs: develop exam</w:t>
            </w:r>
          </w:p>
        </w:tc>
        <w:tc>
          <w:tcPr>
            <w:tcW w:w="2053" w:type="dxa"/>
            <w:tcBorders>
              <w:top w:val="single" w:sz="4" w:space="0" w:color="auto"/>
              <w:left w:val="single" w:sz="2" w:space="0" w:color="auto"/>
              <w:bottom w:val="single" w:sz="12" w:space="0" w:color="auto"/>
              <w:right w:val="single" w:sz="2" w:space="0" w:color="auto"/>
            </w:tcBorders>
            <w:tcMar>
              <w:left w:w="115" w:type="dxa"/>
              <w:right w:w="288" w:type="dxa"/>
            </w:tcMar>
            <w:vAlign w:val="center"/>
            <w:hideMark/>
          </w:tcPr>
          <w:p w14:paraId="2F36ED37" w14:textId="77777777" w:rsidR="00D8365A" w:rsidRPr="00362517" w:rsidRDefault="00D8365A" w:rsidP="00BF6BC7">
            <w:pPr>
              <w:jc w:val="center"/>
              <w:rPr>
                <w:sz w:val="20"/>
                <w:szCs w:val="20"/>
              </w:rPr>
            </w:pPr>
            <w:r w:rsidRPr="00362517">
              <w:rPr>
                <w:sz w:val="20"/>
                <w:szCs w:val="20"/>
              </w:rPr>
              <w:t>7</w:t>
            </w:r>
          </w:p>
        </w:tc>
        <w:tc>
          <w:tcPr>
            <w:tcW w:w="0" w:type="auto"/>
            <w:tcBorders>
              <w:top w:val="single" w:sz="4" w:space="0" w:color="auto"/>
              <w:left w:val="single" w:sz="2" w:space="0" w:color="auto"/>
              <w:bottom w:val="single" w:sz="12" w:space="0" w:color="auto"/>
              <w:right w:val="single" w:sz="2" w:space="0" w:color="auto"/>
            </w:tcBorders>
            <w:tcMar>
              <w:left w:w="115" w:type="dxa"/>
              <w:right w:w="288" w:type="dxa"/>
            </w:tcMar>
            <w:vAlign w:val="center"/>
            <w:hideMark/>
          </w:tcPr>
          <w:p w14:paraId="69373649" w14:textId="77777777" w:rsidR="00D8365A" w:rsidRPr="00362517" w:rsidRDefault="00D8365A" w:rsidP="00BF6BC7">
            <w:pPr>
              <w:jc w:val="center"/>
              <w:rPr>
                <w:sz w:val="20"/>
                <w:szCs w:val="20"/>
              </w:rPr>
            </w:pPr>
            <w:r w:rsidRPr="00362517">
              <w:rPr>
                <w:sz w:val="20"/>
                <w:szCs w:val="20"/>
              </w:rPr>
              <w:t>0</w:t>
            </w:r>
          </w:p>
        </w:tc>
        <w:tc>
          <w:tcPr>
            <w:tcW w:w="0" w:type="auto"/>
            <w:tcBorders>
              <w:top w:val="single" w:sz="4" w:space="0" w:color="auto"/>
              <w:left w:val="single" w:sz="2" w:space="0" w:color="auto"/>
              <w:bottom w:val="single" w:sz="12" w:space="0" w:color="auto"/>
              <w:right w:val="single" w:sz="8" w:space="0" w:color="auto"/>
            </w:tcBorders>
            <w:tcMar>
              <w:left w:w="115" w:type="dxa"/>
              <w:right w:w="288" w:type="dxa"/>
            </w:tcMar>
            <w:vAlign w:val="center"/>
            <w:hideMark/>
          </w:tcPr>
          <w:p w14:paraId="062A9086" w14:textId="77777777" w:rsidR="00D8365A" w:rsidRPr="00362517" w:rsidRDefault="00D8365A" w:rsidP="00BF6BC7">
            <w:pPr>
              <w:jc w:val="center"/>
              <w:rPr>
                <w:sz w:val="20"/>
                <w:szCs w:val="20"/>
              </w:rPr>
            </w:pPr>
            <w:r w:rsidRPr="00362517">
              <w:rPr>
                <w:sz w:val="20"/>
                <w:szCs w:val="20"/>
              </w:rPr>
              <w:t>7</w:t>
            </w:r>
          </w:p>
        </w:tc>
      </w:tr>
    </w:tbl>
    <w:p w14:paraId="083E1E82" w14:textId="0FD4247D" w:rsidR="00D8365A" w:rsidRPr="00362517" w:rsidRDefault="00D8365A" w:rsidP="00BF6BC7">
      <w:pPr>
        <w:pStyle w:val="Source"/>
        <w:rPr>
          <w:sz w:val="20"/>
          <w:szCs w:val="20"/>
        </w:rPr>
      </w:pPr>
      <w:r w:rsidRPr="00362517">
        <w:rPr>
          <w:sz w:val="20"/>
          <w:szCs w:val="20"/>
          <w:vertAlign w:val="superscript"/>
        </w:rPr>
        <w:t>1</w:t>
      </w:r>
      <w:r w:rsidRPr="00362517">
        <w:rPr>
          <w:sz w:val="22"/>
          <w:szCs w:val="22"/>
        </w:rPr>
        <w:t xml:space="preserve"> Source:  EPA calculations using a three percent discount rate over a ten</w:t>
      </w:r>
      <w:r w:rsidR="00CA28EA">
        <w:rPr>
          <w:sz w:val="22"/>
          <w:szCs w:val="22"/>
        </w:rPr>
        <w:t>-</w:t>
      </w:r>
      <w:r w:rsidRPr="00362517">
        <w:rPr>
          <w:sz w:val="22"/>
          <w:szCs w:val="22"/>
        </w:rPr>
        <w:t>year horizon.</w:t>
      </w:r>
      <w:r w:rsidRPr="00362517">
        <w:rPr>
          <w:sz w:val="20"/>
          <w:szCs w:val="20"/>
        </w:rPr>
        <w:t xml:space="preserve">  </w:t>
      </w:r>
    </w:p>
    <w:bookmarkEnd w:id="195"/>
    <w:bookmarkEnd w:id="196"/>
    <w:p w14:paraId="52251214" w14:textId="77777777" w:rsidR="00D8365A" w:rsidRPr="00362517" w:rsidRDefault="00D8365A" w:rsidP="00BF6BC7">
      <w:pPr>
        <w:pStyle w:val="BodyText"/>
      </w:pPr>
    </w:p>
    <w:p w14:paraId="73337396" w14:textId="77777777" w:rsidR="00D8365A" w:rsidRPr="00362517" w:rsidRDefault="00D8365A" w:rsidP="00BF6BC7">
      <w:pPr>
        <w:pStyle w:val="NoSpacing"/>
      </w:pPr>
      <w:r w:rsidRPr="00362517">
        <w:t>In addition to the costs described above, these requirements will also entail relatively small state costs of administering certification exams with a total of about $2,500 per year (Table 3.4-3).</w:t>
      </w:r>
    </w:p>
    <w:p w14:paraId="17E63808" w14:textId="77777777" w:rsidR="00D8365A" w:rsidRPr="00362517" w:rsidRDefault="00D8365A" w:rsidP="00BF6BC7"/>
    <w:p w14:paraId="76004C2A" w14:textId="77777777" w:rsidR="00D8365A" w:rsidRPr="00362517" w:rsidRDefault="00D8365A" w:rsidP="00BF6BC7">
      <w:r w:rsidRPr="00362517">
        <w:t xml:space="preserve"> </w:t>
      </w:r>
    </w:p>
    <w:p w14:paraId="0476EF7B" w14:textId="77777777" w:rsidR="00D8365A" w:rsidRPr="00362517" w:rsidRDefault="00D8365A" w:rsidP="00BF6BC7">
      <w:pPr>
        <w:pStyle w:val="Heading4"/>
      </w:pPr>
      <w:r w:rsidRPr="00362517">
        <w:t>3.4.2.2  Establish Certification Categories for Private Applicator</w:t>
      </w:r>
    </w:p>
    <w:p w14:paraId="61CDFDD9" w14:textId="77777777" w:rsidR="00D8365A" w:rsidRPr="00362517" w:rsidRDefault="00D8365A" w:rsidP="00BF6BC7">
      <w:pPr>
        <w:pStyle w:val="NoSpacing"/>
      </w:pPr>
      <w:r w:rsidRPr="00362517">
        <w:t>For the private certification categories (aerial, soil, and non-soil fumigation), EPA developed estimates of the number of applicators by new category as presented in Table 3.4-4.</w:t>
      </w:r>
    </w:p>
    <w:p w14:paraId="36906891" w14:textId="77777777" w:rsidR="00D8365A" w:rsidRPr="00362517" w:rsidRDefault="00D8365A" w:rsidP="00BF6BC7"/>
    <w:p w14:paraId="5D084A61" w14:textId="77777777" w:rsidR="00D8365A" w:rsidRPr="00362517" w:rsidRDefault="00D8365A" w:rsidP="00BF6BC7">
      <w:pPr>
        <w:pStyle w:val="NoSpacing"/>
        <w:keepNext/>
        <w:rPr>
          <w:b/>
        </w:rPr>
      </w:pPr>
      <w:bookmarkStart w:id="197" w:name="_Ref282521930"/>
      <w:bookmarkStart w:id="198" w:name="_Ref281491714"/>
      <w:r w:rsidRPr="00362517">
        <w:rPr>
          <w:b/>
        </w:rPr>
        <w:t>Table 3.4-</w:t>
      </w:r>
      <w:bookmarkEnd w:id="197"/>
      <w:bookmarkEnd w:id="198"/>
      <w:r w:rsidRPr="00362517">
        <w:rPr>
          <w:b/>
        </w:rPr>
        <w:t>4: Private Applicator Numbers by Potential Category</w:t>
      </w:r>
    </w:p>
    <w:tbl>
      <w:tblPr>
        <w:tblW w:w="9468" w:type="dxa"/>
        <w:tblBorders>
          <w:top w:val="single" w:sz="8" w:space="0" w:color="auto"/>
          <w:left w:val="single" w:sz="8" w:space="0" w:color="auto"/>
          <w:bottom w:val="single" w:sz="12" w:space="0" w:color="auto"/>
          <w:right w:val="single" w:sz="8" w:space="0" w:color="auto"/>
          <w:insideH w:val="single" w:sz="2" w:space="0" w:color="auto"/>
          <w:insideV w:val="single" w:sz="2" w:space="0" w:color="auto"/>
        </w:tblBorders>
        <w:tblLook w:val="01E0" w:firstRow="1" w:lastRow="1" w:firstColumn="1" w:lastColumn="1" w:noHBand="0" w:noVBand="0"/>
      </w:tblPr>
      <w:tblGrid>
        <w:gridCol w:w="4428"/>
        <w:gridCol w:w="1680"/>
        <w:gridCol w:w="1680"/>
        <w:gridCol w:w="1680"/>
      </w:tblGrid>
      <w:tr w:rsidR="00D8365A" w:rsidRPr="00362517" w14:paraId="17174BDB" w14:textId="77777777" w:rsidTr="007A2164">
        <w:trPr>
          <w:trHeight w:val="255"/>
        </w:trPr>
        <w:tc>
          <w:tcPr>
            <w:tcW w:w="4428" w:type="dxa"/>
            <w:tcBorders>
              <w:top w:val="single" w:sz="8" w:space="0" w:color="auto"/>
              <w:left w:val="single" w:sz="8" w:space="0" w:color="auto"/>
              <w:bottom w:val="double" w:sz="4" w:space="0" w:color="auto"/>
              <w:right w:val="single" w:sz="2" w:space="0" w:color="auto"/>
            </w:tcBorders>
            <w:noWrap/>
            <w:vAlign w:val="bottom"/>
            <w:hideMark/>
          </w:tcPr>
          <w:p w14:paraId="221A64ED" w14:textId="77777777" w:rsidR="00D8365A" w:rsidRPr="00362517" w:rsidRDefault="00D8365A" w:rsidP="00BF6BC7">
            <w:pPr>
              <w:pStyle w:val="NoSpacing"/>
              <w:keepNext/>
              <w:spacing w:line="276" w:lineRule="auto"/>
            </w:pPr>
            <w:r w:rsidRPr="00362517">
              <w:t>Region</w:t>
            </w:r>
          </w:p>
        </w:tc>
        <w:tc>
          <w:tcPr>
            <w:tcW w:w="1680" w:type="dxa"/>
            <w:tcBorders>
              <w:top w:val="single" w:sz="8" w:space="0" w:color="auto"/>
              <w:left w:val="single" w:sz="2" w:space="0" w:color="auto"/>
              <w:bottom w:val="double" w:sz="4" w:space="0" w:color="auto"/>
              <w:right w:val="single" w:sz="2" w:space="0" w:color="auto"/>
            </w:tcBorders>
            <w:vAlign w:val="bottom"/>
            <w:hideMark/>
          </w:tcPr>
          <w:p w14:paraId="699E8AF9" w14:textId="77777777" w:rsidR="00D8365A" w:rsidRPr="00362517" w:rsidRDefault="00D8365A" w:rsidP="00BF6BC7">
            <w:pPr>
              <w:pStyle w:val="NoSpacing"/>
              <w:keepNext/>
              <w:spacing w:line="276" w:lineRule="auto"/>
              <w:jc w:val="center"/>
            </w:pPr>
            <w:r w:rsidRPr="00362517">
              <w:t>First-time Certifications</w:t>
            </w:r>
          </w:p>
        </w:tc>
        <w:tc>
          <w:tcPr>
            <w:tcW w:w="1680" w:type="dxa"/>
            <w:tcBorders>
              <w:top w:val="single" w:sz="8" w:space="0" w:color="auto"/>
              <w:left w:val="single" w:sz="2" w:space="0" w:color="auto"/>
              <w:bottom w:val="double" w:sz="4" w:space="0" w:color="auto"/>
              <w:right w:val="single" w:sz="2" w:space="0" w:color="auto"/>
            </w:tcBorders>
            <w:vAlign w:val="bottom"/>
            <w:hideMark/>
          </w:tcPr>
          <w:p w14:paraId="0246591D" w14:textId="77777777" w:rsidR="00D8365A" w:rsidRPr="00362517" w:rsidRDefault="00D8365A" w:rsidP="00BF6BC7">
            <w:pPr>
              <w:pStyle w:val="NoSpacing"/>
              <w:keepNext/>
              <w:spacing w:line="276" w:lineRule="auto"/>
              <w:jc w:val="center"/>
            </w:pPr>
            <w:r w:rsidRPr="00362517">
              <w:t>Existing Certifications</w:t>
            </w:r>
          </w:p>
        </w:tc>
        <w:tc>
          <w:tcPr>
            <w:tcW w:w="1680" w:type="dxa"/>
            <w:tcBorders>
              <w:top w:val="single" w:sz="8" w:space="0" w:color="auto"/>
              <w:left w:val="single" w:sz="2" w:space="0" w:color="auto"/>
              <w:bottom w:val="double" w:sz="4" w:space="0" w:color="auto"/>
              <w:right w:val="single" w:sz="8" w:space="0" w:color="auto"/>
            </w:tcBorders>
            <w:vAlign w:val="bottom"/>
            <w:hideMark/>
          </w:tcPr>
          <w:p w14:paraId="5FD55B2A" w14:textId="77777777" w:rsidR="00D8365A" w:rsidRPr="00362517" w:rsidRDefault="00D8365A" w:rsidP="00BF6BC7">
            <w:pPr>
              <w:pStyle w:val="NoSpacing"/>
              <w:keepNext/>
              <w:spacing w:line="276" w:lineRule="auto"/>
              <w:jc w:val="center"/>
            </w:pPr>
            <w:r w:rsidRPr="00362517">
              <w:t>Total Certifications</w:t>
            </w:r>
          </w:p>
        </w:tc>
      </w:tr>
      <w:tr w:rsidR="00D8365A" w:rsidRPr="00362517" w14:paraId="11E115AB" w14:textId="77777777" w:rsidTr="007A2164">
        <w:trPr>
          <w:cantSplit/>
          <w:trHeight w:val="269"/>
        </w:trPr>
        <w:tc>
          <w:tcPr>
            <w:tcW w:w="4428" w:type="dxa"/>
            <w:tcBorders>
              <w:top w:val="single" w:sz="2" w:space="0" w:color="auto"/>
              <w:left w:val="single" w:sz="8" w:space="0" w:color="auto"/>
              <w:bottom w:val="single" w:sz="2" w:space="0" w:color="auto"/>
              <w:right w:val="single" w:sz="2" w:space="0" w:color="auto"/>
            </w:tcBorders>
            <w:vAlign w:val="center"/>
            <w:hideMark/>
          </w:tcPr>
          <w:p w14:paraId="73C5C2C2" w14:textId="77777777" w:rsidR="00D8365A" w:rsidRPr="00362517" w:rsidRDefault="00D8365A" w:rsidP="00BF6BC7">
            <w:pPr>
              <w:keepNext/>
              <w:keepLines/>
            </w:pPr>
            <w:r w:rsidRPr="00362517">
              <w:t>Private Applicator Certifications in the Aerial Category</w:t>
            </w:r>
          </w:p>
        </w:tc>
        <w:tc>
          <w:tcPr>
            <w:tcW w:w="1680" w:type="dxa"/>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04CD8125" w14:textId="77777777" w:rsidR="00D8365A" w:rsidRPr="00362517" w:rsidRDefault="00D8365A" w:rsidP="00BF6BC7">
            <w:pPr>
              <w:pStyle w:val="NoSpacing"/>
              <w:spacing w:line="276" w:lineRule="auto"/>
              <w:jc w:val="center"/>
            </w:pPr>
            <w:r w:rsidRPr="00362517">
              <w:t>8</w:t>
            </w:r>
          </w:p>
        </w:tc>
        <w:tc>
          <w:tcPr>
            <w:tcW w:w="1680" w:type="dxa"/>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5AE014DF" w14:textId="77777777" w:rsidR="00D8365A" w:rsidRPr="00362517" w:rsidRDefault="00D8365A" w:rsidP="00BF6BC7">
            <w:pPr>
              <w:pStyle w:val="NoSpacing"/>
              <w:spacing w:line="276" w:lineRule="auto"/>
              <w:jc w:val="center"/>
            </w:pPr>
            <w:r w:rsidRPr="00362517">
              <w:t>65</w:t>
            </w:r>
          </w:p>
        </w:tc>
        <w:tc>
          <w:tcPr>
            <w:tcW w:w="1680" w:type="dxa"/>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618DA433" w14:textId="77777777" w:rsidR="00D8365A" w:rsidRPr="00362517" w:rsidRDefault="00D8365A" w:rsidP="00BF6BC7">
            <w:pPr>
              <w:pStyle w:val="NoSpacing"/>
              <w:spacing w:line="276" w:lineRule="auto"/>
              <w:jc w:val="center"/>
            </w:pPr>
            <w:r w:rsidRPr="00362517">
              <w:t>73</w:t>
            </w:r>
          </w:p>
        </w:tc>
      </w:tr>
      <w:tr w:rsidR="00D8365A" w:rsidRPr="00362517" w14:paraId="03209A3D" w14:textId="77777777" w:rsidTr="007A2164">
        <w:trPr>
          <w:cantSplit/>
          <w:trHeight w:val="269"/>
        </w:trPr>
        <w:tc>
          <w:tcPr>
            <w:tcW w:w="4428" w:type="dxa"/>
            <w:tcBorders>
              <w:top w:val="single" w:sz="2" w:space="0" w:color="auto"/>
              <w:left w:val="single" w:sz="8" w:space="0" w:color="auto"/>
              <w:bottom w:val="single" w:sz="2" w:space="0" w:color="auto"/>
              <w:right w:val="single" w:sz="2" w:space="0" w:color="auto"/>
            </w:tcBorders>
            <w:vAlign w:val="center"/>
            <w:hideMark/>
          </w:tcPr>
          <w:p w14:paraId="0308EC22" w14:textId="77777777" w:rsidR="00D8365A" w:rsidRPr="00362517" w:rsidRDefault="00D8365A" w:rsidP="00BF6BC7">
            <w:pPr>
              <w:keepNext/>
              <w:keepLines/>
            </w:pPr>
            <w:r w:rsidRPr="00362517">
              <w:t>Private Applicator Certifications in the Non-Soil Fumigation Category</w:t>
            </w:r>
          </w:p>
        </w:tc>
        <w:tc>
          <w:tcPr>
            <w:tcW w:w="1680" w:type="dxa"/>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085791DF" w14:textId="77777777" w:rsidR="00D8365A" w:rsidRPr="00362517" w:rsidRDefault="00D8365A" w:rsidP="00BF6BC7">
            <w:pPr>
              <w:pStyle w:val="NoSpacing"/>
              <w:spacing w:line="276" w:lineRule="auto"/>
              <w:jc w:val="center"/>
            </w:pPr>
            <w:r w:rsidRPr="00362517">
              <w:t>270</w:t>
            </w:r>
          </w:p>
        </w:tc>
        <w:tc>
          <w:tcPr>
            <w:tcW w:w="1680" w:type="dxa"/>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2283D05D" w14:textId="77777777" w:rsidR="00D8365A" w:rsidRPr="00362517" w:rsidRDefault="00D8365A" w:rsidP="00BF6BC7">
            <w:pPr>
              <w:pStyle w:val="NoSpacing"/>
              <w:spacing w:line="276" w:lineRule="auto"/>
              <w:jc w:val="center"/>
            </w:pPr>
            <w:r w:rsidRPr="00362517">
              <w:t>3,857</w:t>
            </w:r>
          </w:p>
        </w:tc>
        <w:tc>
          <w:tcPr>
            <w:tcW w:w="1680" w:type="dxa"/>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35DD3AAC" w14:textId="77777777" w:rsidR="00D8365A" w:rsidRPr="00362517" w:rsidRDefault="00D8365A" w:rsidP="00BF6BC7">
            <w:pPr>
              <w:pStyle w:val="NoSpacing"/>
              <w:spacing w:line="276" w:lineRule="auto"/>
              <w:jc w:val="center"/>
            </w:pPr>
            <w:r w:rsidRPr="00362517">
              <w:t>4,127</w:t>
            </w:r>
          </w:p>
        </w:tc>
      </w:tr>
      <w:tr w:rsidR="00D8365A" w:rsidRPr="00362517" w14:paraId="5BB38A2C" w14:textId="77777777" w:rsidTr="007A2164">
        <w:trPr>
          <w:cantSplit/>
          <w:trHeight w:val="269"/>
        </w:trPr>
        <w:tc>
          <w:tcPr>
            <w:tcW w:w="4428" w:type="dxa"/>
            <w:tcBorders>
              <w:top w:val="single" w:sz="2" w:space="0" w:color="auto"/>
              <w:left w:val="single" w:sz="8" w:space="0" w:color="auto"/>
              <w:bottom w:val="single" w:sz="2" w:space="0" w:color="auto"/>
              <w:right w:val="single" w:sz="2" w:space="0" w:color="auto"/>
            </w:tcBorders>
            <w:vAlign w:val="center"/>
            <w:hideMark/>
          </w:tcPr>
          <w:p w14:paraId="14C9C55E" w14:textId="77777777" w:rsidR="00D8365A" w:rsidRPr="00362517" w:rsidRDefault="00D8365A" w:rsidP="00BF6BC7">
            <w:pPr>
              <w:keepNext/>
              <w:keepLines/>
            </w:pPr>
            <w:r w:rsidRPr="00362517">
              <w:t>Private Applicator Certifications in the Soil Fumigation Category</w:t>
            </w:r>
          </w:p>
        </w:tc>
        <w:tc>
          <w:tcPr>
            <w:tcW w:w="1680" w:type="dxa"/>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1BA56B43" w14:textId="77777777" w:rsidR="00D8365A" w:rsidRPr="00362517" w:rsidRDefault="00D8365A" w:rsidP="00BF6BC7">
            <w:pPr>
              <w:pStyle w:val="NoSpacing"/>
              <w:spacing w:line="276" w:lineRule="auto"/>
              <w:jc w:val="center"/>
            </w:pPr>
            <w:r w:rsidRPr="00362517">
              <w:t>1,259</w:t>
            </w:r>
          </w:p>
        </w:tc>
        <w:tc>
          <w:tcPr>
            <w:tcW w:w="1680" w:type="dxa"/>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3410B817" w14:textId="77777777" w:rsidR="00D8365A" w:rsidRPr="00362517" w:rsidRDefault="00D8365A" w:rsidP="00BF6BC7">
            <w:pPr>
              <w:pStyle w:val="NoSpacing"/>
              <w:spacing w:line="276" w:lineRule="auto"/>
              <w:jc w:val="center"/>
            </w:pPr>
            <w:r w:rsidRPr="00362517">
              <w:t>11,442</w:t>
            </w:r>
          </w:p>
        </w:tc>
        <w:tc>
          <w:tcPr>
            <w:tcW w:w="1680" w:type="dxa"/>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00732087" w14:textId="77777777" w:rsidR="00D8365A" w:rsidRPr="00362517" w:rsidRDefault="00D8365A" w:rsidP="00BF6BC7">
            <w:pPr>
              <w:pStyle w:val="NoSpacing"/>
              <w:spacing w:line="276" w:lineRule="auto"/>
              <w:jc w:val="center"/>
            </w:pPr>
            <w:r w:rsidRPr="00362517">
              <w:t>12,701</w:t>
            </w:r>
          </w:p>
        </w:tc>
      </w:tr>
    </w:tbl>
    <w:p w14:paraId="11C89D7E" w14:textId="77777777" w:rsidR="00D8365A" w:rsidRPr="00362517" w:rsidRDefault="00D8365A" w:rsidP="00BF6BC7">
      <w:r w:rsidRPr="00362517">
        <w:rPr>
          <w:sz w:val="20"/>
          <w:szCs w:val="20"/>
        </w:rPr>
        <w:t>Source: CPARD 2015 and EPA estimations.</w:t>
      </w:r>
    </w:p>
    <w:p w14:paraId="584EB21B" w14:textId="77777777" w:rsidR="00D8365A" w:rsidRPr="00362517" w:rsidRDefault="00D8365A" w:rsidP="00BF6BC7"/>
    <w:p w14:paraId="5E138CA6" w14:textId="588888E1" w:rsidR="00D8365A" w:rsidRPr="00362517" w:rsidRDefault="00D8365A" w:rsidP="00BF6BC7">
      <w:pPr>
        <w:pStyle w:val="NoSpacing"/>
      </w:pPr>
      <w:r w:rsidRPr="00362517">
        <w:t>The final requirements are that private applicators who intend to apply aerially, or through fumigation must be certified in a specific private category by passing a written exam or completing a training course.  Training requirements will entail about four hours for each category; preparation for an exam is expected to take a similar amount of time</w:t>
      </w:r>
      <w:r w:rsidR="00DC73A6">
        <w:t xml:space="preserve"> on average</w:t>
      </w:r>
      <w:r w:rsidRPr="00362517">
        <w:t>.  Certifying authorities would be able to choose between training covering specified content and a written exam for each of the final requirements.  The aerial category is relatively low cost as a result of the small number of aerial applicators who would pursue certification. (See Table 3.4-5)</w:t>
      </w:r>
      <w:r w:rsidR="00DC73A6">
        <w:t>.</w:t>
      </w:r>
      <w:r w:rsidRPr="00362517">
        <w:t xml:space="preserve">  The</w:t>
      </w:r>
      <w:r w:rsidR="00DC73A6">
        <w:t xml:space="preserve"> </w:t>
      </w:r>
      <w:r w:rsidRPr="00362517">
        <w:t>cost to private applicators for non-soil fumigation certification is estimated to be about $97,000 per year nationally.  As with commercial applicators, private applicators using soil fumigants are required by label to obtain equivalent training.</w:t>
      </w:r>
    </w:p>
    <w:p w14:paraId="2F07AA27" w14:textId="77777777" w:rsidR="00D8365A" w:rsidRPr="00362517" w:rsidRDefault="00D8365A" w:rsidP="00BF6BC7"/>
    <w:p w14:paraId="54175895" w14:textId="77777777" w:rsidR="00D8365A" w:rsidRPr="00362517" w:rsidRDefault="00D8365A" w:rsidP="00BF6BC7">
      <w:r w:rsidRPr="00362517">
        <w:t>Table 3.4-5 presents the national-level annualized costs of final requirement, baseline, and incremental cost for the affected parties.  Details on estimation method, data, and assumptions are provided in Appendix A.</w:t>
      </w:r>
    </w:p>
    <w:p w14:paraId="1EAE31BC" w14:textId="77777777" w:rsidR="00D8365A" w:rsidRPr="00362517" w:rsidRDefault="00D8365A" w:rsidP="00BF6BC7"/>
    <w:p w14:paraId="1BB6B877" w14:textId="77777777" w:rsidR="00D8365A" w:rsidRPr="00362517" w:rsidRDefault="00D8365A" w:rsidP="00BF6BC7">
      <w:pPr>
        <w:keepNext/>
        <w:rPr>
          <w:b/>
        </w:rPr>
      </w:pPr>
      <w:r w:rsidRPr="00362517">
        <w:rPr>
          <w:b/>
        </w:rPr>
        <w:t>Table 3.4-5: Annualized Costs of Certification Categories for Private Applicators</w:t>
      </w:r>
      <w:r w:rsidRPr="00362517">
        <w:rPr>
          <w:b/>
          <w:vertAlign w:val="superscript"/>
        </w:rPr>
        <w:t>1</w:t>
      </w:r>
    </w:p>
    <w:tbl>
      <w:tblPr>
        <w:tblW w:w="5000" w:type="pct"/>
        <w:tblBorders>
          <w:top w:val="single" w:sz="8" w:space="0" w:color="auto"/>
          <w:left w:val="single" w:sz="8" w:space="0" w:color="auto"/>
          <w:bottom w:val="single" w:sz="12" w:space="0" w:color="auto"/>
          <w:right w:val="single" w:sz="8" w:space="0" w:color="auto"/>
          <w:insideH w:val="single" w:sz="2" w:space="0" w:color="auto"/>
          <w:insideV w:val="single" w:sz="2" w:space="0" w:color="auto"/>
        </w:tblBorders>
        <w:tblLook w:val="04A0" w:firstRow="1" w:lastRow="0" w:firstColumn="1" w:lastColumn="0" w:noHBand="0" w:noVBand="1"/>
      </w:tblPr>
      <w:tblGrid>
        <w:gridCol w:w="1863"/>
        <w:gridCol w:w="2575"/>
        <w:gridCol w:w="1336"/>
        <w:gridCol w:w="1834"/>
        <w:gridCol w:w="1732"/>
      </w:tblGrid>
      <w:tr w:rsidR="00D8365A" w:rsidRPr="00362517" w14:paraId="0C1F456A" w14:textId="77777777" w:rsidTr="007A2164">
        <w:trPr>
          <w:cantSplit/>
          <w:tblHeader/>
        </w:trPr>
        <w:tc>
          <w:tcPr>
            <w:tcW w:w="997" w:type="pct"/>
            <w:tcBorders>
              <w:top w:val="single" w:sz="8" w:space="0" w:color="auto"/>
              <w:left w:val="single" w:sz="8" w:space="0" w:color="auto"/>
              <w:bottom w:val="double" w:sz="4" w:space="0" w:color="auto"/>
              <w:right w:val="single" w:sz="2" w:space="0" w:color="auto"/>
            </w:tcBorders>
            <w:vAlign w:val="bottom"/>
            <w:hideMark/>
          </w:tcPr>
          <w:p w14:paraId="4BCF656D" w14:textId="77777777" w:rsidR="00D8365A" w:rsidRPr="00362517" w:rsidRDefault="00D8365A" w:rsidP="00BF6BC7">
            <w:pPr>
              <w:pStyle w:val="BodyText"/>
              <w:keepNext/>
              <w:rPr>
                <w:sz w:val="20"/>
                <w:szCs w:val="20"/>
              </w:rPr>
            </w:pPr>
            <w:r w:rsidRPr="00362517">
              <w:rPr>
                <w:sz w:val="20"/>
                <w:szCs w:val="20"/>
              </w:rPr>
              <w:t>Final Requirements</w:t>
            </w:r>
          </w:p>
          <w:p w14:paraId="6E72E947" w14:textId="77777777" w:rsidR="00D8365A" w:rsidRPr="00362517" w:rsidRDefault="00D8365A" w:rsidP="00BF6BC7">
            <w:pPr>
              <w:pStyle w:val="BodyText"/>
              <w:keepNext/>
              <w:rPr>
                <w:sz w:val="20"/>
                <w:szCs w:val="20"/>
              </w:rPr>
            </w:pPr>
          </w:p>
        </w:tc>
        <w:tc>
          <w:tcPr>
            <w:tcW w:w="1378" w:type="pct"/>
            <w:tcBorders>
              <w:top w:val="single" w:sz="8" w:space="0" w:color="auto"/>
              <w:left w:val="single" w:sz="2" w:space="0" w:color="auto"/>
              <w:bottom w:val="double" w:sz="4" w:space="0" w:color="auto"/>
              <w:right w:val="single" w:sz="2" w:space="0" w:color="auto"/>
            </w:tcBorders>
            <w:vAlign w:val="bottom"/>
            <w:hideMark/>
          </w:tcPr>
          <w:p w14:paraId="496C2B19" w14:textId="77777777" w:rsidR="00D8365A" w:rsidRPr="00362517" w:rsidRDefault="00D8365A" w:rsidP="00BF6BC7">
            <w:pPr>
              <w:pStyle w:val="BodyText"/>
              <w:keepNext/>
              <w:rPr>
                <w:sz w:val="20"/>
                <w:szCs w:val="20"/>
              </w:rPr>
            </w:pPr>
            <w:r w:rsidRPr="00362517">
              <w:rPr>
                <w:sz w:val="20"/>
                <w:szCs w:val="20"/>
              </w:rPr>
              <w:t>Type of Cost</w:t>
            </w:r>
          </w:p>
        </w:tc>
        <w:tc>
          <w:tcPr>
            <w:tcW w:w="715" w:type="pct"/>
            <w:tcBorders>
              <w:top w:val="single" w:sz="8" w:space="0" w:color="auto"/>
              <w:left w:val="single" w:sz="2" w:space="0" w:color="auto"/>
              <w:bottom w:val="double" w:sz="4" w:space="0" w:color="auto"/>
              <w:right w:val="single" w:sz="2" w:space="0" w:color="auto"/>
            </w:tcBorders>
            <w:vAlign w:val="bottom"/>
            <w:hideMark/>
          </w:tcPr>
          <w:p w14:paraId="55BE43E9" w14:textId="77777777" w:rsidR="00D8365A" w:rsidRPr="00362517" w:rsidRDefault="00D8365A" w:rsidP="00BF6BC7">
            <w:pPr>
              <w:pStyle w:val="TableGridCT"/>
              <w:keepNext/>
              <w:widowControl w:val="0"/>
              <w:tabs>
                <w:tab w:val="left" w:pos="720"/>
                <w:tab w:val="left" w:pos="1080"/>
                <w:tab w:val="left" w:pos="1440"/>
                <w:tab w:val="left" w:pos="1800"/>
              </w:tabs>
              <w:suppressAutoHyphens/>
              <w:spacing w:line="264" w:lineRule="auto"/>
              <w:jc w:val="center"/>
              <w:rPr>
                <w:bCs/>
                <w:sz w:val="20"/>
                <w:szCs w:val="20"/>
              </w:rPr>
            </w:pPr>
            <w:r w:rsidRPr="00362517">
              <w:rPr>
                <w:bCs/>
                <w:sz w:val="20"/>
                <w:szCs w:val="20"/>
              </w:rPr>
              <w:t>National Cost of Final Requirement (NC</w:t>
            </w:r>
            <w:r w:rsidRPr="00362517">
              <w:rPr>
                <w:bCs/>
                <w:sz w:val="20"/>
                <w:szCs w:val="20"/>
                <w:vertAlign w:val="superscript"/>
              </w:rPr>
              <w:t>F</w:t>
            </w:r>
            <w:r w:rsidRPr="00362517">
              <w:rPr>
                <w:bCs/>
                <w:sz w:val="20"/>
                <w:szCs w:val="20"/>
              </w:rPr>
              <w:t>) ($000)</w:t>
            </w:r>
          </w:p>
        </w:tc>
        <w:tc>
          <w:tcPr>
            <w:tcW w:w="982" w:type="pct"/>
            <w:tcBorders>
              <w:top w:val="single" w:sz="8" w:space="0" w:color="auto"/>
              <w:left w:val="single" w:sz="2" w:space="0" w:color="auto"/>
              <w:bottom w:val="double" w:sz="4" w:space="0" w:color="auto"/>
              <w:right w:val="single" w:sz="2" w:space="0" w:color="auto"/>
            </w:tcBorders>
            <w:vAlign w:val="bottom"/>
            <w:hideMark/>
          </w:tcPr>
          <w:p w14:paraId="7F4015B6" w14:textId="08F805CB" w:rsidR="00D8365A" w:rsidRPr="00362517" w:rsidRDefault="00D8365A" w:rsidP="00BF6BC7">
            <w:pPr>
              <w:pStyle w:val="TableGridCT"/>
              <w:keepNext/>
              <w:widowControl w:val="0"/>
              <w:tabs>
                <w:tab w:val="left" w:pos="720"/>
                <w:tab w:val="left" w:pos="1080"/>
                <w:tab w:val="left" w:pos="1440"/>
                <w:tab w:val="left" w:pos="1800"/>
              </w:tabs>
              <w:suppressAutoHyphens/>
              <w:spacing w:line="264" w:lineRule="auto"/>
              <w:jc w:val="center"/>
              <w:rPr>
                <w:bCs/>
                <w:sz w:val="20"/>
                <w:szCs w:val="20"/>
              </w:rPr>
            </w:pPr>
            <w:r w:rsidRPr="00362517">
              <w:rPr>
                <w:bCs/>
                <w:sz w:val="20"/>
                <w:szCs w:val="20"/>
              </w:rPr>
              <w:t>National Cost of Baseline (NC</w:t>
            </w:r>
            <w:r w:rsidRPr="00362517">
              <w:rPr>
                <w:bCs/>
                <w:sz w:val="20"/>
                <w:szCs w:val="20"/>
                <w:vertAlign w:val="superscript"/>
              </w:rPr>
              <w:t>B</w:t>
            </w:r>
            <w:r w:rsidRPr="00362517">
              <w:rPr>
                <w:bCs/>
                <w:sz w:val="20"/>
                <w:szCs w:val="20"/>
              </w:rPr>
              <w:t>)</w:t>
            </w:r>
          </w:p>
          <w:p w14:paraId="588DDFAD" w14:textId="77777777" w:rsidR="00D8365A" w:rsidRPr="00362517" w:rsidRDefault="00D8365A" w:rsidP="00BF6BC7">
            <w:pPr>
              <w:pStyle w:val="TableGridCT"/>
              <w:keepNext/>
              <w:widowControl w:val="0"/>
              <w:tabs>
                <w:tab w:val="left" w:pos="720"/>
                <w:tab w:val="left" w:pos="1080"/>
                <w:tab w:val="left" w:pos="1440"/>
                <w:tab w:val="left" w:pos="1800"/>
              </w:tabs>
              <w:suppressAutoHyphens/>
              <w:spacing w:line="264" w:lineRule="auto"/>
              <w:jc w:val="center"/>
              <w:rPr>
                <w:bCs/>
                <w:sz w:val="20"/>
                <w:szCs w:val="20"/>
              </w:rPr>
            </w:pPr>
            <w:r w:rsidRPr="00362517">
              <w:rPr>
                <w:bCs/>
                <w:sz w:val="20"/>
                <w:szCs w:val="20"/>
              </w:rPr>
              <w:t>($000)</w:t>
            </w:r>
          </w:p>
        </w:tc>
        <w:tc>
          <w:tcPr>
            <w:tcW w:w="927" w:type="pct"/>
            <w:tcBorders>
              <w:top w:val="single" w:sz="8" w:space="0" w:color="auto"/>
              <w:left w:val="single" w:sz="2" w:space="0" w:color="auto"/>
              <w:bottom w:val="double" w:sz="4" w:space="0" w:color="auto"/>
              <w:right w:val="single" w:sz="8" w:space="0" w:color="auto"/>
            </w:tcBorders>
            <w:vAlign w:val="bottom"/>
            <w:hideMark/>
          </w:tcPr>
          <w:p w14:paraId="55CAD3BA" w14:textId="77777777" w:rsidR="00D8365A" w:rsidRPr="00362517" w:rsidRDefault="00D8365A" w:rsidP="00BF6BC7">
            <w:pPr>
              <w:pStyle w:val="TableGridCT"/>
              <w:keepNext/>
              <w:widowControl w:val="0"/>
              <w:tabs>
                <w:tab w:val="left" w:pos="720"/>
                <w:tab w:val="left" w:pos="1080"/>
                <w:tab w:val="left" w:pos="1440"/>
                <w:tab w:val="left" w:pos="1800"/>
              </w:tabs>
              <w:suppressAutoHyphens/>
              <w:spacing w:line="264" w:lineRule="auto"/>
              <w:jc w:val="center"/>
              <w:rPr>
                <w:bCs/>
                <w:sz w:val="20"/>
                <w:szCs w:val="20"/>
              </w:rPr>
            </w:pPr>
            <w:r w:rsidRPr="00362517">
              <w:rPr>
                <w:bCs/>
                <w:sz w:val="20"/>
                <w:szCs w:val="20"/>
              </w:rPr>
              <w:t>National Incremental Cost (NIC)</w:t>
            </w:r>
          </w:p>
          <w:p w14:paraId="61296547" w14:textId="77777777" w:rsidR="00D8365A" w:rsidRPr="00362517" w:rsidRDefault="00D8365A" w:rsidP="00BF6BC7">
            <w:pPr>
              <w:pStyle w:val="TableGridCT"/>
              <w:keepNext/>
              <w:widowControl w:val="0"/>
              <w:tabs>
                <w:tab w:val="left" w:pos="720"/>
                <w:tab w:val="left" w:pos="1080"/>
                <w:tab w:val="left" w:pos="1440"/>
                <w:tab w:val="left" w:pos="1800"/>
              </w:tabs>
              <w:suppressAutoHyphens/>
              <w:spacing w:line="264" w:lineRule="auto"/>
              <w:jc w:val="center"/>
              <w:rPr>
                <w:bCs/>
                <w:sz w:val="20"/>
                <w:szCs w:val="20"/>
              </w:rPr>
            </w:pPr>
            <w:r w:rsidRPr="00362517">
              <w:rPr>
                <w:bCs/>
                <w:sz w:val="20"/>
                <w:szCs w:val="20"/>
              </w:rPr>
              <w:t>($000)</w:t>
            </w:r>
          </w:p>
        </w:tc>
      </w:tr>
      <w:tr w:rsidR="00D8365A" w:rsidRPr="00362517" w14:paraId="2B906506" w14:textId="77777777" w:rsidTr="007A2164">
        <w:trPr>
          <w:cantSplit/>
          <w:trHeight w:val="481"/>
        </w:trPr>
        <w:tc>
          <w:tcPr>
            <w:tcW w:w="997" w:type="pct"/>
            <w:vMerge w:val="restart"/>
            <w:tcBorders>
              <w:top w:val="single" w:sz="2" w:space="0" w:color="auto"/>
              <w:left w:val="single" w:sz="8" w:space="0" w:color="auto"/>
              <w:bottom w:val="single" w:sz="2" w:space="0" w:color="auto"/>
              <w:right w:val="single" w:sz="2" w:space="0" w:color="auto"/>
            </w:tcBorders>
            <w:vAlign w:val="center"/>
            <w:hideMark/>
          </w:tcPr>
          <w:p w14:paraId="26B6A736" w14:textId="77777777" w:rsidR="00D8365A" w:rsidRPr="00362517" w:rsidRDefault="00D8365A" w:rsidP="00BF6BC7">
            <w:pPr>
              <w:widowControl w:val="0"/>
              <w:suppressAutoHyphens/>
              <w:rPr>
                <w:sz w:val="20"/>
                <w:szCs w:val="20"/>
              </w:rPr>
            </w:pPr>
            <w:r w:rsidRPr="00362517">
              <w:rPr>
                <w:sz w:val="20"/>
                <w:szCs w:val="20"/>
              </w:rPr>
              <w:t>Add private aerial category and require exam or 4-hour training for certification</w:t>
            </w:r>
          </w:p>
        </w:tc>
        <w:tc>
          <w:tcPr>
            <w:tcW w:w="1378" w:type="pct"/>
            <w:tcBorders>
              <w:top w:val="single" w:sz="2" w:space="0" w:color="auto"/>
              <w:left w:val="single" w:sz="2" w:space="0" w:color="auto"/>
              <w:bottom w:val="single" w:sz="2" w:space="0" w:color="auto"/>
              <w:right w:val="single" w:sz="2" w:space="0" w:color="auto"/>
            </w:tcBorders>
            <w:vAlign w:val="center"/>
            <w:hideMark/>
          </w:tcPr>
          <w:p w14:paraId="483982D5" w14:textId="77777777" w:rsidR="00D8365A" w:rsidRPr="00362517" w:rsidRDefault="00D8365A" w:rsidP="00BF6BC7">
            <w:pPr>
              <w:widowControl w:val="0"/>
              <w:suppressAutoHyphens/>
              <w:rPr>
                <w:sz w:val="20"/>
                <w:szCs w:val="20"/>
              </w:rPr>
            </w:pPr>
            <w:r w:rsidRPr="00362517">
              <w:rPr>
                <w:sz w:val="20"/>
                <w:szCs w:val="20"/>
              </w:rPr>
              <w:t xml:space="preserve">Industry costs </w:t>
            </w:r>
          </w:p>
        </w:tc>
        <w:tc>
          <w:tcPr>
            <w:tcW w:w="715" w:type="pct"/>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615CF267" w14:textId="77777777" w:rsidR="00D8365A" w:rsidRPr="00362517" w:rsidRDefault="00D8365A" w:rsidP="00BF6BC7">
            <w:pPr>
              <w:jc w:val="center"/>
              <w:rPr>
                <w:sz w:val="20"/>
                <w:szCs w:val="20"/>
              </w:rPr>
            </w:pPr>
            <w:r w:rsidRPr="00362517">
              <w:rPr>
                <w:sz w:val="20"/>
                <w:szCs w:val="20"/>
              </w:rPr>
              <w:t>3.3</w:t>
            </w:r>
          </w:p>
        </w:tc>
        <w:tc>
          <w:tcPr>
            <w:tcW w:w="982" w:type="pct"/>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45CC4F21" w14:textId="77777777" w:rsidR="00D8365A" w:rsidRPr="00362517" w:rsidRDefault="00D8365A" w:rsidP="00BF6BC7">
            <w:pPr>
              <w:jc w:val="center"/>
              <w:rPr>
                <w:sz w:val="20"/>
                <w:szCs w:val="20"/>
              </w:rPr>
            </w:pPr>
            <w:r w:rsidRPr="00362517">
              <w:rPr>
                <w:sz w:val="20"/>
                <w:szCs w:val="20"/>
              </w:rPr>
              <w:t>0</w:t>
            </w:r>
          </w:p>
        </w:tc>
        <w:tc>
          <w:tcPr>
            <w:tcW w:w="927" w:type="pct"/>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4A048C8A" w14:textId="77777777" w:rsidR="00D8365A" w:rsidRPr="00362517" w:rsidRDefault="00D8365A" w:rsidP="00BF6BC7">
            <w:pPr>
              <w:jc w:val="center"/>
              <w:rPr>
                <w:b/>
                <w:sz w:val="20"/>
                <w:szCs w:val="20"/>
              </w:rPr>
            </w:pPr>
            <w:r w:rsidRPr="00362517">
              <w:rPr>
                <w:sz w:val="20"/>
                <w:szCs w:val="20"/>
              </w:rPr>
              <w:t>3.3</w:t>
            </w:r>
          </w:p>
        </w:tc>
      </w:tr>
      <w:tr w:rsidR="00D8365A" w:rsidRPr="00362517" w14:paraId="55A69DB9" w14:textId="77777777" w:rsidTr="007A2164">
        <w:trPr>
          <w:cantSplit/>
          <w:trHeight w:val="481"/>
        </w:trPr>
        <w:tc>
          <w:tcPr>
            <w:tcW w:w="997" w:type="pct"/>
            <w:vMerge/>
            <w:tcBorders>
              <w:top w:val="single" w:sz="2" w:space="0" w:color="auto"/>
              <w:left w:val="single" w:sz="8" w:space="0" w:color="auto"/>
              <w:bottom w:val="single" w:sz="2" w:space="0" w:color="auto"/>
              <w:right w:val="single" w:sz="2" w:space="0" w:color="auto"/>
            </w:tcBorders>
            <w:vAlign w:val="center"/>
            <w:hideMark/>
          </w:tcPr>
          <w:p w14:paraId="5D805751" w14:textId="77777777" w:rsidR="00D8365A" w:rsidRPr="00362517" w:rsidRDefault="00D8365A" w:rsidP="00BF6BC7">
            <w:pPr>
              <w:rPr>
                <w:sz w:val="20"/>
                <w:szCs w:val="20"/>
              </w:rPr>
            </w:pPr>
          </w:p>
        </w:tc>
        <w:tc>
          <w:tcPr>
            <w:tcW w:w="1378" w:type="pct"/>
            <w:tcBorders>
              <w:top w:val="single" w:sz="2" w:space="0" w:color="auto"/>
              <w:left w:val="single" w:sz="2" w:space="0" w:color="auto"/>
              <w:bottom w:val="single" w:sz="2" w:space="0" w:color="auto"/>
              <w:right w:val="single" w:sz="2" w:space="0" w:color="auto"/>
            </w:tcBorders>
            <w:vAlign w:val="center"/>
            <w:hideMark/>
          </w:tcPr>
          <w:p w14:paraId="1FA2AAD9" w14:textId="77777777" w:rsidR="00D8365A" w:rsidRPr="00362517" w:rsidRDefault="00D8365A" w:rsidP="00BF6BC7">
            <w:pPr>
              <w:pStyle w:val="BodyText"/>
              <w:rPr>
                <w:sz w:val="20"/>
                <w:szCs w:val="20"/>
              </w:rPr>
            </w:pPr>
            <w:r w:rsidRPr="00362517">
              <w:rPr>
                <w:sz w:val="20"/>
                <w:szCs w:val="20"/>
              </w:rPr>
              <w:t xml:space="preserve">State costs: administer exam </w:t>
            </w:r>
          </w:p>
        </w:tc>
        <w:tc>
          <w:tcPr>
            <w:tcW w:w="715" w:type="pct"/>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3E811A4D" w14:textId="77777777" w:rsidR="00D8365A" w:rsidRPr="00362517" w:rsidRDefault="00D8365A" w:rsidP="00BF6BC7">
            <w:pPr>
              <w:jc w:val="center"/>
              <w:rPr>
                <w:sz w:val="20"/>
                <w:szCs w:val="20"/>
              </w:rPr>
            </w:pPr>
            <w:r w:rsidRPr="00362517">
              <w:rPr>
                <w:sz w:val="20"/>
                <w:szCs w:val="20"/>
              </w:rPr>
              <w:t>0.02</w:t>
            </w:r>
          </w:p>
        </w:tc>
        <w:tc>
          <w:tcPr>
            <w:tcW w:w="982" w:type="pct"/>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79DAE325" w14:textId="77777777" w:rsidR="00D8365A" w:rsidRPr="00362517" w:rsidRDefault="00D8365A" w:rsidP="00BF6BC7">
            <w:pPr>
              <w:jc w:val="center"/>
              <w:rPr>
                <w:sz w:val="20"/>
                <w:szCs w:val="20"/>
              </w:rPr>
            </w:pPr>
            <w:r w:rsidRPr="00362517">
              <w:rPr>
                <w:sz w:val="20"/>
                <w:szCs w:val="20"/>
              </w:rPr>
              <w:t>0</w:t>
            </w:r>
          </w:p>
        </w:tc>
        <w:tc>
          <w:tcPr>
            <w:tcW w:w="927" w:type="pct"/>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5D490736" w14:textId="77777777" w:rsidR="00D8365A" w:rsidRPr="00362517" w:rsidRDefault="00D8365A" w:rsidP="00BF6BC7">
            <w:pPr>
              <w:widowControl w:val="0"/>
              <w:suppressAutoHyphens/>
              <w:jc w:val="center"/>
              <w:rPr>
                <w:sz w:val="20"/>
                <w:szCs w:val="20"/>
              </w:rPr>
            </w:pPr>
            <w:r w:rsidRPr="00362517">
              <w:rPr>
                <w:sz w:val="20"/>
                <w:szCs w:val="20"/>
              </w:rPr>
              <w:t>0.02</w:t>
            </w:r>
          </w:p>
        </w:tc>
      </w:tr>
      <w:tr w:rsidR="00D8365A" w:rsidRPr="00362517" w14:paraId="2E46D474" w14:textId="77777777" w:rsidTr="007A2164">
        <w:trPr>
          <w:cantSplit/>
          <w:trHeight w:val="481"/>
        </w:trPr>
        <w:tc>
          <w:tcPr>
            <w:tcW w:w="997" w:type="pct"/>
            <w:vMerge/>
            <w:tcBorders>
              <w:top w:val="single" w:sz="2" w:space="0" w:color="auto"/>
              <w:left w:val="single" w:sz="8" w:space="0" w:color="auto"/>
              <w:bottom w:val="single" w:sz="2" w:space="0" w:color="auto"/>
              <w:right w:val="single" w:sz="2" w:space="0" w:color="auto"/>
            </w:tcBorders>
            <w:vAlign w:val="center"/>
            <w:hideMark/>
          </w:tcPr>
          <w:p w14:paraId="73FDACC1" w14:textId="77777777" w:rsidR="00D8365A" w:rsidRPr="00362517" w:rsidRDefault="00D8365A" w:rsidP="00BF6BC7">
            <w:pPr>
              <w:rPr>
                <w:sz w:val="20"/>
                <w:szCs w:val="20"/>
              </w:rPr>
            </w:pPr>
          </w:p>
        </w:tc>
        <w:tc>
          <w:tcPr>
            <w:tcW w:w="1378" w:type="pct"/>
            <w:tcBorders>
              <w:top w:val="single" w:sz="2" w:space="0" w:color="auto"/>
              <w:left w:val="single" w:sz="2" w:space="0" w:color="auto"/>
              <w:bottom w:val="single" w:sz="2" w:space="0" w:color="auto"/>
              <w:right w:val="single" w:sz="2" w:space="0" w:color="auto"/>
            </w:tcBorders>
            <w:vAlign w:val="center"/>
            <w:hideMark/>
          </w:tcPr>
          <w:p w14:paraId="65D94D31" w14:textId="77777777" w:rsidR="00D8365A" w:rsidRPr="00362517" w:rsidRDefault="00D8365A" w:rsidP="00BF6BC7">
            <w:pPr>
              <w:pStyle w:val="BodyText"/>
              <w:rPr>
                <w:sz w:val="20"/>
                <w:szCs w:val="20"/>
              </w:rPr>
            </w:pPr>
            <w:r w:rsidRPr="00362517">
              <w:rPr>
                <w:sz w:val="20"/>
                <w:szCs w:val="20"/>
              </w:rPr>
              <w:t xml:space="preserve">State costs: develop exam </w:t>
            </w:r>
          </w:p>
        </w:tc>
        <w:tc>
          <w:tcPr>
            <w:tcW w:w="715" w:type="pct"/>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5C732BFD" w14:textId="77777777" w:rsidR="00D8365A" w:rsidRPr="00362517" w:rsidRDefault="00D8365A" w:rsidP="00BF6BC7">
            <w:pPr>
              <w:jc w:val="center"/>
              <w:rPr>
                <w:sz w:val="20"/>
                <w:szCs w:val="20"/>
              </w:rPr>
            </w:pPr>
            <w:r w:rsidRPr="00362517">
              <w:rPr>
                <w:sz w:val="20"/>
                <w:szCs w:val="20"/>
              </w:rPr>
              <w:t>25</w:t>
            </w:r>
          </w:p>
        </w:tc>
        <w:tc>
          <w:tcPr>
            <w:tcW w:w="982" w:type="pct"/>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496B64EC" w14:textId="77777777" w:rsidR="00D8365A" w:rsidRPr="00362517" w:rsidRDefault="00D8365A" w:rsidP="00BF6BC7">
            <w:pPr>
              <w:jc w:val="center"/>
              <w:rPr>
                <w:sz w:val="20"/>
                <w:szCs w:val="20"/>
              </w:rPr>
            </w:pPr>
            <w:r w:rsidRPr="00362517">
              <w:rPr>
                <w:sz w:val="20"/>
                <w:szCs w:val="20"/>
              </w:rPr>
              <w:t>0</w:t>
            </w:r>
          </w:p>
        </w:tc>
        <w:tc>
          <w:tcPr>
            <w:tcW w:w="927" w:type="pct"/>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380B8DAC" w14:textId="77777777" w:rsidR="00D8365A" w:rsidRPr="00362517" w:rsidRDefault="00D8365A" w:rsidP="00BF6BC7">
            <w:pPr>
              <w:widowControl w:val="0"/>
              <w:suppressAutoHyphens/>
              <w:jc w:val="center"/>
              <w:rPr>
                <w:sz w:val="20"/>
                <w:szCs w:val="20"/>
              </w:rPr>
            </w:pPr>
            <w:r w:rsidRPr="00362517">
              <w:rPr>
                <w:sz w:val="20"/>
                <w:szCs w:val="20"/>
              </w:rPr>
              <w:t>25</w:t>
            </w:r>
          </w:p>
        </w:tc>
      </w:tr>
      <w:tr w:rsidR="00D8365A" w:rsidRPr="00362517" w14:paraId="0D2BE751" w14:textId="77777777" w:rsidTr="007A2164">
        <w:trPr>
          <w:cantSplit/>
          <w:trHeight w:val="679"/>
        </w:trPr>
        <w:tc>
          <w:tcPr>
            <w:tcW w:w="997" w:type="pct"/>
            <w:vMerge w:val="restart"/>
            <w:tcBorders>
              <w:top w:val="single" w:sz="2" w:space="0" w:color="auto"/>
              <w:left w:val="single" w:sz="8" w:space="0" w:color="auto"/>
              <w:bottom w:val="single" w:sz="2" w:space="0" w:color="auto"/>
              <w:right w:val="single" w:sz="2" w:space="0" w:color="auto"/>
            </w:tcBorders>
            <w:vAlign w:val="center"/>
            <w:hideMark/>
          </w:tcPr>
          <w:p w14:paraId="6E513F3A" w14:textId="77777777" w:rsidR="00D8365A" w:rsidRPr="00362517" w:rsidRDefault="00D8365A" w:rsidP="00BF6BC7">
            <w:pPr>
              <w:widowControl w:val="0"/>
              <w:suppressAutoHyphens/>
              <w:rPr>
                <w:sz w:val="20"/>
                <w:szCs w:val="20"/>
              </w:rPr>
            </w:pPr>
            <w:r w:rsidRPr="00362517">
              <w:rPr>
                <w:sz w:val="20"/>
                <w:szCs w:val="20"/>
              </w:rPr>
              <w:t>Add private non-soil fumigation categories and require exam or 4-hour training for certification</w:t>
            </w:r>
          </w:p>
        </w:tc>
        <w:tc>
          <w:tcPr>
            <w:tcW w:w="1378" w:type="pct"/>
            <w:tcBorders>
              <w:top w:val="single" w:sz="2" w:space="0" w:color="auto"/>
              <w:left w:val="single" w:sz="2" w:space="0" w:color="auto"/>
              <w:bottom w:val="single" w:sz="2" w:space="0" w:color="auto"/>
              <w:right w:val="single" w:sz="2" w:space="0" w:color="auto"/>
            </w:tcBorders>
            <w:vAlign w:val="center"/>
            <w:hideMark/>
          </w:tcPr>
          <w:p w14:paraId="3DF39326" w14:textId="77777777" w:rsidR="00D8365A" w:rsidRPr="00362517" w:rsidRDefault="00D8365A" w:rsidP="00BF6BC7">
            <w:pPr>
              <w:widowControl w:val="0"/>
              <w:suppressAutoHyphens/>
              <w:rPr>
                <w:sz w:val="20"/>
                <w:szCs w:val="20"/>
              </w:rPr>
            </w:pPr>
            <w:r w:rsidRPr="00362517">
              <w:rPr>
                <w:sz w:val="20"/>
                <w:szCs w:val="20"/>
              </w:rPr>
              <w:t xml:space="preserve">Industry costs </w:t>
            </w:r>
          </w:p>
        </w:tc>
        <w:tc>
          <w:tcPr>
            <w:tcW w:w="715" w:type="pct"/>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4460F50B" w14:textId="77777777" w:rsidR="00D8365A" w:rsidRPr="00362517" w:rsidRDefault="00D8365A" w:rsidP="00BF6BC7">
            <w:pPr>
              <w:jc w:val="center"/>
              <w:rPr>
                <w:b/>
                <w:sz w:val="20"/>
                <w:szCs w:val="20"/>
              </w:rPr>
            </w:pPr>
            <w:r w:rsidRPr="00362517">
              <w:rPr>
                <w:sz w:val="20"/>
                <w:szCs w:val="20"/>
              </w:rPr>
              <w:t>125</w:t>
            </w:r>
          </w:p>
        </w:tc>
        <w:tc>
          <w:tcPr>
            <w:tcW w:w="982" w:type="pct"/>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56A57179" w14:textId="77777777" w:rsidR="00D8365A" w:rsidRPr="00362517" w:rsidRDefault="00D8365A" w:rsidP="00BF6BC7">
            <w:pPr>
              <w:widowControl w:val="0"/>
              <w:suppressAutoHyphens/>
              <w:jc w:val="center"/>
              <w:rPr>
                <w:sz w:val="20"/>
                <w:szCs w:val="20"/>
              </w:rPr>
            </w:pPr>
            <w:r w:rsidRPr="00362517">
              <w:rPr>
                <w:sz w:val="20"/>
                <w:szCs w:val="20"/>
              </w:rPr>
              <w:t>28</w:t>
            </w:r>
          </w:p>
        </w:tc>
        <w:tc>
          <w:tcPr>
            <w:tcW w:w="927" w:type="pct"/>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23FF1DEE" w14:textId="77777777" w:rsidR="00D8365A" w:rsidRPr="00362517" w:rsidRDefault="00D8365A" w:rsidP="00BF6BC7">
            <w:pPr>
              <w:jc w:val="center"/>
              <w:rPr>
                <w:sz w:val="20"/>
                <w:szCs w:val="20"/>
              </w:rPr>
            </w:pPr>
            <w:r w:rsidRPr="00362517">
              <w:rPr>
                <w:sz w:val="20"/>
                <w:szCs w:val="20"/>
              </w:rPr>
              <w:t>97</w:t>
            </w:r>
          </w:p>
        </w:tc>
      </w:tr>
      <w:tr w:rsidR="00D8365A" w:rsidRPr="00362517" w14:paraId="42D75675" w14:textId="77777777" w:rsidTr="007A2164">
        <w:trPr>
          <w:cantSplit/>
          <w:trHeight w:val="787"/>
        </w:trPr>
        <w:tc>
          <w:tcPr>
            <w:tcW w:w="997" w:type="pct"/>
            <w:vMerge/>
            <w:tcBorders>
              <w:top w:val="single" w:sz="2" w:space="0" w:color="auto"/>
              <w:left w:val="single" w:sz="8" w:space="0" w:color="auto"/>
              <w:bottom w:val="single" w:sz="2" w:space="0" w:color="auto"/>
              <w:right w:val="single" w:sz="2" w:space="0" w:color="auto"/>
            </w:tcBorders>
            <w:vAlign w:val="center"/>
            <w:hideMark/>
          </w:tcPr>
          <w:p w14:paraId="6855B636" w14:textId="77777777" w:rsidR="00D8365A" w:rsidRPr="00362517" w:rsidRDefault="00D8365A" w:rsidP="00BF6BC7">
            <w:pPr>
              <w:rPr>
                <w:sz w:val="20"/>
                <w:szCs w:val="20"/>
              </w:rPr>
            </w:pPr>
          </w:p>
        </w:tc>
        <w:tc>
          <w:tcPr>
            <w:tcW w:w="1378" w:type="pct"/>
            <w:tcBorders>
              <w:top w:val="single" w:sz="2" w:space="0" w:color="auto"/>
              <w:left w:val="single" w:sz="2" w:space="0" w:color="auto"/>
              <w:bottom w:val="single" w:sz="2" w:space="0" w:color="auto"/>
              <w:right w:val="single" w:sz="2" w:space="0" w:color="auto"/>
            </w:tcBorders>
            <w:vAlign w:val="center"/>
            <w:hideMark/>
          </w:tcPr>
          <w:p w14:paraId="3B3C20C4" w14:textId="77777777" w:rsidR="00D8365A" w:rsidRPr="00362517" w:rsidRDefault="00D8365A" w:rsidP="00BF6BC7">
            <w:pPr>
              <w:widowControl w:val="0"/>
              <w:suppressAutoHyphens/>
              <w:rPr>
                <w:sz w:val="20"/>
                <w:szCs w:val="20"/>
              </w:rPr>
            </w:pPr>
            <w:r w:rsidRPr="00362517">
              <w:rPr>
                <w:sz w:val="20"/>
                <w:szCs w:val="20"/>
              </w:rPr>
              <w:t xml:space="preserve">State costs: administer exam </w:t>
            </w:r>
          </w:p>
        </w:tc>
        <w:tc>
          <w:tcPr>
            <w:tcW w:w="715" w:type="pct"/>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0CC1CF4E" w14:textId="77777777" w:rsidR="00D8365A" w:rsidRPr="00362517" w:rsidRDefault="00D8365A" w:rsidP="00BF6BC7">
            <w:pPr>
              <w:jc w:val="center"/>
              <w:rPr>
                <w:sz w:val="20"/>
                <w:szCs w:val="20"/>
              </w:rPr>
            </w:pPr>
            <w:r w:rsidRPr="00362517">
              <w:rPr>
                <w:sz w:val="20"/>
                <w:szCs w:val="20"/>
              </w:rPr>
              <w:t>0.78</w:t>
            </w:r>
          </w:p>
        </w:tc>
        <w:tc>
          <w:tcPr>
            <w:tcW w:w="982" w:type="pct"/>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023A9D7C" w14:textId="77777777" w:rsidR="00D8365A" w:rsidRPr="00362517" w:rsidRDefault="00D8365A" w:rsidP="00BF6BC7">
            <w:pPr>
              <w:widowControl w:val="0"/>
              <w:suppressAutoHyphens/>
              <w:jc w:val="center"/>
              <w:rPr>
                <w:sz w:val="20"/>
                <w:szCs w:val="20"/>
              </w:rPr>
            </w:pPr>
            <w:r w:rsidRPr="00362517">
              <w:rPr>
                <w:sz w:val="20"/>
                <w:szCs w:val="20"/>
              </w:rPr>
              <w:t>0.16</w:t>
            </w:r>
          </w:p>
        </w:tc>
        <w:tc>
          <w:tcPr>
            <w:tcW w:w="927" w:type="pct"/>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1DB84FBA" w14:textId="77777777" w:rsidR="00D8365A" w:rsidRPr="00362517" w:rsidRDefault="00D8365A" w:rsidP="00BF6BC7">
            <w:pPr>
              <w:jc w:val="center"/>
              <w:rPr>
                <w:sz w:val="20"/>
                <w:szCs w:val="20"/>
              </w:rPr>
            </w:pPr>
            <w:r w:rsidRPr="00362517">
              <w:rPr>
                <w:sz w:val="20"/>
                <w:szCs w:val="20"/>
              </w:rPr>
              <w:t>0.63</w:t>
            </w:r>
          </w:p>
        </w:tc>
      </w:tr>
      <w:tr w:rsidR="00D8365A" w:rsidRPr="00362517" w14:paraId="2D613D86" w14:textId="77777777" w:rsidTr="007A2164">
        <w:trPr>
          <w:cantSplit/>
          <w:trHeight w:val="634"/>
        </w:trPr>
        <w:tc>
          <w:tcPr>
            <w:tcW w:w="997" w:type="pct"/>
            <w:vMerge/>
            <w:tcBorders>
              <w:top w:val="single" w:sz="2" w:space="0" w:color="auto"/>
              <w:left w:val="single" w:sz="8" w:space="0" w:color="auto"/>
              <w:bottom w:val="single" w:sz="2" w:space="0" w:color="auto"/>
              <w:right w:val="single" w:sz="2" w:space="0" w:color="auto"/>
            </w:tcBorders>
            <w:vAlign w:val="center"/>
            <w:hideMark/>
          </w:tcPr>
          <w:p w14:paraId="5A1CA6B6" w14:textId="77777777" w:rsidR="00D8365A" w:rsidRPr="00362517" w:rsidRDefault="00D8365A" w:rsidP="00BF6BC7">
            <w:pPr>
              <w:rPr>
                <w:sz w:val="20"/>
                <w:szCs w:val="20"/>
              </w:rPr>
            </w:pPr>
          </w:p>
        </w:tc>
        <w:tc>
          <w:tcPr>
            <w:tcW w:w="1378" w:type="pct"/>
            <w:tcBorders>
              <w:top w:val="single" w:sz="2" w:space="0" w:color="auto"/>
              <w:left w:val="single" w:sz="2" w:space="0" w:color="auto"/>
              <w:bottom w:val="single" w:sz="2" w:space="0" w:color="auto"/>
              <w:right w:val="single" w:sz="2" w:space="0" w:color="auto"/>
            </w:tcBorders>
            <w:vAlign w:val="center"/>
            <w:hideMark/>
          </w:tcPr>
          <w:p w14:paraId="183476A7" w14:textId="77777777" w:rsidR="00D8365A" w:rsidRPr="00362517" w:rsidRDefault="00D8365A" w:rsidP="00BF6BC7">
            <w:pPr>
              <w:widowControl w:val="0"/>
              <w:suppressAutoHyphens/>
              <w:rPr>
                <w:sz w:val="20"/>
                <w:szCs w:val="20"/>
              </w:rPr>
            </w:pPr>
            <w:r w:rsidRPr="00362517">
              <w:rPr>
                <w:sz w:val="20"/>
                <w:szCs w:val="20"/>
              </w:rPr>
              <w:t xml:space="preserve">State costs: develop exam </w:t>
            </w:r>
          </w:p>
        </w:tc>
        <w:tc>
          <w:tcPr>
            <w:tcW w:w="715" w:type="pct"/>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2FB892AD" w14:textId="77777777" w:rsidR="00D8365A" w:rsidRPr="00362517" w:rsidRDefault="00D8365A" w:rsidP="00BF6BC7">
            <w:pPr>
              <w:jc w:val="center"/>
              <w:rPr>
                <w:sz w:val="20"/>
                <w:szCs w:val="20"/>
              </w:rPr>
            </w:pPr>
            <w:r w:rsidRPr="00362517">
              <w:rPr>
                <w:sz w:val="20"/>
                <w:szCs w:val="20"/>
              </w:rPr>
              <w:t>46</w:t>
            </w:r>
          </w:p>
        </w:tc>
        <w:tc>
          <w:tcPr>
            <w:tcW w:w="982" w:type="pct"/>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56DFBE8E" w14:textId="77777777" w:rsidR="00D8365A" w:rsidRPr="00362517" w:rsidRDefault="00D8365A" w:rsidP="00BF6BC7">
            <w:pPr>
              <w:widowControl w:val="0"/>
              <w:suppressAutoHyphens/>
              <w:jc w:val="center"/>
              <w:rPr>
                <w:sz w:val="20"/>
                <w:szCs w:val="20"/>
              </w:rPr>
            </w:pPr>
            <w:r w:rsidRPr="00362517">
              <w:rPr>
                <w:sz w:val="20"/>
                <w:szCs w:val="20"/>
              </w:rPr>
              <w:t>0</w:t>
            </w:r>
          </w:p>
        </w:tc>
        <w:tc>
          <w:tcPr>
            <w:tcW w:w="927" w:type="pct"/>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609E20E8" w14:textId="77777777" w:rsidR="00D8365A" w:rsidRPr="00362517" w:rsidRDefault="00D8365A" w:rsidP="00BF6BC7">
            <w:pPr>
              <w:jc w:val="center"/>
              <w:rPr>
                <w:sz w:val="20"/>
                <w:szCs w:val="20"/>
              </w:rPr>
            </w:pPr>
            <w:r w:rsidRPr="00362517">
              <w:rPr>
                <w:sz w:val="20"/>
                <w:szCs w:val="20"/>
              </w:rPr>
              <w:t>46</w:t>
            </w:r>
          </w:p>
        </w:tc>
      </w:tr>
    </w:tbl>
    <w:p w14:paraId="0681FDF9" w14:textId="2E02FF5C" w:rsidR="00D8365A" w:rsidRPr="00362517" w:rsidRDefault="00D8365A" w:rsidP="00BF6BC7">
      <w:pPr>
        <w:pStyle w:val="BodyText"/>
      </w:pPr>
      <w:r w:rsidRPr="00362517">
        <w:rPr>
          <w:vertAlign w:val="superscript"/>
        </w:rPr>
        <w:t>1</w:t>
      </w:r>
      <w:r w:rsidRPr="00362517">
        <w:rPr>
          <w:sz w:val="22"/>
          <w:szCs w:val="22"/>
        </w:rPr>
        <w:t xml:space="preserve"> Source:  EPA calculations using a three percent discount rate over a ten</w:t>
      </w:r>
      <w:r w:rsidR="00924E1E">
        <w:rPr>
          <w:sz w:val="22"/>
          <w:szCs w:val="22"/>
        </w:rPr>
        <w:t xml:space="preserve"> </w:t>
      </w:r>
      <w:r w:rsidRPr="00362517">
        <w:rPr>
          <w:sz w:val="22"/>
          <w:szCs w:val="22"/>
        </w:rPr>
        <w:t>year horizon.</w:t>
      </w:r>
    </w:p>
    <w:p w14:paraId="43F8E717" w14:textId="77777777" w:rsidR="00D8365A" w:rsidRPr="00362517" w:rsidRDefault="00D8365A" w:rsidP="00BF6BC7"/>
    <w:p w14:paraId="3EC62895" w14:textId="77777777" w:rsidR="00D8365A" w:rsidRPr="00362517" w:rsidRDefault="00D8365A" w:rsidP="00BF6BC7">
      <w:r w:rsidRPr="00362517">
        <w:t>State costs for developing the trainings for aerial applications and non-soil fumigations are expected to cost $25,000 and $46,000 respectively over two years following finalization of the rule.  Thereafter, certifying authorities are estimated to bear costs of less than $1,000 to administer the trainings or exams.</w:t>
      </w:r>
    </w:p>
    <w:p w14:paraId="530FC40E" w14:textId="77777777" w:rsidR="00D8365A" w:rsidRPr="00362517" w:rsidRDefault="00D8365A" w:rsidP="00BF6BC7"/>
    <w:p w14:paraId="1EE12474" w14:textId="77777777" w:rsidR="00D8365A" w:rsidRPr="00362517" w:rsidRDefault="00D8365A" w:rsidP="00BF6BC7">
      <w:bookmarkStart w:id="199" w:name="OLE_LINK23"/>
      <w:bookmarkStart w:id="200" w:name="OLE_LINK99"/>
    </w:p>
    <w:bookmarkEnd w:id="199"/>
    <w:bookmarkEnd w:id="200"/>
    <w:p w14:paraId="3E40480A" w14:textId="77777777" w:rsidR="00D8365A" w:rsidRPr="00362517" w:rsidRDefault="00D8365A" w:rsidP="00BF6BC7">
      <w:pPr>
        <w:pStyle w:val="Heading3"/>
      </w:pPr>
      <w:r w:rsidRPr="00362517">
        <w:t xml:space="preserve"> </w:t>
      </w:r>
      <w:bookmarkStart w:id="201" w:name="_Toc456270170"/>
      <w:bookmarkStart w:id="202" w:name="_Toc468872086"/>
      <w:r w:rsidRPr="00362517">
        <w:t>3.4.3  Examination and Alternate Certification Method Security Standards for Commercial and Private Applicators</w:t>
      </w:r>
      <w:bookmarkEnd w:id="201"/>
      <w:bookmarkEnd w:id="202"/>
    </w:p>
    <w:p w14:paraId="43186F90" w14:textId="77777777" w:rsidR="00D8365A" w:rsidRPr="00362517" w:rsidRDefault="00D8365A" w:rsidP="00BF6BC7">
      <w:pPr>
        <w:pStyle w:val="CommentText"/>
        <w:rPr>
          <w:sz w:val="24"/>
          <w:szCs w:val="24"/>
        </w:rPr>
      </w:pPr>
      <w:bookmarkStart w:id="203" w:name="OLE_LINK7"/>
      <w:bookmarkStart w:id="204" w:name="OLE_LINK8"/>
    </w:p>
    <w:p w14:paraId="1B7CCF8A" w14:textId="77777777" w:rsidR="00D8365A" w:rsidRPr="00362517" w:rsidRDefault="00D8365A" w:rsidP="00BF6BC7">
      <w:pPr>
        <w:pStyle w:val="CommentText"/>
        <w:rPr>
          <w:sz w:val="24"/>
          <w:szCs w:val="24"/>
        </w:rPr>
      </w:pPr>
      <w:r w:rsidRPr="00362517">
        <w:rPr>
          <w:sz w:val="24"/>
          <w:szCs w:val="24"/>
        </w:rPr>
        <w:t xml:space="preserve">Security standards for commercial and private applicators aim to improve the quality and administration of pesticide applicator certification.  </w:t>
      </w:r>
      <w:bookmarkStart w:id="205" w:name="OLE_LINK45"/>
      <w:bookmarkStart w:id="206" w:name="OLE_LINK46"/>
      <w:r w:rsidRPr="00362517">
        <w:rPr>
          <w:sz w:val="24"/>
          <w:szCs w:val="24"/>
        </w:rPr>
        <w:t xml:space="preserve">The final revisions add requirements for those seeking certification or recertification by exam to present identification at the time of the session and for examination sessions to be proctored.  The final revisions add requirements for private applicators seeking certification by training to present identification at the time of the training.  For recertification by continuing education, certifying authorities must include a process that ensures the applicant’s successful completion of the course or event.  Identification checks will take a few seconds of applicators’ and proctor’s time and are estimated as part of the proctoring cost because the proctor will check applicators’ identification (e.g., driver’s license) as they enter the exam or training room.  </w:t>
      </w:r>
    </w:p>
    <w:bookmarkEnd w:id="203"/>
    <w:bookmarkEnd w:id="204"/>
    <w:bookmarkEnd w:id="205"/>
    <w:bookmarkEnd w:id="206"/>
    <w:p w14:paraId="1E32AE03" w14:textId="77777777" w:rsidR="00D8365A" w:rsidRPr="00362517" w:rsidRDefault="00D8365A" w:rsidP="00BF6BC7"/>
    <w:p w14:paraId="194A6A81" w14:textId="77777777" w:rsidR="00D8365A" w:rsidRPr="00362517" w:rsidRDefault="00D8365A" w:rsidP="00BF6BC7">
      <w:pPr>
        <w:pStyle w:val="BodyText"/>
      </w:pPr>
      <w:r w:rsidRPr="00362517">
        <w:t>Administration requirements will primarily impose costs on individuals or employers of individuals seeking to become certified or recertified; private or commercial pesticide applicators; as well as certifying authorities administering certification programs.  Administration requirements will have a minimal industry impact on a per applicator basis but, nonetheless, individuals and employers affected by these requirements will pay an opportunity cost for their time or their workers’ time whil</w:t>
      </w:r>
      <w:bookmarkStart w:id="207" w:name="OLE_LINK115"/>
      <w:bookmarkStart w:id="208" w:name="OLE_LINK116"/>
      <w:bookmarkStart w:id="209" w:name="OLE_LINK126"/>
      <w:bookmarkStart w:id="210" w:name="OLE_LINK125"/>
      <w:bookmarkStart w:id="211" w:name="OLE_LINK60"/>
      <w:bookmarkStart w:id="212" w:name="OLE_LINK61"/>
      <w:bookmarkStart w:id="213" w:name="OLE_LINK282"/>
      <w:bookmarkStart w:id="214" w:name="OLE_LINK283"/>
      <w:r w:rsidRPr="00362517">
        <w:t>e fulfilling the requirements.</w:t>
      </w:r>
    </w:p>
    <w:p w14:paraId="56E4A04B" w14:textId="77777777" w:rsidR="00D8365A" w:rsidRPr="00362517" w:rsidRDefault="00D8365A" w:rsidP="00BF6BC7"/>
    <w:p w14:paraId="1BE63763" w14:textId="77777777" w:rsidR="00D8365A" w:rsidRPr="00362517" w:rsidRDefault="00D8365A" w:rsidP="00BF6BC7">
      <w:r w:rsidRPr="00362517">
        <w:t xml:space="preserve">Costs of the final revisions are presented together with the costs of the final requirements that entail them.  For example, in Table 3.4-5 above, certifying authorities’ costs of proctoring application method-specific category exams for private applicator certification are presented together with the industry costs.    </w:t>
      </w:r>
    </w:p>
    <w:bookmarkEnd w:id="207"/>
    <w:bookmarkEnd w:id="208"/>
    <w:bookmarkEnd w:id="209"/>
    <w:bookmarkEnd w:id="210"/>
    <w:bookmarkEnd w:id="211"/>
    <w:bookmarkEnd w:id="212"/>
    <w:bookmarkEnd w:id="213"/>
    <w:bookmarkEnd w:id="214"/>
    <w:p w14:paraId="69E79825" w14:textId="77777777" w:rsidR="00D8365A" w:rsidRPr="00362517" w:rsidRDefault="00D8365A" w:rsidP="00BF6BC7">
      <w:pPr>
        <w:rPr>
          <w:b/>
        </w:rPr>
      </w:pPr>
    </w:p>
    <w:p w14:paraId="74C4B2B5" w14:textId="77777777" w:rsidR="00D8365A" w:rsidRPr="00362517" w:rsidRDefault="00D8365A" w:rsidP="00BF6BC7">
      <w:pPr>
        <w:pStyle w:val="Heading3"/>
      </w:pPr>
      <w:bookmarkStart w:id="215" w:name="_Toc395788110"/>
      <w:bookmarkStart w:id="216" w:name="_Toc396483166"/>
      <w:bookmarkStart w:id="217" w:name="_Toc452020147"/>
      <w:bookmarkStart w:id="218" w:name="_Toc456270171"/>
      <w:bookmarkStart w:id="219" w:name="_Toc468872087"/>
      <w:r w:rsidRPr="00362517">
        <w:t>3.4.4</w:t>
      </w:r>
      <w:r w:rsidRPr="00362517">
        <w:tab/>
        <w:t>Standards for Supervision of Applicators that Apply RUPs under the Supervision of Certified Applicators, Levels of Supervision, and Provisions for Commercial Applicator Recordkeeping of Applicator Training for Noncertified Applicators</w:t>
      </w:r>
      <w:bookmarkEnd w:id="215"/>
      <w:bookmarkEnd w:id="216"/>
      <w:bookmarkEnd w:id="217"/>
      <w:bookmarkEnd w:id="218"/>
      <w:bookmarkEnd w:id="219"/>
      <w:r w:rsidRPr="00362517">
        <w:t xml:space="preserve"> </w:t>
      </w:r>
    </w:p>
    <w:p w14:paraId="3908BFD7" w14:textId="77777777" w:rsidR="00D8365A" w:rsidRPr="00362517" w:rsidRDefault="00D8365A" w:rsidP="00BF6BC7"/>
    <w:p w14:paraId="1FB47F23" w14:textId="77777777" w:rsidR="00D8365A" w:rsidRPr="00362517" w:rsidRDefault="00D8365A" w:rsidP="00BF6BC7">
      <w:pPr>
        <w:pStyle w:val="BodyText"/>
        <w:rPr>
          <w:rFonts w:cs="Times New Roman"/>
        </w:rPr>
      </w:pPr>
      <w:r w:rsidRPr="00362517">
        <w:rPr>
          <w:rFonts w:cs="Times New Roman"/>
        </w:rPr>
        <w:t xml:space="preserve">Currently, there are no specific training or competency requirements for noncertified applicators using RUPs under the direct supervision of a certified applicator.  However, under current regulations, the certified applicator must provide verifiable instructions including detailed guidance for each RUP application.  </w:t>
      </w:r>
    </w:p>
    <w:p w14:paraId="6A7E27FF" w14:textId="77777777" w:rsidR="00D8365A" w:rsidRPr="00362517" w:rsidRDefault="00D8365A" w:rsidP="00BF6BC7">
      <w:pPr>
        <w:pStyle w:val="BodyText"/>
        <w:rPr>
          <w:rFonts w:cs="Times New Roman"/>
        </w:rPr>
      </w:pPr>
    </w:p>
    <w:p w14:paraId="04D14A04" w14:textId="77777777" w:rsidR="00D8365A" w:rsidRPr="00362517" w:rsidRDefault="00D8365A" w:rsidP="00BF6BC7">
      <w:pPr>
        <w:pStyle w:val="Default"/>
        <w:rPr>
          <w:rFonts w:ascii="Times New Roman" w:hAnsi="Times New Roman" w:cs="Times New Roman"/>
          <w:color w:val="auto"/>
        </w:rPr>
      </w:pPr>
      <w:r w:rsidRPr="00362517">
        <w:rPr>
          <w:rFonts w:ascii="Times New Roman" w:hAnsi="Times New Roman" w:cs="Times New Roman"/>
          <w:color w:val="auto"/>
        </w:rPr>
        <w:t xml:space="preserve">The final revisions require noncertified applicators that use RUPs under the direct supervision of a certified applicator to receive </w:t>
      </w:r>
      <w:r w:rsidRPr="00362517">
        <w:rPr>
          <w:rFonts w:ascii="Times New Roman" w:hAnsi="Times New Roman" w:cs="Times New Roman"/>
          <w:bCs/>
          <w:color w:val="auto"/>
        </w:rPr>
        <w:t xml:space="preserve">annual training on safe pesticide application and protecting themselves and others from pesticide exposure.  The training will be </w:t>
      </w:r>
      <w:r w:rsidRPr="00362517">
        <w:rPr>
          <w:rFonts w:ascii="Times New Roman" w:hAnsi="Times New Roman" w:cs="Times New Roman"/>
          <w:color w:val="auto"/>
        </w:rPr>
        <w:t xml:space="preserve">similar to WPS handler training.  Those with valid WPS handler training or who hold a valid certification but not in the category of the application being conducted are in compliance with the training requirement.  Certifying authorities can also implement a noncertified applicator program that meets or exceeds EPA’s standards. See Unit X of the preamble for details.    </w:t>
      </w:r>
    </w:p>
    <w:p w14:paraId="6C112FE7" w14:textId="77777777" w:rsidR="00D8365A" w:rsidRPr="00362517" w:rsidRDefault="00D8365A" w:rsidP="00BF6BC7"/>
    <w:p w14:paraId="6A679073" w14:textId="77777777" w:rsidR="00D8365A" w:rsidRPr="00362517" w:rsidRDefault="00D8365A" w:rsidP="00BF6BC7">
      <w:pPr>
        <w:pStyle w:val="BodyText"/>
      </w:pPr>
      <w:r w:rsidRPr="00362517">
        <w:t>Table 3.4-6 presents the national-level annualized costs for final requirement, baseline, and incremental cost for the affected parties.  The table is followed by a brief description of the costs.  Details on estimation method, data, and assumptions are provided in Appendix A.</w:t>
      </w:r>
    </w:p>
    <w:p w14:paraId="221D7C66" w14:textId="77777777" w:rsidR="00D8365A" w:rsidRPr="00362517" w:rsidRDefault="00D8365A" w:rsidP="00BF6BC7"/>
    <w:p w14:paraId="603A08C1" w14:textId="77777777" w:rsidR="00D8365A" w:rsidRPr="00362517" w:rsidRDefault="00D8365A" w:rsidP="00BF6BC7">
      <w:pPr>
        <w:pStyle w:val="BodyText"/>
        <w:keepNext/>
        <w:rPr>
          <w:b/>
          <w:vertAlign w:val="superscript"/>
        </w:rPr>
      </w:pPr>
      <w:r w:rsidRPr="00362517">
        <w:rPr>
          <w:b/>
        </w:rPr>
        <w:t>Table 3.4-6: Costs of Standards for Supervision of Noncertified Applicators that Apply RUPs under the Supervision of Commercial Applicators and Establishing Levels of Supervision</w:t>
      </w:r>
      <w:r w:rsidRPr="00362517">
        <w:rPr>
          <w:b/>
          <w:vertAlign w:val="superscript"/>
        </w:rPr>
        <w:t>1</w:t>
      </w:r>
    </w:p>
    <w:tbl>
      <w:tblPr>
        <w:tblW w:w="5000" w:type="pct"/>
        <w:tblBorders>
          <w:top w:val="single" w:sz="8" w:space="0" w:color="auto"/>
          <w:left w:val="single" w:sz="8" w:space="0" w:color="auto"/>
          <w:bottom w:val="single" w:sz="12" w:space="0" w:color="auto"/>
          <w:right w:val="single" w:sz="8" w:space="0" w:color="auto"/>
          <w:insideH w:val="single" w:sz="2" w:space="0" w:color="auto"/>
          <w:insideV w:val="single" w:sz="2" w:space="0" w:color="auto"/>
        </w:tblBorders>
        <w:tblLook w:val="04A0" w:firstRow="1" w:lastRow="0" w:firstColumn="1" w:lastColumn="0" w:noHBand="0" w:noVBand="1"/>
      </w:tblPr>
      <w:tblGrid>
        <w:gridCol w:w="4199"/>
        <w:gridCol w:w="891"/>
        <w:gridCol w:w="1597"/>
        <w:gridCol w:w="1237"/>
        <w:gridCol w:w="1416"/>
      </w:tblGrid>
      <w:tr w:rsidR="00D8365A" w:rsidRPr="00362517" w14:paraId="27F9BD36" w14:textId="77777777" w:rsidTr="007A2164">
        <w:trPr>
          <w:tblHeader/>
        </w:trPr>
        <w:tc>
          <w:tcPr>
            <w:tcW w:w="2248" w:type="pct"/>
            <w:tcBorders>
              <w:top w:val="single" w:sz="8" w:space="0" w:color="auto"/>
              <w:left w:val="single" w:sz="8" w:space="0" w:color="auto"/>
              <w:bottom w:val="double" w:sz="4" w:space="0" w:color="auto"/>
              <w:right w:val="single" w:sz="2" w:space="0" w:color="auto"/>
            </w:tcBorders>
            <w:vAlign w:val="bottom"/>
            <w:hideMark/>
          </w:tcPr>
          <w:p w14:paraId="2D6EBAB1" w14:textId="77777777" w:rsidR="00D8365A" w:rsidRPr="00362517" w:rsidRDefault="00D8365A" w:rsidP="00BF6BC7">
            <w:pPr>
              <w:pStyle w:val="BodyText"/>
              <w:keepNext/>
              <w:rPr>
                <w:sz w:val="20"/>
                <w:szCs w:val="20"/>
              </w:rPr>
            </w:pPr>
            <w:r w:rsidRPr="00362517">
              <w:rPr>
                <w:sz w:val="20"/>
                <w:szCs w:val="20"/>
              </w:rPr>
              <w:t>Final Requirement</w:t>
            </w:r>
          </w:p>
          <w:p w14:paraId="0BFCE555" w14:textId="77777777" w:rsidR="00D8365A" w:rsidRPr="00362517" w:rsidRDefault="00D8365A" w:rsidP="00BF6BC7">
            <w:pPr>
              <w:pStyle w:val="BodyText"/>
              <w:keepNext/>
              <w:rPr>
                <w:sz w:val="20"/>
                <w:szCs w:val="20"/>
              </w:rPr>
            </w:pPr>
          </w:p>
        </w:tc>
        <w:tc>
          <w:tcPr>
            <w:tcW w:w="477" w:type="pct"/>
            <w:tcBorders>
              <w:top w:val="single" w:sz="8" w:space="0" w:color="auto"/>
              <w:left w:val="single" w:sz="2" w:space="0" w:color="auto"/>
              <w:bottom w:val="double" w:sz="4" w:space="0" w:color="auto"/>
              <w:right w:val="single" w:sz="2" w:space="0" w:color="auto"/>
            </w:tcBorders>
            <w:vAlign w:val="bottom"/>
            <w:hideMark/>
          </w:tcPr>
          <w:p w14:paraId="7FF696DC" w14:textId="77777777" w:rsidR="00D8365A" w:rsidRPr="00362517" w:rsidRDefault="00D8365A" w:rsidP="00BF6BC7">
            <w:pPr>
              <w:pStyle w:val="TableGridCT"/>
              <w:keepNext/>
              <w:keepLines/>
              <w:tabs>
                <w:tab w:val="left" w:pos="720"/>
                <w:tab w:val="left" w:pos="1080"/>
                <w:tab w:val="left" w:pos="1440"/>
                <w:tab w:val="left" w:pos="1800"/>
              </w:tabs>
              <w:spacing w:line="264" w:lineRule="auto"/>
              <w:jc w:val="center"/>
              <w:rPr>
                <w:bCs/>
                <w:sz w:val="20"/>
                <w:szCs w:val="20"/>
              </w:rPr>
            </w:pPr>
            <w:r w:rsidRPr="00362517">
              <w:rPr>
                <w:bCs/>
                <w:sz w:val="20"/>
                <w:szCs w:val="20"/>
              </w:rPr>
              <w:t>Type of Cost</w:t>
            </w:r>
          </w:p>
        </w:tc>
        <w:tc>
          <w:tcPr>
            <w:tcW w:w="855" w:type="pct"/>
            <w:tcBorders>
              <w:top w:val="single" w:sz="8" w:space="0" w:color="auto"/>
              <w:left w:val="single" w:sz="2" w:space="0" w:color="auto"/>
              <w:bottom w:val="double" w:sz="4" w:space="0" w:color="auto"/>
              <w:right w:val="single" w:sz="2" w:space="0" w:color="auto"/>
            </w:tcBorders>
            <w:vAlign w:val="bottom"/>
            <w:hideMark/>
          </w:tcPr>
          <w:p w14:paraId="320683D6" w14:textId="77777777" w:rsidR="00D8365A" w:rsidRPr="00362517" w:rsidRDefault="00D8365A" w:rsidP="00BF6BC7">
            <w:pPr>
              <w:pStyle w:val="TableGridCT"/>
              <w:keepNext/>
              <w:keepLines/>
              <w:tabs>
                <w:tab w:val="left" w:pos="720"/>
                <w:tab w:val="left" w:pos="1080"/>
                <w:tab w:val="left" w:pos="1440"/>
                <w:tab w:val="left" w:pos="1800"/>
              </w:tabs>
              <w:spacing w:line="264" w:lineRule="auto"/>
              <w:jc w:val="center"/>
              <w:rPr>
                <w:bCs/>
                <w:sz w:val="20"/>
                <w:szCs w:val="20"/>
              </w:rPr>
            </w:pPr>
            <w:r w:rsidRPr="00362517">
              <w:rPr>
                <w:bCs/>
                <w:sz w:val="20"/>
                <w:szCs w:val="20"/>
              </w:rPr>
              <w:t>National Cost of Final Requirement (NC</w:t>
            </w:r>
            <w:r w:rsidRPr="00362517">
              <w:rPr>
                <w:bCs/>
                <w:sz w:val="20"/>
                <w:szCs w:val="20"/>
                <w:vertAlign w:val="superscript"/>
              </w:rPr>
              <w:t>P</w:t>
            </w:r>
            <w:r w:rsidRPr="00362517">
              <w:rPr>
                <w:bCs/>
                <w:sz w:val="20"/>
                <w:szCs w:val="20"/>
              </w:rPr>
              <w:t>)</w:t>
            </w:r>
          </w:p>
          <w:p w14:paraId="3EFC83C8" w14:textId="77777777" w:rsidR="00D8365A" w:rsidRPr="00362517" w:rsidRDefault="00D8365A" w:rsidP="00BF6BC7">
            <w:pPr>
              <w:pStyle w:val="TableGridCT"/>
              <w:keepNext/>
              <w:keepLines/>
              <w:tabs>
                <w:tab w:val="left" w:pos="720"/>
                <w:tab w:val="left" w:pos="1080"/>
                <w:tab w:val="left" w:pos="1440"/>
                <w:tab w:val="left" w:pos="1800"/>
              </w:tabs>
              <w:spacing w:line="264" w:lineRule="auto"/>
              <w:jc w:val="center"/>
              <w:rPr>
                <w:bCs/>
                <w:sz w:val="20"/>
                <w:szCs w:val="20"/>
              </w:rPr>
            </w:pPr>
            <w:r w:rsidRPr="00362517">
              <w:rPr>
                <w:bCs/>
                <w:sz w:val="20"/>
                <w:szCs w:val="20"/>
              </w:rPr>
              <w:t>($000)</w:t>
            </w:r>
          </w:p>
        </w:tc>
        <w:tc>
          <w:tcPr>
            <w:tcW w:w="662" w:type="pct"/>
            <w:tcBorders>
              <w:top w:val="single" w:sz="8" w:space="0" w:color="auto"/>
              <w:left w:val="single" w:sz="2" w:space="0" w:color="auto"/>
              <w:bottom w:val="double" w:sz="4" w:space="0" w:color="auto"/>
              <w:right w:val="single" w:sz="2" w:space="0" w:color="auto"/>
            </w:tcBorders>
            <w:vAlign w:val="bottom"/>
            <w:hideMark/>
          </w:tcPr>
          <w:p w14:paraId="78585DBA" w14:textId="440B3241" w:rsidR="00D8365A" w:rsidRPr="00362517" w:rsidRDefault="00D8365A" w:rsidP="00BF6BC7">
            <w:pPr>
              <w:pStyle w:val="TableGridCT"/>
              <w:keepNext/>
              <w:keepLines/>
              <w:tabs>
                <w:tab w:val="left" w:pos="720"/>
                <w:tab w:val="left" w:pos="1080"/>
                <w:tab w:val="left" w:pos="1440"/>
                <w:tab w:val="left" w:pos="1800"/>
              </w:tabs>
              <w:spacing w:line="264" w:lineRule="auto"/>
              <w:jc w:val="center"/>
              <w:rPr>
                <w:bCs/>
                <w:sz w:val="20"/>
                <w:szCs w:val="20"/>
              </w:rPr>
            </w:pPr>
            <w:r w:rsidRPr="00362517">
              <w:rPr>
                <w:bCs/>
                <w:sz w:val="20"/>
                <w:szCs w:val="20"/>
              </w:rPr>
              <w:t>National Cost of Baseline (NC</w:t>
            </w:r>
            <w:r w:rsidRPr="00362517">
              <w:rPr>
                <w:bCs/>
                <w:sz w:val="20"/>
                <w:szCs w:val="20"/>
                <w:vertAlign w:val="superscript"/>
              </w:rPr>
              <w:t>B</w:t>
            </w:r>
            <w:r w:rsidRPr="00362517">
              <w:rPr>
                <w:bCs/>
                <w:sz w:val="20"/>
                <w:szCs w:val="20"/>
              </w:rPr>
              <w:t>)</w:t>
            </w:r>
          </w:p>
          <w:p w14:paraId="7110B31C" w14:textId="77777777" w:rsidR="00D8365A" w:rsidRPr="00362517" w:rsidRDefault="00D8365A" w:rsidP="00BF6BC7">
            <w:pPr>
              <w:pStyle w:val="TableGridCT"/>
              <w:keepNext/>
              <w:keepLines/>
              <w:tabs>
                <w:tab w:val="left" w:pos="720"/>
                <w:tab w:val="left" w:pos="1080"/>
                <w:tab w:val="left" w:pos="1440"/>
                <w:tab w:val="left" w:pos="1800"/>
              </w:tabs>
              <w:spacing w:line="264" w:lineRule="auto"/>
              <w:jc w:val="center"/>
              <w:rPr>
                <w:bCs/>
                <w:sz w:val="20"/>
                <w:szCs w:val="20"/>
              </w:rPr>
            </w:pPr>
            <w:r w:rsidRPr="00362517">
              <w:rPr>
                <w:bCs/>
                <w:sz w:val="20"/>
                <w:szCs w:val="20"/>
              </w:rPr>
              <w:t>($000)</w:t>
            </w:r>
          </w:p>
        </w:tc>
        <w:tc>
          <w:tcPr>
            <w:tcW w:w="758" w:type="pct"/>
            <w:tcBorders>
              <w:top w:val="single" w:sz="8" w:space="0" w:color="auto"/>
              <w:left w:val="single" w:sz="2" w:space="0" w:color="auto"/>
              <w:bottom w:val="double" w:sz="4" w:space="0" w:color="auto"/>
              <w:right w:val="single" w:sz="8" w:space="0" w:color="auto"/>
            </w:tcBorders>
            <w:vAlign w:val="bottom"/>
            <w:hideMark/>
          </w:tcPr>
          <w:p w14:paraId="28B433D5" w14:textId="77777777" w:rsidR="00D8365A" w:rsidRPr="00362517" w:rsidRDefault="00D8365A" w:rsidP="00BF6BC7">
            <w:pPr>
              <w:pStyle w:val="TableGridCT"/>
              <w:keepNext/>
              <w:keepLines/>
              <w:tabs>
                <w:tab w:val="left" w:pos="720"/>
                <w:tab w:val="left" w:pos="1080"/>
                <w:tab w:val="left" w:pos="1440"/>
                <w:tab w:val="left" w:pos="1800"/>
              </w:tabs>
              <w:spacing w:line="264" w:lineRule="auto"/>
              <w:jc w:val="center"/>
              <w:rPr>
                <w:bCs/>
                <w:sz w:val="20"/>
                <w:szCs w:val="20"/>
              </w:rPr>
            </w:pPr>
            <w:r w:rsidRPr="00362517">
              <w:rPr>
                <w:bCs/>
                <w:sz w:val="20"/>
                <w:szCs w:val="20"/>
              </w:rPr>
              <w:t>National Incremental Cost (NIC)</w:t>
            </w:r>
          </w:p>
          <w:p w14:paraId="24353332" w14:textId="77777777" w:rsidR="00D8365A" w:rsidRPr="00362517" w:rsidRDefault="00D8365A" w:rsidP="00BF6BC7">
            <w:pPr>
              <w:pStyle w:val="TableGridCT"/>
              <w:keepNext/>
              <w:keepLines/>
              <w:tabs>
                <w:tab w:val="left" w:pos="720"/>
                <w:tab w:val="left" w:pos="1080"/>
                <w:tab w:val="left" w:pos="1440"/>
                <w:tab w:val="left" w:pos="1800"/>
              </w:tabs>
              <w:spacing w:line="264" w:lineRule="auto"/>
              <w:jc w:val="center"/>
              <w:rPr>
                <w:bCs/>
                <w:sz w:val="20"/>
                <w:szCs w:val="20"/>
              </w:rPr>
            </w:pPr>
            <w:r w:rsidRPr="00362517">
              <w:rPr>
                <w:bCs/>
                <w:sz w:val="20"/>
                <w:szCs w:val="20"/>
              </w:rPr>
              <w:t>($000)</w:t>
            </w:r>
          </w:p>
        </w:tc>
      </w:tr>
      <w:tr w:rsidR="00D8365A" w:rsidRPr="00362517" w14:paraId="535AD4F8" w14:textId="77777777" w:rsidTr="007A2164">
        <w:trPr>
          <w:trHeight w:val="393"/>
        </w:trPr>
        <w:tc>
          <w:tcPr>
            <w:tcW w:w="5000" w:type="pct"/>
            <w:gridSpan w:val="5"/>
            <w:tcBorders>
              <w:top w:val="single" w:sz="2" w:space="0" w:color="auto"/>
              <w:left w:val="single" w:sz="8" w:space="0" w:color="auto"/>
              <w:bottom w:val="single" w:sz="2" w:space="0" w:color="auto"/>
              <w:right w:val="single" w:sz="8" w:space="0" w:color="auto"/>
            </w:tcBorders>
            <w:vAlign w:val="center"/>
            <w:hideMark/>
          </w:tcPr>
          <w:p w14:paraId="32DC955D" w14:textId="77777777" w:rsidR="00D8365A" w:rsidRPr="00362517" w:rsidRDefault="00D8365A" w:rsidP="00BF6BC7">
            <w:pPr>
              <w:pStyle w:val="BodyText"/>
              <w:jc w:val="center"/>
              <w:rPr>
                <w:sz w:val="20"/>
                <w:szCs w:val="20"/>
              </w:rPr>
            </w:pPr>
            <w:r w:rsidRPr="00362517">
              <w:rPr>
                <w:sz w:val="20"/>
                <w:szCs w:val="20"/>
              </w:rPr>
              <w:t>Competency Requirements for Noncertified Applicators under the Supervision of Commercial Applicators</w:t>
            </w:r>
          </w:p>
        </w:tc>
      </w:tr>
      <w:tr w:rsidR="00D8365A" w:rsidRPr="00362517" w14:paraId="2109053C" w14:textId="77777777" w:rsidTr="007A2164">
        <w:trPr>
          <w:trHeight w:val="751"/>
        </w:trPr>
        <w:tc>
          <w:tcPr>
            <w:tcW w:w="2248" w:type="pct"/>
            <w:tcBorders>
              <w:top w:val="single" w:sz="2" w:space="0" w:color="auto"/>
              <w:left w:val="single" w:sz="8" w:space="0" w:color="auto"/>
              <w:right w:val="single" w:sz="2" w:space="0" w:color="auto"/>
            </w:tcBorders>
            <w:vAlign w:val="center"/>
            <w:hideMark/>
          </w:tcPr>
          <w:p w14:paraId="5EA9132C" w14:textId="77777777" w:rsidR="00D8365A" w:rsidRPr="00362517" w:rsidRDefault="00D8365A" w:rsidP="00BF6BC7">
            <w:pPr>
              <w:pStyle w:val="BodyText"/>
              <w:rPr>
                <w:sz w:val="20"/>
                <w:szCs w:val="20"/>
              </w:rPr>
            </w:pPr>
            <w:r w:rsidRPr="00362517">
              <w:rPr>
                <w:sz w:val="20"/>
                <w:szCs w:val="20"/>
              </w:rPr>
              <w:t>Noncertified applicators applying RUPs under the direct supervision of commercial applicators must complete training, or have taken handler training under the Worker Protection Standard, hold certification in an alternate category to the current application, or qualify under certifying authority’s EPA-approved program for noncertified applicator competence</w:t>
            </w:r>
          </w:p>
        </w:tc>
        <w:tc>
          <w:tcPr>
            <w:tcW w:w="477" w:type="pct"/>
            <w:tcBorders>
              <w:top w:val="single" w:sz="2" w:space="0" w:color="auto"/>
              <w:left w:val="single" w:sz="2" w:space="0" w:color="auto"/>
              <w:bottom w:val="single" w:sz="2" w:space="0" w:color="auto"/>
              <w:right w:val="single" w:sz="2" w:space="0" w:color="auto"/>
            </w:tcBorders>
            <w:vAlign w:val="center"/>
            <w:hideMark/>
          </w:tcPr>
          <w:p w14:paraId="17515A1A" w14:textId="77777777" w:rsidR="00D8365A" w:rsidRPr="00362517" w:rsidRDefault="00D8365A" w:rsidP="00BF6BC7">
            <w:pPr>
              <w:pStyle w:val="BodyText"/>
              <w:rPr>
                <w:sz w:val="20"/>
                <w:szCs w:val="20"/>
              </w:rPr>
            </w:pPr>
            <w:r w:rsidRPr="00362517">
              <w:rPr>
                <w:sz w:val="20"/>
                <w:szCs w:val="20"/>
              </w:rPr>
              <w:t xml:space="preserve">Industry costs </w:t>
            </w:r>
          </w:p>
        </w:tc>
        <w:tc>
          <w:tcPr>
            <w:tcW w:w="855" w:type="pct"/>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26FA4621" w14:textId="77777777" w:rsidR="00D8365A" w:rsidRPr="00362517" w:rsidRDefault="00D8365A" w:rsidP="00BF6BC7">
            <w:pPr>
              <w:jc w:val="center"/>
              <w:rPr>
                <w:sz w:val="20"/>
                <w:szCs w:val="20"/>
              </w:rPr>
            </w:pPr>
            <w:r w:rsidRPr="00362517">
              <w:rPr>
                <w:sz w:val="20"/>
                <w:szCs w:val="20"/>
              </w:rPr>
              <w:t>22,201</w:t>
            </w:r>
          </w:p>
        </w:tc>
        <w:tc>
          <w:tcPr>
            <w:tcW w:w="662" w:type="pct"/>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6A6119AE" w14:textId="77777777" w:rsidR="00D8365A" w:rsidRPr="00362517" w:rsidRDefault="00D8365A" w:rsidP="00BF6BC7">
            <w:pPr>
              <w:jc w:val="center"/>
              <w:rPr>
                <w:sz w:val="20"/>
                <w:szCs w:val="20"/>
              </w:rPr>
            </w:pPr>
            <w:r w:rsidRPr="00362517">
              <w:rPr>
                <w:sz w:val="20"/>
                <w:szCs w:val="20"/>
              </w:rPr>
              <w:t>15,726</w:t>
            </w:r>
          </w:p>
        </w:tc>
        <w:tc>
          <w:tcPr>
            <w:tcW w:w="758" w:type="pct"/>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2A23232B" w14:textId="77777777" w:rsidR="00D8365A" w:rsidRPr="00362517" w:rsidRDefault="00D8365A" w:rsidP="00BF6BC7">
            <w:pPr>
              <w:keepNext/>
              <w:keepLines/>
              <w:jc w:val="center"/>
              <w:rPr>
                <w:sz w:val="20"/>
                <w:szCs w:val="20"/>
              </w:rPr>
            </w:pPr>
            <w:r w:rsidRPr="00362517">
              <w:rPr>
                <w:sz w:val="20"/>
                <w:szCs w:val="20"/>
              </w:rPr>
              <w:t>6,475</w:t>
            </w:r>
          </w:p>
        </w:tc>
      </w:tr>
      <w:tr w:rsidR="00D8365A" w:rsidRPr="00362517" w14:paraId="5953C813" w14:textId="77777777" w:rsidTr="007A2164">
        <w:trPr>
          <w:trHeight w:val="751"/>
        </w:trPr>
        <w:tc>
          <w:tcPr>
            <w:tcW w:w="2248" w:type="pct"/>
            <w:tcBorders>
              <w:top w:val="single" w:sz="2" w:space="0" w:color="auto"/>
              <w:left w:val="single" w:sz="8" w:space="0" w:color="auto"/>
              <w:right w:val="single" w:sz="2" w:space="0" w:color="auto"/>
            </w:tcBorders>
            <w:vAlign w:val="center"/>
          </w:tcPr>
          <w:p w14:paraId="721A95C0" w14:textId="77777777" w:rsidR="00D8365A" w:rsidRPr="00362517" w:rsidRDefault="00D8365A" w:rsidP="00BF6BC7">
            <w:pPr>
              <w:pStyle w:val="BodyText"/>
              <w:rPr>
                <w:sz w:val="20"/>
                <w:szCs w:val="20"/>
              </w:rPr>
            </w:pPr>
            <w:r w:rsidRPr="00362517">
              <w:rPr>
                <w:sz w:val="20"/>
                <w:szCs w:val="20"/>
              </w:rPr>
              <w:t>Training records of noncertified applicators applying RUPs under the direct supervision of commercial applicators retained for two years; records must be verified and available for supervising commercial applicator</w:t>
            </w:r>
          </w:p>
        </w:tc>
        <w:tc>
          <w:tcPr>
            <w:tcW w:w="477" w:type="pct"/>
            <w:tcBorders>
              <w:top w:val="single" w:sz="2" w:space="0" w:color="auto"/>
              <w:left w:val="single" w:sz="2" w:space="0" w:color="auto"/>
              <w:bottom w:val="single" w:sz="2" w:space="0" w:color="auto"/>
              <w:right w:val="single" w:sz="2" w:space="0" w:color="auto"/>
            </w:tcBorders>
            <w:vAlign w:val="center"/>
          </w:tcPr>
          <w:p w14:paraId="00EFE77B" w14:textId="77777777" w:rsidR="00D8365A" w:rsidRPr="00362517" w:rsidRDefault="00D8365A" w:rsidP="00BF6BC7">
            <w:pPr>
              <w:pStyle w:val="BodyText"/>
              <w:rPr>
                <w:sz w:val="20"/>
                <w:szCs w:val="20"/>
              </w:rPr>
            </w:pPr>
            <w:r w:rsidRPr="00362517">
              <w:rPr>
                <w:sz w:val="20"/>
                <w:szCs w:val="20"/>
              </w:rPr>
              <w:t xml:space="preserve">Industry costs </w:t>
            </w:r>
          </w:p>
        </w:tc>
        <w:tc>
          <w:tcPr>
            <w:tcW w:w="855"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0E900F8F" w14:textId="77777777" w:rsidR="00D8365A" w:rsidRPr="00362517" w:rsidRDefault="00D8365A" w:rsidP="00BF6BC7">
            <w:pPr>
              <w:jc w:val="center"/>
              <w:rPr>
                <w:sz w:val="20"/>
                <w:szCs w:val="20"/>
              </w:rPr>
            </w:pPr>
            <w:r w:rsidRPr="00362517">
              <w:rPr>
                <w:sz w:val="20"/>
                <w:szCs w:val="20"/>
              </w:rPr>
              <w:t>585</w:t>
            </w:r>
          </w:p>
        </w:tc>
        <w:tc>
          <w:tcPr>
            <w:tcW w:w="662"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47B1AB6E" w14:textId="77777777" w:rsidR="00D8365A" w:rsidRPr="00362517" w:rsidRDefault="00D8365A" w:rsidP="00BF6BC7">
            <w:pPr>
              <w:jc w:val="center"/>
              <w:rPr>
                <w:sz w:val="20"/>
                <w:szCs w:val="20"/>
              </w:rPr>
            </w:pPr>
            <w:r w:rsidRPr="00362517">
              <w:rPr>
                <w:sz w:val="20"/>
                <w:szCs w:val="20"/>
              </w:rPr>
              <w:t>248</w:t>
            </w:r>
          </w:p>
        </w:tc>
        <w:tc>
          <w:tcPr>
            <w:tcW w:w="758" w:type="pct"/>
            <w:tcBorders>
              <w:top w:val="single" w:sz="2" w:space="0" w:color="auto"/>
              <w:left w:val="single" w:sz="2" w:space="0" w:color="auto"/>
              <w:bottom w:val="single" w:sz="2" w:space="0" w:color="auto"/>
              <w:right w:val="single" w:sz="8" w:space="0" w:color="auto"/>
            </w:tcBorders>
            <w:tcMar>
              <w:left w:w="115" w:type="dxa"/>
              <w:right w:w="288" w:type="dxa"/>
            </w:tcMar>
            <w:vAlign w:val="center"/>
          </w:tcPr>
          <w:p w14:paraId="060A6F12" w14:textId="77777777" w:rsidR="00D8365A" w:rsidRPr="00362517" w:rsidRDefault="00D8365A" w:rsidP="00BF6BC7">
            <w:pPr>
              <w:keepNext/>
              <w:keepLines/>
              <w:jc w:val="center"/>
              <w:rPr>
                <w:sz w:val="20"/>
                <w:szCs w:val="20"/>
              </w:rPr>
            </w:pPr>
            <w:r w:rsidRPr="00362517">
              <w:rPr>
                <w:sz w:val="20"/>
                <w:szCs w:val="20"/>
              </w:rPr>
              <w:t>343</w:t>
            </w:r>
          </w:p>
        </w:tc>
      </w:tr>
      <w:tr w:rsidR="00D8365A" w:rsidRPr="00362517" w14:paraId="7B6DE909" w14:textId="77777777" w:rsidTr="007A2164">
        <w:trPr>
          <w:trHeight w:val="432"/>
        </w:trPr>
        <w:tc>
          <w:tcPr>
            <w:tcW w:w="5000" w:type="pct"/>
            <w:gridSpan w:val="5"/>
            <w:tcBorders>
              <w:top w:val="single" w:sz="2" w:space="0" w:color="auto"/>
              <w:left w:val="single" w:sz="8" w:space="0" w:color="auto"/>
              <w:right w:val="single" w:sz="8" w:space="0" w:color="auto"/>
            </w:tcBorders>
            <w:vAlign w:val="center"/>
          </w:tcPr>
          <w:p w14:paraId="7E2F6621" w14:textId="77777777" w:rsidR="00D8365A" w:rsidRPr="00362517" w:rsidRDefault="00D8365A" w:rsidP="00BF6BC7">
            <w:pPr>
              <w:keepNext/>
              <w:keepLines/>
              <w:jc w:val="center"/>
              <w:rPr>
                <w:sz w:val="20"/>
                <w:szCs w:val="20"/>
              </w:rPr>
            </w:pPr>
            <w:r w:rsidRPr="00362517">
              <w:rPr>
                <w:sz w:val="20"/>
                <w:szCs w:val="20"/>
              </w:rPr>
              <w:t>Competency Requirements for Noncertified Applicators under the Supervision of Private Applicators</w:t>
            </w:r>
          </w:p>
        </w:tc>
      </w:tr>
      <w:tr w:rsidR="00D8365A" w:rsidRPr="00362517" w14:paraId="231C1E45" w14:textId="77777777" w:rsidTr="00E268E3">
        <w:trPr>
          <w:trHeight w:val="751"/>
        </w:trPr>
        <w:tc>
          <w:tcPr>
            <w:tcW w:w="2248" w:type="pct"/>
            <w:tcBorders>
              <w:top w:val="single" w:sz="2" w:space="0" w:color="auto"/>
              <w:left w:val="single" w:sz="8" w:space="0" w:color="auto"/>
              <w:bottom w:val="single" w:sz="4" w:space="0" w:color="auto"/>
              <w:right w:val="single" w:sz="2" w:space="0" w:color="auto"/>
            </w:tcBorders>
            <w:vAlign w:val="center"/>
          </w:tcPr>
          <w:p w14:paraId="4291F196" w14:textId="7C93CC8A" w:rsidR="00D8365A" w:rsidRPr="00362517" w:rsidRDefault="00D8365A" w:rsidP="00DC73A6">
            <w:pPr>
              <w:pStyle w:val="BodyText"/>
              <w:rPr>
                <w:sz w:val="20"/>
                <w:szCs w:val="20"/>
              </w:rPr>
            </w:pPr>
            <w:r w:rsidRPr="00362517">
              <w:rPr>
                <w:sz w:val="20"/>
                <w:szCs w:val="20"/>
              </w:rPr>
              <w:t>Noncertified applicators applying RUPs under the direct supervision of private applicators must complete training or have taken handler training under the Worker Protection Standard, hold certification in alternate category to the current application, or qualify under certifying authority’s EPA-approved program for noncertified applicator competence</w:t>
            </w:r>
          </w:p>
        </w:tc>
        <w:tc>
          <w:tcPr>
            <w:tcW w:w="477" w:type="pct"/>
            <w:tcBorders>
              <w:top w:val="single" w:sz="2" w:space="0" w:color="auto"/>
              <w:left w:val="single" w:sz="2" w:space="0" w:color="auto"/>
              <w:bottom w:val="single" w:sz="2" w:space="0" w:color="auto"/>
              <w:right w:val="single" w:sz="2" w:space="0" w:color="auto"/>
            </w:tcBorders>
            <w:vAlign w:val="center"/>
          </w:tcPr>
          <w:p w14:paraId="73EDCFF2" w14:textId="77777777" w:rsidR="00D8365A" w:rsidRPr="00362517" w:rsidRDefault="00D8365A" w:rsidP="00BF6BC7">
            <w:pPr>
              <w:pStyle w:val="BodyText"/>
              <w:rPr>
                <w:sz w:val="20"/>
                <w:szCs w:val="20"/>
              </w:rPr>
            </w:pPr>
            <w:r w:rsidRPr="00362517">
              <w:rPr>
                <w:sz w:val="20"/>
                <w:szCs w:val="20"/>
              </w:rPr>
              <w:t xml:space="preserve">Industry costs </w:t>
            </w:r>
          </w:p>
        </w:tc>
        <w:tc>
          <w:tcPr>
            <w:tcW w:w="855"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054F698F" w14:textId="77777777" w:rsidR="00D8365A" w:rsidRPr="00362517" w:rsidRDefault="00D8365A" w:rsidP="00BF6BC7">
            <w:pPr>
              <w:jc w:val="center"/>
              <w:rPr>
                <w:sz w:val="20"/>
                <w:szCs w:val="20"/>
              </w:rPr>
            </w:pPr>
            <w:r w:rsidRPr="00362517">
              <w:rPr>
                <w:sz w:val="20"/>
                <w:szCs w:val="20"/>
              </w:rPr>
              <w:t>1,801</w:t>
            </w:r>
          </w:p>
        </w:tc>
        <w:tc>
          <w:tcPr>
            <w:tcW w:w="662"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52914321" w14:textId="77777777" w:rsidR="00D8365A" w:rsidRPr="00362517" w:rsidRDefault="00D8365A" w:rsidP="00BF6BC7">
            <w:pPr>
              <w:jc w:val="center"/>
              <w:rPr>
                <w:sz w:val="20"/>
                <w:szCs w:val="20"/>
              </w:rPr>
            </w:pPr>
            <w:r w:rsidRPr="00362517">
              <w:rPr>
                <w:sz w:val="20"/>
                <w:szCs w:val="20"/>
              </w:rPr>
              <w:t>1,183</w:t>
            </w:r>
          </w:p>
        </w:tc>
        <w:tc>
          <w:tcPr>
            <w:tcW w:w="758" w:type="pct"/>
            <w:tcBorders>
              <w:top w:val="single" w:sz="2" w:space="0" w:color="auto"/>
              <w:left w:val="single" w:sz="2" w:space="0" w:color="auto"/>
              <w:bottom w:val="single" w:sz="2" w:space="0" w:color="auto"/>
              <w:right w:val="single" w:sz="8" w:space="0" w:color="auto"/>
            </w:tcBorders>
            <w:tcMar>
              <w:left w:w="115" w:type="dxa"/>
              <w:right w:w="288" w:type="dxa"/>
            </w:tcMar>
            <w:vAlign w:val="center"/>
          </w:tcPr>
          <w:p w14:paraId="29C91AF6" w14:textId="77777777" w:rsidR="00D8365A" w:rsidRPr="00362517" w:rsidRDefault="00D8365A" w:rsidP="00BF6BC7">
            <w:pPr>
              <w:keepNext/>
              <w:keepLines/>
              <w:jc w:val="center"/>
              <w:rPr>
                <w:sz w:val="20"/>
                <w:szCs w:val="20"/>
              </w:rPr>
            </w:pPr>
            <w:r w:rsidRPr="00362517">
              <w:rPr>
                <w:sz w:val="20"/>
                <w:szCs w:val="20"/>
              </w:rPr>
              <w:t>617</w:t>
            </w:r>
          </w:p>
        </w:tc>
      </w:tr>
      <w:tr w:rsidR="00D8365A" w:rsidRPr="00362517" w14:paraId="14BFA474" w14:textId="77777777" w:rsidTr="007A2164">
        <w:trPr>
          <w:trHeight w:val="328"/>
        </w:trPr>
        <w:tc>
          <w:tcPr>
            <w:tcW w:w="5000" w:type="pct"/>
            <w:gridSpan w:val="5"/>
            <w:tcBorders>
              <w:top w:val="single" w:sz="2" w:space="0" w:color="auto"/>
              <w:left w:val="single" w:sz="8" w:space="0" w:color="auto"/>
              <w:bottom w:val="single" w:sz="2" w:space="0" w:color="auto"/>
              <w:right w:val="single" w:sz="8" w:space="0" w:color="auto"/>
            </w:tcBorders>
            <w:vAlign w:val="center"/>
            <w:hideMark/>
          </w:tcPr>
          <w:p w14:paraId="08C1FAD0" w14:textId="77777777" w:rsidR="00D8365A" w:rsidRPr="00362517" w:rsidRDefault="00D8365A" w:rsidP="00BF6BC7">
            <w:pPr>
              <w:keepNext/>
              <w:keepLines/>
              <w:jc w:val="center"/>
              <w:rPr>
                <w:sz w:val="20"/>
                <w:szCs w:val="20"/>
              </w:rPr>
            </w:pPr>
            <w:r w:rsidRPr="00362517">
              <w:rPr>
                <w:sz w:val="20"/>
                <w:szCs w:val="20"/>
              </w:rPr>
              <w:t>Guidance Given from Supervisors to Noncertified Applicators</w:t>
            </w:r>
          </w:p>
        </w:tc>
      </w:tr>
      <w:tr w:rsidR="00D8365A" w:rsidRPr="00362517" w14:paraId="6DC187DE" w14:textId="77777777" w:rsidTr="007A2164">
        <w:trPr>
          <w:trHeight w:val="751"/>
        </w:trPr>
        <w:tc>
          <w:tcPr>
            <w:tcW w:w="2248" w:type="pct"/>
            <w:tcBorders>
              <w:top w:val="single" w:sz="2" w:space="0" w:color="auto"/>
              <w:left w:val="single" w:sz="8" w:space="0" w:color="auto"/>
              <w:bottom w:val="single" w:sz="2" w:space="0" w:color="auto"/>
              <w:right w:val="single" w:sz="2" w:space="0" w:color="auto"/>
            </w:tcBorders>
            <w:vAlign w:val="center"/>
            <w:hideMark/>
          </w:tcPr>
          <w:p w14:paraId="1714B409" w14:textId="77777777" w:rsidR="00D8365A" w:rsidRPr="00362517" w:rsidRDefault="00D8365A" w:rsidP="00BF6BC7">
            <w:pPr>
              <w:pStyle w:val="BodyText"/>
              <w:rPr>
                <w:sz w:val="20"/>
                <w:szCs w:val="20"/>
              </w:rPr>
            </w:pPr>
            <w:r w:rsidRPr="00362517">
              <w:rPr>
                <w:sz w:val="20"/>
                <w:szCs w:val="20"/>
              </w:rPr>
              <w:t>Clarify guidance provided to noncertified applicators applying RUPs under the direct supervision of certified applicators</w:t>
            </w:r>
          </w:p>
        </w:tc>
        <w:tc>
          <w:tcPr>
            <w:tcW w:w="477" w:type="pct"/>
            <w:tcBorders>
              <w:top w:val="single" w:sz="2" w:space="0" w:color="auto"/>
              <w:left w:val="single" w:sz="2" w:space="0" w:color="auto"/>
              <w:bottom w:val="single" w:sz="2" w:space="0" w:color="auto"/>
              <w:right w:val="single" w:sz="2" w:space="0" w:color="auto"/>
            </w:tcBorders>
            <w:vAlign w:val="center"/>
            <w:hideMark/>
          </w:tcPr>
          <w:p w14:paraId="104B7219" w14:textId="77777777" w:rsidR="00D8365A" w:rsidRPr="00362517" w:rsidRDefault="00D8365A" w:rsidP="00BF6BC7">
            <w:pPr>
              <w:pStyle w:val="BodyText"/>
              <w:rPr>
                <w:sz w:val="20"/>
                <w:szCs w:val="20"/>
              </w:rPr>
            </w:pPr>
            <w:r w:rsidRPr="00362517">
              <w:rPr>
                <w:sz w:val="20"/>
                <w:szCs w:val="20"/>
              </w:rPr>
              <w:t xml:space="preserve">Industry costs </w:t>
            </w:r>
          </w:p>
        </w:tc>
        <w:tc>
          <w:tcPr>
            <w:tcW w:w="2275" w:type="pct"/>
            <w:gridSpan w:val="3"/>
            <w:tcBorders>
              <w:top w:val="single" w:sz="2" w:space="0" w:color="auto"/>
              <w:left w:val="single" w:sz="2" w:space="0" w:color="auto"/>
              <w:bottom w:val="single" w:sz="2" w:space="0" w:color="auto"/>
              <w:right w:val="single" w:sz="8" w:space="0" w:color="auto"/>
            </w:tcBorders>
            <w:tcMar>
              <w:left w:w="115" w:type="dxa"/>
              <w:right w:w="288" w:type="dxa"/>
            </w:tcMar>
            <w:vAlign w:val="center"/>
          </w:tcPr>
          <w:p w14:paraId="3964DEBB" w14:textId="77777777" w:rsidR="00D8365A" w:rsidRPr="00362517" w:rsidRDefault="00D8365A" w:rsidP="00BF6BC7">
            <w:pPr>
              <w:keepNext/>
              <w:keepLines/>
              <w:rPr>
                <w:sz w:val="20"/>
                <w:szCs w:val="20"/>
              </w:rPr>
            </w:pPr>
            <w:r w:rsidRPr="00362517">
              <w:rPr>
                <w:sz w:val="20"/>
                <w:szCs w:val="20"/>
              </w:rPr>
              <w:t>This proposal involves EPA codifying the current practices by jurisdictions which are in compliance with the proposal, and thus the incremental cost is negligible.</w:t>
            </w:r>
          </w:p>
        </w:tc>
      </w:tr>
      <w:tr w:rsidR="00D8365A" w:rsidRPr="00362517" w14:paraId="1EF7586D" w14:textId="77777777" w:rsidTr="007A2164">
        <w:trPr>
          <w:trHeight w:val="292"/>
        </w:trPr>
        <w:tc>
          <w:tcPr>
            <w:tcW w:w="5000" w:type="pct"/>
            <w:gridSpan w:val="5"/>
            <w:tcBorders>
              <w:top w:val="single" w:sz="2" w:space="0" w:color="auto"/>
              <w:left w:val="single" w:sz="8" w:space="0" w:color="auto"/>
              <w:bottom w:val="single" w:sz="2" w:space="0" w:color="auto"/>
              <w:right w:val="single" w:sz="8" w:space="0" w:color="auto"/>
            </w:tcBorders>
            <w:vAlign w:val="center"/>
            <w:hideMark/>
          </w:tcPr>
          <w:p w14:paraId="34864AFB" w14:textId="77777777" w:rsidR="00D8365A" w:rsidRPr="00362517" w:rsidRDefault="00D8365A" w:rsidP="00BF6BC7">
            <w:pPr>
              <w:keepNext/>
              <w:keepLines/>
              <w:jc w:val="center"/>
              <w:rPr>
                <w:sz w:val="20"/>
                <w:szCs w:val="20"/>
              </w:rPr>
            </w:pPr>
            <w:r w:rsidRPr="00362517">
              <w:rPr>
                <w:sz w:val="20"/>
                <w:szCs w:val="20"/>
              </w:rPr>
              <w:t>Communication between Commercial Supervisor and Noncertified Applicator</w:t>
            </w:r>
          </w:p>
        </w:tc>
      </w:tr>
      <w:tr w:rsidR="00D8365A" w:rsidRPr="00362517" w14:paraId="6BCEABA4" w14:textId="77777777" w:rsidTr="007A2164">
        <w:trPr>
          <w:trHeight w:val="751"/>
        </w:trPr>
        <w:tc>
          <w:tcPr>
            <w:tcW w:w="2248" w:type="pct"/>
            <w:tcBorders>
              <w:top w:val="single" w:sz="2" w:space="0" w:color="auto"/>
              <w:left w:val="single" w:sz="8" w:space="0" w:color="auto"/>
              <w:bottom w:val="single" w:sz="2" w:space="0" w:color="auto"/>
              <w:right w:val="single" w:sz="2" w:space="0" w:color="auto"/>
            </w:tcBorders>
            <w:vAlign w:val="center"/>
            <w:hideMark/>
          </w:tcPr>
          <w:p w14:paraId="12080DE4" w14:textId="77777777" w:rsidR="00D8365A" w:rsidRPr="00362517" w:rsidRDefault="00D8365A" w:rsidP="00BF6BC7">
            <w:pPr>
              <w:rPr>
                <w:sz w:val="20"/>
                <w:szCs w:val="20"/>
              </w:rPr>
            </w:pPr>
            <w:r w:rsidRPr="00362517">
              <w:rPr>
                <w:sz w:val="20"/>
                <w:szCs w:val="20"/>
              </w:rPr>
              <w:t>Noncertified applicators applying RUPs under the direct supervision must have method of immediate 2-way communication with supervisor</w:t>
            </w:r>
          </w:p>
        </w:tc>
        <w:tc>
          <w:tcPr>
            <w:tcW w:w="477" w:type="pct"/>
            <w:tcBorders>
              <w:top w:val="single" w:sz="2" w:space="0" w:color="auto"/>
              <w:left w:val="single" w:sz="2" w:space="0" w:color="auto"/>
              <w:bottom w:val="single" w:sz="2" w:space="0" w:color="auto"/>
              <w:right w:val="single" w:sz="2" w:space="0" w:color="auto"/>
            </w:tcBorders>
            <w:vAlign w:val="center"/>
            <w:hideMark/>
          </w:tcPr>
          <w:p w14:paraId="5A099175" w14:textId="77777777" w:rsidR="00D8365A" w:rsidRPr="00362517" w:rsidRDefault="00D8365A" w:rsidP="00BF6BC7">
            <w:pPr>
              <w:pStyle w:val="BodyText"/>
              <w:rPr>
                <w:sz w:val="20"/>
                <w:szCs w:val="20"/>
              </w:rPr>
            </w:pPr>
            <w:r w:rsidRPr="00362517">
              <w:rPr>
                <w:sz w:val="20"/>
                <w:szCs w:val="20"/>
              </w:rPr>
              <w:t xml:space="preserve">Industry costs </w:t>
            </w:r>
          </w:p>
        </w:tc>
        <w:tc>
          <w:tcPr>
            <w:tcW w:w="2275" w:type="pct"/>
            <w:gridSpan w:val="3"/>
            <w:tcBorders>
              <w:top w:val="single" w:sz="2" w:space="0" w:color="auto"/>
              <w:left w:val="single" w:sz="2" w:space="0" w:color="auto"/>
              <w:bottom w:val="single" w:sz="2" w:space="0" w:color="auto"/>
              <w:right w:val="single" w:sz="8" w:space="0" w:color="auto"/>
            </w:tcBorders>
            <w:tcMar>
              <w:left w:w="115" w:type="dxa"/>
              <w:right w:w="288" w:type="dxa"/>
            </w:tcMar>
            <w:vAlign w:val="center"/>
          </w:tcPr>
          <w:p w14:paraId="3C1E2719" w14:textId="77777777" w:rsidR="00D8365A" w:rsidRPr="00362517" w:rsidRDefault="00D8365A" w:rsidP="00BF6BC7">
            <w:pPr>
              <w:rPr>
                <w:bCs/>
                <w:sz w:val="20"/>
                <w:szCs w:val="20"/>
              </w:rPr>
            </w:pPr>
            <w:r w:rsidRPr="00362517">
              <w:rPr>
                <w:bCs/>
                <w:sz w:val="20"/>
                <w:szCs w:val="20"/>
              </w:rPr>
              <w:t xml:space="preserve">Little or no incremental cost as most certified and noncertified applicators own and communicate via cell phone. </w:t>
            </w:r>
          </w:p>
        </w:tc>
      </w:tr>
      <w:tr w:rsidR="00D8365A" w:rsidRPr="00362517" w14:paraId="59C798BF" w14:textId="77777777" w:rsidTr="00E268E3">
        <w:trPr>
          <w:trHeight w:val="288"/>
        </w:trPr>
        <w:tc>
          <w:tcPr>
            <w:tcW w:w="5000" w:type="pct"/>
            <w:gridSpan w:val="5"/>
            <w:tcBorders>
              <w:top w:val="single" w:sz="2" w:space="0" w:color="auto"/>
              <w:left w:val="single" w:sz="8" w:space="0" w:color="auto"/>
              <w:bottom w:val="single" w:sz="2" w:space="0" w:color="auto"/>
              <w:right w:val="single" w:sz="8" w:space="0" w:color="auto"/>
            </w:tcBorders>
            <w:vAlign w:val="center"/>
          </w:tcPr>
          <w:p w14:paraId="729BB04E" w14:textId="77777777" w:rsidR="00D8365A" w:rsidRPr="00362517" w:rsidRDefault="00D8365A" w:rsidP="00BF6BC7">
            <w:pPr>
              <w:jc w:val="center"/>
              <w:rPr>
                <w:bCs/>
                <w:sz w:val="20"/>
                <w:szCs w:val="20"/>
              </w:rPr>
            </w:pPr>
            <w:r w:rsidRPr="00362517">
              <w:rPr>
                <w:sz w:val="20"/>
                <w:szCs w:val="20"/>
              </w:rPr>
              <w:t>Communication between Private Supervisor and Noncertified Applicator</w:t>
            </w:r>
          </w:p>
        </w:tc>
      </w:tr>
      <w:tr w:rsidR="00D8365A" w:rsidRPr="00362517" w14:paraId="4A6C0891" w14:textId="77777777" w:rsidTr="00E268E3">
        <w:trPr>
          <w:trHeight w:val="751"/>
        </w:trPr>
        <w:tc>
          <w:tcPr>
            <w:tcW w:w="2248" w:type="pct"/>
            <w:tcBorders>
              <w:top w:val="single" w:sz="2" w:space="0" w:color="auto"/>
              <w:left w:val="single" w:sz="8" w:space="0" w:color="auto"/>
              <w:bottom w:val="single" w:sz="8" w:space="0" w:color="auto"/>
              <w:right w:val="single" w:sz="2" w:space="0" w:color="auto"/>
            </w:tcBorders>
            <w:vAlign w:val="center"/>
          </w:tcPr>
          <w:p w14:paraId="593BAD54" w14:textId="77777777" w:rsidR="00D8365A" w:rsidRPr="00362517" w:rsidRDefault="00D8365A" w:rsidP="00BF6BC7">
            <w:pPr>
              <w:rPr>
                <w:sz w:val="20"/>
                <w:szCs w:val="20"/>
              </w:rPr>
            </w:pPr>
            <w:r w:rsidRPr="00362517">
              <w:rPr>
                <w:sz w:val="20"/>
                <w:szCs w:val="20"/>
              </w:rPr>
              <w:t>Noncertified applicators applying RUPs under the direct supervision must have method of immediate 2-way communication with supervisor</w:t>
            </w:r>
          </w:p>
        </w:tc>
        <w:tc>
          <w:tcPr>
            <w:tcW w:w="477" w:type="pct"/>
            <w:tcBorders>
              <w:top w:val="single" w:sz="2" w:space="0" w:color="auto"/>
              <w:left w:val="single" w:sz="2" w:space="0" w:color="auto"/>
              <w:bottom w:val="single" w:sz="8" w:space="0" w:color="auto"/>
              <w:right w:val="single" w:sz="2" w:space="0" w:color="auto"/>
            </w:tcBorders>
            <w:vAlign w:val="center"/>
          </w:tcPr>
          <w:p w14:paraId="61755677" w14:textId="77777777" w:rsidR="00D8365A" w:rsidRPr="00362517" w:rsidRDefault="00D8365A" w:rsidP="00BF6BC7">
            <w:pPr>
              <w:pStyle w:val="BodyText"/>
              <w:rPr>
                <w:sz w:val="20"/>
                <w:szCs w:val="20"/>
              </w:rPr>
            </w:pPr>
            <w:r w:rsidRPr="00362517">
              <w:rPr>
                <w:sz w:val="20"/>
                <w:szCs w:val="20"/>
              </w:rPr>
              <w:t xml:space="preserve">Industry costs </w:t>
            </w:r>
          </w:p>
        </w:tc>
        <w:tc>
          <w:tcPr>
            <w:tcW w:w="855" w:type="pct"/>
            <w:tcBorders>
              <w:top w:val="single" w:sz="2" w:space="0" w:color="auto"/>
              <w:left w:val="single" w:sz="2" w:space="0" w:color="auto"/>
              <w:bottom w:val="single" w:sz="8" w:space="0" w:color="auto"/>
              <w:right w:val="single" w:sz="8" w:space="0" w:color="auto"/>
            </w:tcBorders>
            <w:tcMar>
              <w:left w:w="115" w:type="dxa"/>
              <w:right w:w="288" w:type="dxa"/>
            </w:tcMar>
            <w:vAlign w:val="center"/>
          </w:tcPr>
          <w:p w14:paraId="6D830319" w14:textId="77777777" w:rsidR="00D8365A" w:rsidRPr="00362517" w:rsidRDefault="00D8365A" w:rsidP="00BF6BC7">
            <w:pPr>
              <w:jc w:val="center"/>
              <w:rPr>
                <w:bCs/>
                <w:sz w:val="20"/>
                <w:szCs w:val="20"/>
              </w:rPr>
            </w:pPr>
            <w:r w:rsidRPr="00362517">
              <w:rPr>
                <w:bCs/>
                <w:sz w:val="20"/>
                <w:szCs w:val="20"/>
              </w:rPr>
              <w:t>244</w:t>
            </w:r>
          </w:p>
        </w:tc>
        <w:tc>
          <w:tcPr>
            <w:tcW w:w="662" w:type="pct"/>
            <w:tcBorders>
              <w:top w:val="single" w:sz="2" w:space="0" w:color="auto"/>
              <w:left w:val="single" w:sz="2" w:space="0" w:color="auto"/>
              <w:bottom w:val="single" w:sz="8" w:space="0" w:color="auto"/>
              <w:right w:val="single" w:sz="8" w:space="0" w:color="auto"/>
            </w:tcBorders>
            <w:vAlign w:val="center"/>
          </w:tcPr>
          <w:p w14:paraId="561AB730" w14:textId="77777777" w:rsidR="00D8365A" w:rsidRPr="00362517" w:rsidRDefault="00D8365A" w:rsidP="00BF6BC7">
            <w:pPr>
              <w:jc w:val="center"/>
              <w:rPr>
                <w:bCs/>
                <w:sz w:val="20"/>
                <w:szCs w:val="20"/>
              </w:rPr>
            </w:pPr>
            <w:r w:rsidRPr="00362517">
              <w:rPr>
                <w:sz w:val="20"/>
                <w:szCs w:val="20"/>
              </w:rPr>
              <w:t>0</w:t>
            </w:r>
          </w:p>
        </w:tc>
        <w:tc>
          <w:tcPr>
            <w:tcW w:w="758" w:type="pct"/>
            <w:tcBorders>
              <w:top w:val="single" w:sz="2" w:space="0" w:color="auto"/>
              <w:left w:val="single" w:sz="2" w:space="0" w:color="auto"/>
              <w:bottom w:val="single" w:sz="8" w:space="0" w:color="auto"/>
              <w:right w:val="single" w:sz="8" w:space="0" w:color="auto"/>
            </w:tcBorders>
            <w:vAlign w:val="center"/>
          </w:tcPr>
          <w:p w14:paraId="59F295DC" w14:textId="77777777" w:rsidR="00D8365A" w:rsidRPr="00362517" w:rsidRDefault="00D8365A" w:rsidP="00BF6BC7">
            <w:pPr>
              <w:jc w:val="center"/>
              <w:rPr>
                <w:bCs/>
                <w:sz w:val="20"/>
                <w:szCs w:val="20"/>
              </w:rPr>
            </w:pPr>
            <w:r w:rsidRPr="00362517">
              <w:rPr>
                <w:bCs/>
                <w:sz w:val="20"/>
                <w:szCs w:val="20"/>
              </w:rPr>
              <w:t>244</w:t>
            </w:r>
          </w:p>
        </w:tc>
      </w:tr>
    </w:tbl>
    <w:p w14:paraId="2D916EE1" w14:textId="4D1ABDAC" w:rsidR="00D8365A" w:rsidRPr="00362517" w:rsidRDefault="00D8365A" w:rsidP="00BF6BC7">
      <w:pPr>
        <w:pStyle w:val="BodyText"/>
        <w:rPr>
          <w:sz w:val="20"/>
          <w:szCs w:val="20"/>
        </w:rPr>
      </w:pPr>
      <w:r w:rsidRPr="00362517">
        <w:rPr>
          <w:sz w:val="20"/>
          <w:szCs w:val="20"/>
          <w:vertAlign w:val="superscript"/>
        </w:rPr>
        <w:t>1</w:t>
      </w:r>
      <w:r w:rsidRPr="00362517">
        <w:rPr>
          <w:sz w:val="22"/>
          <w:szCs w:val="22"/>
        </w:rPr>
        <w:t xml:space="preserve"> Source:  EPA calculations using a three percent discount rate over a ten</w:t>
      </w:r>
      <w:r w:rsidR="00CA28EA">
        <w:rPr>
          <w:sz w:val="22"/>
          <w:szCs w:val="22"/>
        </w:rPr>
        <w:t>-</w:t>
      </w:r>
      <w:r w:rsidRPr="00362517">
        <w:rPr>
          <w:sz w:val="22"/>
          <w:szCs w:val="22"/>
        </w:rPr>
        <w:t>year horizon.</w:t>
      </w:r>
    </w:p>
    <w:p w14:paraId="3F577D2A" w14:textId="77777777" w:rsidR="00D8365A" w:rsidRPr="00362517" w:rsidRDefault="00D8365A" w:rsidP="00BF6BC7"/>
    <w:p w14:paraId="1A697C6B" w14:textId="77777777" w:rsidR="00D8365A" w:rsidRPr="00362517" w:rsidRDefault="00D8365A" w:rsidP="00BF6BC7"/>
    <w:p w14:paraId="5BD6C546" w14:textId="77777777" w:rsidR="00D8365A" w:rsidRPr="00362517" w:rsidRDefault="00D8365A" w:rsidP="00BF6BC7">
      <w:pPr>
        <w:pStyle w:val="NoSpacing"/>
      </w:pPr>
      <w:r w:rsidRPr="00362517">
        <w:t>Under the final revisions, noncertified applicators who use RUPs under the direct supervision of commercial applicators must complete training as proposed, have completed handler training under the Worker Protection Standard (WPS), hold valid certification, or comply with their certifying authority’s approved program for noncertified applicators.  Commercial applicators providing services for crop protection are already covered by the WPS, but in estimating the cost, EPA assumes that all noncertified applicators take training covering the content outlined in the rule.  The training must be provided by a qualified trainer as described in the final rule.  EPA estimates the incremental cost of the final revision at $6.5 million (Table 3.4-6).  The cost is high due to a large number of noncertified applicators that need to be trained.</w:t>
      </w:r>
    </w:p>
    <w:p w14:paraId="595AF54E" w14:textId="77777777" w:rsidR="00D8365A" w:rsidRPr="00362517" w:rsidRDefault="00D8365A" w:rsidP="00BF6BC7"/>
    <w:p w14:paraId="11819A3D" w14:textId="77777777" w:rsidR="00D8365A" w:rsidRPr="00362517" w:rsidRDefault="00D8365A" w:rsidP="00BF6BC7">
      <w:pPr>
        <w:pStyle w:val="NoSpacing"/>
        <w:keepNext/>
        <w:keepLines/>
      </w:pPr>
      <w:r w:rsidRPr="00362517">
        <w:t xml:space="preserve">Records of training of the noncertified applicators working under direct supervision of a commercial applicator must be created, verified, and retained for two years, with access available for the supervising commercial applicator.  The incremental cost of the requirement is estimated to be $343 thousand. </w:t>
      </w:r>
    </w:p>
    <w:p w14:paraId="3406D507" w14:textId="77777777" w:rsidR="00D8365A" w:rsidRPr="00362517" w:rsidRDefault="00D8365A" w:rsidP="00BF6BC7">
      <w:pPr>
        <w:pStyle w:val="NoSpacing"/>
      </w:pPr>
    </w:p>
    <w:p w14:paraId="0527303C" w14:textId="15EB4CEC" w:rsidR="00D8365A" w:rsidRPr="00362517" w:rsidRDefault="00D8365A" w:rsidP="00BF6BC7">
      <w:pPr>
        <w:pStyle w:val="NoSpacing"/>
      </w:pPr>
      <w:r w:rsidRPr="00362517">
        <w:t>Noncertified applicators working under the direct supervision of a private applicator must also establish competency by completing training specified in the rule, having completed handler training as required under the Worker Protection Standard, hold a valid certification, or have met their certifying authorities’ approved program for noncertified applicators.  Many noncertified applicators will already receive handler training under the WPS.  Only those working solely with livestock pest control or who are eligible for the immediate family exemption under the WPS will have to be trained under this provision.  EPA estimates that this requirement will cost $617 thousand.  EPA cannot require private applicators to keep records due to constraints in FIFRA, so there are no requirements to keep records of training for noncertified applicators working under direct supervision of private applicators.</w:t>
      </w:r>
    </w:p>
    <w:p w14:paraId="4B72143C" w14:textId="77777777" w:rsidR="00D8365A" w:rsidRPr="00362517" w:rsidRDefault="00D8365A" w:rsidP="00BF6BC7">
      <w:pPr>
        <w:pStyle w:val="NoSpacing"/>
      </w:pPr>
      <w:r w:rsidRPr="00362517">
        <w:t xml:space="preserve"> </w:t>
      </w:r>
    </w:p>
    <w:p w14:paraId="727F229A" w14:textId="77777777" w:rsidR="00D8365A" w:rsidRPr="00362517" w:rsidRDefault="00D8365A" w:rsidP="00BF6BC7">
      <w:pPr>
        <w:pStyle w:val="NoSpacing"/>
      </w:pPr>
      <w:bookmarkStart w:id="220" w:name="OLE_LINK308"/>
      <w:bookmarkStart w:id="221" w:name="OLE_LINK309"/>
      <w:r w:rsidRPr="00362517">
        <w:t>The final revision clarifies the content of the guidance that must be provided by commercial and private applicators to the noncertified applicators applying RUPs under their direct supervision regarding the pesticide application they are conducting.  This is expected to be a little or no cost requirement as certified applicators are already providing guidance to noncertified applicators under their supervision.</w:t>
      </w:r>
    </w:p>
    <w:p w14:paraId="125F61DD" w14:textId="77777777" w:rsidR="00D8365A" w:rsidRPr="00362517" w:rsidRDefault="00D8365A" w:rsidP="00BF6BC7">
      <w:pPr>
        <w:pStyle w:val="NoSpacing"/>
      </w:pPr>
    </w:p>
    <w:p w14:paraId="703A0EC2" w14:textId="77777777" w:rsidR="00D8365A" w:rsidRPr="00362517" w:rsidRDefault="00D8365A" w:rsidP="00BF6BC7">
      <w:pPr>
        <w:pStyle w:val="NoSpacing"/>
      </w:pPr>
      <w:r w:rsidRPr="00362517">
        <w:t xml:space="preserve">The proposed rule included a requirement for the certified applicator to provide a copy of the applicable product label to the noncertified applicator. Under the final rule, the certified applicator must ensure the noncertified applicator has access to the applicable product labeling at all times during its use.  EPA assumes this cost to be negligible as the pest control firm has the relevant product labeling, which will be made available to noncertified applicators. </w:t>
      </w:r>
    </w:p>
    <w:p w14:paraId="7E552082" w14:textId="77777777" w:rsidR="00D8365A" w:rsidRPr="00362517" w:rsidRDefault="00D8365A" w:rsidP="00BF6BC7"/>
    <w:p w14:paraId="22CD1B22" w14:textId="77777777" w:rsidR="00D8365A" w:rsidRPr="00362517" w:rsidRDefault="00D8365A" w:rsidP="00BF6BC7">
      <w:bookmarkStart w:id="222" w:name="OLE_LINK310"/>
      <w:bookmarkStart w:id="223" w:name="OLE_LINK311"/>
      <w:bookmarkEnd w:id="220"/>
      <w:bookmarkEnd w:id="221"/>
      <w:r w:rsidRPr="00362517">
        <w:t xml:space="preserve">The final rule requires commercial and private applicators and individuals working under their direct supervision to have a method for immediate communication during use of an RUP by a noncertified applicator under the direct supervision of a certified applicator.  Based on information from five States about communication between supervisors and noncertified applicators under their direct supervision (EPA, 2014b), EPA estimates that in all jurisdictions most supervisors and noncertified applicators applying RUPs under their supervision own and communicate via cell phone.  This is presumed to be a normal business practice for commercial pesticide applicators, who work away from a central location and travel extensively for pesticide applications. Thus, EPA assumes the cost of this requirement to commercial certified pesticide applicators will be negligible.   </w:t>
      </w:r>
    </w:p>
    <w:p w14:paraId="31969D3A" w14:textId="77777777" w:rsidR="00D8365A" w:rsidRPr="00362517" w:rsidRDefault="00D8365A" w:rsidP="00BF6BC7"/>
    <w:p w14:paraId="7A1A848C" w14:textId="6E04A4E9" w:rsidR="00D8365A" w:rsidRPr="00362517" w:rsidRDefault="00D8365A" w:rsidP="00BF6BC7">
      <w:r w:rsidRPr="00362517">
        <w:t>For noncertified applicators under the supervision of private certified applicators, cell phone ownership may be less likely.  They may be more likely to be hired because of family relationships or because they live nearby, so they may not have a requirement for cell phones as a requirement for employment.  According to Pew Research data (Anderson, 2015), 87 percent of individuals in rural areas own cell phones and EPA assumes this reflects cell phone ownership among private certified applicators and those under their supervision.  The cost of the new communications requirement is calculated assuming that 13 percent of noncertified applicators, about 10,500, will be provided with a cell phone or two-way radio.  For the purposes of estimating costs, EPA looked at prices of three popular models of two-way radios at an on-line retailer, which were between $40 and $60 (Amazon.com, 2016).  Cell phones can be found for similar prices.  EPA uses the higher value, $60, as the estimated cost to account for other costs such as a cell phone or data plan.  Assuming they must be replace</w:t>
      </w:r>
      <w:r w:rsidR="00B6789B">
        <w:t>d</w:t>
      </w:r>
      <w:r w:rsidRPr="00362517">
        <w:t xml:space="preserve"> every two years, the incremental cost, on an annualized basis, is estimated to be $244,000. </w:t>
      </w:r>
    </w:p>
    <w:p w14:paraId="665BDDD3" w14:textId="77777777" w:rsidR="00D8365A" w:rsidRPr="00362517" w:rsidRDefault="00D8365A" w:rsidP="00BF6BC7"/>
    <w:p w14:paraId="6D59E84D" w14:textId="77777777" w:rsidR="00D8365A" w:rsidRPr="00362517" w:rsidRDefault="00D8365A" w:rsidP="00BF6BC7">
      <w:r w:rsidRPr="00362517">
        <w:t>There may be situations where cell phones or radios do not work due to poor reception.  In those situations, a certified applicator will have to be on-site with any applicators under his or her supervision.  This represents an opportunity cost in that the certified applicator cannot be engaged in other pesticide applications or other activities.</w:t>
      </w:r>
    </w:p>
    <w:bookmarkEnd w:id="222"/>
    <w:bookmarkEnd w:id="223"/>
    <w:p w14:paraId="2D31CD75" w14:textId="77777777" w:rsidR="00D8365A" w:rsidRPr="00362517" w:rsidRDefault="00D8365A" w:rsidP="00BF6BC7"/>
    <w:p w14:paraId="6AA3C22A" w14:textId="77777777" w:rsidR="00D8365A" w:rsidRPr="00362517" w:rsidRDefault="00D8365A" w:rsidP="00BF6BC7">
      <w:pPr>
        <w:pStyle w:val="Heading3"/>
      </w:pPr>
      <w:bookmarkStart w:id="224" w:name="_Toc395788111"/>
      <w:bookmarkStart w:id="225" w:name="_Toc396483167"/>
      <w:bookmarkStart w:id="226" w:name="_Toc452020148"/>
      <w:bookmarkStart w:id="227" w:name="_Toc456270172"/>
      <w:bookmarkStart w:id="228" w:name="_Toc468872088"/>
      <w:r w:rsidRPr="00362517">
        <w:t>3.4.5</w:t>
      </w:r>
      <w:r w:rsidRPr="00362517">
        <w:tab/>
        <w:t>Age Requirements for Certified Applicators and Applicators Applying RUPs under the Supervision of Certified Applicators</w:t>
      </w:r>
      <w:bookmarkEnd w:id="224"/>
      <w:bookmarkEnd w:id="225"/>
      <w:bookmarkEnd w:id="226"/>
      <w:bookmarkEnd w:id="227"/>
      <w:bookmarkEnd w:id="228"/>
      <w:r w:rsidRPr="00362517">
        <w:t xml:space="preserve"> </w:t>
      </w:r>
    </w:p>
    <w:p w14:paraId="275CBC19" w14:textId="77777777" w:rsidR="00D8365A" w:rsidRPr="00362517" w:rsidRDefault="00D8365A" w:rsidP="00BF6BC7"/>
    <w:p w14:paraId="2BA8C1B5" w14:textId="77777777" w:rsidR="00D8365A" w:rsidRPr="00362517" w:rsidRDefault="00D8365A" w:rsidP="00BF6BC7">
      <w:pPr>
        <w:pStyle w:val="BodyText"/>
      </w:pPr>
      <w:r w:rsidRPr="00362517">
        <w:t xml:space="preserve">Minimum age requirements for certified applicators aim to improve the safety of application of RUPs.  The final revisions require commercial and private applicators to be at least 18 years old.  It should be noted that under the final revisions, currently certified applicators who are younger than 18 will be able to maintain their certification, but adolescents will not be allowed to obtain a certification unless they are of age.  Noncertified applicators applying RUPs under the direct supervision of these certified applicators will also have to be 18 years old.  Under an exception in the rule, a noncertified applicator of 16 years or older may make an application under the supervision of a private applicator member of their immediate family.  The final revisions will not allow for current noncertified applicators applying RUPs under the direct supervision of certified applicators under the age of 18 to continue to apply RUPs, except as allowed by the exception. </w:t>
      </w:r>
    </w:p>
    <w:p w14:paraId="041C0031" w14:textId="77777777" w:rsidR="00D8365A" w:rsidRPr="00362517" w:rsidRDefault="00D8365A" w:rsidP="00BF6BC7"/>
    <w:p w14:paraId="41401D8F" w14:textId="77777777" w:rsidR="00D8365A" w:rsidRPr="00362517" w:rsidRDefault="00D8365A" w:rsidP="00BF6BC7">
      <w:r w:rsidRPr="00362517">
        <w:t>Table 3.4-7 below presents the national-level annualized costs for the final requirements, baseline, and incremental costs for the affected parties.  Details on estimation method, data, and assumptions are provided in Appendix A.</w:t>
      </w:r>
    </w:p>
    <w:p w14:paraId="53BAD4E9" w14:textId="77777777" w:rsidR="00D8365A" w:rsidRPr="00362517" w:rsidRDefault="00D8365A" w:rsidP="00BF6BC7"/>
    <w:p w14:paraId="4186BFF1" w14:textId="77777777" w:rsidR="00D8365A" w:rsidRPr="00362517" w:rsidRDefault="00D8365A" w:rsidP="00BF6BC7">
      <w:pPr>
        <w:pStyle w:val="Caption"/>
      </w:pPr>
      <w:r w:rsidRPr="00362517">
        <w:t>Table 3.4-7: Costs of Minimum Age Requirements</w:t>
      </w:r>
      <w:r w:rsidRPr="00362517">
        <w:rPr>
          <w:vertAlign w:val="superscript"/>
        </w:rPr>
        <w:t>1</w:t>
      </w:r>
    </w:p>
    <w:tbl>
      <w:tblPr>
        <w:tblW w:w="5000" w:type="pct"/>
        <w:tblBorders>
          <w:top w:val="single" w:sz="8" w:space="0" w:color="auto"/>
          <w:left w:val="single" w:sz="8" w:space="0" w:color="auto"/>
          <w:bottom w:val="single" w:sz="12" w:space="0" w:color="auto"/>
          <w:right w:val="single" w:sz="8" w:space="0" w:color="auto"/>
          <w:insideH w:val="single" w:sz="2" w:space="0" w:color="auto"/>
          <w:insideV w:val="single" w:sz="2" w:space="0" w:color="auto"/>
        </w:tblBorders>
        <w:tblLook w:val="04A0" w:firstRow="1" w:lastRow="0" w:firstColumn="1" w:lastColumn="0" w:noHBand="0" w:noVBand="1"/>
      </w:tblPr>
      <w:tblGrid>
        <w:gridCol w:w="1941"/>
        <w:gridCol w:w="1666"/>
        <w:gridCol w:w="2339"/>
        <w:gridCol w:w="1741"/>
        <w:gridCol w:w="1653"/>
      </w:tblGrid>
      <w:tr w:rsidR="00D8365A" w:rsidRPr="00362517" w14:paraId="4B06BA0D" w14:textId="77777777" w:rsidTr="007A2164">
        <w:trPr>
          <w:cantSplit/>
          <w:tblHeader/>
        </w:trPr>
        <w:tc>
          <w:tcPr>
            <w:tcW w:w="1039" w:type="pct"/>
            <w:tcBorders>
              <w:top w:val="single" w:sz="8" w:space="0" w:color="auto"/>
              <w:left w:val="single" w:sz="8" w:space="0" w:color="auto"/>
              <w:bottom w:val="double" w:sz="4" w:space="0" w:color="auto"/>
              <w:right w:val="single" w:sz="2" w:space="0" w:color="auto"/>
            </w:tcBorders>
            <w:vAlign w:val="bottom"/>
            <w:hideMark/>
          </w:tcPr>
          <w:p w14:paraId="697E5D76" w14:textId="77777777" w:rsidR="00D8365A" w:rsidRPr="00362517" w:rsidRDefault="00D8365A" w:rsidP="00BF6BC7">
            <w:pPr>
              <w:pStyle w:val="BodyText"/>
              <w:rPr>
                <w:sz w:val="20"/>
                <w:szCs w:val="20"/>
              </w:rPr>
            </w:pPr>
            <w:r w:rsidRPr="00362517">
              <w:rPr>
                <w:sz w:val="20"/>
                <w:szCs w:val="20"/>
              </w:rPr>
              <w:t>Final Requirement</w:t>
            </w:r>
          </w:p>
        </w:tc>
        <w:tc>
          <w:tcPr>
            <w:tcW w:w="892" w:type="pct"/>
            <w:tcBorders>
              <w:top w:val="single" w:sz="8" w:space="0" w:color="auto"/>
              <w:left w:val="single" w:sz="2" w:space="0" w:color="auto"/>
              <w:bottom w:val="double" w:sz="4" w:space="0" w:color="auto"/>
              <w:right w:val="single" w:sz="2" w:space="0" w:color="auto"/>
            </w:tcBorders>
            <w:vAlign w:val="bottom"/>
            <w:hideMark/>
          </w:tcPr>
          <w:p w14:paraId="2FD45AB3" w14:textId="77777777" w:rsidR="00D8365A" w:rsidRPr="00362517" w:rsidRDefault="00D8365A" w:rsidP="00BF6BC7">
            <w:pPr>
              <w:pStyle w:val="TableGridCT"/>
              <w:jc w:val="center"/>
              <w:rPr>
                <w:bCs/>
                <w:sz w:val="20"/>
                <w:szCs w:val="20"/>
              </w:rPr>
            </w:pPr>
            <w:r w:rsidRPr="00362517">
              <w:rPr>
                <w:bCs/>
                <w:sz w:val="20"/>
                <w:szCs w:val="20"/>
              </w:rPr>
              <w:t>Type of Cost</w:t>
            </w:r>
          </w:p>
        </w:tc>
        <w:tc>
          <w:tcPr>
            <w:tcW w:w="1252" w:type="pct"/>
            <w:tcBorders>
              <w:top w:val="single" w:sz="8" w:space="0" w:color="auto"/>
              <w:left w:val="single" w:sz="2" w:space="0" w:color="auto"/>
              <w:bottom w:val="double" w:sz="4" w:space="0" w:color="auto"/>
              <w:right w:val="single" w:sz="2" w:space="0" w:color="auto"/>
            </w:tcBorders>
            <w:vAlign w:val="bottom"/>
            <w:hideMark/>
          </w:tcPr>
          <w:p w14:paraId="00A84EE9" w14:textId="77777777" w:rsidR="00D8365A" w:rsidRPr="00362517" w:rsidRDefault="00D8365A" w:rsidP="00BF6BC7">
            <w:pPr>
              <w:pStyle w:val="TableGridCT"/>
              <w:jc w:val="center"/>
              <w:rPr>
                <w:bCs/>
                <w:sz w:val="20"/>
                <w:szCs w:val="20"/>
              </w:rPr>
            </w:pPr>
            <w:r w:rsidRPr="00362517">
              <w:rPr>
                <w:bCs/>
                <w:sz w:val="20"/>
                <w:szCs w:val="20"/>
              </w:rPr>
              <w:t>National Cost of Final Requirement (NC</w:t>
            </w:r>
            <w:r w:rsidRPr="00362517">
              <w:rPr>
                <w:bCs/>
                <w:sz w:val="20"/>
                <w:szCs w:val="20"/>
                <w:vertAlign w:val="superscript"/>
              </w:rPr>
              <w:t>P</w:t>
            </w:r>
            <w:r w:rsidRPr="00362517">
              <w:rPr>
                <w:bCs/>
                <w:sz w:val="20"/>
                <w:szCs w:val="20"/>
              </w:rPr>
              <w:t>)</w:t>
            </w:r>
          </w:p>
          <w:p w14:paraId="53E7F7DE" w14:textId="77777777" w:rsidR="00D8365A" w:rsidRPr="00362517" w:rsidRDefault="00D8365A" w:rsidP="00BF6BC7">
            <w:pPr>
              <w:pStyle w:val="TableGridCT"/>
              <w:jc w:val="center"/>
              <w:rPr>
                <w:bCs/>
                <w:sz w:val="20"/>
                <w:szCs w:val="20"/>
              </w:rPr>
            </w:pPr>
            <w:r w:rsidRPr="00362517">
              <w:rPr>
                <w:bCs/>
                <w:sz w:val="20"/>
                <w:szCs w:val="20"/>
              </w:rPr>
              <w:t>($000)</w:t>
            </w:r>
          </w:p>
        </w:tc>
        <w:tc>
          <w:tcPr>
            <w:tcW w:w="932" w:type="pct"/>
            <w:tcBorders>
              <w:top w:val="single" w:sz="8" w:space="0" w:color="auto"/>
              <w:left w:val="single" w:sz="2" w:space="0" w:color="auto"/>
              <w:bottom w:val="double" w:sz="4" w:space="0" w:color="auto"/>
              <w:right w:val="single" w:sz="2" w:space="0" w:color="auto"/>
            </w:tcBorders>
            <w:vAlign w:val="bottom"/>
            <w:hideMark/>
          </w:tcPr>
          <w:p w14:paraId="051CD479" w14:textId="77777777" w:rsidR="00D8365A" w:rsidRPr="00362517" w:rsidRDefault="00D8365A" w:rsidP="00BF6BC7">
            <w:pPr>
              <w:pStyle w:val="TableGridCT"/>
              <w:jc w:val="center"/>
              <w:rPr>
                <w:bCs/>
                <w:sz w:val="20"/>
                <w:szCs w:val="20"/>
              </w:rPr>
            </w:pPr>
            <w:r w:rsidRPr="00362517">
              <w:rPr>
                <w:bCs/>
                <w:sz w:val="20"/>
                <w:szCs w:val="20"/>
              </w:rPr>
              <w:t>National Cost of Baseline (NC</w:t>
            </w:r>
            <w:r w:rsidRPr="00362517">
              <w:rPr>
                <w:bCs/>
                <w:sz w:val="20"/>
                <w:szCs w:val="20"/>
                <w:vertAlign w:val="superscript"/>
              </w:rPr>
              <w:t>B</w:t>
            </w:r>
            <w:r w:rsidRPr="00362517">
              <w:rPr>
                <w:bCs/>
                <w:sz w:val="20"/>
                <w:szCs w:val="20"/>
              </w:rPr>
              <w:t>)</w:t>
            </w:r>
          </w:p>
          <w:p w14:paraId="3E0FD636" w14:textId="77777777" w:rsidR="00D8365A" w:rsidRPr="00362517" w:rsidRDefault="00D8365A" w:rsidP="00BF6BC7">
            <w:pPr>
              <w:pStyle w:val="TableGridCT"/>
              <w:jc w:val="center"/>
              <w:rPr>
                <w:bCs/>
                <w:sz w:val="20"/>
                <w:szCs w:val="20"/>
              </w:rPr>
            </w:pPr>
            <w:r w:rsidRPr="00362517">
              <w:rPr>
                <w:bCs/>
                <w:sz w:val="20"/>
                <w:szCs w:val="20"/>
              </w:rPr>
              <w:t>($000)</w:t>
            </w:r>
          </w:p>
        </w:tc>
        <w:tc>
          <w:tcPr>
            <w:tcW w:w="885" w:type="pct"/>
            <w:tcBorders>
              <w:top w:val="single" w:sz="8" w:space="0" w:color="auto"/>
              <w:left w:val="single" w:sz="2" w:space="0" w:color="auto"/>
              <w:bottom w:val="double" w:sz="4" w:space="0" w:color="auto"/>
              <w:right w:val="single" w:sz="8" w:space="0" w:color="auto"/>
            </w:tcBorders>
            <w:vAlign w:val="bottom"/>
            <w:hideMark/>
          </w:tcPr>
          <w:p w14:paraId="0099AE90" w14:textId="77777777" w:rsidR="00D8365A" w:rsidRPr="00362517" w:rsidRDefault="00D8365A" w:rsidP="00BF6BC7">
            <w:pPr>
              <w:pStyle w:val="TableGridCT"/>
              <w:jc w:val="center"/>
              <w:rPr>
                <w:bCs/>
                <w:sz w:val="20"/>
                <w:szCs w:val="20"/>
              </w:rPr>
            </w:pPr>
            <w:r w:rsidRPr="00362517">
              <w:rPr>
                <w:bCs/>
                <w:sz w:val="20"/>
                <w:szCs w:val="20"/>
              </w:rPr>
              <w:t>National Incremental Cost (NIC)</w:t>
            </w:r>
          </w:p>
          <w:p w14:paraId="22CA6EBB" w14:textId="77777777" w:rsidR="00D8365A" w:rsidRPr="00362517" w:rsidRDefault="00D8365A" w:rsidP="00BF6BC7">
            <w:pPr>
              <w:pStyle w:val="TableGridCT"/>
              <w:jc w:val="center"/>
              <w:rPr>
                <w:bCs/>
                <w:sz w:val="20"/>
                <w:szCs w:val="20"/>
              </w:rPr>
            </w:pPr>
            <w:r w:rsidRPr="00362517">
              <w:rPr>
                <w:bCs/>
                <w:sz w:val="20"/>
                <w:szCs w:val="20"/>
              </w:rPr>
              <w:t>($000)</w:t>
            </w:r>
          </w:p>
        </w:tc>
      </w:tr>
      <w:tr w:rsidR="00D8365A" w:rsidRPr="00362517" w14:paraId="46B3C3E6" w14:textId="77777777" w:rsidTr="007A2164">
        <w:trPr>
          <w:cantSplit/>
          <w:trHeight w:val="355"/>
        </w:trPr>
        <w:tc>
          <w:tcPr>
            <w:tcW w:w="5000" w:type="pct"/>
            <w:gridSpan w:val="5"/>
            <w:tcBorders>
              <w:top w:val="double" w:sz="4" w:space="0" w:color="auto"/>
              <w:left w:val="single" w:sz="8" w:space="0" w:color="auto"/>
              <w:bottom w:val="single" w:sz="2" w:space="0" w:color="auto"/>
              <w:right w:val="single" w:sz="8" w:space="0" w:color="auto"/>
            </w:tcBorders>
            <w:vAlign w:val="center"/>
            <w:hideMark/>
          </w:tcPr>
          <w:p w14:paraId="5C1C59F4" w14:textId="77777777" w:rsidR="00D8365A" w:rsidRPr="00362517" w:rsidRDefault="00D8365A" w:rsidP="00BF6BC7">
            <w:pPr>
              <w:rPr>
                <w:sz w:val="20"/>
                <w:szCs w:val="20"/>
              </w:rPr>
            </w:pPr>
            <w:r w:rsidRPr="00362517">
              <w:rPr>
                <w:sz w:val="20"/>
                <w:szCs w:val="20"/>
              </w:rPr>
              <w:t>Certified Applicators</w:t>
            </w:r>
          </w:p>
        </w:tc>
      </w:tr>
      <w:tr w:rsidR="00D8365A" w:rsidRPr="00362517" w14:paraId="7BA9B41C" w14:textId="77777777" w:rsidTr="007A2164">
        <w:trPr>
          <w:cantSplit/>
        </w:trPr>
        <w:tc>
          <w:tcPr>
            <w:tcW w:w="1039" w:type="pct"/>
            <w:tcBorders>
              <w:top w:val="single" w:sz="2" w:space="0" w:color="auto"/>
              <w:left w:val="single" w:sz="8" w:space="0" w:color="auto"/>
              <w:bottom w:val="single" w:sz="2" w:space="0" w:color="auto"/>
              <w:right w:val="single" w:sz="2" w:space="0" w:color="auto"/>
            </w:tcBorders>
            <w:vAlign w:val="center"/>
            <w:hideMark/>
          </w:tcPr>
          <w:p w14:paraId="796F3BB9" w14:textId="77777777" w:rsidR="00D8365A" w:rsidRPr="00362517" w:rsidRDefault="00D8365A" w:rsidP="00BF6BC7">
            <w:pPr>
              <w:pStyle w:val="BodyText"/>
              <w:rPr>
                <w:sz w:val="20"/>
                <w:szCs w:val="20"/>
              </w:rPr>
            </w:pPr>
            <w:r w:rsidRPr="00362517">
              <w:rPr>
                <w:sz w:val="20"/>
                <w:szCs w:val="20"/>
              </w:rPr>
              <w:t>Minimum Age of 18 for Commercial Applicators</w:t>
            </w:r>
          </w:p>
        </w:tc>
        <w:tc>
          <w:tcPr>
            <w:tcW w:w="892" w:type="pct"/>
            <w:tcBorders>
              <w:top w:val="single" w:sz="2" w:space="0" w:color="auto"/>
              <w:left w:val="single" w:sz="2" w:space="0" w:color="auto"/>
              <w:bottom w:val="single" w:sz="2" w:space="0" w:color="auto"/>
              <w:right w:val="single" w:sz="2" w:space="0" w:color="auto"/>
            </w:tcBorders>
            <w:vAlign w:val="center"/>
            <w:hideMark/>
          </w:tcPr>
          <w:p w14:paraId="3B531AFF" w14:textId="77777777" w:rsidR="00D8365A" w:rsidRPr="00362517" w:rsidRDefault="00D8365A" w:rsidP="00BF6BC7">
            <w:pPr>
              <w:pStyle w:val="BodyText"/>
              <w:rPr>
                <w:sz w:val="20"/>
                <w:szCs w:val="20"/>
              </w:rPr>
            </w:pPr>
            <w:r w:rsidRPr="00362517">
              <w:rPr>
                <w:sz w:val="20"/>
                <w:szCs w:val="20"/>
              </w:rPr>
              <w:t xml:space="preserve">Industry costs </w:t>
            </w:r>
          </w:p>
        </w:tc>
        <w:tc>
          <w:tcPr>
            <w:tcW w:w="1252" w:type="pct"/>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7E3F8CF6" w14:textId="77777777" w:rsidR="00D8365A" w:rsidRPr="00362517" w:rsidRDefault="00D8365A" w:rsidP="00BF6BC7">
            <w:pPr>
              <w:jc w:val="center"/>
              <w:rPr>
                <w:sz w:val="20"/>
                <w:szCs w:val="20"/>
              </w:rPr>
            </w:pPr>
            <w:r w:rsidRPr="00362517">
              <w:rPr>
                <w:sz w:val="20"/>
                <w:szCs w:val="20"/>
              </w:rPr>
              <w:t>1,504</w:t>
            </w:r>
          </w:p>
        </w:tc>
        <w:tc>
          <w:tcPr>
            <w:tcW w:w="932" w:type="pct"/>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670FC1E2" w14:textId="77777777" w:rsidR="00D8365A" w:rsidRPr="00362517" w:rsidRDefault="00D8365A" w:rsidP="00BF6BC7">
            <w:pPr>
              <w:jc w:val="center"/>
              <w:rPr>
                <w:sz w:val="20"/>
                <w:szCs w:val="20"/>
              </w:rPr>
            </w:pPr>
            <w:r w:rsidRPr="00362517">
              <w:rPr>
                <w:sz w:val="20"/>
                <w:szCs w:val="20"/>
              </w:rPr>
              <w:t>1,204</w:t>
            </w:r>
          </w:p>
        </w:tc>
        <w:tc>
          <w:tcPr>
            <w:tcW w:w="885" w:type="pct"/>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628DF981" w14:textId="77777777" w:rsidR="00D8365A" w:rsidRPr="00362517" w:rsidRDefault="00D8365A" w:rsidP="00BF6BC7">
            <w:pPr>
              <w:jc w:val="center"/>
              <w:rPr>
                <w:sz w:val="20"/>
                <w:szCs w:val="20"/>
              </w:rPr>
            </w:pPr>
            <w:r w:rsidRPr="00362517">
              <w:rPr>
                <w:sz w:val="20"/>
                <w:szCs w:val="20"/>
              </w:rPr>
              <w:t>300</w:t>
            </w:r>
          </w:p>
        </w:tc>
      </w:tr>
      <w:tr w:rsidR="00D8365A" w:rsidRPr="00362517" w14:paraId="624E5DE3" w14:textId="77777777" w:rsidTr="007A2164">
        <w:trPr>
          <w:cantSplit/>
        </w:trPr>
        <w:tc>
          <w:tcPr>
            <w:tcW w:w="1039" w:type="pct"/>
            <w:tcBorders>
              <w:top w:val="single" w:sz="2" w:space="0" w:color="auto"/>
              <w:left w:val="single" w:sz="8" w:space="0" w:color="auto"/>
              <w:bottom w:val="single" w:sz="2" w:space="0" w:color="auto"/>
              <w:right w:val="single" w:sz="2" w:space="0" w:color="auto"/>
            </w:tcBorders>
            <w:vAlign w:val="center"/>
          </w:tcPr>
          <w:p w14:paraId="386F85BE" w14:textId="77777777" w:rsidR="00D8365A" w:rsidRPr="00362517" w:rsidRDefault="00D8365A" w:rsidP="00BF6BC7">
            <w:pPr>
              <w:pStyle w:val="BodyText"/>
              <w:rPr>
                <w:sz w:val="20"/>
                <w:szCs w:val="20"/>
              </w:rPr>
            </w:pPr>
            <w:r w:rsidRPr="00362517">
              <w:rPr>
                <w:sz w:val="20"/>
                <w:szCs w:val="20"/>
              </w:rPr>
              <w:t>Minimum Age of 18 for Private Applicators</w:t>
            </w:r>
          </w:p>
        </w:tc>
        <w:tc>
          <w:tcPr>
            <w:tcW w:w="892" w:type="pct"/>
            <w:tcBorders>
              <w:top w:val="single" w:sz="2" w:space="0" w:color="auto"/>
              <w:left w:val="single" w:sz="2" w:space="0" w:color="auto"/>
              <w:bottom w:val="single" w:sz="2" w:space="0" w:color="auto"/>
              <w:right w:val="single" w:sz="2" w:space="0" w:color="auto"/>
            </w:tcBorders>
            <w:vAlign w:val="center"/>
          </w:tcPr>
          <w:p w14:paraId="296A8F55" w14:textId="77777777" w:rsidR="00D8365A" w:rsidRPr="00362517" w:rsidRDefault="00D8365A" w:rsidP="00BF6BC7">
            <w:pPr>
              <w:pStyle w:val="BodyText"/>
              <w:rPr>
                <w:sz w:val="20"/>
                <w:szCs w:val="20"/>
              </w:rPr>
            </w:pPr>
            <w:r w:rsidRPr="00362517">
              <w:rPr>
                <w:sz w:val="20"/>
                <w:szCs w:val="20"/>
              </w:rPr>
              <w:t xml:space="preserve">Industry costs </w:t>
            </w:r>
          </w:p>
        </w:tc>
        <w:tc>
          <w:tcPr>
            <w:tcW w:w="1252"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78098A64" w14:textId="77777777" w:rsidR="00D8365A" w:rsidRPr="00362517" w:rsidRDefault="00D8365A" w:rsidP="00BF6BC7">
            <w:pPr>
              <w:jc w:val="center"/>
              <w:rPr>
                <w:sz w:val="20"/>
                <w:szCs w:val="20"/>
              </w:rPr>
            </w:pPr>
            <w:r w:rsidRPr="00362517">
              <w:rPr>
                <w:sz w:val="20"/>
                <w:szCs w:val="20"/>
              </w:rPr>
              <w:t>524</w:t>
            </w:r>
          </w:p>
        </w:tc>
        <w:tc>
          <w:tcPr>
            <w:tcW w:w="932"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210F085B" w14:textId="77777777" w:rsidR="00D8365A" w:rsidRPr="00362517" w:rsidRDefault="00D8365A" w:rsidP="00BF6BC7">
            <w:pPr>
              <w:jc w:val="center"/>
              <w:rPr>
                <w:sz w:val="20"/>
                <w:szCs w:val="20"/>
              </w:rPr>
            </w:pPr>
            <w:r w:rsidRPr="00362517">
              <w:rPr>
                <w:sz w:val="20"/>
                <w:szCs w:val="20"/>
              </w:rPr>
              <w:t>352</w:t>
            </w:r>
          </w:p>
        </w:tc>
        <w:tc>
          <w:tcPr>
            <w:tcW w:w="885" w:type="pct"/>
            <w:tcBorders>
              <w:top w:val="single" w:sz="2" w:space="0" w:color="auto"/>
              <w:left w:val="single" w:sz="2" w:space="0" w:color="auto"/>
              <w:bottom w:val="single" w:sz="2" w:space="0" w:color="auto"/>
              <w:right w:val="single" w:sz="8" w:space="0" w:color="auto"/>
            </w:tcBorders>
            <w:tcMar>
              <w:left w:w="115" w:type="dxa"/>
              <w:right w:w="288" w:type="dxa"/>
            </w:tcMar>
            <w:vAlign w:val="center"/>
          </w:tcPr>
          <w:p w14:paraId="58C03F6F" w14:textId="77777777" w:rsidR="00D8365A" w:rsidRPr="00362517" w:rsidRDefault="00D8365A" w:rsidP="00BF6BC7">
            <w:pPr>
              <w:jc w:val="center"/>
              <w:rPr>
                <w:sz w:val="20"/>
                <w:szCs w:val="20"/>
              </w:rPr>
            </w:pPr>
            <w:r w:rsidRPr="00362517">
              <w:rPr>
                <w:sz w:val="20"/>
                <w:szCs w:val="20"/>
              </w:rPr>
              <w:t>172</w:t>
            </w:r>
          </w:p>
        </w:tc>
      </w:tr>
      <w:tr w:rsidR="00D8365A" w:rsidRPr="00362517" w14:paraId="61483EB5" w14:textId="77777777" w:rsidTr="007A2164">
        <w:trPr>
          <w:cantSplit/>
          <w:trHeight w:val="360"/>
        </w:trPr>
        <w:tc>
          <w:tcPr>
            <w:tcW w:w="5000" w:type="pct"/>
            <w:gridSpan w:val="5"/>
            <w:tcBorders>
              <w:top w:val="single" w:sz="2" w:space="0" w:color="auto"/>
              <w:left w:val="single" w:sz="8" w:space="0" w:color="auto"/>
              <w:bottom w:val="single" w:sz="2" w:space="0" w:color="auto"/>
              <w:right w:val="single" w:sz="8" w:space="0" w:color="auto"/>
            </w:tcBorders>
            <w:vAlign w:val="center"/>
          </w:tcPr>
          <w:p w14:paraId="7374C220" w14:textId="77777777" w:rsidR="00D8365A" w:rsidRPr="00362517" w:rsidRDefault="00D8365A" w:rsidP="00BF6BC7">
            <w:pPr>
              <w:rPr>
                <w:sz w:val="20"/>
                <w:szCs w:val="20"/>
              </w:rPr>
            </w:pPr>
            <w:r w:rsidRPr="00362517">
              <w:rPr>
                <w:sz w:val="20"/>
                <w:szCs w:val="20"/>
              </w:rPr>
              <w:t>Noncertified Applicators</w:t>
            </w:r>
          </w:p>
        </w:tc>
      </w:tr>
      <w:tr w:rsidR="00D8365A" w:rsidRPr="00362517" w14:paraId="6F0ECB46" w14:textId="77777777" w:rsidTr="007A2164">
        <w:trPr>
          <w:cantSplit/>
        </w:trPr>
        <w:tc>
          <w:tcPr>
            <w:tcW w:w="1039" w:type="pct"/>
            <w:tcBorders>
              <w:top w:val="single" w:sz="2" w:space="0" w:color="auto"/>
              <w:left w:val="single" w:sz="8" w:space="0" w:color="auto"/>
              <w:bottom w:val="single" w:sz="2" w:space="0" w:color="auto"/>
              <w:right w:val="single" w:sz="2" w:space="0" w:color="auto"/>
            </w:tcBorders>
            <w:vAlign w:val="center"/>
          </w:tcPr>
          <w:p w14:paraId="2B9A93FA" w14:textId="77777777" w:rsidR="00D8365A" w:rsidRPr="00362517" w:rsidRDefault="00D8365A" w:rsidP="00BF6BC7">
            <w:pPr>
              <w:pStyle w:val="BodyText"/>
              <w:rPr>
                <w:sz w:val="20"/>
                <w:szCs w:val="20"/>
              </w:rPr>
            </w:pPr>
            <w:r w:rsidRPr="00362517">
              <w:rPr>
                <w:sz w:val="20"/>
                <w:szCs w:val="20"/>
              </w:rPr>
              <w:t>Minimum Age of 18 for Noncertified Applicators under the Supervision of Commercial Applicators</w:t>
            </w:r>
          </w:p>
        </w:tc>
        <w:tc>
          <w:tcPr>
            <w:tcW w:w="892" w:type="pct"/>
            <w:tcBorders>
              <w:top w:val="single" w:sz="2" w:space="0" w:color="auto"/>
              <w:left w:val="single" w:sz="2" w:space="0" w:color="auto"/>
              <w:bottom w:val="single" w:sz="2" w:space="0" w:color="auto"/>
              <w:right w:val="single" w:sz="2" w:space="0" w:color="auto"/>
            </w:tcBorders>
            <w:vAlign w:val="center"/>
          </w:tcPr>
          <w:p w14:paraId="642B98B6" w14:textId="77777777" w:rsidR="00D8365A" w:rsidRPr="00362517" w:rsidRDefault="00D8365A" w:rsidP="00BF6BC7">
            <w:pPr>
              <w:pStyle w:val="BodyText"/>
              <w:rPr>
                <w:sz w:val="20"/>
                <w:szCs w:val="20"/>
              </w:rPr>
            </w:pPr>
            <w:r w:rsidRPr="00362517">
              <w:rPr>
                <w:sz w:val="20"/>
                <w:szCs w:val="20"/>
              </w:rPr>
              <w:t xml:space="preserve">Industry costs </w:t>
            </w:r>
          </w:p>
        </w:tc>
        <w:tc>
          <w:tcPr>
            <w:tcW w:w="1252"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778E757A" w14:textId="77777777" w:rsidR="00D8365A" w:rsidRPr="00362517" w:rsidRDefault="00D8365A" w:rsidP="00BF6BC7">
            <w:pPr>
              <w:jc w:val="center"/>
              <w:rPr>
                <w:sz w:val="20"/>
                <w:szCs w:val="20"/>
              </w:rPr>
            </w:pPr>
            <w:r w:rsidRPr="00362517">
              <w:rPr>
                <w:sz w:val="20"/>
                <w:szCs w:val="20"/>
              </w:rPr>
              <w:t>29,909</w:t>
            </w:r>
          </w:p>
        </w:tc>
        <w:tc>
          <w:tcPr>
            <w:tcW w:w="932"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2F3DB0B9" w14:textId="77777777" w:rsidR="00D8365A" w:rsidRPr="00362517" w:rsidRDefault="00D8365A" w:rsidP="00BF6BC7">
            <w:pPr>
              <w:jc w:val="center"/>
              <w:rPr>
                <w:sz w:val="20"/>
                <w:szCs w:val="20"/>
              </w:rPr>
            </w:pPr>
            <w:r w:rsidRPr="00362517">
              <w:rPr>
                <w:sz w:val="20"/>
                <w:szCs w:val="20"/>
              </w:rPr>
              <w:t>23,765</w:t>
            </w:r>
          </w:p>
        </w:tc>
        <w:tc>
          <w:tcPr>
            <w:tcW w:w="885" w:type="pct"/>
            <w:tcBorders>
              <w:top w:val="single" w:sz="2" w:space="0" w:color="auto"/>
              <w:left w:val="single" w:sz="2" w:space="0" w:color="auto"/>
              <w:bottom w:val="single" w:sz="2" w:space="0" w:color="auto"/>
              <w:right w:val="single" w:sz="8" w:space="0" w:color="auto"/>
            </w:tcBorders>
            <w:tcMar>
              <w:left w:w="115" w:type="dxa"/>
              <w:right w:w="288" w:type="dxa"/>
            </w:tcMar>
            <w:vAlign w:val="center"/>
          </w:tcPr>
          <w:p w14:paraId="6CB17628" w14:textId="77777777" w:rsidR="00D8365A" w:rsidRPr="00362517" w:rsidRDefault="00D8365A" w:rsidP="00BF6BC7">
            <w:pPr>
              <w:jc w:val="center"/>
              <w:rPr>
                <w:sz w:val="20"/>
                <w:szCs w:val="20"/>
              </w:rPr>
            </w:pPr>
            <w:r w:rsidRPr="00362517">
              <w:rPr>
                <w:sz w:val="20"/>
                <w:szCs w:val="20"/>
              </w:rPr>
              <w:t>6,145</w:t>
            </w:r>
          </w:p>
        </w:tc>
      </w:tr>
      <w:tr w:rsidR="00D8365A" w:rsidRPr="00362517" w14:paraId="0362A395" w14:textId="77777777" w:rsidTr="007A2164">
        <w:trPr>
          <w:cantSplit/>
        </w:trPr>
        <w:tc>
          <w:tcPr>
            <w:tcW w:w="1039" w:type="pct"/>
            <w:tcBorders>
              <w:top w:val="single" w:sz="2" w:space="0" w:color="auto"/>
              <w:left w:val="single" w:sz="8" w:space="0" w:color="auto"/>
              <w:bottom w:val="single" w:sz="2" w:space="0" w:color="auto"/>
              <w:right w:val="single" w:sz="2" w:space="0" w:color="auto"/>
            </w:tcBorders>
            <w:vAlign w:val="center"/>
          </w:tcPr>
          <w:p w14:paraId="25992841" w14:textId="77777777" w:rsidR="00D8365A" w:rsidRPr="00362517" w:rsidRDefault="00D8365A" w:rsidP="00BF6BC7">
            <w:pPr>
              <w:pStyle w:val="BodyText"/>
              <w:rPr>
                <w:sz w:val="20"/>
                <w:szCs w:val="20"/>
              </w:rPr>
            </w:pPr>
            <w:r w:rsidRPr="00362517">
              <w:rPr>
                <w:sz w:val="20"/>
                <w:szCs w:val="20"/>
              </w:rPr>
              <w:t>Minimum Age of 18 for Noncertified Applicators under the Supervision of Private Applicators; 16 for family members</w:t>
            </w:r>
          </w:p>
        </w:tc>
        <w:tc>
          <w:tcPr>
            <w:tcW w:w="892" w:type="pct"/>
            <w:tcBorders>
              <w:top w:val="single" w:sz="2" w:space="0" w:color="auto"/>
              <w:left w:val="single" w:sz="2" w:space="0" w:color="auto"/>
              <w:bottom w:val="single" w:sz="2" w:space="0" w:color="auto"/>
              <w:right w:val="single" w:sz="2" w:space="0" w:color="auto"/>
            </w:tcBorders>
            <w:vAlign w:val="center"/>
          </w:tcPr>
          <w:p w14:paraId="7FAA07C5" w14:textId="77777777" w:rsidR="00D8365A" w:rsidRPr="00362517" w:rsidRDefault="00D8365A" w:rsidP="00BF6BC7">
            <w:pPr>
              <w:pStyle w:val="BodyText"/>
              <w:rPr>
                <w:sz w:val="20"/>
                <w:szCs w:val="20"/>
              </w:rPr>
            </w:pPr>
            <w:r w:rsidRPr="00362517">
              <w:rPr>
                <w:sz w:val="20"/>
                <w:szCs w:val="20"/>
              </w:rPr>
              <w:t>Industry costs</w:t>
            </w:r>
          </w:p>
        </w:tc>
        <w:tc>
          <w:tcPr>
            <w:tcW w:w="1252"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38F91FAE" w14:textId="77777777" w:rsidR="00D8365A" w:rsidRPr="00362517" w:rsidRDefault="00D8365A" w:rsidP="00BF6BC7">
            <w:pPr>
              <w:jc w:val="center"/>
              <w:rPr>
                <w:sz w:val="20"/>
                <w:szCs w:val="20"/>
              </w:rPr>
            </w:pPr>
            <w:r w:rsidRPr="00362517">
              <w:rPr>
                <w:sz w:val="20"/>
                <w:szCs w:val="20"/>
              </w:rPr>
              <w:t>801</w:t>
            </w:r>
          </w:p>
        </w:tc>
        <w:tc>
          <w:tcPr>
            <w:tcW w:w="932"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48412DA7" w14:textId="77777777" w:rsidR="00D8365A" w:rsidRPr="00362517" w:rsidRDefault="00D8365A" w:rsidP="00BF6BC7">
            <w:pPr>
              <w:jc w:val="center"/>
              <w:rPr>
                <w:sz w:val="20"/>
                <w:szCs w:val="20"/>
              </w:rPr>
            </w:pPr>
            <w:r w:rsidRPr="00362517">
              <w:rPr>
                <w:sz w:val="20"/>
                <w:szCs w:val="20"/>
              </w:rPr>
              <w:t>733</w:t>
            </w:r>
          </w:p>
        </w:tc>
        <w:tc>
          <w:tcPr>
            <w:tcW w:w="885" w:type="pct"/>
            <w:tcBorders>
              <w:top w:val="single" w:sz="2" w:space="0" w:color="auto"/>
              <w:left w:val="single" w:sz="2" w:space="0" w:color="auto"/>
              <w:bottom w:val="single" w:sz="2" w:space="0" w:color="auto"/>
              <w:right w:val="single" w:sz="8" w:space="0" w:color="auto"/>
            </w:tcBorders>
            <w:tcMar>
              <w:left w:w="115" w:type="dxa"/>
              <w:right w:w="288" w:type="dxa"/>
            </w:tcMar>
            <w:vAlign w:val="center"/>
          </w:tcPr>
          <w:p w14:paraId="07813889" w14:textId="77777777" w:rsidR="00D8365A" w:rsidRPr="00362517" w:rsidRDefault="00D8365A" w:rsidP="00BF6BC7">
            <w:pPr>
              <w:jc w:val="center"/>
              <w:rPr>
                <w:sz w:val="20"/>
                <w:szCs w:val="20"/>
              </w:rPr>
            </w:pPr>
            <w:r w:rsidRPr="00362517">
              <w:rPr>
                <w:sz w:val="20"/>
                <w:szCs w:val="20"/>
              </w:rPr>
              <w:t>69</w:t>
            </w:r>
          </w:p>
        </w:tc>
      </w:tr>
    </w:tbl>
    <w:p w14:paraId="7A2A4D5D" w14:textId="7EF2C09D" w:rsidR="00D8365A" w:rsidRPr="00362517" w:rsidRDefault="00D8365A" w:rsidP="00BF6BC7">
      <w:pPr>
        <w:pStyle w:val="BodyText"/>
        <w:rPr>
          <w:sz w:val="20"/>
        </w:rPr>
      </w:pPr>
      <w:r w:rsidRPr="00362517">
        <w:rPr>
          <w:sz w:val="20"/>
          <w:vertAlign w:val="superscript"/>
        </w:rPr>
        <w:t>1</w:t>
      </w:r>
      <w:r w:rsidRPr="00362517">
        <w:rPr>
          <w:sz w:val="22"/>
          <w:szCs w:val="22"/>
        </w:rPr>
        <w:t xml:space="preserve"> Source:  EPA calculations using a three percent discount rate over a ten</w:t>
      </w:r>
      <w:r w:rsidR="00CA28EA">
        <w:rPr>
          <w:sz w:val="22"/>
          <w:szCs w:val="22"/>
        </w:rPr>
        <w:t>-</w:t>
      </w:r>
      <w:r w:rsidRPr="00362517">
        <w:rPr>
          <w:sz w:val="22"/>
          <w:szCs w:val="22"/>
        </w:rPr>
        <w:t>year horizon.</w:t>
      </w:r>
    </w:p>
    <w:p w14:paraId="43E6D881" w14:textId="77777777" w:rsidR="00D8365A" w:rsidRPr="00362517" w:rsidRDefault="00D8365A" w:rsidP="00BF6BC7"/>
    <w:p w14:paraId="0A0CA01D" w14:textId="77777777" w:rsidR="00D8365A" w:rsidRPr="00362517" w:rsidRDefault="00D8365A" w:rsidP="00BF6BC7">
      <w:pPr>
        <w:pStyle w:val="BodyText"/>
      </w:pPr>
      <w:r w:rsidRPr="00362517">
        <w:t xml:space="preserve">The cost of the final revisions will be borne primarily by employers, who will have to pay higher wages to older employees.  To the extent that adolescents would be prevented from applying RUPs, they may be confined to lower wage positions or replaced entirely.  These losses represent a transfer from adolescent workers to adult workers.  </w:t>
      </w:r>
    </w:p>
    <w:p w14:paraId="21672472" w14:textId="77777777" w:rsidR="00D8365A" w:rsidRPr="00362517" w:rsidRDefault="00D8365A" w:rsidP="00BF6BC7">
      <w:bookmarkStart w:id="229" w:name="OLE_LINK9"/>
    </w:p>
    <w:bookmarkEnd w:id="229"/>
    <w:p w14:paraId="0CEDEDD4" w14:textId="77777777" w:rsidR="00D8365A" w:rsidRPr="00362517" w:rsidRDefault="00D8365A" w:rsidP="00BF6BC7">
      <w:pPr>
        <w:pStyle w:val="Heading5"/>
      </w:pPr>
      <w:r w:rsidRPr="00362517">
        <w:t xml:space="preserve">Minimum Age for Commercial Applicators </w:t>
      </w:r>
    </w:p>
    <w:p w14:paraId="1EC98B46" w14:textId="77777777" w:rsidR="00D8365A" w:rsidRPr="00362517" w:rsidRDefault="00D8365A" w:rsidP="00BF6BC7">
      <w:bookmarkStart w:id="230" w:name="OLE_LINK293"/>
      <w:bookmarkStart w:id="231" w:name="OLE_LINK294"/>
      <w:r w:rsidRPr="00362517">
        <w:t xml:space="preserve">Under the final revisions, all commercial applicators must be at least 18 years old.  </w:t>
      </w:r>
      <w:bookmarkEnd w:id="230"/>
      <w:bookmarkEnd w:id="231"/>
      <w:r w:rsidRPr="00362517">
        <w:t xml:space="preserve">Due to restrictions on adolescents regarding driving, and the availability to work due to education requirements, as well as general liability concerns, it is unlikely that there are commercial applicators under the age of 16.  Existing applicators under 18 years of age will be “grandfathered in” and will not be affected by this requirement.  Thus, those affected by the minimum age requirement of 18 would be potential first time commercial applicators aged 16 or 17 years who would no longer be eligible to become certified.  As a result, under the final requirement, these underage applicators will be replaced with commercial applicators aged 18 years or older.  </w:t>
      </w:r>
    </w:p>
    <w:p w14:paraId="34F0CB2E" w14:textId="77777777" w:rsidR="00D8365A" w:rsidRPr="00362517" w:rsidRDefault="00D8365A" w:rsidP="00BF6BC7"/>
    <w:p w14:paraId="14AF79E2" w14:textId="77777777" w:rsidR="00D8365A" w:rsidRPr="00362517" w:rsidRDefault="00D8365A" w:rsidP="00BF6BC7">
      <w:r w:rsidRPr="00362517">
        <w:t xml:space="preserve">EPA estimates that the loaded average wage rate for commercial applicators aged 18 and older is $21.56 while the loaded wage rate for commercial applicators aged 16 and 17 is $16.17.  EPA further assumes that the average commercial applicator under the age of 18 years old </w:t>
      </w:r>
      <w:r w:rsidRPr="00362517">
        <w:rPr>
          <w:rFonts w:eastAsiaTheme="minorHAnsi"/>
        </w:rPr>
        <w:t xml:space="preserve">works 16 weeks and 40 hours per week for a total of 640 hours per year.  This is based on the fact that the typical 16 and 17 year old will also be a full time student.  EPA assumes that 16 and 17 year old commercial applicators apply pesticides for the entire 640 hours and that they apply RUPs 70% (448 hours per year) of the time that they are applying pesticides, which may be reasonable for extermination services, but not for landscaping work or even many agricultural support firms.  </w:t>
      </w:r>
      <w:bookmarkStart w:id="232" w:name="OLE_LINK191"/>
      <w:bookmarkStart w:id="233" w:name="OLE_LINK192"/>
      <w:r w:rsidRPr="00362517">
        <w:t>Based on the difference in employment costs of noncertified applicators applying RUPs under the direct supervision of certified applicators younger than 18 and those who are 18 and older, EPA estimates industry costs of the final requirement to be $300 thousand (Table 3.4-7).  This slight increase from the proposal cost of $294 thousand is due to the updated wage rates and the number of certified commercial applicators.</w:t>
      </w:r>
    </w:p>
    <w:p w14:paraId="2AE3823C" w14:textId="77777777" w:rsidR="00D8365A" w:rsidRPr="00362517" w:rsidRDefault="00D8365A" w:rsidP="00BF6BC7"/>
    <w:bookmarkEnd w:id="232"/>
    <w:bookmarkEnd w:id="233"/>
    <w:p w14:paraId="7507F4EF" w14:textId="77777777" w:rsidR="00D8365A" w:rsidRPr="00362517" w:rsidRDefault="00D8365A" w:rsidP="00BF6BC7">
      <w:pPr>
        <w:pStyle w:val="Heading5"/>
      </w:pPr>
      <w:r w:rsidRPr="00362517">
        <w:t xml:space="preserve">Minimum Age for Private Applicators </w:t>
      </w:r>
    </w:p>
    <w:p w14:paraId="4D4C7D6B" w14:textId="77777777" w:rsidR="00D8365A" w:rsidRPr="00362517" w:rsidRDefault="00D8365A" w:rsidP="00BF6BC7">
      <w:pPr>
        <w:autoSpaceDE w:val="0"/>
        <w:autoSpaceDN w:val="0"/>
        <w:adjustRightInd w:val="0"/>
        <w:ind w:left="15"/>
        <w:rPr>
          <w:rFonts w:eastAsiaTheme="minorHAnsi"/>
        </w:rPr>
      </w:pPr>
      <w:bookmarkStart w:id="234" w:name="OLE_LINK284"/>
      <w:bookmarkStart w:id="235" w:name="OLE_LINK285"/>
      <w:bookmarkStart w:id="236" w:name="OLE_LINK288"/>
      <w:r w:rsidRPr="00362517">
        <w:t xml:space="preserve">Under the final revisions, private applicators must be at least 18 years old.  Existing applicators under 18 years of age will be “grandfathered in” and will not be affected by this requirement.  EPA assumes that all private applicators </w:t>
      </w:r>
      <w:r w:rsidRPr="00362517">
        <w:rPr>
          <w:rFonts w:eastAsiaTheme="minorHAnsi"/>
        </w:rPr>
        <w:t>make 20 applications per year at about 4 hours per application for a total of 80 hours per year applying pesticides (EPA, 2015c).  We further assume that 70 percent of the time, or 56 hours, are spent making applications of RUPs.  This is highly conservative since market survey data indicate only about 20 percent of acres are treated with RUPs (Market Research Data, 2008 - 2013).</w:t>
      </w:r>
    </w:p>
    <w:p w14:paraId="0A7450CF" w14:textId="77777777" w:rsidR="00D8365A" w:rsidRPr="00362517" w:rsidRDefault="00D8365A" w:rsidP="00BF6BC7">
      <w:pPr>
        <w:rPr>
          <w:rFonts w:eastAsiaTheme="minorHAnsi"/>
        </w:rPr>
      </w:pPr>
    </w:p>
    <w:p w14:paraId="2B4CCDFF" w14:textId="77777777" w:rsidR="00D8365A" w:rsidRPr="00362517" w:rsidRDefault="00D8365A" w:rsidP="00BF6BC7">
      <w:pPr>
        <w:autoSpaceDE w:val="0"/>
        <w:autoSpaceDN w:val="0"/>
        <w:adjustRightInd w:val="0"/>
        <w:ind w:left="15"/>
        <w:rPr>
          <w:rFonts w:eastAsiaTheme="minorHAnsi"/>
        </w:rPr>
      </w:pPr>
      <w:r w:rsidRPr="00362517">
        <w:t>The loaded average wage rate for private applicators over the age of 18 is $51.45 per hour, the rate for those who are 16 or 17 years old is $30.87 per hour, and the rate for those who are 14 and 15 is $25.73 per hour.  Based on the difference in employment costs of private applicators younger than 16, 16 and 17 years old, and applicators 18 years old or older, EPA estimates industry costs of the final revision would be $172 thousand (Table 3.4-10).  This slight decrease from the proposal cost of $174 thousand is due to the updated wage rates and the number of certified private applicators.</w:t>
      </w:r>
      <w:r w:rsidRPr="00362517">
        <w:rPr>
          <w:rFonts w:eastAsiaTheme="minorHAnsi"/>
        </w:rPr>
        <w:t xml:space="preserve">  </w:t>
      </w:r>
    </w:p>
    <w:p w14:paraId="3C877D57" w14:textId="77777777" w:rsidR="00D8365A" w:rsidRPr="00362517" w:rsidRDefault="00D8365A" w:rsidP="00BF6BC7"/>
    <w:bookmarkEnd w:id="234"/>
    <w:bookmarkEnd w:id="235"/>
    <w:bookmarkEnd w:id="236"/>
    <w:p w14:paraId="34E033F2" w14:textId="77777777" w:rsidR="00D8365A" w:rsidRPr="00362517" w:rsidRDefault="00D8365A" w:rsidP="00BF6BC7">
      <w:pPr>
        <w:pStyle w:val="Heading5"/>
      </w:pPr>
      <w:r w:rsidRPr="00362517">
        <w:t xml:space="preserve">Minimum Age of Noncertified Applicators Applying RUPs under the Direct Supervision of Commercial Applicators </w:t>
      </w:r>
    </w:p>
    <w:p w14:paraId="18358D61" w14:textId="77777777" w:rsidR="00D8365A" w:rsidRPr="00362517" w:rsidRDefault="00D8365A" w:rsidP="00BF6BC7">
      <w:pPr>
        <w:pStyle w:val="BodyText"/>
      </w:pPr>
      <w:r w:rsidRPr="00362517">
        <w:t xml:space="preserve">The final revision requires all noncertified applicators applying RUPs under the direct supervision of commercial applicators to be at least 18 years old.  Thus, all adolescent noncertified commercial applicators must be replaced by adult noncertified applicators.  EPA assumes that the average adolescent applying RUPs under the direct supervision of commercial applicators </w:t>
      </w:r>
      <w:r w:rsidRPr="00362517">
        <w:rPr>
          <w:rFonts w:eastAsiaTheme="minorHAnsi"/>
        </w:rPr>
        <w:t xml:space="preserve">works 16 weeks and 40 hours per week for a total of 640 hours per year, as was the assumption for adolescents certified to apply RUPs.  Further, EPA assumes that they apply RUPs 50% (320 hours per year) of the time that they are applying pesticides.  </w:t>
      </w:r>
      <w:r w:rsidRPr="00362517">
        <w:t xml:space="preserve">The loaded average wage rate for noncertified applicators applying RUPs under the direct supervision of commercial applicators is $18.34 per hour for adults and $13.76 per hour for adolescents.  Based on the difference in employment costs of noncertified applicators applying RUPs under the direct supervision of commercial applicators younger than 18 and those who are 18 and older, EPA estimates industry costs of the final revision at $6.1 million (Table 3.4-7).  This substantial decrease from the proposal cost of about $12.8 million is due to more recent estimates of the number of adolescent non-certified applicators.  However, this is still a large cost, due to several factors; a sizeable difference between adolescent and adult noncertified wages, a considerable number of applicators involved, and a substantial number of hours worked by adolescent noncertified applicators.  </w:t>
      </w:r>
      <w:r w:rsidRPr="00362517">
        <w:rPr>
          <w:rFonts w:eastAsiaTheme="minorHAnsi"/>
        </w:rPr>
        <w:t>However, the assumptions made here are conservative and overestimate the impact of the final revision.</w:t>
      </w:r>
    </w:p>
    <w:p w14:paraId="597D7A22" w14:textId="77777777" w:rsidR="00D8365A" w:rsidRPr="00362517" w:rsidRDefault="00D8365A" w:rsidP="00BF6BC7"/>
    <w:p w14:paraId="3DC35786" w14:textId="77777777" w:rsidR="00D8365A" w:rsidRPr="00362517" w:rsidRDefault="00D8365A" w:rsidP="00BF6BC7"/>
    <w:p w14:paraId="0A017C1C" w14:textId="77777777" w:rsidR="00D8365A" w:rsidRPr="00362517" w:rsidRDefault="00D8365A" w:rsidP="00BF6BC7">
      <w:pPr>
        <w:pStyle w:val="BodyText"/>
        <w:rPr>
          <w:i/>
        </w:rPr>
      </w:pPr>
      <w:r w:rsidRPr="00362517">
        <w:rPr>
          <w:i/>
        </w:rPr>
        <w:t xml:space="preserve">Minimum Age of Noncertified Applicators Applying RUPs under the Direct Supervision of Private Applicators </w:t>
      </w:r>
    </w:p>
    <w:p w14:paraId="7602FC22" w14:textId="77777777" w:rsidR="00D8365A" w:rsidRPr="00362517" w:rsidRDefault="00D8365A" w:rsidP="00BF6BC7"/>
    <w:p w14:paraId="6B8FACDE" w14:textId="77777777" w:rsidR="00D8365A" w:rsidRPr="00362517" w:rsidRDefault="00D8365A" w:rsidP="00BF6BC7">
      <w:pPr>
        <w:autoSpaceDE w:val="0"/>
        <w:autoSpaceDN w:val="0"/>
        <w:adjustRightInd w:val="0"/>
        <w:ind w:left="15"/>
      </w:pPr>
      <w:r w:rsidRPr="00362517">
        <w:t>The final revision requires all noncertified applicators applying RUPs under the direct supervision of private applicators to be at least 18 years old, with an exception.  A noncertified applicator making application under the supervision of a private applicator who is an immediate family member must be at least 16 years old.  EPA assumes that adolescent noncertified applicators, like adolescent certified applicators, apply RUPs about 56 hours per year.  The loaded average hourly wage rate for noncertified applicators applying RUPs under the direct supervision of private applicators is $21.56 for adults, $12.94 for 16 and 17 year olds, and $10.78 for 14 and 15 year olds.  Based on the difference in employment costs of private applicators younger than 18 and those who are 18 and older, EPA estimates industry costs of the minimum age requirement to be $69 thousand (Table 3.4-7), a substantial decrease from the proposal cost of $1.1 million.  This reduction in cost is due to a provision in the recently published Worker Protection Standard (WPS) rule, which prohibits adolescents, other than immediate family members, from mixing, loading, and applying pesticides on a crop farm, which greatly reduced the number of adolescents impacted by the final Certification rule.</w:t>
      </w:r>
    </w:p>
    <w:p w14:paraId="01E7BF0E" w14:textId="77777777" w:rsidR="00D8365A" w:rsidRPr="00362517" w:rsidRDefault="00D8365A" w:rsidP="00BF6BC7"/>
    <w:p w14:paraId="3299400C" w14:textId="77777777" w:rsidR="00D8365A" w:rsidRPr="00362517" w:rsidRDefault="00D8365A" w:rsidP="00BF6BC7">
      <w:pPr>
        <w:pStyle w:val="Heading3"/>
      </w:pPr>
      <w:bookmarkStart w:id="237" w:name="_Toc395788112"/>
      <w:bookmarkStart w:id="238" w:name="_Toc396483168"/>
      <w:bookmarkStart w:id="239" w:name="_Toc452020149"/>
      <w:bookmarkStart w:id="240" w:name="_Toc456270173"/>
      <w:bookmarkStart w:id="241" w:name="_Toc468872089"/>
      <w:r w:rsidRPr="00362517">
        <w:t>3.4.6</w:t>
      </w:r>
      <w:r w:rsidRPr="00362517">
        <w:tab/>
        <w:t>Standards for Recertification of Certified Applicators</w:t>
      </w:r>
      <w:bookmarkEnd w:id="237"/>
      <w:bookmarkEnd w:id="238"/>
      <w:bookmarkEnd w:id="239"/>
      <w:bookmarkEnd w:id="240"/>
      <w:bookmarkEnd w:id="241"/>
      <w:r w:rsidRPr="00362517">
        <w:t xml:space="preserve"> </w:t>
      </w:r>
    </w:p>
    <w:bookmarkEnd w:id="182"/>
    <w:p w14:paraId="3C3ADC89" w14:textId="77777777" w:rsidR="00D8365A" w:rsidRPr="00362517" w:rsidRDefault="00D8365A" w:rsidP="00BF6BC7"/>
    <w:p w14:paraId="392B4BE3" w14:textId="77777777" w:rsidR="00D8365A" w:rsidRPr="00362517" w:rsidRDefault="00D8365A" w:rsidP="00BF6BC7">
      <w:r w:rsidRPr="00362517">
        <w:t xml:space="preserve">Recertification of private and commercial applicators ensures that certified applicators maintain competencies and keep pace with the changing technology of pesticide application.  This, in turn, ensures that the general public, the environment and applicators are protected from misapplication and misuse.  Recertification requirements include trainings, exams or a combination of both and are to be determined by the certifying authorities.  </w:t>
      </w:r>
    </w:p>
    <w:p w14:paraId="4D0B0E51" w14:textId="77777777" w:rsidR="00D8365A" w:rsidRPr="00362517" w:rsidRDefault="00D8365A" w:rsidP="00BF6BC7"/>
    <w:p w14:paraId="3C3124E0" w14:textId="06C68C08" w:rsidR="00D8365A" w:rsidRPr="00362517" w:rsidRDefault="00D8365A" w:rsidP="00BF6BC7">
      <w:r w:rsidRPr="00362517">
        <w:t>Since the changes to the rule were proposed, EPA received many public comments regarding the recertification requirements.  Based on the comments received, EPA is modifying the requirements for recertification standards in the final rule.  The proposal required that applicators were to be recertified at least every three years.  Commercial applicators would have been recertified in the core competency areas and in each category by examination or training consisting of at least six Continuing Education Units (CEUs) for each area (or similar training).  Recertification of private applicators would have required an examination or six CEUs (or similar training) for the general certification and an exam or three CEUs (or the equivalent) in any application-specific category.  In the final rule EPA requires a recertification period of 5 years or less.  Given the large differences in existing state programs, EPA is not specifying requirements for examinations or training; rather, certifying authorities must provide information to EPA describing how the quantity, content, and quality of their continuing education program ensures that a certified applicator continues to demonstrate the level of competency required by the rule.  The submitted plan must include the amount of continuing education required by the plan, the content that is covered and how the certifying authority ensures the required content is covered, the process used to approve programs and how the certifying authority verifies the applicator’s successful completion of the course or event, and how the certifying authority ensures the continued quality of the program. These standards allow the certifying authorities more flexibility to meet the requirements for a recertification program, but the requirements for the certifying authorities to meet the standards are less clear than in the proposed rule.  Because of these changes, EPA estimates that most certifying authorities will have minimal costs to comply with the recertification standards in the final rule; the remaining certifying authorities will incur costs, including additional continuing education training. </w:t>
      </w:r>
    </w:p>
    <w:p w14:paraId="44606AFC" w14:textId="77777777" w:rsidR="00D8365A" w:rsidRPr="00362517" w:rsidRDefault="00D8365A" w:rsidP="00BF6BC7"/>
    <w:p w14:paraId="41F51592" w14:textId="77777777" w:rsidR="00D8365A" w:rsidRPr="00362517" w:rsidRDefault="00D8365A" w:rsidP="00BF6BC7">
      <w:r w:rsidRPr="00362517">
        <w:t>For the proposed rule, EPA’s estimate of costs was based primarily on additional hours of certified applicator time to meet the new standards of CEUs and the recertification interval.  This allowed a relatively easy calculation of the additional number of hours per year per applicator, valued at the loaded wage rate for applicators.  This was multiplied by the number of applicators by state to yield an incremental cost for each state.  For the certifying authorities with programs that were already at or above the standards for CEUs proposed by EPA, the incremental costs were zero.  For the certifying authorities that needed changes to their recertification program to meet the proposed requirements, EPA estimated that incremental cost.</w:t>
      </w:r>
    </w:p>
    <w:p w14:paraId="72495B93" w14:textId="77777777" w:rsidR="00D8365A" w:rsidRPr="00362517" w:rsidRDefault="00D8365A" w:rsidP="00BF6BC7">
      <w:r w:rsidRPr="00362517">
        <w:t> </w:t>
      </w:r>
    </w:p>
    <w:p w14:paraId="034B18EE" w14:textId="77777777" w:rsidR="00D8365A" w:rsidRPr="00362517" w:rsidRDefault="00D8365A" w:rsidP="00BF6BC7">
      <w:r w:rsidRPr="00362517">
        <w:t>Because the recertification requirements in the final rule are not stated quantitatively, for example by using CEU standards as in the proposed rule, it is not possible to define exactly what certifying authorities will need to do to comply with the final rule and its cost is similarly difficult to assess.  To estimate the cost, the CEU standards from the proposal (EPA 2015b) are still used with the assumption that the certifying authorities that had the highest cost to come into compliance with the recertification proposal may be the certifying authorities that need to do the most to come into compliance with the final rule.  The proposed standards would require private applicators to be recertified by exam or completion of six CEUs and by exam or completion of three CEUs for each category recertification.  Commercial applicators were required to be recertified by exam or six CEUs for core competency, and by exam or training for each category recertification.  There are some concrete differences between the proposed recertification requirements and the requirements in the final rule.  The final rule sets the recertification period to 5 years or less, modified from the proposed 3-year cycle.  For estimating the incremental costs for the final rule, we assume the same requirements as the proposed rule, but on a five-year interval, instead of a three-year interval.  This revision alone brings the majority of the jurisdictions into compliance with the final recertification requirements. Other than the use of the recertification cycle from the final rule, the use of the requirements from the proposed rule likely results in an over-estimate of the cost for recertification, because the final rule requirements for recertification programs are flexible and expected to accommodate many existing programs.</w:t>
      </w:r>
    </w:p>
    <w:p w14:paraId="7308261E" w14:textId="77777777" w:rsidR="00D8365A" w:rsidRPr="00362517" w:rsidRDefault="00D8365A" w:rsidP="00BF6BC7"/>
    <w:p w14:paraId="1AAB4DEE" w14:textId="77777777" w:rsidR="00D8365A" w:rsidRPr="00362517" w:rsidRDefault="00D8365A" w:rsidP="00BF6BC7">
      <w:r w:rsidRPr="00362517">
        <w:t xml:space="preserve">To estimate the incremental costs for private applicator recertification, EPA chose 11 jurisdictions (Georgia, Arkansas, Mississippi, Missouri, South Dakota, Louisiana, Maryland, Kentucky, Tennessee, Puerto Rico, and tribes and other territories) that have the lowest per-applicator recertification cost in the baseline, and thus the higher incremental cost.  The incremental cost is estimated as the difference between the baseline cost and the cost of the requirements in the proposed rule.  The incremental per-applicator costs in these jurisdictions are multiplied by their respective number of applicators to generate the jurisdiction-level costs, the present values are computed, summed across the 11 jurisdictions, and annualized to obtain the national-level cost as described in section 3.2.1.  </w:t>
      </w:r>
    </w:p>
    <w:p w14:paraId="38D965C6" w14:textId="77777777" w:rsidR="00D8365A" w:rsidRPr="00362517" w:rsidRDefault="00D8365A" w:rsidP="00BF6BC7"/>
    <w:p w14:paraId="07222D42" w14:textId="77777777" w:rsidR="00D8365A" w:rsidRPr="00362517" w:rsidRDefault="00D8365A" w:rsidP="00BF6BC7">
      <w:r w:rsidRPr="00362517">
        <w:t xml:space="preserve">For recertification of commercial applicator competency, 39 states are already in compliance with the proposed requirements, so the estimated incremental costs for recertification compliance were zero.  The remaining 13 jurisdictions (Colorado, Ohio, Maine, Missouri, Mississippi, South Carolina, Arkansas, Nebraska, Nevada, Wisconsin, Georgia, Puerto Rico, and tribes and other territories) had a baseline cost was lower than the per applicator cost of the proposal. These jurisdictions are used to estimate the incremental costs for commercial applicator recertification, using the requirements in the proposed rule.  The incremental per-applicator costs are multiplied by the respective number of applicators to generate the jurisdiction-level costs, the present values are computed, summed across the jurisdictions, and annualized to obtain the national-level cost as described in section 3.2.1.  </w:t>
      </w:r>
    </w:p>
    <w:p w14:paraId="452EE5AA" w14:textId="77777777" w:rsidR="00D8365A" w:rsidRPr="00362517" w:rsidRDefault="00D8365A" w:rsidP="00BF6BC7"/>
    <w:p w14:paraId="332D7670" w14:textId="77777777" w:rsidR="00D8365A" w:rsidRPr="00362517" w:rsidRDefault="00D8365A" w:rsidP="00BF6BC7">
      <w:pPr>
        <w:pStyle w:val="BodyText"/>
      </w:pPr>
      <w:r w:rsidRPr="00362517">
        <w:t xml:space="preserve">Table 3.4-8 presents the national-level annualized costs for the final requirements, baseline, and incremental costs for recertification of commercial and private applicators.  The table is followed by a brief description of the costs.  Details on the estimation method, data, and assumptions are provided in Appendix A. </w:t>
      </w:r>
    </w:p>
    <w:p w14:paraId="72256BB2" w14:textId="77777777" w:rsidR="00D8365A" w:rsidRPr="00362517" w:rsidRDefault="00D8365A" w:rsidP="00BF6BC7"/>
    <w:p w14:paraId="20A170AB" w14:textId="77777777" w:rsidR="00D8365A" w:rsidRPr="00362517" w:rsidRDefault="00D8365A" w:rsidP="00BF6BC7">
      <w:pPr>
        <w:pStyle w:val="BodyText"/>
        <w:keepNext/>
        <w:rPr>
          <w:b/>
        </w:rPr>
      </w:pPr>
      <w:r w:rsidRPr="00362517">
        <w:rPr>
          <w:b/>
        </w:rPr>
        <w:t xml:space="preserve">Table 3.4-8: Cost of Establishing Standards for Recertification </w:t>
      </w:r>
      <w:r w:rsidRPr="00362517">
        <w:rPr>
          <w:b/>
          <w:vertAlign w:val="superscript"/>
        </w:rPr>
        <w:t>1</w:t>
      </w:r>
    </w:p>
    <w:tbl>
      <w:tblPr>
        <w:tblW w:w="5000" w:type="pct"/>
        <w:tblBorders>
          <w:top w:val="single" w:sz="8" w:space="0" w:color="auto"/>
          <w:left w:val="single" w:sz="8" w:space="0" w:color="auto"/>
          <w:bottom w:val="single" w:sz="12" w:space="0" w:color="auto"/>
          <w:right w:val="single" w:sz="8" w:space="0" w:color="auto"/>
          <w:insideH w:val="single" w:sz="2" w:space="0" w:color="auto"/>
          <w:insideV w:val="single" w:sz="2" w:space="0" w:color="auto"/>
        </w:tblBorders>
        <w:tblLook w:val="04A0" w:firstRow="1" w:lastRow="0" w:firstColumn="1" w:lastColumn="0" w:noHBand="0" w:noVBand="1"/>
      </w:tblPr>
      <w:tblGrid>
        <w:gridCol w:w="2634"/>
        <w:gridCol w:w="2156"/>
        <w:gridCol w:w="1961"/>
        <w:gridCol w:w="1188"/>
        <w:gridCol w:w="1401"/>
      </w:tblGrid>
      <w:tr w:rsidR="00D8365A" w:rsidRPr="00362517" w14:paraId="7C93FFF5" w14:textId="77777777" w:rsidTr="007A2164">
        <w:trPr>
          <w:tblHeader/>
        </w:trPr>
        <w:tc>
          <w:tcPr>
            <w:tcW w:w="1410" w:type="pct"/>
            <w:tcBorders>
              <w:top w:val="single" w:sz="8" w:space="0" w:color="auto"/>
              <w:left w:val="single" w:sz="8" w:space="0" w:color="auto"/>
              <w:bottom w:val="double" w:sz="4" w:space="0" w:color="auto"/>
              <w:right w:val="single" w:sz="2" w:space="0" w:color="auto"/>
            </w:tcBorders>
            <w:vAlign w:val="bottom"/>
            <w:hideMark/>
          </w:tcPr>
          <w:p w14:paraId="6C6C2443" w14:textId="77777777" w:rsidR="00D8365A" w:rsidRPr="00362517" w:rsidRDefault="00D8365A" w:rsidP="00BF6BC7">
            <w:pPr>
              <w:pStyle w:val="BodyText"/>
              <w:keepNext/>
              <w:rPr>
                <w:sz w:val="20"/>
                <w:szCs w:val="20"/>
              </w:rPr>
            </w:pPr>
            <w:r w:rsidRPr="00362517">
              <w:rPr>
                <w:sz w:val="20"/>
                <w:szCs w:val="20"/>
              </w:rPr>
              <w:t>Requirements used for cost estimates</w:t>
            </w:r>
          </w:p>
        </w:tc>
        <w:tc>
          <w:tcPr>
            <w:tcW w:w="1154" w:type="pct"/>
            <w:tcBorders>
              <w:top w:val="single" w:sz="8" w:space="0" w:color="auto"/>
              <w:left w:val="single" w:sz="2" w:space="0" w:color="auto"/>
              <w:bottom w:val="double" w:sz="4" w:space="0" w:color="auto"/>
              <w:right w:val="single" w:sz="2" w:space="0" w:color="auto"/>
            </w:tcBorders>
            <w:vAlign w:val="bottom"/>
            <w:hideMark/>
          </w:tcPr>
          <w:p w14:paraId="0BB81DDF" w14:textId="77777777" w:rsidR="00D8365A" w:rsidRPr="00362517" w:rsidRDefault="00D8365A" w:rsidP="00BF6BC7">
            <w:pPr>
              <w:pStyle w:val="TableGridCT"/>
              <w:keepNext/>
              <w:keepLines/>
              <w:tabs>
                <w:tab w:val="left" w:pos="720"/>
                <w:tab w:val="left" w:pos="1080"/>
                <w:tab w:val="left" w:pos="1440"/>
                <w:tab w:val="left" w:pos="1800"/>
              </w:tabs>
              <w:spacing w:line="264" w:lineRule="auto"/>
              <w:jc w:val="center"/>
              <w:rPr>
                <w:bCs/>
                <w:sz w:val="20"/>
                <w:szCs w:val="20"/>
              </w:rPr>
            </w:pPr>
            <w:r w:rsidRPr="00362517">
              <w:rPr>
                <w:bCs/>
                <w:sz w:val="20"/>
                <w:szCs w:val="20"/>
              </w:rPr>
              <w:t>Type of Cost</w:t>
            </w:r>
          </w:p>
        </w:tc>
        <w:tc>
          <w:tcPr>
            <w:tcW w:w="1050" w:type="pct"/>
            <w:tcBorders>
              <w:top w:val="single" w:sz="8" w:space="0" w:color="auto"/>
              <w:left w:val="single" w:sz="2" w:space="0" w:color="auto"/>
              <w:bottom w:val="double" w:sz="4" w:space="0" w:color="auto"/>
              <w:right w:val="single" w:sz="2" w:space="0" w:color="auto"/>
            </w:tcBorders>
            <w:vAlign w:val="bottom"/>
            <w:hideMark/>
          </w:tcPr>
          <w:p w14:paraId="315EAD7C" w14:textId="77777777" w:rsidR="00D8365A" w:rsidRPr="00362517" w:rsidRDefault="00D8365A" w:rsidP="00BF6BC7">
            <w:pPr>
              <w:pStyle w:val="TableGridCT"/>
              <w:keepNext/>
              <w:keepLines/>
              <w:tabs>
                <w:tab w:val="left" w:pos="720"/>
                <w:tab w:val="left" w:pos="1080"/>
                <w:tab w:val="left" w:pos="1440"/>
                <w:tab w:val="left" w:pos="1800"/>
              </w:tabs>
              <w:spacing w:line="264" w:lineRule="auto"/>
              <w:jc w:val="center"/>
              <w:rPr>
                <w:bCs/>
                <w:sz w:val="20"/>
                <w:szCs w:val="20"/>
              </w:rPr>
            </w:pPr>
            <w:r w:rsidRPr="00362517">
              <w:rPr>
                <w:bCs/>
                <w:sz w:val="20"/>
                <w:szCs w:val="20"/>
              </w:rPr>
              <w:t>National Cost of Requirement (NC</w:t>
            </w:r>
            <w:r w:rsidRPr="00362517">
              <w:rPr>
                <w:bCs/>
                <w:sz w:val="20"/>
                <w:szCs w:val="20"/>
                <w:vertAlign w:val="superscript"/>
              </w:rPr>
              <w:t>P</w:t>
            </w:r>
            <w:r w:rsidRPr="00362517">
              <w:rPr>
                <w:bCs/>
                <w:sz w:val="20"/>
                <w:szCs w:val="20"/>
              </w:rPr>
              <w:t>)</w:t>
            </w:r>
          </w:p>
          <w:p w14:paraId="18322DBD" w14:textId="77777777" w:rsidR="00D8365A" w:rsidRPr="00362517" w:rsidRDefault="00D8365A" w:rsidP="00BF6BC7">
            <w:pPr>
              <w:pStyle w:val="TableGridCT"/>
              <w:keepNext/>
              <w:keepLines/>
              <w:tabs>
                <w:tab w:val="left" w:pos="720"/>
                <w:tab w:val="left" w:pos="1080"/>
                <w:tab w:val="left" w:pos="1440"/>
                <w:tab w:val="left" w:pos="1800"/>
              </w:tabs>
              <w:spacing w:line="264" w:lineRule="auto"/>
              <w:jc w:val="center"/>
              <w:rPr>
                <w:bCs/>
                <w:sz w:val="20"/>
                <w:szCs w:val="20"/>
              </w:rPr>
            </w:pPr>
            <w:r w:rsidRPr="00362517">
              <w:rPr>
                <w:bCs/>
                <w:sz w:val="20"/>
                <w:szCs w:val="20"/>
              </w:rPr>
              <w:t>($000)</w:t>
            </w:r>
          </w:p>
        </w:tc>
        <w:tc>
          <w:tcPr>
            <w:tcW w:w="636" w:type="pct"/>
            <w:tcBorders>
              <w:top w:val="single" w:sz="8" w:space="0" w:color="auto"/>
              <w:left w:val="single" w:sz="2" w:space="0" w:color="auto"/>
              <w:bottom w:val="double" w:sz="4" w:space="0" w:color="auto"/>
              <w:right w:val="single" w:sz="2" w:space="0" w:color="auto"/>
            </w:tcBorders>
            <w:vAlign w:val="bottom"/>
            <w:hideMark/>
          </w:tcPr>
          <w:p w14:paraId="58116E45" w14:textId="77777777" w:rsidR="00D8365A" w:rsidRPr="00362517" w:rsidRDefault="00D8365A" w:rsidP="00BF6BC7">
            <w:pPr>
              <w:pStyle w:val="TableGridCT"/>
              <w:keepNext/>
              <w:keepLines/>
              <w:tabs>
                <w:tab w:val="left" w:pos="720"/>
                <w:tab w:val="left" w:pos="1080"/>
                <w:tab w:val="left" w:pos="1440"/>
                <w:tab w:val="left" w:pos="1800"/>
              </w:tabs>
              <w:spacing w:line="264" w:lineRule="auto"/>
              <w:jc w:val="center"/>
              <w:rPr>
                <w:bCs/>
                <w:sz w:val="20"/>
                <w:szCs w:val="20"/>
              </w:rPr>
            </w:pPr>
            <w:r w:rsidRPr="00362517">
              <w:rPr>
                <w:bCs/>
                <w:sz w:val="20"/>
                <w:szCs w:val="20"/>
              </w:rPr>
              <w:t>National Cost of Baseline (NC</w:t>
            </w:r>
            <w:r w:rsidRPr="00362517">
              <w:rPr>
                <w:bCs/>
                <w:sz w:val="20"/>
                <w:szCs w:val="20"/>
                <w:vertAlign w:val="superscript"/>
              </w:rPr>
              <w:t>B</w:t>
            </w:r>
            <w:r w:rsidRPr="00362517">
              <w:rPr>
                <w:bCs/>
                <w:sz w:val="20"/>
                <w:szCs w:val="20"/>
              </w:rPr>
              <w:t>)</w:t>
            </w:r>
          </w:p>
          <w:p w14:paraId="2FC03944" w14:textId="77777777" w:rsidR="00D8365A" w:rsidRPr="00362517" w:rsidRDefault="00D8365A" w:rsidP="00BF6BC7">
            <w:pPr>
              <w:pStyle w:val="TableGridCT"/>
              <w:keepNext/>
              <w:keepLines/>
              <w:tabs>
                <w:tab w:val="left" w:pos="720"/>
                <w:tab w:val="left" w:pos="1080"/>
                <w:tab w:val="left" w:pos="1440"/>
                <w:tab w:val="left" w:pos="1800"/>
              </w:tabs>
              <w:spacing w:line="264" w:lineRule="auto"/>
              <w:jc w:val="center"/>
              <w:rPr>
                <w:bCs/>
                <w:sz w:val="20"/>
                <w:szCs w:val="20"/>
              </w:rPr>
            </w:pPr>
            <w:r w:rsidRPr="00362517">
              <w:rPr>
                <w:bCs/>
                <w:sz w:val="20"/>
                <w:szCs w:val="20"/>
              </w:rPr>
              <w:t>($000)</w:t>
            </w:r>
          </w:p>
        </w:tc>
        <w:tc>
          <w:tcPr>
            <w:tcW w:w="751" w:type="pct"/>
            <w:tcBorders>
              <w:top w:val="single" w:sz="8" w:space="0" w:color="auto"/>
              <w:left w:val="single" w:sz="2" w:space="0" w:color="auto"/>
              <w:bottom w:val="double" w:sz="4" w:space="0" w:color="auto"/>
              <w:right w:val="single" w:sz="8" w:space="0" w:color="auto"/>
            </w:tcBorders>
            <w:vAlign w:val="bottom"/>
            <w:hideMark/>
          </w:tcPr>
          <w:p w14:paraId="7C61A444" w14:textId="77777777" w:rsidR="00D8365A" w:rsidRPr="00362517" w:rsidRDefault="00D8365A" w:rsidP="00BF6BC7">
            <w:pPr>
              <w:pStyle w:val="TableGridCT"/>
              <w:keepNext/>
              <w:keepLines/>
              <w:tabs>
                <w:tab w:val="left" w:pos="720"/>
                <w:tab w:val="left" w:pos="1080"/>
                <w:tab w:val="left" w:pos="1440"/>
                <w:tab w:val="left" w:pos="1800"/>
              </w:tabs>
              <w:spacing w:line="264" w:lineRule="auto"/>
              <w:jc w:val="center"/>
              <w:rPr>
                <w:bCs/>
                <w:sz w:val="20"/>
                <w:szCs w:val="20"/>
              </w:rPr>
            </w:pPr>
            <w:r w:rsidRPr="00362517">
              <w:rPr>
                <w:bCs/>
                <w:sz w:val="20"/>
                <w:szCs w:val="20"/>
              </w:rPr>
              <w:t>National Incremental Cost (NIC)</w:t>
            </w:r>
          </w:p>
          <w:p w14:paraId="48E7B83E" w14:textId="77777777" w:rsidR="00D8365A" w:rsidRPr="00362517" w:rsidRDefault="00D8365A" w:rsidP="00BF6BC7">
            <w:pPr>
              <w:pStyle w:val="TableGridCT"/>
              <w:keepNext/>
              <w:keepLines/>
              <w:tabs>
                <w:tab w:val="left" w:pos="720"/>
                <w:tab w:val="left" w:pos="1080"/>
                <w:tab w:val="left" w:pos="1440"/>
                <w:tab w:val="left" w:pos="1800"/>
              </w:tabs>
              <w:spacing w:line="264" w:lineRule="auto"/>
              <w:jc w:val="center"/>
              <w:rPr>
                <w:bCs/>
                <w:sz w:val="20"/>
                <w:szCs w:val="20"/>
              </w:rPr>
            </w:pPr>
            <w:r w:rsidRPr="00362517">
              <w:rPr>
                <w:bCs/>
                <w:sz w:val="20"/>
                <w:szCs w:val="20"/>
              </w:rPr>
              <w:t>($000)</w:t>
            </w:r>
          </w:p>
        </w:tc>
      </w:tr>
      <w:tr w:rsidR="00D8365A" w:rsidRPr="00362517" w14:paraId="2EED35CC" w14:textId="77777777" w:rsidTr="007A2164">
        <w:trPr>
          <w:trHeight w:val="364"/>
        </w:trPr>
        <w:tc>
          <w:tcPr>
            <w:tcW w:w="5000" w:type="pct"/>
            <w:gridSpan w:val="5"/>
            <w:tcBorders>
              <w:top w:val="single" w:sz="2" w:space="0" w:color="auto"/>
              <w:left w:val="single" w:sz="8" w:space="0" w:color="auto"/>
              <w:bottom w:val="single" w:sz="2" w:space="0" w:color="auto"/>
              <w:right w:val="single" w:sz="8" w:space="0" w:color="auto"/>
            </w:tcBorders>
            <w:vAlign w:val="center"/>
            <w:hideMark/>
          </w:tcPr>
          <w:p w14:paraId="54CF4740" w14:textId="77777777" w:rsidR="00D8365A" w:rsidRPr="00362517" w:rsidRDefault="00D8365A" w:rsidP="00BF6BC7">
            <w:pPr>
              <w:jc w:val="center"/>
              <w:rPr>
                <w:sz w:val="20"/>
                <w:szCs w:val="20"/>
              </w:rPr>
            </w:pPr>
            <w:bookmarkStart w:id="242" w:name="OLE_LINK68"/>
            <w:r w:rsidRPr="00362517">
              <w:rPr>
                <w:sz w:val="20"/>
                <w:szCs w:val="20"/>
              </w:rPr>
              <w:t>Commercial Applicators</w:t>
            </w:r>
            <w:bookmarkEnd w:id="242"/>
          </w:p>
        </w:tc>
      </w:tr>
      <w:tr w:rsidR="00D8365A" w:rsidRPr="00362517" w14:paraId="2AF489AB" w14:textId="77777777" w:rsidTr="007A2164">
        <w:trPr>
          <w:trHeight w:val="481"/>
        </w:trPr>
        <w:tc>
          <w:tcPr>
            <w:tcW w:w="1410" w:type="pct"/>
            <w:vMerge w:val="restart"/>
            <w:tcBorders>
              <w:top w:val="single" w:sz="2" w:space="0" w:color="auto"/>
              <w:left w:val="single" w:sz="8" w:space="0" w:color="auto"/>
              <w:right w:val="single" w:sz="2" w:space="0" w:color="auto"/>
            </w:tcBorders>
            <w:vAlign w:val="center"/>
            <w:hideMark/>
          </w:tcPr>
          <w:p w14:paraId="5D359AE4" w14:textId="77777777" w:rsidR="00D8365A" w:rsidRPr="00362517" w:rsidRDefault="00D8365A" w:rsidP="00BF6BC7">
            <w:pPr>
              <w:keepNext/>
              <w:keepLines/>
              <w:rPr>
                <w:sz w:val="20"/>
                <w:szCs w:val="20"/>
              </w:rPr>
            </w:pPr>
            <w:r w:rsidRPr="00362517">
              <w:rPr>
                <w:sz w:val="20"/>
                <w:szCs w:val="20"/>
              </w:rPr>
              <w:t>Commercial recertification: Exam or six-hour training for core and for each existing category (every five years)</w:t>
            </w:r>
          </w:p>
        </w:tc>
        <w:tc>
          <w:tcPr>
            <w:tcW w:w="1154" w:type="pct"/>
            <w:tcBorders>
              <w:top w:val="single" w:sz="2" w:space="0" w:color="auto"/>
              <w:left w:val="single" w:sz="2" w:space="0" w:color="auto"/>
              <w:bottom w:val="single" w:sz="2" w:space="0" w:color="auto"/>
              <w:right w:val="single" w:sz="2" w:space="0" w:color="auto"/>
            </w:tcBorders>
            <w:vAlign w:val="center"/>
            <w:hideMark/>
          </w:tcPr>
          <w:p w14:paraId="6C83F71D" w14:textId="77777777" w:rsidR="00D8365A" w:rsidRPr="00362517" w:rsidRDefault="00D8365A" w:rsidP="00BF6BC7">
            <w:pPr>
              <w:keepNext/>
              <w:keepLines/>
              <w:rPr>
                <w:sz w:val="20"/>
                <w:szCs w:val="20"/>
              </w:rPr>
            </w:pPr>
            <w:r w:rsidRPr="00362517">
              <w:rPr>
                <w:sz w:val="20"/>
                <w:szCs w:val="20"/>
              </w:rPr>
              <w:t xml:space="preserve">Industry costs </w:t>
            </w:r>
          </w:p>
        </w:tc>
        <w:tc>
          <w:tcPr>
            <w:tcW w:w="1050" w:type="pct"/>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1DAC0F05" w14:textId="77777777" w:rsidR="00D8365A" w:rsidRPr="00362517" w:rsidRDefault="00D8365A" w:rsidP="00BF6BC7">
            <w:pPr>
              <w:jc w:val="center"/>
              <w:rPr>
                <w:sz w:val="20"/>
                <w:szCs w:val="20"/>
              </w:rPr>
            </w:pPr>
            <w:r w:rsidRPr="00362517">
              <w:rPr>
                <w:sz w:val="20"/>
                <w:szCs w:val="20"/>
              </w:rPr>
              <w:t>108,429</w:t>
            </w:r>
          </w:p>
        </w:tc>
        <w:tc>
          <w:tcPr>
            <w:tcW w:w="636" w:type="pct"/>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6CC8F37A" w14:textId="77777777" w:rsidR="00D8365A" w:rsidRPr="00362517" w:rsidRDefault="00D8365A" w:rsidP="00BF6BC7">
            <w:pPr>
              <w:jc w:val="center"/>
              <w:rPr>
                <w:sz w:val="20"/>
                <w:szCs w:val="20"/>
              </w:rPr>
            </w:pPr>
            <w:r w:rsidRPr="00362517">
              <w:rPr>
                <w:sz w:val="20"/>
                <w:szCs w:val="20"/>
              </w:rPr>
              <w:t>106,524</w:t>
            </w:r>
          </w:p>
        </w:tc>
        <w:tc>
          <w:tcPr>
            <w:tcW w:w="751" w:type="pct"/>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74318627" w14:textId="77777777" w:rsidR="00D8365A" w:rsidRPr="00362517" w:rsidRDefault="00D8365A" w:rsidP="00BF6BC7">
            <w:pPr>
              <w:jc w:val="center"/>
              <w:rPr>
                <w:sz w:val="20"/>
                <w:szCs w:val="20"/>
              </w:rPr>
            </w:pPr>
            <w:r w:rsidRPr="00362517">
              <w:rPr>
                <w:sz w:val="20"/>
                <w:szCs w:val="20"/>
              </w:rPr>
              <w:t>1,905</w:t>
            </w:r>
          </w:p>
        </w:tc>
      </w:tr>
      <w:tr w:rsidR="00D8365A" w:rsidRPr="00362517" w14:paraId="3CA49DA9" w14:textId="77777777" w:rsidTr="007A2164">
        <w:trPr>
          <w:trHeight w:val="481"/>
        </w:trPr>
        <w:tc>
          <w:tcPr>
            <w:tcW w:w="1410" w:type="pct"/>
            <w:vMerge/>
            <w:tcBorders>
              <w:left w:val="single" w:sz="8" w:space="0" w:color="auto"/>
              <w:right w:val="single" w:sz="2" w:space="0" w:color="auto"/>
            </w:tcBorders>
            <w:vAlign w:val="center"/>
            <w:hideMark/>
          </w:tcPr>
          <w:p w14:paraId="02523692" w14:textId="77777777" w:rsidR="00D8365A" w:rsidRPr="00362517" w:rsidRDefault="00D8365A" w:rsidP="00BF6BC7">
            <w:pPr>
              <w:keepNext/>
              <w:keepLines/>
              <w:rPr>
                <w:sz w:val="20"/>
                <w:szCs w:val="20"/>
              </w:rPr>
            </w:pPr>
          </w:p>
        </w:tc>
        <w:tc>
          <w:tcPr>
            <w:tcW w:w="1154" w:type="pct"/>
            <w:tcBorders>
              <w:top w:val="single" w:sz="2" w:space="0" w:color="auto"/>
              <w:left w:val="single" w:sz="2" w:space="0" w:color="auto"/>
              <w:bottom w:val="single" w:sz="2" w:space="0" w:color="auto"/>
              <w:right w:val="single" w:sz="2" w:space="0" w:color="auto"/>
            </w:tcBorders>
            <w:vAlign w:val="center"/>
            <w:hideMark/>
          </w:tcPr>
          <w:p w14:paraId="27044386" w14:textId="77777777" w:rsidR="00D8365A" w:rsidRPr="00362517" w:rsidRDefault="00D8365A" w:rsidP="00BF6BC7">
            <w:pPr>
              <w:keepNext/>
              <w:keepLines/>
              <w:rPr>
                <w:sz w:val="20"/>
                <w:szCs w:val="20"/>
              </w:rPr>
            </w:pPr>
            <w:r w:rsidRPr="00362517">
              <w:rPr>
                <w:sz w:val="20"/>
                <w:szCs w:val="20"/>
              </w:rPr>
              <w:t xml:space="preserve">State costs: administer recertification exam or  training </w:t>
            </w:r>
          </w:p>
        </w:tc>
        <w:tc>
          <w:tcPr>
            <w:tcW w:w="1050" w:type="pct"/>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699F4645" w14:textId="77777777" w:rsidR="00D8365A" w:rsidRPr="00362517" w:rsidRDefault="00D8365A" w:rsidP="00BF6BC7">
            <w:pPr>
              <w:jc w:val="center"/>
              <w:rPr>
                <w:sz w:val="20"/>
                <w:szCs w:val="20"/>
              </w:rPr>
            </w:pPr>
            <w:r w:rsidRPr="00362517">
              <w:rPr>
                <w:sz w:val="20"/>
                <w:szCs w:val="20"/>
              </w:rPr>
              <w:t>3,303</w:t>
            </w:r>
          </w:p>
        </w:tc>
        <w:tc>
          <w:tcPr>
            <w:tcW w:w="636" w:type="pct"/>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1E57A6B3" w14:textId="77777777" w:rsidR="00D8365A" w:rsidRPr="00362517" w:rsidRDefault="00D8365A" w:rsidP="00BF6BC7">
            <w:pPr>
              <w:jc w:val="center"/>
              <w:rPr>
                <w:sz w:val="20"/>
                <w:szCs w:val="20"/>
              </w:rPr>
            </w:pPr>
            <w:r w:rsidRPr="00362517">
              <w:rPr>
                <w:sz w:val="20"/>
                <w:szCs w:val="20"/>
              </w:rPr>
              <w:t>2,748</w:t>
            </w:r>
          </w:p>
        </w:tc>
        <w:tc>
          <w:tcPr>
            <w:tcW w:w="751" w:type="pct"/>
            <w:tcBorders>
              <w:top w:val="single" w:sz="2" w:space="0" w:color="auto"/>
              <w:left w:val="single" w:sz="2" w:space="0" w:color="auto"/>
              <w:bottom w:val="single" w:sz="2" w:space="0" w:color="auto"/>
              <w:right w:val="single" w:sz="8" w:space="0" w:color="auto"/>
            </w:tcBorders>
            <w:tcMar>
              <w:left w:w="115" w:type="dxa"/>
              <w:right w:w="288" w:type="dxa"/>
            </w:tcMar>
            <w:vAlign w:val="center"/>
            <w:hideMark/>
          </w:tcPr>
          <w:p w14:paraId="23A2EE81" w14:textId="77777777" w:rsidR="00D8365A" w:rsidRPr="00362517" w:rsidRDefault="00D8365A" w:rsidP="00BF6BC7">
            <w:pPr>
              <w:jc w:val="center"/>
              <w:rPr>
                <w:sz w:val="20"/>
                <w:szCs w:val="20"/>
              </w:rPr>
            </w:pPr>
            <w:r w:rsidRPr="00362517">
              <w:rPr>
                <w:sz w:val="20"/>
                <w:szCs w:val="20"/>
              </w:rPr>
              <w:t>555</w:t>
            </w:r>
          </w:p>
        </w:tc>
      </w:tr>
      <w:tr w:rsidR="00D8365A" w:rsidRPr="00362517" w14:paraId="2D9ECF4E" w14:textId="77777777" w:rsidTr="007A2164">
        <w:trPr>
          <w:trHeight w:val="481"/>
        </w:trPr>
        <w:tc>
          <w:tcPr>
            <w:tcW w:w="1410" w:type="pct"/>
            <w:vMerge w:val="restart"/>
            <w:tcBorders>
              <w:left w:val="single" w:sz="8" w:space="0" w:color="auto"/>
              <w:right w:val="single" w:sz="2" w:space="0" w:color="auto"/>
            </w:tcBorders>
            <w:vAlign w:val="center"/>
          </w:tcPr>
          <w:p w14:paraId="12412B39" w14:textId="77777777" w:rsidR="00D8365A" w:rsidRPr="00362517" w:rsidRDefault="00D8365A" w:rsidP="00BF6BC7">
            <w:pPr>
              <w:keepNext/>
              <w:keepLines/>
              <w:rPr>
                <w:sz w:val="20"/>
                <w:szCs w:val="20"/>
              </w:rPr>
            </w:pPr>
            <w:r w:rsidRPr="00362517">
              <w:rPr>
                <w:sz w:val="20"/>
                <w:szCs w:val="20"/>
              </w:rPr>
              <w:t>Exam or six-hour training for commercial aerial category recertification (every five years)</w:t>
            </w:r>
          </w:p>
        </w:tc>
        <w:tc>
          <w:tcPr>
            <w:tcW w:w="1154" w:type="pct"/>
            <w:tcBorders>
              <w:top w:val="single" w:sz="2" w:space="0" w:color="auto"/>
              <w:left w:val="single" w:sz="2" w:space="0" w:color="auto"/>
              <w:bottom w:val="single" w:sz="2" w:space="0" w:color="auto"/>
              <w:right w:val="single" w:sz="2" w:space="0" w:color="auto"/>
            </w:tcBorders>
            <w:vAlign w:val="center"/>
          </w:tcPr>
          <w:p w14:paraId="6923E07A" w14:textId="77777777" w:rsidR="00D8365A" w:rsidRPr="00362517" w:rsidRDefault="00D8365A" w:rsidP="00BF6BC7">
            <w:pPr>
              <w:keepNext/>
              <w:keepLines/>
              <w:rPr>
                <w:sz w:val="20"/>
                <w:szCs w:val="20"/>
              </w:rPr>
            </w:pPr>
            <w:r w:rsidRPr="00362517">
              <w:rPr>
                <w:sz w:val="20"/>
                <w:szCs w:val="20"/>
              </w:rPr>
              <w:t xml:space="preserve">Industry costs </w:t>
            </w:r>
          </w:p>
        </w:tc>
        <w:tc>
          <w:tcPr>
            <w:tcW w:w="1050"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2067A00F" w14:textId="77777777" w:rsidR="00D8365A" w:rsidRPr="00362517" w:rsidRDefault="00D8365A" w:rsidP="00BF6BC7">
            <w:pPr>
              <w:jc w:val="center"/>
              <w:rPr>
                <w:sz w:val="20"/>
                <w:szCs w:val="20"/>
              </w:rPr>
            </w:pPr>
            <w:r w:rsidRPr="00362517">
              <w:rPr>
                <w:sz w:val="20"/>
                <w:szCs w:val="20"/>
              </w:rPr>
              <w:t>2,374</w:t>
            </w:r>
          </w:p>
        </w:tc>
        <w:tc>
          <w:tcPr>
            <w:tcW w:w="636"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42741CF7" w14:textId="77777777" w:rsidR="00D8365A" w:rsidRPr="00362517" w:rsidRDefault="00D8365A" w:rsidP="00BF6BC7">
            <w:pPr>
              <w:jc w:val="center"/>
              <w:rPr>
                <w:sz w:val="20"/>
                <w:szCs w:val="20"/>
              </w:rPr>
            </w:pPr>
            <w:r w:rsidRPr="00362517">
              <w:rPr>
                <w:sz w:val="20"/>
                <w:szCs w:val="20"/>
              </w:rPr>
              <w:t>1,914</w:t>
            </w:r>
          </w:p>
        </w:tc>
        <w:tc>
          <w:tcPr>
            <w:tcW w:w="751" w:type="pct"/>
            <w:tcBorders>
              <w:top w:val="single" w:sz="2" w:space="0" w:color="auto"/>
              <w:left w:val="single" w:sz="2" w:space="0" w:color="auto"/>
              <w:bottom w:val="single" w:sz="2" w:space="0" w:color="auto"/>
              <w:right w:val="single" w:sz="8" w:space="0" w:color="auto"/>
            </w:tcBorders>
            <w:tcMar>
              <w:left w:w="115" w:type="dxa"/>
              <w:right w:w="288" w:type="dxa"/>
            </w:tcMar>
            <w:vAlign w:val="center"/>
          </w:tcPr>
          <w:p w14:paraId="7B880E70" w14:textId="77777777" w:rsidR="00D8365A" w:rsidRPr="00362517" w:rsidRDefault="00D8365A" w:rsidP="00BF6BC7">
            <w:pPr>
              <w:jc w:val="center"/>
              <w:rPr>
                <w:sz w:val="20"/>
                <w:szCs w:val="20"/>
              </w:rPr>
            </w:pPr>
            <w:r w:rsidRPr="00362517">
              <w:rPr>
                <w:sz w:val="20"/>
                <w:szCs w:val="20"/>
              </w:rPr>
              <w:t>289</w:t>
            </w:r>
          </w:p>
        </w:tc>
      </w:tr>
      <w:tr w:rsidR="00D8365A" w:rsidRPr="00362517" w14:paraId="796E2F4A" w14:textId="77777777" w:rsidTr="007A2164">
        <w:trPr>
          <w:trHeight w:val="481"/>
        </w:trPr>
        <w:tc>
          <w:tcPr>
            <w:tcW w:w="1410" w:type="pct"/>
            <w:vMerge/>
            <w:tcBorders>
              <w:left w:val="single" w:sz="8" w:space="0" w:color="auto"/>
              <w:right w:val="single" w:sz="2" w:space="0" w:color="auto"/>
            </w:tcBorders>
            <w:vAlign w:val="center"/>
          </w:tcPr>
          <w:p w14:paraId="4083BD7A" w14:textId="77777777" w:rsidR="00D8365A" w:rsidRPr="00362517" w:rsidRDefault="00D8365A" w:rsidP="00BF6BC7">
            <w:pPr>
              <w:keepNext/>
              <w:keepLines/>
              <w:rPr>
                <w:sz w:val="20"/>
                <w:szCs w:val="20"/>
              </w:rPr>
            </w:pPr>
          </w:p>
        </w:tc>
        <w:tc>
          <w:tcPr>
            <w:tcW w:w="1154" w:type="pct"/>
            <w:tcBorders>
              <w:top w:val="single" w:sz="2" w:space="0" w:color="auto"/>
              <w:left w:val="single" w:sz="2" w:space="0" w:color="auto"/>
              <w:bottom w:val="single" w:sz="2" w:space="0" w:color="auto"/>
              <w:right w:val="single" w:sz="2" w:space="0" w:color="auto"/>
            </w:tcBorders>
            <w:vAlign w:val="center"/>
          </w:tcPr>
          <w:p w14:paraId="1908B881" w14:textId="77777777" w:rsidR="00D8365A" w:rsidRPr="00362517" w:rsidRDefault="00D8365A" w:rsidP="00BF6BC7">
            <w:pPr>
              <w:keepNext/>
              <w:keepLines/>
              <w:rPr>
                <w:sz w:val="20"/>
                <w:szCs w:val="20"/>
              </w:rPr>
            </w:pPr>
            <w:r w:rsidRPr="00362517">
              <w:rPr>
                <w:sz w:val="20"/>
                <w:szCs w:val="20"/>
              </w:rPr>
              <w:t xml:space="preserve">State costs: administer recertification exam or training </w:t>
            </w:r>
          </w:p>
        </w:tc>
        <w:tc>
          <w:tcPr>
            <w:tcW w:w="1050"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7E9AF5C4" w14:textId="77777777" w:rsidR="00D8365A" w:rsidRPr="00362517" w:rsidRDefault="00D8365A" w:rsidP="00BF6BC7">
            <w:pPr>
              <w:jc w:val="center"/>
              <w:rPr>
                <w:sz w:val="20"/>
                <w:szCs w:val="20"/>
              </w:rPr>
            </w:pPr>
            <w:r w:rsidRPr="00362517">
              <w:rPr>
                <w:sz w:val="20"/>
                <w:szCs w:val="20"/>
              </w:rPr>
              <w:t>1,412</w:t>
            </w:r>
          </w:p>
        </w:tc>
        <w:tc>
          <w:tcPr>
            <w:tcW w:w="636"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19D3564B" w14:textId="77777777" w:rsidR="00D8365A" w:rsidRPr="00362517" w:rsidRDefault="00D8365A" w:rsidP="00BF6BC7">
            <w:pPr>
              <w:jc w:val="center"/>
              <w:rPr>
                <w:sz w:val="20"/>
                <w:szCs w:val="20"/>
              </w:rPr>
            </w:pPr>
            <w:r w:rsidRPr="00362517">
              <w:rPr>
                <w:sz w:val="20"/>
                <w:szCs w:val="20"/>
              </w:rPr>
              <w:t>931</w:t>
            </w:r>
          </w:p>
        </w:tc>
        <w:tc>
          <w:tcPr>
            <w:tcW w:w="751" w:type="pct"/>
            <w:tcBorders>
              <w:top w:val="single" w:sz="2" w:space="0" w:color="auto"/>
              <w:left w:val="single" w:sz="2" w:space="0" w:color="auto"/>
              <w:bottom w:val="single" w:sz="2" w:space="0" w:color="auto"/>
              <w:right w:val="single" w:sz="8" w:space="0" w:color="auto"/>
            </w:tcBorders>
            <w:tcMar>
              <w:left w:w="115" w:type="dxa"/>
              <w:right w:w="288" w:type="dxa"/>
            </w:tcMar>
            <w:vAlign w:val="center"/>
          </w:tcPr>
          <w:p w14:paraId="5BA238E9" w14:textId="77777777" w:rsidR="00D8365A" w:rsidRPr="00362517" w:rsidRDefault="00D8365A" w:rsidP="00BF6BC7">
            <w:pPr>
              <w:jc w:val="center"/>
              <w:rPr>
                <w:sz w:val="20"/>
                <w:szCs w:val="20"/>
              </w:rPr>
            </w:pPr>
            <w:r w:rsidRPr="00362517">
              <w:rPr>
                <w:sz w:val="20"/>
                <w:szCs w:val="20"/>
              </w:rPr>
              <w:t>481</w:t>
            </w:r>
          </w:p>
        </w:tc>
      </w:tr>
      <w:tr w:rsidR="00D8365A" w:rsidRPr="00362517" w14:paraId="4F1DCEA4" w14:textId="77777777" w:rsidTr="007A2164">
        <w:trPr>
          <w:trHeight w:val="481"/>
        </w:trPr>
        <w:tc>
          <w:tcPr>
            <w:tcW w:w="1410" w:type="pct"/>
            <w:vMerge w:val="restart"/>
            <w:tcBorders>
              <w:left w:val="single" w:sz="8" w:space="0" w:color="auto"/>
              <w:right w:val="single" w:sz="2" w:space="0" w:color="auto"/>
            </w:tcBorders>
            <w:vAlign w:val="center"/>
          </w:tcPr>
          <w:p w14:paraId="13191243" w14:textId="77777777" w:rsidR="00D8365A" w:rsidRPr="00362517" w:rsidRDefault="00D8365A" w:rsidP="00BF6BC7">
            <w:pPr>
              <w:keepNext/>
              <w:keepLines/>
              <w:rPr>
                <w:sz w:val="20"/>
                <w:szCs w:val="20"/>
              </w:rPr>
            </w:pPr>
            <w:r w:rsidRPr="00362517">
              <w:rPr>
                <w:sz w:val="20"/>
                <w:szCs w:val="20"/>
              </w:rPr>
              <w:t>Exam or six-hour training for commercial non-soil fumigation category recertification (every five years)</w:t>
            </w:r>
          </w:p>
        </w:tc>
        <w:tc>
          <w:tcPr>
            <w:tcW w:w="1154" w:type="pct"/>
            <w:tcBorders>
              <w:top w:val="single" w:sz="2" w:space="0" w:color="auto"/>
              <w:left w:val="single" w:sz="2" w:space="0" w:color="auto"/>
              <w:bottom w:val="single" w:sz="2" w:space="0" w:color="auto"/>
              <w:right w:val="single" w:sz="2" w:space="0" w:color="auto"/>
            </w:tcBorders>
            <w:vAlign w:val="center"/>
          </w:tcPr>
          <w:p w14:paraId="43DE48DD" w14:textId="77777777" w:rsidR="00D8365A" w:rsidRPr="00362517" w:rsidRDefault="00D8365A" w:rsidP="00BF6BC7">
            <w:pPr>
              <w:keepNext/>
              <w:keepLines/>
              <w:rPr>
                <w:sz w:val="20"/>
                <w:szCs w:val="20"/>
              </w:rPr>
            </w:pPr>
            <w:r w:rsidRPr="00362517">
              <w:rPr>
                <w:sz w:val="20"/>
                <w:szCs w:val="20"/>
              </w:rPr>
              <w:t xml:space="preserve">Industry costs </w:t>
            </w:r>
          </w:p>
        </w:tc>
        <w:tc>
          <w:tcPr>
            <w:tcW w:w="1050"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419E2CCA" w14:textId="77777777" w:rsidR="00D8365A" w:rsidRPr="00362517" w:rsidRDefault="00D8365A" w:rsidP="00BF6BC7">
            <w:pPr>
              <w:jc w:val="center"/>
              <w:rPr>
                <w:sz w:val="20"/>
                <w:szCs w:val="20"/>
              </w:rPr>
            </w:pPr>
            <w:r w:rsidRPr="00362517">
              <w:rPr>
                <w:bCs/>
                <w:sz w:val="20"/>
                <w:szCs w:val="20"/>
              </w:rPr>
              <w:t>933</w:t>
            </w:r>
          </w:p>
        </w:tc>
        <w:tc>
          <w:tcPr>
            <w:tcW w:w="636"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6C290770" w14:textId="77777777" w:rsidR="00D8365A" w:rsidRPr="00362517" w:rsidRDefault="00D8365A" w:rsidP="00BF6BC7">
            <w:pPr>
              <w:jc w:val="center"/>
              <w:rPr>
                <w:sz w:val="20"/>
                <w:szCs w:val="20"/>
              </w:rPr>
            </w:pPr>
            <w:r w:rsidRPr="00362517">
              <w:rPr>
                <w:bCs/>
                <w:sz w:val="20"/>
                <w:szCs w:val="20"/>
              </w:rPr>
              <w:t>776</w:t>
            </w:r>
          </w:p>
        </w:tc>
        <w:tc>
          <w:tcPr>
            <w:tcW w:w="751" w:type="pct"/>
            <w:tcBorders>
              <w:top w:val="single" w:sz="2" w:space="0" w:color="auto"/>
              <w:left w:val="single" w:sz="2" w:space="0" w:color="auto"/>
              <w:bottom w:val="single" w:sz="2" w:space="0" w:color="auto"/>
              <w:right w:val="single" w:sz="8" w:space="0" w:color="auto"/>
            </w:tcBorders>
            <w:tcMar>
              <w:left w:w="115" w:type="dxa"/>
              <w:right w:w="288" w:type="dxa"/>
            </w:tcMar>
            <w:vAlign w:val="center"/>
          </w:tcPr>
          <w:p w14:paraId="7D0F4D84" w14:textId="77777777" w:rsidR="00D8365A" w:rsidRPr="00362517" w:rsidRDefault="00D8365A" w:rsidP="00BF6BC7">
            <w:pPr>
              <w:jc w:val="center"/>
              <w:rPr>
                <w:sz w:val="20"/>
                <w:szCs w:val="20"/>
              </w:rPr>
            </w:pPr>
            <w:r w:rsidRPr="00362517">
              <w:rPr>
                <w:bCs/>
                <w:sz w:val="20"/>
                <w:szCs w:val="20"/>
              </w:rPr>
              <w:t>157</w:t>
            </w:r>
          </w:p>
        </w:tc>
      </w:tr>
      <w:tr w:rsidR="00D8365A" w:rsidRPr="00362517" w14:paraId="1F70C3DD" w14:textId="77777777" w:rsidTr="007A2164">
        <w:trPr>
          <w:trHeight w:val="481"/>
        </w:trPr>
        <w:tc>
          <w:tcPr>
            <w:tcW w:w="1410" w:type="pct"/>
            <w:vMerge/>
            <w:tcBorders>
              <w:left w:val="single" w:sz="8" w:space="0" w:color="auto"/>
              <w:right w:val="single" w:sz="2" w:space="0" w:color="auto"/>
            </w:tcBorders>
            <w:vAlign w:val="center"/>
          </w:tcPr>
          <w:p w14:paraId="458D5600" w14:textId="77777777" w:rsidR="00D8365A" w:rsidRPr="00362517" w:rsidRDefault="00D8365A" w:rsidP="00BF6BC7">
            <w:pPr>
              <w:keepNext/>
              <w:keepLines/>
              <w:rPr>
                <w:sz w:val="20"/>
                <w:szCs w:val="20"/>
              </w:rPr>
            </w:pPr>
          </w:p>
        </w:tc>
        <w:tc>
          <w:tcPr>
            <w:tcW w:w="1154" w:type="pct"/>
            <w:tcBorders>
              <w:top w:val="single" w:sz="2" w:space="0" w:color="auto"/>
              <w:left w:val="single" w:sz="2" w:space="0" w:color="auto"/>
              <w:bottom w:val="single" w:sz="2" w:space="0" w:color="auto"/>
              <w:right w:val="single" w:sz="2" w:space="0" w:color="auto"/>
            </w:tcBorders>
            <w:vAlign w:val="center"/>
          </w:tcPr>
          <w:p w14:paraId="5A291178" w14:textId="77777777" w:rsidR="00D8365A" w:rsidRPr="00362517" w:rsidRDefault="00D8365A" w:rsidP="00BF6BC7">
            <w:pPr>
              <w:keepNext/>
              <w:keepLines/>
              <w:rPr>
                <w:sz w:val="20"/>
                <w:szCs w:val="20"/>
              </w:rPr>
            </w:pPr>
            <w:r w:rsidRPr="00362517">
              <w:rPr>
                <w:sz w:val="20"/>
                <w:szCs w:val="20"/>
              </w:rPr>
              <w:t>State costs: administer recertification exam or training</w:t>
            </w:r>
          </w:p>
        </w:tc>
        <w:tc>
          <w:tcPr>
            <w:tcW w:w="1050"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74900FC4" w14:textId="77777777" w:rsidR="00D8365A" w:rsidRPr="00362517" w:rsidRDefault="00D8365A" w:rsidP="00BF6BC7">
            <w:pPr>
              <w:jc w:val="center"/>
              <w:rPr>
                <w:sz w:val="20"/>
                <w:szCs w:val="20"/>
              </w:rPr>
            </w:pPr>
            <w:r w:rsidRPr="00362517">
              <w:rPr>
                <w:bCs/>
                <w:sz w:val="20"/>
                <w:szCs w:val="20"/>
              </w:rPr>
              <w:t>2,180</w:t>
            </w:r>
          </w:p>
        </w:tc>
        <w:tc>
          <w:tcPr>
            <w:tcW w:w="636"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55B9D6FA" w14:textId="77777777" w:rsidR="00D8365A" w:rsidRPr="00362517" w:rsidRDefault="00D8365A" w:rsidP="00BF6BC7">
            <w:pPr>
              <w:jc w:val="center"/>
              <w:rPr>
                <w:sz w:val="20"/>
                <w:szCs w:val="20"/>
              </w:rPr>
            </w:pPr>
            <w:r w:rsidRPr="00362517">
              <w:rPr>
                <w:bCs/>
                <w:sz w:val="20"/>
                <w:szCs w:val="20"/>
              </w:rPr>
              <w:t>1,051</w:t>
            </w:r>
          </w:p>
        </w:tc>
        <w:tc>
          <w:tcPr>
            <w:tcW w:w="751" w:type="pct"/>
            <w:tcBorders>
              <w:top w:val="single" w:sz="2" w:space="0" w:color="auto"/>
              <w:left w:val="single" w:sz="2" w:space="0" w:color="auto"/>
              <w:bottom w:val="single" w:sz="2" w:space="0" w:color="auto"/>
              <w:right w:val="single" w:sz="8" w:space="0" w:color="auto"/>
            </w:tcBorders>
            <w:tcMar>
              <w:left w:w="115" w:type="dxa"/>
              <w:right w:w="288" w:type="dxa"/>
            </w:tcMar>
            <w:vAlign w:val="center"/>
          </w:tcPr>
          <w:p w14:paraId="55790990" w14:textId="77777777" w:rsidR="00D8365A" w:rsidRPr="00362517" w:rsidRDefault="00D8365A" w:rsidP="00BF6BC7">
            <w:pPr>
              <w:jc w:val="center"/>
              <w:rPr>
                <w:sz w:val="20"/>
                <w:szCs w:val="20"/>
              </w:rPr>
            </w:pPr>
            <w:r w:rsidRPr="00362517">
              <w:rPr>
                <w:bCs/>
                <w:sz w:val="20"/>
                <w:szCs w:val="20"/>
              </w:rPr>
              <w:t>1,129</w:t>
            </w:r>
          </w:p>
        </w:tc>
      </w:tr>
      <w:tr w:rsidR="00D8365A" w:rsidRPr="00362517" w14:paraId="36043F1D" w14:textId="77777777" w:rsidTr="007A2164">
        <w:trPr>
          <w:trHeight w:val="481"/>
        </w:trPr>
        <w:tc>
          <w:tcPr>
            <w:tcW w:w="5000" w:type="pct"/>
            <w:gridSpan w:val="5"/>
            <w:tcBorders>
              <w:left w:val="single" w:sz="8" w:space="0" w:color="auto"/>
              <w:right w:val="single" w:sz="8" w:space="0" w:color="auto"/>
            </w:tcBorders>
            <w:vAlign w:val="center"/>
          </w:tcPr>
          <w:p w14:paraId="4416B400" w14:textId="77777777" w:rsidR="00D8365A" w:rsidRPr="00362517" w:rsidRDefault="00D8365A" w:rsidP="00BF6BC7">
            <w:pPr>
              <w:jc w:val="center"/>
              <w:rPr>
                <w:bCs/>
                <w:sz w:val="20"/>
                <w:szCs w:val="20"/>
              </w:rPr>
            </w:pPr>
            <w:r w:rsidRPr="00362517">
              <w:rPr>
                <w:sz w:val="20"/>
                <w:szCs w:val="20"/>
              </w:rPr>
              <w:t>Private Applicators</w:t>
            </w:r>
          </w:p>
        </w:tc>
      </w:tr>
      <w:tr w:rsidR="00D8365A" w:rsidRPr="00362517" w14:paraId="058F84DF" w14:textId="77777777" w:rsidTr="007A2164">
        <w:trPr>
          <w:trHeight w:val="481"/>
        </w:trPr>
        <w:tc>
          <w:tcPr>
            <w:tcW w:w="1410" w:type="pct"/>
            <w:vMerge w:val="restart"/>
            <w:tcBorders>
              <w:left w:val="single" w:sz="8" w:space="0" w:color="auto"/>
              <w:right w:val="single" w:sz="2" w:space="0" w:color="auto"/>
            </w:tcBorders>
            <w:vAlign w:val="center"/>
          </w:tcPr>
          <w:p w14:paraId="5BF61094" w14:textId="77777777" w:rsidR="00D8365A" w:rsidRPr="00362517" w:rsidRDefault="00D8365A" w:rsidP="00BF6BC7">
            <w:pPr>
              <w:keepNext/>
              <w:keepLines/>
              <w:rPr>
                <w:sz w:val="20"/>
                <w:szCs w:val="20"/>
              </w:rPr>
            </w:pPr>
            <w:r w:rsidRPr="00362517">
              <w:rPr>
                <w:sz w:val="20"/>
                <w:szCs w:val="20"/>
              </w:rPr>
              <w:t xml:space="preserve">Exam or 6-hour training for private general competency recertification every five years </w:t>
            </w:r>
          </w:p>
        </w:tc>
        <w:tc>
          <w:tcPr>
            <w:tcW w:w="1154" w:type="pct"/>
            <w:tcBorders>
              <w:top w:val="single" w:sz="2" w:space="0" w:color="auto"/>
              <w:left w:val="single" w:sz="2" w:space="0" w:color="auto"/>
              <w:bottom w:val="single" w:sz="2" w:space="0" w:color="auto"/>
              <w:right w:val="single" w:sz="2" w:space="0" w:color="auto"/>
            </w:tcBorders>
            <w:vAlign w:val="center"/>
          </w:tcPr>
          <w:p w14:paraId="09E6DDD4" w14:textId="77777777" w:rsidR="00D8365A" w:rsidRPr="00362517" w:rsidRDefault="00D8365A" w:rsidP="00BF6BC7">
            <w:pPr>
              <w:keepNext/>
              <w:keepLines/>
              <w:rPr>
                <w:sz w:val="20"/>
                <w:szCs w:val="20"/>
              </w:rPr>
            </w:pPr>
            <w:r w:rsidRPr="00362517">
              <w:rPr>
                <w:sz w:val="20"/>
                <w:szCs w:val="20"/>
              </w:rPr>
              <w:t xml:space="preserve">Industry costs </w:t>
            </w:r>
          </w:p>
        </w:tc>
        <w:tc>
          <w:tcPr>
            <w:tcW w:w="1050"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78D8BC3E" w14:textId="77777777" w:rsidR="00D8365A" w:rsidRPr="00362517" w:rsidRDefault="00D8365A" w:rsidP="00BF6BC7">
            <w:pPr>
              <w:jc w:val="center"/>
              <w:rPr>
                <w:bCs/>
                <w:sz w:val="20"/>
                <w:szCs w:val="20"/>
              </w:rPr>
            </w:pPr>
            <w:r w:rsidRPr="00362517">
              <w:rPr>
                <w:sz w:val="20"/>
                <w:szCs w:val="20"/>
              </w:rPr>
              <w:t>10,152</w:t>
            </w:r>
          </w:p>
        </w:tc>
        <w:tc>
          <w:tcPr>
            <w:tcW w:w="636"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2DBA9980" w14:textId="77777777" w:rsidR="00D8365A" w:rsidRPr="00362517" w:rsidRDefault="00D8365A" w:rsidP="00BF6BC7">
            <w:pPr>
              <w:jc w:val="center"/>
              <w:rPr>
                <w:bCs/>
                <w:sz w:val="20"/>
                <w:szCs w:val="20"/>
              </w:rPr>
            </w:pPr>
            <w:r w:rsidRPr="00362517">
              <w:rPr>
                <w:sz w:val="20"/>
                <w:szCs w:val="20"/>
              </w:rPr>
              <w:t>7,199</w:t>
            </w:r>
          </w:p>
        </w:tc>
        <w:tc>
          <w:tcPr>
            <w:tcW w:w="751" w:type="pct"/>
            <w:tcBorders>
              <w:top w:val="single" w:sz="2" w:space="0" w:color="auto"/>
              <w:left w:val="single" w:sz="2" w:space="0" w:color="auto"/>
              <w:bottom w:val="single" w:sz="2" w:space="0" w:color="auto"/>
              <w:right w:val="single" w:sz="8" w:space="0" w:color="auto"/>
            </w:tcBorders>
            <w:tcMar>
              <w:left w:w="115" w:type="dxa"/>
              <w:right w:w="288" w:type="dxa"/>
            </w:tcMar>
            <w:vAlign w:val="center"/>
          </w:tcPr>
          <w:p w14:paraId="6A9F8A74" w14:textId="77777777" w:rsidR="00D8365A" w:rsidRPr="00362517" w:rsidRDefault="00D8365A" w:rsidP="00BF6BC7">
            <w:pPr>
              <w:jc w:val="center"/>
              <w:rPr>
                <w:bCs/>
                <w:sz w:val="20"/>
                <w:szCs w:val="20"/>
              </w:rPr>
            </w:pPr>
            <w:r w:rsidRPr="00362517">
              <w:rPr>
                <w:sz w:val="20"/>
                <w:szCs w:val="20"/>
              </w:rPr>
              <w:t>2,952</w:t>
            </w:r>
          </w:p>
        </w:tc>
      </w:tr>
      <w:tr w:rsidR="00D8365A" w:rsidRPr="00362517" w14:paraId="11A7B5EC" w14:textId="77777777" w:rsidTr="007A2164">
        <w:trPr>
          <w:trHeight w:val="481"/>
        </w:trPr>
        <w:tc>
          <w:tcPr>
            <w:tcW w:w="1410" w:type="pct"/>
            <w:vMerge/>
            <w:tcBorders>
              <w:left w:val="single" w:sz="8" w:space="0" w:color="auto"/>
              <w:right w:val="single" w:sz="2" w:space="0" w:color="auto"/>
            </w:tcBorders>
            <w:vAlign w:val="center"/>
          </w:tcPr>
          <w:p w14:paraId="6DE914BC" w14:textId="77777777" w:rsidR="00D8365A" w:rsidRPr="00362517" w:rsidRDefault="00D8365A" w:rsidP="00BF6BC7">
            <w:pPr>
              <w:keepNext/>
              <w:keepLines/>
              <w:rPr>
                <w:sz w:val="20"/>
                <w:szCs w:val="20"/>
              </w:rPr>
            </w:pPr>
          </w:p>
        </w:tc>
        <w:tc>
          <w:tcPr>
            <w:tcW w:w="1154" w:type="pct"/>
            <w:tcBorders>
              <w:top w:val="single" w:sz="2" w:space="0" w:color="auto"/>
              <w:left w:val="single" w:sz="2" w:space="0" w:color="auto"/>
              <w:bottom w:val="single" w:sz="2" w:space="0" w:color="auto"/>
              <w:right w:val="single" w:sz="2" w:space="0" w:color="auto"/>
            </w:tcBorders>
            <w:vAlign w:val="center"/>
          </w:tcPr>
          <w:p w14:paraId="21CD5334" w14:textId="77777777" w:rsidR="00D8365A" w:rsidRPr="00362517" w:rsidRDefault="00D8365A" w:rsidP="00BF6BC7">
            <w:pPr>
              <w:keepNext/>
              <w:keepLines/>
              <w:rPr>
                <w:sz w:val="20"/>
                <w:szCs w:val="20"/>
              </w:rPr>
            </w:pPr>
            <w:r w:rsidRPr="00362517">
              <w:rPr>
                <w:sz w:val="20"/>
                <w:szCs w:val="20"/>
              </w:rPr>
              <w:t xml:space="preserve">State costs: administer recertification exam or training </w:t>
            </w:r>
          </w:p>
        </w:tc>
        <w:tc>
          <w:tcPr>
            <w:tcW w:w="1050"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5CFDC2BD" w14:textId="77777777" w:rsidR="00D8365A" w:rsidRPr="00362517" w:rsidRDefault="00D8365A" w:rsidP="00BF6BC7">
            <w:pPr>
              <w:jc w:val="center"/>
              <w:rPr>
                <w:bCs/>
                <w:sz w:val="20"/>
                <w:szCs w:val="20"/>
              </w:rPr>
            </w:pPr>
            <w:r w:rsidRPr="00362517">
              <w:rPr>
                <w:sz w:val="20"/>
                <w:szCs w:val="20"/>
              </w:rPr>
              <w:t>974</w:t>
            </w:r>
          </w:p>
        </w:tc>
        <w:tc>
          <w:tcPr>
            <w:tcW w:w="636"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0E24A621" w14:textId="77777777" w:rsidR="00D8365A" w:rsidRPr="00362517" w:rsidRDefault="00D8365A" w:rsidP="00BF6BC7">
            <w:pPr>
              <w:jc w:val="center"/>
              <w:rPr>
                <w:bCs/>
                <w:sz w:val="20"/>
                <w:szCs w:val="20"/>
              </w:rPr>
            </w:pPr>
            <w:r w:rsidRPr="00362517">
              <w:rPr>
                <w:sz w:val="20"/>
                <w:szCs w:val="20"/>
              </w:rPr>
              <w:t>616</w:t>
            </w:r>
          </w:p>
        </w:tc>
        <w:tc>
          <w:tcPr>
            <w:tcW w:w="751" w:type="pct"/>
            <w:tcBorders>
              <w:top w:val="single" w:sz="2" w:space="0" w:color="auto"/>
              <w:left w:val="single" w:sz="2" w:space="0" w:color="auto"/>
              <w:bottom w:val="single" w:sz="2" w:space="0" w:color="auto"/>
              <w:right w:val="single" w:sz="8" w:space="0" w:color="auto"/>
            </w:tcBorders>
            <w:tcMar>
              <w:left w:w="115" w:type="dxa"/>
              <w:right w:w="288" w:type="dxa"/>
            </w:tcMar>
            <w:vAlign w:val="center"/>
          </w:tcPr>
          <w:p w14:paraId="2F05EED2" w14:textId="77777777" w:rsidR="00D8365A" w:rsidRPr="00362517" w:rsidRDefault="00D8365A" w:rsidP="00BF6BC7">
            <w:pPr>
              <w:jc w:val="center"/>
              <w:rPr>
                <w:bCs/>
                <w:sz w:val="20"/>
                <w:szCs w:val="20"/>
              </w:rPr>
            </w:pPr>
            <w:r w:rsidRPr="00362517">
              <w:rPr>
                <w:sz w:val="20"/>
                <w:szCs w:val="20"/>
              </w:rPr>
              <w:t>358</w:t>
            </w:r>
          </w:p>
        </w:tc>
      </w:tr>
      <w:tr w:rsidR="00D8365A" w:rsidRPr="00362517" w14:paraId="2842FE03" w14:textId="77777777" w:rsidTr="007A2164">
        <w:trPr>
          <w:trHeight w:val="481"/>
        </w:trPr>
        <w:tc>
          <w:tcPr>
            <w:tcW w:w="1410" w:type="pct"/>
            <w:vMerge w:val="restart"/>
            <w:tcBorders>
              <w:left w:val="single" w:sz="8" w:space="0" w:color="auto"/>
              <w:right w:val="single" w:sz="2" w:space="0" w:color="auto"/>
            </w:tcBorders>
            <w:vAlign w:val="center"/>
          </w:tcPr>
          <w:p w14:paraId="69FAEB16" w14:textId="77777777" w:rsidR="00D8365A" w:rsidRPr="00362517" w:rsidRDefault="00D8365A" w:rsidP="00BF6BC7">
            <w:pPr>
              <w:keepNext/>
              <w:keepLines/>
              <w:rPr>
                <w:sz w:val="20"/>
                <w:szCs w:val="20"/>
              </w:rPr>
            </w:pPr>
            <w:r w:rsidRPr="00362517">
              <w:rPr>
                <w:sz w:val="20"/>
                <w:szCs w:val="20"/>
              </w:rPr>
              <w:t xml:space="preserve">Exam or 3-hour training for  aerial category recertification every five years </w:t>
            </w:r>
          </w:p>
        </w:tc>
        <w:tc>
          <w:tcPr>
            <w:tcW w:w="1154" w:type="pct"/>
            <w:tcBorders>
              <w:top w:val="single" w:sz="2" w:space="0" w:color="auto"/>
              <w:left w:val="single" w:sz="2" w:space="0" w:color="auto"/>
              <w:bottom w:val="single" w:sz="2" w:space="0" w:color="auto"/>
              <w:right w:val="single" w:sz="2" w:space="0" w:color="auto"/>
            </w:tcBorders>
            <w:vAlign w:val="center"/>
          </w:tcPr>
          <w:p w14:paraId="5A19885A" w14:textId="77777777" w:rsidR="00D8365A" w:rsidRPr="00362517" w:rsidRDefault="00D8365A" w:rsidP="00BF6BC7">
            <w:pPr>
              <w:keepNext/>
              <w:keepLines/>
              <w:rPr>
                <w:sz w:val="20"/>
                <w:szCs w:val="20"/>
              </w:rPr>
            </w:pPr>
            <w:r w:rsidRPr="00362517">
              <w:rPr>
                <w:sz w:val="20"/>
                <w:szCs w:val="20"/>
              </w:rPr>
              <w:t xml:space="preserve">Industry costs </w:t>
            </w:r>
          </w:p>
        </w:tc>
        <w:tc>
          <w:tcPr>
            <w:tcW w:w="1050"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2090CAFA" w14:textId="77777777" w:rsidR="00D8365A" w:rsidRPr="00362517" w:rsidRDefault="00D8365A" w:rsidP="00BF6BC7">
            <w:pPr>
              <w:jc w:val="center"/>
              <w:rPr>
                <w:sz w:val="20"/>
                <w:szCs w:val="20"/>
              </w:rPr>
            </w:pPr>
            <w:r w:rsidRPr="00362517">
              <w:rPr>
                <w:sz w:val="20"/>
                <w:szCs w:val="20"/>
              </w:rPr>
              <w:t>2</w:t>
            </w:r>
          </w:p>
        </w:tc>
        <w:tc>
          <w:tcPr>
            <w:tcW w:w="636"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6DC789F9" w14:textId="77777777" w:rsidR="00D8365A" w:rsidRPr="00362517" w:rsidRDefault="00D8365A" w:rsidP="00BF6BC7">
            <w:pPr>
              <w:jc w:val="center"/>
              <w:rPr>
                <w:sz w:val="20"/>
                <w:szCs w:val="20"/>
              </w:rPr>
            </w:pPr>
            <w:r w:rsidRPr="00362517">
              <w:rPr>
                <w:sz w:val="20"/>
                <w:szCs w:val="20"/>
              </w:rPr>
              <w:t>0</w:t>
            </w:r>
          </w:p>
        </w:tc>
        <w:tc>
          <w:tcPr>
            <w:tcW w:w="751" w:type="pct"/>
            <w:tcBorders>
              <w:top w:val="single" w:sz="2" w:space="0" w:color="auto"/>
              <w:left w:val="single" w:sz="2" w:space="0" w:color="auto"/>
              <w:bottom w:val="single" w:sz="2" w:space="0" w:color="auto"/>
              <w:right w:val="single" w:sz="8" w:space="0" w:color="auto"/>
            </w:tcBorders>
            <w:tcMar>
              <w:left w:w="115" w:type="dxa"/>
              <w:right w:w="288" w:type="dxa"/>
            </w:tcMar>
            <w:vAlign w:val="center"/>
          </w:tcPr>
          <w:p w14:paraId="1B04F54B" w14:textId="77777777" w:rsidR="00D8365A" w:rsidRPr="00362517" w:rsidRDefault="00D8365A" w:rsidP="00BF6BC7">
            <w:pPr>
              <w:jc w:val="center"/>
              <w:rPr>
                <w:sz w:val="20"/>
                <w:szCs w:val="20"/>
              </w:rPr>
            </w:pPr>
            <w:r w:rsidRPr="00362517">
              <w:rPr>
                <w:sz w:val="20"/>
                <w:szCs w:val="20"/>
              </w:rPr>
              <w:t>2</w:t>
            </w:r>
          </w:p>
        </w:tc>
      </w:tr>
      <w:tr w:rsidR="00D8365A" w:rsidRPr="00362517" w14:paraId="592DEC83" w14:textId="77777777" w:rsidTr="007A2164">
        <w:trPr>
          <w:trHeight w:val="481"/>
        </w:trPr>
        <w:tc>
          <w:tcPr>
            <w:tcW w:w="1410" w:type="pct"/>
            <w:vMerge/>
            <w:tcBorders>
              <w:left w:val="single" w:sz="8" w:space="0" w:color="auto"/>
              <w:right w:val="single" w:sz="2" w:space="0" w:color="auto"/>
            </w:tcBorders>
            <w:vAlign w:val="center"/>
          </w:tcPr>
          <w:p w14:paraId="2D1782AC" w14:textId="77777777" w:rsidR="00D8365A" w:rsidRPr="00362517" w:rsidRDefault="00D8365A" w:rsidP="00BF6BC7">
            <w:pPr>
              <w:keepNext/>
              <w:keepLines/>
              <w:rPr>
                <w:sz w:val="20"/>
                <w:szCs w:val="20"/>
              </w:rPr>
            </w:pPr>
          </w:p>
        </w:tc>
        <w:tc>
          <w:tcPr>
            <w:tcW w:w="1154" w:type="pct"/>
            <w:tcBorders>
              <w:top w:val="single" w:sz="2" w:space="0" w:color="auto"/>
              <w:left w:val="single" w:sz="2" w:space="0" w:color="auto"/>
              <w:bottom w:val="single" w:sz="2" w:space="0" w:color="auto"/>
              <w:right w:val="single" w:sz="2" w:space="0" w:color="auto"/>
            </w:tcBorders>
            <w:vAlign w:val="center"/>
          </w:tcPr>
          <w:p w14:paraId="79FCC231" w14:textId="77777777" w:rsidR="00D8365A" w:rsidRPr="00362517" w:rsidRDefault="00D8365A" w:rsidP="00BF6BC7">
            <w:pPr>
              <w:keepNext/>
              <w:keepLines/>
              <w:rPr>
                <w:sz w:val="20"/>
                <w:szCs w:val="20"/>
              </w:rPr>
            </w:pPr>
            <w:r w:rsidRPr="00362517">
              <w:rPr>
                <w:sz w:val="20"/>
                <w:szCs w:val="20"/>
              </w:rPr>
              <w:t xml:space="preserve">State costs: administer recertification exam or verify recertification training </w:t>
            </w:r>
          </w:p>
        </w:tc>
        <w:tc>
          <w:tcPr>
            <w:tcW w:w="1050"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70B2DD77" w14:textId="77777777" w:rsidR="00D8365A" w:rsidRPr="00362517" w:rsidRDefault="00D8365A" w:rsidP="00BF6BC7">
            <w:pPr>
              <w:jc w:val="center"/>
              <w:rPr>
                <w:sz w:val="20"/>
                <w:szCs w:val="20"/>
              </w:rPr>
            </w:pPr>
            <w:r w:rsidRPr="00362517">
              <w:rPr>
                <w:sz w:val="20"/>
                <w:szCs w:val="20"/>
              </w:rPr>
              <w:t>3</w:t>
            </w:r>
          </w:p>
        </w:tc>
        <w:tc>
          <w:tcPr>
            <w:tcW w:w="636"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18E70E40" w14:textId="77777777" w:rsidR="00D8365A" w:rsidRPr="00362517" w:rsidRDefault="00D8365A" w:rsidP="00BF6BC7">
            <w:pPr>
              <w:jc w:val="center"/>
              <w:rPr>
                <w:sz w:val="20"/>
                <w:szCs w:val="20"/>
              </w:rPr>
            </w:pPr>
            <w:r w:rsidRPr="00362517">
              <w:rPr>
                <w:sz w:val="20"/>
                <w:szCs w:val="20"/>
              </w:rPr>
              <w:t>0</w:t>
            </w:r>
          </w:p>
        </w:tc>
        <w:tc>
          <w:tcPr>
            <w:tcW w:w="751" w:type="pct"/>
            <w:tcBorders>
              <w:top w:val="single" w:sz="2" w:space="0" w:color="auto"/>
              <w:left w:val="single" w:sz="2" w:space="0" w:color="auto"/>
              <w:bottom w:val="single" w:sz="2" w:space="0" w:color="auto"/>
              <w:right w:val="single" w:sz="8" w:space="0" w:color="auto"/>
            </w:tcBorders>
            <w:tcMar>
              <w:left w:w="115" w:type="dxa"/>
              <w:right w:w="288" w:type="dxa"/>
            </w:tcMar>
            <w:vAlign w:val="center"/>
          </w:tcPr>
          <w:p w14:paraId="731A7601" w14:textId="77777777" w:rsidR="00D8365A" w:rsidRPr="00362517" w:rsidRDefault="00D8365A" w:rsidP="00BF6BC7">
            <w:pPr>
              <w:jc w:val="center"/>
              <w:rPr>
                <w:sz w:val="20"/>
                <w:szCs w:val="20"/>
              </w:rPr>
            </w:pPr>
            <w:r w:rsidRPr="00362517">
              <w:rPr>
                <w:sz w:val="20"/>
                <w:szCs w:val="20"/>
              </w:rPr>
              <w:t>3</w:t>
            </w:r>
          </w:p>
        </w:tc>
      </w:tr>
      <w:tr w:rsidR="00D8365A" w:rsidRPr="00362517" w14:paraId="6C23DEA3" w14:textId="77777777" w:rsidTr="007A2164">
        <w:trPr>
          <w:trHeight w:val="481"/>
        </w:trPr>
        <w:tc>
          <w:tcPr>
            <w:tcW w:w="1410" w:type="pct"/>
            <w:vMerge w:val="restart"/>
            <w:tcBorders>
              <w:left w:val="single" w:sz="8" w:space="0" w:color="auto"/>
              <w:right w:val="single" w:sz="2" w:space="0" w:color="auto"/>
            </w:tcBorders>
            <w:vAlign w:val="center"/>
          </w:tcPr>
          <w:p w14:paraId="51D74A03" w14:textId="77777777" w:rsidR="00D8365A" w:rsidRPr="00362517" w:rsidRDefault="00D8365A" w:rsidP="00BF6BC7">
            <w:pPr>
              <w:keepNext/>
              <w:keepLines/>
              <w:rPr>
                <w:sz w:val="20"/>
                <w:szCs w:val="20"/>
              </w:rPr>
            </w:pPr>
            <w:r w:rsidRPr="00362517">
              <w:rPr>
                <w:sz w:val="20"/>
                <w:szCs w:val="20"/>
              </w:rPr>
              <w:t xml:space="preserve">Exam or 3-hour training for non-soil fumigation category recertification every five years </w:t>
            </w:r>
          </w:p>
        </w:tc>
        <w:tc>
          <w:tcPr>
            <w:tcW w:w="1154" w:type="pct"/>
            <w:tcBorders>
              <w:top w:val="single" w:sz="2" w:space="0" w:color="auto"/>
              <w:left w:val="single" w:sz="2" w:space="0" w:color="auto"/>
              <w:bottom w:val="single" w:sz="2" w:space="0" w:color="auto"/>
              <w:right w:val="single" w:sz="2" w:space="0" w:color="auto"/>
            </w:tcBorders>
            <w:vAlign w:val="center"/>
          </w:tcPr>
          <w:p w14:paraId="4B3F288F" w14:textId="77777777" w:rsidR="00D8365A" w:rsidRPr="00362517" w:rsidRDefault="00D8365A" w:rsidP="00BF6BC7">
            <w:pPr>
              <w:keepNext/>
              <w:keepLines/>
              <w:rPr>
                <w:sz w:val="20"/>
                <w:szCs w:val="20"/>
              </w:rPr>
            </w:pPr>
            <w:r w:rsidRPr="00362517">
              <w:rPr>
                <w:sz w:val="20"/>
                <w:szCs w:val="20"/>
              </w:rPr>
              <w:t xml:space="preserve">Industry costs </w:t>
            </w:r>
          </w:p>
        </w:tc>
        <w:tc>
          <w:tcPr>
            <w:tcW w:w="1050"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5103DD20" w14:textId="77777777" w:rsidR="00D8365A" w:rsidRPr="00362517" w:rsidRDefault="00D8365A" w:rsidP="00BF6BC7">
            <w:pPr>
              <w:jc w:val="center"/>
              <w:rPr>
                <w:sz w:val="20"/>
                <w:szCs w:val="20"/>
              </w:rPr>
            </w:pPr>
            <w:r w:rsidRPr="00362517">
              <w:rPr>
                <w:bCs/>
                <w:sz w:val="20"/>
                <w:szCs w:val="20"/>
              </w:rPr>
              <w:t>245</w:t>
            </w:r>
          </w:p>
        </w:tc>
        <w:tc>
          <w:tcPr>
            <w:tcW w:w="636"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1C46F30A" w14:textId="77777777" w:rsidR="00D8365A" w:rsidRPr="00362517" w:rsidRDefault="00D8365A" w:rsidP="00BF6BC7">
            <w:pPr>
              <w:jc w:val="center"/>
              <w:rPr>
                <w:sz w:val="20"/>
                <w:szCs w:val="20"/>
              </w:rPr>
            </w:pPr>
            <w:r w:rsidRPr="00362517">
              <w:rPr>
                <w:bCs/>
                <w:sz w:val="20"/>
                <w:szCs w:val="20"/>
              </w:rPr>
              <w:t>150</w:t>
            </w:r>
          </w:p>
        </w:tc>
        <w:tc>
          <w:tcPr>
            <w:tcW w:w="751" w:type="pct"/>
            <w:tcBorders>
              <w:top w:val="single" w:sz="2" w:space="0" w:color="auto"/>
              <w:left w:val="single" w:sz="2" w:space="0" w:color="auto"/>
              <w:bottom w:val="single" w:sz="2" w:space="0" w:color="auto"/>
              <w:right w:val="single" w:sz="8" w:space="0" w:color="auto"/>
            </w:tcBorders>
            <w:tcMar>
              <w:left w:w="115" w:type="dxa"/>
              <w:right w:w="288" w:type="dxa"/>
            </w:tcMar>
            <w:vAlign w:val="center"/>
          </w:tcPr>
          <w:p w14:paraId="68E67503" w14:textId="77777777" w:rsidR="00D8365A" w:rsidRPr="00362517" w:rsidRDefault="00D8365A" w:rsidP="00BF6BC7">
            <w:pPr>
              <w:jc w:val="center"/>
              <w:rPr>
                <w:sz w:val="20"/>
                <w:szCs w:val="20"/>
              </w:rPr>
            </w:pPr>
            <w:r w:rsidRPr="00362517">
              <w:rPr>
                <w:bCs/>
                <w:sz w:val="20"/>
                <w:szCs w:val="20"/>
              </w:rPr>
              <w:t>95</w:t>
            </w:r>
          </w:p>
        </w:tc>
      </w:tr>
      <w:tr w:rsidR="00D8365A" w:rsidRPr="00362517" w14:paraId="34FDBE4D" w14:textId="77777777" w:rsidTr="007A2164">
        <w:trPr>
          <w:trHeight w:val="481"/>
        </w:trPr>
        <w:tc>
          <w:tcPr>
            <w:tcW w:w="1410" w:type="pct"/>
            <w:vMerge/>
            <w:tcBorders>
              <w:left w:val="single" w:sz="8" w:space="0" w:color="auto"/>
              <w:bottom w:val="single" w:sz="2" w:space="0" w:color="auto"/>
              <w:right w:val="single" w:sz="2" w:space="0" w:color="auto"/>
            </w:tcBorders>
            <w:vAlign w:val="center"/>
          </w:tcPr>
          <w:p w14:paraId="3720F84B" w14:textId="77777777" w:rsidR="00D8365A" w:rsidRPr="00362517" w:rsidRDefault="00D8365A" w:rsidP="00BF6BC7">
            <w:pPr>
              <w:keepNext/>
              <w:keepLines/>
              <w:rPr>
                <w:sz w:val="20"/>
                <w:szCs w:val="20"/>
              </w:rPr>
            </w:pPr>
          </w:p>
        </w:tc>
        <w:tc>
          <w:tcPr>
            <w:tcW w:w="1154" w:type="pct"/>
            <w:tcBorders>
              <w:top w:val="single" w:sz="2" w:space="0" w:color="auto"/>
              <w:left w:val="single" w:sz="2" w:space="0" w:color="auto"/>
              <w:bottom w:val="single" w:sz="2" w:space="0" w:color="auto"/>
              <w:right w:val="single" w:sz="2" w:space="0" w:color="auto"/>
            </w:tcBorders>
            <w:vAlign w:val="center"/>
          </w:tcPr>
          <w:p w14:paraId="06E23070" w14:textId="77777777" w:rsidR="00D8365A" w:rsidRPr="00362517" w:rsidRDefault="00D8365A" w:rsidP="00BF6BC7">
            <w:pPr>
              <w:keepNext/>
              <w:keepLines/>
              <w:rPr>
                <w:sz w:val="20"/>
                <w:szCs w:val="20"/>
              </w:rPr>
            </w:pPr>
            <w:r w:rsidRPr="00362517">
              <w:rPr>
                <w:sz w:val="20"/>
                <w:szCs w:val="20"/>
              </w:rPr>
              <w:t xml:space="preserve">State costs: administer recertification exam or verify recertification training </w:t>
            </w:r>
          </w:p>
        </w:tc>
        <w:tc>
          <w:tcPr>
            <w:tcW w:w="1050"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2E68EE56" w14:textId="77777777" w:rsidR="00D8365A" w:rsidRPr="00362517" w:rsidRDefault="00D8365A" w:rsidP="00BF6BC7">
            <w:pPr>
              <w:jc w:val="center"/>
              <w:rPr>
                <w:sz w:val="20"/>
                <w:szCs w:val="20"/>
              </w:rPr>
            </w:pPr>
            <w:r w:rsidRPr="00362517">
              <w:rPr>
                <w:bCs/>
                <w:sz w:val="20"/>
                <w:szCs w:val="20"/>
              </w:rPr>
              <w:t>235</w:t>
            </w:r>
          </w:p>
        </w:tc>
        <w:tc>
          <w:tcPr>
            <w:tcW w:w="636" w:type="pct"/>
            <w:tcBorders>
              <w:top w:val="single" w:sz="2" w:space="0" w:color="auto"/>
              <w:left w:val="single" w:sz="2" w:space="0" w:color="auto"/>
              <w:bottom w:val="single" w:sz="2" w:space="0" w:color="auto"/>
              <w:right w:val="single" w:sz="2" w:space="0" w:color="auto"/>
            </w:tcBorders>
            <w:tcMar>
              <w:left w:w="115" w:type="dxa"/>
              <w:right w:w="288" w:type="dxa"/>
            </w:tcMar>
            <w:vAlign w:val="center"/>
          </w:tcPr>
          <w:p w14:paraId="0A8C352F" w14:textId="77777777" w:rsidR="00D8365A" w:rsidRPr="00362517" w:rsidRDefault="00D8365A" w:rsidP="00BF6BC7">
            <w:pPr>
              <w:jc w:val="center"/>
              <w:rPr>
                <w:sz w:val="20"/>
                <w:szCs w:val="20"/>
              </w:rPr>
            </w:pPr>
            <w:r w:rsidRPr="00362517">
              <w:rPr>
                <w:bCs/>
                <w:sz w:val="20"/>
                <w:szCs w:val="20"/>
              </w:rPr>
              <w:t>102</w:t>
            </w:r>
          </w:p>
        </w:tc>
        <w:tc>
          <w:tcPr>
            <w:tcW w:w="751" w:type="pct"/>
            <w:tcBorders>
              <w:top w:val="single" w:sz="2" w:space="0" w:color="auto"/>
              <w:left w:val="single" w:sz="2" w:space="0" w:color="auto"/>
              <w:bottom w:val="single" w:sz="2" w:space="0" w:color="auto"/>
              <w:right w:val="single" w:sz="8" w:space="0" w:color="auto"/>
            </w:tcBorders>
            <w:tcMar>
              <w:left w:w="115" w:type="dxa"/>
              <w:right w:w="288" w:type="dxa"/>
            </w:tcMar>
            <w:vAlign w:val="center"/>
          </w:tcPr>
          <w:p w14:paraId="3FE0FAAE" w14:textId="77777777" w:rsidR="00D8365A" w:rsidRPr="00362517" w:rsidRDefault="00D8365A" w:rsidP="00BF6BC7">
            <w:pPr>
              <w:jc w:val="center"/>
              <w:rPr>
                <w:sz w:val="20"/>
                <w:szCs w:val="20"/>
              </w:rPr>
            </w:pPr>
            <w:r w:rsidRPr="00362517">
              <w:rPr>
                <w:bCs/>
                <w:sz w:val="20"/>
                <w:szCs w:val="20"/>
              </w:rPr>
              <w:t>133</w:t>
            </w:r>
          </w:p>
        </w:tc>
      </w:tr>
    </w:tbl>
    <w:p w14:paraId="057A68B1" w14:textId="09F6D20C" w:rsidR="00D8365A" w:rsidRPr="00362517" w:rsidRDefault="00D8365A" w:rsidP="00BF6BC7">
      <w:pPr>
        <w:pStyle w:val="BodyText"/>
        <w:rPr>
          <w:sz w:val="20"/>
          <w:szCs w:val="20"/>
        </w:rPr>
      </w:pPr>
      <w:r w:rsidRPr="00362517">
        <w:rPr>
          <w:sz w:val="20"/>
          <w:szCs w:val="20"/>
          <w:vertAlign w:val="superscript"/>
        </w:rPr>
        <w:t>1</w:t>
      </w:r>
      <w:r w:rsidRPr="00362517">
        <w:rPr>
          <w:sz w:val="20"/>
          <w:szCs w:val="20"/>
        </w:rPr>
        <w:t xml:space="preserve"> </w:t>
      </w:r>
      <w:r w:rsidRPr="00362517">
        <w:rPr>
          <w:sz w:val="22"/>
          <w:szCs w:val="22"/>
        </w:rPr>
        <w:t>Source:  EPA calculations using a three percent discount rate over a ten</w:t>
      </w:r>
      <w:r w:rsidR="00CA28EA">
        <w:rPr>
          <w:sz w:val="22"/>
          <w:szCs w:val="22"/>
        </w:rPr>
        <w:t>-</w:t>
      </w:r>
      <w:r w:rsidRPr="00362517">
        <w:rPr>
          <w:sz w:val="22"/>
          <w:szCs w:val="22"/>
        </w:rPr>
        <w:t>year horizon.</w:t>
      </w:r>
    </w:p>
    <w:p w14:paraId="440F042D" w14:textId="77777777" w:rsidR="00D8365A" w:rsidRPr="00362517" w:rsidRDefault="00D8365A" w:rsidP="00BF6BC7"/>
    <w:p w14:paraId="0F1FFCD4" w14:textId="77777777" w:rsidR="00D8365A" w:rsidRPr="00362517" w:rsidRDefault="00D8365A" w:rsidP="00BF6BC7">
      <w:pPr>
        <w:pStyle w:val="CommentText"/>
        <w:rPr>
          <w:sz w:val="24"/>
          <w:szCs w:val="24"/>
        </w:rPr>
      </w:pPr>
      <w:bookmarkStart w:id="243" w:name="OLE_LINK158"/>
      <w:bookmarkStart w:id="244" w:name="OLE_LINK159"/>
      <w:r w:rsidRPr="00362517">
        <w:rPr>
          <w:sz w:val="24"/>
          <w:szCs w:val="24"/>
        </w:rPr>
        <w:t>Under the final rule, recertification of commercial applicators must take place every 5 years or less by satisfying the certifying authorities’ recertification program, or by passing a written exam for core and each applicable category.  Its incremental cost is estimated at $1.9 million annually for the applicators and $555 thousand for the certifying authorities.  Under the final rule, EPA expects that the jurisdictions with currently low requirements for recertification (as measured by the difference between the levels of continuing education required under the current and the proposed requirements used in estimating the final cost), will likely bear the most costs.  These jurisdictions include Colorado, Ohio, Main, Missouri, Mississippi, South Carolina, Puerto Rico, Arkansas, Nebraska, Nevada, Wisconsin, Georgia, and at least some within the Other Jurisdictions group.</w:t>
      </w:r>
    </w:p>
    <w:bookmarkEnd w:id="243"/>
    <w:bookmarkEnd w:id="244"/>
    <w:p w14:paraId="5933199F" w14:textId="77777777" w:rsidR="00D8365A" w:rsidRPr="00362517" w:rsidRDefault="00D8365A" w:rsidP="00BF6BC7">
      <w:pPr>
        <w:pStyle w:val="BodyText"/>
      </w:pPr>
    </w:p>
    <w:p w14:paraId="186AC2FA" w14:textId="5CE4C03E" w:rsidR="00D8365A" w:rsidRPr="00362517" w:rsidRDefault="00D8365A" w:rsidP="00BF6BC7">
      <w:pPr>
        <w:pStyle w:val="BodyText"/>
      </w:pPr>
      <w:r w:rsidRPr="00362517">
        <w:t xml:space="preserve">The final requirements include training or examination options for commercial applicators seeking recertification in two of the additional categories (aerial and non-soil fumigation).  The recertification cycle is 5 years or less.  Aerial and non-soil fumigation category recertification will cost commercial applicators approximately $290 thousand and $160 thousand per year, respectively.  Certifying authorities incur the costs ($480 thousand for aerial category and $1.1 million for non-soil fumigation category per year) of providing recertification training or examination to commercial applicators.    </w:t>
      </w:r>
    </w:p>
    <w:p w14:paraId="52C6BEF8" w14:textId="77777777" w:rsidR="00D8365A" w:rsidRPr="00362517" w:rsidRDefault="00D8365A" w:rsidP="00BF6BC7"/>
    <w:p w14:paraId="2D991B3E" w14:textId="77777777" w:rsidR="00D8365A" w:rsidRPr="00362517" w:rsidRDefault="00D8365A" w:rsidP="00BF6BC7">
      <w:pPr>
        <w:pStyle w:val="BodyText"/>
      </w:pPr>
      <w:r w:rsidRPr="00362517">
        <w:t xml:space="preserve">The final recertification requirement used to estimate the cost for private applicators requires completing 6 hours of training or by passing a written exam every 5 years or less.  The requirement is costly (~$3 million) due to the substantial per-applicator costs (6 hours per applicator) and a large number of applicators that need to recertify.  </w:t>
      </w:r>
    </w:p>
    <w:p w14:paraId="65B6E99F" w14:textId="77777777" w:rsidR="00D8365A" w:rsidRPr="00362517" w:rsidRDefault="00D8365A" w:rsidP="00BF6BC7"/>
    <w:p w14:paraId="352D5945" w14:textId="77777777" w:rsidR="00D8365A" w:rsidRPr="00362517" w:rsidRDefault="00D8365A" w:rsidP="00BF6BC7">
      <w:r w:rsidRPr="00362517">
        <w:t xml:space="preserve">Most private applicators currently do not have an aerial certification, and are not expected to have it under the final rule, which explains small costs for this category.  In many certifying authorities, some private applicators conduct non-soil fumigation without category certification as their certifying authorities currently do not require one.  These applicators will incur certification and recertification costs for the category under the final rule.  The recertification cost for these applicators is estimated at $95 thousand (Table 3.4-8).  Certifying authorities incur the costs ($133 thousand) of providing recertification training to these applicators.   </w:t>
      </w:r>
    </w:p>
    <w:p w14:paraId="27C6841C" w14:textId="77777777" w:rsidR="00D8365A" w:rsidRPr="00362517" w:rsidRDefault="00D8365A" w:rsidP="00BF6BC7"/>
    <w:p w14:paraId="05C6EA10" w14:textId="77777777" w:rsidR="00D8365A" w:rsidRPr="00362517" w:rsidRDefault="00D8365A" w:rsidP="00BF6BC7">
      <w:pPr>
        <w:pStyle w:val="Heading3"/>
      </w:pPr>
      <w:bookmarkStart w:id="245" w:name="_Toc395788113"/>
      <w:bookmarkStart w:id="246" w:name="_Toc396483169"/>
      <w:bookmarkStart w:id="247" w:name="_Toc452020150"/>
      <w:bookmarkStart w:id="248" w:name="_Toc456270174"/>
      <w:bookmarkStart w:id="249" w:name="_Toc468872090"/>
      <w:r w:rsidRPr="00362517">
        <w:t>3.4.7</w:t>
      </w:r>
      <w:r w:rsidRPr="00362517">
        <w:tab/>
        <w:t>Requirements for General Administration</w:t>
      </w:r>
      <w:bookmarkEnd w:id="245"/>
      <w:bookmarkEnd w:id="246"/>
      <w:bookmarkEnd w:id="247"/>
      <w:bookmarkEnd w:id="248"/>
      <w:bookmarkEnd w:id="249"/>
      <w:r w:rsidRPr="00362517">
        <w:t xml:space="preserve"> </w:t>
      </w:r>
    </w:p>
    <w:p w14:paraId="3B0E0AA8" w14:textId="77777777" w:rsidR="00D8365A" w:rsidRPr="00362517" w:rsidRDefault="00D8365A" w:rsidP="00BF6BC7"/>
    <w:p w14:paraId="24BB9444" w14:textId="77777777" w:rsidR="00D8365A" w:rsidRPr="00362517" w:rsidRDefault="00D8365A" w:rsidP="00BF6BC7">
      <w:r w:rsidRPr="00362517">
        <w:t xml:space="preserve">There are several new requirements in the final rule that are administrative in nature, which will include recordkeeping requirements for industry, and costs for state and federal governments to implement the changes in the rule.  </w:t>
      </w:r>
    </w:p>
    <w:p w14:paraId="4B33C83F" w14:textId="77777777" w:rsidR="00D8365A" w:rsidRPr="00362517" w:rsidRDefault="00D8365A" w:rsidP="00BF6BC7"/>
    <w:p w14:paraId="1C960709" w14:textId="77777777" w:rsidR="00D8365A" w:rsidRPr="00362517" w:rsidRDefault="00D8365A" w:rsidP="00BF6BC7">
      <w:pPr>
        <w:pStyle w:val="Heading4"/>
      </w:pPr>
      <w:r w:rsidRPr="00362517">
        <w:t>3.4.7.1 Dealer Recordkeeping</w:t>
      </w:r>
    </w:p>
    <w:p w14:paraId="42989832" w14:textId="77777777" w:rsidR="00D8365A" w:rsidRPr="00362517" w:rsidRDefault="00D8365A" w:rsidP="00BF6BC7">
      <w:r w:rsidRPr="00362517">
        <w:t xml:space="preserve">The recordkeeping requirements for dealers of restricted use pesticides (RUPs) under the final rule requires dealers selling RUPs to private and commercial applicators to keep records of RUP sales, including information on what RUP was purchased and the date, the identity of the purchaser, as well as information verifying the applicator is certified.  Recordkeeping is currently required by all states, and is also a standard business practice.  EPA is merely clarifying and standardizing the current recordkeeping requirements, so does not anticipate any additional costs.  </w:t>
      </w:r>
    </w:p>
    <w:p w14:paraId="73138B48" w14:textId="77777777" w:rsidR="00D8365A" w:rsidRPr="00362517" w:rsidRDefault="00D8365A" w:rsidP="00BF6BC7"/>
    <w:p w14:paraId="4FD3302F" w14:textId="77777777" w:rsidR="00D8365A" w:rsidRPr="00362517" w:rsidRDefault="00D8365A" w:rsidP="00BF6BC7">
      <w:pPr>
        <w:pStyle w:val="Heading4"/>
      </w:pPr>
      <w:r w:rsidRPr="00362517">
        <w:t>3.4.7.2 Certifying Authorities Administration of Plans</w:t>
      </w:r>
    </w:p>
    <w:p w14:paraId="73EC4B9F" w14:textId="77777777" w:rsidR="00D8365A" w:rsidRPr="00362517" w:rsidRDefault="00D8365A" w:rsidP="00BF6BC7">
      <w:r w:rsidRPr="00362517">
        <w:t>Certifying authorities - States, Tribes, Territories, Federal Agencies, and EPA must update certification plans to comply with the changed requirements.  Some States and Territories will need to make regulatory changes and work with their legislatures to change their rules.  Tribes with plans need to update them to comply with the revised rule. EPA administers the certification plan in the Navajo Nation and the national certification plan for Indian Country, and will codify the changes for these entities.  Finally, the federal agencies with approved certification plans must update their plans to meet the revised requirements and may have to change policies.  All plans must be approved by EPA before they are implemented.  The cost for these one-time activities is provided in Table 3.4-9, below.  The table is followed by a brief description of the costs.  Details on estimation method, data, and assumptions are provided in Appendix A.</w:t>
      </w:r>
    </w:p>
    <w:p w14:paraId="4B1DF6B7" w14:textId="77777777" w:rsidR="00D8365A" w:rsidRPr="00362517" w:rsidRDefault="00D8365A" w:rsidP="00BF6BC7"/>
    <w:p w14:paraId="578EB04F" w14:textId="77777777" w:rsidR="00D8365A" w:rsidRPr="00362517" w:rsidRDefault="00D8365A" w:rsidP="00BF6BC7">
      <w:pPr>
        <w:pStyle w:val="BodyText"/>
        <w:rPr>
          <w:rFonts w:cs="Times New Roman"/>
          <w:b/>
        </w:rPr>
      </w:pPr>
      <w:r w:rsidRPr="00362517">
        <w:rPr>
          <w:rFonts w:cs="Times New Roman"/>
          <w:b/>
        </w:rPr>
        <w:t xml:space="preserve">Table 3.4-9: Costs of Final Requirements for Governmental Entities </w:t>
      </w:r>
    </w:p>
    <w:tbl>
      <w:tblPr>
        <w:tblW w:w="0" w:type="auto"/>
        <w:tblBorders>
          <w:top w:val="single" w:sz="8" w:space="0" w:color="auto"/>
          <w:left w:val="single" w:sz="8" w:space="0" w:color="auto"/>
          <w:bottom w:val="single" w:sz="12" w:space="0" w:color="auto"/>
          <w:right w:val="single" w:sz="8" w:space="0" w:color="auto"/>
          <w:insideH w:val="single" w:sz="2" w:space="0" w:color="auto"/>
          <w:insideV w:val="single" w:sz="2" w:space="0" w:color="auto"/>
        </w:tblBorders>
        <w:tblLook w:val="04A0" w:firstRow="1" w:lastRow="0" w:firstColumn="1" w:lastColumn="0" w:noHBand="0" w:noVBand="1"/>
      </w:tblPr>
      <w:tblGrid>
        <w:gridCol w:w="2000"/>
        <w:gridCol w:w="2075"/>
        <w:gridCol w:w="2017"/>
        <w:gridCol w:w="1498"/>
        <w:gridCol w:w="1760"/>
      </w:tblGrid>
      <w:tr w:rsidR="00D8365A" w:rsidRPr="00362517" w14:paraId="0B9D5311" w14:textId="77777777" w:rsidTr="007A2164">
        <w:tc>
          <w:tcPr>
            <w:tcW w:w="0" w:type="auto"/>
            <w:tcBorders>
              <w:top w:val="single" w:sz="4" w:space="0" w:color="auto"/>
              <w:left w:val="single" w:sz="4" w:space="0" w:color="auto"/>
              <w:bottom w:val="double" w:sz="4" w:space="0" w:color="auto"/>
              <w:right w:val="single" w:sz="2" w:space="0" w:color="auto"/>
            </w:tcBorders>
            <w:vAlign w:val="bottom"/>
            <w:hideMark/>
          </w:tcPr>
          <w:p w14:paraId="180E9AC6" w14:textId="77777777" w:rsidR="00D8365A" w:rsidRPr="00362517" w:rsidRDefault="00D8365A" w:rsidP="00BF6BC7">
            <w:pPr>
              <w:pStyle w:val="BodyText"/>
              <w:rPr>
                <w:rFonts w:cs="Times New Roman"/>
              </w:rPr>
            </w:pPr>
            <w:r w:rsidRPr="00362517">
              <w:rPr>
                <w:rFonts w:cs="Times New Roman"/>
              </w:rPr>
              <w:t>Final Requirement</w:t>
            </w:r>
          </w:p>
        </w:tc>
        <w:tc>
          <w:tcPr>
            <w:tcW w:w="0" w:type="auto"/>
            <w:tcBorders>
              <w:top w:val="single" w:sz="4" w:space="0" w:color="auto"/>
              <w:left w:val="single" w:sz="2" w:space="0" w:color="auto"/>
              <w:bottom w:val="double" w:sz="4" w:space="0" w:color="auto"/>
              <w:right w:val="single" w:sz="2" w:space="0" w:color="auto"/>
            </w:tcBorders>
            <w:vAlign w:val="bottom"/>
            <w:hideMark/>
          </w:tcPr>
          <w:p w14:paraId="035449C4" w14:textId="77777777" w:rsidR="00D8365A" w:rsidRPr="00362517" w:rsidRDefault="00D8365A" w:rsidP="00BF6BC7">
            <w:pPr>
              <w:pStyle w:val="TableGridCT"/>
              <w:keepNext/>
              <w:tabs>
                <w:tab w:val="left" w:pos="720"/>
                <w:tab w:val="left" w:pos="1080"/>
                <w:tab w:val="left" w:pos="1440"/>
                <w:tab w:val="left" w:pos="1800"/>
              </w:tabs>
              <w:spacing w:line="264" w:lineRule="auto"/>
              <w:jc w:val="center"/>
              <w:rPr>
                <w:bCs/>
                <w:sz w:val="24"/>
                <w:szCs w:val="24"/>
              </w:rPr>
            </w:pPr>
            <w:r w:rsidRPr="00362517">
              <w:rPr>
                <w:bCs/>
                <w:sz w:val="24"/>
                <w:szCs w:val="24"/>
              </w:rPr>
              <w:t>Type of Cost</w:t>
            </w:r>
          </w:p>
        </w:tc>
        <w:tc>
          <w:tcPr>
            <w:tcW w:w="0" w:type="auto"/>
            <w:tcBorders>
              <w:top w:val="single" w:sz="4" w:space="0" w:color="auto"/>
              <w:left w:val="single" w:sz="2" w:space="0" w:color="auto"/>
              <w:bottom w:val="double" w:sz="4" w:space="0" w:color="auto"/>
              <w:right w:val="single" w:sz="2" w:space="0" w:color="auto"/>
            </w:tcBorders>
            <w:vAlign w:val="bottom"/>
            <w:hideMark/>
          </w:tcPr>
          <w:p w14:paraId="539EA1A5" w14:textId="77777777" w:rsidR="00D8365A" w:rsidRPr="00362517" w:rsidRDefault="00D8365A" w:rsidP="00BF6BC7">
            <w:pPr>
              <w:pStyle w:val="TableGridCT"/>
              <w:keepNext/>
              <w:tabs>
                <w:tab w:val="left" w:pos="720"/>
                <w:tab w:val="left" w:pos="1080"/>
                <w:tab w:val="left" w:pos="1440"/>
                <w:tab w:val="left" w:pos="1800"/>
              </w:tabs>
              <w:spacing w:line="264" w:lineRule="auto"/>
              <w:jc w:val="center"/>
              <w:rPr>
                <w:bCs/>
                <w:sz w:val="24"/>
                <w:szCs w:val="24"/>
              </w:rPr>
            </w:pPr>
            <w:r w:rsidRPr="00362517">
              <w:rPr>
                <w:bCs/>
                <w:sz w:val="24"/>
                <w:szCs w:val="24"/>
              </w:rPr>
              <w:t>National Cost of Final Requirement (NC</w:t>
            </w:r>
            <w:r w:rsidRPr="00362517">
              <w:rPr>
                <w:bCs/>
                <w:sz w:val="24"/>
                <w:szCs w:val="24"/>
                <w:vertAlign w:val="superscript"/>
              </w:rPr>
              <w:t>P</w:t>
            </w:r>
            <w:r w:rsidRPr="00362517">
              <w:rPr>
                <w:bCs/>
                <w:sz w:val="24"/>
                <w:szCs w:val="24"/>
              </w:rPr>
              <w:t>)</w:t>
            </w:r>
          </w:p>
          <w:p w14:paraId="07AC0EB0" w14:textId="77777777" w:rsidR="00D8365A" w:rsidRPr="00362517" w:rsidRDefault="00D8365A" w:rsidP="00BF6BC7">
            <w:pPr>
              <w:pStyle w:val="TableGridCT"/>
              <w:keepNext/>
              <w:tabs>
                <w:tab w:val="left" w:pos="720"/>
                <w:tab w:val="left" w:pos="1080"/>
                <w:tab w:val="left" w:pos="1440"/>
                <w:tab w:val="left" w:pos="1800"/>
              </w:tabs>
              <w:spacing w:line="264" w:lineRule="auto"/>
              <w:jc w:val="center"/>
              <w:rPr>
                <w:bCs/>
                <w:sz w:val="24"/>
                <w:szCs w:val="24"/>
              </w:rPr>
            </w:pPr>
            <w:r w:rsidRPr="00362517">
              <w:rPr>
                <w:bCs/>
                <w:sz w:val="24"/>
                <w:szCs w:val="24"/>
              </w:rPr>
              <w:t>($000)</w:t>
            </w:r>
          </w:p>
        </w:tc>
        <w:tc>
          <w:tcPr>
            <w:tcW w:w="0" w:type="auto"/>
            <w:tcBorders>
              <w:top w:val="single" w:sz="4" w:space="0" w:color="auto"/>
              <w:left w:val="single" w:sz="2" w:space="0" w:color="auto"/>
              <w:bottom w:val="double" w:sz="4" w:space="0" w:color="auto"/>
              <w:right w:val="single" w:sz="2" w:space="0" w:color="auto"/>
            </w:tcBorders>
            <w:vAlign w:val="bottom"/>
            <w:hideMark/>
          </w:tcPr>
          <w:p w14:paraId="6EBC34F3" w14:textId="77777777" w:rsidR="00D8365A" w:rsidRPr="00362517" w:rsidRDefault="00D8365A" w:rsidP="00BF6BC7">
            <w:pPr>
              <w:pStyle w:val="TableGridCT"/>
              <w:keepNext/>
              <w:tabs>
                <w:tab w:val="left" w:pos="720"/>
                <w:tab w:val="left" w:pos="1080"/>
                <w:tab w:val="left" w:pos="1440"/>
                <w:tab w:val="left" w:pos="1800"/>
              </w:tabs>
              <w:spacing w:line="264" w:lineRule="auto"/>
              <w:jc w:val="center"/>
              <w:rPr>
                <w:bCs/>
                <w:sz w:val="24"/>
                <w:szCs w:val="24"/>
              </w:rPr>
            </w:pPr>
            <w:r w:rsidRPr="00362517">
              <w:rPr>
                <w:bCs/>
                <w:sz w:val="24"/>
                <w:szCs w:val="24"/>
              </w:rPr>
              <w:t>National Cost of Baseline (NC</w:t>
            </w:r>
            <w:r w:rsidRPr="00362517">
              <w:rPr>
                <w:bCs/>
                <w:sz w:val="24"/>
                <w:szCs w:val="24"/>
                <w:vertAlign w:val="superscript"/>
              </w:rPr>
              <w:t>B</w:t>
            </w:r>
            <w:r w:rsidRPr="00362517">
              <w:rPr>
                <w:bCs/>
                <w:sz w:val="24"/>
                <w:szCs w:val="24"/>
              </w:rPr>
              <w:t>)</w:t>
            </w:r>
          </w:p>
          <w:p w14:paraId="45484543" w14:textId="77777777" w:rsidR="00D8365A" w:rsidRPr="00362517" w:rsidRDefault="00D8365A" w:rsidP="00BF6BC7">
            <w:pPr>
              <w:pStyle w:val="TableGridCT"/>
              <w:keepNext/>
              <w:tabs>
                <w:tab w:val="left" w:pos="720"/>
                <w:tab w:val="left" w:pos="1080"/>
                <w:tab w:val="left" w:pos="1440"/>
                <w:tab w:val="left" w:pos="1800"/>
              </w:tabs>
              <w:spacing w:line="264" w:lineRule="auto"/>
              <w:jc w:val="center"/>
              <w:rPr>
                <w:bCs/>
                <w:sz w:val="24"/>
                <w:szCs w:val="24"/>
              </w:rPr>
            </w:pPr>
            <w:r w:rsidRPr="00362517">
              <w:rPr>
                <w:bCs/>
                <w:sz w:val="24"/>
                <w:szCs w:val="24"/>
              </w:rPr>
              <w:t>($000)</w:t>
            </w:r>
          </w:p>
        </w:tc>
        <w:tc>
          <w:tcPr>
            <w:tcW w:w="0" w:type="auto"/>
            <w:tcBorders>
              <w:top w:val="single" w:sz="4" w:space="0" w:color="auto"/>
              <w:left w:val="single" w:sz="2" w:space="0" w:color="auto"/>
              <w:bottom w:val="double" w:sz="4" w:space="0" w:color="auto"/>
              <w:right w:val="single" w:sz="4" w:space="0" w:color="auto"/>
            </w:tcBorders>
            <w:vAlign w:val="bottom"/>
            <w:hideMark/>
          </w:tcPr>
          <w:p w14:paraId="00960644" w14:textId="77777777" w:rsidR="00D8365A" w:rsidRPr="00362517" w:rsidRDefault="00D8365A" w:rsidP="00BF6BC7">
            <w:pPr>
              <w:pStyle w:val="TableGridCT"/>
              <w:keepNext/>
              <w:tabs>
                <w:tab w:val="left" w:pos="720"/>
                <w:tab w:val="left" w:pos="1080"/>
                <w:tab w:val="left" w:pos="1440"/>
                <w:tab w:val="left" w:pos="1800"/>
              </w:tabs>
              <w:spacing w:line="264" w:lineRule="auto"/>
              <w:jc w:val="center"/>
              <w:rPr>
                <w:bCs/>
                <w:sz w:val="24"/>
                <w:szCs w:val="24"/>
              </w:rPr>
            </w:pPr>
            <w:r w:rsidRPr="00362517">
              <w:rPr>
                <w:bCs/>
                <w:sz w:val="24"/>
                <w:szCs w:val="24"/>
              </w:rPr>
              <w:t>National Incremental Cost (NIC)</w:t>
            </w:r>
          </w:p>
          <w:p w14:paraId="167B19E6" w14:textId="77777777" w:rsidR="00D8365A" w:rsidRPr="00362517" w:rsidRDefault="00D8365A" w:rsidP="00BF6BC7">
            <w:pPr>
              <w:pStyle w:val="TableGridCT"/>
              <w:keepNext/>
              <w:tabs>
                <w:tab w:val="left" w:pos="720"/>
                <w:tab w:val="left" w:pos="1080"/>
                <w:tab w:val="left" w:pos="1440"/>
                <w:tab w:val="left" w:pos="1800"/>
              </w:tabs>
              <w:spacing w:line="264" w:lineRule="auto"/>
              <w:jc w:val="center"/>
              <w:rPr>
                <w:bCs/>
                <w:sz w:val="24"/>
                <w:szCs w:val="24"/>
              </w:rPr>
            </w:pPr>
            <w:r w:rsidRPr="00362517">
              <w:rPr>
                <w:bCs/>
                <w:sz w:val="24"/>
                <w:szCs w:val="24"/>
              </w:rPr>
              <w:t>($000)</w:t>
            </w:r>
          </w:p>
        </w:tc>
      </w:tr>
      <w:tr w:rsidR="00D8365A" w:rsidRPr="00362517" w14:paraId="07215988" w14:textId="77777777" w:rsidTr="007A2164">
        <w:trPr>
          <w:cantSplit/>
          <w:trHeight w:val="751"/>
        </w:trPr>
        <w:tc>
          <w:tcPr>
            <w:tcW w:w="0" w:type="auto"/>
            <w:tcBorders>
              <w:top w:val="single" w:sz="2" w:space="0" w:color="auto"/>
              <w:left w:val="single" w:sz="4" w:space="0" w:color="auto"/>
              <w:bottom w:val="single" w:sz="2" w:space="0" w:color="auto"/>
              <w:right w:val="single" w:sz="2" w:space="0" w:color="auto"/>
            </w:tcBorders>
            <w:vAlign w:val="center"/>
            <w:hideMark/>
          </w:tcPr>
          <w:p w14:paraId="2D886F3B" w14:textId="77777777" w:rsidR="00D8365A" w:rsidRPr="00362517" w:rsidRDefault="00D8365A" w:rsidP="00BF6BC7">
            <w:pPr>
              <w:pStyle w:val="BodyText"/>
              <w:rPr>
                <w:rFonts w:cs="Times New Roman"/>
              </w:rPr>
            </w:pPr>
            <w:r w:rsidRPr="00362517">
              <w:rPr>
                <w:rFonts w:cs="Times New Roman"/>
              </w:rPr>
              <w:t>Revise certification plans</w:t>
            </w:r>
          </w:p>
        </w:tc>
        <w:tc>
          <w:tcPr>
            <w:tcW w:w="0" w:type="auto"/>
            <w:tcBorders>
              <w:top w:val="single" w:sz="2" w:space="0" w:color="auto"/>
              <w:left w:val="single" w:sz="2" w:space="0" w:color="auto"/>
              <w:bottom w:val="single" w:sz="2" w:space="0" w:color="auto"/>
              <w:right w:val="single" w:sz="2" w:space="0" w:color="auto"/>
            </w:tcBorders>
            <w:vAlign w:val="center"/>
            <w:hideMark/>
          </w:tcPr>
          <w:p w14:paraId="66200788" w14:textId="77777777" w:rsidR="00D8365A" w:rsidRPr="00362517" w:rsidRDefault="00D8365A" w:rsidP="00BF6BC7">
            <w:pPr>
              <w:pStyle w:val="BodyText"/>
              <w:rPr>
                <w:rFonts w:cs="Times New Roman"/>
              </w:rPr>
            </w:pPr>
            <w:r w:rsidRPr="00362517">
              <w:rPr>
                <w:rFonts w:cs="Times New Roman"/>
              </w:rPr>
              <w:t xml:space="preserve">Jurisdiction costs: implementation </w:t>
            </w:r>
          </w:p>
        </w:tc>
        <w:tc>
          <w:tcPr>
            <w:tcW w:w="0" w:type="auto"/>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75CDCD79" w14:textId="77777777" w:rsidR="00D8365A" w:rsidRPr="00362517" w:rsidRDefault="00D8365A" w:rsidP="00BF6BC7">
            <w:pPr>
              <w:keepNext/>
              <w:jc w:val="center"/>
            </w:pPr>
            <w:r w:rsidRPr="00362517">
              <w:t>2,448</w:t>
            </w:r>
          </w:p>
        </w:tc>
        <w:tc>
          <w:tcPr>
            <w:tcW w:w="0" w:type="auto"/>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7350940A" w14:textId="77777777" w:rsidR="00D8365A" w:rsidRPr="00362517" w:rsidRDefault="00D8365A" w:rsidP="00BF6BC7">
            <w:pPr>
              <w:keepNext/>
              <w:jc w:val="center"/>
            </w:pPr>
            <w:r w:rsidRPr="00362517">
              <w:t>0</w:t>
            </w:r>
          </w:p>
        </w:tc>
        <w:tc>
          <w:tcPr>
            <w:tcW w:w="0" w:type="auto"/>
            <w:tcBorders>
              <w:top w:val="single" w:sz="2" w:space="0" w:color="auto"/>
              <w:left w:val="single" w:sz="2" w:space="0" w:color="auto"/>
              <w:bottom w:val="single" w:sz="2" w:space="0" w:color="auto"/>
              <w:right w:val="single" w:sz="4" w:space="0" w:color="auto"/>
            </w:tcBorders>
            <w:tcMar>
              <w:left w:w="115" w:type="dxa"/>
              <w:right w:w="288" w:type="dxa"/>
            </w:tcMar>
            <w:vAlign w:val="center"/>
            <w:hideMark/>
          </w:tcPr>
          <w:p w14:paraId="754C31D9" w14:textId="77777777" w:rsidR="00D8365A" w:rsidRPr="00362517" w:rsidRDefault="00D8365A" w:rsidP="00BF6BC7">
            <w:pPr>
              <w:keepNext/>
              <w:jc w:val="center"/>
            </w:pPr>
            <w:r w:rsidRPr="00362517">
              <w:t>2,448</w:t>
            </w:r>
          </w:p>
        </w:tc>
      </w:tr>
      <w:tr w:rsidR="00D8365A" w:rsidRPr="00362517" w14:paraId="0630175F" w14:textId="77777777" w:rsidTr="007A2164">
        <w:trPr>
          <w:cantSplit/>
          <w:trHeight w:val="751"/>
        </w:trPr>
        <w:tc>
          <w:tcPr>
            <w:tcW w:w="0" w:type="auto"/>
            <w:tcBorders>
              <w:top w:val="single" w:sz="2" w:space="0" w:color="auto"/>
              <w:left w:val="single" w:sz="4" w:space="0" w:color="auto"/>
              <w:bottom w:val="single" w:sz="2" w:space="0" w:color="auto"/>
              <w:right w:val="single" w:sz="2" w:space="0" w:color="auto"/>
            </w:tcBorders>
            <w:vAlign w:val="center"/>
            <w:hideMark/>
          </w:tcPr>
          <w:p w14:paraId="25746816" w14:textId="77777777" w:rsidR="00D8365A" w:rsidRPr="00362517" w:rsidRDefault="00D8365A" w:rsidP="00BF6BC7">
            <w:pPr>
              <w:pStyle w:val="BodyText"/>
              <w:rPr>
                <w:rFonts w:cs="Times New Roman"/>
              </w:rPr>
            </w:pPr>
            <w:r w:rsidRPr="00362517">
              <w:rPr>
                <w:rFonts w:cs="Times New Roman"/>
              </w:rPr>
              <w:t xml:space="preserve">Submit certification plans </w:t>
            </w:r>
          </w:p>
        </w:tc>
        <w:tc>
          <w:tcPr>
            <w:tcW w:w="0" w:type="auto"/>
            <w:tcBorders>
              <w:top w:val="single" w:sz="2" w:space="0" w:color="auto"/>
              <w:left w:val="single" w:sz="2" w:space="0" w:color="auto"/>
              <w:bottom w:val="single" w:sz="2" w:space="0" w:color="auto"/>
              <w:right w:val="single" w:sz="2" w:space="0" w:color="auto"/>
            </w:tcBorders>
            <w:vAlign w:val="center"/>
            <w:hideMark/>
          </w:tcPr>
          <w:p w14:paraId="7DC9D7E0" w14:textId="77777777" w:rsidR="00D8365A" w:rsidRPr="00362517" w:rsidRDefault="00D8365A" w:rsidP="00BF6BC7">
            <w:pPr>
              <w:pStyle w:val="BodyText"/>
              <w:rPr>
                <w:rFonts w:cs="Times New Roman"/>
              </w:rPr>
            </w:pPr>
            <w:r w:rsidRPr="00362517">
              <w:rPr>
                <w:rFonts w:cs="Times New Roman"/>
              </w:rPr>
              <w:t xml:space="preserve">Jurisdiction costs: implementation </w:t>
            </w:r>
          </w:p>
        </w:tc>
        <w:tc>
          <w:tcPr>
            <w:tcW w:w="0" w:type="auto"/>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436B9BF1" w14:textId="77777777" w:rsidR="00D8365A" w:rsidRPr="00362517" w:rsidRDefault="00D8365A" w:rsidP="00BF6BC7">
            <w:pPr>
              <w:keepNext/>
              <w:jc w:val="center"/>
            </w:pPr>
            <w:r w:rsidRPr="00362517">
              <w:t>5</w:t>
            </w:r>
          </w:p>
        </w:tc>
        <w:tc>
          <w:tcPr>
            <w:tcW w:w="0" w:type="auto"/>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124A583A" w14:textId="77777777" w:rsidR="00D8365A" w:rsidRPr="00362517" w:rsidRDefault="00D8365A" w:rsidP="00BF6BC7">
            <w:pPr>
              <w:keepNext/>
              <w:jc w:val="center"/>
            </w:pPr>
            <w:r w:rsidRPr="00362517">
              <w:t>0</w:t>
            </w:r>
          </w:p>
        </w:tc>
        <w:tc>
          <w:tcPr>
            <w:tcW w:w="0" w:type="auto"/>
            <w:tcBorders>
              <w:top w:val="single" w:sz="2" w:space="0" w:color="auto"/>
              <w:left w:val="single" w:sz="2" w:space="0" w:color="auto"/>
              <w:bottom w:val="single" w:sz="2" w:space="0" w:color="auto"/>
              <w:right w:val="single" w:sz="4" w:space="0" w:color="auto"/>
            </w:tcBorders>
            <w:tcMar>
              <w:left w:w="115" w:type="dxa"/>
              <w:right w:w="288" w:type="dxa"/>
            </w:tcMar>
            <w:vAlign w:val="center"/>
            <w:hideMark/>
          </w:tcPr>
          <w:p w14:paraId="49275D38" w14:textId="77777777" w:rsidR="00D8365A" w:rsidRPr="00362517" w:rsidRDefault="00D8365A" w:rsidP="00BF6BC7">
            <w:pPr>
              <w:keepNext/>
              <w:jc w:val="center"/>
            </w:pPr>
            <w:r w:rsidRPr="00362517">
              <w:t>5</w:t>
            </w:r>
          </w:p>
        </w:tc>
      </w:tr>
      <w:tr w:rsidR="00D8365A" w:rsidRPr="00362517" w14:paraId="46D9C74B" w14:textId="77777777" w:rsidTr="007A2164">
        <w:trPr>
          <w:cantSplit/>
          <w:trHeight w:val="643"/>
        </w:trPr>
        <w:tc>
          <w:tcPr>
            <w:tcW w:w="0" w:type="auto"/>
            <w:tcBorders>
              <w:top w:val="single" w:sz="2" w:space="0" w:color="auto"/>
              <w:left w:val="single" w:sz="4" w:space="0" w:color="auto"/>
              <w:bottom w:val="single" w:sz="2" w:space="0" w:color="auto"/>
              <w:right w:val="single" w:sz="2" w:space="0" w:color="auto"/>
            </w:tcBorders>
            <w:vAlign w:val="center"/>
            <w:hideMark/>
          </w:tcPr>
          <w:p w14:paraId="7DFD4BCF" w14:textId="77777777" w:rsidR="00D8365A" w:rsidRPr="00362517" w:rsidRDefault="00D8365A" w:rsidP="00BF6BC7">
            <w:pPr>
              <w:pStyle w:val="BodyText"/>
              <w:rPr>
                <w:rFonts w:cs="Times New Roman"/>
              </w:rPr>
            </w:pPr>
            <w:r w:rsidRPr="00362517">
              <w:rPr>
                <w:rFonts w:cs="Times New Roman"/>
              </w:rPr>
              <w:t>EPA review of certification plans</w:t>
            </w:r>
          </w:p>
        </w:tc>
        <w:tc>
          <w:tcPr>
            <w:tcW w:w="0" w:type="auto"/>
            <w:tcBorders>
              <w:top w:val="single" w:sz="2" w:space="0" w:color="auto"/>
              <w:left w:val="single" w:sz="2" w:space="0" w:color="auto"/>
              <w:bottom w:val="single" w:sz="2" w:space="0" w:color="auto"/>
              <w:right w:val="single" w:sz="2" w:space="0" w:color="auto"/>
            </w:tcBorders>
            <w:vAlign w:val="center"/>
            <w:hideMark/>
          </w:tcPr>
          <w:p w14:paraId="79523C28" w14:textId="77777777" w:rsidR="00D8365A" w:rsidRPr="00362517" w:rsidRDefault="00D8365A" w:rsidP="00BF6BC7">
            <w:pPr>
              <w:pStyle w:val="BodyText"/>
              <w:rPr>
                <w:rFonts w:cs="Times New Roman"/>
              </w:rPr>
            </w:pPr>
            <w:r w:rsidRPr="00362517">
              <w:rPr>
                <w:rFonts w:cs="Times New Roman"/>
              </w:rPr>
              <w:t xml:space="preserve">EPA costs: implementation </w:t>
            </w:r>
          </w:p>
        </w:tc>
        <w:tc>
          <w:tcPr>
            <w:tcW w:w="0" w:type="auto"/>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62DAC364" w14:textId="77777777" w:rsidR="00D8365A" w:rsidRPr="00362517" w:rsidRDefault="00D8365A" w:rsidP="00BF6BC7">
            <w:pPr>
              <w:keepNext/>
              <w:jc w:val="center"/>
            </w:pPr>
            <w:r w:rsidRPr="00362517">
              <w:t>23</w:t>
            </w:r>
          </w:p>
        </w:tc>
        <w:tc>
          <w:tcPr>
            <w:tcW w:w="0" w:type="auto"/>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7D86ACB7" w14:textId="77777777" w:rsidR="00D8365A" w:rsidRPr="00362517" w:rsidRDefault="00D8365A" w:rsidP="00BF6BC7">
            <w:pPr>
              <w:keepNext/>
              <w:jc w:val="center"/>
            </w:pPr>
            <w:r w:rsidRPr="00362517">
              <w:t>0</w:t>
            </w:r>
          </w:p>
        </w:tc>
        <w:tc>
          <w:tcPr>
            <w:tcW w:w="0" w:type="auto"/>
            <w:tcBorders>
              <w:top w:val="single" w:sz="2" w:space="0" w:color="auto"/>
              <w:left w:val="single" w:sz="2" w:space="0" w:color="auto"/>
              <w:bottom w:val="single" w:sz="2" w:space="0" w:color="auto"/>
              <w:right w:val="single" w:sz="4" w:space="0" w:color="auto"/>
            </w:tcBorders>
            <w:tcMar>
              <w:left w:w="115" w:type="dxa"/>
              <w:right w:w="288" w:type="dxa"/>
            </w:tcMar>
            <w:vAlign w:val="center"/>
            <w:hideMark/>
          </w:tcPr>
          <w:p w14:paraId="329CDD12" w14:textId="77777777" w:rsidR="00D8365A" w:rsidRPr="00362517" w:rsidRDefault="00D8365A" w:rsidP="00BF6BC7">
            <w:pPr>
              <w:keepNext/>
              <w:jc w:val="center"/>
            </w:pPr>
            <w:r w:rsidRPr="00362517">
              <w:t>23</w:t>
            </w:r>
          </w:p>
        </w:tc>
      </w:tr>
      <w:tr w:rsidR="00D8365A" w:rsidRPr="00362517" w14:paraId="589F91AE" w14:textId="77777777" w:rsidTr="007A2164">
        <w:trPr>
          <w:cantSplit/>
          <w:trHeight w:val="643"/>
        </w:trPr>
        <w:tc>
          <w:tcPr>
            <w:tcW w:w="0" w:type="auto"/>
            <w:tcBorders>
              <w:top w:val="single" w:sz="2" w:space="0" w:color="auto"/>
              <w:left w:val="single" w:sz="4" w:space="0" w:color="auto"/>
              <w:bottom w:val="single" w:sz="2" w:space="0" w:color="auto"/>
              <w:right w:val="single" w:sz="2" w:space="0" w:color="auto"/>
            </w:tcBorders>
            <w:vAlign w:val="center"/>
            <w:hideMark/>
          </w:tcPr>
          <w:p w14:paraId="2BBF543A" w14:textId="77777777" w:rsidR="00D8365A" w:rsidRPr="00362517" w:rsidRDefault="00D8365A" w:rsidP="00BF6BC7">
            <w:pPr>
              <w:pStyle w:val="BodyText"/>
              <w:rPr>
                <w:rFonts w:cs="Times New Roman"/>
              </w:rPr>
            </w:pPr>
            <w:r w:rsidRPr="00362517">
              <w:rPr>
                <w:rFonts w:cs="Times New Roman"/>
              </w:rPr>
              <w:t>Revise EPA-administered tribal plans</w:t>
            </w:r>
          </w:p>
        </w:tc>
        <w:tc>
          <w:tcPr>
            <w:tcW w:w="0" w:type="auto"/>
            <w:tcBorders>
              <w:top w:val="single" w:sz="2" w:space="0" w:color="auto"/>
              <w:left w:val="single" w:sz="2" w:space="0" w:color="auto"/>
              <w:bottom w:val="single" w:sz="2" w:space="0" w:color="auto"/>
              <w:right w:val="single" w:sz="2" w:space="0" w:color="auto"/>
            </w:tcBorders>
            <w:vAlign w:val="center"/>
            <w:hideMark/>
          </w:tcPr>
          <w:p w14:paraId="660EEF96" w14:textId="77777777" w:rsidR="00D8365A" w:rsidRPr="00362517" w:rsidRDefault="00D8365A" w:rsidP="00BF6BC7">
            <w:pPr>
              <w:pStyle w:val="BodyText"/>
              <w:rPr>
                <w:rFonts w:cs="Times New Roman"/>
              </w:rPr>
            </w:pPr>
            <w:r w:rsidRPr="00362517">
              <w:rPr>
                <w:rFonts w:cs="Times New Roman"/>
              </w:rPr>
              <w:t xml:space="preserve">EPA costs: implementation </w:t>
            </w:r>
          </w:p>
        </w:tc>
        <w:tc>
          <w:tcPr>
            <w:tcW w:w="0" w:type="auto"/>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660A485F" w14:textId="77777777" w:rsidR="00D8365A" w:rsidRPr="00362517" w:rsidRDefault="00D8365A" w:rsidP="00BF6BC7">
            <w:pPr>
              <w:keepNext/>
              <w:jc w:val="center"/>
            </w:pPr>
            <w:r w:rsidRPr="00362517">
              <w:t>2</w:t>
            </w:r>
          </w:p>
        </w:tc>
        <w:tc>
          <w:tcPr>
            <w:tcW w:w="0" w:type="auto"/>
            <w:tcBorders>
              <w:top w:val="single" w:sz="2" w:space="0" w:color="auto"/>
              <w:left w:val="single" w:sz="2" w:space="0" w:color="auto"/>
              <w:bottom w:val="single" w:sz="2" w:space="0" w:color="auto"/>
              <w:right w:val="single" w:sz="2" w:space="0" w:color="auto"/>
            </w:tcBorders>
            <w:tcMar>
              <w:left w:w="115" w:type="dxa"/>
              <w:right w:w="288" w:type="dxa"/>
            </w:tcMar>
            <w:vAlign w:val="center"/>
            <w:hideMark/>
          </w:tcPr>
          <w:p w14:paraId="33876085" w14:textId="77777777" w:rsidR="00D8365A" w:rsidRPr="00362517" w:rsidRDefault="00D8365A" w:rsidP="00BF6BC7">
            <w:pPr>
              <w:keepNext/>
              <w:jc w:val="center"/>
            </w:pPr>
            <w:r w:rsidRPr="00362517">
              <w:t>0</w:t>
            </w:r>
          </w:p>
        </w:tc>
        <w:tc>
          <w:tcPr>
            <w:tcW w:w="0" w:type="auto"/>
            <w:tcBorders>
              <w:top w:val="single" w:sz="2" w:space="0" w:color="auto"/>
              <w:left w:val="single" w:sz="2" w:space="0" w:color="auto"/>
              <w:bottom w:val="single" w:sz="2" w:space="0" w:color="auto"/>
              <w:right w:val="single" w:sz="4" w:space="0" w:color="auto"/>
            </w:tcBorders>
            <w:tcMar>
              <w:left w:w="115" w:type="dxa"/>
              <w:right w:w="288" w:type="dxa"/>
            </w:tcMar>
            <w:vAlign w:val="center"/>
            <w:hideMark/>
          </w:tcPr>
          <w:p w14:paraId="6B8E9964" w14:textId="77777777" w:rsidR="00D8365A" w:rsidRPr="00362517" w:rsidRDefault="00D8365A" w:rsidP="00BF6BC7">
            <w:pPr>
              <w:keepNext/>
              <w:jc w:val="center"/>
            </w:pPr>
            <w:r w:rsidRPr="00362517">
              <w:t>2</w:t>
            </w:r>
          </w:p>
        </w:tc>
      </w:tr>
      <w:tr w:rsidR="00D8365A" w:rsidRPr="00362517" w14:paraId="33DE98BF" w14:textId="77777777" w:rsidTr="007A2164">
        <w:trPr>
          <w:cantSplit/>
          <w:trHeight w:val="643"/>
        </w:trPr>
        <w:tc>
          <w:tcPr>
            <w:tcW w:w="0" w:type="auto"/>
            <w:tcBorders>
              <w:top w:val="single" w:sz="2" w:space="0" w:color="auto"/>
              <w:left w:val="single" w:sz="4" w:space="0" w:color="auto"/>
              <w:bottom w:val="single" w:sz="4" w:space="0" w:color="auto"/>
              <w:right w:val="single" w:sz="2" w:space="0" w:color="auto"/>
            </w:tcBorders>
            <w:vAlign w:val="center"/>
          </w:tcPr>
          <w:p w14:paraId="7CA49FE4" w14:textId="77777777" w:rsidR="00D8365A" w:rsidRPr="00362517" w:rsidRDefault="00D8365A" w:rsidP="00BF6BC7">
            <w:pPr>
              <w:pStyle w:val="BodyText"/>
              <w:rPr>
                <w:rFonts w:cs="Times New Roman"/>
              </w:rPr>
            </w:pPr>
            <w:r w:rsidRPr="00362517">
              <w:rPr>
                <w:rFonts w:cs="Times New Roman"/>
              </w:rPr>
              <w:t>Develop exam/training materials</w:t>
            </w:r>
          </w:p>
        </w:tc>
        <w:tc>
          <w:tcPr>
            <w:tcW w:w="0" w:type="auto"/>
            <w:tcBorders>
              <w:top w:val="single" w:sz="2" w:space="0" w:color="auto"/>
              <w:left w:val="single" w:sz="2" w:space="0" w:color="auto"/>
              <w:bottom w:val="single" w:sz="4" w:space="0" w:color="auto"/>
              <w:right w:val="single" w:sz="2" w:space="0" w:color="auto"/>
            </w:tcBorders>
            <w:vAlign w:val="center"/>
          </w:tcPr>
          <w:p w14:paraId="5296EC4E" w14:textId="77777777" w:rsidR="00D8365A" w:rsidRPr="00362517" w:rsidRDefault="00D8365A" w:rsidP="00BF6BC7">
            <w:pPr>
              <w:pStyle w:val="BodyText"/>
              <w:rPr>
                <w:rFonts w:cs="Times New Roman"/>
              </w:rPr>
            </w:pPr>
            <w:r w:rsidRPr="00362517">
              <w:rPr>
                <w:rFonts w:cs="Times New Roman"/>
              </w:rPr>
              <w:t>Jurisdiction costs: implementation</w:t>
            </w:r>
          </w:p>
        </w:tc>
        <w:tc>
          <w:tcPr>
            <w:tcW w:w="0" w:type="auto"/>
            <w:tcBorders>
              <w:top w:val="single" w:sz="2" w:space="0" w:color="auto"/>
              <w:left w:val="single" w:sz="2" w:space="0" w:color="auto"/>
              <w:bottom w:val="single" w:sz="4" w:space="0" w:color="auto"/>
              <w:right w:val="single" w:sz="2" w:space="0" w:color="auto"/>
            </w:tcBorders>
            <w:tcMar>
              <w:left w:w="115" w:type="dxa"/>
              <w:right w:w="288" w:type="dxa"/>
            </w:tcMar>
            <w:vAlign w:val="center"/>
          </w:tcPr>
          <w:p w14:paraId="02F45D8E" w14:textId="77777777" w:rsidR="00D8365A" w:rsidRPr="00362517" w:rsidRDefault="00D8365A" w:rsidP="00BF6BC7">
            <w:pPr>
              <w:keepNext/>
              <w:jc w:val="center"/>
            </w:pPr>
            <w:r w:rsidRPr="00362517">
              <w:t>95</w:t>
            </w:r>
          </w:p>
        </w:tc>
        <w:tc>
          <w:tcPr>
            <w:tcW w:w="0" w:type="auto"/>
            <w:tcBorders>
              <w:top w:val="single" w:sz="2" w:space="0" w:color="auto"/>
              <w:left w:val="single" w:sz="2" w:space="0" w:color="auto"/>
              <w:bottom w:val="single" w:sz="4" w:space="0" w:color="auto"/>
              <w:right w:val="single" w:sz="2" w:space="0" w:color="auto"/>
            </w:tcBorders>
            <w:tcMar>
              <w:left w:w="115" w:type="dxa"/>
              <w:right w:w="288" w:type="dxa"/>
            </w:tcMar>
            <w:vAlign w:val="center"/>
          </w:tcPr>
          <w:p w14:paraId="73B5D5AB" w14:textId="77777777" w:rsidR="00D8365A" w:rsidRPr="00362517" w:rsidRDefault="00D8365A" w:rsidP="00BF6BC7">
            <w:pPr>
              <w:keepNext/>
              <w:jc w:val="center"/>
            </w:pPr>
            <w:r w:rsidRPr="00362517">
              <w:t>0</w:t>
            </w:r>
          </w:p>
        </w:tc>
        <w:tc>
          <w:tcPr>
            <w:tcW w:w="0" w:type="auto"/>
            <w:tcBorders>
              <w:top w:val="single" w:sz="2" w:space="0" w:color="auto"/>
              <w:left w:val="single" w:sz="2" w:space="0" w:color="auto"/>
              <w:bottom w:val="single" w:sz="4" w:space="0" w:color="auto"/>
              <w:right w:val="single" w:sz="4" w:space="0" w:color="auto"/>
            </w:tcBorders>
            <w:tcMar>
              <w:left w:w="115" w:type="dxa"/>
              <w:right w:w="288" w:type="dxa"/>
            </w:tcMar>
            <w:vAlign w:val="center"/>
          </w:tcPr>
          <w:p w14:paraId="21D2ED19" w14:textId="77777777" w:rsidR="00D8365A" w:rsidRPr="00362517" w:rsidRDefault="00D8365A" w:rsidP="00BF6BC7">
            <w:pPr>
              <w:keepNext/>
              <w:jc w:val="center"/>
            </w:pPr>
            <w:r w:rsidRPr="00362517">
              <w:t>95</w:t>
            </w:r>
          </w:p>
        </w:tc>
      </w:tr>
      <w:tr w:rsidR="00D8365A" w:rsidRPr="00362517" w14:paraId="24CE4499" w14:textId="77777777" w:rsidTr="007A2164">
        <w:trPr>
          <w:cantSplit/>
          <w:trHeight w:val="643"/>
        </w:trPr>
        <w:tc>
          <w:tcPr>
            <w:tcW w:w="0" w:type="auto"/>
            <w:tcBorders>
              <w:top w:val="single" w:sz="2" w:space="0" w:color="auto"/>
              <w:left w:val="single" w:sz="4" w:space="0" w:color="auto"/>
              <w:bottom w:val="single" w:sz="4" w:space="0" w:color="auto"/>
              <w:right w:val="single" w:sz="2" w:space="0" w:color="auto"/>
            </w:tcBorders>
            <w:vAlign w:val="center"/>
          </w:tcPr>
          <w:p w14:paraId="7D96A7DB" w14:textId="77777777" w:rsidR="00D8365A" w:rsidRPr="00362517" w:rsidRDefault="00D8365A" w:rsidP="00BF6BC7">
            <w:pPr>
              <w:pStyle w:val="BodyText"/>
              <w:rPr>
                <w:rFonts w:cs="Times New Roman"/>
              </w:rPr>
            </w:pPr>
            <w:r w:rsidRPr="00362517">
              <w:rPr>
                <w:rFonts w:cs="Times New Roman"/>
              </w:rPr>
              <w:t>Update tracking databases</w:t>
            </w:r>
          </w:p>
        </w:tc>
        <w:tc>
          <w:tcPr>
            <w:tcW w:w="0" w:type="auto"/>
            <w:tcBorders>
              <w:top w:val="single" w:sz="2" w:space="0" w:color="auto"/>
              <w:left w:val="single" w:sz="2" w:space="0" w:color="auto"/>
              <w:bottom w:val="single" w:sz="4" w:space="0" w:color="auto"/>
              <w:right w:val="single" w:sz="2" w:space="0" w:color="auto"/>
            </w:tcBorders>
            <w:vAlign w:val="center"/>
          </w:tcPr>
          <w:p w14:paraId="17B27FE9" w14:textId="77777777" w:rsidR="00D8365A" w:rsidRPr="00362517" w:rsidRDefault="00D8365A" w:rsidP="00BF6BC7">
            <w:pPr>
              <w:pStyle w:val="BodyText"/>
              <w:rPr>
                <w:rFonts w:cs="Times New Roman"/>
              </w:rPr>
            </w:pPr>
            <w:r w:rsidRPr="00362517">
              <w:rPr>
                <w:rFonts w:cs="Times New Roman"/>
              </w:rPr>
              <w:t>Jurisdiction costs: implementation</w:t>
            </w:r>
          </w:p>
        </w:tc>
        <w:tc>
          <w:tcPr>
            <w:tcW w:w="0" w:type="auto"/>
            <w:tcBorders>
              <w:top w:val="single" w:sz="2" w:space="0" w:color="auto"/>
              <w:left w:val="single" w:sz="2" w:space="0" w:color="auto"/>
              <w:bottom w:val="single" w:sz="4" w:space="0" w:color="auto"/>
              <w:right w:val="single" w:sz="2" w:space="0" w:color="auto"/>
            </w:tcBorders>
            <w:tcMar>
              <w:left w:w="115" w:type="dxa"/>
              <w:right w:w="288" w:type="dxa"/>
            </w:tcMar>
            <w:vAlign w:val="center"/>
          </w:tcPr>
          <w:p w14:paraId="35E1D128" w14:textId="77777777" w:rsidR="00D8365A" w:rsidRPr="00362517" w:rsidRDefault="00D8365A" w:rsidP="00BF6BC7">
            <w:pPr>
              <w:keepNext/>
              <w:jc w:val="center"/>
            </w:pPr>
            <w:r w:rsidRPr="00362517">
              <w:t>1,247</w:t>
            </w:r>
          </w:p>
        </w:tc>
        <w:tc>
          <w:tcPr>
            <w:tcW w:w="0" w:type="auto"/>
            <w:tcBorders>
              <w:top w:val="single" w:sz="2" w:space="0" w:color="auto"/>
              <w:left w:val="single" w:sz="2" w:space="0" w:color="auto"/>
              <w:bottom w:val="single" w:sz="4" w:space="0" w:color="auto"/>
              <w:right w:val="single" w:sz="2" w:space="0" w:color="auto"/>
            </w:tcBorders>
            <w:tcMar>
              <w:left w:w="115" w:type="dxa"/>
              <w:right w:w="288" w:type="dxa"/>
            </w:tcMar>
            <w:vAlign w:val="center"/>
          </w:tcPr>
          <w:p w14:paraId="3321B842" w14:textId="77777777" w:rsidR="00D8365A" w:rsidRPr="00362517" w:rsidRDefault="00D8365A" w:rsidP="00BF6BC7">
            <w:pPr>
              <w:keepNext/>
              <w:jc w:val="center"/>
            </w:pPr>
            <w:r w:rsidRPr="00362517">
              <w:t>0</w:t>
            </w:r>
          </w:p>
        </w:tc>
        <w:tc>
          <w:tcPr>
            <w:tcW w:w="0" w:type="auto"/>
            <w:tcBorders>
              <w:top w:val="single" w:sz="2" w:space="0" w:color="auto"/>
              <w:left w:val="single" w:sz="2" w:space="0" w:color="auto"/>
              <w:bottom w:val="single" w:sz="4" w:space="0" w:color="auto"/>
              <w:right w:val="single" w:sz="4" w:space="0" w:color="auto"/>
            </w:tcBorders>
            <w:tcMar>
              <w:left w:w="115" w:type="dxa"/>
              <w:right w:w="288" w:type="dxa"/>
            </w:tcMar>
            <w:vAlign w:val="center"/>
          </w:tcPr>
          <w:p w14:paraId="2FA695D1" w14:textId="77777777" w:rsidR="00D8365A" w:rsidRPr="00362517" w:rsidRDefault="00D8365A" w:rsidP="00BF6BC7">
            <w:pPr>
              <w:keepNext/>
              <w:jc w:val="center"/>
            </w:pPr>
            <w:r w:rsidRPr="00362517">
              <w:t>1,247</w:t>
            </w:r>
          </w:p>
        </w:tc>
      </w:tr>
    </w:tbl>
    <w:p w14:paraId="182A7AF9" w14:textId="4EAFF8F8" w:rsidR="00D8365A" w:rsidRPr="00362517" w:rsidRDefault="00D8365A" w:rsidP="00BF6BC7">
      <w:pPr>
        <w:autoSpaceDE w:val="0"/>
        <w:autoSpaceDN w:val="0"/>
        <w:adjustRightInd w:val="0"/>
        <w:spacing w:before="100" w:after="100"/>
      </w:pPr>
      <w:r w:rsidRPr="00362517">
        <w:rPr>
          <w:sz w:val="22"/>
          <w:szCs w:val="22"/>
        </w:rPr>
        <w:t>Source:  EPA calculations using a three percent discount rate over a ten</w:t>
      </w:r>
      <w:r w:rsidR="00CA28EA">
        <w:rPr>
          <w:sz w:val="22"/>
          <w:szCs w:val="22"/>
        </w:rPr>
        <w:t>-</w:t>
      </w:r>
      <w:r w:rsidRPr="00362517">
        <w:rPr>
          <w:sz w:val="22"/>
          <w:szCs w:val="22"/>
        </w:rPr>
        <w:t>year horizon.</w:t>
      </w:r>
    </w:p>
    <w:p w14:paraId="30BC70AF" w14:textId="77777777" w:rsidR="00D8365A" w:rsidRPr="00362517" w:rsidRDefault="00D8365A" w:rsidP="00BF6BC7">
      <w:pPr>
        <w:autoSpaceDE w:val="0"/>
        <w:autoSpaceDN w:val="0"/>
        <w:adjustRightInd w:val="0"/>
        <w:spacing w:before="100" w:after="100"/>
      </w:pPr>
    </w:p>
    <w:p w14:paraId="483BB554" w14:textId="77777777" w:rsidR="00D8365A" w:rsidRPr="00362517" w:rsidRDefault="00D8365A" w:rsidP="00BF6BC7">
      <w:pPr>
        <w:autoSpaceDE w:val="0"/>
        <w:autoSpaceDN w:val="0"/>
        <w:adjustRightInd w:val="0"/>
        <w:spacing w:before="100" w:after="100"/>
        <w:rPr>
          <w:i/>
        </w:rPr>
      </w:pPr>
      <w:r w:rsidRPr="00362517">
        <w:rPr>
          <w:i/>
        </w:rPr>
        <w:t>Jurisdiction Implementation</w:t>
      </w:r>
    </w:p>
    <w:p w14:paraId="35A8237E" w14:textId="77777777" w:rsidR="00D8365A" w:rsidRPr="00362517" w:rsidRDefault="00D8365A" w:rsidP="00BF6BC7">
      <w:r w:rsidRPr="00362517">
        <w:t xml:space="preserve">Many certifying authorities may have to rewrite their laws, regulations, and policies in order to update their certification plans as necessary to meet or exceed the final revisions.  In the Economic Analysis of the proposed rule, EPA assumed that the effort to revise the plans would entail about 500 hours of work by state employees (including senior and junior technicians and clerical staff) over two years.  The effort was assumed to be spread equally over two years.  Based on the public comments on the proposed rule, EPA revised its estimate of this cost to about 10,000 hours or 5 full time employees, again spread equally over two years.  The tribes, territories, and federal agencies found in the ‘Other Jurisdictions’ group have, combined, about the same number of applicators as a smaller state like Delaware or Maine and are assumed to expend, combined, 10,000 hours over two years.  The final rule provides the jurisdictions with up to three years to revise their programs, but for the purpose of estimating the costs, EPA assumes the effort will be expended in two years in keeping with EPA’s approach to estimate the cost to applicators (see Sections 1.5 and 3.2.1 for further detail on the EPA’s rationale for using a two-year implementation period).  The estimated annualized cost of revising plans is $2.45 million per year over 10 years (Table 3.4-9) compared to $2.41 million per year over 10 years under a three-year implementation period.  The former represents a slight overestimation compared to the latter, as noted in section 1.5.  </w:t>
      </w:r>
    </w:p>
    <w:p w14:paraId="0E6679A9" w14:textId="77777777" w:rsidR="00D8365A" w:rsidRPr="00362517" w:rsidRDefault="00D8365A" w:rsidP="00BF6BC7"/>
    <w:p w14:paraId="0C55F68E" w14:textId="217BA177" w:rsidR="00D8365A" w:rsidRPr="00362517" w:rsidRDefault="00D8365A" w:rsidP="00BF6BC7">
      <w:r w:rsidRPr="00362517">
        <w:t>The implementation of the final revisions may also necessitate certifying authorities to update their databases to improve tracking of the certification status of applicators.  During the public comment period on the proposed rule, several states provided numerical estimates of such costs, and based on this information, EPA estimates the costs of updating tracking databases at $1.2 million per year over 10 years, assuming the full costs are borne in the first two years of the time horizon</w:t>
      </w:r>
      <w:r w:rsidR="00A2289C">
        <w:t>, see Appendix A for more detail</w:t>
      </w:r>
      <w:r w:rsidRPr="00362517">
        <w:t xml:space="preserve">.  Another upfront cost that certifying authorities incur during the implementation period are the costs of developing exam and training materials, which are estimated at $95,000 per year.  Note that these latter tasks can be conducted after revising and submitting the certification plans.   </w:t>
      </w:r>
    </w:p>
    <w:p w14:paraId="58E054DD" w14:textId="77777777" w:rsidR="00D8365A" w:rsidRPr="00362517" w:rsidRDefault="00D8365A" w:rsidP="00BF6BC7"/>
    <w:p w14:paraId="312493BA" w14:textId="77777777" w:rsidR="00D8365A" w:rsidRPr="00362517" w:rsidRDefault="00D8365A" w:rsidP="00BF6BC7">
      <w:r w:rsidRPr="00362517">
        <w:t xml:space="preserve">Note that the costs in Table 3.4-9 are the “upfront” costs (e.g., costs of revising state laws and regulations to update certification plans, costs of developing exam and training materials, etc) that jurisdictions incur during the implementation period and do not include the incremental costs of administering the certification program (e.g., costs to certifying authorities of proctoring certification exams or providing recertification trainings).  These costs are estimated in Sections 3.4.1, 3.4.2, and 3.4.6.     </w:t>
      </w:r>
    </w:p>
    <w:p w14:paraId="6344208F" w14:textId="77777777" w:rsidR="00D8365A" w:rsidRPr="00362517" w:rsidRDefault="00D8365A" w:rsidP="00BF6BC7"/>
    <w:p w14:paraId="47A1ED8F" w14:textId="77777777" w:rsidR="00D8365A" w:rsidRPr="00362517" w:rsidRDefault="00D8365A" w:rsidP="00BF6BC7">
      <w:pPr>
        <w:pStyle w:val="Heading4"/>
        <w:rPr>
          <w:b w:val="0"/>
        </w:rPr>
      </w:pPr>
      <w:r w:rsidRPr="00362517">
        <w:rPr>
          <w:b w:val="0"/>
        </w:rPr>
        <w:t>EPA Administration Costs</w:t>
      </w:r>
    </w:p>
    <w:p w14:paraId="2A235819" w14:textId="77777777" w:rsidR="00D8365A" w:rsidRPr="00362517" w:rsidRDefault="00D8365A" w:rsidP="00BF6BC7">
      <w:pPr>
        <w:pStyle w:val="BodyText"/>
      </w:pPr>
      <w:r w:rsidRPr="00362517">
        <w:t>EPA will have to review and possibly revise the two tribal certification plans it administers.  The total incremental cost is estimated at $2 thousand.  EPA will also have to review all the certification plans submitted by the states and other certifying authorities.  This cost is estimated at $23 thousand per year (Table 3.4-9).  As with the other jurisdictional costs, these costs will be incurred in the initial years of the time horizon.</w:t>
      </w:r>
    </w:p>
    <w:p w14:paraId="28F7860F" w14:textId="77777777" w:rsidR="00D8365A" w:rsidRPr="00362517" w:rsidRDefault="00D8365A" w:rsidP="00BF6BC7">
      <w:pPr>
        <w:pStyle w:val="BodyText"/>
      </w:pPr>
    </w:p>
    <w:p w14:paraId="3ADEB229" w14:textId="77777777" w:rsidR="00D8365A" w:rsidRPr="00362517" w:rsidRDefault="00D8365A" w:rsidP="00BF6BC7">
      <w:pPr>
        <w:pStyle w:val="BodyText"/>
      </w:pPr>
    </w:p>
    <w:p w14:paraId="0C659807" w14:textId="77777777" w:rsidR="00D8365A" w:rsidRPr="00362517" w:rsidRDefault="00D8365A" w:rsidP="00BF6BC7">
      <w:pPr>
        <w:pStyle w:val="BodyText"/>
        <w:rPr>
          <w:b/>
        </w:rPr>
      </w:pPr>
    </w:p>
    <w:p w14:paraId="308602CF" w14:textId="77777777" w:rsidR="00D8365A" w:rsidRPr="00362517" w:rsidRDefault="00D8365A" w:rsidP="00BF6BC7">
      <w:pPr>
        <w:pStyle w:val="Heading2"/>
      </w:pPr>
      <w:bookmarkStart w:id="250" w:name="_Toc452020151"/>
      <w:bookmarkStart w:id="251" w:name="_Toc456270175"/>
      <w:bookmarkStart w:id="252" w:name="_Toc468872091"/>
      <w:r w:rsidRPr="00362517">
        <w:t>3.5</w:t>
      </w:r>
      <w:r w:rsidRPr="00362517">
        <w:tab/>
        <w:t>Total Cost of Final Rule</w:t>
      </w:r>
      <w:bookmarkEnd w:id="250"/>
      <w:bookmarkEnd w:id="251"/>
      <w:bookmarkEnd w:id="252"/>
    </w:p>
    <w:p w14:paraId="202696DE" w14:textId="77777777" w:rsidR="00D8365A" w:rsidRPr="00362517" w:rsidRDefault="00D8365A" w:rsidP="00BF6BC7">
      <w:pPr>
        <w:keepNext/>
      </w:pPr>
    </w:p>
    <w:p w14:paraId="03768A0F" w14:textId="77777777" w:rsidR="00D8365A" w:rsidRPr="00362517" w:rsidRDefault="00D8365A" w:rsidP="00BF6BC7">
      <w:pPr>
        <w:pStyle w:val="BodyText"/>
        <w:keepNext/>
      </w:pPr>
      <w:r w:rsidRPr="00362517">
        <w:t xml:space="preserve">The total cost of the final rule can be estimated by summing the costs of the components evaluated in the previous sections.  EPA estimates that the present value of the incremental cost of the final rule over ten years to be $273 million, given a three percent discount rate.  The annualized cost is about $31.3 million per year (Table 3.5-2).  Using a seven percent discount rate yields a present value over ten years of $229 million, and an annualized cost of $29.8 million. </w:t>
      </w:r>
    </w:p>
    <w:p w14:paraId="759B18E5" w14:textId="77777777" w:rsidR="00D8365A" w:rsidRPr="00362517" w:rsidRDefault="00D8365A" w:rsidP="00BF6BC7">
      <w:pPr>
        <w:pStyle w:val="BodyText"/>
      </w:pPr>
    </w:p>
    <w:p w14:paraId="5A16F2EA" w14:textId="77777777" w:rsidR="00D8365A" w:rsidRPr="00362517" w:rsidRDefault="00D8365A" w:rsidP="00BF6BC7"/>
    <w:p w14:paraId="3D71E03D" w14:textId="77777777" w:rsidR="00D8365A" w:rsidRPr="00362517" w:rsidRDefault="00D8365A" w:rsidP="00BF6BC7">
      <w:pPr>
        <w:rPr>
          <w:b/>
        </w:rPr>
      </w:pPr>
      <w:r w:rsidRPr="00362517">
        <w:rPr>
          <w:b/>
        </w:rPr>
        <w:t>Table 3.5-1.  Summation of Costs</w:t>
      </w:r>
    </w:p>
    <w:tbl>
      <w:tblPr>
        <w:tblW w:w="5000" w:type="pct"/>
        <w:tblLook w:val="04A0" w:firstRow="1" w:lastRow="0" w:firstColumn="1" w:lastColumn="0" w:noHBand="0" w:noVBand="1"/>
      </w:tblPr>
      <w:tblGrid>
        <w:gridCol w:w="3955"/>
        <w:gridCol w:w="1799"/>
        <w:gridCol w:w="1801"/>
        <w:gridCol w:w="1795"/>
      </w:tblGrid>
      <w:tr w:rsidR="00D8365A" w:rsidRPr="00362517" w14:paraId="194317AE" w14:textId="77777777" w:rsidTr="00E268E3">
        <w:trPr>
          <w:trHeight w:val="624"/>
        </w:trPr>
        <w:tc>
          <w:tcPr>
            <w:tcW w:w="2115" w:type="pct"/>
            <w:vMerge w:val="restart"/>
            <w:tcBorders>
              <w:top w:val="single" w:sz="4" w:space="0" w:color="auto"/>
              <w:left w:val="single" w:sz="4" w:space="0" w:color="auto"/>
              <w:bottom w:val="single" w:sz="4" w:space="0" w:color="000000"/>
              <w:right w:val="nil"/>
            </w:tcBorders>
            <w:shd w:val="clear" w:color="auto" w:fill="auto"/>
            <w:vAlign w:val="center"/>
            <w:hideMark/>
          </w:tcPr>
          <w:p w14:paraId="54B446D8" w14:textId="77777777" w:rsidR="00D8365A" w:rsidRPr="00362517" w:rsidRDefault="00D8365A" w:rsidP="00BF6BC7">
            <w:r w:rsidRPr="00362517">
              <w:t>Component</w:t>
            </w:r>
          </w:p>
        </w:tc>
        <w:tc>
          <w:tcPr>
            <w:tcW w:w="962" w:type="pct"/>
            <w:tcBorders>
              <w:top w:val="single" w:sz="4" w:space="0" w:color="auto"/>
              <w:left w:val="single" w:sz="4" w:space="0" w:color="auto"/>
              <w:right w:val="single" w:sz="4" w:space="0" w:color="auto"/>
            </w:tcBorders>
            <w:shd w:val="clear" w:color="auto" w:fill="auto"/>
            <w:vAlign w:val="center"/>
            <w:hideMark/>
          </w:tcPr>
          <w:p w14:paraId="230EBFA3" w14:textId="77777777" w:rsidR="00D8365A" w:rsidRPr="00362517" w:rsidRDefault="00D8365A" w:rsidP="00BF6BC7">
            <w:pPr>
              <w:jc w:val="center"/>
            </w:pPr>
            <w:r w:rsidRPr="00362517">
              <w:t>Annualized Cost</w:t>
            </w:r>
          </w:p>
        </w:tc>
        <w:tc>
          <w:tcPr>
            <w:tcW w:w="963" w:type="pct"/>
            <w:tcBorders>
              <w:top w:val="single" w:sz="4" w:space="0" w:color="auto"/>
              <w:left w:val="nil"/>
              <w:right w:val="single" w:sz="4" w:space="0" w:color="auto"/>
            </w:tcBorders>
            <w:shd w:val="clear" w:color="auto" w:fill="auto"/>
            <w:vAlign w:val="center"/>
            <w:hideMark/>
          </w:tcPr>
          <w:p w14:paraId="07DA8AAA" w14:textId="77777777" w:rsidR="00D8365A" w:rsidRPr="00362517" w:rsidRDefault="00D8365A" w:rsidP="00BF6BC7">
            <w:pPr>
              <w:jc w:val="center"/>
            </w:pPr>
            <w:r w:rsidRPr="00362517">
              <w:t>Annualized Cost</w:t>
            </w:r>
          </w:p>
        </w:tc>
        <w:tc>
          <w:tcPr>
            <w:tcW w:w="960" w:type="pct"/>
            <w:tcBorders>
              <w:top w:val="single" w:sz="4" w:space="0" w:color="auto"/>
              <w:left w:val="nil"/>
              <w:right w:val="single" w:sz="4" w:space="0" w:color="auto"/>
            </w:tcBorders>
            <w:shd w:val="clear" w:color="auto" w:fill="auto"/>
            <w:vAlign w:val="center"/>
            <w:hideMark/>
          </w:tcPr>
          <w:p w14:paraId="660642F1" w14:textId="77777777" w:rsidR="00D8365A" w:rsidRPr="00362517" w:rsidRDefault="00D8365A" w:rsidP="00BF6BC7">
            <w:pPr>
              <w:jc w:val="center"/>
            </w:pPr>
            <w:r w:rsidRPr="00362517">
              <w:t>Annualized Cost</w:t>
            </w:r>
          </w:p>
        </w:tc>
      </w:tr>
      <w:tr w:rsidR="00D8365A" w:rsidRPr="00362517" w14:paraId="63B26BC6" w14:textId="77777777" w:rsidTr="00E268E3">
        <w:trPr>
          <w:trHeight w:val="804"/>
        </w:trPr>
        <w:tc>
          <w:tcPr>
            <w:tcW w:w="2115" w:type="pct"/>
            <w:vMerge/>
            <w:tcBorders>
              <w:top w:val="single" w:sz="4" w:space="0" w:color="auto"/>
              <w:left w:val="single" w:sz="4" w:space="0" w:color="auto"/>
              <w:bottom w:val="single" w:sz="4" w:space="0" w:color="000000"/>
              <w:right w:val="nil"/>
            </w:tcBorders>
            <w:vAlign w:val="center"/>
            <w:hideMark/>
          </w:tcPr>
          <w:p w14:paraId="3DF038EA" w14:textId="77777777" w:rsidR="00D8365A" w:rsidRPr="00362517" w:rsidRDefault="00D8365A" w:rsidP="00BF6BC7"/>
        </w:tc>
        <w:tc>
          <w:tcPr>
            <w:tcW w:w="962" w:type="pct"/>
            <w:tcBorders>
              <w:top w:val="nil"/>
              <w:left w:val="single" w:sz="4" w:space="0" w:color="auto"/>
              <w:bottom w:val="single" w:sz="4" w:space="0" w:color="auto"/>
              <w:right w:val="single" w:sz="4" w:space="0" w:color="auto"/>
            </w:tcBorders>
            <w:shd w:val="clear" w:color="auto" w:fill="auto"/>
            <w:vAlign w:val="center"/>
            <w:hideMark/>
          </w:tcPr>
          <w:p w14:paraId="43C44685" w14:textId="77777777" w:rsidR="00D8365A" w:rsidRPr="00362517" w:rsidRDefault="00D8365A" w:rsidP="00BF6BC7">
            <w:pPr>
              <w:jc w:val="center"/>
            </w:pPr>
            <w:r w:rsidRPr="00362517">
              <w:t>Private Applicator</w:t>
            </w:r>
          </w:p>
        </w:tc>
        <w:tc>
          <w:tcPr>
            <w:tcW w:w="963" w:type="pct"/>
            <w:tcBorders>
              <w:top w:val="nil"/>
              <w:left w:val="nil"/>
              <w:bottom w:val="single" w:sz="4" w:space="0" w:color="auto"/>
              <w:right w:val="single" w:sz="4" w:space="0" w:color="auto"/>
            </w:tcBorders>
            <w:shd w:val="clear" w:color="auto" w:fill="auto"/>
            <w:vAlign w:val="center"/>
            <w:hideMark/>
          </w:tcPr>
          <w:p w14:paraId="5BD22A2A" w14:textId="77777777" w:rsidR="00D8365A" w:rsidRPr="00362517" w:rsidRDefault="00D8365A" w:rsidP="00BF6BC7">
            <w:pPr>
              <w:jc w:val="center"/>
            </w:pPr>
            <w:r w:rsidRPr="00362517">
              <w:t>Commercial Applicator</w:t>
            </w:r>
          </w:p>
        </w:tc>
        <w:tc>
          <w:tcPr>
            <w:tcW w:w="960" w:type="pct"/>
            <w:tcBorders>
              <w:top w:val="nil"/>
              <w:left w:val="nil"/>
              <w:bottom w:val="single" w:sz="4" w:space="0" w:color="auto"/>
              <w:right w:val="single" w:sz="4" w:space="0" w:color="auto"/>
            </w:tcBorders>
            <w:shd w:val="clear" w:color="auto" w:fill="auto"/>
            <w:vAlign w:val="center"/>
            <w:hideMark/>
          </w:tcPr>
          <w:p w14:paraId="28A882E6" w14:textId="77777777" w:rsidR="00D8365A" w:rsidRPr="00362517" w:rsidRDefault="00D8365A" w:rsidP="00BF6BC7">
            <w:pPr>
              <w:jc w:val="center"/>
            </w:pPr>
            <w:r w:rsidRPr="00362517">
              <w:t>Governmental Entities</w:t>
            </w:r>
          </w:p>
        </w:tc>
      </w:tr>
      <w:tr w:rsidR="00D8365A" w:rsidRPr="00362517" w14:paraId="5318E311" w14:textId="77777777" w:rsidTr="00E268E3">
        <w:trPr>
          <w:trHeight w:val="80"/>
        </w:trPr>
        <w:tc>
          <w:tcPr>
            <w:tcW w:w="2115" w:type="pct"/>
            <w:vMerge/>
            <w:tcBorders>
              <w:top w:val="single" w:sz="4" w:space="0" w:color="auto"/>
              <w:left w:val="single" w:sz="4" w:space="0" w:color="auto"/>
              <w:bottom w:val="single" w:sz="4" w:space="0" w:color="000000"/>
              <w:right w:val="nil"/>
            </w:tcBorders>
            <w:vAlign w:val="center"/>
            <w:hideMark/>
          </w:tcPr>
          <w:p w14:paraId="4EDD69F0" w14:textId="77777777" w:rsidR="00D8365A" w:rsidRPr="00362517" w:rsidRDefault="00D8365A" w:rsidP="00BF6BC7"/>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60251" w14:textId="77777777" w:rsidR="00D8365A" w:rsidRPr="00362517" w:rsidRDefault="00D8365A" w:rsidP="00BF6BC7">
            <w:pPr>
              <w:jc w:val="center"/>
            </w:pPr>
            <w:r w:rsidRPr="00362517">
              <w:t>$1,000</w:t>
            </w:r>
          </w:p>
        </w:tc>
        <w:tc>
          <w:tcPr>
            <w:tcW w:w="963" w:type="pct"/>
            <w:tcBorders>
              <w:top w:val="single" w:sz="4" w:space="0" w:color="auto"/>
              <w:left w:val="nil"/>
              <w:bottom w:val="single" w:sz="4" w:space="0" w:color="auto"/>
              <w:right w:val="single" w:sz="4" w:space="0" w:color="auto"/>
            </w:tcBorders>
            <w:shd w:val="clear" w:color="auto" w:fill="auto"/>
            <w:vAlign w:val="center"/>
            <w:hideMark/>
          </w:tcPr>
          <w:p w14:paraId="7603A701" w14:textId="77777777" w:rsidR="00D8365A" w:rsidRPr="00362517" w:rsidRDefault="00D8365A" w:rsidP="00BF6BC7">
            <w:pPr>
              <w:jc w:val="center"/>
            </w:pPr>
            <w:r w:rsidRPr="00362517">
              <w:t>$1,000</w:t>
            </w:r>
          </w:p>
        </w:tc>
        <w:tc>
          <w:tcPr>
            <w:tcW w:w="960" w:type="pct"/>
            <w:tcBorders>
              <w:top w:val="single" w:sz="4" w:space="0" w:color="auto"/>
              <w:left w:val="nil"/>
              <w:bottom w:val="single" w:sz="4" w:space="0" w:color="auto"/>
              <w:right w:val="single" w:sz="4" w:space="0" w:color="auto"/>
            </w:tcBorders>
            <w:shd w:val="clear" w:color="auto" w:fill="auto"/>
            <w:vAlign w:val="center"/>
            <w:hideMark/>
          </w:tcPr>
          <w:p w14:paraId="052AB971" w14:textId="77777777" w:rsidR="00D8365A" w:rsidRPr="00362517" w:rsidRDefault="00D8365A" w:rsidP="00BF6BC7">
            <w:pPr>
              <w:jc w:val="center"/>
            </w:pPr>
            <w:r w:rsidRPr="00362517">
              <w:t>$1,000</w:t>
            </w:r>
          </w:p>
        </w:tc>
      </w:tr>
      <w:tr w:rsidR="00D8365A" w:rsidRPr="00362517" w14:paraId="4A2F4A78" w14:textId="77777777" w:rsidTr="007A2164">
        <w:trPr>
          <w:trHeight w:val="431"/>
        </w:trPr>
        <w:tc>
          <w:tcPr>
            <w:tcW w:w="2115" w:type="pct"/>
            <w:tcBorders>
              <w:top w:val="nil"/>
              <w:left w:val="single" w:sz="4" w:space="0" w:color="auto"/>
              <w:bottom w:val="single" w:sz="4" w:space="0" w:color="auto"/>
              <w:right w:val="single" w:sz="4" w:space="0" w:color="auto"/>
            </w:tcBorders>
            <w:shd w:val="clear" w:color="auto" w:fill="auto"/>
            <w:vAlign w:val="center"/>
            <w:hideMark/>
          </w:tcPr>
          <w:p w14:paraId="7CCBD3CC" w14:textId="77777777" w:rsidR="00D8365A" w:rsidRPr="00362517" w:rsidRDefault="00D8365A" w:rsidP="00BF6BC7">
            <w:r w:rsidRPr="00362517">
              <w:t>Private Certification (Table 3.4-1)</w:t>
            </w:r>
          </w:p>
        </w:tc>
        <w:tc>
          <w:tcPr>
            <w:tcW w:w="962" w:type="pct"/>
            <w:tcBorders>
              <w:top w:val="nil"/>
              <w:left w:val="nil"/>
              <w:bottom w:val="single" w:sz="4" w:space="0" w:color="auto"/>
              <w:right w:val="single" w:sz="4" w:space="0" w:color="auto"/>
            </w:tcBorders>
            <w:shd w:val="clear" w:color="auto" w:fill="auto"/>
            <w:vAlign w:val="center"/>
            <w:hideMark/>
          </w:tcPr>
          <w:p w14:paraId="32892408" w14:textId="77777777" w:rsidR="00D8365A" w:rsidRPr="00362517" w:rsidRDefault="00D8365A" w:rsidP="00BF6BC7">
            <w:pPr>
              <w:jc w:val="center"/>
            </w:pPr>
            <w:r w:rsidRPr="00362517">
              <w:t>4,348</w:t>
            </w:r>
          </w:p>
        </w:tc>
        <w:tc>
          <w:tcPr>
            <w:tcW w:w="963" w:type="pct"/>
            <w:tcBorders>
              <w:top w:val="nil"/>
              <w:left w:val="nil"/>
              <w:bottom w:val="single" w:sz="4" w:space="0" w:color="auto"/>
              <w:right w:val="single" w:sz="4" w:space="0" w:color="auto"/>
            </w:tcBorders>
            <w:shd w:val="clear" w:color="auto" w:fill="auto"/>
            <w:vAlign w:val="center"/>
            <w:hideMark/>
          </w:tcPr>
          <w:p w14:paraId="52382889" w14:textId="77777777" w:rsidR="00D8365A" w:rsidRPr="00362517" w:rsidRDefault="00D8365A" w:rsidP="00BF6BC7">
            <w:pPr>
              <w:jc w:val="center"/>
            </w:pPr>
            <w:r w:rsidRPr="00362517">
              <w:t>na</w:t>
            </w:r>
          </w:p>
        </w:tc>
        <w:tc>
          <w:tcPr>
            <w:tcW w:w="960" w:type="pct"/>
            <w:tcBorders>
              <w:top w:val="nil"/>
              <w:left w:val="nil"/>
              <w:bottom w:val="single" w:sz="4" w:space="0" w:color="auto"/>
              <w:right w:val="single" w:sz="4" w:space="0" w:color="auto"/>
            </w:tcBorders>
            <w:shd w:val="clear" w:color="auto" w:fill="auto"/>
            <w:vAlign w:val="center"/>
            <w:hideMark/>
          </w:tcPr>
          <w:p w14:paraId="4F78039C" w14:textId="77777777" w:rsidR="00D8365A" w:rsidRPr="00362517" w:rsidRDefault="00D8365A" w:rsidP="00BF6BC7">
            <w:pPr>
              <w:jc w:val="center"/>
            </w:pPr>
            <w:r w:rsidRPr="00362517">
              <w:t>75</w:t>
            </w:r>
            <w:r w:rsidRPr="00362517">
              <w:rPr>
                <w:vertAlign w:val="superscript"/>
              </w:rPr>
              <w:t>a</w:t>
            </w:r>
          </w:p>
        </w:tc>
      </w:tr>
      <w:tr w:rsidR="00D8365A" w:rsidRPr="00362517" w14:paraId="5F840E13" w14:textId="77777777" w:rsidTr="007A2164">
        <w:trPr>
          <w:trHeight w:val="620"/>
        </w:trPr>
        <w:tc>
          <w:tcPr>
            <w:tcW w:w="2115" w:type="pct"/>
            <w:tcBorders>
              <w:top w:val="nil"/>
              <w:left w:val="single" w:sz="4" w:space="0" w:color="auto"/>
              <w:bottom w:val="single" w:sz="4" w:space="0" w:color="auto"/>
              <w:right w:val="single" w:sz="4" w:space="0" w:color="auto"/>
            </w:tcBorders>
            <w:shd w:val="clear" w:color="auto" w:fill="auto"/>
            <w:vAlign w:val="center"/>
            <w:hideMark/>
          </w:tcPr>
          <w:p w14:paraId="1348AC6C" w14:textId="77777777" w:rsidR="00D8365A" w:rsidRPr="00362517" w:rsidRDefault="00D8365A" w:rsidP="00BF6BC7">
            <w:r w:rsidRPr="00362517">
              <w:t>Aerial Certification (Tables 3.4-3 and 3.4-5)</w:t>
            </w:r>
          </w:p>
        </w:tc>
        <w:tc>
          <w:tcPr>
            <w:tcW w:w="962" w:type="pct"/>
            <w:tcBorders>
              <w:top w:val="nil"/>
              <w:left w:val="nil"/>
              <w:bottom w:val="single" w:sz="4" w:space="0" w:color="auto"/>
              <w:right w:val="single" w:sz="4" w:space="0" w:color="auto"/>
            </w:tcBorders>
            <w:shd w:val="clear" w:color="auto" w:fill="auto"/>
            <w:vAlign w:val="center"/>
            <w:hideMark/>
          </w:tcPr>
          <w:p w14:paraId="660B6201" w14:textId="77777777" w:rsidR="00D8365A" w:rsidRPr="00362517" w:rsidRDefault="00D8365A" w:rsidP="00BF6BC7">
            <w:pPr>
              <w:jc w:val="center"/>
            </w:pPr>
            <w:r w:rsidRPr="00362517">
              <w:t>3.3</w:t>
            </w:r>
          </w:p>
        </w:tc>
        <w:tc>
          <w:tcPr>
            <w:tcW w:w="963" w:type="pct"/>
            <w:tcBorders>
              <w:top w:val="nil"/>
              <w:left w:val="nil"/>
              <w:bottom w:val="single" w:sz="4" w:space="0" w:color="auto"/>
              <w:right w:val="single" w:sz="4" w:space="0" w:color="auto"/>
            </w:tcBorders>
            <w:shd w:val="clear" w:color="auto" w:fill="auto"/>
            <w:vAlign w:val="center"/>
            <w:hideMark/>
          </w:tcPr>
          <w:p w14:paraId="5DBBB819" w14:textId="77777777" w:rsidR="00D8365A" w:rsidRPr="00362517" w:rsidRDefault="00D8365A" w:rsidP="00BF6BC7">
            <w:pPr>
              <w:jc w:val="center"/>
            </w:pPr>
            <w:r w:rsidRPr="00362517">
              <w:t>396</w:t>
            </w:r>
          </w:p>
        </w:tc>
        <w:tc>
          <w:tcPr>
            <w:tcW w:w="960" w:type="pct"/>
            <w:tcBorders>
              <w:top w:val="nil"/>
              <w:left w:val="nil"/>
              <w:bottom w:val="single" w:sz="4" w:space="0" w:color="auto"/>
              <w:right w:val="single" w:sz="4" w:space="0" w:color="auto"/>
            </w:tcBorders>
            <w:shd w:val="clear" w:color="auto" w:fill="auto"/>
            <w:vAlign w:val="center"/>
            <w:hideMark/>
          </w:tcPr>
          <w:p w14:paraId="05927AF7" w14:textId="77777777" w:rsidR="00D8365A" w:rsidRPr="00362517" w:rsidRDefault="00D8365A" w:rsidP="00BF6BC7">
            <w:pPr>
              <w:jc w:val="center"/>
            </w:pPr>
            <w:r w:rsidRPr="00362517">
              <w:t>36</w:t>
            </w:r>
            <w:r w:rsidRPr="00362517">
              <w:rPr>
                <w:vertAlign w:val="superscript"/>
              </w:rPr>
              <w:t>a</w:t>
            </w:r>
          </w:p>
        </w:tc>
      </w:tr>
      <w:tr w:rsidR="00D8365A" w:rsidRPr="00362517" w14:paraId="5A5863FD" w14:textId="77777777" w:rsidTr="007A2164">
        <w:trPr>
          <w:trHeight w:val="620"/>
        </w:trPr>
        <w:tc>
          <w:tcPr>
            <w:tcW w:w="2115" w:type="pct"/>
            <w:tcBorders>
              <w:top w:val="nil"/>
              <w:left w:val="single" w:sz="4" w:space="0" w:color="auto"/>
              <w:bottom w:val="single" w:sz="4" w:space="0" w:color="auto"/>
              <w:right w:val="single" w:sz="4" w:space="0" w:color="auto"/>
            </w:tcBorders>
            <w:shd w:val="clear" w:color="auto" w:fill="auto"/>
            <w:vAlign w:val="center"/>
            <w:hideMark/>
          </w:tcPr>
          <w:p w14:paraId="681CDF84" w14:textId="77777777" w:rsidR="00D8365A" w:rsidRPr="00362517" w:rsidRDefault="00D8365A" w:rsidP="00BF6BC7">
            <w:r w:rsidRPr="00362517">
              <w:t>Non-Soil Fumigation Certification (Tables 3.4-3 and 3.4-5)</w:t>
            </w:r>
          </w:p>
        </w:tc>
        <w:tc>
          <w:tcPr>
            <w:tcW w:w="962" w:type="pct"/>
            <w:tcBorders>
              <w:top w:val="nil"/>
              <w:left w:val="nil"/>
              <w:bottom w:val="single" w:sz="4" w:space="0" w:color="auto"/>
              <w:right w:val="single" w:sz="4" w:space="0" w:color="auto"/>
            </w:tcBorders>
            <w:shd w:val="clear" w:color="auto" w:fill="auto"/>
            <w:vAlign w:val="center"/>
            <w:hideMark/>
          </w:tcPr>
          <w:p w14:paraId="36B7CB62" w14:textId="77777777" w:rsidR="00D8365A" w:rsidRPr="00362517" w:rsidRDefault="00D8365A" w:rsidP="00BF6BC7">
            <w:pPr>
              <w:jc w:val="center"/>
            </w:pPr>
            <w:r w:rsidRPr="00362517">
              <w:t>97</w:t>
            </w:r>
          </w:p>
        </w:tc>
        <w:tc>
          <w:tcPr>
            <w:tcW w:w="963" w:type="pct"/>
            <w:tcBorders>
              <w:top w:val="nil"/>
              <w:left w:val="nil"/>
              <w:bottom w:val="single" w:sz="4" w:space="0" w:color="auto"/>
              <w:right w:val="single" w:sz="4" w:space="0" w:color="auto"/>
            </w:tcBorders>
            <w:shd w:val="clear" w:color="auto" w:fill="auto"/>
            <w:vAlign w:val="center"/>
            <w:hideMark/>
          </w:tcPr>
          <w:p w14:paraId="44022ED1" w14:textId="77777777" w:rsidR="00D8365A" w:rsidRPr="00362517" w:rsidRDefault="00D8365A" w:rsidP="00BF6BC7">
            <w:pPr>
              <w:jc w:val="center"/>
            </w:pPr>
            <w:r w:rsidRPr="00362517">
              <w:t>151</w:t>
            </w:r>
          </w:p>
        </w:tc>
        <w:tc>
          <w:tcPr>
            <w:tcW w:w="960" w:type="pct"/>
            <w:tcBorders>
              <w:top w:val="nil"/>
              <w:left w:val="nil"/>
              <w:bottom w:val="single" w:sz="4" w:space="0" w:color="auto"/>
              <w:right w:val="single" w:sz="4" w:space="0" w:color="auto"/>
            </w:tcBorders>
            <w:shd w:val="clear" w:color="auto" w:fill="auto"/>
            <w:vAlign w:val="center"/>
            <w:hideMark/>
          </w:tcPr>
          <w:p w14:paraId="22CAD4F4" w14:textId="77777777" w:rsidR="00D8365A" w:rsidRPr="00362517" w:rsidRDefault="00D8365A" w:rsidP="00BF6BC7">
            <w:pPr>
              <w:jc w:val="center"/>
            </w:pPr>
            <w:r w:rsidRPr="00362517">
              <w:t>56</w:t>
            </w:r>
            <w:r w:rsidRPr="00362517">
              <w:rPr>
                <w:vertAlign w:val="superscript"/>
              </w:rPr>
              <w:t>a</w:t>
            </w:r>
          </w:p>
        </w:tc>
      </w:tr>
      <w:tr w:rsidR="00D8365A" w:rsidRPr="00362517" w14:paraId="2D09F9FA" w14:textId="77777777" w:rsidTr="007A2164">
        <w:trPr>
          <w:trHeight w:val="624"/>
        </w:trPr>
        <w:tc>
          <w:tcPr>
            <w:tcW w:w="2115" w:type="pct"/>
            <w:tcBorders>
              <w:top w:val="nil"/>
              <w:left w:val="single" w:sz="4" w:space="0" w:color="auto"/>
              <w:bottom w:val="single" w:sz="4" w:space="0" w:color="auto"/>
              <w:right w:val="single" w:sz="4" w:space="0" w:color="auto"/>
            </w:tcBorders>
            <w:shd w:val="clear" w:color="auto" w:fill="auto"/>
            <w:vAlign w:val="center"/>
            <w:hideMark/>
          </w:tcPr>
          <w:p w14:paraId="0C00C877" w14:textId="77777777" w:rsidR="00D8365A" w:rsidRPr="00362517" w:rsidRDefault="00D8365A" w:rsidP="00BF6BC7">
            <w:r w:rsidRPr="00362517">
              <w:t>Supervision of Noncertified Applicators (Table 3.4-6)</w:t>
            </w:r>
          </w:p>
        </w:tc>
        <w:tc>
          <w:tcPr>
            <w:tcW w:w="962" w:type="pct"/>
            <w:tcBorders>
              <w:top w:val="nil"/>
              <w:left w:val="nil"/>
              <w:bottom w:val="single" w:sz="4" w:space="0" w:color="auto"/>
              <w:right w:val="single" w:sz="4" w:space="0" w:color="auto"/>
            </w:tcBorders>
            <w:shd w:val="clear" w:color="auto" w:fill="auto"/>
            <w:vAlign w:val="center"/>
            <w:hideMark/>
          </w:tcPr>
          <w:p w14:paraId="151731C2" w14:textId="77777777" w:rsidR="00D8365A" w:rsidRPr="00362517" w:rsidRDefault="00D8365A" w:rsidP="00BF6BC7">
            <w:pPr>
              <w:jc w:val="center"/>
            </w:pPr>
            <w:r w:rsidRPr="00362517">
              <w:t>861</w:t>
            </w:r>
          </w:p>
        </w:tc>
        <w:tc>
          <w:tcPr>
            <w:tcW w:w="963" w:type="pct"/>
            <w:tcBorders>
              <w:top w:val="nil"/>
              <w:left w:val="nil"/>
              <w:bottom w:val="single" w:sz="4" w:space="0" w:color="auto"/>
              <w:right w:val="single" w:sz="4" w:space="0" w:color="auto"/>
            </w:tcBorders>
            <w:shd w:val="clear" w:color="auto" w:fill="auto"/>
            <w:vAlign w:val="center"/>
            <w:hideMark/>
          </w:tcPr>
          <w:p w14:paraId="35DC9F9E" w14:textId="77777777" w:rsidR="00D8365A" w:rsidRPr="00362517" w:rsidRDefault="00D8365A" w:rsidP="00BF6BC7">
            <w:pPr>
              <w:jc w:val="center"/>
            </w:pPr>
            <w:r w:rsidRPr="00362517">
              <w:t>6,475</w:t>
            </w:r>
          </w:p>
        </w:tc>
        <w:tc>
          <w:tcPr>
            <w:tcW w:w="960" w:type="pct"/>
            <w:tcBorders>
              <w:top w:val="nil"/>
              <w:left w:val="nil"/>
              <w:bottom w:val="single" w:sz="4" w:space="0" w:color="auto"/>
              <w:right w:val="single" w:sz="4" w:space="0" w:color="auto"/>
            </w:tcBorders>
            <w:shd w:val="clear" w:color="auto" w:fill="auto"/>
            <w:vAlign w:val="center"/>
            <w:hideMark/>
          </w:tcPr>
          <w:p w14:paraId="6BE43674" w14:textId="77777777" w:rsidR="00D8365A" w:rsidRPr="00362517" w:rsidRDefault="00D8365A" w:rsidP="00BF6BC7">
            <w:pPr>
              <w:jc w:val="center"/>
            </w:pPr>
            <w:r w:rsidRPr="00362517">
              <w:t>na</w:t>
            </w:r>
          </w:p>
        </w:tc>
      </w:tr>
      <w:tr w:rsidR="00D8365A" w:rsidRPr="00362517" w14:paraId="5B8C11D1" w14:textId="77777777" w:rsidTr="007A2164">
        <w:trPr>
          <w:trHeight w:val="719"/>
        </w:trPr>
        <w:tc>
          <w:tcPr>
            <w:tcW w:w="2115" w:type="pct"/>
            <w:tcBorders>
              <w:top w:val="nil"/>
              <w:left w:val="single" w:sz="4" w:space="0" w:color="auto"/>
              <w:bottom w:val="single" w:sz="4" w:space="0" w:color="auto"/>
              <w:right w:val="single" w:sz="4" w:space="0" w:color="auto"/>
            </w:tcBorders>
            <w:shd w:val="clear" w:color="auto" w:fill="auto"/>
            <w:vAlign w:val="center"/>
            <w:hideMark/>
          </w:tcPr>
          <w:p w14:paraId="72C7ACC8" w14:textId="77777777" w:rsidR="00D8365A" w:rsidRPr="00362517" w:rsidRDefault="00D8365A" w:rsidP="00BF6BC7">
            <w:r w:rsidRPr="00362517">
              <w:t>Noncertified Applicator Training Recordkeeping (Table 3.4-6)</w:t>
            </w:r>
          </w:p>
        </w:tc>
        <w:tc>
          <w:tcPr>
            <w:tcW w:w="962" w:type="pct"/>
            <w:tcBorders>
              <w:top w:val="nil"/>
              <w:left w:val="nil"/>
              <w:bottom w:val="single" w:sz="4" w:space="0" w:color="auto"/>
              <w:right w:val="single" w:sz="4" w:space="0" w:color="auto"/>
            </w:tcBorders>
            <w:shd w:val="clear" w:color="auto" w:fill="auto"/>
            <w:vAlign w:val="center"/>
            <w:hideMark/>
          </w:tcPr>
          <w:p w14:paraId="713C6100" w14:textId="77777777" w:rsidR="00D8365A" w:rsidRPr="00362517" w:rsidRDefault="00D8365A" w:rsidP="00BF6BC7">
            <w:pPr>
              <w:jc w:val="center"/>
            </w:pPr>
            <w:r w:rsidRPr="00362517">
              <w:t>na</w:t>
            </w:r>
          </w:p>
        </w:tc>
        <w:tc>
          <w:tcPr>
            <w:tcW w:w="963" w:type="pct"/>
            <w:tcBorders>
              <w:top w:val="nil"/>
              <w:left w:val="nil"/>
              <w:bottom w:val="single" w:sz="4" w:space="0" w:color="auto"/>
              <w:right w:val="single" w:sz="4" w:space="0" w:color="auto"/>
            </w:tcBorders>
            <w:shd w:val="clear" w:color="auto" w:fill="auto"/>
            <w:vAlign w:val="center"/>
            <w:hideMark/>
          </w:tcPr>
          <w:p w14:paraId="34623004" w14:textId="77777777" w:rsidR="00D8365A" w:rsidRPr="00362517" w:rsidRDefault="00D8365A" w:rsidP="00BF6BC7">
            <w:pPr>
              <w:jc w:val="center"/>
            </w:pPr>
            <w:r w:rsidRPr="00362517">
              <w:t>343</w:t>
            </w:r>
          </w:p>
        </w:tc>
        <w:tc>
          <w:tcPr>
            <w:tcW w:w="960" w:type="pct"/>
            <w:tcBorders>
              <w:top w:val="nil"/>
              <w:left w:val="nil"/>
              <w:bottom w:val="single" w:sz="4" w:space="0" w:color="auto"/>
              <w:right w:val="single" w:sz="4" w:space="0" w:color="auto"/>
            </w:tcBorders>
            <w:shd w:val="clear" w:color="auto" w:fill="auto"/>
            <w:vAlign w:val="center"/>
            <w:hideMark/>
          </w:tcPr>
          <w:p w14:paraId="35D8DC66" w14:textId="77777777" w:rsidR="00D8365A" w:rsidRPr="00362517" w:rsidRDefault="00D8365A" w:rsidP="00BF6BC7">
            <w:pPr>
              <w:jc w:val="center"/>
            </w:pPr>
            <w:r w:rsidRPr="00362517">
              <w:t>na</w:t>
            </w:r>
          </w:p>
        </w:tc>
      </w:tr>
      <w:tr w:rsidR="00D8365A" w:rsidRPr="00362517" w14:paraId="45302ABA" w14:textId="77777777" w:rsidTr="007A2164">
        <w:trPr>
          <w:trHeight w:val="624"/>
        </w:trPr>
        <w:tc>
          <w:tcPr>
            <w:tcW w:w="2115" w:type="pct"/>
            <w:tcBorders>
              <w:top w:val="nil"/>
              <w:left w:val="single" w:sz="4" w:space="0" w:color="auto"/>
              <w:bottom w:val="single" w:sz="4" w:space="0" w:color="auto"/>
              <w:right w:val="single" w:sz="4" w:space="0" w:color="auto"/>
            </w:tcBorders>
            <w:shd w:val="clear" w:color="auto" w:fill="auto"/>
            <w:vAlign w:val="center"/>
            <w:hideMark/>
          </w:tcPr>
          <w:p w14:paraId="279453D2" w14:textId="77777777" w:rsidR="00D8365A" w:rsidRPr="00362517" w:rsidRDefault="00D8365A" w:rsidP="00BF6BC7">
            <w:r w:rsidRPr="00362517">
              <w:t>Minimum Age-Certified Applicators (Table 3.4-7)</w:t>
            </w:r>
          </w:p>
        </w:tc>
        <w:tc>
          <w:tcPr>
            <w:tcW w:w="962" w:type="pct"/>
            <w:tcBorders>
              <w:top w:val="nil"/>
              <w:left w:val="nil"/>
              <w:bottom w:val="single" w:sz="4" w:space="0" w:color="auto"/>
              <w:right w:val="single" w:sz="4" w:space="0" w:color="auto"/>
            </w:tcBorders>
            <w:shd w:val="clear" w:color="auto" w:fill="auto"/>
            <w:vAlign w:val="center"/>
            <w:hideMark/>
          </w:tcPr>
          <w:p w14:paraId="0060716A" w14:textId="77777777" w:rsidR="00D8365A" w:rsidRPr="00362517" w:rsidRDefault="00D8365A" w:rsidP="00BF6BC7">
            <w:pPr>
              <w:jc w:val="center"/>
            </w:pPr>
            <w:r w:rsidRPr="00362517">
              <w:t>172</w:t>
            </w:r>
          </w:p>
        </w:tc>
        <w:tc>
          <w:tcPr>
            <w:tcW w:w="963" w:type="pct"/>
            <w:tcBorders>
              <w:top w:val="nil"/>
              <w:left w:val="nil"/>
              <w:bottom w:val="single" w:sz="4" w:space="0" w:color="auto"/>
              <w:right w:val="single" w:sz="4" w:space="0" w:color="auto"/>
            </w:tcBorders>
            <w:shd w:val="clear" w:color="auto" w:fill="auto"/>
            <w:vAlign w:val="center"/>
            <w:hideMark/>
          </w:tcPr>
          <w:p w14:paraId="0EEBA5FC" w14:textId="77777777" w:rsidR="00D8365A" w:rsidRPr="00362517" w:rsidRDefault="00D8365A" w:rsidP="00BF6BC7">
            <w:pPr>
              <w:jc w:val="center"/>
            </w:pPr>
            <w:r w:rsidRPr="00362517">
              <w:t>300</w:t>
            </w:r>
          </w:p>
        </w:tc>
        <w:tc>
          <w:tcPr>
            <w:tcW w:w="960" w:type="pct"/>
            <w:tcBorders>
              <w:top w:val="nil"/>
              <w:left w:val="nil"/>
              <w:bottom w:val="single" w:sz="4" w:space="0" w:color="auto"/>
              <w:right w:val="single" w:sz="4" w:space="0" w:color="auto"/>
            </w:tcBorders>
            <w:shd w:val="clear" w:color="auto" w:fill="auto"/>
            <w:vAlign w:val="center"/>
            <w:hideMark/>
          </w:tcPr>
          <w:p w14:paraId="014B6A0D" w14:textId="77777777" w:rsidR="00D8365A" w:rsidRPr="00362517" w:rsidRDefault="00D8365A" w:rsidP="00BF6BC7">
            <w:pPr>
              <w:jc w:val="center"/>
            </w:pPr>
            <w:r w:rsidRPr="00362517">
              <w:t>na</w:t>
            </w:r>
          </w:p>
        </w:tc>
      </w:tr>
      <w:tr w:rsidR="00D8365A" w:rsidRPr="00362517" w14:paraId="730AF562" w14:textId="77777777" w:rsidTr="007A2164">
        <w:trPr>
          <w:trHeight w:val="624"/>
        </w:trPr>
        <w:tc>
          <w:tcPr>
            <w:tcW w:w="2115" w:type="pct"/>
            <w:tcBorders>
              <w:top w:val="nil"/>
              <w:left w:val="single" w:sz="4" w:space="0" w:color="auto"/>
              <w:bottom w:val="single" w:sz="4" w:space="0" w:color="auto"/>
              <w:right w:val="single" w:sz="4" w:space="0" w:color="auto"/>
            </w:tcBorders>
            <w:shd w:val="clear" w:color="auto" w:fill="auto"/>
            <w:vAlign w:val="center"/>
            <w:hideMark/>
          </w:tcPr>
          <w:p w14:paraId="63E401D5" w14:textId="77777777" w:rsidR="00D8365A" w:rsidRPr="00362517" w:rsidRDefault="00D8365A" w:rsidP="00BF6BC7">
            <w:r w:rsidRPr="00362517">
              <w:t>Minimum Age-Noncertified Applicators (Table 3.4-7)</w:t>
            </w:r>
          </w:p>
        </w:tc>
        <w:tc>
          <w:tcPr>
            <w:tcW w:w="962" w:type="pct"/>
            <w:tcBorders>
              <w:top w:val="nil"/>
              <w:left w:val="nil"/>
              <w:bottom w:val="single" w:sz="4" w:space="0" w:color="auto"/>
              <w:right w:val="single" w:sz="4" w:space="0" w:color="auto"/>
            </w:tcBorders>
            <w:shd w:val="clear" w:color="auto" w:fill="auto"/>
            <w:vAlign w:val="center"/>
            <w:hideMark/>
          </w:tcPr>
          <w:p w14:paraId="3D274536" w14:textId="77777777" w:rsidR="00D8365A" w:rsidRPr="00362517" w:rsidRDefault="00D8365A" w:rsidP="00BF6BC7">
            <w:pPr>
              <w:jc w:val="center"/>
            </w:pPr>
            <w:r w:rsidRPr="00362517">
              <w:t>69</w:t>
            </w:r>
          </w:p>
        </w:tc>
        <w:tc>
          <w:tcPr>
            <w:tcW w:w="963" w:type="pct"/>
            <w:tcBorders>
              <w:top w:val="nil"/>
              <w:left w:val="nil"/>
              <w:bottom w:val="single" w:sz="4" w:space="0" w:color="auto"/>
              <w:right w:val="single" w:sz="4" w:space="0" w:color="auto"/>
            </w:tcBorders>
            <w:shd w:val="clear" w:color="auto" w:fill="auto"/>
            <w:vAlign w:val="center"/>
            <w:hideMark/>
          </w:tcPr>
          <w:p w14:paraId="2696F39F" w14:textId="77777777" w:rsidR="00D8365A" w:rsidRPr="00362517" w:rsidRDefault="00D8365A" w:rsidP="00BF6BC7">
            <w:pPr>
              <w:jc w:val="center"/>
            </w:pPr>
            <w:r w:rsidRPr="00362517">
              <w:t>6,145</w:t>
            </w:r>
          </w:p>
        </w:tc>
        <w:tc>
          <w:tcPr>
            <w:tcW w:w="960" w:type="pct"/>
            <w:tcBorders>
              <w:top w:val="nil"/>
              <w:left w:val="nil"/>
              <w:bottom w:val="single" w:sz="4" w:space="0" w:color="auto"/>
              <w:right w:val="single" w:sz="4" w:space="0" w:color="auto"/>
            </w:tcBorders>
            <w:shd w:val="clear" w:color="auto" w:fill="auto"/>
            <w:vAlign w:val="center"/>
            <w:hideMark/>
          </w:tcPr>
          <w:p w14:paraId="080CEDC9" w14:textId="77777777" w:rsidR="00D8365A" w:rsidRPr="00362517" w:rsidRDefault="00D8365A" w:rsidP="00BF6BC7">
            <w:pPr>
              <w:jc w:val="center"/>
            </w:pPr>
            <w:r w:rsidRPr="00362517">
              <w:t>na</w:t>
            </w:r>
          </w:p>
        </w:tc>
      </w:tr>
      <w:tr w:rsidR="00D8365A" w:rsidRPr="00362517" w14:paraId="0E0E5DA3" w14:textId="77777777" w:rsidTr="007A2164">
        <w:trPr>
          <w:trHeight w:val="312"/>
        </w:trPr>
        <w:tc>
          <w:tcPr>
            <w:tcW w:w="2115" w:type="pct"/>
            <w:tcBorders>
              <w:top w:val="nil"/>
              <w:left w:val="single" w:sz="4" w:space="0" w:color="auto"/>
              <w:bottom w:val="single" w:sz="4" w:space="0" w:color="auto"/>
              <w:right w:val="single" w:sz="4" w:space="0" w:color="auto"/>
            </w:tcBorders>
            <w:shd w:val="clear" w:color="auto" w:fill="auto"/>
            <w:vAlign w:val="center"/>
            <w:hideMark/>
          </w:tcPr>
          <w:p w14:paraId="0674A7BE" w14:textId="77777777" w:rsidR="00D8365A" w:rsidRPr="00362517" w:rsidRDefault="00D8365A" w:rsidP="00BF6BC7">
            <w:r w:rsidRPr="00362517">
              <w:t>Recertification (Table 3.4-8)</w:t>
            </w:r>
          </w:p>
        </w:tc>
        <w:tc>
          <w:tcPr>
            <w:tcW w:w="962" w:type="pct"/>
            <w:tcBorders>
              <w:top w:val="nil"/>
              <w:left w:val="nil"/>
              <w:bottom w:val="single" w:sz="4" w:space="0" w:color="auto"/>
              <w:right w:val="single" w:sz="4" w:space="0" w:color="auto"/>
            </w:tcBorders>
            <w:shd w:val="clear" w:color="auto" w:fill="auto"/>
            <w:vAlign w:val="center"/>
            <w:hideMark/>
          </w:tcPr>
          <w:p w14:paraId="4453D04E" w14:textId="77777777" w:rsidR="00D8365A" w:rsidRPr="00362517" w:rsidRDefault="00D8365A" w:rsidP="00BF6BC7">
            <w:pPr>
              <w:jc w:val="center"/>
            </w:pPr>
            <w:r w:rsidRPr="00362517">
              <w:t>3,050</w:t>
            </w:r>
          </w:p>
        </w:tc>
        <w:tc>
          <w:tcPr>
            <w:tcW w:w="963" w:type="pct"/>
            <w:tcBorders>
              <w:top w:val="nil"/>
              <w:left w:val="nil"/>
              <w:bottom w:val="single" w:sz="4" w:space="0" w:color="auto"/>
              <w:right w:val="single" w:sz="4" w:space="0" w:color="auto"/>
            </w:tcBorders>
            <w:shd w:val="clear" w:color="auto" w:fill="auto"/>
            <w:vAlign w:val="center"/>
            <w:hideMark/>
          </w:tcPr>
          <w:p w14:paraId="5E6B2796" w14:textId="77777777" w:rsidR="00D8365A" w:rsidRPr="00362517" w:rsidRDefault="00D8365A" w:rsidP="00BF6BC7">
            <w:pPr>
              <w:jc w:val="center"/>
            </w:pPr>
            <w:r w:rsidRPr="00362517">
              <w:t>2,351</w:t>
            </w:r>
          </w:p>
        </w:tc>
        <w:tc>
          <w:tcPr>
            <w:tcW w:w="960" w:type="pct"/>
            <w:tcBorders>
              <w:top w:val="nil"/>
              <w:left w:val="nil"/>
              <w:bottom w:val="single" w:sz="4" w:space="0" w:color="auto"/>
              <w:right w:val="single" w:sz="4" w:space="0" w:color="auto"/>
            </w:tcBorders>
            <w:shd w:val="clear" w:color="auto" w:fill="auto"/>
            <w:vAlign w:val="center"/>
            <w:hideMark/>
          </w:tcPr>
          <w:p w14:paraId="4FDA8ADF" w14:textId="77777777" w:rsidR="00D8365A" w:rsidRPr="00362517" w:rsidRDefault="00D8365A" w:rsidP="00BF6BC7">
            <w:pPr>
              <w:jc w:val="center"/>
            </w:pPr>
            <w:r w:rsidRPr="00362517">
              <w:t>2,658</w:t>
            </w:r>
            <w:r w:rsidRPr="00362517">
              <w:rPr>
                <w:vertAlign w:val="superscript"/>
              </w:rPr>
              <w:t>b</w:t>
            </w:r>
          </w:p>
        </w:tc>
      </w:tr>
      <w:tr w:rsidR="00D8365A" w:rsidRPr="00362517" w14:paraId="6D431F55" w14:textId="77777777" w:rsidTr="007A2164">
        <w:trPr>
          <w:trHeight w:val="312"/>
        </w:trPr>
        <w:tc>
          <w:tcPr>
            <w:tcW w:w="2115" w:type="pct"/>
            <w:tcBorders>
              <w:top w:val="nil"/>
              <w:left w:val="single" w:sz="4" w:space="0" w:color="auto"/>
              <w:bottom w:val="single" w:sz="4" w:space="0" w:color="auto"/>
              <w:right w:val="single" w:sz="4" w:space="0" w:color="auto"/>
            </w:tcBorders>
            <w:shd w:val="clear" w:color="auto" w:fill="auto"/>
            <w:vAlign w:val="center"/>
            <w:hideMark/>
          </w:tcPr>
          <w:p w14:paraId="582AFAC6" w14:textId="77777777" w:rsidR="00D8365A" w:rsidRPr="00362517" w:rsidRDefault="00D8365A" w:rsidP="00BF6BC7">
            <w:r w:rsidRPr="00362517">
              <w:t>General Administration (Table 3.4-9)</w:t>
            </w:r>
          </w:p>
        </w:tc>
        <w:tc>
          <w:tcPr>
            <w:tcW w:w="962" w:type="pct"/>
            <w:tcBorders>
              <w:top w:val="nil"/>
              <w:left w:val="nil"/>
              <w:bottom w:val="single" w:sz="4" w:space="0" w:color="auto"/>
              <w:right w:val="single" w:sz="4" w:space="0" w:color="auto"/>
            </w:tcBorders>
            <w:shd w:val="clear" w:color="auto" w:fill="auto"/>
            <w:vAlign w:val="center"/>
            <w:hideMark/>
          </w:tcPr>
          <w:p w14:paraId="03E35F7E" w14:textId="77777777" w:rsidR="00D8365A" w:rsidRPr="00362517" w:rsidRDefault="00D8365A" w:rsidP="00BF6BC7">
            <w:pPr>
              <w:jc w:val="center"/>
            </w:pPr>
            <w:r w:rsidRPr="00362517">
              <w:t>na</w:t>
            </w:r>
          </w:p>
        </w:tc>
        <w:tc>
          <w:tcPr>
            <w:tcW w:w="963" w:type="pct"/>
            <w:tcBorders>
              <w:top w:val="nil"/>
              <w:left w:val="nil"/>
              <w:bottom w:val="single" w:sz="4" w:space="0" w:color="auto"/>
              <w:right w:val="single" w:sz="4" w:space="0" w:color="auto"/>
            </w:tcBorders>
            <w:shd w:val="clear" w:color="auto" w:fill="auto"/>
            <w:vAlign w:val="center"/>
            <w:hideMark/>
          </w:tcPr>
          <w:p w14:paraId="44D304EB" w14:textId="77777777" w:rsidR="00D8365A" w:rsidRPr="00362517" w:rsidRDefault="00D8365A" w:rsidP="00BF6BC7">
            <w:pPr>
              <w:jc w:val="center"/>
            </w:pPr>
            <w:r w:rsidRPr="00362517">
              <w:t>na</w:t>
            </w:r>
          </w:p>
        </w:tc>
        <w:tc>
          <w:tcPr>
            <w:tcW w:w="960" w:type="pct"/>
            <w:tcBorders>
              <w:top w:val="nil"/>
              <w:left w:val="nil"/>
              <w:bottom w:val="single" w:sz="4" w:space="0" w:color="auto"/>
              <w:right w:val="single" w:sz="4" w:space="0" w:color="auto"/>
            </w:tcBorders>
            <w:shd w:val="clear" w:color="auto" w:fill="auto"/>
            <w:vAlign w:val="center"/>
            <w:hideMark/>
          </w:tcPr>
          <w:p w14:paraId="6E708249" w14:textId="77777777" w:rsidR="00D8365A" w:rsidRPr="00362517" w:rsidRDefault="00D8365A" w:rsidP="00BF6BC7">
            <w:pPr>
              <w:jc w:val="center"/>
            </w:pPr>
            <w:r w:rsidRPr="00362517">
              <w:t>3,725</w:t>
            </w:r>
          </w:p>
        </w:tc>
      </w:tr>
      <w:tr w:rsidR="00D8365A" w:rsidRPr="00362517" w14:paraId="67DDCC11" w14:textId="77777777" w:rsidTr="007A2164">
        <w:trPr>
          <w:trHeight w:val="312"/>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4315E09D" w14:textId="77777777" w:rsidR="00D8365A" w:rsidRPr="00362517" w:rsidRDefault="00D8365A" w:rsidP="00BF6BC7">
            <w:pPr>
              <w:rPr>
                <w:b/>
                <w:bCs/>
              </w:rPr>
            </w:pPr>
            <w:r w:rsidRPr="00362517">
              <w:rPr>
                <w:b/>
                <w:bCs/>
              </w:rPr>
              <w:t>U.S. Total</w:t>
            </w:r>
          </w:p>
        </w:tc>
        <w:tc>
          <w:tcPr>
            <w:tcW w:w="962" w:type="pct"/>
            <w:tcBorders>
              <w:top w:val="nil"/>
              <w:left w:val="nil"/>
              <w:bottom w:val="single" w:sz="4" w:space="0" w:color="auto"/>
              <w:right w:val="single" w:sz="4" w:space="0" w:color="auto"/>
            </w:tcBorders>
            <w:shd w:val="clear" w:color="auto" w:fill="auto"/>
            <w:noWrap/>
            <w:vAlign w:val="center"/>
            <w:hideMark/>
          </w:tcPr>
          <w:p w14:paraId="3956ADB1" w14:textId="77777777" w:rsidR="00D8365A" w:rsidRPr="00362517" w:rsidRDefault="00D8365A" w:rsidP="00BF6BC7">
            <w:pPr>
              <w:jc w:val="center"/>
              <w:rPr>
                <w:b/>
                <w:bCs/>
              </w:rPr>
            </w:pPr>
            <w:r w:rsidRPr="00362517">
              <w:rPr>
                <w:b/>
                <w:bCs/>
              </w:rPr>
              <w:t>8,600</w:t>
            </w:r>
          </w:p>
        </w:tc>
        <w:tc>
          <w:tcPr>
            <w:tcW w:w="963" w:type="pct"/>
            <w:tcBorders>
              <w:top w:val="nil"/>
              <w:left w:val="nil"/>
              <w:bottom w:val="single" w:sz="4" w:space="0" w:color="auto"/>
              <w:right w:val="single" w:sz="4" w:space="0" w:color="auto"/>
            </w:tcBorders>
            <w:shd w:val="clear" w:color="auto" w:fill="auto"/>
            <w:noWrap/>
            <w:vAlign w:val="center"/>
            <w:hideMark/>
          </w:tcPr>
          <w:p w14:paraId="4D524427" w14:textId="77777777" w:rsidR="00D8365A" w:rsidRPr="00362517" w:rsidRDefault="00D8365A" w:rsidP="00BF6BC7">
            <w:pPr>
              <w:jc w:val="center"/>
              <w:rPr>
                <w:b/>
                <w:bCs/>
              </w:rPr>
            </w:pPr>
            <w:r w:rsidRPr="00362517">
              <w:rPr>
                <w:b/>
                <w:bCs/>
              </w:rPr>
              <w:t>16,161</w:t>
            </w:r>
          </w:p>
        </w:tc>
        <w:tc>
          <w:tcPr>
            <w:tcW w:w="960" w:type="pct"/>
            <w:tcBorders>
              <w:top w:val="nil"/>
              <w:left w:val="nil"/>
              <w:bottom w:val="single" w:sz="4" w:space="0" w:color="auto"/>
              <w:right w:val="single" w:sz="4" w:space="0" w:color="auto"/>
            </w:tcBorders>
            <w:shd w:val="clear" w:color="auto" w:fill="auto"/>
            <w:noWrap/>
            <w:vAlign w:val="center"/>
            <w:hideMark/>
          </w:tcPr>
          <w:p w14:paraId="680D78BD" w14:textId="77777777" w:rsidR="00D8365A" w:rsidRPr="00362517" w:rsidRDefault="00D8365A" w:rsidP="00BF6BC7">
            <w:pPr>
              <w:jc w:val="center"/>
              <w:rPr>
                <w:b/>
                <w:bCs/>
              </w:rPr>
            </w:pPr>
            <w:r w:rsidRPr="00362517">
              <w:rPr>
                <w:b/>
                <w:bCs/>
              </w:rPr>
              <w:t>6,549</w:t>
            </w:r>
          </w:p>
        </w:tc>
      </w:tr>
    </w:tbl>
    <w:p w14:paraId="42EA871C" w14:textId="77777777" w:rsidR="00D8365A" w:rsidRPr="00362517" w:rsidRDefault="00D8365A" w:rsidP="00BF6BC7">
      <w:pPr>
        <w:tabs>
          <w:tab w:val="left" w:pos="360"/>
        </w:tabs>
        <w:rPr>
          <w:sz w:val="22"/>
          <w:szCs w:val="22"/>
        </w:rPr>
      </w:pPr>
      <w:r w:rsidRPr="00362517">
        <w:rPr>
          <w:sz w:val="22"/>
          <w:szCs w:val="22"/>
          <w:vertAlign w:val="superscript"/>
        </w:rPr>
        <w:t>a</w:t>
      </w:r>
      <w:r w:rsidRPr="00362517">
        <w:rPr>
          <w:sz w:val="22"/>
          <w:szCs w:val="22"/>
          <w:vertAlign w:val="superscript"/>
        </w:rPr>
        <w:tab/>
      </w:r>
      <w:r w:rsidRPr="00362517">
        <w:rPr>
          <w:sz w:val="22"/>
          <w:szCs w:val="22"/>
        </w:rPr>
        <w:t>Costs of administering certification exams and exam development costs.</w:t>
      </w:r>
    </w:p>
    <w:p w14:paraId="3A4E1C55" w14:textId="77777777" w:rsidR="00D8365A" w:rsidRPr="00362517" w:rsidRDefault="00D8365A" w:rsidP="00BF6BC7">
      <w:pPr>
        <w:tabs>
          <w:tab w:val="left" w:pos="360"/>
        </w:tabs>
      </w:pPr>
      <w:r w:rsidRPr="00362517">
        <w:rPr>
          <w:sz w:val="22"/>
          <w:szCs w:val="22"/>
          <w:vertAlign w:val="superscript"/>
        </w:rPr>
        <w:t>b</w:t>
      </w:r>
      <w:r w:rsidRPr="00362517">
        <w:rPr>
          <w:sz w:val="22"/>
          <w:szCs w:val="22"/>
          <w:vertAlign w:val="superscript"/>
        </w:rPr>
        <w:tab/>
      </w:r>
      <w:r w:rsidRPr="00362517">
        <w:rPr>
          <w:sz w:val="22"/>
          <w:szCs w:val="22"/>
        </w:rPr>
        <w:t>Costs of providing recertification trainings.</w:t>
      </w:r>
    </w:p>
    <w:p w14:paraId="61A1B694" w14:textId="77777777" w:rsidR="00D8365A" w:rsidRPr="00362517" w:rsidRDefault="00D8365A" w:rsidP="00BF6BC7">
      <w:pPr>
        <w:tabs>
          <w:tab w:val="left" w:pos="360"/>
        </w:tabs>
      </w:pPr>
    </w:p>
    <w:p w14:paraId="13E63378" w14:textId="77777777" w:rsidR="00D8365A" w:rsidRPr="00362517" w:rsidRDefault="00D8365A" w:rsidP="00BF6BC7"/>
    <w:p w14:paraId="0151450F" w14:textId="77777777" w:rsidR="00D8365A" w:rsidRPr="00362517" w:rsidRDefault="00D8365A" w:rsidP="00BF6BC7">
      <w:pPr>
        <w:pStyle w:val="BodyText"/>
      </w:pPr>
      <w:r w:rsidRPr="00362517">
        <w:t>Private applicators, as a group, will bear incremental cost of about $8.6 million per year, or 27 percent of the total cost of the final rule.  Commercial applicators will be expected to bear costs of about $16.2 million per year, or 52 percent of the total cost of the final rule.  Certifying authorities and other governmental entities that administer certification programs will bear annualized cost of about $6.5 million per year, but much of these costs will be borne immediately after the rule is finalized as they modify their programs to follow the new federal rules.  Those immediate costs of the final rule are estimated to be about $3.8 million per year, with subsequent incremental costs in administering the certification programs to be around $2.7 million per year.</w:t>
      </w:r>
    </w:p>
    <w:p w14:paraId="25D30859" w14:textId="77777777" w:rsidR="00D8365A" w:rsidRPr="00362517" w:rsidRDefault="00D8365A" w:rsidP="00BF6BC7">
      <w:pPr>
        <w:pStyle w:val="BodyText"/>
      </w:pPr>
      <w:r w:rsidRPr="00362517">
        <w:t xml:space="preserve"> </w:t>
      </w:r>
    </w:p>
    <w:p w14:paraId="2BF40524" w14:textId="77777777" w:rsidR="00D8365A" w:rsidRPr="00362517" w:rsidRDefault="00D8365A" w:rsidP="00BF6BC7">
      <w:r w:rsidRPr="00362517">
        <w:t>Table 3.5-2 presents the estimated costs of final regulatory requirements, baseline requirements, incremental costs, and annualized incremental costs, by jurisdiction, using a three percent discount rate.  Variations in state cost depend on the current state requirements and the number of certified applicators in each state. See Appendix B for details.</w:t>
      </w:r>
    </w:p>
    <w:p w14:paraId="4B760E02" w14:textId="77777777" w:rsidR="00D8365A" w:rsidRPr="00362517" w:rsidRDefault="00D8365A" w:rsidP="00BF6BC7"/>
    <w:p w14:paraId="0B042F58" w14:textId="77777777" w:rsidR="00D8365A" w:rsidRPr="00362517" w:rsidRDefault="00D8365A" w:rsidP="00BF6BC7">
      <w:pPr>
        <w:keepNext/>
      </w:pPr>
      <w:r w:rsidRPr="00362517">
        <w:rPr>
          <w:b/>
        </w:rPr>
        <w:t>Table 3.5-2.  Total Incremental Cost of Final Requirements, by jurisdiction</w:t>
      </w:r>
      <w:r w:rsidRPr="00362517">
        <w:t>.</w:t>
      </w:r>
    </w:p>
    <w:tbl>
      <w:tblPr>
        <w:tblW w:w="5000" w:type="pct"/>
        <w:tblLook w:val="04A0" w:firstRow="1" w:lastRow="0" w:firstColumn="1" w:lastColumn="0" w:noHBand="0" w:noVBand="1"/>
      </w:tblPr>
      <w:tblGrid>
        <w:gridCol w:w="2468"/>
        <w:gridCol w:w="1724"/>
        <w:gridCol w:w="1629"/>
        <w:gridCol w:w="1588"/>
        <w:gridCol w:w="1941"/>
      </w:tblGrid>
      <w:tr w:rsidR="00D8365A" w:rsidRPr="00362517" w14:paraId="7C2C6898" w14:textId="77777777" w:rsidTr="007A2164">
        <w:trPr>
          <w:trHeight w:val="557"/>
        </w:trPr>
        <w:tc>
          <w:tcPr>
            <w:tcW w:w="13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8FF36" w14:textId="77777777" w:rsidR="00D8365A" w:rsidRPr="00362517" w:rsidRDefault="00D8365A" w:rsidP="00BF6BC7">
            <w:pPr>
              <w:jc w:val="center"/>
            </w:pPr>
            <w:r w:rsidRPr="00362517">
              <w:t>Jurisdiction</w:t>
            </w:r>
          </w:p>
        </w:tc>
        <w:tc>
          <w:tcPr>
            <w:tcW w:w="922" w:type="pct"/>
            <w:tcBorders>
              <w:top w:val="single" w:sz="4" w:space="0" w:color="auto"/>
              <w:left w:val="nil"/>
              <w:bottom w:val="single" w:sz="4" w:space="0" w:color="auto"/>
              <w:right w:val="single" w:sz="4" w:space="0" w:color="auto"/>
            </w:tcBorders>
            <w:shd w:val="clear" w:color="auto" w:fill="auto"/>
            <w:noWrap/>
            <w:vAlign w:val="center"/>
            <w:hideMark/>
          </w:tcPr>
          <w:p w14:paraId="1A8395F5" w14:textId="77777777" w:rsidR="00D8365A" w:rsidRPr="00362517" w:rsidRDefault="00D8365A" w:rsidP="00BF6BC7">
            <w:pPr>
              <w:jc w:val="center"/>
            </w:pPr>
            <w:r w:rsidRPr="00362517">
              <w:t>PV(RC</w:t>
            </w:r>
            <w:r w:rsidRPr="00362517">
              <w:rPr>
                <w:vertAlign w:val="superscript"/>
              </w:rPr>
              <w:t>P</w:t>
            </w:r>
            <w:r w:rsidRPr="00362517">
              <w:t>)</w:t>
            </w:r>
          </w:p>
        </w:tc>
        <w:tc>
          <w:tcPr>
            <w:tcW w:w="871" w:type="pct"/>
            <w:tcBorders>
              <w:top w:val="single" w:sz="4" w:space="0" w:color="auto"/>
              <w:left w:val="nil"/>
              <w:bottom w:val="single" w:sz="4" w:space="0" w:color="auto"/>
              <w:right w:val="single" w:sz="4" w:space="0" w:color="auto"/>
            </w:tcBorders>
            <w:shd w:val="clear" w:color="auto" w:fill="auto"/>
            <w:noWrap/>
            <w:vAlign w:val="center"/>
            <w:hideMark/>
          </w:tcPr>
          <w:p w14:paraId="451C9B97" w14:textId="77777777" w:rsidR="00D8365A" w:rsidRPr="00362517" w:rsidRDefault="00D8365A" w:rsidP="00BF6BC7">
            <w:pPr>
              <w:jc w:val="center"/>
            </w:pPr>
            <w:r w:rsidRPr="00362517">
              <w:t>PV(RC</w:t>
            </w:r>
            <w:r w:rsidRPr="00362517">
              <w:rPr>
                <w:vertAlign w:val="superscript"/>
              </w:rPr>
              <w:t>B</w:t>
            </w:r>
            <w:r w:rsidRPr="00362517">
              <w:t>)</w:t>
            </w:r>
          </w:p>
        </w:tc>
        <w:tc>
          <w:tcPr>
            <w:tcW w:w="849" w:type="pct"/>
            <w:tcBorders>
              <w:top w:val="single" w:sz="4" w:space="0" w:color="auto"/>
              <w:left w:val="nil"/>
              <w:bottom w:val="single" w:sz="4" w:space="0" w:color="auto"/>
              <w:right w:val="single" w:sz="4" w:space="0" w:color="auto"/>
            </w:tcBorders>
            <w:shd w:val="clear" w:color="auto" w:fill="auto"/>
            <w:noWrap/>
            <w:vAlign w:val="center"/>
            <w:hideMark/>
          </w:tcPr>
          <w:p w14:paraId="7589C38C" w14:textId="77777777" w:rsidR="00D8365A" w:rsidRPr="00362517" w:rsidRDefault="00D8365A" w:rsidP="00BF6BC7">
            <w:pPr>
              <w:jc w:val="center"/>
            </w:pPr>
            <w:r w:rsidRPr="00362517">
              <w:t>PV(RIC)</w:t>
            </w:r>
          </w:p>
        </w:tc>
        <w:tc>
          <w:tcPr>
            <w:tcW w:w="1038" w:type="pct"/>
            <w:tcBorders>
              <w:top w:val="single" w:sz="4" w:space="0" w:color="auto"/>
              <w:left w:val="nil"/>
              <w:bottom w:val="single" w:sz="4" w:space="0" w:color="auto"/>
              <w:right w:val="single" w:sz="4" w:space="0" w:color="auto"/>
            </w:tcBorders>
            <w:shd w:val="clear" w:color="auto" w:fill="auto"/>
            <w:vAlign w:val="center"/>
            <w:hideMark/>
          </w:tcPr>
          <w:p w14:paraId="411FCDF1" w14:textId="77777777" w:rsidR="00D8365A" w:rsidRPr="00362517" w:rsidRDefault="00D8365A" w:rsidP="00BF6BC7">
            <w:pPr>
              <w:jc w:val="center"/>
            </w:pPr>
            <w:r w:rsidRPr="00362517">
              <w:t>Annualized RIC</w:t>
            </w:r>
          </w:p>
        </w:tc>
      </w:tr>
      <w:tr w:rsidR="00D8365A" w:rsidRPr="00362517" w14:paraId="764AB834"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EB58B73" w14:textId="77777777" w:rsidR="00D8365A" w:rsidRPr="00362517" w:rsidRDefault="00D8365A" w:rsidP="00BF6BC7">
            <w:r w:rsidRPr="00362517">
              <w:t> </w:t>
            </w:r>
          </w:p>
        </w:tc>
        <w:tc>
          <w:tcPr>
            <w:tcW w:w="3680"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5B39AEA" w14:textId="77777777" w:rsidR="00D8365A" w:rsidRPr="00362517" w:rsidRDefault="00D8365A" w:rsidP="00BF6BC7">
            <w:pPr>
              <w:jc w:val="center"/>
            </w:pPr>
            <w:r w:rsidRPr="00362517">
              <w:t xml:space="preserve">$1,000 </w:t>
            </w:r>
          </w:p>
        </w:tc>
      </w:tr>
      <w:tr w:rsidR="00D8365A" w:rsidRPr="00362517" w14:paraId="214DB56E"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2B89A1BF" w14:textId="77777777" w:rsidR="00D8365A" w:rsidRPr="00362517" w:rsidRDefault="00D8365A" w:rsidP="00BF6BC7">
            <w:r w:rsidRPr="00362517">
              <w:t>Alabama</w:t>
            </w:r>
          </w:p>
        </w:tc>
        <w:tc>
          <w:tcPr>
            <w:tcW w:w="922" w:type="pct"/>
            <w:tcBorders>
              <w:top w:val="nil"/>
              <w:left w:val="nil"/>
              <w:bottom w:val="single" w:sz="4" w:space="0" w:color="auto"/>
              <w:right w:val="single" w:sz="4" w:space="0" w:color="auto"/>
            </w:tcBorders>
            <w:shd w:val="clear" w:color="auto" w:fill="auto"/>
            <w:noWrap/>
            <w:vAlign w:val="bottom"/>
            <w:hideMark/>
          </w:tcPr>
          <w:p w14:paraId="5A0EE3CB" w14:textId="77777777" w:rsidR="00D8365A" w:rsidRPr="00362517" w:rsidRDefault="00D8365A" w:rsidP="00BF6BC7">
            <w:pPr>
              <w:jc w:val="right"/>
            </w:pPr>
            <w:r w:rsidRPr="00362517">
              <w:t>28,238</w:t>
            </w:r>
          </w:p>
        </w:tc>
        <w:tc>
          <w:tcPr>
            <w:tcW w:w="871" w:type="pct"/>
            <w:tcBorders>
              <w:top w:val="nil"/>
              <w:left w:val="nil"/>
              <w:bottom w:val="single" w:sz="4" w:space="0" w:color="auto"/>
              <w:right w:val="single" w:sz="4" w:space="0" w:color="auto"/>
            </w:tcBorders>
            <w:shd w:val="clear" w:color="auto" w:fill="auto"/>
            <w:noWrap/>
            <w:vAlign w:val="bottom"/>
            <w:hideMark/>
          </w:tcPr>
          <w:p w14:paraId="0845C08F" w14:textId="77777777" w:rsidR="00D8365A" w:rsidRPr="00362517" w:rsidRDefault="00D8365A" w:rsidP="00BF6BC7">
            <w:pPr>
              <w:jc w:val="right"/>
            </w:pPr>
            <w:r w:rsidRPr="00362517">
              <w:t>24,820</w:t>
            </w:r>
          </w:p>
        </w:tc>
        <w:tc>
          <w:tcPr>
            <w:tcW w:w="849" w:type="pct"/>
            <w:tcBorders>
              <w:top w:val="nil"/>
              <w:left w:val="nil"/>
              <w:bottom w:val="single" w:sz="4" w:space="0" w:color="auto"/>
              <w:right w:val="single" w:sz="4" w:space="0" w:color="auto"/>
            </w:tcBorders>
            <w:shd w:val="clear" w:color="auto" w:fill="auto"/>
            <w:noWrap/>
            <w:vAlign w:val="bottom"/>
            <w:hideMark/>
          </w:tcPr>
          <w:p w14:paraId="76F8F14F" w14:textId="77777777" w:rsidR="00D8365A" w:rsidRPr="00362517" w:rsidRDefault="00D8365A" w:rsidP="00BF6BC7">
            <w:pPr>
              <w:jc w:val="right"/>
            </w:pPr>
            <w:r w:rsidRPr="00362517">
              <w:t>3,398</w:t>
            </w:r>
          </w:p>
        </w:tc>
        <w:tc>
          <w:tcPr>
            <w:tcW w:w="1038" w:type="pct"/>
            <w:tcBorders>
              <w:top w:val="nil"/>
              <w:left w:val="nil"/>
              <w:bottom w:val="single" w:sz="4" w:space="0" w:color="auto"/>
              <w:right w:val="single" w:sz="4" w:space="0" w:color="auto"/>
            </w:tcBorders>
            <w:shd w:val="clear" w:color="auto" w:fill="auto"/>
            <w:noWrap/>
            <w:vAlign w:val="bottom"/>
            <w:hideMark/>
          </w:tcPr>
          <w:p w14:paraId="474E48DA" w14:textId="77777777" w:rsidR="00D8365A" w:rsidRPr="00362517" w:rsidRDefault="00D8365A" w:rsidP="00BF6BC7">
            <w:pPr>
              <w:jc w:val="right"/>
            </w:pPr>
            <w:r w:rsidRPr="00362517">
              <w:t>389</w:t>
            </w:r>
          </w:p>
        </w:tc>
      </w:tr>
      <w:tr w:rsidR="00D8365A" w:rsidRPr="00362517" w14:paraId="73C14F92"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3D35F575" w14:textId="77777777" w:rsidR="00D8365A" w:rsidRPr="00362517" w:rsidRDefault="00D8365A" w:rsidP="00BF6BC7">
            <w:r w:rsidRPr="00362517">
              <w:t>Alaska</w:t>
            </w:r>
          </w:p>
        </w:tc>
        <w:tc>
          <w:tcPr>
            <w:tcW w:w="922" w:type="pct"/>
            <w:tcBorders>
              <w:top w:val="nil"/>
              <w:left w:val="nil"/>
              <w:bottom w:val="single" w:sz="4" w:space="0" w:color="auto"/>
              <w:right w:val="single" w:sz="4" w:space="0" w:color="auto"/>
            </w:tcBorders>
            <w:shd w:val="clear" w:color="auto" w:fill="auto"/>
            <w:noWrap/>
            <w:vAlign w:val="bottom"/>
            <w:hideMark/>
          </w:tcPr>
          <w:p w14:paraId="5A1661B1" w14:textId="77777777" w:rsidR="00D8365A" w:rsidRPr="00362517" w:rsidRDefault="00D8365A" w:rsidP="00BF6BC7">
            <w:pPr>
              <w:jc w:val="right"/>
            </w:pPr>
            <w:r w:rsidRPr="00362517">
              <w:t>2,171</w:t>
            </w:r>
          </w:p>
        </w:tc>
        <w:tc>
          <w:tcPr>
            <w:tcW w:w="871" w:type="pct"/>
            <w:tcBorders>
              <w:top w:val="nil"/>
              <w:left w:val="nil"/>
              <w:bottom w:val="single" w:sz="4" w:space="0" w:color="auto"/>
              <w:right w:val="single" w:sz="4" w:space="0" w:color="auto"/>
            </w:tcBorders>
            <w:shd w:val="clear" w:color="auto" w:fill="auto"/>
            <w:noWrap/>
            <w:vAlign w:val="bottom"/>
            <w:hideMark/>
          </w:tcPr>
          <w:p w14:paraId="27AEBB7D" w14:textId="77777777" w:rsidR="00D8365A" w:rsidRPr="00362517" w:rsidRDefault="00D8365A" w:rsidP="00BF6BC7">
            <w:pPr>
              <w:jc w:val="right"/>
            </w:pPr>
            <w:r w:rsidRPr="00362517">
              <w:t>1,398</w:t>
            </w:r>
          </w:p>
        </w:tc>
        <w:tc>
          <w:tcPr>
            <w:tcW w:w="849" w:type="pct"/>
            <w:tcBorders>
              <w:top w:val="nil"/>
              <w:left w:val="nil"/>
              <w:bottom w:val="single" w:sz="4" w:space="0" w:color="auto"/>
              <w:right w:val="single" w:sz="4" w:space="0" w:color="auto"/>
            </w:tcBorders>
            <w:shd w:val="clear" w:color="auto" w:fill="auto"/>
            <w:noWrap/>
            <w:vAlign w:val="bottom"/>
            <w:hideMark/>
          </w:tcPr>
          <w:p w14:paraId="755B6B5F" w14:textId="77777777" w:rsidR="00D8365A" w:rsidRPr="00362517" w:rsidRDefault="00D8365A" w:rsidP="00BF6BC7">
            <w:pPr>
              <w:jc w:val="right"/>
            </w:pPr>
            <w:r w:rsidRPr="00362517">
              <w:t>773</w:t>
            </w:r>
          </w:p>
        </w:tc>
        <w:tc>
          <w:tcPr>
            <w:tcW w:w="1038" w:type="pct"/>
            <w:tcBorders>
              <w:top w:val="nil"/>
              <w:left w:val="nil"/>
              <w:bottom w:val="single" w:sz="4" w:space="0" w:color="auto"/>
              <w:right w:val="single" w:sz="4" w:space="0" w:color="auto"/>
            </w:tcBorders>
            <w:shd w:val="clear" w:color="auto" w:fill="auto"/>
            <w:noWrap/>
            <w:vAlign w:val="bottom"/>
            <w:hideMark/>
          </w:tcPr>
          <w:p w14:paraId="4F3307DC" w14:textId="77777777" w:rsidR="00D8365A" w:rsidRPr="00362517" w:rsidRDefault="00D8365A" w:rsidP="00BF6BC7">
            <w:pPr>
              <w:jc w:val="right"/>
            </w:pPr>
            <w:r w:rsidRPr="00362517">
              <w:t>88</w:t>
            </w:r>
          </w:p>
        </w:tc>
      </w:tr>
      <w:tr w:rsidR="00D8365A" w:rsidRPr="00362517" w14:paraId="1962FACA"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5A168D46" w14:textId="77777777" w:rsidR="00D8365A" w:rsidRPr="00362517" w:rsidRDefault="00D8365A" w:rsidP="00BF6BC7">
            <w:r w:rsidRPr="00362517">
              <w:t>Arizona</w:t>
            </w:r>
          </w:p>
        </w:tc>
        <w:tc>
          <w:tcPr>
            <w:tcW w:w="922" w:type="pct"/>
            <w:tcBorders>
              <w:top w:val="nil"/>
              <w:left w:val="nil"/>
              <w:bottom w:val="single" w:sz="4" w:space="0" w:color="auto"/>
              <w:right w:val="single" w:sz="4" w:space="0" w:color="auto"/>
            </w:tcBorders>
            <w:shd w:val="clear" w:color="auto" w:fill="auto"/>
            <w:noWrap/>
            <w:vAlign w:val="bottom"/>
            <w:hideMark/>
          </w:tcPr>
          <w:p w14:paraId="2E368C60" w14:textId="77777777" w:rsidR="00D8365A" w:rsidRPr="00362517" w:rsidRDefault="00D8365A" w:rsidP="00BF6BC7">
            <w:pPr>
              <w:jc w:val="right"/>
            </w:pPr>
            <w:r w:rsidRPr="00362517">
              <w:t>37,163</w:t>
            </w:r>
          </w:p>
        </w:tc>
        <w:tc>
          <w:tcPr>
            <w:tcW w:w="871" w:type="pct"/>
            <w:tcBorders>
              <w:top w:val="nil"/>
              <w:left w:val="nil"/>
              <w:bottom w:val="single" w:sz="4" w:space="0" w:color="auto"/>
              <w:right w:val="single" w:sz="4" w:space="0" w:color="auto"/>
            </w:tcBorders>
            <w:shd w:val="clear" w:color="auto" w:fill="auto"/>
            <w:noWrap/>
            <w:vAlign w:val="bottom"/>
            <w:hideMark/>
          </w:tcPr>
          <w:p w14:paraId="7DB3FF76" w14:textId="77777777" w:rsidR="00D8365A" w:rsidRPr="00362517" w:rsidRDefault="00D8365A" w:rsidP="00BF6BC7">
            <w:pPr>
              <w:jc w:val="right"/>
            </w:pPr>
            <w:r w:rsidRPr="00362517">
              <w:t>32,895</w:t>
            </w:r>
          </w:p>
        </w:tc>
        <w:tc>
          <w:tcPr>
            <w:tcW w:w="849" w:type="pct"/>
            <w:tcBorders>
              <w:top w:val="nil"/>
              <w:left w:val="nil"/>
              <w:bottom w:val="single" w:sz="4" w:space="0" w:color="auto"/>
              <w:right w:val="single" w:sz="4" w:space="0" w:color="auto"/>
            </w:tcBorders>
            <w:shd w:val="clear" w:color="auto" w:fill="auto"/>
            <w:noWrap/>
            <w:vAlign w:val="bottom"/>
            <w:hideMark/>
          </w:tcPr>
          <w:p w14:paraId="7D5C41BB" w14:textId="77777777" w:rsidR="00D8365A" w:rsidRPr="00362517" w:rsidRDefault="00D8365A" w:rsidP="00BF6BC7">
            <w:pPr>
              <w:jc w:val="right"/>
            </w:pPr>
            <w:r w:rsidRPr="00362517">
              <w:t>4,267</w:t>
            </w:r>
          </w:p>
        </w:tc>
        <w:tc>
          <w:tcPr>
            <w:tcW w:w="1038" w:type="pct"/>
            <w:tcBorders>
              <w:top w:val="nil"/>
              <w:left w:val="nil"/>
              <w:bottom w:val="single" w:sz="4" w:space="0" w:color="auto"/>
              <w:right w:val="single" w:sz="4" w:space="0" w:color="auto"/>
            </w:tcBorders>
            <w:shd w:val="clear" w:color="auto" w:fill="auto"/>
            <w:noWrap/>
            <w:vAlign w:val="bottom"/>
            <w:hideMark/>
          </w:tcPr>
          <w:p w14:paraId="5752AA7A" w14:textId="77777777" w:rsidR="00D8365A" w:rsidRPr="00362517" w:rsidRDefault="00D8365A" w:rsidP="00BF6BC7">
            <w:pPr>
              <w:jc w:val="right"/>
            </w:pPr>
            <w:r w:rsidRPr="00362517">
              <w:t>486</w:t>
            </w:r>
          </w:p>
        </w:tc>
      </w:tr>
      <w:tr w:rsidR="00D8365A" w:rsidRPr="00362517" w14:paraId="67A72EC4"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53BE384" w14:textId="77777777" w:rsidR="00D8365A" w:rsidRPr="00362517" w:rsidRDefault="00D8365A" w:rsidP="00BF6BC7">
            <w:r w:rsidRPr="00362517">
              <w:t>Arkansas</w:t>
            </w:r>
          </w:p>
        </w:tc>
        <w:tc>
          <w:tcPr>
            <w:tcW w:w="922" w:type="pct"/>
            <w:tcBorders>
              <w:top w:val="nil"/>
              <w:left w:val="nil"/>
              <w:bottom w:val="single" w:sz="4" w:space="0" w:color="auto"/>
              <w:right w:val="single" w:sz="4" w:space="0" w:color="auto"/>
            </w:tcBorders>
            <w:shd w:val="clear" w:color="auto" w:fill="auto"/>
            <w:noWrap/>
            <w:vAlign w:val="bottom"/>
            <w:hideMark/>
          </w:tcPr>
          <w:p w14:paraId="6593E10B" w14:textId="77777777" w:rsidR="00D8365A" w:rsidRPr="00362517" w:rsidRDefault="00D8365A" w:rsidP="00BF6BC7">
            <w:pPr>
              <w:jc w:val="right"/>
            </w:pPr>
            <w:r w:rsidRPr="00362517">
              <w:t>33,325</w:t>
            </w:r>
          </w:p>
        </w:tc>
        <w:tc>
          <w:tcPr>
            <w:tcW w:w="871" w:type="pct"/>
            <w:tcBorders>
              <w:top w:val="nil"/>
              <w:left w:val="nil"/>
              <w:bottom w:val="single" w:sz="4" w:space="0" w:color="auto"/>
              <w:right w:val="single" w:sz="4" w:space="0" w:color="auto"/>
            </w:tcBorders>
            <w:shd w:val="clear" w:color="auto" w:fill="auto"/>
            <w:noWrap/>
            <w:vAlign w:val="bottom"/>
            <w:hideMark/>
          </w:tcPr>
          <w:p w14:paraId="752D55A2" w14:textId="77777777" w:rsidR="00D8365A" w:rsidRPr="00362517" w:rsidRDefault="00D8365A" w:rsidP="00BF6BC7">
            <w:pPr>
              <w:jc w:val="right"/>
            </w:pPr>
            <w:r w:rsidRPr="00362517">
              <w:t>18,710</w:t>
            </w:r>
          </w:p>
        </w:tc>
        <w:tc>
          <w:tcPr>
            <w:tcW w:w="849" w:type="pct"/>
            <w:tcBorders>
              <w:top w:val="nil"/>
              <w:left w:val="nil"/>
              <w:bottom w:val="single" w:sz="4" w:space="0" w:color="auto"/>
              <w:right w:val="single" w:sz="4" w:space="0" w:color="auto"/>
            </w:tcBorders>
            <w:shd w:val="clear" w:color="auto" w:fill="auto"/>
            <w:noWrap/>
            <w:vAlign w:val="bottom"/>
            <w:hideMark/>
          </w:tcPr>
          <w:p w14:paraId="673B249B" w14:textId="77777777" w:rsidR="00D8365A" w:rsidRPr="00362517" w:rsidRDefault="00D8365A" w:rsidP="00BF6BC7">
            <w:pPr>
              <w:jc w:val="right"/>
            </w:pPr>
            <w:r w:rsidRPr="00362517">
              <w:t>14,495</w:t>
            </w:r>
          </w:p>
        </w:tc>
        <w:tc>
          <w:tcPr>
            <w:tcW w:w="1038" w:type="pct"/>
            <w:tcBorders>
              <w:top w:val="nil"/>
              <w:left w:val="nil"/>
              <w:bottom w:val="single" w:sz="4" w:space="0" w:color="auto"/>
              <w:right w:val="single" w:sz="4" w:space="0" w:color="auto"/>
            </w:tcBorders>
            <w:shd w:val="clear" w:color="auto" w:fill="auto"/>
            <w:noWrap/>
            <w:vAlign w:val="bottom"/>
            <w:hideMark/>
          </w:tcPr>
          <w:p w14:paraId="62F838C8" w14:textId="77777777" w:rsidR="00D8365A" w:rsidRPr="00362517" w:rsidRDefault="00D8365A" w:rsidP="00BF6BC7">
            <w:pPr>
              <w:jc w:val="right"/>
            </w:pPr>
            <w:r w:rsidRPr="00362517">
              <w:t>1,663</w:t>
            </w:r>
          </w:p>
        </w:tc>
      </w:tr>
      <w:tr w:rsidR="00D8365A" w:rsidRPr="00362517" w14:paraId="4D472787"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13B9F471" w14:textId="77777777" w:rsidR="00D8365A" w:rsidRPr="00362517" w:rsidRDefault="00D8365A" w:rsidP="00BF6BC7">
            <w:r w:rsidRPr="00362517">
              <w:t>California</w:t>
            </w:r>
          </w:p>
        </w:tc>
        <w:tc>
          <w:tcPr>
            <w:tcW w:w="922" w:type="pct"/>
            <w:tcBorders>
              <w:top w:val="nil"/>
              <w:left w:val="nil"/>
              <w:bottom w:val="single" w:sz="4" w:space="0" w:color="auto"/>
              <w:right w:val="single" w:sz="4" w:space="0" w:color="auto"/>
            </w:tcBorders>
            <w:shd w:val="clear" w:color="auto" w:fill="auto"/>
            <w:noWrap/>
            <w:vAlign w:val="bottom"/>
            <w:hideMark/>
          </w:tcPr>
          <w:p w14:paraId="5FE3415B" w14:textId="77777777" w:rsidR="00D8365A" w:rsidRPr="00362517" w:rsidRDefault="00D8365A" w:rsidP="00BF6BC7">
            <w:pPr>
              <w:jc w:val="right"/>
            </w:pPr>
            <w:r w:rsidRPr="00362517">
              <w:t>248,819</w:t>
            </w:r>
          </w:p>
        </w:tc>
        <w:tc>
          <w:tcPr>
            <w:tcW w:w="871" w:type="pct"/>
            <w:tcBorders>
              <w:top w:val="nil"/>
              <w:left w:val="nil"/>
              <w:bottom w:val="single" w:sz="4" w:space="0" w:color="auto"/>
              <w:right w:val="single" w:sz="4" w:space="0" w:color="auto"/>
            </w:tcBorders>
            <w:shd w:val="clear" w:color="auto" w:fill="auto"/>
            <w:noWrap/>
            <w:vAlign w:val="bottom"/>
            <w:hideMark/>
          </w:tcPr>
          <w:p w14:paraId="2C4F23A4" w14:textId="77777777" w:rsidR="00D8365A" w:rsidRPr="00362517" w:rsidRDefault="00D8365A" w:rsidP="00BF6BC7">
            <w:pPr>
              <w:jc w:val="right"/>
            </w:pPr>
            <w:r w:rsidRPr="00362517">
              <w:t>224,368</w:t>
            </w:r>
          </w:p>
        </w:tc>
        <w:tc>
          <w:tcPr>
            <w:tcW w:w="849" w:type="pct"/>
            <w:tcBorders>
              <w:top w:val="nil"/>
              <w:left w:val="nil"/>
              <w:bottom w:val="single" w:sz="4" w:space="0" w:color="auto"/>
              <w:right w:val="single" w:sz="4" w:space="0" w:color="auto"/>
            </w:tcBorders>
            <w:shd w:val="clear" w:color="auto" w:fill="auto"/>
            <w:noWrap/>
            <w:vAlign w:val="bottom"/>
            <w:hideMark/>
          </w:tcPr>
          <w:p w14:paraId="73170D69" w14:textId="77777777" w:rsidR="00D8365A" w:rsidRPr="00362517" w:rsidRDefault="00D8365A" w:rsidP="00BF6BC7">
            <w:pPr>
              <w:jc w:val="right"/>
            </w:pPr>
            <w:r w:rsidRPr="00362517">
              <w:t>24,322</w:t>
            </w:r>
          </w:p>
        </w:tc>
        <w:tc>
          <w:tcPr>
            <w:tcW w:w="1038" w:type="pct"/>
            <w:tcBorders>
              <w:top w:val="nil"/>
              <w:left w:val="nil"/>
              <w:bottom w:val="single" w:sz="4" w:space="0" w:color="auto"/>
              <w:right w:val="single" w:sz="4" w:space="0" w:color="auto"/>
            </w:tcBorders>
            <w:shd w:val="clear" w:color="auto" w:fill="auto"/>
            <w:noWrap/>
            <w:vAlign w:val="bottom"/>
            <w:hideMark/>
          </w:tcPr>
          <w:p w14:paraId="566A763F" w14:textId="77777777" w:rsidR="00D8365A" w:rsidRPr="00362517" w:rsidRDefault="00D8365A" w:rsidP="00BF6BC7">
            <w:pPr>
              <w:jc w:val="right"/>
            </w:pPr>
            <w:r w:rsidRPr="00362517">
              <w:t>2,783</w:t>
            </w:r>
          </w:p>
        </w:tc>
      </w:tr>
      <w:tr w:rsidR="00D8365A" w:rsidRPr="00362517" w14:paraId="38331FF0"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3DC43B50" w14:textId="77777777" w:rsidR="00D8365A" w:rsidRPr="00362517" w:rsidRDefault="00D8365A" w:rsidP="00BF6BC7">
            <w:r w:rsidRPr="00362517">
              <w:t>Colorado</w:t>
            </w:r>
          </w:p>
        </w:tc>
        <w:tc>
          <w:tcPr>
            <w:tcW w:w="922" w:type="pct"/>
            <w:tcBorders>
              <w:top w:val="nil"/>
              <w:left w:val="nil"/>
              <w:bottom w:val="single" w:sz="4" w:space="0" w:color="auto"/>
              <w:right w:val="single" w:sz="4" w:space="0" w:color="auto"/>
            </w:tcBorders>
            <w:shd w:val="clear" w:color="auto" w:fill="auto"/>
            <w:noWrap/>
            <w:vAlign w:val="bottom"/>
            <w:hideMark/>
          </w:tcPr>
          <w:p w14:paraId="2C243AAA" w14:textId="77777777" w:rsidR="00D8365A" w:rsidRPr="00362517" w:rsidRDefault="00D8365A" w:rsidP="00BF6BC7">
            <w:pPr>
              <w:jc w:val="right"/>
            </w:pPr>
            <w:r w:rsidRPr="00362517">
              <w:t>23,244</w:t>
            </w:r>
          </w:p>
        </w:tc>
        <w:tc>
          <w:tcPr>
            <w:tcW w:w="871" w:type="pct"/>
            <w:tcBorders>
              <w:top w:val="nil"/>
              <w:left w:val="nil"/>
              <w:bottom w:val="single" w:sz="4" w:space="0" w:color="auto"/>
              <w:right w:val="single" w:sz="4" w:space="0" w:color="auto"/>
            </w:tcBorders>
            <w:shd w:val="clear" w:color="auto" w:fill="auto"/>
            <w:noWrap/>
            <w:vAlign w:val="bottom"/>
            <w:hideMark/>
          </w:tcPr>
          <w:p w14:paraId="04EB53FE" w14:textId="77777777" w:rsidR="00D8365A" w:rsidRPr="00362517" w:rsidRDefault="00D8365A" w:rsidP="00BF6BC7">
            <w:pPr>
              <w:jc w:val="right"/>
            </w:pPr>
            <w:r w:rsidRPr="00362517">
              <w:t>18,622</w:t>
            </w:r>
          </w:p>
        </w:tc>
        <w:tc>
          <w:tcPr>
            <w:tcW w:w="849" w:type="pct"/>
            <w:tcBorders>
              <w:top w:val="nil"/>
              <w:left w:val="nil"/>
              <w:bottom w:val="single" w:sz="4" w:space="0" w:color="auto"/>
              <w:right w:val="single" w:sz="4" w:space="0" w:color="auto"/>
            </w:tcBorders>
            <w:shd w:val="clear" w:color="auto" w:fill="auto"/>
            <w:noWrap/>
            <w:vAlign w:val="bottom"/>
            <w:hideMark/>
          </w:tcPr>
          <w:p w14:paraId="5301EEA5" w14:textId="77777777" w:rsidR="00D8365A" w:rsidRPr="00362517" w:rsidRDefault="00D8365A" w:rsidP="00BF6BC7">
            <w:pPr>
              <w:jc w:val="right"/>
            </w:pPr>
            <w:r w:rsidRPr="00362517">
              <w:t>4,598</w:t>
            </w:r>
          </w:p>
        </w:tc>
        <w:tc>
          <w:tcPr>
            <w:tcW w:w="1038" w:type="pct"/>
            <w:tcBorders>
              <w:top w:val="nil"/>
              <w:left w:val="nil"/>
              <w:bottom w:val="single" w:sz="4" w:space="0" w:color="auto"/>
              <w:right w:val="single" w:sz="4" w:space="0" w:color="auto"/>
            </w:tcBorders>
            <w:shd w:val="clear" w:color="auto" w:fill="auto"/>
            <w:noWrap/>
            <w:vAlign w:val="bottom"/>
            <w:hideMark/>
          </w:tcPr>
          <w:p w14:paraId="0C2D12B3" w14:textId="77777777" w:rsidR="00D8365A" w:rsidRPr="00362517" w:rsidRDefault="00D8365A" w:rsidP="00BF6BC7">
            <w:pPr>
              <w:jc w:val="right"/>
            </w:pPr>
            <w:r w:rsidRPr="00362517">
              <w:t>526</w:t>
            </w:r>
          </w:p>
        </w:tc>
      </w:tr>
      <w:tr w:rsidR="00D8365A" w:rsidRPr="00362517" w14:paraId="0FF014AA"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1C5D1BE6" w14:textId="77777777" w:rsidR="00D8365A" w:rsidRPr="00362517" w:rsidRDefault="00D8365A" w:rsidP="00BF6BC7">
            <w:r w:rsidRPr="00362517">
              <w:t>Connecticut</w:t>
            </w:r>
          </w:p>
        </w:tc>
        <w:tc>
          <w:tcPr>
            <w:tcW w:w="922" w:type="pct"/>
            <w:tcBorders>
              <w:top w:val="nil"/>
              <w:left w:val="nil"/>
              <w:bottom w:val="single" w:sz="4" w:space="0" w:color="auto"/>
              <w:right w:val="single" w:sz="4" w:space="0" w:color="auto"/>
            </w:tcBorders>
            <w:shd w:val="clear" w:color="auto" w:fill="auto"/>
            <w:noWrap/>
            <w:vAlign w:val="bottom"/>
            <w:hideMark/>
          </w:tcPr>
          <w:p w14:paraId="3B03F4A3" w14:textId="77777777" w:rsidR="00D8365A" w:rsidRPr="00362517" w:rsidRDefault="00D8365A" w:rsidP="00BF6BC7">
            <w:pPr>
              <w:jc w:val="right"/>
            </w:pPr>
            <w:r w:rsidRPr="00362517">
              <w:t>11,308</w:t>
            </w:r>
          </w:p>
        </w:tc>
        <w:tc>
          <w:tcPr>
            <w:tcW w:w="871" w:type="pct"/>
            <w:tcBorders>
              <w:top w:val="nil"/>
              <w:left w:val="nil"/>
              <w:bottom w:val="single" w:sz="4" w:space="0" w:color="auto"/>
              <w:right w:val="single" w:sz="4" w:space="0" w:color="auto"/>
            </w:tcBorders>
            <w:shd w:val="clear" w:color="auto" w:fill="auto"/>
            <w:noWrap/>
            <w:vAlign w:val="bottom"/>
            <w:hideMark/>
          </w:tcPr>
          <w:p w14:paraId="21CCDFE4" w14:textId="77777777" w:rsidR="00D8365A" w:rsidRPr="00362517" w:rsidRDefault="00D8365A" w:rsidP="00BF6BC7">
            <w:pPr>
              <w:jc w:val="right"/>
            </w:pPr>
            <w:r w:rsidRPr="00362517">
              <w:t>9,961</w:t>
            </w:r>
          </w:p>
        </w:tc>
        <w:tc>
          <w:tcPr>
            <w:tcW w:w="849" w:type="pct"/>
            <w:tcBorders>
              <w:top w:val="nil"/>
              <w:left w:val="nil"/>
              <w:bottom w:val="single" w:sz="4" w:space="0" w:color="auto"/>
              <w:right w:val="single" w:sz="4" w:space="0" w:color="auto"/>
            </w:tcBorders>
            <w:shd w:val="clear" w:color="auto" w:fill="auto"/>
            <w:noWrap/>
            <w:vAlign w:val="bottom"/>
            <w:hideMark/>
          </w:tcPr>
          <w:p w14:paraId="4BB5FD07" w14:textId="77777777" w:rsidR="00D8365A" w:rsidRPr="00362517" w:rsidRDefault="00D8365A" w:rsidP="00BF6BC7">
            <w:pPr>
              <w:jc w:val="right"/>
            </w:pPr>
            <w:r w:rsidRPr="00362517">
              <w:t>1,346</w:t>
            </w:r>
          </w:p>
        </w:tc>
        <w:tc>
          <w:tcPr>
            <w:tcW w:w="1038" w:type="pct"/>
            <w:tcBorders>
              <w:top w:val="nil"/>
              <w:left w:val="nil"/>
              <w:bottom w:val="single" w:sz="4" w:space="0" w:color="auto"/>
              <w:right w:val="single" w:sz="4" w:space="0" w:color="auto"/>
            </w:tcBorders>
            <w:shd w:val="clear" w:color="auto" w:fill="auto"/>
            <w:noWrap/>
            <w:vAlign w:val="bottom"/>
            <w:hideMark/>
          </w:tcPr>
          <w:p w14:paraId="1FB8CF29" w14:textId="77777777" w:rsidR="00D8365A" w:rsidRPr="00362517" w:rsidRDefault="00D8365A" w:rsidP="00BF6BC7">
            <w:pPr>
              <w:jc w:val="right"/>
            </w:pPr>
            <w:r w:rsidRPr="00362517">
              <w:t>153</w:t>
            </w:r>
          </w:p>
        </w:tc>
      </w:tr>
      <w:tr w:rsidR="00D8365A" w:rsidRPr="00362517" w14:paraId="7DE967D2"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8557D27" w14:textId="77777777" w:rsidR="00D8365A" w:rsidRPr="00362517" w:rsidRDefault="00D8365A" w:rsidP="00BF6BC7">
            <w:r w:rsidRPr="00362517">
              <w:t>Delaware</w:t>
            </w:r>
          </w:p>
        </w:tc>
        <w:tc>
          <w:tcPr>
            <w:tcW w:w="922" w:type="pct"/>
            <w:tcBorders>
              <w:top w:val="nil"/>
              <w:left w:val="nil"/>
              <w:bottom w:val="single" w:sz="4" w:space="0" w:color="auto"/>
              <w:right w:val="single" w:sz="4" w:space="0" w:color="auto"/>
            </w:tcBorders>
            <w:shd w:val="clear" w:color="auto" w:fill="auto"/>
            <w:noWrap/>
            <w:vAlign w:val="bottom"/>
            <w:hideMark/>
          </w:tcPr>
          <w:p w14:paraId="52AEE7E8" w14:textId="77777777" w:rsidR="00D8365A" w:rsidRPr="00362517" w:rsidRDefault="00D8365A" w:rsidP="00BF6BC7">
            <w:pPr>
              <w:jc w:val="right"/>
            </w:pPr>
            <w:r w:rsidRPr="00362517">
              <w:t>13,458</w:t>
            </w:r>
          </w:p>
        </w:tc>
        <w:tc>
          <w:tcPr>
            <w:tcW w:w="871" w:type="pct"/>
            <w:tcBorders>
              <w:top w:val="nil"/>
              <w:left w:val="nil"/>
              <w:bottom w:val="single" w:sz="4" w:space="0" w:color="auto"/>
              <w:right w:val="single" w:sz="4" w:space="0" w:color="auto"/>
            </w:tcBorders>
            <w:shd w:val="clear" w:color="auto" w:fill="auto"/>
            <w:noWrap/>
            <w:vAlign w:val="bottom"/>
            <w:hideMark/>
          </w:tcPr>
          <w:p w14:paraId="1B03859A" w14:textId="77777777" w:rsidR="00D8365A" w:rsidRPr="00362517" w:rsidRDefault="00D8365A" w:rsidP="00BF6BC7">
            <w:pPr>
              <w:jc w:val="right"/>
            </w:pPr>
            <w:r w:rsidRPr="00362517">
              <w:t>11,247</w:t>
            </w:r>
          </w:p>
        </w:tc>
        <w:tc>
          <w:tcPr>
            <w:tcW w:w="849" w:type="pct"/>
            <w:tcBorders>
              <w:top w:val="nil"/>
              <w:left w:val="nil"/>
              <w:bottom w:val="single" w:sz="4" w:space="0" w:color="auto"/>
              <w:right w:val="single" w:sz="4" w:space="0" w:color="auto"/>
            </w:tcBorders>
            <w:shd w:val="clear" w:color="auto" w:fill="auto"/>
            <w:noWrap/>
            <w:vAlign w:val="bottom"/>
            <w:hideMark/>
          </w:tcPr>
          <w:p w14:paraId="71292202" w14:textId="77777777" w:rsidR="00D8365A" w:rsidRPr="00362517" w:rsidRDefault="00D8365A" w:rsidP="00BF6BC7">
            <w:pPr>
              <w:jc w:val="right"/>
            </w:pPr>
            <w:r w:rsidRPr="00362517">
              <w:t>2,149</w:t>
            </w:r>
          </w:p>
        </w:tc>
        <w:tc>
          <w:tcPr>
            <w:tcW w:w="1038" w:type="pct"/>
            <w:tcBorders>
              <w:top w:val="nil"/>
              <w:left w:val="nil"/>
              <w:bottom w:val="single" w:sz="4" w:space="0" w:color="auto"/>
              <w:right w:val="single" w:sz="4" w:space="0" w:color="auto"/>
            </w:tcBorders>
            <w:shd w:val="clear" w:color="auto" w:fill="auto"/>
            <w:noWrap/>
            <w:vAlign w:val="bottom"/>
            <w:hideMark/>
          </w:tcPr>
          <w:p w14:paraId="520AA85A" w14:textId="77777777" w:rsidR="00D8365A" w:rsidRPr="00362517" w:rsidRDefault="00D8365A" w:rsidP="00BF6BC7">
            <w:pPr>
              <w:jc w:val="right"/>
            </w:pPr>
            <w:r w:rsidRPr="00362517">
              <w:t>245</w:t>
            </w:r>
          </w:p>
        </w:tc>
      </w:tr>
      <w:tr w:rsidR="00D8365A" w:rsidRPr="00362517" w14:paraId="0C34A5B9"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E40EF67" w14:textId="77777777" w:rsidR="00D8365A" w:rsidRPr="00362517" w:rsidRDefault="00D8365A" w:rsidP="00BF6BC7">
            <w:r w:rsidRPr="00362517">
              <w:t>Florida</w:t>
            </w:r>
          </w:p>
        </w:tc>
        <w:tc>
          <w:tcPr>
            <w:tcW w:w="922" w:type="pct"/>
            <w:tcBorders>
              <w:top w:val="nil"/>
              <w:left w:val="nil"/>
              <w:bottom w:val="single" w:sz="4" w:space="0" w:color="auto"/>
              <w:right w:val="single" w:sz="4" w:space="0" w:color="auto"/>
            </w:tcBorders>
            <w:shd w:val="clear" w:color="auto" w:fill="auto"/>
            <w:noWrap/>
            <w:vAlign w:val="bottom"/>
            <w:hideMark/>
          </w:tcPr>
          <w:p w14:paraId="1C2D3609" w14:textId="77777777" w:rsidR="00D8365A" w:rsidRPr="00362517" w:rsidRDefault="00D8365A" w:rsidP="00BF6BC7">
            <w:pPr>
              <w:jc w:val="right"/>
            </w:pPr>
            <w:r w:rsidRPr="00362517">
              <w:t>106,781</w:t>
            </w:r>
          </w:p>
        </w:tc>
        <w:tc>
          <w:tcPr>
            <w:tcW w:w="871" w:type="pct"/>
            <w:tcBorders>
              <w:top w:val="nil"/>
              <w:left w:val="nil"/>
              <w:bottom w:val="single" w:sz="4" w:space="0" w:color="auto"/>
              <w:right w:val="single" w:sz="4" w:space="0" w:color="auto"/>
            </w:tcBorders>
            <w:shd w:val="clear" w:color="auto" w:fill="auto"/>
            <w:noWrap/>
            <w:vAlign w:val="bottom"/>
            <w:hideMark/>
          </w:tcPr>
          <w:p w14:paraId="0D7EB53D" w14:textId="77777777" w:rsidR="00D8365A" w:rsidRPr="00362517" w:rsidRDefault="00D8365A" w:rsidP="00BF6BC7">
            <w:pPr>
              <w:jc w:val="right"/>
            </w:pPr>
            <w:r w:rsidRPr="00362517">
              <w:t>98,660</w:t>
            </w:r>
          </w:p>
        </w:tc>
        <w:tc>
          <w:tcPr>
            <w:tcW w:w="849" w:type="pct"/>
            <w:tcBorders>
              <w:top w:val="nil"/>
              <w:left w:val="nil"/>
              <w:bottom w:val="single" w:sz="4" w:space="0" w:color="auto"/>
              <w:right w:val="single" w:sz="4" w:space="0" w:color="auto"/>
            </w:tcBorders>
            <w:shd w:val="clear" w:color="auto" w:fill="auto"/>
            <w:noWrap/>
            <w:vAlign w:val="bottom"/>
            <w:hideMark/>
          </w:tcPr>
          <w:p w14:paraId="50FBA0F4" w14:textId="77777777" w:rsidR="00D8365A" w:rsidRPr="00362517" w:rsidRDefault="00D8365A" w:rsidP="00BF6BC7">
            <w:pPr>
              <w:jc w:val="right"/>
            </w:pPr>
            <w:r w:rsidRPr="00362517">
              <w:t>8,108</w:t>
            </w:r>
          </w:p>
        </w:tc>
        <w:tc>
          <w:tcPr>
            <w:tcW w:w="1038" w:type="pct"/>
            <w:tcBorders>
              <w:top w:val="nil"/>
              <w:left w:val="nil"/>
              <w:bottom w:val="single" w:sz="4" w:space="0" w:color="auto"/>
              <w:right w:val="single" w:sz="4" w:space="0" w:color="auto"/>
            </w:tcBorders>
            <w:shd w:val="clear" w:color="auto" w:fill="auto"/>
            <w:noWrap/>
            <w:vAlign w:val="bottom"/>
            <w:hideMark/>
          </w:tcPr>
          <w:p w14:paraId="605A8888" w14:textId="77777777" w:rsidR="00D8365A" w:rsidRPr="00362517" w:rsidRDefault="00D8365A" w:rsidP="00BF6BC7">
            <w:pPr>
              <w:jc w:val="right"/>
            </w:pPr>
            <w:r w:rsidRPr="00362517">
              <w:t>924</w:t>
            </w:r>
          </w:p>
        </w:tc>
      </w:tr>
      <w:tr w:rsidR="00D8365A" w:rsidRPr="00362517" w14:paraId="0301EE80"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5AC6554A" w14:textId="77777777" w:rsidR="00D8365A" w:rsidRPr="00362517" w:rsidRDefault="00D8365A" w:rsidP="00BF6BC7">
            <w:r w:rsidRPr="00362517">
              <w:t>Georgia</w:t>
            </w:r>
          </w:p>
        </w:tc>
        <w:tc>
          <w:tcPr>
            <w:tcW w:w="922" w:type="pct"/>
            <w:tcBorders>
              <w:top w:val="nil"/>
              <w:left w:val="nil"/>
              <w:bottom w:val="single" w:sz="4" w:space="0" w:color="auto"/>
              <w:right w:val="single" w:sz="4" w:space="0" w:color="auto"/>
            </w:tcBorders>
            <w:shd w:val="clear" w:color="auto" w:fill="auto"/>
            <w:noWrap/>
            <w:vAlign w:val="bottom"/>
            <w:hideMark/>
          </w:tcPr>
          <w:p w14:paraId="05C2E2BC" w14:textId="77777777" w:rsidR="00D8365A" w:rsidRPr="00362517" w:rsidRDefault="00D8365A" w:rsidP="00BF6BC7">
            <w:pPr>
              <w:jc w:val="right"/>
            </w:pPr>
            <w:r w:rsidRPr="00362517">
              <w:t>47,076</w:t>
            </w:r>
          </w:p>
        </w:tc>
        <w:tc>
          <w:tcPr>
            <w:tcW w:w="871" w:type="pct"/>
            <w:tcBorders>
              <w:top w:val="nil"/>
              <w:left w:val="nil"/>
              <w:bottom w:val="single" w:sz="4" w:space="0" w:color="auto"/>
              <w:right w:val="single" w:sz="4" w:space="0" w:color="auto"/>
            </w:tcBorders>
            <w:shd w:val="clear" w:color="auto" w:fill="auto"/>
            <w:noWrap/>
            <w:vAlign w:val="bottom"/>
            <w:hideMark/>
          </w:tcPr>
          <w:p w14:paraId="2080FA86" w14:textId="77777777" w:rsidR="00D8365A" w:rsidRPr="00362517" w:rsidRDefault="00D8365A" w:rsidP="00BF6BC7">
            <w:pPr>
              <w:jc w:val="right"/>
            </w:pPr>
            <w:r w:rsidRPr="00362517">
              <w:t>28,185</w:t>
            </w:r>
          </w:p>
        </w:tc>
        <w:tc>
          <w:tcPr>
            <w:tcW w:w="849" w:type="pct"/>
            <w:tcBorders>
              <w:top w:val="nil"/>
              <w:left w:val="nil"/>
              <w:bottom w:val="single" w:sz="4" w:space="0" w:color="auto"/>
              <w:right w:val="single" w:sz="4" w:space="0" w:color="auto"/>
            </w:tcBorders>
            <w:shd w:val="clear" w:color="auto" w:fill="auto"/>
            <w:noWrap/>
            <w:vAlign w:val="bottom"/>
            <w:hideMark/>
          </w:tcPr>
          <w:p w14:paraId="0F17B150" w14:textId="77777777" w:rsidR="00D8365A" w:rsidRPr="00362517" w:rsidRDefault="00D8365A" w:rsidP="00BF6BC7">
            <w:pPr>
              <w:jc w:val="right"/>
            </w:pPr>
            <w:r w:rsidRPr="00362517">
              <w:t>18,788</w:t>
            </w:r>
          </w:p>
        </w:tc>
        <w:tc>
          <w:tcPr>
            <w:tcW w:w="1038" w:type="pct"/>
            <w:tcBorders>
              <w:top w:val="nil"/>
              <w:left w:val="nil"/>
              <w:bottom w:val="single" w:sz="4" w:space="0" w:color="auto"/>
              <w:right w:val="single" w:sz="4" w:space="0" w:color="auto"/>
            </w:tcBorders>
            <w:shd w:val="clear" w:color="auto" w:fill="auto"/>
            <w:noWrap/>
            <w:vAlign w:val="bottom"/>
            <w:hideMark/>
          </w:tcPr>
          <w:p w14:paraId="1AF9FA3E" w14:textId="77777777" w:rsidR="00D8365A" w:rsidRPr="00362517" w:rsidRDefault="00D8365A" w:rsidP="00BF6BC7">
            <w:pPr>
              <w:jc w:val="right"/>
            </w:pPr>
            <w:r w:rsidRPr="00362517">
              <w:t>2,150</w:t>
            </w:r>
          </w:p>
        </w:tc>
      </w:tr>
      <w:tr w:rsidR="00D8365A" w:rsidRPr="00362517" w14:paraId="25D4154E"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C274D08" w14:textId="77777777" w:rsidR="00D8365A" w:rsidRPr="00362517" w:rsidRDefault="00D8365A" w:rsidP="00BF6BC7">
            <w:r w:rsidRPr="00362517">
              <w:t>Hawaii</w:t>
            </w:r>
          </w:p>
        </w:tc>
        <w:tc>
          <w:tcPr>
            <w:tcW w:w="922" w:type="pct"/>
            <w:tcBorders>
              <w:top w:val="nil"/>
              <w:left w:val="nil"/>
              <w:bottom w:val="single" w:sz="4" w:space="0" w:color="auto"/>
              <w:right w:val="single" w:sz="4" w:space="0" w:color="auto"/>
            </w:tcBorders>
            <w:shd w:val="clear" w:color="auto" w:fill="auto"/>
            <w:noWrap/>
            <w:vAlign w:val="bottom"/>
            <w:hideMark/>
          </w:tcPr>
          <w:p w14:paraId="0AC33661" w14:textId="77777777" w:rsidR="00D8365A" w:rsidRPr="00362517" w:rsidRDefault="00D8365A" w:rsidP="00BF6BC7">
            <w:pPr>
              <w:jc w:val="right"/>
            </w:pPr>
            <w:r w:rsidRPr="00362517">
              <w:t>6,936</w:t>
            </w:r>
          </w:p>
        </w:tc>
        <w:tc>
          <w:tcPr>
            <w:tcW w:w="871" w:type="pct"/>
            <w:tcBorders>
              <w:top w:val="nil"/>
              <w:left w:val="nil"/>
              <w:bottom w:val="single" w:sz="4" w:space="0" w:color="auto"/>
              <w:right w:val="single" w:sz="4" w:space="0" w:color="auto"/>
            </w:tcBorders>
            <w:shd w:val="clear" w:color="auto" w:fill="auto"/>
            <w:noWrap/>
            <w:vAlign w:val="bottom"/>
            <w:hideMark/>
          </w:tcPr>
          <w:p w14:paraId="7E09E533" w14:textId="77777777" w:rsidR="00D8365A" w:rsidRPr="00362517" w:rsidRDefault="00D8365A" w:rsidP="00BF6BC7">
            <w:pPr>
              <w:jc w:val="right"/>
            </w:pPr>
            <w:r w:rsidRPr="00362517">
              <w:t>5,243</w:t>
            </w:r>
          </w:p>
        </w:tc>
        <w:tc>
          <w:tcPr>
            <w:tcW w:w="849" w:type="pct"/>
            <w:tcBorders>
              <w:top w:val="nil"/>
              <w:left w:val="nil"/>
              <w:bottom w:val="single" w:sz="4" w:space="0" w:color="auto"/>
              <w:right w:val="single" w:sz="4" w:space="0" w:color="auto"/>
            </w:tcBorders>
            <w:shd w:val="clear" w:color="auto" w:fill="auto"/>
            <w:noWrap/>
            <w:vAlign w:val="bottom"/>
            <w:hideMark/>
          </w:tcPr>
          <w:p w14:paraId="5CAADE0C" w14:textId="77777777" w:rsidR="00D8365A" w:rsidRPr="00362517" w:rsidRDefault="00D8365A" w:rsidP="00BF6BC7">
            <w:pPr>
              <w:jc w:val="right"/>
            </w:pPr>
            <w:r w:rsidRPr="00362517">
              <w:t>1,693</w:t>
            </w:r>
          </w:p>
        </w:tc>
        <w:tc>
          <w:tcPr>
            <w:tcW w:w="1038" w:type="pct"/>
            <w:tcBorders>
              <w:top w:val="nil"/>
              <w:left w:val="nil"/>
              <w:bottom w:val="single" w:sz="4" w:space="0" w:color="auto"/>
              <w:right w:val="single" w:sz="4" w:space="0" w:color="auto"/>
            </w:tcBorders>
            <w:shd w:val="clear" w:color="auto" w:fill="auto"/>
            <w:noWrap/>
            <w:vAlign w:val="bottom"/>
            <w:hideMark/>
          </w:tcPr>
          <w:p w14:paraId="22154A67" w14:textId="77777777" w:rsidR="00D8365A" w:rsidRPr="00362517" w:rsidRDefault="00D8365A" w:rsidP="00BF6BC7">
            <w:pPr>
              <w:jc w:val="right"/>
            </w:pPr>
            <w:r w:rsidRPr="00362517">
              <w:t>193</w:t>
            </w:r>
          </w:p>
        </w:tc>
      </w:tr>
      <w:tr w:rsidR="00D8365A" w:rsidRPr="00362517" w14:paraId="733AF46F"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54421A8A" w14:textId="77777777" w:rsidR="00D8365A" w:rsidRPr="00362517" w:rsidRDefault="00D8365A" w:rsidP="00BF6BC7">
            <w:r w:rsidRPr="00362517">
              <w:t>Idaho</w:t>
            </w:r>
          </w:p>
        </w:tc>
        <w:tc>
          <w:tcPr>
            <w:tcW w:w="922" w:type="pct"/>
            <w:tcBorders>
              <w:top w:val="nil"/>
              <w:left w:val="nil"/>
              <w:bottom w:val="single" w:sz="4" w:space="0" w:color="auto"/>
              <w:right w:val="single" w:sz="4" w:space="0" w:color="auto"/>
            </w:tcBorders>
            <w:shd w:val="clear" w:color="auto" w:fill="auto"/>
            <w:noWrap/>
            <w:vAlign w:val="bottom"/>
            <w:hideMark/>
          </w:tcPr>
          <w:p w14:paraId="07010BBC" w14:textId="77777777" w:rsidR="00D8365A" w:rsidRPr="00362517" w:rsidRDefault="00D8365A" w:rsidP="00BF6BC7">
            <w:pPr>
              <w:jc w:val="right"/>
            </w:pPr>
            <w:r w:rsidRPr="00362517">
              <w:t>39,538</w:t>
            </w:r>
          </w:p>
        </w:tc>
        <w:tc>
          <w:tcPr>
            <w:tcW w:w="871" w:type="pct"/>
            <w:tcBorders>
              <w:top w:val="nil"/>
              <w:left w:val="nil"/>
              <w:bottom w:val="single" w:sz="4" w:space="0" w:color="auto"/>
              <w:right w:val="single" w:sz="4" w:space="0" w:color="auto"/>
            </w:tcBorders>
            <w:shd w:val="clear" w:color="auto" w:fill="auto"/>
            <w:noWrap/>
            <w:vAlign w:val="bottom"/>
            <w:hideMark/>
          </w:tcPr>
          <w:p w14:paraId="4E2BD87A" w14:textId="77777777" w:rsidR="00D8365A" w:rsidRPr="00362517" w:rsidRDefault="00D8365A" w:rsidP="00BF6BC7">
            <w:pPr>
              <w:jc w:val="right"/>
            </w:pPr>
            <w:r w:rsidRPr="00362517">
              <w:t>37,284</w:t>
            </w:r>
          </w:p>
        </w:tc>
        <w:tc>
          <w:tcPr>
            <w:tcW w:w="849" w:type="pct"/>
            <w:tcBorders>
              <w:top w:val="nil"/>
              <w:left w:val="nil"/>
              <w:bottom w:val="single" w:sz="4" w:space="0" w:color="auto"/>
              <w:right w:val="single" w:sz="4" w:space="0" w:color="auto"/>
            </w:tcBorders>
            <w:shd w:val="clear" w:color="auto" w:fill="auto"/>
            <w:noWrap/>
            <w:vAlign w:val="bottom"/>
            <w:hideMark/>
          </w:tcPr>
          <w:p w14:paraId="031CAE78" w14:textId="77777777" w:rsidR="00D8365A" w:rsidRPr="00362517" w:rsidRDefault="00D8365A" w:rsidP="00BF6BC7">
            <w:pPr>
              <w:jc w:val="right"/>
            </w:pPr>
            <w:r w:rsidRPr="00362517">
              <w:t>2,233</w:t>
            </w:r>
          </w:p>
        </w:tc>
        <w:tc>
          <w:tcPr>
            <w:tcW w:w="1038" w:type="pct"/>
            <w:tcBorders>
              <w:top w:val="nil"/>
              <w:left w:val="nil"/>
              <w:bottom w:val="single" w:sz="4" w:space="0" w:color="auto"/>
              <w:right w:val="single" w:sz="4" w:space="0" w:color="auto"/>
            </w:tcBorders>
            <w:shd w:val="clear" w:color="auto" w:fill="auto"/>
            <w:noWrap/>
            <w:vAlign w:val="bottom"/>
            <w:hideMark/>
          </w:tcPr>
          <w:p w14:paraId="7E5DE584" w14:textId="77777777" w:rsidR="00D8365A" w:rsidRPr="00362517" w:rsidRDefault="00D8365A" w:rsidP="00BF6BC7">
            <w:pPr>
              <w:jc w:val="right"/>
            </w:pPr>
            <w:r w:rsidRPr="00362517">
              <w:t>257</w:t>
            </w:r>
          </w:p>
        </w:tc>
      </w:tr>
      <w:tr w:rsidR="00D8365A" w:rsidRPr="00362517" w14:paraId="005BE9FA"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37C0446E" w14:textId="77777777" w:rsidR="00D8365A" w:rsidRPr="00362517" w:rsidRDefault="00D8365A" w:rsidP="00BF6BC7">
            <w:r w:rsidRPr="00362517">
              <w:t>Illinois</w:t>
            </w:r>
          </w:p>
        </w:tc>
        <w:tc>
          <w:tcPr>
            <w:tcW w:w="922" w:type="pct"/>
            <w:tcBorders>
              <w:top w:val="nil"/>
              <w:left w:val="nil"/>
              <w:bottom w:val="single" w:sz="4" w:space="0" w:color="auto"/>
              <w:right w:val="single" w:sz="4" w:space="0" w:color="auto"/>
            </w:tcBorders>
            <w:shd w:val="clear" w:color="auto" w:fill="auto"/>
            <w:noWrap/>
            <w:vAlign w:val="bottom"/>
            <w:hideMark/>
          </w:tcPr>
          <w:p w14:paraId="660DFE69" w14:textId="77777777" w:rsidR="00D8365A" w:rsidRPr="00362517" w:rsidRDefault="00D8365A" w:rsidP="00BF6BC7">
            <w:pPr>
              <w:jc w:val="right"/>
            </w:pPr>
            <w:r w:rsidRPr="00362517">
              <w:t>77,248</w:t>
            </w:r>
          </w:p>
        </w:tc>
        <w:tc>
          <w:tcPr>
            <w:tcW w:w="871" w:type="pct"/>
            <w:tcBorders>
              <w:top w:val="nil"/>
              <w:left w:val="nil"/>
              <w:bottom w:val="single" w:sz="4" w:space="0" w:color="auto"/>
              <w:right w:val="single" w:sz="4" w:space="0" w:color="auto"/>
            </w:tcBorders>
            <w:shd w:val="clear" w:color="auto" w:fill="auto"/>
            <w:noWrap/>
            <w:vAlign w:val="bottom"/>
            <w:hideMark/>
          </w:tcPr>
          <w:p w14:paraId="41E5E2CD" w14:textId="77777777" w:rsidR="00D8365A" w:rsidRPr="00362517" w:rsidRDefault="00D8365A" w:rsidP="00BF6BC7">
            <w:pPr>
              <w:jc w:val="right"/>
            </w:pPr>
            <w:r w:rsidRPr="00362517">
              <w:t>74,347</w:t>
            </w:r>
          </w:p>
        </w:tc>
        <w:tc>
          <w:tcPr>
            <w:tcW w:w="849" w:type="pct"/>
            <w:tcBorders>
              <w:top w:val="nil"/>
              <w:left w:val="nil"/>
              <w:bottom w:val="single" w:sz="4" w:space="0" w:color="auto"/>
              <w:right w:val="single" w:sz="4" w:space="0" w:color="auto"/>
            </w:tcBorders>
            <w:shd w:val="clear" w:color="auto" w:fill="auto"/>
            <w:noWrap/>
            <w:vAlign w:val="bottom"/>
            <w:hideMark/>
          </w:tcPr>
          <w:p w14:paraId="2B3AB874" w14:textId="77777777" w:rsidR="00D8365A" w:rsidRPr="00362517" w:rsidRDefault="00D8365A" w:rsidP="00BF6BC7">
            <w:pPr>
              <w:jc w:val="right"/>
            </w:pPr>
            <w:r w:rsidRPr="00362517">
              <w:t>2,772</w:t>
            </w:r>
          </w:p>
        </w:tc>
        <w:tc>
          <w:tcPr>
            <w:tcW w:w="1038" w:type="pct"/>
            <w:tcBorders>
              <w:top w:val="nil"/>
              <w:left w:val="nil"/>
              <w:bottom w:val="single" w:sz="4" w:space="0" w:color="auto"/>
              <w:right w:val="single" w:sz="4" w:space="0" w:color="auto"/>
            </w:tcBorders>
            <w:shd w:val="clear" w:color="auto" w:fill="auto"/>
            <w:noWrap/>
            <w:vAlign w:val="bottom"/>
            <w:hideMark/>
          </w:tcPr>
          <w:p w14:paraId="06C2F5CA" w14:textId="77777777" w:rsidR="00D8365A" w:rsidRPr="00362517" w:rsidRDefault="00D8365A" w:rsidP="00BF6BC7">
            <w:pPr>
              <w:jc w:val="right"/>
            </w:pPr>
            <w:r w:rsidRPr="00362517">
              <w:t>330</w:t>
            </w:r>
          </w:p>
        </w:tc>
      </w:tr>
      <w:tr w:rsidR="00D8365A" w:rsidRPr="00362517" w14:paraId="1B2A34EB"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612BDA02" w14:textId="77777777" w:rsidR="00D8365A" w:rsidRPr="00362517" w:rsidRDefault="00D8365A" w:rsidP="00BF6BC7">
            <w:r w:rsidRPr="00362517">
              <w:t>Indiana</w:t>
            </w:r>
          </w:p>
        </w:tc>
        <w:tc>
          <w:tcPr>
            <w:tcW w:w="922" w:type="pct"/>
            <w:tcBorders>
              <w:top w:val="nil"/>
              <w:left w:val="nil"/>
              <w:bottom w:val="single" w:sz="4" w:space="0" w:color="auto"/>
              <w:right w:val="single" w:sz="4" w:space="0" w:color="auto"/>
            </w:tcBorders>
            <w:shd w:val="clear" w:color="auto" w:fill="auto"/>
            <w:noWrap/>
            <w:vAlign w:val="bottom"/>
            <w:hideMark/>
          </w:tcPr>
          <w:p w14:paraId="6A5775C9" w14:textId="77777777" w:rsidR="00D8365A" w:rsidRPr="00362517" w:rsidRDefault="00D8365A" w:rsidP="00BF6BC7">
            <w:pPr>
              <w:jc w:val="right"/>
            </w:pPr>
            <w:r w:rsidRPr="00362517">
              <w:t>78,285</w:t>
            </w:r>
          </w:p>
        </w:tc>
        <w:tc>
          <w:tcPr>
            <w:tcW w:w="871" w:type="pct"/>
            <w:tcBorders>
              <w:top w:val="nil"/>
              <w:left w:val="nil"/>
              <w:bottom w:val="single" w:sz="4" w:space="0" w:color="auto"/>
              <w:right w:val="single" w:sz="4" w:space="0" w:color="auto"/>
            </w:tcBorders>
            <w:shd w:val="clear" w:color="auto" w:fill="auto"/>
            <w:noWrap/>
            <w:vAlign w:val="bottom"/>
            <w:hideMark/>
          </w:tcPr>
          <w:p w14:paraId="384EA04C" w14:textId="77777777" w:rsidR="00D8365A" w:rsidRPr="00362517" w:rsidRDefault="00D8365A" w:rsidP="00BF6BC7">
            <w:pPr>
              <w:jc w:val="right"/>
            </w:pPr>
            <w:r w:rsidRPr="00362517">
              <w:t>75,347</w:t>
            </w:r>
          </w:p>
        </w:tc>
        <w:tc>
          <w:tcPr>
            <w:tcW w:w="849" w:type="pct"/>
            <w:tcBorders>
              <w:top w:val="nil"/>
              <w:left w:val="nil"/>
              <w:bottom w:val="single" w:sz="4" w:space="0" w:color="auto"/>
              <w:right w:val="single" w:sz="4" w:space="0" w:color="auto"/>
            </w:tcBorders>
            <w:shd w:val="clear" w:color="auto" w:fill="auto"/>
            <w:noWrap/>
            <w:vAlign w:val="bottom"/>
            <w:hideMark/>
          </w:tcPr>
          <w:p w14:paraId="3B685C40" w14:textId="77777777" w:rsidR="00D8365A" w:rsidRPr="00362517" w:rsidRDefault="00D8365A" w:rsidP="00BF6BC7">
            <w:pPr>
              <w:jc w:val="right"/>
            </w:pPr>
            <w:r w:rsidRPr="00362517">
              <w:t>2,857</w:t>
            </w:r>
          </w:p>
        </w:tc>
        <w:tc>
          <w:tcPr>
            <w:tcW w:w="1038" w:type="pct"/>
            <w:tcBorders>
              <w:top w:val="nil"/>
              <w:left w:val="nil"/>
              <w:bottom w:val="single" w:sz="4" w:space="0" w:color="auto"/>
              <w:right w:val="single" w:sz="4" w:space="0" w:color="auto"/>
            </w:tcBorders>
            <w:shd w:val="clear" w:color="auto" w:fill="auto"/>
            <w:noWrap/>
            <w:vAlign w:val="bottom"/>
            <w:hideMark/>
          </w:tcPr>
          <w:p w14:paraId="2DA7D885" w14:textId="77777777" w:rsidR="00D8365A" w:rsidRPr="00362517" w:rsidRDefault="00D8365A" w:rsidP="00BF6BC7">
            <w:pPr>
              <w:jc w:val="right"/>
            </w:pPr>
            <w:r w:rsidRPr="00362517">
              <w:t>334</w:t>
            </w:r>
          </w:p>
        </w:tc>
      </w:tr>
      <w:tr w:rsidR="00D8365A" w:rsidRPr="00362517" w14:paraId="3DB334FC"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3D3CE39A" w14:textId="77777777" w:rsidR="00D8365A" w:rsidRPr="00362517" w:rsidRDefault="00D8365A" w:rsidP="00BF6BC7">
            <w:r w:rsidRPr="00362517">
              <w:t>Iowa</w:t>
            </w:r>
          </w:p>
        </w:tc>
        <w:tc>
          <w:tcPr>
            <w:tcW w:w="922" w:type="pct"/>
            <w:tcBorders>
              <w:top w:val="nil"/>
              <w:left w:val="nil"/>
              <w:bottom w:val="single" w:sz="4" w:space="0" w:color="auto"/>
              <w:right w:val="single" w:sz="4" w:space="0" w:color="auto"/>
            </w:tcBorders>
            <w:shd w:val="clear" w:color="auto" w:fill="auto"/>
            <w:noWrap/>
            <w:vAlign w:val="bottom"/>
            <w:hideMark/>
          </w:tcPr>
          <w:p w14:paraId="63F468AE" w14:textId="77777777" w:rsidR="00D8365A" w:rsidRPr="00362517" w:rsidRDefault="00D8365A" w:rsidP="00BF6BC7">
            <w:pPr>
              <w:jc w:val="right"/>
            </w:pPr>
            <w:r w:rsidRPr="00362517">
              <w:t>86,768</w:t>
            </w:r>
          </w:p>
        </w:tc>
        <w:tc>
          <w:tcPr>
            <w:tcW w:w="871" w:type="pct"/>
            <w:tcBorders>
              <w:top w:val="nil"/>
              <w:left w:val="nil"/>
              <w:bottom w:val="single" w:sz="4" w:space="0" w:color="auto"/>
              <w:right w:val="single" w:sz="4" w:space="0" w:color="auto"/>
            </w:tcBorders>
            <w:shd w:val="clear" w:color="auto" w:fill="auto"/>
            <w:noWrap/>
            <w:vAlign w:val="bottom"/>
            <w:hideMark/>
          </w:tcPr>
          <w:p w14:paraId="3260BDF8" w14:textId="77777777" w:rsidR="00D8365A" w:rsidRPr="00362517" w:rsidRDefault="00D8365A" w:rsidP="00BF6BC7">
            <w:pPr>
              <w:jc w:val="right"/>
            </w:pPr>
            <w:r w:rsidRPr="00362517">
              <w:t>85,283</w:t>
            </w:r>
          </w:p>
        </w:tc>
        <w:tc>
          <w:tcPr>
            <w:tcW w:w="849" w:type="pct"/>
            <w:tcBorders>
              <w:top w:val="nil"/>
              <w:left w:val="nil"/>
              <w:bottom w:val="single" w:sz="4" w:space="0" w:color="auto"/>
              <w:right w:val="single" w:sz="4" w:space="0" w:color="auto"/>
            </w:tcBorders>
            <w:shd w:val="clear" w:color="auto" w:fill="auto"/>
            <w:noWrap/>
            <w:vAlign w:val="bottom"/>
            <w:hideMark/>
          </w:tcPr>
          <w:p w14:paraId="44649601" w14:textId="77777777" w:rsidR="00D8365A" w:rsidRPr="00362517" w:rsidRDefault="00D8365A" w:rsidP="00BF6BC7">
            <w:pPr>
              <w:jc w:val="right"/>
            </w:pPr>
            <w:r w:rsidRPr="00362517">
              <w:t>1,485</w:t>
            </w:r>
          </w:p>
        </w:tc>
        <w:tc>
          <w:tcPr>
            <w:tcW w:w="1038" w:type="pct"/>
            <w:tcBorders>
              <w:top w:val="nil"/>
              <w:left w:val="nil"/>
              <w:bottom w:val="single" w:sz="4" w:space="0" w:color="auto"/>
              <w:right w:val="single" w:sz="4" w:space="0" w:color="auto"/>
            </w:tcBorders>
            <w:shd w:val="clear" w:color="auto" w:fill="auto"/>
            <w:noWrap/>
            <w:vAlign w:val="bottom"/>
            <w:hideMark/>
          </w:tcPr>
          <w:p w14:paraId="61DB8611" w14:textId="77777777" w:rsidR="00D8365A" w:rsidRPr="00362517" w:rsidRDefault="00D8365A" w:rsidP="00BF6BC7">
            <w:pPr>
              <w:jc w:val="right"/>
            </w:pPr>
            <w:r w:rsidRPr="00362517">
              <w:t>169</w:t>
            </w:r>
          </w:p>
        </w:tc>
      </w:tr>
      <w:tr w:rsidR="00D8365A" w:rsidRPr="00362517" w14:paraId="54518099"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1F047639" w14:textId="77777777" w:rsidR="00D8365A" w:rsidRPr="00362517" w:rsidRDefault="00D8365A" w:rsidP="00BF6BC7">
            <w:r w:rsidRPr="00362517">
              <w:t>Kansas</w:t>
            </w:r>
          </w:p>
        </w:tc>
        <w:tc>
          <w:tcPr>
            <w:tcW w:w="922" w:type="pct"/>
            <w:tcBorders>
              <w:top w:val="nil"/>
              <w:left w:val="nil"/>
              <w:bottom w:val="single" w:sz="4" w:space="0" w:color="auto"/>
              <w:right w:val="single" w:sz="4" w:space="0" w:color="auto"/>
            </w:tcBorders>
            <w:shd w:val="clear" w:color="auto" w:fill="auto"/>
            <w:noWrap/>
            <w:vAlign w:val="bottom"/>
            <w:hideMark/>
          </w:tcPr>
          <w:p w14:paraId="093837E9" w14:textId="77777777" w:rsidR="00D8365A" w:rsidRPr="00362517" w:rsidRDefault="00D8365A" w:rsidP="00BF6BC7">
            <w:pPr>
              <w:jc w:val="right"/>
            </w:pPr>
            <w:r w:rsidRPr="00362517">
              <w:t>45,580</w:t>
            </w:r>
          </w:p>
        </w:tc>
        <w:tc>
          <w:tcPr>
            <w:tcW w:w="871" w:type="pct"/>
            <w:tcBorders>
              <w:top w:val="nil"/>
              <w:left w:val="nil"/>
              <w:bottom w:val="single" w:sz="4" w:space="0" w:color="auto"/>
              <w:right w:val="single" w:sz="4" w:space="0" w:color="auto"/>
            </w:tcBorders>
            <w:shd w:val="clear" w:color="auto" w:fill="auto"/>
            <w:noWrap/>
            <w:vAlign w:val="bottom"/>
            <w:hideMark/>
          </w:tcPr>
          <w:p w14:paraId="4CC598E5" w14:textId="77777777" w:rsidR="00D8365A" w:rsidRPr="00362517" w:rsidRDefault="00D8365A" w:rsidP="00BF6BC7">
            <w:pPr>
              <w:jc w:val="right"/>
            </w:pPr>
            <w:r w:rsidRPr="00362517">
              <w:t>41,890</w:t>
            </w:r>
          </w:p>
        </w:tc>
        <w:tc>
          <w:tcPr>
            <w:tcW w:w="849" w:type="pct"/>
            <w:tcBorders>
              <w:top w:val="nil"/>
              <w:left w:val="nil"/>
              <w:bottom w:val="single" w:sz="4" w:space="0" w:color="auto"/>
              <w:right w:val="single" w:sz="4" w:space="0" w:color="auto"/>
            </w:tcBorders>
            <w:shd w:val="clear" w:color="auto" w:fill="auto"/>
            <w:noWrap/>
            <w:vAlign w:val="bottom"/>
            <w:hideMark/>
          </w:tcPr>
          <w:p w14:paraId="53876C52" w14:textId="77777777" w:rsidR="00D8365A" w:rsidRPr="00362517" w:rsidRDefault="00D8365A" w:rsidP="00BF6BC7">
            <w:pPr>
              <w:jc w:val="right"/>
            </w:pPr>
            <w:r w:rsidRPr="00362517">
              <w:t>3,601</w:t>
            </w:r>
          </w:p>
        </w:tc>
        <w:tc>
          <w:tcPr>
            <w:tcW w:w="1038" w:type="pct"/>
            <w:tcBorders>
              <w:top w:val="nil"/>
              <w:left w:val="nil"/>
              <w:bottom w:val="single" w:sz="4" w:space="0" w:color="auto"/>
              <w:right w:val="single" w:sz="4" w:space="0" w:color="auto"/>
            </w:tcBorders>
            <w:shd w:val="clear" w:color="auto" w:fill="auto"/>
            <w:noWrap/>
            <w:vAlign w:val="bottom"/>
            <w:hideMark/>
          </w:tcPr>
          <w:p w14:paraId="0D536B8C" w14:textId="77777777" w:rsidR="00D8365A" w:rsidRPr="00362517" w:rsidRDefault="00D8365A" w:rsidP="00BF6BC7">
            <w:pPr>
              <w:jc w:val="right"/>
            </w:pPr>
            <w:r w:rsidRPr="00362517">
              <w:t>420</w:t>
            </w:r>
          </w:p>
        </w:tc>
      </w:tr>
      <w:tr w:rsidR="00D8365A" w:rsidRPr="00362517" w14:paraId="64861B62"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55BF43E6" w14:textId="77777777" w:rsidR="00D8365A" w:rsidRPr="00362517" w:rsidRDefault="00D8365A" w:rsidP="00BF6BC7">
            <w:r w:rsidRPr="00362517">
              <w:t>Kentucky</w:t>
            </w:r>
          </w:p>
        </w:tc>
        <w:tc>
          <w:tcPr>
            <w:tcW w:w="922" w:type="pct"/>
            <w:tcBorders>
              <w:top w:val="nil"/>
              <w:left w:val="nil"/>
              <w:bottom w:val="single" w:sz="4" w:space="0" w:color="auto"/>
              <w:right w:val="single" w:sz="4" w:space="0" w:color="auto"/>
            </w:tcBorders>
            <w:shd w:val="clear" w:color="auto" w:fill="auto"/>
            <w:noWrap/>
            <w:vAlign w:val="bottom"/>
            <w:hideMark/>
          </w:tcPr>
          <w:p w14:paraId="259CB1FD" w14:textId="77777777" w:rsidR="00D8365A" w:rsidRPr="00362517" w:rsidRDefault="00D8365A" w:rsidP="00BF6BC7">
            <w:pPr>
              <w:jc w:val="right"/>
            </w:pPr>
            <w:r w:rsidRPr="00362517">
              <w:t>62,441</w:t>
            </w:r>
          </w:p>
        </w:tc>
        <w:tc>
          <w:tcPr>
            <w:tcW w:w="871" w:type="pct"/>
            <w:tcBorders>
              <w:top w:val="nil"/>
              <w:left w:val="nil"/>
              <w:bottom w:val="single" w:sz="4" w:space="0" w:color="auto"/>
              <w:right w:val="single" w:sz="4" w:space="0" w:color="auto"/>
            </w:tcBorders>
            <w:shd w:val="clear" w:color="auto" w:fill="auto"/>
            <w:noWrap/>
            <w:vAlign w:val="bottom"/>
            <w:hideMark/>
          </w:tcPr>
          <w:p w14:paraId="0764EBD0" w14:textId="77777777" w:rsidR="00D8365A" w:rsidRPr="00362517" w:rsidRDefault="00D8365A" w:rsidP="00BF6BC7">
            <w:pPr>
              <w:jc w:val="right"/>
            </w:pPr>
            <w:r w:rsidRPr="00362517">
              <w:t>46,943</w:t>
            </w:r>
          </w:p>
        </w:tc>
        <w:tc>
          <w:tcPr>
            <w:tcW w:w="849" w:type="pct"/>
            <w:tcBorders>
              <w:top w:val="nil"/>
              <w:left w:val="nil"/>
              <w:bottom w:val="single" w:sz="4" w:space="0" w:color="auto"/>
              <w:right w:val="single" w:sz="4" w:space="0" w:color="auto"/>
            </w:tcBorders>
            <w:shd w:val="clear" w:color="auto" w:fill="auto"/>
            <w:noWrap/>
            <w:vAlign w:val="bottom"/>
            <w:hideMark/>
          </w:tcPr>
          <w:p w14:paraId="45B7472E" w14:textId="77777777" w:rsidR="00D8365A" w:rsidRPr="00362517" w:rsidRDefault="00D8365A" w:rsidP="00BF6BC7">
            <w:pPr>
              <w:jc w:val="right"/>
            </w:pPr>
            <w:r w:rsidRPr="00362517">
              <w:t>15,410</w:t>
            </w:r>
          </w:p>
        </w:tc>
        <w:tc>
          <w:tcPr>
            <w:tcW w:w="1038" w:type="pct"/>
            <w:tcBorders>
              <w:top w:val="nil"/>
              <w:left w:val="nil"/>
              <w:bottom w:val="single" w:sz="4" w:space="0" w:color="auto"/>
              <w:right w:val="single" w:sz="4" w:space="0" w:color="auto"/>
            </w:tcBorders>
            <w:shd w:val="clear" w:color="auto" w:fill="auto"/>
            <w:noWrap/>
            <w:vAlign w:val="bottom"/>
            <w:hideMark/>
          </w:tcPr>
          <w:p w14:paraId="23328787" w14:textId="77777777" w:rsidR="00D8365A" w:rsidRPr="00362517" w:rsidRDefault="00D8365A" w:rsidP="00BF6BC7">
            <w:pPr>
              <w:jc w:val="right"/>
            </w:pPr>
            <w:r w:rsidRPr="00362517">
              <w:t>1,757</w:t>
            </w:r>
          </w:p>
        </w:tc>
      </w:tr>
      <w:tr w:rsidR="00D8365A" w:rsidRPr="00362517" w14:paraId="4660BC0C"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7D57A89" w14:textId="77777777" w:rsidR="00D8365A" w:rsidRPr="00362517" w:rsidRDefault="00D8365A" w:rsidP="00BF6BC7">
            <w:r w:rsidRPr="00362517">
              <w:t>Louisiana</w:t>
            </w:r>
          </w:p>
        </w:tc>
        <w:tc>
          <w:tcPr>
            <w:tcW w:w="922" w:type="pct"/>
            <w:tcBorders>
              <w:top w:val="nil"/>
              <w:left w:val="nil"/>
              <w:bottom w:val="single" w:sz="4" w:space="0" w:color="auto"/>
              <w:right w:val="single" w:sz="4" w:space="0" w:color="auto"/>
            </w:tcBorders>
            <w:shd w:val="clear" w:color="auto" w:fill="auto"/>
            <w:noWrap/>
            <w:vAlign w:val="bottom"/>
            <w:hideMark/>
          </w:tcPr>
          <w:p w14:paraId="23CA9DE2" w14:textId="77777777" w:rsidR="00D8365A" w:rsidRPr="00362517" w:rsidRDefault="00D8365A" w:rsidP="00BF6BC7">
            <w:pPr>
              <w:jc w:val="right"/>
            </w:pPr>
            <w:r w:rsidRPr="00362517">
              <w:t>22,271</w:t>
            </w:r>
          </w:p>
        </w:tc>
        <w:tc>
          <w:tcPr>
            <w:tcW w:w="871" w:type="pct"/>
            <w:tcBorders>
              <w:top w:val="nil"/>
              <w:left w:val="nil"/>
              <w:bottom w:val="single" w:sz="4" w:space="0" w:color="auto"/>
              <w:right w:val="single" w:sz="4" w:space="0" w:color="auto"/>
            </w:tcBorders>
            <w:shd w:val="clear" w:color="auto" w:fill="auto"/>
            <w:noWrap/>
            <w:vAlign w:val="bottom"/>
            <w:hideMark/>
          </w:tcPr>
          <w:p w14:paraId="2F179ED9" w14:textId="77777777" w:rsidR="00D8365A" w:rsidRPr="00362517" w:rsidRDefault="00D8365A" w:rsidP="00BF6BC7">
            <w:pPr>
              <w:jc w:val="right"/>
            </w:pPr>
            <w:r w:rsidRPr="00362517">
              <w:t>18,358</w:t>
            </w:r>
          </w:p>
        </w:tc>
        <w:tc>
          <w:tcPr>
            <w:tcW w:w="849" w:type="pct"/>
            <w:tcBorders>
              <w:top w:val="nil"/>
              <w:left w:val="nil"/>
              <w:bottom w:val="single" w:sz="4" w:space="0" w:color="auto"/>
              <w:right w:val="single" w:sz="4" w:space="0" w:color="auto"/>
            </w:tcBorders>
            <w:shd w:val="clear" w:color="auto" w:fill="auto"/>
            <w:noWrap/>
            <w:vAlign w:val="bottom"/>
            <w:hideMark/>
          </w:tcPr>
          <w:p w14:paraId="3835CA11" w14:textId="77777777" w:rsidR="00D8365A" w:rsidRPr="00362517" w:rsidRDefault="00D8365A" w:rsidP="00BF6BC7">
            <w:pPr>
              <w:jc w:val="right"/>
            </w:pPr>
            <w:r w:rsidRPr="00362517">
              <w:t>3,574</w:t>
            </w:r>
          </w:p>
        </w:tc>
        <w:tc>
          <w:tcPr>
            <w:tcW w:w="1038" w:type="pct"/>
            <w:tcBorders>
              <w:top w:val="nil"/>
              <w:left w:val="nil"/>
              <w:bottom w:val="single" w:sz="4" w:space="0" w:color="auto"/>
              <w:right w:val="single" w:sz="4" w:space="0" w:color="auto"/>
            </w:tcBorders>
            <w:shd w:val="clear" w:color="auto" w:fill="auto"/>
            <w:noWrap/>
            <w:vAlign w:val="bottom"/>
            <w:hideMark/>
          </w:tcPr>
          <w:p w14:paraId="0295C2D9" w14:textId="77777777" w:rsidR="00D8365A" w:rsidRPr="00362517" w:rsidRDefault="00D8365A" w:rsidP="00BF6BC7">
            <w:pPr>
              <w:jc w:val="right"/>
            </w:pPr>
            <w:r w:rsidRPr="00362517">
              <w:t>411</w:t>
            </w:r>
          </w:p>
        </w:tc>
      </w:tr>
      <w:tr w:rsidR="00D8365A" w:rsidRPr="00362517" w14:paraId="269B7C66"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81B0191" w14:textId="77777777" w:rsidR="00D8365A" w:rsidRPr="00362517" w:rsidRDefault="00D8365A" w:rsidP="00BF6BC7">
            <w:r w:rsidRPr="00362517">
              <w:t>Maine</w:t>
            </w:r>
          </w:p>
        </w:tc>
        <w:tc>
          <w:tcPr>
            <w:tcW w:w="922" w:type="pct"/>
            <w:tcBorders>
              <w:top w:val="nil"/>
              <w:left w:val="nil"/>
              <w:bottom w:val="single" w:sz="4" w:space="0" w:color="auto"/>
              <w:right w:val="single" w:sz="4" w:space="0" w:color="auto"/>
            </w:tcBorders>
            <w:shd w:val="clear" w:color="auto" w:fill="auto"/>
            <w:noWrap/>
            <w:vAlign w:val="bottom"/>
            <w:hideMark/>
          </w:tcPr>
          <w:p w14:paraId="0F17BCB2" w14:textId="77777777" w:rsidR="00D8365A" w:rsidRPr="00362517" w:rsidRDefault="00D8365A" w:rsidP="00BF6BC7">
            <w:pPr>
              <w:jc w:val="right"/>
            </w:pPr>
            <w:r w:rsidRPr="00362517">
              <w:t>6,687</w:t>
            </w:r>
          </w:p>
        </w:tc>
        <w:tc>
          <w:tcPr>
            <w:tcW w:w="871" w:type="pct"/>
            <w:tcBorders>
              <w:top w:val="nil"/>
              <w:left w:val="nil"/>
              <w:bottom w:val="single" w:sz="4" w:space="0" w:color="auto"/>
              <w:right w:val="single" w:sz="4" w:space="0" w:color="auto"/>
            </w:tcBorders>
            <w:shd w:val="clear" w:color="auto" w:fill="auto"/>
            <w:noWrap/>
            <w:vAlign w:val="bottom"/>
            <w:hideMark/>
          </w:tcPr>
          <w:p w14:paraId="1CAEA1CD" w14:textId="77777777" w:rsidR="00D8365A" w:rsidRPr="00362517" w:rsidRDefault="00D8365A" w:rsidP="00BF6BC7">
            <w:pPr>
              <w:jc w:val="right"/>
            </w:pPr>
            <w:r w:rsidRPr="00362517">
              <w:t>4,862</w:t>
            </w:r>
          </w:p>
        </w:tc>
        <w:tc>
          <w:tcPr>
            <w:tcW w:w="849" w:type="pct"/>
            <w:tcBorders>
              <w:top w:val="nil"/>
              <w:left w:val="nil"/>
              <w:bottom w:val="single" w:sz="4" w:space="0" w:color="auto"/>
              <w:right w:val="single" w:sz="4" w:space="0" w:color="auto"/>
            </w:tcBorders>
            <w:shd w:val="clear" w:color="auto" w:fill="auto"/>
            <w:noWrap/>
            <w:vAlign w:val="bottom"/>
            <w:hideMark/>
          </w:tcPr>
          <w:p w14:paraId="72820498" w14:textId="77777777" w:rsidR="00D8365A" w:rsidRPr="00362517" w:rsidRDefault="00D8365A" w:rsidP="00BF6BC7">
            <w:pPr>
              <w:jc w:val="right"/>
            </w:pPr>
            <w:r w:rsidRPr="00362517">
              <w:t>1,801</w:t>
            </w:r>
          </w:p>
        </w:tc>
        <w:tc>
          <w:tcPr>
            <w:tcW w:w="1038" w:type="pct"/>
            <w:tcBorders>
              <w:top w:val="nil"/>
              <w:left w:val="nil"/>
              <w:bottom w:val="single" w:sz="4" w:space="0" w:color="auto"/>
              <w:right w:val="single" w:sz="4" w:space="0" w:color="auto"/>
            </w:tcBorders>
            <w:shd w:val="clear" w:color="auto" w:fill="auto"/>
            <w:noWrap/>
            <w:vAlign w:val="bottom"/>
            <w:hideMark/>
          </w:tcPr>
          <w:p w14:paraId="00F7343B" w14:textId="77777777" w:rsidR="00D8365A" w:rsidRPr="00362517" w:rsidRDefault="00D8365A" w:rsidP="00BF6BC7">
            <w:pPr>
              <w:jc w:val="right"/>
            </w:pPr>
            <w:r w:rsidRPr="00362517">
              <w:t>205</w:t>
            </w:r>
          </w:p>
        </w:tc>
      </w:tr>
      <w:tr w:rsidR="00D8365A" w:rsidRPr="00362517" w14:paraId="4BD9940B"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36001B0A" w14:textId="77777777" w:rsidR="00D8365A" w:rsidRPr="00362517" w:rsidRDefault="00D8365A" w:rsidP="00BF6BC7">
            <w:r w:rsidRPr="00362517">
              <w:t>Maryland</w:t>
            </w:r>
          </w:p>
        </w:tc>
        <w:tc>
          <w:tcPr>
            <w:tcW w:w="922" w:type="pct"/>
            <w:tcBorders>
              <w:top w:val="nil"/>
              <w:left w:val="nil"/>
              <w:bottom w:val="single" w:sz="4" w:space="0" w:color="auto"/>
              <w:right w:val="single" w:sz="4" w:space="0" w:color="auto"/>
            </w:tcBorders>
            <w:shd w:val="clear" w:color="auto" w:fill="auto"/>
            <w:noWrap/>
            <w:vAlign w:val="bottom"/>
            <w:hideMark/>
          </w:tcPr>
          <w:p w14:paraId="3D1A26A3" w14:textId="77777777" w:rsidR="00D8365A" w:rsidRPr="00362517" w:rsidRDefault="00D8365A" w:rsidP="00BF6BC7">
            <w:pPr>
              <w:jc w:val="right"/>
            </w:pPr>
            <w:r w:rsidRPr="00362517">
              <w:t>18,509</w:t>
            </w:r>
          </w:p>
        </w:tc>
        <w:tc>
          <w:tcPr>
            <w:tcW w:w="871" w:type="pct"/>
            <w:tcBorders>
              <w:top w:val="nil"/>
              <w:left w:val="nil"/>
              <w:bottom w:val="single" w:sz="4" w:space="0" w:color="auto"/>
              <w:right w:val="single" w:sz="4" w:space="0" w:color="auto"/>
            </w:tcBorders>
            <w:shd w:val="clear" w:color="auto" w:fill="auto"/>
            <w:noWrap/>
            <w:vAlign w:val="bottom"/>
            <w:hideMark/>
          </w:tcPr>
          <w:p w14:paraId="2F490ED6" w14:textId="77777777" w:rsidR="00D8365A" w:rsidRPr="00362517" w:rsidRDefault="00D8365A" w:rsidP="00BF6BC7">
            <w:pPr>
              <w:jc w:val="right"/>
            </w:pPr>
            <w:r w:rsidRPr="00362517">
              <w:t>16,644</w:t>
            </w:r>
          </w:p>
        </w:tc>
        <w:tc>
          <w:tcPr>
            <w:tcW w:w="849" w:type="pct"/>
            <w:tcBorders>
              <w:top w:val="nil"/>
              <w:left w:val="nil"/>
              <w:bottom w:val="single" w:sz="4" w:space="0" w:color="auto"/>
              <w:right w:val="single" w:sz="4" w:space="0" w:color="auto"/>
            </w:tcBorders>
            <w:shd w:val="clear" w:color="auto" w:fill="auto"/>
            <w:noWrap/>
            <w:vAlign w:val="bottom"/>
            <w:hideMark/>
          </w:tcPr>
          <w:p w14:paraId="20CAF67E" w14:textId="77777777" w:rsidR="00D8365A" w:rsidRPr="00362517" w:rsidRDefault="00D8365A" w:rsidP="00BF6BC7">
            <w:pPr>
              <w:jc w:val="right"/>
            </w:pPr>
            <w:r w:rsidRPr="00362517">
              <w:t>1,845</w:t>
            </w:r>
          </w:p>
        </w:tc>
        <w:tc>
          <w:tcPr>
            <w:tcW w:w="1038" w:type="pct"/>
            <w:tcBorders>
              <w:top w:val="nil"/>
              <w:left w:val="nil"/>
              <w:bottom w:val="single" w:sz="4" w:space="0" w:color="auto"/>
              <w:right w:val="single" w:sz="4" w:space="0" w:color="auto"/>
            </w:tcBorders>
            <w:shd w:val="clear" w:color="auto" w:fill="auto"/>
            <w:noWrap/>
            <w:vAlign w:val="bottom"/>
            <w:hideMark/>
          </w:tcPr>
          <w:p w14:paraId="255F15F1" w14:textId="77777777" w:rsidR="00D8365A" w:rsidRPr="00362517" w:rsidRDefault="00D8365A" w:rsidP="00BF6BC7">
            <w:pPr>
              <w:jc w:val="right"/>
            </w:pPr>
            <w:r w:rsidRPr="00362517">
              <w:t>212</w:t>
            </w:r>
          </w:p>
        </w:tc>
      </w:tr>
      <w:tr w:rsidR="00D8365A" w:rsidRPr="00362517" w14:paraId="5C70F141"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5114D7F" w14:textId="77777777" w:rsidR="00D8365A" w:rsidRPr="00362517" w:rsidRDefault="00D8365A" w:rsidP="00BF6BC7">
            <w:r w:rsidRPr="00362517">
              <w:t>Massachusetts</w:t>
            </w:r>
          </w:p>
        </w:tc>
        <w:tc>
          <w:tcPr>
            <w:tcW w:w="922" w:type="pct"/>
            <w:tcBorders>
              <w:top w:val="nil"/>
              <w:left w:val="nil"/>
              <w:bottom w:val="single" w:sz="4" w:space="0" w:color="auto"/>
              <w:right w:val="single" w:sz="4" w:space="0" w:color="auto"/>
            </w:tcBorders>
            <w:shd w:val="clear" w:color="auto" w:fill="auto"/>
            <w:noWrap/>
            <w:vAlign w:val="bottom"/>
            <w:hideMark/>
          </w:tcPr>
          <w:p w14:paraId="33D709BB" w14:textId="77777777" w:rsidR="00D8365A" w:rsidRPr="00362517" w:rsidRDefault="00D8365A" w:rsidP="00BF6BC7">
            <w:pPr>
              <w:jc w:val="right"/>
            </w:pPr>
            <w:r w:rsidRPr="00362517">
              <w:t>9,127</w:t>
            </w:r>
          </w:p>
        </w:tc>
        <w:tc>
          <w:tcPr>
            <w:tcW w:w="871" w:type="pct"/>
            <w:tcBorders>
              <w:top w:val="nil"/>
              <w:left w:val="nil"/>
              <w:bottom w:val="single" w:sz="4" w:space="0" w:color="auto"/>
              <w:right w:val="single" w:sz="4" w:space="0" w:color="auto"/>
            </w:tcBorders>
            <w:shd w:val="clear" w:color="auto" w:fill="auto"/>
            <w:noWrap/>
            <w:vAlign w:val="bottom"/>
            <w:hideMark/>
          </w:tcPr>
          <w:p w14:paraId="5B9D29DE" w14:textId="77777777" w:rsidR="00D8365A" w:rsidRPr="00362517" w:rsidRDefault="00D8365A" w:rsidP="00BF6BC7">
            <w:pPr>
              <w:jc w:val="right"/>
            </w:pPr>
            <w:r w:rsidRPr="00362517">
              <w:t>8,437</w:t>
            </w:r>
          </w:p>
        </w:tc>
        <w:tc>
          <w:tcPr>
            <w:tcW w:w="849" w:type="pct"/>
            <w:tcBorders>
              <w:top w:val="nil"/>
              <w:left w:val="nil"/>
              <w:bottom w:val="single" w:sz="4" w:space="0" w:color="auto"/>
              <w:right w:val="single" w:sz="4" w:space="0" w:color="auto"/>
            </w:tcBorders>
            <w:shd w:val="clear" w:color="auto" w:fill="auto"/>
            <w:noWrap/>
            <w:vAlign w:val="bottom"/>
            <w:hideMark/>
          </w:tcPr>
          <w:p w14:paraId="375C08CF" w14:textId="77777777" w:rsidR="00D8365A" w:rsidRPr="00362517" w:rsidRDefault="00D8365A" w:rsidP="00BF6BC7">
            <w:pPr>
              <w:jc w:val="right"/>
            </w:pPr>
            <w:r w:rsidRPr="00362517">
              <w:t>687</w:t>
            </w:r>
          </w:p>
        </w:tc>
        <w:tc>
          <w:tcPr>
            <w:tcW w:w="1038" w:type="pct"/>
            <w:tcBorders>
              <w:top w:val="nil"/>
              <w:left w:val="nil"/>
              <w:bottom w:val="single" w:sz="4" w:space="0" w:color="auto"/>
              <w:right w:val="single" w:sz="4" w:space="0" w:color="auto"/>
            </w:tcBorders>
            <w:shd w:val="clear" w:color="auto" w:fill="auto"/>
            <w:noWrap/>
            <w:vAlign w:val="bottom"/>
            <w:hideMark/>
          </w:tcPr>
          <w:p w14:paraId="60CABAE6" w14:textId="77777777" w:rsidR="00D8365A" w:rsidRPr="00362517" w:rsidRDefault="00D8365A" w:rsidP="00BF6BC7">
            <w:pPr>
              <w:jc w:val="right"/>
            </w:pPr>
            <w:r w:rsidRPr="00362517">
              <w:t>79</w:t>
            </w:r>
          </w:p>
        </w:tc>
      </w:tr>
      <w:tr w:rsidR="00D8365A" w:rsidRPr="00362517" w14:paraId="03ABCA18"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3E4336F" w14:textId="77777777" w:rsidR="00D8365A" w:rsidRPr="00362517" w:rsidRDefault="00D8365A" w:rsidP="00BF6BC7">
            <w:r w:rsidRPr="00362517">
              <w:t>Michigan</w:t>
            </w:r>
          </w:p>
        </w:tc>
        <w:tc>
          <w:tcPr>
            <w:tcW w:w="922" w:type="pct"/>
            <w:tcBorders>
              <w:top w:val="nil"/>
              <w:left w:val="nil"/>
              <w:bottom w:val="single" w:sz="4" w:space="0" w:color="auto"/>
              <w:right w:val="single" w:sz="4" w:space="0" w:color="auto"/>
            </w:tcBorders>
            <w:shd w:val="clear" w:color="auto" w:fill="auto"/>
            <w:noWrap/>
            <w:vAlign w:val="bottom"/>
            <w:hideMark/>
          </w:tcPr>
          <w:p w14:paraId="14962DF3" w14:textId="77777777" w:rsidR="00D8365A" w:rsidRPr="00362517" w:rsidRDefault="00D8365A" w:rsidP="00BF6BC7">
            <w:pPr>
              <w:jc w:val="right"/>
            </w:pPr>
            <w:r w:rsidRPr="00362517">
              <w:t>104,845</w:t>
            </w:r>
          </w:p>
        </w:tc>
        <w:tc>
          <w:tcPr>
            <w:tcW w:w="871" w:type="pct"/>
            <w:tcBorders>
              <w:top w:val="nil"/>
              <w:left w:val="nil"/>
              <w:bottom w:val="single" w:sz="4" w:space="0" w:color="auto"/>
              <w:right w:val="single" w:sz="4" w:space="0" w:color="auto"/>
            </w:tcBorders>
            <w:shd w:val="clear" w:color="auto" w:fill="auto"/>
            <w:noWrap/>
            <w:vAlign w:val="bottom"/>
            <w:hideMark/>
          </w:tcPr>
          <w:p w14:paraId="606D8A3C" w14:textId="77777777" w:rsidR="00D8365A" w:rsidRPr="00362517" w:rsidRDefault="00D8365A" w:rsidP="00BF6BC7">
            <w:pPr>
              <w:jc w:val="right"/>
            </w:pPr>
            <w:r w:rsidRPr="00362517">
              <w:t>101,174</w:t>
            </w:r>
          </w:p>
        </w:tc>
        <w:tc>
          <w:tcPr>
            <w:tcW w:w="849" w:type="pct"/>
            <w:tcBorders>
              <w:top w:val="nil"/>
              <w:left w:val="nil"/>
              <w:bottom w:val="single" w:sz="4" w:space="0" w:color="auto"/>
              <w:right w:val="single" w:sz="4" w:space="0" w:color="auto"/>
            </w:tcBorders>
            <w:shd w:val="clear" w:color="auto" w:fill="auto"/>
            <w:noWrap/>
            <w:vAlign w:val="bottom"/>
            <w:hideMark/>
          </w:tcPr>
          <w:p w14:paraId="655CFA29" w14:textId="77777777" w:rsidR="00D8365A" w:rsidRPr="00362517" w:rsidRDefault="00D8365A" w:rsidP="00BF6BC7">
            <w:pPr>
              <w:jc w:val="right"/>
            </w:pPr>
            <w:r w:rsidRPr="00362517">
              <w:t>3,633</w:t>
            </w:r>
          </w:p>
        </w:tc>
        <w:tc>
          <w:tcPr>
            <w:tcW w:w="1038" w:type="pct"/>
            <w:tcBorders>
              <w:top w:val="nil"/>
              <w:left w:val="nil"/>
              <w:bottom w:val="single" w:sz="4" w:space="0" w:color="auto"/>
              <w:right w:val="single" w:sz="4" w:space="0" w:color="auto"/>
            </w:tcBorders>
            <w:shd w:val="clear" w:color="auto" w:fill="auto"/>
            <w:noWrap/>
            <w:vAlign w:val="bottom"/>
            <w:hideMark/>
          </w:tcPr>
          <w:p w14:paraId="3AF5D2FB" w14:textId="77777777" w:rsidR="00D8365A" w:rsidRPr="00362517" w:rsidRDefault="00D8365A" w:rsidP="00BF6BC7">
            <w:pPr>
              <w:jc w:val="right"/>
            </w:pPr>
            <w:r w:rsidRPr="00362517">
              <w:t>418</w:t>
            </w:r>
          </w:p>
        </w:tc>
      </w:tr>
      <w:tr w:rsidR="00D8365A" w:rsidRPr="00362517" w14:paraId="57F334ED"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074A533" w14:textId="77777777" w:rsidR="00D8365A" w:rsidRPr="00362517" w:rsidRDefault="00D8365A" w:rsidP="00BF6BC7">
            <w:r w:rsidRPr="00362517">
              <w:t>Minnesota</w:t>
            </w:r>
          </w:p>
        </w:tc>
        <w:tc>
          <w:tcPr>
            <w:tcW w:w="922" w:type="pct"/>
            <w:tcBorders>
              <w:top w:val="nil"/>
              <w:left w:val="nil"/>
              <w:bottom w:val="single" w:sz="4" w:space="0" w:color="auto"/>
              <w:right w:val="single" w:sz="4" w:space="0" w:color="auto"/>
            </w:tcBorders>
            <w:shd w:val="clear" w:color="auto" w:fill="auto"/>
            <w:noWrap/>
            <w:vAlign w:val="bottom"/>
            <w:hideMark/>
          </w:tcPr>
          <w:p w14:paraId="45F2955B" w14:textId="77777777" w:rsidR="00D8365A" w:rsidRPr="00362517" w:rsidRDefault="00D8365A" w:rsidP="00BF6BC7">
            <w:pPr>
              <w:jc w:val="right"/>
            </w:pPr>
            <w:r w:rsidRPr="00362517">
              <w:t>43,295</w:t>
            </w:r>
          </w:p>
        </w:tc>
        <w:tc>
          <w:tcPr>
            <w:tcW w:w="871" w:type="pct"/>
            <w:tcBorders>
              <w:top w:val="nil"/>
              <w:left w:val="nil"/>
              <w:bottom w:val="single" w:sz="4" w:space="0" w:color="auto"/>
              <w:right w:val="single" w:sz="4" w:space="0" w:color="auto"/>
            </w:tcBorders>
            <w:shd w:val="clear" w:color="auto" w:fill="auto"/>
            <w:noWrap/>
            <w:vAlign w:val="bottom"/>
            <w:hideMark/>
          </w:tcPr>
          <w:p w14:paraId="06589968" w14:textId="77777777" w:rsidR="00D8365A" w:rsidRPr="00362517" w:rsidRDefault="00D8365A" w:rsidP="00BF6BC7">
            <w:pPr>
              <w:jc w:val="right"/>
            </w:pPr>
            <w:r w:rsidRPr="00362517">
              <w:t>41,915</w:t>
            </w:r>
          </w:p>
        </w:tc>
        <w:tc>
          <w:tcPr>
            <w:tcW w:w="849" w:type="pct"/>
            <w:tcBorders>
              <w:top w:val="nil"/>
              <w:left w:val="nil"/>
              <w:bottom w:val="single" w:sz="4" w:space="0" w:color="auto"/>
              <w:right w:val="single" w:sz="4" w:space="0" w:color="auto"/>
            </w:tcBorders>
            <w:shd w:val="clear" w:color="auto" w:fill="auto"/>
            <w:noWrap/>
            <w:vAlign w:val="bottom"/>
            <w:hideMark/>
          </w:tcPr>
          <w:p w14:paraId="1001D9FD" w14:textId="77777777" w:rsidR="00D8365A" w:rsidRPr="00362517" w:rsidRDefault="00D8365A" w:rsidP="00BF6BC7">
            <w:pPr>
              <w:jc w:val="right"/>
            </w:pPr>
            <w:r w:rsidRPr="00362517">
              <w:t>1,379</w:t>
            </w:r>
          </w:p>
        </w:tc>
        <w:tc>
          <w:tcPr>
            <w:tcW w:w="1038" w:type="pct"/>
            <w:tcBorders>
              <w:top w:val="nil"/>
              <w:left w:val="nil"/>
              <w:bottom w:val="single" w:sz="4" w:space="0" w:color="auto"/>
              <w:right w:val="single" w:sz="4" w:space="0" w:color="auto"/>
            </w:tcBorders>
            <w:shd w:val="clear" w:color="auto" w:fill="auto"/>
            <w:noWrap/>
            <w:vAlign w:val="bottom"/>
            <w:hideMark/>
          </w:tcPr>
          <w:p w14:paraId="32148305" w14:textId="77777777" w:rsidR="00D8365A" w:rsidRPr="00362517" w:rsidRDefault="00D8365A" w:rsidP="00BF6BC7">
            <w:pPr>
              <w:jc w:val="right"/>
            </w:pPr>
            <w:r w:rsidRPr="00362517">
              <w:t>157</w:t>
            </w:r>
          </w:p>
        </w:tc>
      </w:tr>
      <w:tr w:rsidR="00D8365A" w:rsidRPr="00362517" w14:paraId="69021174"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28424755" w14:textId="77777777" w:rsidR="00D8365A" w:rsidRPr="00362517" w:rsidRDefault="00D8365A" w:rsidP="00BF6BC7">
            <w:r w:rsidRPr="00362517">
              <w:t>Mississippi</w:t>
            </w:r>
          </w:p>
        </w:tc>
        <w:tc>
          <w:tcPr>
            <w:tcW w:w="922" w:type="pct"/>
            <w:tcBorders>
              <w:top w:val="nil"/>
              <w:left w:val="nil"/>
              <w:bottom w:val="single" w:sz="4" w:space="0" w:color="auto"/>
              <w:right w:val="single" w:sz="4" w:space="0" w:color="auto"/>
            </w:tcBorders>
            <w:shd w:val="clear" w:color="auto" w:fill="auto"/>
            <w:noWrap/>
            <w:vAlign w:val="bottom"/>
            <w:hideMark/>
          </w:tcPr>
          <w:p w14:paraId="11B75C8D" w14:textId="77777777" w:rsidR="00D8365A" w:rsidRPr="00362517" w:rsidRDefault="00D8365A" w:rsidP="00BF6BC7">
            <w:pPr>
              <w:jc w:val="right"/>
            </w:pPr>
            <w:r w:rsidRPr="00362517">
              <w:t>23,150</w:t>
            </w:r>
          </w:p>
        </w:tc>
        <w:tc>
          <w:tcPr>
            <w:tcW w:w="871" w:type="pct"/>
            <w:tcBorders>
              <w:top w:val="nil"/>
              <w:left w:val="nil"/>
              <w:bottom w:val="single" w:sz="4" w:space="0" w:color="auto"/>
              <w:right w:val="single" w:sz="4" w:space="0" w:color="auto"/>
            </w:tcBorders>
            <w:shd w:val="clear" w:color="auto" w:fill="auto"/>
            <w:noWrap/>
            <w:vAlign w:val="bottom"/>
            <w:hideMark/>
          </w:tcPr>
          <w:p w14:paraId="42664A70" w14:textId="77777777" w:rsidR="00D8365A" w:rsidRPr="00362517" w:rsidRDefault="00D8365A" w:rsidP="00BF6BC7">
            <w:pPr>
              <w:jc w:val="right"/>
            </w:pPr>
            <w:r w:rsidRPr="00362517">
              <w:t>18,667</w:t>
            </w:r>
          </w:p>
        </w:tc>
        <w:tc>
          <w:tcPr>
            <w:tcW w:w="849" w:type="pct"/>
            <w:tcBorders>
              <w:top w:val="nil"/>
              <w:left w:val="nil"/>
              <w:bottom w:val="single" w:sz="4" w:space="0" w:color="auto"/>
              <w:right w:val="single" w:sz="4" w:space="0" w:color="auto"/>
            </w:tcBorders>
            <w:shd w:val="clear" w:color="auto" w:fill="auto"/>
            <w:noWrap/>
            <w:vAlign w:val="bottom"/>
            <w:hideMark/>
          </w:tcPr>
          <w:p w14:paraId="694293E2" w14:textId="77777777" w:rsidR="00D8365A" w:rsidRPr="00362517" w:rsidRDefault="00D8365A" w:rsidP="00BF6BC7">
            <w:pPr>
              <w:jc w:val="right"/>
            </w:pPr>
            <w:r w:rsidRPr="00362517">
              <w:t>4,255</w:t>
            </w:r>
          </w:p>
        </w:tc>
        <w:tc>
          <w:tcPr>
            <w:tcW w:w="1038" w:type="pct"/>
            <w:tcBorders>
              <w:top w:val="nil"/>
              <w:left w:val="nil"/>
              <w:bottom w:val="single" w:sz="4" w:space="0" w:color="auto"/>
              <w:right w:val="single" w:sz="4" w:space="0" w:color="auto"/>
            </w:tcBorders>
            <w:shd w:val="clear" w:color="auto" w:fill="auto"/>
            <w:noWrap/>
            <w:vAlign w:val="bottom"/>
            <w:hideMark/>
          </w:tcPr>
          <w:p w14:paraId="3A304634" w14:textId="77777777" w:rsidR="00D8365A" w:rsidRPr="00362517" w:rsidRDefault="00D8365A" w:rsidP="00BF6BC7">
            <w:pPr>
              <w:jc w:val="right"/>
            </w:pPr>
            <w:r w:rsidRPr="00362517">
              <w:t>489</w:t>
            </w:r>
          </w:p>
        </w:tc>
      </w:tr>
      <w:tr w:rsidR="00D8365A" w:rsidRPr="00362517" w14:paraId="2F0AC9B3"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F6483CF" w14:textId="77777777" w:rsidR="00D8365A" w:rsidRPr="00362517" w:rsidRDefault="00D8365A" w:rsidP="00BF6BC7">
            <w:r w:rsidRPr="00362517">
              <w:t>Missouri</w:t>
            </w:r>
          </w:p>
        </w:tc>
        <w:tc>
          <w:tcPr>
            <w:tcW w:w="922" w:type="pct"/>
            <w:tcBorders>
              <w:top w:val="nil"/>
              <w:left w:val="nil"/>
              <w:bottom w:val="single" w:sz="4" w:space="0" w:color="auto"/>
              <w:right w:val="single" w:sz="4" w:space="0" w:color="auto"/>
            </w:tcBorders>
            <w:shd w:val="clear" w:color="auto" w:fill="auto"/>
            <w:noWrap/>
            <w:vAlign w:val="bottom"/>
            <w:hideMark/>
          </w:tcPr>
          <w:p w14:paraId="1E21488F" w14:textId="77777777" w:rsidR="00D8365A" w:rsidRPr="00362517" w:rsidRDefault="00D8365A" w:rsidP="00BF6BC7">
            <w:pPr>
              <w:jc w:val="right"/>
            </w:pPr>
            <w:r w:rsidRPr="00362517">
              <w:t>47,080</w:t>
            </w:r>
          </w:p>
        </w:tc>
        <w:tc>
          <w:tcPr>
            <w:tcW w:w="871" w:type="pct"/>
            <w:tcBorders>
              <w:top w:val="nil"/>
              <w:left w:val="nil"/>
              <w:bottom w:val="single" w:sz="4" w:space="0" w:color="auto"/>
              <w:right w:val="single" w:sz="4" w:space="0" w:color="auto"/>
            </w:tcBorders>
            <w:shd w:val="clear" w:color="auto" w:fill="auto"/>
            <w:noWrap/>
            <w:vAlign w:val="bottom"/>
            <w:hideMark/>
          </w:tcPr>
          <w:p w14:paraId="7DE95DCD" w14:textId="77777777" w:rsidR="00D8365A" w:rsidRPr="00362517" w:rsidRDefault="00D8365A" w:rsidP="00BF6BC7">
            <w:pPr>
              <w:jc w:val="right"/>
            </w:pPr>
            <w:r w:rsidRPr="00362517">
              <w:t>31,296</w:t>
            </w:r>
          </w:p>
        </w:tc>
        <w:tc>
          <w:tcPr>
            <w:tcW w:w="849" w:type="pct"/>
            <w:tcBorders>
              <w:top w:val="nil"/>
              <w:left w:val="nil"/>
              <w:bottom w:val="single" w:sz="4" w:space="0" w:color="auto"/>
              <w:right w:val="single" w:sz="4" w:space="0" w:color="auto"/>
            </w:tcBorders>
            <w:shd w:val="clear" w:color="auto" w:fill="auto"/>
            <w:noWrap/>
            <w:vAlign w:val="bottom"/>
            <w:hideMark/>
          </w:tcPr>
          <w:p w14:paraId="7CC08917" w14:textId="77777777" w:rsidR="00D8365A" w:rsidRPr="00362517" w:rsidRDefault="00D8365A" w:rsidP="00BF6BC7">
            <w:pPr>
              <w:jc w:val="right"/>
            </w:pPr>
            <w:r w:rsidRPr="00362517">
              <w:t>15,712</w:t>
            </w:r>
          </w:p>
        </w:tc>
        <w:tc>
          <w:tcPr>
            <w:tcW w:w="1038" w:type="pct"/>
            <w:tcBorders>
              <w:top w:val="nil"/>
              <w:left w:val="nil"/>
              <w:bottom w:val="single" w:sz="4" w:space="0" w:color="auto"/>
              <w:right w:val="single" w:sz="4" w:space="0" w:color="auto"/>
            </w:tcBorders>
            <w:shd w:val="clear" w:color="auto" w:fill="auto"/>
            <w:noWrap/>
            <w:vAlign w:val="bottom"/>
            <w:hideMark/>
          </w:tcPr>
          <w:p w14:paraId="01582EDF" w14:textId="77777777" w:rsidR="00D8365A" w:rsidRPr="00362517" w:rsidRDefault="00D8365A" w:rsidP="00BF6BC7">
            <w:pPr>
              <w:jc w:val="right"/>
            </w:pPr>
            <w:r w:rsidRPr="00362517">
              <w:t>1,797</w:t>
            </w:r>
          </w:p>
        </w:tc>
      </w:tr>
      <w:tr w:rsidR="00D8365A" w:rsidRPr="00362517" w14:paraId="10E38D75"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BE8A3B5" w14:textId="77777777" w:rsidR="00D8365A" w:rsidRPr="00362517" w:rsidRDefault="00D8365A" w:rsidP="00BF6BC7">
            <w:r w:rsidRPr="00362517">
              <w:t>Montana</w:t>
            </w:r>
          </w:p>
        </w:tc>
        <w:tc>
          <w:tcPr>
            <w:tcW w:w="922" w:type="pct"/>
            <w:tcBorders>
              <w:top w:val="nil"/>
              <w:left w:val="nil"/>
              <w:bottom w:val="single" w:sz="4" w:space="0" w:color="auto"/>
              <w:right w:val="single" w:sz="4" w:space="0" w:color="auto"/>
            </w:tcBorders>
            <w:shd w:val="clear" w:color="auto" w:fill="auto"/>
            <w:noWrap/>
            <w:vAlign w:val="bottom"/>
            <w:hideMark/>
          </w:tcPr>
          <w:p w14:paraId="36DD2744" w14:textId="77777777" w:rsidR="00D8365A" w:rsidRPr="00362517" w:rsidRDefault="00D8365A" w:rsidP="00BF6BC7">
            <w:pPr>
              <w:jc w:val="right"/>
            </w:pPr>
            <w:r w:rsidRPr="00362517">
              <w:t>13,350</w:t>
            </w:r>
          </w:p>
        </w:tc>
        <w:tc>
          <w:tcPr>
            <w:tcW w:w="871" w:type="pct"/>
            <w:tcBorders>
              <w:top w:val="nil"/>
              <w:left w:val="nil"/>
              <w:bottom w:val="single" w:sz="4" w:space="0" w:color="auto"/>
              <w:right w:val="single" w:sz="4" w:space="0" w:color="auto"/>
            </w:tcBorders>
            <w:shd w:val="clear" w:color="auto" w:fill="auto"/>
            <w:noWrap/>
            <w:vAlign w:val="bottom"/>
            <w:hideMark/>
          </w:tcPr>
          <w:p w14:paraId="5D382907" w14:textId="77777777" w:rsidR="00D8365A" w:rsidRPr="00362517" w:rsidRDefault="00D8365A" w:rsidP="00BF6BC7">
            <w:pPr>
              <w:jc w:val="right"/>
            </w:pPr>
            <w:r w:rsidRPr="00362517">
              <w:t>11,726</w:t>
            </w:r>
          </w:p>
        </w:tc>
        <w:tc>
          <w:tcPr>
            <w:tcW w:w="849" w:type="pct"/>
            <w:tcBorders>
              <w:top w:val="nil"/>
              <w:left w:val="nil"/>
              <w:bottom w:val="single" w:sz="4" w:space="0" w:color="auto"/>
              <w:right w:val="single" w:sz="4" w:space="0" w:color="auto"/>
            </w:tcBorders>
            <w:shd w:val="clear" w:color="auto" w:fill="auto"/>
            <w:noWrap/>
            <w:vAlign w:val="bottom"/>
            <w:hideMark/>
          </w:tcPr>
          <w:p w14:paraId="4E8ADCC4" w14:textId="77777777" w:rsidR="00D8365A" w:rsidRPr="00362517" w:rsidRDefault="00D8365A" w:rsidP="00BF6BC7">
            <w:pPr>
              <w:jc w:val="right"/>
            </w:pPr>
            <w:r w:rsidRPr="00362517">
              <w:t>1,586</w:t>
            </w:r>
          </w:p>
        </w:tc>
        <w:tc>
          <w:tcPr>
            <w:tcW w:w="1038" w:type="pct"/>
            <w:tcBorders>
              <w:top w:val="nil"/>
              <w:left w:val="nil"/>
              <w:bottom w:val="single" w:sz="4" w:space="0" w:color="auto"/>
              <w:right w:val="single" w:sz="4" w:space="0" w:color="auto"/>
            </w:tcBorders>
            <w:shd w:val="clear" w:color="auto" w:fill="auto"/>
            <w:noWrap/>
            <w:vAlign w:val="bottom"/>
            <w:hideMark/>
          </w:tcPr>
          <w:p w14:paraId="40442245" w14:textId="77777777" w:rsidR="00D8365A" w:rsidRPr="00362517" w:rsidRDefault="00D8365A" w:rsidP="00BF6BC7">
            <w:pPr>
              <w:jc w:val="right"/>
            </w:pPr>
            <w:r w:rsidRPr="00362517">
              <w:t>185</w:t>
            </w:r>
          </w:p>
        </w:tc>
      </w:tr>
      <w:tr w:rsidR="00D8365A" w:rsidRPr="00362517" w14:paraId="16319E28"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4B6738F" w14:textId="77777777" w:rsidR="00D8365A" w:rsidRPr="00362517" w:rsidRDefault="00D8365A" w:rsidP="00BF6BC7">
            <w:r w:rsidRPr="00362517">
              <w:t>Nebraska</w:t>
            </w:r>
          </w:p>
        </w:tc>
        <w:tc>
          <w:tcPr>
            <w:tcW w:w="922" w:type="pct"/>
            <w:tcBorders>
              <w:top w:val="nil"/>
              <w:left w:val="nil"/>
              <w:bottom w:val="single" w:sz="4" w:space="0" w:color="auto"/>
              <w:right w:val="single" w:sz="4" w:space="0" w:color="auto"/>
            </w:tcBorders>
            <w:shd w:val="clear" w:color="auto" w:fill="auto"/>
            <w:noWrap/>
            <w:vAlign w:val="bottom"/>
            <w:hideMark/>
          </w:tcPr>
          <w:p w14:paraId="667BF550" w14:textId="77777777" w:rsidR="00D8365A" w:rsidRPr="00362517" w:rsidRDefault="00D8365A" w:rsidP="00BF6BC7">
            <w:pPr>
              <w:jc w:val="right"/>
            </w:pPr>
            <w:r w:rsidRPr="00362517">
              <w:t>50,373</w:t>
            </w:r>
          </w:p>
        </w:tc>
        <w:tc>
          <w:tcPr>
            <w:tcW w:w="871" w:type="pct"/>
            <w:tcBorders>
              <w:top w:val="nil"/>
              <w:left w:val="nil"/>
              <w:bottom w:val="single" w:sz="4" w:space="0" w:color="auto"/>
              <w:right w:val="single" w:sz="4" w:space="0" w:color="auto"/>
            </w:tcBorders>
            <w:shd w:val="clear" w:color="auto" w:fill="auto"/>
            <w:noWrap/>
            <w:vAlign w:val="bottom"/>
            <w:hideMark/>
          </w:tcPr>
          <w:p w14:paraId="3C7ED907" w14:textId="77777777" w:rsidR="00D8365A" w:rsidRPr="00362517" w:rsidRDefault="00D8365A" w:rsidP="00BF6BC7">
            <w:pPr>
              <w:jc w:val="right"/>
            </w:pPr>
            <w:r w:rsidRPr="00362517">
              <w:t>43,383</w:t>
            </w:r>
          </w:p>
        </w:tc>
        <w:tc>
          <w:tcPr>
            <w:tcW w:w="849" w:type="pct"/>
            <w:tcBorders>
              <w:top w:val="nil"/>
              <w:left w:val="nil"/>
              <w:bottom w:val="single" w:sz="4" w:space="0" w:color="auto"/>
              <w:right w:val="single" w:sz="4" w:space="0" w:color="auto"/>
            </w:tcBorders>
            <w:shd w:val="clear" w:color="auto" w:fill="auto"/>
            <w:noWrap/>
            <w:vAlign w:val="bottom"/>
            <w:hideMark/>
          </w:tcPr>
          <w:p w14:paraId="6958A8A6" w14:textId="77777777" w:rsidR="00D8365A" w:rsidRPr="00362517" w:rsidRDefault="00D8365A" w:rsidP="00BF6BC7">
            <w:pPr>
              <w:jc w:val="right"/>
            </w:pPr>
            <w:r w:rsidRPr="00362517">
              <w:t>4,704</w:t>
            </w:r>
          </w:p>
        </w:tc>
        <w:tc>
          <w:tcPr>
            <w:tcW w:w="1038" w:type="pct"/>
            <w:tcBorders>
              <w:top w:val="nil"/>
              <w:left w:val="nil"/>
              <w:bottom w:val="single" w:sz="4" w:space="0" w:color="auto"/>
              <w:right w:val="single" w:sz="4" w:space="0" w:color="auto"/>
            </w:tcBorders>
            <w:shd w:val="clear" w:color="auto" w:fill="auto"/>
            <w:noWrap/>
            <w:vAlign w:val="bottom"/>
            <w:hideMark/>
          </w:tcPr>
          <w:p w14:paraId="094AD09C" w14:textId="77777777" w:rsidR="00D8365A" w:rsidRPr="00362517" w:rsidRDefault="00D8365A" w:rsidP="00BF6BC7">
            <w:pPr>
              <w:jc w:val="right"/>
            </w:pPr>
            <w:r w:rsidRPr="00362517">
              <w:t>558</w:t>
            </w:r>
          </w:p>
        </w:tc>
      </w:tr>
      <w:tr w:rsidR="00D8365A" w:rsidRPr="00362517" w14:paraId="454CE39A"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88D21D4" w14:textId="77777777" w:rsidR="00D8365A" w:rsidRPr="00362517" w:rsidRDefault="00D8365A" w:rsidP="00BF6BC7">
            <w:r w:rsidRPr="00362517">
              <w:t>Nevada</w:t>
            </w:r>
          </w:p>
        </w:tc>
        <w:tc>
          <w:tcPr>
            <w:tcW w:w="922" w:type="pct"/>
            <w:tcBorders>
              <w:top w:val="nil"/>
              <w:left w:val="nil"/>
              <w:bottom w:val="single" w:sz="4" w:space="0" w:color="auto"/>
              <w:right w:val="single" w:sz="4" w:space="0" w:color="auto"/>
            </w:tcBorders>
            <w:shd w:val="clear" w:color="auto" w:fill="auto"/>
            <w:noWrap/>
            <w:vAlign w:val="bottom"/>
            <w:hideMark/>
          </w:tcPr>
          <w:p w14:paraId="29576575" w14:textId="77777777" w:rsidR="00D8365A" w:rsidRPr="00362517" w:rsidRDefault="00D8365A" w:rsidP="00BF6BC7">
            <w:pPr>
              <w:jc w:val="right"/>
            </w:pPr>
            <w:r w:rsidRPr="00362517">
              <w:t>8,828</w:t>
            </w:r>
          </w:p>
        </w:tc>
        <w:tc>
          <w:tcPr>
            <w:tcW w:w="871" w:type="pct"/>
            <w:tcBorders>
              <w:top w:val="nil"/>
              <w:left w:val="nil"/>
              <w:bottom w:val="single" w:sz="4" w:space="0" w:color="auto"/>
              <w:right w:val="single" w:sz="4" w:space="0" w:color="auto"/>
            </w:tcBorders>
            <w:shd w:val="clear" w:color="auto" w:fill="auto"/>
            <w:noWrap/>
            <w:vAlign w:val="bottom"/>
            <w:hideMark/>
          </w:tcPr>
          <w:p w14:paraId="18DC1020" w14:textId="77777777" w:rsidR="00D8365A" w:rsidRPr="00362517" w:rsidRDefault="00D8365A" w:rsidP="00BF6BC7">
            <w:pPr>
              <w:jc w:val="right"/>
            </w:pPr>
            <w:r w:rsidRPr="00362517">
              <w:t>7,366</w:t>
            </w:r>
          </w:p>
        </w:tc>
        <w:tc>
          <w:tcPr>
            <w:tcW w:w="849" w:type="pct"/>
            <w:tcBorders>
              <w:top w:val="nil"/>
              <w:left w:val="nil"/>
              <w:bottom w:val="single" w:sz="4" w:space="0" w:color="auto"/>
              <w:right w:val="single" w:sz="4" w:space="0" w:color="auto"/>
            </w:tcBorders>
            <w:shd w:val="clear" w:color="auto" w:fill="auto"/>
            <w:noWrap/>
            <w:vAlign w:val="bottom"/>
            <w:hideMark/>
          </w:tcPr>
          <w:p w14:paraId="4D634E33" w14:textId="77777777" w:rsidR="00D8365A" w:rsidRPr="00362517" w:rsidRDefault="00D8365A" w:rsidP="00BF6BC7">
            <w:pPr>
              <w:jc w:val="right"/>
            </w:pPr>
            <w:r w:rsidRPr="00362517">
              <w:t>1,460</w:t>
            </w:r>
          </w:p>
        </w:tc>
        <w:tc>
          <w:tcPr>
            <w:tcW w:w="1038" w:type="pct"/>
            <w:tcBorders>
              <w:top w:val="nil"/>
              <w:left w:val="nil"/>
              <w:bottom w:val="single" w:sz="4" w:space="0" w:color="auto"/>
              <w:right w:val="single" w:sz="4" w:space="0" w:color="auto"/>
            </w:tcBorders>
            <w:shd w:val="clear" w:color="auto" w:fill="auto"/>
            <w:noWrap/>
            <w:vAlign w:val="bottom"/>
            <w:hideMark/>
          </w:tcPr>
          <w:p w14:paraId="75BBEBAB" w14:textId="77777777" w:rsidR="00D8365A" w:rsidRPr="00362517" w:rsidRDefault="00D8365A" w:rsidP="00BF6BC7">
            <w:pPr>
              <w:jc w:val="right"/>
            </w:pPr>
            <w:r w:rsidRPr="00362517">
              <w:t>166</w:t>
            </w:r>
          </w:p>
        </w:tc>
      </w:tr>
      <w:tr w:rsidR="00D8365A" w:rsidRPr="00362517" w14:paraId="2E52F12F"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31C454C0" w14:textId="77777777" w:rsidR="00D8365A" w:rsidRPr="00362517" w:rsidRDefault="00D8365A" w:rsidP="00BF6BC7">
            <w:r w:rsidRPr="00362517">
              <w:t>New Hampshire</w:t>
            </w:r>
          </w:p>
        </w:tc>
        <w:tc>
          <w:tcPr>
            <w:tcW w:w="922" w:type="pct"/>
            <w:tcBorders>
              <w:top w:val="nil"/>
              <w:left w:val="nil"/>
              <w:bottom w:val="single" w:sz="4" w:space="0" w:color="auto"/>
              <w:right w:val="single" w:sz="4" w:space="0" w:color="auto"/>
            </w:tcBorders>
            <w:shd w:val="clear" w:color="auto" w:fill="auto"/>
            <w:noWrap/>
            <w:vAlign w:val="bottom"/>
            <w:hideMark/>
          </w:tcPr>
          <w:p w14:paraId="53F4205E" w14:textId="77777777" w:rsidR="00D8365A" w:rsidRPr="00362517" w:rsidRDefault="00D8365A" w:rsidP="00BF6BC7">
            <w:pPr>
              <w:jc w:val="right"/>
            </w:pPr>
            <w:r w:rsidRPr="00362517">
              <w:t>4,113</w:t>
            </w:r>
          </w:p>
        </w:tc>
        <w:tc>
          <w:tcPr>
            <w:tcW w:w="871" w:type="pct"/>
            <w:tcBorders>
              <w:top w:val="nil"/>
              <w:left w:val="nil"/>
              <w:bottom w:val="single" w:sz="4" w:space="0" w:color="auto"/>
              <w:right w:val="single" w:sz="4" w:space="0" w:color="auto"/>
            </w:tcBorders>
            <w:shd w:val="clear" w:color="auto" w:fill="auto"/>
            <w:noWrap/>
            <w:vAlign w:val="bottom"/>
            <w:hideMark/>
          </w:tcPr>
          <w:p w14:paraId="578A8F16" w14:textId="77777777" w:rsidR="00D8365A" w:rsidRPr="00362517" w:rsidRDefault="00D8365A" w:rsidP="00BF6BC7">
            <w:pPr>
              <w:jc w:val="right"/>
            </w:pPr>
            <w:r w:rsidRPr="00362517">
              <w:t>3,461</w:t>
            </w:r>
          </w:p>
        </w:tc>
        <w:tc>
          <w:tcPr>
            <w:tcW w:w="849" w:type="pct"/>
            <w:tcBorders>
              <w:top w:val="nil"/>
              <w:left w:val="nil"/>
              <w:bottom w:val="single" w:sz="4" w:space="0" w:color="auto"/>
              <w:right w:val="single" w:sz="4" w:space="0" w:color="auto"/>
            </w:tcBorders>
            <w:shd w:val="clear" w:color="auto" w:fill="auto"/>
            <w:noWrap/>
            <w:vAlign w:val="bottom"/>
            <w:hideMark/>
          </w:tcPr>
          <w:p w14:paraId="79A03021" w14:textId="77777777" w:rsidR="00D8365A" w:rsidRPr="00362517" w:rsidRDefault="00D8365A" w:rsidP="00BF6BC7">
            <w:pPr>
              <w:jc w:val="right"/>
            </w:pPr>
            <w:r w:rsidRPr="00362517">
              <w:t>650</w:t>
            </w:r>
          </w:p>
        </w:tc>
        <w:tc>
          <w:tcPr>
            <w:tcW w:w="1038" w:type="pct"/>
            <w:tcBorders>
              <w:top w:val="nil"/>
              <w:left w:val="nil"/>
              <w:bottom w:val="single" w:sz="4" w:space="0" w:color="auto"/>
              <w:right w:val="single" w:sz="4" w:space="0" w:color="auto"/>
            </w:tcBorders>
            <w:shd w:val="clear" w:color="auto" w:fill="auto"/>
            <w:noWrap/>
            <w:vAlign w:val="bottom"/>
            <w:hideMark/>
          </w:tcPr>
          <w:p w14:paraId="11636CD5" w14:textId="77777777" w:rsidR="00D8365A" w:rsidRPr="00362517" w:rsidRDefault="00D8365A" w:rsidP="00BF6BC7">
            <w:pPr>
              <w:jc w:val="right"/>
            </w:pPr>
            <w:r w:rsidRPr="00362517">
              <w:t>74</w:t>
            </w:r>
          </w:p>
        </w:tc>
      </w:tr>
      <w:tr w:rsidR="00D8365A" w:rsidRPr="00362517" w14:paraId="01ADE589"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3EFB6EB1" w14:textId="77777777" w:rsidR="00D8365A" w:rsidRPr="00362517" w:rsidRDefault="00D8365A" w:rsidP="00BF6BC7">
            <w:r w:rsidRPr="00362517">
              <w:t>New Jersey</w:t>
            </w:r>
          </w:p>
        </w:tc>
        <w:tc>
          <w:tcPr>
            <w:tcW w:w="922" w:type="pct"/>
            <w:tcBorders>
              <w:top w:val="nil"/>
              <w:left w:val="nil"/>
              <w:bottom w:val="single" w:sz="4" w:space="0" w:color="auto"/>
              <w:right w:val="single" w:sz="4" w:space="0" w:color="auto"/>
            </w:tcBorders>
            <w:shd w:val="clear" w:color="auto" w:fill="auto"/>
            <w:noWrap/>
            <w:vAlign w:val="bottom"/>
            <w:hideMark/>
          </w:tcPr>
          <w:p w14:paraId="4ED2553D" w14:textId="77777777" w:rsidR="00D8365A" w:rsidRPr="00362517" w:rsidRDefault="00D8365A" w:rsidP="00BF6BC7">
            <w:pPr>
              <w:jc w:val="right"/>
            </w:pPr>
            <w:r w:rsidRPr="00362517">
              <w:t>22,363</w:t>
            </w:r>
          </w:p>
        </w:tc>
        <w:tc>
          <w:tcPr>
            <w:tcW w:w="871" w:type="pct"/>
            <w:tcBorders>
              <w:top w:val="nil"/>
              <w:left w:val="nil"/>
              <w:bottom w:val="single" w:sz="4" w:space="0" w:color="auto"/>
              <w:right w:val="single" w:sz="4" w:space="0" w:color="auto"/>
            </w:tcBorders>
            <w:shd w:val="clear" w:color="auto" w:fill="auto"/>
            <w:noWrap/>
            <w:vAlign w:val="bottom"/>
            <w:hideMark/>
          </w:tcPr>
          <w:p w14:paraId="761CF64D" w14:textId="77777777" w:rsidR="00D8365A" w:rsidRPr="00362517" w:rsidRDefault="00D8365A" w:rsidP="00BF6BC7">
            <w:pPr>
              <w:jc w:val="right"/>
            </w:pPr>
            <w:r w:rsidRPr="00362517">
              <w:t>21,483</w:t>
            </w:r>
          </w:p>
        </w:tc>
        <w:tc>
          <w:tcPr>
            <w:tcW w:w="849" w:type="pct"/>
            <w:tcBorders>
              <w:top w:val="nil"/>
              <w:left w:val="nil"/>
              <w:bottom w:val="single" w:sz="4" w:space="0" w:color="auto"/>
              <w:right w:val="single" w:sz="4" w:space="0" w:color="auto"/>
            </w:tcBorders>
            <w:shd w:val="clear" w:color="auto" w:fill="auto"/>
            <w:noWrap/>
            <w:vAlign w:val="bottom"/>
            <w:hideMark/>
          </w:tcPr>
          <w:p w14:paraId="5021CC73" w14:textId="77777777" w:rsidR="00D8365A" w:rsidRPr="00362517" w:rsidRDefault="00D8365A" w:rsidP="00BF6BC7">
            <w:pPr>
              <w:jc w:val="right"/>
            </w:pPr>
            <w:r w:rsidRPr="00362517">
              <w:t>874</w:t>
            </w:r>
          </w:p>
        </w:tc>
        <w:tc>
          <w:tcPr>
            <w:tcW w:w="1038" w:type="pct"/>
            <w:tcBorders>
              <w:top w:val="nil"/>
              <w:left w:val="nil"/>
              <w:bottom w:val="single" w:sz="4" w:space="0" w:color="auto"/>
              <w:right w:val="single" w:sz="4" w:space="0" w:color="auto"/>
            </w:tcBorders>
            <w:shd w:val="clear" w:color="auto" w:fill="auto"/>
            <w:noWrap/>
            <w:vAlign w:val="bottom"/>
            <w:hideMark/>
          </w:tcPr>
          <w:p w14:paraId="3BAD47F2" w14:textId="77777777" w:rsidR="00D8365A" w:rsidRPr="00362517" w:rsidRDefault="00D8365A" w:rsidP="00BF6BC7">
            <w:pPr>
              <w:jc w:val="right"/>
            </w:pPr>
            <w:r w:rsidRPr="00362517">
              <w:t>100</w:t>
            </w:r>
          </w:p>
        </w:tc>
      </w:tr>
      <w:tr w:rsidR="00D8365A" w:rsidRPr="00362517" w14:paraId="06015CC0"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74B6B5A" w14:textId="77777777" w:rsidR="00D8365A" w:rsidRPr="00362517" w:rsidRDefault="00D8365A" w:rsidP="00BF6BC7">
            <w:r w:rsidRPr="00362517">
              <w:t>New Mexico</w:t>
            </w:r>
          </w:p>
        </w:tc>
        <w:tc>
          <w:tcPr>
            <w:tcW w:w="922" w:type="pct"/>
            <w:tcBorders>
              <w:top w:val="nil"/>
              <w:left w:val="nil"/>
              <w:bottom w:val="single" w:sz="4" w:space="0" w:color="auto"/>
              <w:right w:val="single" w:sz="4" w:space="0" w:color="auto"/>
            </w:tcBorders>
            <w:shd w:val="clear" w:color="auto" w:fill="auto"/>
            <w:noWrap/>
            <w:vAlign w:val="bottom"/>
            <w:hideMark/>
          </w:tcPr>
          <w:p w14:paraId="7362001C" w14:textId="77777777" w:rsidR="00D8365A" w:rsidRPr="00362517" w:rsidRDefault="00D8365A" w:rsidP="00BF6BC7">
            <w:pPr>
              <w:jc w:val="right"/>
            </w:pPr>
            <w:r w:rsidRPr="00362517">
              <w:t>14,550</w:t>
            </w:r>
          </w:p>
        </w:tc>
        <w:tc>
          <w:tcPr>
            <w:tcW w:w="871" w:type="pct"/>
            <w:tcBorders>
              <w:top w:val="nil"/>
              <w:left w:val="nil"/>
              <w:bottom w:val="single" w:sz="4" w:space="0" w:color="auto"/>
              <w:right w:val="single" w:sz="4" w:space="0" w:color="auto"/>
            </w:tcBorders>
            <w:shd w:val="clear" w:color="auto" w:fill="auto"/>
            <w:noWrap/>
            <w:vAlign w:val="bottom"/>
            <w:hideMark/>
          </w:tcPr>
          <w:p w14:paraId="11AB2DA6" w14:textId="77777777" w:rsidR="00D8365A" w:rsidRPr="00362517" w:rsidRDefault="00D8365A" w:rsidP="00BF6BC7">
            <w:pPr>
              <w:jc w:val="right"/>
            </w:pPr>
            <w:r w:rsidRPr="00362517">
              <w:t>13,116</w:t>
            </w:r>
          </w:p>
        </w:tc>
        <w:tc>
          <w:tcPr>
            <w:tcW w:w="849" w:type="pct"/>
            <w:tcBorders>
              <w:top w:val="nil"/>
              <w:left w:val="nil"/>
              <w:bottom w:val="single" w:sz="4" w:space="0" w:color="auto"/>
              <w:right w:val="single" w:sz="4" w:space="0" w:color="auto"/>
            </w:tcBorders>
            <w:shd w:val="clear" w:color="auto" w:fill="auto"/>
            <w:noWrap/>
            <w:vAlign w:val="bottom"/>
            <w:hideMark/>
          </w:tcPr>
          <w:p w14:paraId="6F02EAD4" w14:textId="77777777" w:rsidR="00D8365A" w:rsidRPr="00362517" w:rsidRDefault="00D8365A" w:rsidP="00BF6BC7">
            <w:pPr>
              <w:jc w:val="right"/>
            </w:pPr>
            <w:r w:rsidRPr="00362517">
              <w:t>1,189</w:t>
            </w:r>
          </w:p>
        </w:tc>
        <w:tc>
          <w:tcPr>
            <w:tcW w:w="1038" w:type="pct"/>
            <w:tcBorders>
              <w:top w:val="nil"/>
              <w:left w:val="nil"/>
              <w:bottom w:val="single" w:sz="4" w:space="0" w:color="auto"/>
              <w:right w:val="single" w:sz="4" w:space="0" w:color="auto"/>
            </w:tcBorders>
            <w:shd w:val="clear" w:color="auto" w:fill="auto"/>
            <w:noWrap/>
            <w:vAlign w:val="bottom"/>
            <w:hideMark/>
          </w:tcPr>
          <w:p w14:paraId="5DF7C9B0" w14:textId="77777777" w:rsidR="00D8365A" w:rsidRPr="00362517" w:rsidRDefault="00D8365A" w:rsidP="00BF6BC7">
            <w:pPr>
              <w:jc w:val="right"/>
            </w:pPr>
            <w:r w:rsidRPr="00362517">
              <w:t>136</w:t>
            </w:r>
          </w:p>
        </w:tc>
      </w:tr>
      <w:tr w:rsidR="00D8365A" w:rsidRPr="00362517" w14:paraId="3855D18E"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D4FF63B" w14:textId="77777777" w:rsidR="00D8365A" w:rsidRPr="00362517" w:rsidRDefault="00D8365A" w:rsidP="00BF6BC7">
            <w:r w:rsidRPr="00362517">
              <w:t>New York</w:t>
            </w:r>
          </w:p>
        </w:tc>
        <w:tc>
          <w:tcPr>
            <w:tcW w:w="922" w:type="pct"/>
            <w:tcBorders>
              <w:top w:val="nil"/>
              <w:left w:val="nil"/>
              <w:bottom w:val="single" w:sz="4" w:space="0" w:color="auto"/>
              <w:right w:val="single" w:sz="4" w:space="0" w:color="auto"/>
            </w:tcBorders>
            <w:shd w:val="clear" w:color="auto" w:fill="auto"/>
            <w:noWrap/>
            <w:vAlign w:val="bottom"/>
            <w:hideMark/>
          </w:tcPr>
          <w:p w14:paraId="7FA63662" w14:textId="77777777" w:rsidR="00D8365A" w:rsidRPr="00362517" w:rsidRDefault="00D8365A" w:rsidP="00BF6BC7">
            <w:pPr>
              <w:jc w:val="right"/>
            </w:pPr>
            <w:r w:rsidRPr="00362517">
              <w:t>73,563</w:t>
            </w:r>
          </w:p>
        </w:tc>
        <w:tc>
          <w:tcPr>
            <w:tcW w:w="871" w:type="pct"/>
            <w:tcBorders>
              <w:top w:val="nil"/>
              <w:left w:val="nil"/>
              <w:bottom w:val="single" w:sz="4" w:space="0" w:color="auto"/>
              <w:right w:val="single" w:sz="4" w:space="0" w:color="auto"/>
            </w:tcBorders>
            <w:shd w:val="clear" w:color="auto" w:fill="auto"/>
            <w:noWrap/>
            <w:vAlign w:val="bottom"/>
            <w:hideMark/>
          </w:tcPr>
          <w:p w14:paraId="26813EAC" w14:textId="77777777" w:rsidR="00D8365A" w:rsidRPr="00362517" w:rsidRDefault="00D8365A" w:rsidP="00BF6BC7">
            <w:pPr>
              <w:jc w:val="right"/>
            </w:pPr>
            <w:r w:rsidRPr="00362517">
              <w:t>69,323</w:t>
            </w:r>
          </w:p>
        </w:tc>
        <w:tc>
          <w:tcPr>
            <w:tcW w:w="849" w:type="pct"/>
            <w:tcBorders>
              <w:top w:val="nil"/>
              <w:left w:val="nil"/>
              <w:bottom w:val="single" w:sz="4" w:space="0" w:color="auto"/>
              <w:right w:val="single" w:sz="4" w:space="0" w:color="auto"/>
            </w:tcBorders>
            <w:shd w:val="clear" w:color="auto" w:fill="auto"/>
            <w:noWrap/>
            <w:vAlign w:val="bottom"/>
            <w:hideMark/>
          </w:tcPr>
          <w:p w14:paraId="474E03B5" w14:textId="77777777" w:rsidR="00D8365A" w:rsidRPr="00362517" w:rsidRDefault="00D8365A" w:rsidP="00BF6BC7">
            <w:pPr>
              <w:jc w:val="right"/>
            </w:pPr>
            <w:r w:rsidRPr="00362517">
              <w:t>4,204</w:t>
            </w:r>
          </w:p>
        </w:tc>
        <w:tc>
          <w:tcPr>
            <w:tcW w:w="1038" w:type="pct"/>
            <w:tcBorders>
              <w:top w:val="nil"/>
              <w:left w:val="nil"/>
              <w:bottom w:val="single" w:sz="4" w:space="0" w:color="auto"/>
              <w:right w:val="single" w:sz="4" w:space="0" w:color="auto"/>
            </w:tcBorders>
            <w:shd w:val="clear" w:color="auto" w:fill="auto"/>
            <w:noWrap/>
            <w:vAlign w:val="bottom"/>
            <w:hideMark/>
          </w:tcPr>
          <w:p w14:paraId="16F10B93" w14:textId="77777777" w:rsidR="00D8365A" w:rsidRPr="00362517" w:rsidRDefault="00D8365A" w:rsidP="00BF6BC7">
            <w:pPr>
              <w:jc w:val="right"/>
            </w:pPr>
            <w:r w:rsidRPr="00362517">
              <w:t>483</w:t>
            </w:r>
          </w:p>
        </w:tc>
      </w:tr>
      <w:tr w:rsidR="00D8365A" w:rsidRPr="00362517" w14:paraId="1EBB3007"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F55158B" w14:textId="77777777" w:rsidR="00D8365A" w:rsidRPr="00362517" w:rsidRDefault="00D8365A" w:rsidP="00BF6BC7">
            <w:r w:rsidRPr="00362517">
              <w:t>North Carolina</w:t>
            </w:r>
          </w:p>
        </w:tc>
        <w:tc>
          <w:tcPr>
            <w:tcW w:w="922" w:type="pct"/>
            <w:tcBorders>
              <w:top w:val="nil"/>
              <w:left w:val="nil"/>
              <w:bottom w:val="single" w:sz="4" w:space="0" w:color="auto"/>
              <w:right w:val="single" w:sz="4" w:space="0" w:color="auto"/>
            </w:tcBorders>
            <w:shd w:val="clear" w:color="auto" w:fill="auto"/>
            <w:noWrap/>
            <w:vAlign w:val="bottom"/>
            <w:hideMark/>
          </w:tcPr>
          <w:p w14:paraId="0E2850FD" w14:textId="77777777" w:rsidR="00D8365A" w:rsidRPr="00362517" w:rsidRDefault="00D8365A" w:rsidP="00BF6BC7">
            <w:pPr>
              <w:jc w:val="right"/>
            </w:pPr>
            <w:r w:rsidRPr="00362517">
              <w:t>73,099</w:t>
            </w:r>
          </w:p>
        </w:tc>
        <w:tc>
          <w:tcPr>
            <w:tcW w:w="871" w:type="pct"/>
            <w:tcBorders>
              <w:top w:val="nil"/>
              <w:left w:val="nil"/>
              <w:bottom w:val="single" w:sz="4" w:space="0" w:color="auto"/>
              <w:right w:val="single" w:sz="4" w:space="0" w:color="auto"/>
            </w:tcBorders>
            <w:shd w:val="clear" w:color="auto" w:fill="auto"/>
            <w:noWrap/>
            <w:vAlign w:val="bottom"/>
            <w:hideMark/>
          </w:tcPr>
          <w:p w14:paraId="3BB7A512" w14:textId="77777777" w:rsidR="00D8365A" w:rsidRPr="00362517" w:rsidRDefault="00D8365A" w:rsidP="00BF6BC7">
            <w:pPr>
              <w:jc w:val="right"/>
            </w:pPr>
            <w:r w:rsidRPr="00362517">
              <w:t>67,847</w:t>
            </w:r>
          </w:p>
        </w:tc>
        <w:tc>
          <w:tcPr>
            <w:tcW w:w="849" w:type="pct"/>
            <w:tcBorders>
              <w:top w:val="nil"/>
              <w:left w:val="nil"/>
              <w:bottom w:val="single" w:sz="4" w:space="0" w:color="auto"/>
              <w:right w:val="single" w:sz="4" w:space="0" w:color="auto"/>
            </w:tcBorders>
            <w:shd w:val="clear" w:color="auto" w:fill="auto"/>
            <w:noWrap/>
            <w:vAlign w:val="bottom"/>
            <w:hideMark/>
          </w:tcPr>
          <w:p w14:paraId="0F446EFF" w14:textId="77777777" w:rsidR="00D8365A" w:rsidRPr="00362517" w:rsidRDefault="00D8365A" w:rsidP="00BF6BC7">
            <w:pPr>
              <w:jc w:val="right"/>
            </w:pPr>
            <w:r w:rsidRPr="00362517">
              <w:t>5,157</w:t>
            </w:r>
          </w:p>
        </w:tc>
        <w:tc>
          <w:tcPr>
            <w:tcW w:w="1038" w:type="pct"/>
            <w:tcBorders>
              <w:top w:val="nil"/>
              <w:left w:val="nil"/>
              <w:bottom w:val="single" w:sz="4" w:space="0" w:color="auto"/>
              <w:right w:val="single" w:sz="4" w:space="0" w:color="auto"/>
            </w:tcBorders>
            <w:shd w:val="clear" w:color="auto" w:fill="auto"/>
            <w:noWrap/>
            <w:vAlign w:val="bottom"/>
            <w:hideMark/>
          </w:tcPr>
          <w:p w14:paraId="4F62DCBD" w14:textId="77777777" w:rsidR="00D8365A" w:rsidRPr="00362517" w:rsidRDefault="00D8365A" w:rsidP="00BF6BC7">
            <w:pPr>
              <w:jc w:val="right"/>
            </w:pPr>
            <w:r w:rsidRPr="00362517">
              <w:t>598</w:t>
            </w:r>
          </w:p>
        </w:tc>
      </w:tr>
      <w:tr w:rsidR="00D8365A" w:rsidRPr="00362517" w14:paraId="61F41D3E"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E2E4F91" w14:textId="77777777" w:rsidR="00D8365A" w:rsidRPr="00362517" w:rsidRDefault="00D8365A" w:rsidP="00BF6BC7">
            <w:r w:rsidRPr="00362517">
              <w:t>North Dakota</w:t>
            </w:r>
          </w:p>
        </w:tc>
        <w:tc>
          <w:tcPr>
            <w:tcW w:w="922" w:type="pct"/>
            <w:tcBorders>
              <w:top w:val="nil"/>
              <w:left w:val="nil"/>
              <w:bottom w:val="single" w:sz="4" w:space="0" w:color="auto"/>
              <w:right w:val="single" w:sz="4" w:space="0" w:color="auto"/>
            </w:tcBorders>
            <w:shd w:val="clear" w:color="auto" w:fill="auto"/>
            <w:noWrap/>
            <w:vAlign w:val="bottom"/>
            <w:hideMark/>
          </w:tcPr>
          <w:p w14:paraId="21AF2B0B" w14:textId="77777777" w:rsidR="00D8365A" w:rsidRPr="00362517" w:rsidRDefault="00D8365A" w:rsidP="00BF6BC7">
            <w:pPr>
              <w:jc w:val="right"/>
            </w:pPr>
            <w:r w:rsidRPr="00362517">
              <w:t>34,768</w:t>
            </w:r>
          </w:p>
        </w:tc>
        <w:tc>
          <w:tcPr>
            <w:tcW w:w="871" w:type="pct"/>
            <w:tcBorders>
              <w:top w:val="nil"/>
              <w:left w:val="nil"/>
              <w:bottom w:val="single" w:sz="4" w:space="0" w:color="auto"/>
              <w:right w:val="single" w:sz="4" w:space="0" w:color="auto"/>
            </w:tcBorders>
            <w:shd w:val="clear" w:color="auto" w:fill="auto"/>
            <w:noWrap/>
            <w:vAlign w:val="bottom"/>
            <w:hideMark/>
          </w:tcPr>
          <w:p w14:paraId="581315C5" w14:textId="77777777" w:rsidR="00D8365A" w:rsidRPr="00362517" w:rsidRDefault="00D8365A" w:rsidP="00BF6BC7">
            <w:pPr>
              <w:jc w:val="right"/>
            </w:pPr>
            <w:r w:rsidRPr="00362517">
              <w:t>29,145</w:t>
            </w:r>
          </w:p>
        </w:tc>
        <w:tc>
          <w:tcPr>
            <w:tcW w:w="849" w:type="pct"/>
            <w:tcBorders>
              <w:top w:val="nil"/>
              <w:left w:val="nil"/>
              <w:bottom w:val="single" w:sz="4" w:space="0" w:color="auto"/>
              <w:right w:val="single" w:sz="4" w:space="0" w:color="auto"/>
            </w:tcBorders>
            <w:shd w:val="clear" w:color="auto" w:fill="auto"/>
            <w:noWrap/>
            <w:vAlign w:val="bottom"/>
            <w:hideMark/>
          </w:tcPr>
          <w:p w14:paraId="6F36F90F" w14:textId="77777777" w:rsidR="00D8365A" w:rsidRPr="00362517" w:rsidRDefault="00D8365A" w:rsidP="00BF6BC7">
            <w:pPr>
              <w:jc w:val="right"/>
            </w:pPr>
            <w:r w:rsidRPr="00362517">
              <w:t>5,228</w:t>
            </w:r>
          </w:p>
        </w:tc>
        <w:tc>
          <w:tcPr>
            <w:tcW w:w="1038" w:type="pct"/>
            <w:tcBorders>
              <w:top w:val="nil"/>
              <w:left w:val="nil"/>
              <w:bottom w:val="single" w:sz="4" w:space="0" w:color="auto"/>
              <w:right w:val="single" w:sz="4" w:space="0" w:color="auto"/>
            </w:tcBorders>
            <w:shd w:val="clear" w:color="auto" w:fill="auto"/>
            <w:noWrap/>
            <w:vAlign w:val="bottom"/>
            <w:hideMark/>
          </w:tcPr>
          <w:p w14:paraId="2AFDB421" w14:textId="77777777" w:rsidR="00D8365A" w:rsidRPr="00362517" w:rsidRDefault="00D8365A" w:rsidP="00BF6BC7">
            <w:pPr>
              <w:jc w:val="right"/>
            </w:pPr>
            <w:r w:rsidRPr="00362517">
              <w:t>607</w:t>
            </w:r>
          </w:p>
        </w:tc>
      </w:tr>
      <w:tr w:rsidR="00D8365A" w:rsidRPr="00362517" w14:paraId="33DE1DD9"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6D12C9C2" w14:textId="77777777" w:rsidR="00D8365A" w:rsidRPr="00362517" w:rsidRDefault="00D8365A" w:rsidP="00BF6BC7">
            <w:r w:rsidRPr="00362517">
              <w:t>Ohio</w:t>
            </w:r>
          </w:p>
        </w:tc>
        <w:tc>
          <w:tcPr>
            <w:tcW w:w="922" w:type="pct"/>
            <w:tcBorders>
              <w:top w:val="nil"/>
              <w:left w:val="nil"/>
              <w:bottom w:val="single" w:sz="4" w:space="0" w:color="auto"/>
              <w:right w:val="single" w:sz="4" w:space="0" w:color="auto"/>
            </w:tcBorders>
            <w:shd w:val="clear" w:color="auto" w:fill="auto"/>
            <w:noWrap/>
            <w:vAlign w:val="bottom"/>
            <w:hideMark/>
          </w:tcPr>
          <w:p w14:paraId="04D30972" w14:textId="77777777" w:rsidR="00D8365A" w:rsidRPr="00362517" w:rsidRDefault="00D8365A" w:rsidP="00BF6BC7">
            <w:pPr>
              <w:jc w:val="right"/>
            </w:pPr>
            <w:r w:rsidRPr="00362517">
              <w:t>49,683</w:t>
            </w:r>
          </w:p>
        </w:tc>
        <w:tc>
          <w:tcPr>
            <w:tcW w:w="871" w:type="pct"/>
            <w:tcBorders>
              <w:top w:val="nil"/>
              <w:left w:val="nil"/>
              <w:bottom w:val="single" w:sz="4" w:space="0" w:color="auto"/>
              <w:right w:val="single" w:sz="4" w:space="0" w:color="auto"/>
            </w:tcBorders>
            <w:shd w:val="clear" w:color="auto" w:fill="auto"/>
            <w:noWrap/>
            <w:vAlign w:val="bottom"/>
            <w:hideMark/>
          </w:tcPr>
          <w:p w14:paraId="2F1E1888" w14:textId="77777777" w:rsidR="00D8365A" w:rsidRPr="00362517" w:rsidRDefault="00D8365A" w:rsidP="00BF6BC7">
            <w:pPr>
              <w:jc w:val="right"/>
            </w:pPr>
            <w:r w:rsidRPr="00362517">
              <w:t>40,861</w:t>
            </w:r>
          </w:p>
        </w:tc>
        <w:tc>
          <w:tcPr>
            <w:tcW w:w="849" w:type="pct"/>
            <w:tcBorders>
              <w:top w:val="nil"/>
              <w:left w:val="nil"/>
              <w:bottom w:val="single" w:sz="4" w:space="0" w:color="auto"/>
              <w:right w:val="single" w:sz="4" w:space="0" w:color="auto"/>
            </w:tcBorders>
            <w:shd w:val="clear" w:color="auto" w:fill="auto"/>
            <w:noWrap/>
            <w:vAlign w:val="bottom"/>
            <w:hideMark/>
          </w:tcPr>
          <w:p w14:paraId="309FE323" w14:textId="77777777" w:rsidR="00D8365A" w:rsidRPr="00362517" w:rsidRDefault="00D8365A" w:rsidP="00BF6BC7">
            <w:pPr>
              <w:jc w:val="right"/>
            </w:pPr>
            <w:r w:rsidRPr="00362517">
              <w:t>8,663</w:t>
            </w:r>
          </w:p>
        </w:tc>
        <w:tc>
          <w:tcPr>
            <w:tcW w:w="1038" w:type="pct"/>
            <w:tcBorders>
              <w:top w:val="nil"/>
              <w:left w:val="nil"/>
              <w:bottom w:val="single" w:sz="4" w:space="0" w:color="auto"/>
              <w:right w:val="single" w:sz="4" w:space="0" w:color="auto"/>
            </w:tcBorders>
            <w:shd w:val="clear" w:color="auto" w:fill="auto"/>
            <w:noWrap/>
            <w:vAlign w:val="bottom"/>
            <w:hideMark/>
          </w:tcPr>
          <w:p w14:paraId="00D9855E" w14:textId="77777777" w:rsidR="00D8365A" w:rsidRPr="00362517" w:rsidRDefault="00D8365A" w:rsidP="00BF6BC7">
            <w:pPr>
              <w:jc w:val="right"/>
            </w:pPr>
            <w:r w:rsidRPr="00362517">
              <w:t>995</w:t>
            </w:r>
          </w:p>
        </w:tc>
      </w:tr>
      <w:tr w:rsidR="00D8365A" w:rsidRPr="00362517" w14:paraId="6ED933C0"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6B2BD83C" w14:textId="77777777" w:rsidR="00D8365A" w:rsidRPr="00362517" w:rsidRDefault="00D8365A" w:rsidP="00BF6BC7">
            <w:r w:rsidRPr="00362517">
              <w:t>Oklahoma</w:t>
            </w:r>
          </w:p>
        </w:tc>
        <w:tc>
          <w:tcPr>
            <w:tcW w:w="922" w:type="pct"/>
            <w:tcBorders>
              <w:top w:val="nil"/>
              <w:left w:val="nil"/>
              <w:bottom w:val="single" w:sz="4" w:space="0" w:color="auto"/>
              <w:right w:val="single" w:sz="4" w:space="0" w:color="auto"/>
            </w:tcBorders>
            <w:shd w:val="clear" w:color="auto" w:fill="auto"/>
            <w:noWrap/>
            <w:vAlign w:val="bottom"/>
            <w:hideMark/>
          </w:tcPr>
          <w:p w14:paraId="0C13694D" w14:textId="77777777" w:rsidR="00D8365A" w:rsidRPr="00362517" w:rsidRDefault="00D8365A" w:rsidP="00BF6BC7">
            <w:pPr>
              <w:jc w:val="right"/>
            </w:pPr>
            <w:r w:rsidRPr="00362517">
              <w:t>80,279</w:t>
            </w:r>
          </w:p>
        </w:tc>
        <w:tc>
          <w:tcPr>
            <w:tcW w:w="871" w:type="pct"/>
            <w:tcBorders>
              <w:top w:val="nil"/>
              <w:left w:val="nil"/>
              <w:bottom w:val="single" w:sz="4" w:space="0" w:color="auto"/>
              <w:right w:val="single" w:sz="4" w:space="0" w:color="auto"/>
            </w:tcBorders>
            <w:shd w:val="clear" w:color="auto" w:fill="auto"/>
            <w:noWrap/>
            <w:vAlign w:val="bottom"/>
            <w:hideMark/>
          </w:tcPr>
          <w:p w14:paraId="5FBB75A1" w14:textId="77777777" w:rsidR="00D8365A" w:rsidRPr="00362517" w:rsidRDefault="00D8365A" w:rsidP="00BF6BC7">
            <w:pPr>
              <w:jc w:val="right"/>
            </w:pPr>
            <w:r w:rsidRPr="00362517">
              <w:t>70,765</w:t>
            </w:r>
          </w:p>
        </w:tc>
        <w:tc>
          <w:tcPr>
            <w:tcW w:w="849" w:type="pct"/>
            <w:tcBorders>
              <w:top w:val="nil"/>
              <w:left w:val="nil"/>
              <w:bottom w:val="single" w:sz="4" w:space="0" w:color="auto"/>
              <w:right w:val="single" w:sz="4" w:space="0" w:color="auto"/>
            </w:tcBorders>
            <w:shd w:val="clear" w:color="auto" w:fill="auto"/>
            <w:noWrap/>
            <w:vAlign w:val="bottom"/>
            <w:hideMark/>
          </w:tcPr>
          <w:p w14:paraId="359C8658" w14:textId="77777777" w:rsidR="00D8365A" w:rsidRPr="00362517" w:rsidRDefault="00D8365A" w:rsidP="00BF6BC7">
            <w:pPr>
              <w:jc w:val="right"/>
            </w:pPr>
            <w:r w:rsidRPr="00362517">
              <w:t>9,479</w:t>
            </w:r>
          </w:p>
        </w:tc>
        <w:tc>
          <w:tcPr>
            <w:tcW w:w="1038" w:type="pct"/>
            <w:tcBorders>
              <w:top w:val="nil"/>
              <w:left w:val="nil"/>
              <w:bottom w:val="single" w:sz="4" w:space="0" w:color="auto"/>
              <w:right w:val="single" w:sz="4" w:space="0" w:color="auto"/>
            </w:tcBorders>
            <w:shd w:val="clear" w:color="auto" w:fill="auto"/>
            <w:noWrap/>
            <w:vAlign w:val="bottom"/>
            <w:hideMark/>
          </w:tcPr>
          <w:p w14:paraId="50DAA42D" w14:textId="77777777" w:rsidR="00D8365A" w:rsidRPr="00362517" w:rsidRDefault="00D8365A" w:rsidP="00BF6BC7">
            <w:pPr>
              <w:jc w:val="right"/>
            </w:pPr>
            <w:r w:rsidRPr="00362517">
              <w:t>1,083</w:t>
            </w:r>
          </w:p>
        </w:tc>
      </w:tr>
      <w:tr w:rsidR="00D8365A" w:rsidRPr="00362517" w14:paraId="3DAFFFE7"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1DA3520D" w14:textId="77777777" w:rsidR="00D8365A" w:rsidRPr="00362517" w:rsidRDefault="00D8365A" w:rsidP="00BF6BC7">
            <w:r w:rsidRPr="00362517">
              <w:t>Oregon</w:t>
            </w:r>
          </w:p>
        </w:tc>
        <w:tc>
          <w:tcPr>
            <w:tcW w:w="922" w:type="pct"/>
            <w:tcBorders>
              <w:top w:val="nil"/>
              <w:left w:val="nil"/>
              <w:bottom w:val="single" w:sz="4" w:space="0" w:color="auto"/>
              <w:right w:val="single" w:sz="4" w:space="0" w:color="auto"/>
            </w:tcBorders>
            <w:shd w:val="clear" w:color="auto" w:fill="auto"/>
            <w:noWrap/>
            <w:vAlign w:val="bottom"/>
            <w:hideMark/>
          </w:tcPr>
          <w:p w14:paraId="1D8F7598" w14:textId="77777777" w:rsidR="00D8365A" w:rsidRPr="00362517" w:rsidRDefault="00D8365A" w:rsidP="00BF6BC7">
            <w:pPr>
              <w:jc w:val="right"/>
            </w:pPr>
            <w:r w:rsidRPr="00362517">
              <w:t>29,197</w:t>
            </w:r>
          </w:p>
        </w:tc>
        <w:tc>
          <w:tcPr>
            <w:tcW w:w="871" w:type="pct"/>
            <w:tcBorders>
              <w:top w:val="nil"/>
              <w:left w:val="nil"/>
              <w:bottom w:val="single" w:sz="4" w:space="0" w:color="auto"/>
              <w:right w:val="single" w:sz="4" w:space="0" w:color="auto"/>
            </w:tcBorders>
            <w:shd w:val="clear" w:color="auto" w:fill="auto"/>
            <w:noWrap/>
            <w:vAlign w:val="bottom"/>
            <w:hideMark/>
          </w:tcPr>
          <w:p w14:paraId="239F1CE4" w14:textId="77777777" w:rsidR="00D8365A" w:rsidRPr="00362517" w:rsidRDefault="00D8365A" w:rsidP="00BF6BC7">
            <w:pPr>
              <w:jc w:val="right"/>
            </w:pPr>
            <w:r w:rsidRPr="00362517">
              <w:t>26,990</w:t>
            </w:r>
          </w:p>
        </w:tc>
        <w:tc>
          <w:tcPr>
            <w:tcW w:w="849" w:type="pct"/>
            <w:tcBorders>
              <w:top w:val="nil"/>
              <w:left w:val="nil"/>
              <w:bottom w:val="single" w:sz="4" w:space="0" w:color="auto"/>
              <w:right w:val="single" w:sz="4" w:space="0" w:color="auto"/>
            </w:tcBorders>
            <w:shd w:val="clear" w:color="auto" w:fill="auto"/>
            <w:noWrap/>
            <w:vAlign w:val="bottom"/>
            <w:hideMark/>
          </w:tcPr>
          <w:p w14:paraId="2A24140C" w14:textId="77777777" w:rsidR="00D8365A" w:rsidRPr="00362517" w:rsidRDefault="00D8365A" w:rsidP="00BF6BC7">
            <w:pPr>
              <w:jc w:val="right"/>
            </w:pPr>
            <w:r w:rsidRPr="00362517">
              <w:t>2,190</w:t>
            </w:r>
          </w:p>
        </w:tc>
        <w:tc>
          <w:tcPr>
            <w:tcW w:w="1038" w:type="pct"/>
            <w:tcBorders>
              <w:top w:val="nil"/>
              <w:left w:val="nil"/>
              <w:bottom w:val="single" w:sz="4" w:space="0" w:color="auto"/>
              <w:right w:val="single" w:sz="4" w:space="0" w:color="auto"/>
            </w:tcBorders>
            <w:shd w:val="clear" w:color="auto" w:fill="auto"/>
            <w:noWrap/>
            <w:vAlign w:val="bottom"/>
            <w:hideMark/>
          </w:tcPr>
          <w:p w14:paraId="4521D332" w14:textId="77777777" w:rsidR="00D8365A" w:rsidRPr="00362517" w:rsidRDefault="00D8365A" w:rsidP="00BF6BC7">
            <w:pPr>
              <w:jc w:val="right"/>
            </w:pPr>
            <w:r w:rsidRPr="00362517">
              <w:t>251</w:t>
            </w:r>
          </w:p>
        </w:tc>
      </w:tr>
      <w:tr w:rsidR="00D8365A" w:rsidRPr="00362517" w14:paraId="3DB4A111"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23F9197C" w14:textId="77777777" w:rsidR="00D8365A" w:rsidRPr="00362517" w:rsidRDefault="00D8365A" w:rsidP="00BF6BC7">
            <w:r w:rsidRPr="00362517">
              <w:t>Pennsylvania</w:t>
            </w:r>
          </w:p>
        </w:tc>
        <w:tc>
          <w:tcPr>
            <w:tcW w:w="922" w:type="pct"/>
            <w:tcBorders>
              <w:top w:val="nil"/>
              <w:left w:val="nil"/>
              <w:bottom w:val="single" w:sz="4" w:space="0" w:color="auto"/>
              <w:right w:val="single" w:sz="4" w:space="0" w:color="auto"/>
            </w:tcBorders>
            <w:shd w:val="clear" w:color="auto" w:fill="auto"/>
            <w:noWrap/>
            <w:vAlign w:val="bottom"/>
            <w:hideMark/>
          </w:tcPr>
          <w:p w14:paraId="26537859" w14:textId="77777777" w:rsidR="00D8365A" w:rsidRPr="00362517" w:rsidRDefault="00D8365A" w:rsidP="00BF6BC7">
            <w:pPr>
              <w:jc w:val="right"/>
            </w:pPr>
            <w:r w:rsidRPr="00362517">
              <w:t>68,174</w:t>
            </w:r>
          </w:p>
        </w:tc>
        <w:tc>
          <w:tcPr>
            <w:tcW w:w="871" w:type="pct"/>
            <w:tcBorders>
              <w:top w:val="nil"/>
              <w:left w:val="nil"/>
              <w:bottom w:val="single" w:sz="4" w:space="0" w:color="auto"/>
              <w:right w:val="single" w:sz="4" w:space="0" w:color="auto"/>
            </w:tcBorders>
            <w:shd w:val="clear" w:color="auto" w:fill="auto"/>
            <w:noWrap/>
            <w:vAlign w:val="bottom"/>
            <w:hideMark/>
          </w:tcPr>
          <w:p w14:paraId="6B3CC10D" w14:textId="77777777" w:rsidR="00D8365A" w:rsidRPr="00362517" w:rsidRDefault="00D8365A" w:rsidP="00BF6BC7">
            <w:pPr>
              <w:jc w:val="right"/>
            </w:pPr>
            <w:r w:rsidRPr="00362517">
              <w:t>63,674</w:t>
            </w:r>
          </w:p>
        </w:tc>
        <w:tc>
          <w:tcPr>
            <w:tcW w:w="849" w:type="pct"/>
            <w:tcBorders>
              <w:top w:val="nil"/>
              <w:left w:val="nil"/>
              <w:bottom w:val="single" w:sz="4" w:space="0" w:color="auto"/>
              <w:right w:val="single" w:sz="4" w:space="0" w:color="auto"/>
            </w:tcBorders>
            <w:shd w:val="clear" w:color="auto" w:fill="auto"/>
            <w:noWrap/>
            <w:vAlign w:val="bottom"/>
            <w:hideMark/>
          </w:tcPr>
          <w:p w14:paraId="14C6FDF2" w14:textId="77777777" w:rsidR="00D8365A" w:rsidRPr="00362517" w:rsidRDefault="00D8365A" w:rsidP="00BF6BC7">
            <w:pPr>
              <w:jc w:val="right"/>
            </w:pPr>
            <w:r w:rsidRPr="00362517">
              <w:t>4,077</w:t>
            </w:r>
          </w:p>
        </w:tc>
        <w:tc>
          <w:tcPr>
            <w:tcW w:w="1038" w:type="pct"/>
            <w:tcBorders>
              <w:top w:val="nil"/>
              <w:left w:val="nil"/>
              <w:bottom w:val="single" w:sz="4" w:space="0" w:color="auto"/>
              <w:right w:val="single" w:sz="4" w:space="0" w:color="auto"/>
            </w:tcBorders>
            <w:shd w:val="clear" w:color="auto" w:fill="auto"/>
            <w:noWrap/>
            <w:vAlign w:val="bottom"/>
            <w:hideMark/>
          </w:tcPr>
          <w:p w14:paraId="3108E7E2" w14:textId="77777777" w:rsidR="00D8365A" w:rsidRPr="00362517" w:rsidRDefault="00D8365A" w:rsidP="00BF6BC7">
            <w:pPr>
              <w:jc w:val="right"/>
            </w:pPr>
            <w:r w:rsidRPr="00362517">
              <w:t>474</w:t>
            </w:r>
          </w:p>
        </w:tc>
      </w:tr>
      <w:tr w:rsidR="00D8365A" w:rsidRPr="00362517" w14:paraId="250EBDBD"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5593EC74" w14:textId="77777777" w:rsidR="00D8365A" w:rsidRPr="00362517" w:rsidRDefault="00D8365A" w:rsidP="00BF6BC7">
            <w:r w:rsidRPr="00362517">
              <w:t>Rhode Island</w:t>
            </w:r>
          </w:p>
        </w:tc>
        <w:tc>
          <w:tcPr>
            <w:tcW w:w="922" w:type="pct"/>
            <w:tcBorders>
              <w:top w:val="nil"/>
              <w:left w:val="nil"/>
              <w:bottom w:val="single" w:sz="4" w:space="0" w:color="auto"/>
              <w:right w:val="single" w:sz="4" w:space="0" w:color="auto"/>
            </w:tcBorders>
            <w:shd w:val="clear" w:color="auto" w:fill="auto"/>
            <w:noWrap/>
            <w:vAlign w:val="bottom"/>
            <w:hideMark/>
          </w:tcPr>
          <w:p w14:paraId="26E311D5" w14:textId="77777777" w:rsidR="00D8365A" w:rsidRPr="00362517" w:rsidRDefault="00D8365A" w:rsidP="00BF6BC7">
            <w:pPr>
              <w:jc w:val="right"/>
            </w:pPr>
            <w:r w:rsidRPr="00362517">
              <w:t>3,389</w:t>
            </w:r>
          </w:p>
        </w:tc>
        <w:tc>
          <w:tcPr>
            <w:tcW w:w="871" w:type="pct"/>
            <w:tcBorders>
              <w:top w:val="nil"/>
              <w:left w:val="nil"/>
              <w:bottom w:val="single" w:sz="4" w:space="0" w:color="auto"/>
              <w:right w:val="single" w:sz="4" w:space="0" w:color="auto"/>
            </w:tcBorders>
            <w:shd w:val="clear" w:color="auto" w:fill="auto"/>
            <w:noWrap/>
            <w:vAlign w:val="bottom"/>
            <w:hideMark/>
          </w:tcPr>
          <w:p w14:paraId="702FDD3C" w14:textId="77777777" w:rsidR="00D8365A" w:rsidRPr="00362517" w:rsidRDefault="00D8365A" w:rsidP="00BF6BC7">
            <w:pPr>
              <w:jc w:val="right"/>
            </w:pPr>
            <w:r w:rsidRPr="00362517">
              <w:t>1,891</w:t>
            </w:r>
          </w:p>
        </w:tc>
        <w:tc>
          <w:tcPr>
            <w:tcW w:w="849" w:type="pct"/>
            <w:tcBorders>
              <w:top w:val="nil"/>
              <w:left w:val="nil"/>
              <w:bottom w:val="single" w:sz="4" w:space="0" w:color="auto"/>
              <w:right w:val="single" w:sz="4" w:space="0" w:color="auto"/>
            </w:tcBorders>
            <w:shd w:val="clear" w:color="auto" w:fill="auto"/>
            <w:noWrap/>
            <w:vAlign w:val="bottom"/>
            <w:hideMark/>
          </w:tcPr>
          <w:p w14:paraId="77474439" w14:textId="77777777" w:rsidR="00D8365A" w:rsidRPr="00362517" w:rsidRDefault="00D8365A" w:rsidP="00BF6BC7">
            <w:pPr>
              <w:jc w:val="right"/>
            </w:pPr>
            <w:r w:rsidRPr="00362517">
              <w:t>1,493</w:t>
            </w:r>
          </w:p>
        </w:tc>
        <w:tc>
          <w:tcPr>
            <w:tcW w:w="1038" w:type="pct"/>
            <w:tcBorders>
              <w:top w:val="nil"/>
              <w:left w:val="nil"/>
              <w:bottom w:val="single" w:sz="4" w:space="0" w:color="auto"/>
              <w:right w:val="single" w:sz="4" w:space="0" w:color="auto"/>
            </w:tcBorders>
            <w:shd w:val="clear" w:color="auto" w:fill="auto"/>
            <w:noWrap/>
            <w:vAlign w:val="bottom"/>
            <w:hideMark/>
          </w:tcPr>
          <w:p w14:paraId="0411419C" w14:textId="77777777" w:rsidR="00D8365A" w:rsidRPr="00362517" w:rsidRDefault="00D8365A" w:rsidP="00BF6BC7">
            <w:pPr>
              <w:jc w:val="right"/>
            </w:pPr>
            <w:r w:rsidRPr="00362517">
              <w:t>170</w:t>
            </w:r>
          </w:p>
        </w:tc>
      </w:tr>
      <w:tr w:rsidR="00D8365A" w:rsidRPr="00362517" w14:paraId="50902EDA"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191BAC0" w14:textId="77777777" w:rsidR="00D8365A" w:rsidRPr="00362517" w:rsidRDefault="00D8365A" w:rsidP="00BF6BC7">
            <w:r w:rsidRPr="00362517">
              <w:t>South Carolina</w:t>
            </w:r>
          </w:p>
        </w:tc>
        <w:tc>
          <w:tcPr>
            <w:tcW w:w="922" w:type="pct"/>
            <w:tcBorders>
              <w:top w:val="nil"/>
              <w:left w:val="nil"/>
              <w:bottom w:val="single" w:sz="4" w:space="0" w:color="auto"/>
              <w:right w:val="single" w:sz="4" w:space="0" w:color="auto"/>
            </w:tcBorders>
            <w:shd w:val="clear" w:color="auto" w:fill="auto"/>
            <w:noWrap/>
            <w:vAlign w:val="bottom"/>
            <w:hideMark/>
          </w:tcPr>
          <w:p w14:paraId="0EB62F58" w14:textId="77777777" w:rsidR="00D8365A" w:rsidRPr="00362517" w:rsidRDefault="00D8365A" w:rsidP="00BF6BC7">
            <w:pPr>
              <w:jc w:val="right"/>
            </w:pPr>
            <w:r w:rsidRPr="00362517">
              <w:t>22,529</w:t>
            </w:r>
          </w:p>
        </w:tc>
        <w:tc>
          <w:tcPr>
            <w:tcW w:w="871" w:type="pct"/>
            <w:tcBorders>
              <w:top w:val="nil"/>
              <w:left w:val="nil"/>
              <w:bottom w:val="single" w:sz="4" w:space="0" w:color="auto"/>
              <w:right w:val="single" w:sz="4" w:space="0" w:color="auto"/>
            </w:tcBorders>
            <w:shd w:val="clear" w:color="auto" w:fill="auto"/>
            <w:noWrap/>
            <w:vAlign w:val="bottom"/>
            <w:hideMark/>
          </w:tcPr>
          <w:p w14:paraId="7E430367" w14:textId="77777777" w:rsidR="00D8365A" w:rsidRPr="00362517" w:rsidRDefault="00D8365A" w:rsidP="00BF6BC7">
            <w:pPr>
              <w:jc w:val="right"/>
            </w:pPr>
            <w:r w:rsidRPr="00362517">
              <w:t>17,489</w:t>
            </w:r>
          </w:p>
        </w:tc>
        <w:tc>
          <w:tcPr>
            <w:tcW w:w="849" w:type="pct"/>
            <w:tcBorders>
              <w:top w:val="nil"/>
              <w:left w:val="nil"/>
              <w:bottom w:val="single" w:sz="4" w:space="0" w:color="auto"/>
              <w:right w:val="single" w:sz="4" w:space="0" w:color="auto"/>
            </w:tcBorders>
            <w:shd w:val="clear" w:color="auto" w:fill="auto"/>
            <w:noWrap/>
            <w:vAlign w:val="bottom"/>
            <w:hideMark/>
          </w:tcPr>
          <w:p w14:paraId="6BE68EB6" w14:textId="77777777" w:rsidR="00D8365A" w:rsidRPr="00362517" w:rsidRDefault="00D8365A" w:rsidP="00BF6BC7">
            <w:pPr>
              <w:jc w:val="right"/>
            </w:pPr>
            <w:r w:rsidRPr="00362517">
              <w:t>4,364</w:t>
            </w:r>
          </w:p>
        </w:tc>
        <w:tc>
          <w:tcPr>
            <w:tcW w:w="1038" w:type="pct"/>
            <w:tcBorders>
              <w:top w:val="nil"/>
              <w:left w:val="nil"/>
              <w:bottom w:val="single" w:sz="4" w:space="0" w:color="auto"/>
              <w:right w:val="single" w:sz="4" w:space="0" w:color="auto"/>
            </w:tcBorders>
            <w:shd w:val="clear" w:color="auto" w:fill="auto"/>
            <w:noWrap/>
            <w:vAlign w:val="bottom"/>
            <w:hideMark/>
          </w:tcPr>
          <w:p w14:paraId="06FDC58C" w14:textId="77777777" w:rsidR="00D8365A" w:rsidRPr="00362517" w:rsidRDefault="00D8365A" w:rsidP="00BF6BC7">
            <w:pPr>
              <w:jc w:val="right"/>
            </w:pPr>
            <w:r w:rsidRPr="00362517">
              <w:t>499</w:t>
            </w:r>
          </w:p>
        </w:tc>
      </w:tr>
      <w:tr w:rsidR="00D8365A" w:rsidRPr="00362517" w14:paraId="67380120"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662345E" w14:textId="77777777" w:rsidR="00D8365A" w:rsidRPr="00362517" w:rsidRDefault="00D8365A" w:rsidP="00BF6BC7">
            <w:r w:rsidRPr="00362517">
              <w:t>South Dakota</w:t>
            </w:r>
          </w:p>
        </w:tc>
        <w:tc>
          <w:tcPr>
            <w:tcW w:w="922" w:type="pct"/>
            <w:tcBorders>
              <w:top w:val="nil"/>
              <w:left w:val="nil"/>
              <w:bottom w:val="single" w:sz="4" w:space="0" w:color="auto"/>
              <w:right w:val="single" w:sz="4" w:space="0" w:color="auto"/>
            </w:tcBorders>
            <w:shd w:val="clear" w:color="auto" w:fill="auto"/>
            <w:noWrap/>
            <w:vAlign w:val="bottom"/>
            <w:hideMark/>
          </w:tcPr>
          <w:p w14:paraId="407FC574" w14:textId="77777777" w:rsidR="00D8365A" w:rsidRPr="00362517" w:rsidRDefault="00D8365A" w:rsidP="00BF6BC7">
            <w:pPr>
              <w:jc w:val="right"/>
            </w:pPr>
            <w:r w:rsidRPr="00362517">
              <w:t>39,525</w:t>
            </w:r>
          </w:p>
        </w:tc>
        <w:tc>
          <w:tcPr>
            <w:tcW w:w="871" w:type="pct"/>
            <w:tcBorders>
              <w:top w:val="nil"/>
              <w:left w:val="nil"/>
              <w:bottom w:val="single" w:sz="4" w:space="0" w:color="auto"/>
              <w:right w:val="single" w:sz="4" w:space="0" w:color="auto"/>
            </w:tcBorders>
            <w:shd w:val="clear" w:color="auto" w:fill="auto"/>
            <w:noWrap/>
            <w:vAlign w:val="bottom"/>
            <w:hideMark/>
          </w:tcPr>
          <w:p w14:paraId="00C6BBAD" w14:textId="77777777" w:rsidR="00D8365A" w:rsidRPr="00362517" w:rsidRDefault="00D8365A" w:rsidP="00BF6BC7">
            <w:pPr>
              <w:jc w:val="right"/>
            </w:pPr>
            <w:r w:rsidRPr="00362517">
              <w:t>26,664</w:t>
            </w:r>
          </w:p>
        </w:tc>
        <w:tc>
          <w:tcPr>
            <w:tcW w:w="849" w:type="pct"/>
            <w:tcBorders>
              <w:top w:val="nil"/>
              <w:left w:val="nil"/>
              <w:bottom w:val="single" w:sz="4" w:space="0" w:color="auto"/>
              <w:right w:val="single" w:sz="4" w:space="0" w:color="auto"/>
            </w:tcBorders>
            <w:shd w:val="clear" w:color="auto" w:fill="auto"/>
            <w:noWrap/>
            <w:vAlign w:val="bottom"/>
            <w:hideMark/>
          </w:tcPr>
          <w:p w14:paraId="631A88BA" w14:textId="77777777" w:rsidR="00D8365A" w:rsidRPr="00362517" w:rsidRDefault="00D8365A" w:rsidP="00BF6BC7">
            <w:pPr>
              <w:jc w:val="right"/>
            </w:pPr>
            <w:r w:rsidRPr="00362517">
              <w:t>12,861</w:t>
            </w:r>
          </w:p>
        </w:tc>
        <w:tc>
          <w:tcPr>
            <w:tcW w:w="1038" w:type="pct"/>
            <w:tcBorders>
              <w:top w:val="nil"/>
              <w:left w:val="nil"/>
              <w:bottom w:val="single" w:sz="4" w:space="0" w:color="auto"/>
              <w:right w:val="single" w:sz="4" w:space="0" w:color="auto"/>
            </w:tcBorders>
            <w:shd w:val="clear" w:color="auto" w:fill="auto"/>
            <w:noWrap/>
            <w:vAlign w:val="bottom"/>
            <w:hideMark/>
          </w:tcPr>
          <w:p w14:paraId="0BFC4036" w14:textId="77777777" w:rsidR="00D8365A" w:rsidRPr="00362517" w:rsidRDefault="00D8365A" w:rsidP="00BF6BC7">
            <w:pPr>
              <w:jc w:val="right"/>
            </w:pPr>
            <w:r w:rsidRPr="00362517">
              <w:t>1,464</w:t>
            </w:r>
          </w:p>
        </w:tc>
      </w:tr>
      <w:tr w:rsidR="00D8365A" w:rsidRPr="00362517" w14:paraId="3AFFC90C"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6A901A97" w14:textId="77777777" w:rsidR="00D8365A" w:rsidRPr="00362517" w:rsidRDefault="00D8365A" w:rsidP="00BF6BC7">
            <w:r w:rsidRPr="00362517">
              <w:t>Tennessee</w:t>
            </w:r>
          </w:p>
        </w:tc>
        <w:tc>
          <w:tcPr>
            <w:tcW w:w="922" w:type="pct"/>
            <w:tcBorders>
              <w:top w:val="nil"/>
              <w:left w:val="nil"/>
              <w:bottom w:val="single" w:sz="4" w:space="0" w:color="auto"/>
              <w:right w:val="single" w:sz="4" w:space="0" w:color="auto"/>
            </w:tcBorders>
            <w:shd w:val="clear" w:color="auto" w:fill="auto"/>
            <w:noWrap/>
            <w:vAlign w:val="bottom"/>
            <w:hideMark/>
          </w:tcPr>
          <w:p w14:paraId="3558F743" w14:textId="77777777" w:rsidR="00D8365A" w:rsidRPr="00362517" w:rsidRDefault="00D8365A" w:rsidP="00BF6BC7">
            <w:pPr>
              <w:jc w:val="right"/>
            </w:pPr>
            <w:r w:rsidRPr="00362517">
              <w:t>65,390</w:t>
            </w:r>
          </w:p>
        </w:tc>
        <w:tc>
          <w:tcPr>
            <w:tcW w:w="871" w:type="pct"/>
            <w:tcBorders>
              <w:top w:val="nil"/>
              <w:left w:val="nil"/>
              <w:bottom w:val="single" w:sz="4" w:space="0" w:color="auto"/>
              <w:right w:val="single" w:sz="4" w:space="0" w:color="auto"/>
            </w:tcBorders>
            <w:shd w:val="clear" w:color="auto" w:fill="auto"/>
            <w:noWrap/>
            <w:vAlign w:val="bottom"/>
            <w:hideMark/>
          </w:tcPr>
          <w:p w14:paraId="3112881A" w14:textId="77777777" w:rsidR="00D8365A" w:rsidRPr="00362517" w:rsidRDefault="00D8365A" w:rsidP="00BF6BC7">
            <w:pPr>
              <w:jc w:val="right"/>
            </w:pPr>
            <w:r w:rsidRPr="00362517">
              <w:t>54,672</w:t>
            </w:r>
          </w:p>
        </w:tc>
        <w:tc>
          <w:tcPr>
            <w:tcW w:w="849" w:type="pct"/>
            <w:tcBorders>
              <w:top w:val="nil"/>
              <w:left w:val="nil"/>
              <w:bottom w:val="single" w:sz="4" w:space="0" w:color="auto"/>
              <w:right w:val="single" w:sz="4" w:space="0" w:color="auto"/>
            </w:tcBorders>
            <w:shd w:val="clear" w:color="auto" w:fill="auto"/>
            <w:noWrap/>
            <w:vAlign w:val="bottom"/>
            <w:hideMark/>
          </w:tcPr>
          <w:p w14:paraId="2EFC2137" w14:textId="77777777" w:rsidR="00D8365A" w:rsidRPr="00362517" w:rsidRDefault="00D8365A" w:rsidP="00BF6BC7">
            <w:pPr>
              <w:jc w:val="right"/>
            </w:pPr>
            <w:r w:rsidRPr="00362517">
              <w:t>10,696</w:t>
            </w:r>
          </w:p>
        </w:tc>
        <w:tc>
          <w:tcPr>
            <w:tcW w:w="1038" w:type="pct"/>
            <w:tcBorders>
              <w:top w:val="nil"/>
              <w:left w:val="nil"/>
              <w:bottom w:val="single" w:sz="4" w:space="0" w:color="auto"/>
              <w:right w:val="single" w:sz="4" w:space="0" w:color="auto"/>
            </w:tcBorders>
            <w:shd w:val="clear" w:color="auto" w:fill="auto"/>
            <w:noWrap/>
            <w:vAlign w:val="bottom"/>
            <w:hideMark/>
          </w:tcPr>
          <w:p w14:paraId="199317AB" w14:textId="77777777" w:rsidR="00D8365A" w:rsidRPr="00362517" w:rsidRDefault="00D8365A" w:rsidP="00BF6BC7">
            <w:pPr>
              <w:jc w:val="right"/>
            </w:pPr>
            <w:r w:rsidRPr="00362517">
              <w:t>1,220</w:t>
            </w:r>
          </w:p>
        </w:tc>
      </w:tr>
      <w:tr w:rsidR="00D8365A" w:rsidRPr="00362517" w14:paraId="44325825"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1D0A79B" w14:textId="77777777" w:rsidR="00D8365A" w:rsidRPr="00362517" w:rsidRDefault="00D8365A" w:rsidP="00BF6BC7">
            <w:r w:rsidRPr="00362517">
              <w:t>Texas</w:t>
            </w:r>
          </w:p>
        </w:tc>
        <w:tc>
          <w:tcPr>
            <w:tcW w:w="922" w:type="pct"/>
            <w:tcBorders>
              <w:top w:val="nil"/>
              <w:left w:val="nil"/>
              <w:bottom w:val="single" w:sz="4" w:space="0" w:color="auto"/>
              <w:right w:val="single" w:sz="4" w:space="0" w:color="auto"/>
            </w:tcBorders>
            <w:shd w:val="clear" w:color="auto" w:fill="auto"/>
            <w:noWrap/>
            <w:vAlign w:val="bottom"/>
            <w:hideMark/>
          </w:tcPr>
          <w:p w14:paraId="3CBA9B68" w14:textId="77777777" w:rsidR="00D8365A" w:rsidRPr="00362517" w:rsidRDefault="00D8365A" w:rsidP="00BF6BC7">
            <w:pPr>
              <w:jc w:val="right"/>
            </w:pPr>
            <w:r w:rsidRPr="00362517">
              <w:t>180,460</w:t>
            </w:r>
          </w:p>
        </w:tc>
        <w:tc>
          <w:tcPr>
            <w:tcW w:w="871" w:type="pct"/>
            <w:tcBorders>
              <w:top w:val="nil"/>
              <w:left w:val="nil"/>
              <w:bottom w:val="single" w:sz="4" w:space="0" w:color="auto"/>
              <w:right w:val="single" w:sz="4" w:space="0" w:color="auto"/>
            </w:tcBorders>
            <w:shd w:val="clear" w:color="auto" w:fill="auto"/>
            <w:noWrap/>
            <w:vAlign w:val="bottom"/>
            <w:hideMark/>
          </w:tcPr>
          <w:p w14:paraId="5DE8C42A" w14:textId="77777777" w:rsidR="00D8365A" w:rsidRPr="00362517" w:rsidRDefault="00D8365A" w:rsidP="00BF6BC7">
            <w:pPr>
              <w:jc w:val="right"/>
            </w:pPr>
            <w:r w:rsidRPr="00362517">
              <w:t>175,194</w:t>
            </w:r>
          </w:p>
        </w:tc>
        <w:tc>
          <w:tcPr>
            <w:tcW w:w="849" w:type="pct"/>
            <w:tcBorders>
              <w:top w:val="nil"/>
              <w:left w:val="nil"/>
              <w:bottom w:val="single" w:sz="4" w:space="0" w:color="auto"/>
              <w:right w:val="single" w:sz="4" w:space="0" w:color="auto"/>
            </w:tcBorders>
            <w:shd w:val="clear" w:color="auto" w:fill="auto"/>
            <w:noWrap/>
            <w:vAlign w:val="bottom"/>
            <w:hideMark/>
          </w:tcPr>
          <w:p w14:paraId="45BA78DE" w14:textId="77777777" w:rsidR="00D8365A" w:rsidRPr="00362517" w:rsidRDefault="00D8365A" w:rsidP="00BF6BC7">
            <w:pPr>
              <w:jc w:val="right"/>
            </w:pPr>
            <w:r w:rsidRPr="00362517">
              <w:t>5,163</w:t>
            </w:r>
          </w:p>
        </w:tc>
        <w:tc>
          <w:tcPr>
            <w:tcW w:w="1038" w:type="pct"/>
            <w:tcBorders>
              <w:top w:val="nil"/>
              <w:left w:val="nil"/>
              <w:bottom w:val="single" w:sz="4" w:space="0" w:color="auto"/>
              <w:right w:val="single" w:sz="4" w:space="0" w:color="auto"/>
            </w:tcBorders>
            <w:shd w:val="clear" w:color="auto" w:fill="auto"/>
            <w:noWrap/>
            <w:vAlign w:val="bottom"/>
            <w:hideMark/>
          </w:tcPr>
          <w:p w14:paraId="1DBBAEEC" w14:textId="77777777" w:rsidR="00D8365A" w:rsidRPr="00362517" w:rsidRDefault="00D8365A" w:rsidP="00BF6BC7">
            <w:pPr>
              <w:jc w:val="right"/>
            </w:pPr>
            <w:r w:rsidRPr="00362517">
              <w:t>599</w:t>
            </w:r>
          </w:p>
        </w:tc>
      </w:tr>
      <w:tr w:rsidR="00D8365A" w:rsidRPr="00362517" w14:paraId="5DF77F6D"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5A6C570F" w14:textId="77777777" w:rsidR="00D8365A" w:rsidRPr="00362517" w:rsidRDefault="00D8365A" w:rsidP="00BF6BC7">
            <w:r w:rsidRPr="00362517">
              <w:t>Utah</w:t>
            </w:r>
          </w:p>
        </w:tc>
        <w:tc>
          <w:tcPr>
            <w:tcW w:w="922" w:type="pct"/>
            <w:tcBorders>
              <w:top w:val="nil"/>
              <w:left w:val="nil"/>
              <w:bottom w:val="single" w:sz="4" w:space="0" w:color="auto"/>
              <w:right w:val="single" w:sz="4" w:space="0" w:color="auto"/>
            </w:tcBorders>
            <w:shd w:val="clear" w:color="auto" w:fill="auto"/>
            <w:noWrap/>
            <w:vAlign w:val="bottom"/>
            <w:hideMark/>
          </w:tcPr>
          <w:p w14:paraId="0954CF91" w14:textId="77777777" w:rsidR="00D8365A" w:rsidRPr="00362517" w:rsidRDefault="00D8365A" w:rsidP="00BF6BC7">
            <w:pPr>
              <w:jc w:val="right"/>
            </w:pPr>
            <w:r w:rsidRPr="00362517">
              <w:t>22,019</w:t>
            </w:r>
          </w:p>
        </w:tc>
        <w:tc>
          <w:tcPr>
            <w:tcW w:w="871" w:type="pct"/>
            <w:tcBorders>
              <w:top w:val="nil"/>
              <w:left w:val="nil"/>
              <w:bottom w:val="single" w:sz="4" w:space="0" w:color="auto"/>
              <w:right w:val="single" w:sz="4" w:space="0" w:color="auto"/>
            </w:tcBorders>
            <w:shd w:val="clear" w:color="auto" w:fill="auto"/>
            <w:noWrap/>
            <w:vAlign w:val="bottom"/>
            <w:hideMark/>
          </w:tcPr>
          <w:p w14:paraId="15AB9D7C" w14:textId="77777777" w:rsidR="00D8365A" w:rsidRPr="00362517" w:rsidRDefault="00D8365A" w:rsidP="00BF6BC7">
            <w:pPr>
              <w:jc w:val="right"/>
            </w:pPr>
            <w:r w:rsidRPr="00362517">
              <w:t>19,777</w:t>
            </w:r>
          </w:p>
        </w:tc>
        <w:tc>
          <w:tcPr>
            <w:tcW w:w="849" w:type="pct"/>
            <w:tcBorders>
              <w:top w:val="nil"/>
              <w:left w:val="nil"/>
              <w:bottom w:val="single" w:sz="4" w:space="0" w:color="auto"/>
              <w:right w:val="single" w:sz="4" w:space="0" w:color="auto"/>
            </w:tcBorders>
            <w:shd w:val="clear" w:color="auto" w:fill="auto"/>
            <w:noWrap/>
            <w:vAlign w:val="bottom"/>
            <w:hideMark/>
          </w:tcPr>
          <w:p w14:paraId="73C54D2D" w14:textId="77777777" w:rsidR="00D8365A" w:rsidRPr="00362517" w:rsidRDefault="00D8365A" w:rsidP="00BF6BC7">
            <w:pPr>
              <w:jc w:val="right"/>
            </w:pPr>
            <w:r w:rsidRPr="00362517">
              <w:t>2,201</w:t>
            </w:r>
          </w:p>
        </w:tc>
        <w:tc>
          <w:tcPr>
            <w:tcW w:w="1038" w:type="pct"/>
            <w:tcBorders>
              <w:top w:val="nil"/>
              <w:left w:val="nil"/>
              <w:bottom w:val="single" w:sz="4" w:space="0" w:color="auto"/>
              <w:right w:val="single" w:sz="4" w:space="0" w:color="auto"/>
            </w:tcBorders>
            <w:shd w:val="clear" w:color="auto" w:fill="auto"/>
            <w:noWrap/>
            <w:vAlign w:val="bottom"/>
            <w:hideMark/>
          </w:tcPr>
          <w:p w14:paraId="732E9ADA" w14:textId="77777777" w:rsidR="00D8365A" w:rsidRPr="00362517" w:rsidRDefault="00D8365A" w:rsidP="00BF6BC7">
            <w:pPr>
              <w:jc w:val="right"/>
            </w:pPr>
            <w:r w:rsidRPr="00362517">
              <w:t>251</w:t>
            </w:r>
          </w:p>
        </w:tc>
      </w:tr>
      <w:tr w:rsidR="00D8365A" w:rsidRPr="00362517" w14:paraId="1574ECBD"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AE05787" w14:textId="77777777" w:rsidR="00D8365A" w:rsidRPr="00362517" w:rsidRDefault="00D8365A" w:rsidP="00BF6BC7">
            <w:r w:rsidRPr="00362517">
              <w:t>Vermont</w:t>
            </w:r>
          </w:p>
        </w:tc>
        <w:tc>
          <w:tcPr>
            <w:tcW w:w="922" w:type="pct"/>
            <w:tcBorders>
              <w:top w:val="nil"/>
              <w:left w:val="nil"/>
              <w:bottom w:val="single" w:sz="4" w:space="0" w:color="auto"/>
              <w:right w:val="single" w:sz="4" w:space="0" w:color="auto"/>
            </w:tcBorders>
            <w:shd w:val="clear" w:color="auto" w:fill="auto"/>
            <w:noWrap/>
            <w:vAlign w:val="bottom"/>
            <w:hideMark/>
          </w:tcPr>
          <w:p w14:paraId="0B8ADB92" w14:textId="77777777" w:rsidR="00D8365A" w:rsidRPr="00362517" w:rsidRDefault="00D8365A" w:rsidP="00BF6BC7">
            <w:pPr>
              <w:jc w:val="right"/>
            </w:pPr>
            <w:r w:rsidRPr="00362517">
              <w:t>3,875</w:t>
            </w:r>
          </w:p>
        </w:tc>
        <w:tc>
          <w:tcPr>
            <w:tcW w:w="871" w:type="pct"/>
            <w:tcBorders>
              <w:top w:val="nil"/>
              <w:left w:val="nil"/>
              <w:bottom w:val="single" w:sz="4" w:space="0" w:color="auto"/>
              <w:right w:val="single" w:sz="4" w:space="0" w:color="auto"/>
            </w:tcBorders>
            <w:shd w:val="clear" w:color="auto" w:fill="auto"/>
            <w:noWrap/>
            <w:vAlign w:val="bottom"/>
            <w:hideMark/>
          </w:tcPr>
          <w:p w14:paraId="69161786" w14:textId="77777777" w:rsidR="00D8365A" w:rsidRPr="00362517" w:rsidRDefault="00D8365A" w:rsidP="00BF6BC7">
            <w:pPr>
              <w:jc w:val="right"/>
            </w:pPr>
            <w:r w:rsidRPr="00362517">
              <w:t>2,742</w:t>
            </w:r>
          </w:p>
        </w:tc>
        <w:tc>
          <w:tcPr>
            <w:tcW w:w="849" w:type="pct"/>
            <w:tcBorders>
              <w:top w:val="nil"/>
              <w:left w:val="nil"/>
              <w:bottom w:val="single" w:sz="4" w:space="0" w:color="auto"/>
              <w:right w:val="single" w:sz="4" w:space="0" w:color="auto"/>
            </w:tcBorders>
            <w:shd w:val="clear" w:color="auto" w:fill="auto"/>
            <w:noWrap/>
            <w:vAlign w:val="bottom"/>
            <w:hideMark/>
          </w:tcPr>
          <w:p w14:paraId="0F916552" w14:textId="77777777" w:rsidR="00D8365A" w:rsidRPr="00362517" w:rsidRDefault="00D8365A" w:rsidP="00BF6BC7">
            <w:pPr>
              <w:jc w:val="right"/>
            </w:pPr>
            <w:r w:rsidRPr="00362517">
              <w:t>1,130</w:t>
            </w:r>
          </w:p>
        </w:tc>
        <w:tc>
          <w:tcPr>
            <w:tcW w:w="1038" w:type="pct"/>
            <w:tcBorders>
              <w:top w:val="nil"/>
              <w:left w:val="nil"/>
              <w:bottom w:val="single" w:sz="4" w:space="0" w:color="auto"/>
              <w:right w:val="single" w:sz="4" w:space="0" w:color="auto"/>
            </w:tcBorders>
            <w:shd w:val="clear" w:color="auto" w:fill="auto"/>
            <w:noWrap/>
            <w:vAlign w:val="bottom"/>
            <w:hideMark/>
          </w:tcPr>
          <w:p w14:paraId="57E8B502" w14:textId="77777777" w:rsidR="00D8365A" w:rsidRPr="00362517" w:rsidRDefault="00D8365A" w:rsidP="00BF6BC7">
            <w:pPr>
              <w:jc w:val="right"/>
            </w:pPr>
            <w:r w:rsidRPr="00362517">
              <w:t>129</w:t>
            </w:r>
          </w:p>
        </w:tc>
      </w:tr>
      <w:tr w:rsidR="00D8365A" w:rsidRPr="00362517" w14:paraId="47504010"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1AACE6D" w14:textId="77777777" w:rsidR="00D8365A" w:rsidRPr="00362517" w:rsidRDefault="00D8365A" w:rsidP="00BF6BC7">
            <w:r w:rsidRPr="00362517">
              <w:t>Virginia</w:t>
            </w:r>
          </w:p>
        </w:tc>
        <w:tc>
          <w:tcPr>
            <w:tcW w:w="922" w:type="pct"/>
            <w:tcBorders>
              <w:top w:val="nil"/>
              <w:left w:val="nil"/>
              <w:bottom w:val="single" w:sz="4" w:space="0" w:color="auto"/>
              <w:right w:val="single" w:sz="4" w:space="0" w:color="auto"/>
            </w:tcBorders>
            <w:shd w:val="clear" w:color="auto" w:fill="auto"/>
            <w:noWrap/>
            <w:vAlign w:val="bottom"/>
            <w:hideMark/>
          </w:tcPr>
          <w:p w14:paraId="50BDF52D" w14:textId="77777777" w:rsidR="00D8365A" w:rsidRPr="00362517" w:rsidRDefault="00D8365A" w:rsidP="00BF6BC7">
            <w:pPr>
              <w:jc w:val="right"/>
            </w:pPr>
            <w:r w:rsidRPr="00362517">
              <w:t>34,672</w:t>
            </w:r>
          </w:p>
        </w:tc>
        <w:tc>
          <w:tcPr>
            <w:tcW w:w="871" w:type="pct"/>
            <w:tcBorders>
              <w:top w:val="nil"/>
              <w:left w:val="nil"/>
              <w:bottom w:val="single" w:sz="4" w:space="0" w:color="auto"/>
              <w:right w:val="single" w:sz="4" w:space="0" w:color="auto"/>
            </w:tcBorders>
            <w:shd w:val="clear" w:color="auto" w:fill="auto"/>
            <w:noWrap/>
            <w:vAlign w:val="bottom"/>
            <w:hideMark/>
          </w:tcPr>
          <w:p w14:paraId="2273A76D" w14:textId="77777777" w:rsidR="00D8365A" w:rsidRPr="00362517" w:rsidRDefault="00D8365A" w:rsidP="00BF6BC7">
            <w:pPr>
              <w:jc w:val="right"/>
            </w:pPr>
            <w:r w:rsidRPr="00362517">
              <w:t>33,595</w:t>
            </w:r>
          </w:p>
        </w:tc>
        <w:tc>
          <w:tcPr>
            <w:tcW w:w="849" w:type="pct"/>
            <w:tcBorders>
              <w:top w:val="nil"/>
              <w:left w:val="nil"/>
              <w:bottom w:val="single" w:sz="4" w:space="0" w:color="auto"/>
              <w:right w:val="single" w:sz="4" w:space="0" w:color="auto"/>
            </w:tcBorders>
            <w:shd w:val="clear" w:color="auto" w:fill="auto"/>
            <w:noWrap/>
            <w:vAlign w:val="bottom"/>
            <w:hideMark/>
          </w:tcPr>
          <w:p w14:paraId="49EABF8A" w14:textId="77777777" w:rsidR="00D8365A" w:rsidRPr="00362517" w:rsidRDefault="00D8365A" w:rsidP="00BF6BC7">
            <w:pPr>
              <w:jc w:val="right"/>
            </w:pPr>
            <w:r w:rsidRPr="00362517">
              <w:t>1,060</w:t>
            </w:r>
          </w:p>
        </w:tc>
        <w:tc>
          <w:tcPr>
            <w:tcW w:w="1038" w:type="pct"/>
            <w:tcBorders>
              <w:top w:val="nil"/>
              <w:left w:val="nil"/>
              <w:bottom w:val="single" w:sz="4" w:space="0" w:color="auto"/>
              <w:right w:val="single" w:sz="4" w:space="0" w:color="auto"/>
            </w:tcBorders>
            <w:shd w:val="clear" w:color="auto" w:fill="auto"/>
            <w:noWrap/>
            <w:vAlign w:val="bottom"/>
            <w:hideMark/>
          </w:tcPr>
          <w:p w14:paraId="4DC2DAC9" w14:textId="77777777" w:rsidR="00D8365A" w:rsidRPr="00362517" w:rsidRDefault="00D8365A" w:rsidP="00BF6BC7">
            <w:pPr>
              <w:jc w:val="right"/>
            </w:pPr>
            <w:r w:rsidRPr="00362517">
              <w:t>123</w:t>
            </w:r>
          </w:p>
        </w:tc>
      </w:tr>
      <w:tr w:rsidR="00D8365A" w:rsidRPr="00362517" w14:paraId="69B66370"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6CB686FE" w14:textId="77777777" w:rsidR="00D8365A" w:rsidRPr="00362517" w:rsidRDefault="00D8365A" w:rsidP="00BF6BC7">
            <w:r w:rsidRPr="00362517">
              <w:t>Washington</w:t>
            </w:r>
          </w:p>
        </w:tc>
        <w:tc>
          <w:tcPr>
            <w:tcW w:w="922" w:type="pct"/>
            <w:tcBorders>
              <w:top w:val="nil"/>
              <w:left w:val="nil"/>
              <w:bottom w:val="single" w:sz="4" w:space="0" w:color="auto"/>
              <w:right w:val="single" w:sz="4" w:space="0" w:color="auto"/>
            </w:tcBorders>
            <w:shd w:val="clear" w:color="auto" w:fill="auto"/>
            <w:noWrap/>
            <w:vAlign w:val="bottom"/>
            <w:hideMark/>
          </w:tcPr>
          <w:p w14:paraId="3165AEAB" w14:textId="77777777" w:rsidR="00D8365A" w:rsidRPr="00362517" w:rsidRDefault="00D8365A" w:rsidP="00BF6BC7">
            <w:pPr>
              <w:jc w:val="right"/>
            </w:pPr>
            <w:r w:rsidRPr="00362517">
              <w:t>75,967</w:t>
            </w:r>
          </w:p>
        </w:tc>
        <w:tc>
          <w:tcPr>
            <w:tcW w:w="871" w:type="pct"/>
            <w:tcBorders>
              <w:top w:val="nil"/>
              <w:left w:val="nil"/>
              <w:bottom w:val="single" w:sz="4" w:space="0" w:color="auto"/>
              <w:right w:val="single" w:sz="4" w:space="0" w:color="auto"/>
            </w:tcBorders>
            <w:shd w:val="clear" w:color="auto" w:fill="auto"/>
            <w:noWrap/>
            <w:vAlign w:val="bottom"/>
            <w:hideMark/>
          </w:tcPr>
          <w:p w14:paraId="24EA9B48" w14:textId="77777777" w:rsidR="00D8365A" w:rsidRPr="00362517" w:rsidRDefault="00D8365A" w:rsidP="00BF6BC7">
            <w:pPr>
              <w:jc w:val="right"/>
            </w:pPr>
            <w:r w:rsidRPr="00362517">
              <w:t>61,774</w:t>
            </w:r>
          </w:p>
        </w:tc>
        <w:tc>
          <w:tcPr>
            <w:tcW w:w="849" w:type="pct"/>
            <w:tcBorders>
              <w:top w:val="nil"/>
              <w:left w:val="nil"/>
              <w:bottom w:val="single" w:sz="4" w:space="0" w:color="auto"/>
              <w:right w:val="single" w:sz="4" w:space="0" w:color="auto"/>
            </w:tcBorders>
            <w:shd w:val="clear" w:color="auto" w:fill="auto"/>
            <w:noWrap/>
            <w:vAlign w:val="bottom"/>
            <w:hideMark/>
          </w:tcPr>
          <w:p w14:paraId="5753E5BB" w14:textId="77777777" w:rsidR="00D8365A" w:rsidRPr="00362517" w:rsidRDefault="00D8365A" w:rsidP="00BF6BC7">
            <w:pPr>
              <w:jc w:val="right"/>
            </w:pPr>
            <w:r w:rsidRPr="00362517">
              <w:t>14,120</w:t>
            </w:r>
          </w:p>
        </w:tc>
        <w:tc>
          <w:tcPr>
            <w:tcW w:w="1038" w:type="pct"/>
            <w:tcBorders>
              <w:top w:val="nil"/>
              <w:left w:val="nil"/>
              <w:bottom w:val="single" w:sz="4" w:space="0" w:color="auto"/>
              <w:right w:val="single" w:sz="4" w:space="0" w:color="auto"/>
            </w:tcBorders>
            <w:shd w:val="clear" w:color="auto" w:fill="auto"/>
            <w:noWrap/>
            <w:vAlign w:val="bottom"/>
            <w:hideMark/>
          </w:tcPr>
          <w:p w14:paraId="48A12933" w14:textId="77777777" w:rsidR="00D8365A" w:rsidRPr="00362517" w:rsidRDefault="00D8365A" w:rsidP="00BF6BC7">
            <w:pPr>
              <w:jc w:val="right"/>
            </w:pPr>
            <w:r w:rsidRPr="00362517">
              <w:t>1,615</w:t>
            </w:r>
          </w:p>
        </w:tc>
      </w:tr>
      <w:tr w:rsidR="00D8365A" w:rsidRPr="00362517" w14:paraId="3249DC95"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1511BEB2" w14:textId="77777777" w:rsidR="00D8365A" w:rsidRPr="00362517" w:rsidRDefault="00D8365A" w:rsidP="00BF6BC7">
            <w:r w:rsidRPr="00362517">
              <w:t>West Virginia</w:t>
            </w:r>
          </w:p>
        </w:tc>
        <w:tc>
          <w:tcPr>
            <w:tcW w:w="922" w:type="pct"/>
            <w:tcBorders>
              <w:top w:val="nil"/>
              <w:left w:val="nil"/>
              <w:bottom w:val="single" w:sz="4" w:space="0" w:color="auto"/>
              <w:right w:val="single" w:sz="4" w:space="0" w:color="auto"/>
            </w:tcBorders>
            <w:shd w:val="clear" w:color="auto" w:fill="auto"/>
            <w:noWrap/>
            <w:vAlign w:val="bottom"/>
            <w:hideMark/>
          </w:tcPr>
          <w:p w14:paraId="64CD6191" w14:textId="77777777" w:rsidR="00D8365A" w:rsidRPr="00362517" w:rsidRDefault="00D8365A" w:rsidP="00BF6BC7">
            <w:pPr>
              <w:jc w:val="right"/>
            </w:pPr>
            <w:r w:rsidRPr="00362517">
              <w:t>7,015</w:t>
            </w:r>
          </w:p>
        </w:tc>
        <w:tc>
          <w:tcPr>
            <w:tcW w:w="871" w:type="pct"/>
            <w:tcBorders>
              <w:top w:val="nil"/>
              <w:left w:val="nil"/>
              <w:bottom w:val="single" w:sz="4" w:space="0" w:color="auto"/>
              <w:right w:val="single" w:sz="4" w:space="0" w:color="auto"/>
            </w:tcBorders>
            <w:shd w:val="clear" w:color="auto" w:fill="auto"/>
            <w:noWrap/>
            <w:vAlign w:val="bottom"/>
            <w:hideMark/>
          </w:tcPr>
          <w:p w14:paraId="3624ECA4" w14:textId="77777777" w:rsidR="00D8365A" w:rsidRPr="00362517" w:rsidRDefault="00D8365A" w:rsidP="00BF6BC7">
            <w:pPr>
              <w:jc w:val="right"/>
            </w:pPr>
            <w:r w:rsidRPr="00362517">
              <w:t>6,064</w:t>
            </w:r>
          </w:p>
        </w:tc>
        <w:tc>
          <w:tcPr>
            <w:tcW w:w="849" w:type="pct"/>
            <w:tcBorders>
              <w:top w:val="nil"/>
              <w:left w:val="nil"/>
              <w:bottom w:val="single" w:sz="4" w:space="0" w:color="auto"/>
              <w:right w:val="single" w:sz="4" w:space="0" w:color="auto"/>
            </w:tcBorders>
            <w:shd w:val="clear" w:color="auto" w:fill="auto"/>
            <w:noWrap/>
            <w:vAlign w:val="bottom"/>
            <w:hideMark/>
          </w:tcPr>
          <w:p w14:paraId="419717CF" w14:textId="77777777" w:rsidR="00D8365A" w:rsidRPr="00362517" w:rsidRDefault="00D8365A" w:rsidP="00BF6BC7">
            <w:pPr>
              <w:jc w:val="right"/>
            </w:pPr>
            <w:r w:rsidRPr="00362517">
              <w:t>949</w:t>
            </w:r>
          </w:p>
        </w:tc>
        <w:tc>
          <w:tcPr>
            <w:tcW w:w="1038" w:type="pct"/>
            <w:tcBorders>
              <w:top w:val="nil"/>
              <w:left w:val="nil"/>
              <w:bottom w:val="single" w:sz="4" w:space="0" w:color="auto"/>
              <w:right w:val="single" w:sz="4" w:space="0" w:color="auto"/>
            </w:tcBorders>
            <w:shd w:val="clear" w:color="auto" w:fill="auto"/>
            <w:noWrap/>
            <w:vAlign w:val="bottom"/>
            <w:hideMark/>
          </w:tcPr>
          <w:p w14:paraId="5C793DEF" w14:textId="77777777" w:rsidR="00D8365A" w:rsidRPr="00362517" w:rsidRDefault="00D8365A" w:rsidP="00BF6BC7">
            <w:pPr>
              <w:jc w:val="right"/>
            </w:pPr>
            <w:r w:rsidRPr="00362517">
              <w:t>108</w:t>
            </w:r>
          </w:p>
        </w:tc>
      </w:tr>
      <w:tr w:rsidR="00D8365A" w:rsidRPr="00362517" w14:paraId="36FFE5F8"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56A0030A" w14:textId="77777777" w:rsidR="00D8365A" w:rsidRPr="00362517" w:rsidRDefault="00D8365A" w:rsidP="00BF6BC7">
            <w:r w:rsidRPr="00362517">
              <w:t>Wisconsin</w:t>
            </w:r>
          </w:p>
        </w:tc>
        <w:tc>
          <w:tcPr>
            <w:tcW w:w="922" w:type="pct"/>
            <w:tcBorders>
              <w:top w:val="nil"/>
              <w:left w:val="nil"/>
              <w:bottom w:val="single" w:sz="4" w:space="0" w:color="auto"/>
              <w:right w:val="single" w:sz="4" w:space="0" w:color="auto"/>
            </w:tcBorders>
            <w:shd w:val="clear" w:color="auto" w:fill="auto"/>
            <w:noWrap/>
            <w:vAlign w:val="bottom"/>
            <w:hideMark/>
          </w:tcPr>
          <w:p w14:paraId="53A17857" w14:textId="77777777" w:rsidR="00D8365A" w:rsidRPr="00362517" w:rsidRDefault="00D8365A" w:rsidP="00BF6BC7">
            <w:pPr>
              <w:jc w:val="right"/>
            </w:pPr>
            <w:r w:rsidRPr="00362517">
              <w:t>53,146</w:t>
            </w:r>
          </w:p>
        </w:tc>
        <w:tc>
          <w:tcPr>
            <w:tcW w:w="871" w:type="pct"/>
            <w:tcBorders>
              <w:top w:val="nil"/>
              <w:left w:val="nil"/>
              <w:bottom w:val="single" w:sz="4" w:space="0" w:color="auto"/>
              <w:right w:val="single" w:sz="4" w:space="0" w:color="auto"/>
            </w:tcBorders>
            <w:shd w:val="clear" w:color="auto" w:fill="auto"/>
            <w:noWrap/>
            <w:vAlign w:val="bottom"/>
            <w:hideMark/>
          </w:tcPr>
          <w:p w14:paraId="7492760C" w14:textId="77777777" w:rsidR="00D8365A" w:rsidRPr="00362517" w:rsidRDefault="00D8365A" w:rsidP="00BF6BC7">
            <w:pPr>
              <w:jc w:val="right"/>
            </w:pPr>
            <w:r w:rsidRPr="00362517">
              <w:t>42,269</w:t>
            </w:r>
          </w:p>
        </w:tc>
        <w:tc>
          <w:tcPr>
            <w:tcW w:w="849" w:type="pct"/>
            <w:tcBorders>
              <w:top w:val="nil"/>
              <w:left w:val="nil"/>
              <w:bottom w:val="single" w:sz="4" w:space="0" w:color="auto"/>
              <w:right w:val="single" w:sz="4" w:space="0" w:color="auto"/>
            </w:tcBorders>
            <w:shd w:val="clear" w:color="auto" w:fill="auto"/>
            <w:noWrap/>
            <w:vAlign w:val="bottom"/>
            <w:hideMark/>
          </w:tcPr>
          <w:p w14:paraId="31C79F66" w14:textId="77777777" w:rsidR="00D8365A" w:rsidRPr="00362517" w:rsidRDefault="00D8365A" w:rsidP="00BF6BC7">
            <w:pPr>
              <w:jc w:val="right"/>
            </w:pPr>
            <w:r w:rsidRPr="00362517">
              <w:t>10,797</w:t>
            </w:r>
          </w:p>
        </w:tc>
        <w:tc>
          <w:tcPr>
            <w:tcW w:w="1038" w:type="pct"/>
            <w:tcBorders>
              <w:top w:val="nil"/>
              <w:left w:val="nil"/>
              <w:bottom w:val="single" w:sz="4" w:space="0" w:color="auto"/>
              <w:right w:val="single" w:sz="4" w:space="0" w:color="auto"/>
            </w:tcBorders>
            <w:shd w:val="clear" w:color="auto" w:fill="auto"/>
            <w:noWrap/>
            <w:vAlign w:val="bottom"/>
            <w:hideMark/>
          </w:tcPr>
          <w:p w14:paraId="523ADB67" w14:textId="77777777" w:rsidR="00D8365A" w:rsidRPr="00362517" w:rsidRDefault="00D8365A" w:rsidP="00BF6BC7">
            <w:pPr>
              <w:jc w:val="right"/>
            </w:pPr>
            <w:r w:rsidRPr="00362517">
              <w:t>1,238</w:t>
            </w:r>
          </w:p>
        </w:tc>
      </w:tr>
      <w:tr w:rsidR="00D8365A" w:rsidRPr="00362517" w14:paraId="58A9E2B2"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122635FC" w14:textId="77777777" w:rsidR="00D8365A" w:rsidRPr="00362517" w:rsidRDefault="00D8365A" w:rsidP="00BF6BC7">
            <w:r w:rsidRPr="00362517">
              <w:t>Wyoming</w:t>
            </w:r>
          </w:p>
        </w:tc>
        <w:tc>
          <w:tcPr>
            <w:tcW w:w="922" w:type="pct"/>
            <w:tcBorders>
              <w:top w:val="nil"/>
              <w:left w:val="nil"/>
              <w:bottom w:val="single" w:sz="4" w:space="0" w:color="auto"/>
              <w:right w:val="single" w:sz="4" w:space="0" w:color="auto"/>
            </w:tcBorders>
            <w:shd w:val="clear" w:color="auto" w:fill="auto"/>
            <w:noWrap/>
            <w:vAlign w:val="bottom"/>
            <w:hideMark/>
          </w:tcPr>
          <w:p w14:paraId="5EF1C4AF" w14:textId="77777777" w:rsidR="00D8365A" w:rsidRPr="00362517" w:rsidRDefault="00D8365A" w:rsidP="00BF6BC7">
            <w:pPr>
              <w:jc w:val="right"/>
            </w:pPr>
            <w:r w:rsidRPr="00362517">
              <w:t>14,420</w:t>
            </w:r>
          </w:p>
        </w:tc>
        <w:tc>
          <w:tcPr>
            <w:tcW w:w="871" w:type="pct"/>
            <w:tcBorders>
              <w:top w:val="nil"/>
              <w:left w:val="nil"/>
              <w:bottom w:val="single" w:sz="4" w:space="0" w:color="auto"/>
              <w:right w:val="single" w:sz="4" w:space="0" w:color="auto"/>
            </w:tcBorders>
            <w:shd w:val="clear" w:color="auto" w:fill="auto"/>
            <w:noWrap/>
            <w:vAlign w:val="bottom"/>
            <w:hideMark/>
          </w:tcPr>
          <w:p w14:paraId="7C1359FE" w14:textId="77777777" w:rsidR="00D8365A" w:rsidRPr="00362517" w:rsidRDefault="00D8365A" w:rsidP="00BF6BC7">
            <w:pPr>
              <w:jc w:val="right"/>
            </w:pPr>
            <w:r w:rsidRPr="00362517">
              <w:t>11,232</w:t>
            </w:r>
          </w:p>
        </w:tc>
        <w:tc>
          <w:tcPr>
            <w:tcW w:w="849" w:type="pct"/>
            <w:tcBorders>
              <w:top w:val="nil"/>
              <w:left w:val="nil"/>
              <w:bottom w:val="single" w:sz="4" w:space="0" w:color="auto"/>
              <w:right w:val="single" w:sz="4" w:space="0" w:color="auto"/>
            </w:tcBorders>
            <w:shd w:val="clear" w:color="auto" w:fill="auto"/>
            <w:noWrap/>
            <w:vAlign w:val="bottom"/>
            <w:hideMark/>
          </w:tcPr>
          <w:p w14:paraId="0D705F1C" w14:textId="77777777" w:rsidR="00D8365A" w:rsidRPr="00362517" w:rsidRDefault="00D8365A" w:rsidP="00BF6BC7">
            <w:pPr>
              <w:jc w:val="right"/>
            </w:pPr>
            <w:r w:rsidRPr="00362517">
              <w:t>3,129</w:t>
            </w:r>
          </w:p>
        </w:tc>
        <w:tc>
          <w:tcPr>
            <w:tcW w:w="1038" w:type="pct"/>
            <w:tcBorders>
              <w:top w:val="nil"/>
              <w:left w:val="nil"/>
              <w:bottom w:val="single" w:sz="4" w:space="0" w:color="auto"/>
              <w:right w:val="single" w:sz="4" w:space="0" w:color="auto"/>
            </w:tcBorders>
            <w:shd w:val="clear" w:color="auto" w:fill="auto"/>
            <w:noWrap/>
            <w:vAlign w:val="bottom"/>
            <w:hideMark/>
          </w:tcPr>
          <w:p w14:paraId="2AFD7623" w14:textId="77777777" w:rsidR="00D8365A" w:rsidRPr="00362517" w:rsidRDefault="00D8365A" w:rsidP="00BF6BC7">
            <w:pPr>
              <w:jc w:val="right"/>
            </w:pPr>
            <w:r w:rsidRPr="00362517">
              <w:t>359</w:t>
            </w:r>
          </w:p>
        </w:tc>
      </w:tr>
      <w:tr w:rsidR="00D8365A" w:rsidRPr="00362517" w14:paraId="45C25F8B"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86AB988" w14:textId="77777777" w:rsidR="00D8365A" w:rsidRPr="00362517" w:rsidRDefault="00D8365A" w:rsidP="00BF6BC7">
            <w:r w:rsidRPr="00362517">
              <w:t>Puerto Rico</w:t>
            </w:r>
          </w:p>
        </w:tc>
        <w:tc>
          <w:tcPr>
            <w:tcW w:w="922" w:type="pct"/>
            <w:tcBorders>
              <w:top w:val="nil"/>
              <w:left w:val="nil"/>
              <w:bottom w:val="single" w:sz="4" w:space="0" w:color="auto"/>
              <w:right w:val="single" w:sz="4" w:space="0" w:color="auto"/>
            </w:tcBorders>
            <w:shd w:val="clear" w:color="auto" w:fill="auto"/>
            <w:noWrap/>
            <w:vAlign w:val="bottom"/>
            <w:hideMark/>
          </w:tcPr>
          <w:p w14:paraId="015C5B58" w14:textId="77777777" w:rsidR="00D8365A" w:rsidRPr="00362517" w:rsidRDefault="00D8365A" w:rsidP="00BF6BC7">
            <w:pPr>
              <w:jc w:val="right"/>
            </w:pPr>
            <w:r w:rsidRPr="00362517">
              <w:t>33,283</w:t>
            </w:r>
          </w:p>
        </w:tc>
        <w:tc>
          <w:tcPr>
            <w:tcW w:w="871" w:type="pct"/>
            <w:tcBorders>
              <w:top w:val="nil"/>
              <w:left w:val="nil"/>
              <w:bottom w:val="single" w:sz="4" w:space="0" w:color="auto"/>
              <w:right w:val="single" w:sz="4" w:space="0" w:color="auto"/>
            </w:tcBorders>
            <w:shd w:val="clear" w:color="auto" w:fill="auto"/>
            <w:noWrap/>
            <w:vAlign w:val="bottom"/>
            <w:hideMark/>
          </w:tcPr>
          <w:p w14:paraId="4F28F6A4" w14:textId="77777777" w:rsidR="00D8365A" w:rsidRPr="00362517" w:rsidRDefault="00D8365A" w:rsidP="00BF6BC7">
            <w:pPr>
              <w:jc w:val="right"/>
            </w:pPr>
            <w:r w:rsidRPr="00362517">
              <w:t>25,523</w:t>
            </w:r>
          </w:p>
        </w:tc>
        <w:tc>
          <w:tcPr>
            <w:tcW w:w="849" w:type="pct"/>
            <w:tcBorders>
              <w:top w:val="nil"/>
              <w:left w:val="nil"/>
              <w:bottom w:val="single" w:sz="4" w:space="0" w:color="auto"/>
              <w:right w:val="single" w:sz="4" w:space="0" w:color="auto"/>
            </w:tcBorders>
            <w:shd w:val="clear" w:color="auto" w:fill="auto"/>
            <w:noWrap/>
            <w:vAlign w:val="bottom"/>
            <w:hideMark/>
          </w:tcPr>
          <w:p w14:paraId="718AC9D8" w14:textId="77777777" w:rsidR="00D8365A" w:rsidRPr="00362517" w:rsidRDefault="00D8365A" w:rsidP="00BF6BC7">
            <w:pPr>
              <w:jc w:val="right"/>
            </w:pPr>
            <w:r w:rsidRPr="00362517">
              <w:t>7,671</w:t>
            </w:r>
          </w:p>
        </w:tc>
        <w:tc>
          <w:tcPr>
            <w:tcW w:w="1038" w:type="pct"/>
            <w:tcBorders>
              <w:top w:val="nil"/>
              <w:left w:val="nil"/>
              <w:bottom w:val="single" w:sz="4" w:space="0" w:color="auto"/>
              <w:right w:val="single" w:sz="4" w:space="0" w:color="auto"/>
            </w:tcBorders>
            <w:shd w:val="clear" w:color="auto" w:fill="auto"/>
            <w:noWrap/>
            <w:vAlign w:val="bottom"/>
            <w:hideMark/>
          </w:tcPr>
          <w:p w14:paraId="746E47B8" w14:textId="77777777" w:rsidR="00D8365A" w:rsidRPr="00362517" w:rsidRDefault="00D8365A" w:rsidP="00BF6BC7">
            <w:pPr>
              <w:jc w:val="right"/>
            </w:pPr>
            <w:r w:rsidRPr="00362517">
              <w:t>884</w:t>
            </w:r>
          </w:p>
        </w:tc>
      </w:tr>
      <w:tr w:rsidR="00D8365A" w:rsidRPr="00362517" w14:paraId="3A793D6A" w14:textId="77777777" w:rsidTr="007A2164">
        <w:trPr>
          <w:trHeight w:val="31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CD84185" w14:textId="77777777" w:rsidR="00D8365A" w:rsidRPr="00362517" w:rsidRDefault="00D8365A" w:rsidP="00BF6BC7">
            <w:r w:rsidRPr="00362517">
              <w:t>Other Jurisdictions</w:t>
            </w:r>
          </w:p>
        </w:tc>
        <w:tc>
          <w:tcPr>
            <w:tcW w:w="922" w:type="pct"/>
            <w:tcBorders>
              <w:top w:val="nil"/>
              <w:left w:val="nil"/>
              <w:bottom w:val="single" w:sz="4" w:space="0" w:color="auto"/>
              <w:right w:val="single" w:sz="4" w:space="0" w:color="auto"/>
            </w:tcBorders>
            <w:shd w:val="clear" w:color="auto" w:fill="auto"/>
            <w:noWrap/>
            <w:vAlign w:val="bottom"/>
            <w:hideMark/>
          </w:tcPr>
          <w:p w14:paraId="1F5665FB" w14:textId="77777777" w:rsidR="00D8365A" w:rsidRPr="00362517" w:rsidRDefault="00D8365A" w:rsidP="00BF6BC7">
            <w:pPr>
              <w:jc w:val="right"/>
            </w:pPr>
            <w:r w:rsidRPr="00362517">
              <w:t>8,833</w:t>
            </w:r>
          </w:p>
        </w:tc>
        <w:tc>
          <w:tcPr>
            <w:tcW w:w="871" w:type="pct"/>
            <w:tcBorders>
              <w:top w:val="nil"/>
              <w:left w:val="nil"/>
              <w:bottom w:val="single" w:sz="4" w:space="0" w:color="auto"/>
              <w:right w:val="single" w:sz="4" w:space="0" w:color="auto"/>
            </w:tcBorders>
            <w:shd w:val="clear" w:color="auto" w:fill="auto"/>
            <w:noWrap/>
            <w:vAlign w:val="bottom"/>
            <w:hideMark/>
          </w:tcPr>
          <w:p w14:paraId="50931FC8" w14:textId="77777777" w:rsidR="00D8365A" w:rsidRPr="00362517" w:rsidRDefault="00D8365A" w:rsidP="00BF6BC7">
            <w:pPr>
              <w:jc w:val="right"/>
            </w:pPr>
            <w:r w:rsidRPr="00362517">
              <w:t>6,176</w:t>
            </w:r>
          </w:p>
        </w:tc>
        <w:tc>
          <w:tcPr>
            <w:tcW w:w="849" w:type="pct"/>
            <w:tcBorders>
              <w:top w:val="nil"/>
              <w:left w:val="nil"/>
              <w:bottom w:val="single" w:sz="4" w:space="0" w:color="auto"/>
              <w:right w:val="single" w:sz="4" w:space="0" w:color="auto"/>
            </w:tcBorders>
            <w:shd w:val="clear" w:color="auto" w:fill="auto"/>
            <w:noWrap/>
            <w:vAlign w:val="bottom"/>
            <w:hideMark/>
          </w:tcPr>
          <w:p w14:paraId="37370E14" w14:textId="77777777" w:rsidR="00D8365A" w:rsidRPr="00362517" w:rsidRDefault="00D8365A" w:rsidP="00BF6BC7">
            <w:pPr>
              <w:jc w:val="right"/>
            </w:pPr>
            <w:r w:rsidRPr="00362517">
              <w:t>2,673</w:t>
            </w:r>
          </w:p>
        </w:tc>
        <w:tc>
          <w:tcPr>
            <w:tcW w:w="1038" w:type="pct"/>
            <w:tcBorders>
              <w:top w:val="nil"/>
              <w:left w:val="nil"/>
              <w:bottom w:val="single" w:sz="4" w:space="0" w:color="auto"/>
              <w:right w:val="single" w:sz="4" w:space="0" w:color="auto"/>
            </w:tcBorders>
            <w:shd w:val="clear" w:color="auto" w:fill="auto"/>
            <w:noWrap/>
            <w:vAlign w:val="bottom"/>
            <w:hideMark/>
          </w:tcPr>
          <w:p w14:paraId="5623E79C" w14:textId="77777777" w:rsidR="00D8365A" w:rsidRPr="00362517" w:rsidRDefault="00D8365A" w:rsidP="00BF6BC7">
            <w:pPr>
              <w:jc w:val="right"/>
            </w:pPr>
            <w:r w:rsidRPr="00362517">
              <w:t>304</w:t>
            </w:r>
          </w:p>
        </w:tc>
      </w:tr>
      <w:tr w:rsidR="00D8365A" w:rsidRPr="00362517" w14:paraId="100C9350" w14:textId="77777777" w:rsidTr="007A2164">
        <w:trPr>
          <w:trHeight w:val="324"/>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5835DB01" w14:textId="77777777" w:rsidR="00D8365A" w:rsidRPr="00362517" w:rsidRDefault="00D8365A" w:rsidP="00BF6BC7">
            <w:pPr>
              <w:rPr>
                <w:b/>
                <w:bCs/>
              </w:rPr>
            </w:pPr>
            <w:r w:rsidRPr="00362517">
              <w:rPr>
                <w:b/>
                <w:bCs/>
              </w:rPr>
              <w:t>U.S. Total</w:t>
            </w:r>
          </w:p>
        </w:tc>
        <w:tc>
          <w:tcPr>
            <w:tcW w:w="922" w:type="pct"/>
            <w:tcBorders>
              <w:top w:val="nil"/>
              <w:left w:val="nil"/>
              <w:bottom w:val="single" w:sz="4" w:space="0" w:color="auto"/>
              <w:right w:val="single" w:sz="4" w:space="0" w:color="auto"/>
            </w:tcBorders>
            <w:shd w:val="clear" w:color="auto" w:fill="auto"/>
            <w:noWrap/>
            <w:vAlign w:val="bottom"/>
            <w:hideMark/>
          </w:tcPr>
          <w:p w14:paraId="251FAADA" w14:textId="77777777" w:rsidR="00D8365A" w:rsidRPr="00362517" w:rsidRDefault="00D8365A" w:rsidP="00BF6BC7">
            <w:pPr>
              <w:jc w:val="right"/>
              <w:rPr>
                <w:b/>
                <w:bCs/>
              </w:rPr>
            </w:pPr>
            <w:r w:rsidRPr="00362517">
              <w:rPr>
                <w:b/>
                <w:bCs/>
              </w:rPr>
              <w:t>2,310,204</w:t>
            </w:r>
          </w:p>
        </w:tc>
        <w:tc>
          <w:tcPr>
            <w:tcW w:w="871" w:type="pct"/>
            <w:tcBorders>
              <w:top w:val="nil"/>
              <w:left w:val="nil"/>
              <w:bottom w:val="single" w:sz="4" w:space="0" w:color="auto"/>
              <w:right w:val="single" w:sz="4" w:space="0" w:color="auto"/>
            </w:tcBorders>
            <w:shd w:val="clear" w:color="auto" w:fill="auto"/>
            <w:noWrap/>
            <w:vAlign w:val="bottom"/>
            <w:hideMark/>
          </w:tcPr>
          <w:p w14:paraId="4AEA3FD7" w14:textId="77777777" w:rsidR="00D8365A" w:rsidRPr="00362517" w:rsidRDefault="00D8365A" w:rsidP="00BF6BC7">
            <w:pPr>
              <w:jc w:val="right"/>
              <w:rPr>
                <w:b/>
                <w:bCs/>
              </w:rPr>
            </w:pPr>
            <w:r w:rsidRPr="00362517">
              <w:rPr>
                <w:b/>
                <w:bCs/>
              </w:rPr>
              <w:t>2,030,756</w:t>
            </w:r>
          </w:p>
        </w:tc>
        <w:tc>
          <w:tcPr>
            <w:tcW w:w="849" w:type="pct"/>
            <w:tcBorders>
              <w:top w:val="nil"/>
              <w:left w:val="nil"/>
              <w:bottom w:val="single" w:sz="4" w:space="0" w:color="auto"/>
              <w:right w:val="single" w:sz="4" w:space="0" w:color="auto"/>
            </w:tcBorders>
            <w:shd w:val="clear" w:color="auto" w:fill="auto"/>
            <w:noWrap/>
            <w:vAlign w:val="bottom"/>
            <w:hideMark/>
          </w:tcPr>
          <w:p w14:paraId="17A0025C" w14:textId="77777777" w:rsidR="00D8365A" w:rsidRPr="00362517" w:rsidRDefault="00D8365A" w:rsidP="00BF6BC7">
            <w:pPr>
              <w:jc w:val="right"/>
              <w:rPr>
                <w:b/>
                <w:bCs/>
              </w:rPr>
            </w:pPr>
            <w:r w:rsidRPr="00362517">
              <w:rPr>
                <w:b/>
                <w:bCs/>
              </w:rPr>
              <w:t>272,952</w:t>
            </w:r>
          </w:p>
        </w:tc>
        <w:tc>
          <w:tcPr>
            <w:tcW w:w="1038" w:type="pct"/>
            <w:tcBorders>
              <w:top w:val="nil"/>
              <w:left w:val="nil"/>
              <w:bottom w:val="single" w:sz="4" w:space="0" w:color="auto"/>
              <w:right w:val="single" w:sz="4" w:space="0" w:color="auto"/>
            </w:tcBorders>
            <w:shd w:val="clear" w:color="auto" w:fill="auto"/>
            <w:noWrap/>
            <w:vAlign w:val="bottom"/>
            <w:hideMark/>
          </w:tcPr>
          <w:p w14:paraId="7087426F" w14:textId="77777777" w:rsidR="00D8365A" w:rsidRPr="00362517" w:rsidRDefault="00D8365A" w:rsidP="00BF6BC7">
            <w:pPr>
              <w:jc w:val="right"/>
              <w:rPr>
                <w:b/>
                <w:bCs/>
              </w:rPr>
            </w:pPr>
            <w:r w:rsidRPr="00362517">
              <w:rPr>
                <w:b/>
                <w:bCs/>
              </w:rPr>
              <w:t>31,310</w:t>
            </w:r>
          </w:p>
        </w:tc>
      </w:tr>
    </w:tbl>
    <w:p w14:paraId="4D7C289F" w14:textId="4FEF11E4" w:rsidR="00D8365A" w:rsidRPr="00362517" w:rsidRDefault="00D8365A" w:rsidP="00BF6BC7">
      <w:pPr>
        <w:rPr>
          <w:sz w:val="22"/>
          <w:szCs w:val="22"/>
        </w:rPr>
      </w:pPr>
      <w:r w:rsidRPr="00362517">
        <w:rPr>
          <w:sz w:val="22"/>
          <w:szCs w:val="22"/>
        </w:rPr>
        <w:t>Source:  EPA calculations using a three percent discount rate over a ten</w:t>
      </w:r>
      <w:r w:rsidR="00CA28EA">
        <w:rPr>
          <w:sz w:val="22"/>
          <w:szCs w:val="22"/>
        </w:rPr>
        <w:t>-</w:t>
      </w:r>
      <w:r w:rsidRPr="00362517">
        <w:rPr>
          <w:sz w:val="22"/>
          <w:szCs w:val="22"/>
        </w:rPr>
        <w:t>year period.  Columns may not sum due to rounding.</w:t>
      </w:r>
    </w:p>
    <w:p w14:paraId="2F2F3D52" w14:textId="77777777" w:rsidR="00D8365A" w:rsidRPr="00362517" w:rsidRDefault="00D8365A" w:rsidP="00BF6BC7"/>
    <w:p w14:paraId="4250394C" w14:textId="77777777" w:rsidR="00D8365A" w:rsidRPr="00362517" w:rsidRDefault="00D8365A" w:rsidP="00BF6BC7">
      <w:r w:rsidRPr="00362517">
        <w:t>The states with the highest incremental costs are California, Georgia, Missouri, Kentucky, and Arkansas.  The main driver in these states is the relatively large number of certified applicators.  In California, commercial applicators will bear a relatively large proportion of the cost, because California will incur a large cost of training noncertified applicators under the direct supervision of commercial applicators under the final rule.  For the other certifying authorities, the primary change will be in the initial certification of private applicators.</w:t>
      </w:r>
    </w:p>
    <w:p w14:paraId="1AB2EF87" w14:textId="77777777" w:rsidR="00D8365A" w:rsidRPr="00362517" w:rsidRDefault="00D8365A" w:rsidP="00BF6BC7"/>
    <w:p w14:paraId="5D9BDC7E" w14:textId="77777777" w:rsidR="00D8365A" w:rsidRPr="00362517" w:rsidRDefault="00D8365A" w:rsidP="00BF6BC7">
      <w:pPr>
        <w:pStyle w:val="BodyText"/>
      </w:pPr>
      <w:r w:rsidRPr="00362517">
        <w:t>States with the lowest incremental costs include Alaska and the New England states where there are relatively few certified applicators.  Other low-cost states, such as Iowa and Virginia have state requirements that largely meet or exceed the requirements in the final rule.</w:t>
      </w:r>
    </w:p>
    <w:p w14:paraId="3F66AE6E" w14:textId="77777777" w:rsidR="00D8365A" w:rsidRPr="00362517" w:rsidRDefault="00D8365A" w:rsidP="00BF6BC7">
      <w:pPr>
        <w:pStyle w:val="BodyText"/>
      </w:pPr>
    </w:p>
    <w:p w14:paraId="613E97F0" w14:textId="77777777" w:rsidR="00D8365A" w:rsidRPr="00362517" w:rsidRDefault="00D8365A" w:rsidP="00BF6BC7">
      <w:pPr>
        <w:pStyle w:val="BodyText"/>
      </w:pPr>
      <w:r w:rsidRPr="00362517">
        <w:t>The changes in the certification requirements will be unlikely to have an impact on jobs.  Most private applicators are self-employed.  The annualized incremental cost of the final rule to private applicators will be about $25 per applicator, on average, and this will represent a small fraction of the cost of employing an applicator, even part time.  The average annualized cost of the final rule to commercial applicators will be about $46 per applicator, on average, and is similarly a very small fraction of the cost of employing a part-time applicator.  A full analysis of employment impact is presented in Section 3.6.</w:t>
      </w:r>
    </w:p>
    <w:p w14:paraId="3957B432" w14:textId="77777777" w:rsidR="00D8365A" w:rsidRPr="00362517" w:rsidRDefault="00D8365A" w:rsidP="00BF6BC7"/>
    <w:p w14:paraId="74A8AC1E" w14:textId="77777777" w:rsidR="00D8365A" w:rsidRPr="00362517" w:rsidRDefault="00D8365A" w:rsidP="00BF6BC7">
      <w:r w:rsidRPr="00362517">
        <w:t>The changes are not expected to have a significant impact on a substantial number of small businesses.  In most cases, incremental costs represent less than one percent of gross revenues for commercial enterprises or less than one percent of total sales of agricultural products for farming enterprises.  Incremental costs in a few states could exceed two percent of total sales of agricultural products for farms with sales less than $5,000 per year.  The number of farms facing such impacts is likely to be quite small, however.  Perhaps a fifth of the farms affected by the final revisions to the certification requirements might also bear costs associated with the changes to the Worker Protection Standard.  A full analysis of small business impacts follows in Section 3.7.</w:t>
      </w:r>
    </w:p>
    <w:p w14:paraId="05DFDF75" w14:textId="77777777" w:rsidR="00D8365A" w:rsidRPr="00362517" w:rsidRDefault="00D8365A" w:rsidP="00BF6BC7"/>
    <w:p w14:paraId="788C35FC" w14:textId="77777777" w:rsidR="00D8365A" w:rsidRPr="00362517" w:rsidRDefault="00D8365A" w:rsidP="00BF6BC7">
      <w:r w:rsidRPr="00362517">
        <w:t xml:space="preserve">In the following sections, impacts of the requirements of the final rule on different sectors -- private applicators, commercial applicators, and governmental entities -- are presented. </w:t>
      </w:r>
    </w:p>
    <w:p w14:paraId="36000460" w14:textId="77777777" w:rsidR="00D8365A" w:rsidRPr="00362517" w:rsidRDefault="00D8365A" w:rsidP="00BF6BC7"/>
    <w:p w14:paraId="39B4AC38" w14:textId="77777777" w:rsidR="00D8365A" w:rsidRPr="00362517" w:rsidRDefault="00D8365A" w:rsidP="00BF6BC7">
      <w:pPr>
        <w:pStyle w:val="Heading3"/>
      </w:pPr>
      <w:bookmarkStart w:id="253" w:name="_Toc452020152"/>
      <w:bookmarkStart w:id="254" w:name="_Toc456270176"/>
      <w:bookmarkStart w:id="255" w:name="_Toc468872092"/>
      <w:r w:rsidRPr="00362517">
        <w:t>3.5.1</w:t>
      </w:r>
      <w:r w:rsidRPr="00362517">
        <w:tab/>
        <w:t>Private Applicator Cost of Final Rule</w:t>
      </w:r>
      <w:bookmarkEnd w:id="253"/>
      <w:bookmarkEnd w:id="254"/>
      <w:bookmarkEnd w:id="255"/>
    </w:p>
    <w:p w14:paraId="633FB5E9" w14:textId="77777777" w:rsidR="00D8365A" w:rsidRPr="00362517" w:rsidRDefault="00D8365A" w:rsidP="00BF6BC7"/>
    <w:p w14:paraId="1E32961F" w14:textId="77777777" w:rsidR="00D8365A" w:rsidRPr="00362517" w:rsidRDefault="00D8365A" w:rsidP="00BF6BC7">
      <w:r w:rsidRPr="00362517">
        <w:t>The total cost of the final rule to private applicators can be estimated by summing the costs of the seven components evaluated in Section 3.4.  Table 3.5-3 presents the PVs of costs for the final regulatory requirement, baseline requirement, incremental cost, and annualized incremental cost by jurisdiction.  For private applicators, EPA estimates that the annualized incremental cost of the final rule over ten years to be $8.6 million, given a three percent discount rate.  See Appendix B for details.</w:t>
      </w:r>
    </w:p>
    <w:p w14:paraId="15B5DB03" w14:textId="77777777" w:rsidR="00D8365A" w:rsidRPr="00362517" w:rsidRDefault="00D8365A" w:rsidP="00BF6BC7"/>
    <w:p w14:paraId="7C9FBAF5" w14:textId="77777777" w:rsidR="00D8365A" w:rsidRPr="00362517" w:rsidRDefault="00D8365A" w:rsidP="00BF6BC7">
      <w:pPr>
        <w:rPr>
          <w:b/>
        </w:rPr>
      </w:pPr>
      <w:r w:rsidRPr="00362517">
        <w:rPr>
          <w:b/>
        </w:rPr>
        <w:t>Table 3.5-3 Private Applicator Cost of Final Rule</w:t>
      </w:r>
    </w:p>
    <w:tbl>
      <w:tblPr>
        <w:tblW w:w="5000" w:type="pct"/>
        <w:tblLook w:val="04A0" w:firstRow="1" w:lastRow="0" w:firstColumn="1" w:lastColumn="0" w:noHBand="0" w:noVBand="1"/>
      </w:tblPr>
      <w:tblGrid>
        <w:gridCol w:w="2410"/>
        <w:gridCol w:w="1644"/>
        <w:gridCol w:w="1672"/>
        <w:gridCol w:w="1631"/>
        <w:gridCol w:w="1993"/>
      </w:tblGrid>
      <w:tr w:rsidR="00D8365A" w:rsidRPr="00362517" w14:paraId="26612D36" w14:textId="77777777" w:rsidTr="007A2164">
        <w:trPr>
          <w:trHeight w:val="440"/>
        </w:trPr>
        <w:tc>
          <w:tcPr>
            <w:tcW w:w="12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D4440A" w14:textId="77777777" w:rsidR="00D8365A" w:rsidRPr="00362517" w:rsidRDefault="00D8365A" w:rsidP="00BF6BC7">
            <w:r w:rsidRPr="00362517">
              <w:t>Jurisdiction</w:t>
            </w:r>
          </w:p>
        </w:tc>
        <w:tc>
          <w:tcPr>
            <w:tcW w:w="879" w:type="pct"/>
            <w:tcBorders>
              <w:top w:val="single" w:sz="4" w:space="0" w:color="auto"/>
              <w:left w:val="nil"/>
              <w:bottom w:val="single" w:sz="4" w:space="0" w:color="auto"/>
              <w:right w:val="single" w:sz="4" w:space="0" w:color="auto"/>
            </w:tcBorders>
            <w:shd w:val="clear" w:color="auto" w:fill="auto"/>
            <w:noWrap/>
            <w:vAlign w:val="center"/>
            <w:hideMark/>
          </w:tcPr>
          <w:p w14:paraId="6842F0FF" w14:textId="77777777" w:rsidR="00D8365A" w:rsidRPr="00362517" w:rsidRDefault="00D8365A" w:rsidP="00BF6BC7">
            <w:pPr>
              <w:jc w:val="center"/>
            </w:pPr>
            <w:r w:rsidRPr="00362517">
              <w:t>PV(RC</w:t>
            </w:r>
            <w:r w:rsidRPr="00362517">
              <w:rPr>
                <w:vertAlign w:val="superscript"/>
              </w:rPr>
              <w:t>P</w:t>
            </w:r>
            <w:r w:rsidRPr="00362517">
              <w:t>)</w:t>
            </w:r>
          </w:p>
        </w:tc>
        <w:tc>
          <w:tcPr>
            <w:tcW w:w="894" w:type="pct"/>
            <w:tcBorders>
              <w:top w:val="single" w:sz="4" w:space="0" w:color="auto"/>
              <w:left w:val="nil"/>
              <w:bottom w:val="single" w:sz="4" w:space="0" w:color="auto"/>
              <w:right w:val="single" w:sz="4" w:space="0" w:color="auto"/>
            </w:tcBorders>
            <w:shd w:val="clear" w:color="auto" w:fill="auto"/>
            <w:noWrap/>
            <w:vAlign w:val="center"/>
            <w:hideMark/>
          </w:tcPr>
          <w:p w14:paraId="6B245DC5" w14:textId="77777777" w:rsidR="00D8365A" w:rsidRPr="00362517" w:rsidRDefault="00D8365A" w:rsidP="00BF6BC7">
            <w:pPr>
              <w:jc w:val="center"/>
            </w:pPr>
            <w:r w:rsidRPr="00362517">
              <w:t>PV(RC</w:t>
            </w:r>
            <w:r w:rsidRPr="00362517">
              <w:rPr>
                <w:vertAlign w:val="superscript"/>
              </w:rPr>
              <w:t>B</w:t>
            </w:r>
            <w:r w:rsidRPr="00362517">
              <w:t>)</w:t>
            </w:r>
          </w:p>
        </w:tc>
        <w:tc>
          <w:tcPr>
            <w:tcW w:w="872" w:type="pct"/>
            <w:tcBorders>
              <w:top w:val="single" w:sz="4" w:space="0" w:color="auto"/>
              <w:left w:val="nil"/>
              <w:bottom w:val="single" w:sz="4" w:space="0" w:color="auto"/>
              <w:right w:val="single" w:sz="4" w:space="0" w:color="auto"/>
            </w:tcBorders>
            <w:shd w:val="clear" w:color="auto" w:fill="auto"/>
            <w:noWrap/>
            <w:vAlign w:val="center"/>
            <w:hideMark/>
          </w:tcPr>
          <w:p w14:paraId="6D2E476C" w14:textId="77777777" w:rsidR="00D8365A" w:rsidRPr="00362517" w:rsidRDefault="00D8365A" w:rsidP="00BF6BC7">
            <w:pPr>
              <w:jc w:val="center"/>
            </w:pPr>
            <w:r w:rsidRPr="00362517">
              <w:t>PV(RIC)</w:t>
            </w:r>
          </w:p>
        </w:tc>
        <w:tc>
          <w:tcPr>
            <w:tcW w:w="1065" w:type="pct"/>
            <w:tcBorders>
              <w:top w:val="single" w:sz="4" w:space="0" w:color="auto"/>
              <w:left w:val="nil"/>
              <w:bottom w:val="single" w:sz="4" w:space="0" w:color="auto"/>
              <w:right w:val="single" w:sz="4" w:space="0" w:color="auto"/>
            </w:tcBorders>
            <w:shd w:val="clear" w:color="auto" w:fill="auto"/>
            <w:vAlign w:val="center"/>
            <w:hideMark/>
          </w:tcPr>
          <w:p w14:paraId="2376F9FD" w14:textId="77777777" w:rsidR="00D8365A" w:rsidRPr="00362517" w:rsidRDefault="00D8365A" w:rsidP="00BF6BC7">
            <w:pPr>
              <w:jc w:val="center"/>
            </w:pPr>
            <w:r w:rsidRPr="00362517">
              <w:t>Annualized RIC</w:t>
            </w:r>
          </w:p>
        </w:tc>
      </w:tr>
      <w:tr w:rsidR="00D8365A" w:rsidRPr="00362517" w14:paraId="54C11833" w14:textId="77777777" w:rsidTr="007A2164">
        <w:trPr>
          <w:trHeight w:val="312"/>
        </w:trPr>
        <w:tc>
          <w:tcPr>
            <w:tcW w:w="1289" w:type="pct"/>
            <w:vMerge/>
            <w:tcBorders>
              <w:top w:val="single" w:sz="4" w:space="0" w:color="auto"/>
              <w:left w:val="single" w:sz="4" w:space="0" w:color="auto"/>
              <w:bottom w:val="single" w:sz="4" w:space="0" w:color="auto"/>
              <w:right w:val="single" w:sz="4" w:space="0" w:color="auto"/>
            </w:tcBorders>
            <w:vAlign w:val="center"/>
            <w:hideMark/>
          </w:tcPr>
          <w:p w14:paraId="79104356" w14:textId="77777777" w:rsidR="00D8365A" w:rsidRPr="00362517" w:rsidRDefault="00D8365A" w:rsidP="00BF6BC7"/>
        </w:tc>
        <w:tc>
          <w:tcPr>
            <w:tcW w:w="3711" w:type="pct"/>
            <w:gridSpan w:val="4"/>
            <w:tcBorders>
              <w:top w:val="single" w:sz="4" w:space="0" w:color="auto"/>
              <w:left w:val="nil"/>
              <w:bottom w:val="single" w:sz="4" w:space="0" w:color="auto"/>
              <w:right w:val="single" w:sz="4" w:space="0" w:color="auto"/>
            </w:tcBorders>
            <w:shd w:val="clear" w:color="auto" w:fill="auto"/>
            <w:noWrap/>
            <w:vAlign w:val="bottom"/>
            <w:hideMark/>
          </w:tcPr>
          <w:p w14:paraId="7FF42875" w14:textId="77777777" w:rsidR="00D8365A" w:rsidRPr="00362517" w:rsidRDefault="00D8365A" w:rsidP="00BF6BC7">
            <w:pPr>
              <w:jc w:val="center"/>
            </w:pPr>
            <w:r w:rsidRPr="00362517">
              <w:t xml:space="preserve">$1,000 </w:t>
            </w:r>
          </w:p>
        </w:tc>
      </w:tr>
      <w:tr w:rsidR="00D8365A" w:rsidRPr="00362517" w14:paraId="0511762C"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0ECA3492" w14:textId="77777777" w:rsidR="00D8365A" w:rsidRPr="00362517" w:rsidRDefault="00D8365A" w:rsidP="00BF6BC7">
            <w:r w:rsidRPr="00362517">
              <w:t>Alabama</w:t>
            </w:r>
          </w:p>
        </w:tc>
        <w:tc>
          <w:tcPr>
            <w:tcW w:w="879" w:type="pct"/>
            <w:tcBorders>
              <w:top w:val="nil"/>
              <w:left w:val="nil"/>
              <w:bottom w:val="single" w:sz="4" w:space="0" w:color="auto"/>
              <w:right w:val="single" w:sz="4" w:space="0" w:color="auto"/>
            </w:tcBorders>
            <w:shd w:val="clear" w:color="auto" w:fill="auto"/>
            <w:noWrap/>
            <w:vAlign w:val="bottom"/>
            <w:hideMark/>
          </w:tcPr>
          <w:p w14:paraId="7E4F88EC" w14:textId="77777777" w:rsidR="00D8365A" w:rsidRPr="00362517" w:rsidRDefault="00D8365A" w:rsidP="00BF6BC7">
            <w:pPr>
              <w:jc w:val="right"/>
            </w:pPr>
            <w:r w:rsidRPr="00362517">
              <w:t>9,229</w:t>
            </w:r>
          </w:p>
        </w:tc>
        <w:tc>
          <w:tcPr>
            <w:tcW w:w="894" w:type="pct"/>
            <w:tcBorders>
              <w:top w:val="nil"/>
              <w:left w:val="nil"/>
              <w:bottom w:val="single" w:sz="4" w:space="0" w:color="auto"/>
              <w:right w:val="single" w:sz="4" w:space="0" w:color="auto"/>
            </w:tcBorders>
            <w:shd w:val="clear" w:color="auto" w:fill="auto"/>
            <w:noWrap/>
            <w:vAlign w:val="bottom"/>
            <w:hideMark/>
          </w:tcPr>
          <w:p w14:paraId="4C44B54D" w14:textId="77777777" w:rsidR="00D8365A" w:rsidRPr="00362517" w:rsidRDefault="00D8365A" w:rsidP="00BF6BC7">
            <w:pPr>
              <w:jc w:val="right"/>
            </w:pPr>
            <w:r w:rsidRPr="00362517">
              <w:t>9,059</w:t>
            </w:r>
          </w:p>
        </w:tc>
        <w:tc>
          <w:tcPr>
            <w:tcW w:w="872" w:type="pct"/>
            <w:tcBorders>
              <w:top w:val="nil"/>
              <w:left w:val="nil"/>
              <w:bottom w:val="single" w:sz="4" w:space="0" w:color="auto"/>
              <w:right w:val="single" w:sz="4" w:space="0" w:color="auto"/>
            </w:tcBorders>
            <w:shd w:val="clear" w:color="auto" w:fill="auto"/>
            <w:noWrap/>
            <w:vAlign w:val="bottom"/>
            <w:hideMark/>
          </w:tcPr>
          <w:p w14:paraId="02EC36A6" w14:textId="77777777" w:rsidR="00D8365A" w:rsidRPr="00362517" w:rsidRDefault="00D8365A" w:rsidP="00BF6BC7">
            <w:pPr>
              <w:jc w:val="right"/>
            </w:pPr>
            <w:r w:rsidRPr="00362517">
              <w:t>150</w:t>
            </w:r>
          </w:p>
        </w:tc>
        <w:tc>
          <w:tcPr>
            <w:tcW w:w="1065" w:type="pct"/>
            <w:tcBorders>
              <w:top w:val="nil"/>
              <w:left w:val="nil"/>
              <w:bottom w:val="single" w:sz="4" w:space="0" w:color="auto"/>
              <w:right w:val="single" w:sz="4" w:space="0" w:color="auto"/>
            </w:tcBorders>
            <w:shd w:val="clear" w:color="auto" w:fill="auto"/>
            <w:noWrap/>
            <w:vAlign w:val="bottom"/>
            <w:hideMark/>
          </w:tcPr>
          <w:p w14:paraId="3AF93275" w14:textId="77777777" w:rsidR="00D8365A" w:rsidRPr="00362517" w:rsidRDefault="00D8365A" w:rsidP="00BF6BC7">
            <w:pPr>
              <w:jc w:val="right"/>
            </w:pPr>
            <w:r w:rsidRPr="00362517">
              <w:t>19</w:t>
            </w:r>
          </w:p>
        </w:tc>
      </w:tr>
      <w:tr w:rsidR="00D8365A" w:rsidRPr="00362517" w14:paraId="78ED4B65"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09EF1AED" w14:textId="77777777" w:rsidR="00D8365A" w:rsidRPr="00362517" w:rsidRDefault="00D8365A" w:rsidP="00BF6BC7">
            <w:r w:rsidRPr="00362517">
              <w:t>Alaska</w:t>
            </w:r>
          </w:p>
        </w:tc>
        <w:tc>
          <w:tcPr>
            <w:tcW w:w="879" w:type="pct"/>
            <w:tcBorders>
              <w:top w:val="nil"/>
              <w:left w:val="nil"/>
              <w:bottom w:val="single" w:sz="4" w:space="0" w:color="auto"/>
              <w:right w:val="single" w:sz="4" w:space="0" w:color="auto"/>
            </w:tcBorders>
            <w:shd w:val="clear" w:color="auto" w:fill="auto"/>
            <w:noWrap/>
            <w:vAlign w:val="bottom"/>
            <w:hideMark/>
          </w:tcPr>
          <w:p w14:paraId="34E8BEA1" w14:textId="77777777" w:rsidR="00D8365A" w:rsidRPr="00362517" w:rsidRDefault="00D8365A" w:rsidP="00BF6BC7">
            <w:pPr>
              <w:jc w:val="right"/>
            </w:pPr>
            <w:r w:rsidRPr="00362517">
              <w:t>235</w:t>
            </w:r>
          </w:p>
        </w:tc>
        <w:tc>
          <w:tcPr>
            <w:tcW w:w="894" w:type="pct"/>
            <w:tcBorders>
              <w:top w:val="nil"/>
              <w:left w:val="nil"/>
              <w:bottom w:val="single" w:sz="4" w:space="0" w:color="auto"/>
              <w:right w:val="single" w:sz="4" w:space="0" w:color="auto"/>
            </w:tcBorders>
            <w:shd w:val="clear" w:color="auto" w:fill="auto"/>
            <w:noWrap/>
            <w:vAlign w:val="bottom"/>
            <w:hideMark/>
          </w:tcPr>
          <w:p w14:paraId="5FE5F9BB" w14:textId="77777777" w:rsidR="00D8365A" w:rsidRPr="00362517" w:rsidRDefault="00D8365A" w:rsidP="00BF6BC7">
            <w:pPr>
              <w:jc w:val="right"/>
            </w:pPr>
            <w:r w:rsidRPr="00362517">
              <w:t>229</w:t>
            </w:r>
          </w:p>
        </w:tc>
        <w:tc>
          <w:tcPr>
            <w:tcW w:w="872" w:type="pct"/>
            <w:tcBorders>
              <w:top w:val="nil"/>
              <w:left w:val="nil"/>
              <w:bottom w:val="single" w:sz="4" w:space="0" w:color="auto"/>
              <w:right w:val="single" w:sz="4" w:space="0" w:color="auto"/>
            </w:tcBorders>
            <w:shd w:val="clear" w:color="auto" w:fill="auto"/>
            <w:noWrap/>
            <w:vAlign w:val="bottom"/>
            <w:hideMark/>
          </w:tcPr>
          <w:p w14:paraId="14AA7392" w14:textId="77777777" w:rsidR="00D8365A" w:rsidRPr="00362517" w:rsidRDefault="00D8365A" w:rsidP="00BF6BC7">
            <w:pPr>
              <w:jc w:val="right"/>
            </w:pPr>
            <w:r w:rsidRPr="00362517">
              <w:t>5</w:t>
            </w:r>
          </w:p>
        </w:tc>
        <w:tc>
          <w:tcPr>
            <w:tcW w:w="1065" w:type="pct"/>
            <w:tcBorders>
              <w:top w:val="nil"/>
              <w:left w:val="nil"/>
              <w:bottom w:val="single" w:sz="4" w:space="0" w:color="auto"/>
              <w:right w:val="single" w:sz="4" w:space="0" w:color="auto"/>
            </w:tcBorders>
            <w:shd w:val="clear" w:color="auto" w:fill="auto"/>
            <w:noWrap/>
            <w:vAlign w:val="bottom"/>
            <w:hideMark/>
          </w:tcPr>
          <w:p w14:paraId="6A206C72" w14:textId="77777777" w:rsidR="00D8365A" w:rsidRPr="00362517" w:rsidRDefault="00D8365A" w:rsidP="00BF6BC7">
            <w:pPr>
              <w:jc w:val="right"/>
            </w:pPr>
            <w:r w:rsidRPr="00362517">
              <w:t>0.63</w:t>
            </w:r>
          </w:p>
        </w:tc>
      </w:tr>
      <w:tr w:rsidR="00D8365A" w:rsidRPr="00362517" w14:paraId="3B4CEB3A"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427256CE" w14:textId="77777777" w:rsidR="00D8365A" w:rsidRPr="00362517" w:rsidRDefault="00D8365A" w:rsidP="00BF6BC7">
            <w:r w:rsidRPr="00362517">
              <w:t>Arizona</w:t>
            </w:r>
          </w:p>
        </w:tc>
        <w:tc>
          <w:tcPr>
            <w:tcW w:w="879" w:type="pct"/>
            <w:tcBorders>
              <w:top w:val="nil"/>
              <w:left w:val="nil"/>
              <w:bottom w:val="single" w:sz="4" w:space="0" w:color="auto"/>
              <w:right w:val="single" w:sz="4" w:space="0" w:color="auto"/>
            </w:tcBorders>
            <w:shd w:val="clear" w:color="auto" w:fill="auto"/>
            <w:noWrap/>
            <w:vAlign w:val="bottom"/>
            <w:hideMark/>
          </w:tcPr>
          <w:p w14:paraId="3778F314" w14:textId="77777777" w:rsidR="00D8365A" w:rsidRPr="00362517" w:rsidRDefault="00D8365A" w:rsidP="00BF6BC7">
            <w:pPr>
              <w:jc w:val="right"/>
            </w:pPr>
            <w:r w:rsidRPr="00362517">
              <w:t>1,605</w:t>
            </w:r>
          </w:p>
        </w:tc>
        <w:tc>
          <w:tcPr>
            <w:tcW w:w="894" w:type="pct"/>
            <w:tcBorders>
              <w:top w:val="nil"/>
              <w:left w:val="nil"/>
              <w:bottom w:val="single" w:sz="4" w:space="0" w:color="auto"/>
              <w:right w:val="single" w:sz="4" w:space="0" w:color="auto"/>
            </w:tcBorders>
            <w:shd w:val="clear" w:color="auto" w:fill="auto"/>
            <w:noWrap/>
            <w:vAlign w:val="bottom"/>
            <w:hideMark/>
          </w:tcPr>
          <w:p w14:paraId="361222BA" w14:textId="77777777" w:rsidR="00D8365A" w:rsidRPr="00362517" w:rsidRDefault="00D8365A" w:rsidP="00BF6BC7">
            <w:pPr>
              <w:jc w:val="right"/>
            </w:pPr>
            <w:r w:rsidRPr="00362517">
              <w:t>1,562</w:t>
            </w:r>
          </w:p>
        </w:tc>
        <w:tc>
          <w:tcPr>
            <w:tcW w:w="872" w:type="pct"/>
            <w:tcBorders>
              <w:top w:val="nil"/>
              <w:left w:val="nil"/>
              <w:bottom w:val="single" w:sz="4" w:space="0" w:color="auto"/>
              <w:right w:val="single" w:sz="4" w:space="0" w:color="auto"/>
            </w:tcBorders>
            <w:shd w:val="clear" w:color="auto" w:fill="auto"/>
            <w:noWrap/>
            <w:vAlign w:val="bottom"/>
            <w:hideMark/>
          </w:tcPr>
          <w:p w14:paraId="70CB18F4" w14:textId="77777777" w:rsidR="00D8365A" w:rsidRPr="00362517" w:rsidRDefault="00D8365A" w:rsidP="00BF6BC7">
            <w:pPr>
              <w:jc w:val="right"/>
            </w:pPr>
            <w:r w:rsidRPr="00362517">
              <w:t>42</w:t>
            </w:r>
          </w:p>
        </w:tc>
        <w:tc>
          <w:tcPr>
            <w:tcW w:w="1065" w:type="pct"/>
            <w:tcBorders>
              <w:top w:val="nil"/>
              <w:left w:val="nil"/>
              <w:bottom w:val="single" w:sz="4" w:space="0" w:color="auto"/>
              <w:right w:val="single" w:sz="4" w:space="0" w:color="auto"/>
            </w:tcBorders>
            <w:shd w:val="clear" w:color="auto" w:fill="auto"/>
            <w:noWrap/>
            <w:vAlign w:val="bottom"/>
            <w:hideMark/>
          </w:tcPr>
          <w:p w14:paraId="3A892B3F" w14:textId="77777777" w:rsidR="00D8365A" w:rsidRPr="00362517" w:rsidRDefault="00D8365A" w:rsidP="00BF6BC7">
            <w:pPr>
              <w:jc w:val="right"/>
            </w:pPr>
            <w:r w:rsidRPr="00362517">
              <w:t>5</w:t>
            </w:r>
          </w:p>
        </w:tc>
      </w:tr>
      <w:tr w:rsidR="00D8365A" w:rsidRPr="00362517" w14:paraId="377DFE80"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10E8D3A9" w14:textId="77777777" w:rsidR="00D8365A" w:rsidRPr="00362517" w:rsidRDefault="00D8365A" w:rsidP="00BF6BC7">
            <w:r w:rsidRPr="00362517">
              <w:t>Arkansas</w:t>
            </w:r>
          </w:p>
        </w:tc>
        <w:tc>
          <w:tcPr>
            <w:tcW w:w="879" w:type="pct"/>
            <w:tcBorders>
              <w:top w:val="nil"/>
              <w:left w:val="nil"/>
              <w:bottom w:val="single" w:sz="4" w:space="0" w:color="auto"/>
              <w:right w:val="single" w:sz="4" w:space="0" w:color="auto"/>
            </w:tcBorders>
            <w:shd w:val="clear" w:color="auto" w:fill="auto"/>
            <w:noWrap/>
            <w:vAlign w:val="bottom"/>
            <w:hideMark/>
          </w:tcPr>
          <w:p w14:paraId="4F0CA7BA" w14:textId="77777777" w:rsidR="00D8365A" w:rsidRPr="00362517" w:rsidRDefault="00D8365A" w:rsidP="00BF6BC7">
            <w:pPr>
              <w:jc w:val="right"/>
            </w:pPr>
            <w:r w:rsidRPr="00362517">
              <w:t>23,209</w:t>
            </w:r>
          </w:p>
        </w:tc>
        <w:tc>
          <w:tcPr>
            <w:tcW w:w="894" w:type="pct"/>
            <w:tcBorders>
              <w:top w:val="nil"/>
              <w:left w:val="nil"/>
              <w:bottom w:val="single" w:sz="4" w:space="0" w:color="auto"/>
              <w:right w:val="single" w:sz="4" w:space="0" w:color="auto"/>
            </w:tcBorders>
            <w:shd w:val="clear" w:color="auto" w:fill="auto"/>
            <w:noWrap/>
            <w:vAlign w:val="bottom"/>
            <w:hideMark/>
          </w:tcPr>
          <w:p w14:paraId="338B604A" w14:textId="77777777" w:rsidR="00D8365A" w:rsidRPr="00362517" w:rsidRDefault="00D8365A" w:rsidP="00BF6BC7">
            <w:pPr>
              <w:jc w:val="right"/>
            </w:pPr>
            <w:r w:rsidRPr="00362517">
              <w:t>12,533</w:t>
            </w:r>
          </w:p>
        </w:tc>
        <w:tc>
          <w:tcPr>
            <w:tcW w:w="872" w:type="pct"/>
            <w:tcBorders>
              <w:top w:val="nil"/>
              <w:left w:val="nil"/>
              <w:bottom w:val="single" w:sz="4" w:space="0" w:color="auto"/>
              <w:right w:val="single" w:sz="4" w:space="0" w:color="auto"/>
            </w:tcBorders>
            <w:shd w:val="clear" w:color="auto" w:fill="auto"/>
            <w:noWrap/>
            <w:vAlign w:val="bottom"/>
            <w:hideMark/>
          </w:tcPr>
          <w:p w14:paraId="04F9C8EF" w14:textId="77777777" w:rsidR="00D8365A" w:rsidRPr="00362517" w:rsidRDefault="00D8365A" w:rsidP="00BF6BC7">
            <w:pPr>
              <w:jc w:val="right"/>
            </w:pPr>
            <w:r w:rsidRPr="00362517">
              <w:t>10,556</w:t>
            </w:r>
          </w:p>
        </w:tc>
        <w:tc>
          <w:tcPr>
            <w:tcW w:w="1065" w:type="pct"/>
            <w:tcBorders>
              <w:top w:val="nil"/>
              <w:left w:val="nil"/>
              <w:bottom w:val="single" w:sz="4" w:space="0" w:color="auto"/>
              <w:right w:val="single" w:sz="4" w:space="0" w:color="auto"/>
            </w:tcBorders>
            <w:shd w:val="clear" w:color="auto" w:fill="auto"/>
            <w:noWrap/>
            <w:vAlign w:val="bottom"/>
            <w:hideMark/>
          </w:tcPr>
          <w:p w14:paraId="7D9E2853" w14:textId="77777777" w:rsidR="00D8365A" w:rsidRPr="00362517" w:rsidRDefault="00D8365A" w:rsidP="00BF6BC7">
            <w:pPr>
              <w:jc w:val="right"/>
            </w:pPr>
            <w:r w:rsidRPr="00362517">
              <w:t>1,215</w:t>
            </w:r>
          </w:p>
        </w:tc>
      </w:tr>
      <w:tr w:rsidR="00D8365A" w:rsidRPr="00362517" w14:paraId="313D08B5"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77994233" w14:textId="77777777" w:rsidR="00D8365A" w:rsidRPr="00362517" w:rsidRDefault="00D8365A" w:rsidP="00BF6BC7">
            <w:r w:rsidRPr="00362517">
              <w:t>California</w:t>
            </w:r>
          </w:p>
        </w:tc>
        <w:tc>
          <w:tcPr>
            <w:tcW w:w="879" w:type="pct"/>
            <w:tcBorders>
              <w:top w:val="nil"/>
              <w:left w:val="nil"/>
              <w:bottom w:val="single" w:sz="4" w:space="0" w:color="auto"/>
              <w:right w:val="single" w:sz="4" w:space="0" w:color="auto"/>
            </w:tcBorders>
            <w:shd w:val="clear" w:color="auto" w:fill="auto"/>
            <w:noWrap/>
            <w:vAlign w:val="bottom"/>
            <w:hideMark/>
          </w:tcPr>
          <w:p w14:paraId="4D8D863A" w14:textId="77777777" w:rsidR="00D8365A" w:rsidRPr="00362517" w:rsidRDefault="00D8365A" w:rsidP="00BF6BC7">
            <w:pPr>
              <w:jc w:val="right"/>
            </w:pPr>
            <w:r w:rsidRPr="00362517">
              <w:t>43,026</w:t>
            </w:r>
          </w:p>
        </w:tc>
        <w:tc>
          <w:tcPr>
            <w:tcW w:w="894" w:type="pct"/>
            <w:tcBorders>
              <w:top w:val="nil"/>
              <w:left w:val="nil"/>
              <w:bottom w:val="single" w:sz="4" w:space="0" w:color="auto"/>
              <w:right w:val="single" w:sz="4" w:space="0" w:color="auto"/>
            </w:tcBorders>
            <w:shd w:val="clear" w:color="auto" w:fill="auto"/>
            <w:noWrap/>
            <w:vAlign w:val="bottom"/>
            <w:hideMark/>
          </w:tcPr>
          <w:p w14:paraId="496347E5" w14:textId="77777777" w:rsidR="00D8365A" w:rsidRPr="00362517" w:rsidRDefault="00D8365A" w:rsidP="00BF6BC7">
            <w:pPr>
              <w:jc w:val="right"/>
            </w:pPr>
            <w:r w:rsidRPr="00362517">
              <w:t>41,808</w:t>
            </w:r>
          </w:p>
        </w:tc>
        <w:tc>
          <w:tcPr>
            <w:tcW w:w="872" w:type="pct"/>
            <w:tcBorders>
              <w:top w:val="nil"/>
              <w:left w:val="nil"/>
              <w:bottom w:val="single" w:sz="4" w:space="0" w:color="auto"/>
              <w:right w:val="single" w:sz="4" w:space="0" w:color="auto"/>
            </w:tcBorders>
            <w:shd w:val="clear" w:color="auto" w:fill="auto"/>
            <w:noWrap/>
            <w:vAlign w:val="bottom"/>
            <w:hideMark/>
          </w:tcPr>
          <w:p w14:paraId="00C9FA75" w14:textId="77777777" w:rsidR="00D8365A" w:rsidRPr="00362517" w:rsidRDefault="00D8365A" w:rsidP="00BF6BC7">
            <w:pPr>
              <w:jc w:val="right"/>
            </w:pPr>
            <w:r w:rsidRPr="00362517">
              <w:t>1,089</w:t>
            </w:r>
          </w:p>
        </w:tc>
        <w:tc>
          <w:tcPr>
            <w:tcW w:w="1065" w:type="pct"/>
            <w:tcBorders>
              <w:top w:val="nil"/>
              <w:left w:val="nil"/>
              <w:bottom w:val="single" w:sz="4" w:space="0" w:color="auto"/>
              <w:right w:val="single" w:sz="4" w:space="0" w:color="auto"/>
            </w:tcBorders>
            <w:shd w:val="clear" w:color="auto" w:fill="auto"/>
            <w:noWrap/>
            <w:vAlign w:val="bottom"/>
            <w:hideMark/>
          </w:tcPr>
          <w:p w14:paraId="5F99FAF2" w14:textId="77777777" w:rsidR="00D8365A" w:rsidRPr="00362517" w:rsidRDefault="00D8365A" w:rsidP="00BF6BC7">
            <w:pPr>
              <w:jc w:val="right"/>
            </w:pPr>
            <w:r w:rsidRPr="00362517">
              <w:t>139</w:t>
            </w:r>
          </w:p>
        </w:tc>
      </w:tr>
      <w:tr w:rsidR="00D8365A" w:rsidRPr="00362517" w14:paraId="37F43237"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0D83D130" w14:textId="77777777" w:rsidR="00D8365A" w:rsidRPr="00362517" w:rsidRDefault="00D8365A" w:rsidP="00BF6BC7">
            <w:r w:rsidRPr="00362517">
              <w:t>Colorado</w:t>
            </w:r>
          </w:p>
        </w:tc>
        <w:tc>
          <w:tcPr>
            <w:tcW w:w="879" w:type="pct"/>
            <w:tcBorders>
              <w:top w:val="nil"/>
              <w:left w:val="nil"/>
              <w:bottom w:val="single" w:sz="4" w:space="0" w:color="auto"/>
              <w:right w:val="single" w:sz="4" w:space="0" w:color="auto"/>
            </w:tcBorders>
            <w:shd w:val="clear" w:color="auto" w:fill="auto"/>
            <w:noWrap/>
            <w:vAlign w:val="bottom"/>
            <w:hideMark/>
          </w:tcPr>
          <w:p w14:paraId="14FCD237" w14:textId="77777777" w:rsidR="00D8365A" w:rsidRPr="00362517" w:rsidRDefault="00D8365A" w:rsidP="00BF6BC7">
            <w:pPr>
              <w:jc w:val="right"/>
            </w:pPr>
            <w:r w:rsidRPr="00362517">
              <w:t>7,122</w:t>
            </w:r>
          </w:p>
        </w:tc>
        <w:tc>
          <w:tcPr>
            <w:tcW w:w="894" w:type="pct"/>
            <w:tcBorders>
              <w:top w:val="nil"/>
              <w:left w:val="nil"/>
              <w:bottom w:val="single" w:sz="4" w:space="0" w:color="auto"/>
              <w:right w:val="single" w:sz="4" w:space="0" w:color="auto"/>
            </w:tcBorders>
            <w:shd w:val="clear" w:color="auto" w:fill="auto"/>
            <w:noWrap/>
            <w:vAlign w:val="bottom"/>
            <w:hideMark/>
          </w:tcPr>
          <w:p w14:paraId="42194F2A" w14:textId="77777777" w:rsidR="00D8365A" w:rsidRPr="00362517" w:rsidRDefault="00D8365A" w:rsidP="00BF6BC7">
            <w:pPr>
              <w:jc w:val="right"/>
            </w:pPr>
            <w:r w:rsidRPr="00362517">
              <w:t>7,014</w:t>
            </w:r>
          </w:p>
        </w:tc>
        <w:tc>
          <w:tcPr>
            <w:tcW w:w="872" w:type="pct"/>
            <w:tcBorders>
              <w:top w:val="nil"/>
              <w:left w:val="nil"/>
              <w:bottom w:val="single" w:sz="4" w:space="0" w:color="auto"/>
              <w:right w:val="single" w:sz="4" w:space="0" w:color="auto"/>
            </w:tcBorders>
            <w:shd w:val="clear" w:color="auto" w:fill="auto"/>
            <w:noWrap/>
            <w:vAlign w:val="bottom"/>
            <w:hideMark/>
          </w:tcPr>
          <w:p w14:paraId="5FFEC729" w14:textId="77777777" w:rsidR="00D8365A" w:rsidRPr="00362517" w:rsidRDefault="00D8365A" w:rsidP="00BF6BC7">
            <w:pPr>
              <w:jc w:val="right"/>
            </w:pPr>
            <w:r w:rsidRPr="00362517">
              <w:t>84</w:t>
            </w:r>
          </w:p>
        </w:tc>
        <w:tc>
          <w:tcPr>
            <w:tcW w:w="1065" w:type="pct"/>
            <w:tcBorders>
              <w:top w:val="nil"/>
              <w:left w:val="nil"/>
              <w:bottom w:val="single" w:sz="4" w:space="0" w:color="auto"/>
              <w:right w:val="single" w:sz="4" w:space="0" w:color="auto"/>
            </w:tcBorders>
            <w:shd w:val="clear" w:color="auto" w:fill="auto"/>
            <w:noWrap/>
            <w:vAlign w:val="bottom"/>
            <w:hideMark/>
          </w:tcPr>
          <w:p w14:paraId="4C2B65FB" w14:textId="77777777" w:rsidR="00D8365A" w:rsidRPr="00362517" w:rsidRDefault="00D8365A" w:rsidP="00BF6BC7">
            <w:pPr>
              <w:jc w:val="right"/>
            </w:pPr>
            <w:r w:rsidRPr="00362517">
              <w:t>12</w:t>
            </w:r>
          </w:p>
        </w:tc>
      </w:tr>
      <w:tr w:rsidR="00D8365A" w:rsidRPr="00362517" w14:paraId="7953E5D6"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2E372E44" w14:textId="77777777" w:rsidR="00D8365A" w:rsidRPr="00362517" w:rsidRDefault="00D8365A" w:rsidP="00BF6BC7">
            <w:r w:rsidRPr="00362517">
              <w:t>Connecticut</w:t>
            </w:r>
          </w:p>
        </w:tc>
        <w:tc>
          <w:tcPr>
            <w:tcW w:w="879" w:type="pct"/>
            <w:tcBorders>
              <w:top w:val="nil"/>
              <w:left w:val="nil"/>
              <w:bottom w:val="single" w:sz="4" w:space="0" w:color="auto"/>
              <w:right w:val="single" w:sz="4" w:space="0" w:color="auto"/>
            </w:tcBorders>
            <w:shd w:val="clear" w:color="auto" w:fill="auto"/>
            <w:noWrap/>
            <w:vAlign w:val="bottom"/>
            <w:hideMark/>
          </w:tcPr>
          <w:p w14:paraId="15F6A8B8" w14:textId="77777777" w:rsidR="00D8365A" w:rsidRPr="00362517" w:rsidRDefault="00D8365A" w:rsidP="00BF6BC7">
            <w:pPr>
              <w:jc w:val="right"/>
            </w:pPr>
            <w:r w:rsidRPr="00362517">
              <w:t>925</w:t>
            </w:r>
          </w:p>
        </w:tc>
        <w:tc>
          <w:tcPr>
            <w:tcW w:w="894" w:type="pct"/>
            <w:tcBorders>
              <w:top w:val="nil"/>
              <w:left w:val="nil"/>
              <w:bottom w:val="single" w:sz="4" w:space="0" w:color="auto"/>
              <w:right w:val="single" w:sz="4" w:space="0" w:color="auto"/>
            </w:tcBorders>
            <w:shd w:val="clear" w:color="auto" w:fill="auto"/>
            <w:noWrap/>
            <w:vAlign w:val="bottom"/>
            <w:hideMark/>
          </w:tcPr>
          <w:p w14:paraId="32B34F4B" w14:textId="77777777" w:rsidR="00D8365A" w:rsidRPr="00362517" w:rsidRDefault="00D8365A" w:rsidP="00BF6BC7">
            <w:pPr>
              <w:jc w:val="right"/>
            </w:pPr>
            <w:r w:rsidRPr="00362517">
              <w:t>923</w:t>
            </w:r>
          </w:p>
        </w:tc>
        <w:tc>
          <w:tcPr>
            <w:tcW w:w="872" w:type="pct"/>
            <w:tcBorders>
              <w:top w:val="nil"/>
              <w:left w:val="nil"/>
              <w:bottom w:val="single" w:sz="4" w:space="0" w:color="auto"/>
              <w:right w:val="single" w:sz="4" w:space="0" w:color="auto"/>
            </w:tcBorders>
            <w:shd w:val="clear" w:color="auto" w:fill="auto"/>
            <w:noWrap/>
            <w:vAlign w:val="bottom"/>
            <w:hideMark/>
          </w:tcPr>
          <w:p w14:paraId="23F5CFC8" w14:textId="77777777" w:rsidR="00D8365A" w:rsidRPr="00362517" w:rsidRDefault="00D8365A" w:rsidP="00BF6BC7">
            <w:pPr>
              <w:jc w:val="right"/>
            </w:pPr>
            <w:r w:rsidRPr="00362517">
              <w:t>1</w:t>
            </w:r>
          </w:p>
        </w:tc>
        <w:tc>
          <w:tcPr>
            <w:tcW w:w="1065" w:type="pct"/>
            <w:tcBorders>
              <w:top w:val="nil"/>
              <w:left w:val="nil"/>
              <w:bottom w:val="single" w:sz="4" w:space="0" w:color="auto"/>
              <w:right w:val="single" w:sz="4" w:space="0" w:color="auto"/>
            </w:tcBorders>
            <w:shd w:val="clear" w:color="auto" w:fill="auto"/>
            <w:noWrap/>
            <w:vAlign w:val="bottom"/>
            <w:hideMark/>
          </w:tcPr>
          <w:p w14:paraId="2830F5D6" w14:textId="77777777" w:rsidR="00D8365A" w:rsidRPr="00362517" w:rsidRDefault="00D8365A" w:rsidP="00BF6BC7">
            <w:pPr>
              <w:jc w:val="right"/>
            </w:pPr>
            <w:r w:rsidRPr="00362517">
              <w:t>0</w:t>
            </w:r>
          </w:p>
        </w:tc>
      </w:tr>
      <w:tr w:rsidR="00D8365A" w:rsidRPr="00362517" w14:paraId="155BA4E6"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22A52D71" w14:textId="77777777" w:rsidR="00D8365A" w:rsidRPr="00362517" w:rsidRDefault="00D8365A" w:rsidP="00BF6BC7">
            <w:r w:rsidRPr="00362517">
              <w:t>Delaware</w:t>
            </w:r>
          </w:p>
        </w:tc>
        <w:tc>
          <w:tcPr>
            <w:tcW w:w="879" w:type="pct"/>
            <w:tcBorders>
              <w:top w:val="nil"/>
              <w:left w:val="nil"/>
              <w:bottom w:val="single" w:sz="4" w:space="0" w:color="auto"/>
              <w:right w:val="single" w:sz="4" w:space="0" w:color="auto"/>
            </w:tcBorders>
            <w:shd w:val="clear" w:color="auto" w:fill="auto"/>
            <w:noWrap/>
            <w:vAlign w:val="bottom"/>
            <w:hideMark/>
          </w:tcPr>
          <w:p w14:paraId="35CD14B4" w14:textId="77777777" w:rsidR="00D8365A" w:rsidRPr="00362517" w:rsidRDefault="00D8365A" w:rsidP="00BF6BC7">
            <w:pPr>
              <w:jc w:val="right"/>
            </w:pPr>
            <w:r w:rsidRPr="00362517">
              <w:t>1,104</w:t>
            </w:r>
          </w:p>
        </w:tc>
        <w:tc>
          <w:tcPr>
            <w:tcW w:w="894" w:type="pct"/>
            <w:tcBorders>
              <w:top w:val="nil"/>
              <w:left w:val="nil"/>
              <w:bottom w:val="single" w:sz="4" w:space="0" w:color="auto"/>
              <w:right w:val="single" w:sz="4" w:space="0" w:color="auto"/>
            </w:tcBorders>
            <w:shd w:val="clear" w:color="auto" w:fill="auto"/>
            <w:noWrap/>
            <w:vAlign w:val="bottom"/>
            <w:hideMark/>
          </w:tcPr>
          <w:p w14:paraId="17A01044" w14:textId="77777777" w:rsidR="00D8365A" w:rsidRPr="00362517" w:rsidRDefault="00D8365A" w:rsidP="00BF6BC7">
            <w:pPr>
              <w:jc w:val="right"/>
            </w:pPr>
            <w:r w:rsidRPr="00362517">
              <w:t>991</w:t>
            </w:r>
          </w:p>
        </w:tc>
        <w:tc>
          <w:tcPr>
            <w:tcW w:w="872" w:type="pct"/>
            <w:tcBorders>
              <w:top w:val="nil"/>
              <w:left w:val="nil"/>
              <w:bottom w:val="single" w:sz="4" w:space="0" w:color="auto"/>
              <w:right w:val="single" w:sz="4" w:space="0" w:color="auto"/>
            </w:tcBorders>
            <w:shd w:val="clear" w:color="auto" w:fill="auto"/>
            <w:noWrap/>
            <w:vAlign w:val="bottom"/>
            <w:hideMark/>
          </w:tcPr>
          <w:p w14:paraId="729CB021" w14:textId="77777777" w:rsidR="00D8365A" w:rsidRPr="00362517" w:rsidRDefault="00D8365A" w:rsidP="00BF6BC7">
            <w:pPr>
              <w:jc w:val="right"/>
            </w:pPr>
            <w:r w:rsidRPr="00362517">
              <w:t>52</w:t>
            </w:r>
          </w:p>
        </w:tc>
        <w:tc>
          <w:tcPr>
            <w:tcW w:w="1065" w:type="pct"/>
            <w:tcBorders>
              <w:top w:val="nil"/>
              <w:left w:val="nil"/>
              <w:bottom w:val="single" w:sz="4" w:space="0" w:color="auto"/>
              <w:right w:val="single" w:sz="4" w:space="0" w:color="auto"/>
            </w:tcBorders>
            <w:shd w:val="clear" w:color="auto" w:fill="auto"/>
            <w:noWrap/>
            <w:vAlign w:val="bottom"/>
            <w:hideMark/>
          </w:tcPr>
          <w:p w14:paraId="001DE15F" w14:textId="77777777" w:rsidR="00D8365A" w:rsidRPr="00362517" w:rsidRDefault="00D8365A" w:rsidP="00BF6BC7">
            <w:pPr>
              <w:jc w:val="right"/>
            </w:pPr>
            <w:r w:rsidRPr="00362517">
              <w:t>7</w:t>
            </w:r>
          </w:p>
        </w:tc>
      </w:tr>
      <w:tr w:rsidR="00D8365A" w:rsidRPr="00362517" w14:paraId="24D0D154"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77D1C58C" w14:textId="77777777" w:rsidR="00D8365A" w:rsidRPr="00362517" w:rsidRDefault="00D8365A" w:rsidP="00BF6BC7">
            <w:r w:rsidRPr="00362517">
              <w:t>Florida</w:t>
            </w:r>
          </w:p>
        </w:tc>
        <w:tc>
          <w:tcPr>
            <w:tcW w:w="879" w:type="pct"/>
            <w:tcBorders>
              <w:top w:val="nil"/>
              <w:left w:val="nil"/>
              <w:bottom w:val="single" w:sz="4" w:space="0" w:color="auto"/>
              <w:right w:val="single" w:sz="4" w:space="0" w:color="auto"/>
            </w:tcBorders>
            <w:shd w:val="clear" w:color="auto" w:fill="auto"/>
            <w:noWrap/>
            <w:vAlign w:val="bottom"/>
            <w:hideMark/>
          </w:tcPr>
          <w:p w14:paraId="45948AB2" w14:textId="77777777" w:rsidR="00D8365A" w:rsidRPr="00362517" w:rsidRDefault="00D8365A" w:rsidP="00BF6BC7">
            <w:pPr>
              <w:jc w:val="right"/>
            </w:pPr>
            <w:r w:rsidRPr="00362517">
              <w:t>6,811</w:t>
            </w:r>
          </w:p>
        </w:tc>
        <w:tc>
          <w:tcPr>
            <w:tcW w:w="894" w:type="pct"/>
            <w:tcBorders>
              <w:top w:val="nil"/>
              <w:left w:val="nil"/>
              <w:bottom w:val="single" w:sz="4" w:space="0" w:color="auto"/>
              <w:right w:val="single" w:sz="4" w:space="0" w:color="auto"/>
            </w:tcBorders>
            <w:shd w:val="clear" w:color="auto" w:fill="auto"/>
            <w:noWrap/>
            <w:vAlign w:val="bottom"/>
            <w:hideMark/>
          </w:tcPr>
          <w:p w14:paraId="6E999DDC" w14:textId="77777777" w:rsidR="00D8365A" w:rsidRPr="00362517" w:rsidRDefault="00D8365A" w:rsidP="00BF6BC7">
            <w:pPr>
              <w:jc w:val="right"/>
            </w:pPr>
            <w:r w:rsidRPr="00362517">
              <w:t>6,440</w:t>
            </w:r>
          </w:p>
        </w:tc>
        <w:tc>
          <w:tcPr>
            <w:tcW w:w="872" w:type="pct"/>
            <w:tcBorders>
              <w:top w:val="nil"/>
              <w:left w:val="nil"/>
              <w:bottom w:val="single" w:sz="4" w:space="0" w:color="auto"/>
              <w:right w:val="single" w:sz="4" w:space="0" w:color="auto"/>
            </w:tcBorders>
            <w:shd w:val="clear" w:color="auto" w:fill="auto"/>
            <w:noWrap/>
            <w:vAlign w:val="bottom"/>
            <w:hideMark/>
          </w:tcPr>
          <w:p w14:paraId="164A00E7" w14:textId="77777777" w:rsidR="00D8365A" w:rsidRPr="00362517" w:rsidRDefault="00D8365A" w:rsidP="00BF6BC7">
            <w:pPr>
              <w:jc w:val="right"/>
            </w:pPr>
            <w:r w:rsidRPr="00362517">
              <w:t>357</w:t>
            </w:r>
          </w:p>
        </w:tc>
        <w:tc>
          <w:tcPr>
            <w:tcW w:w="1065" w:type="pct"/>
            <w:tcBorders>
              <w:top w:val="nil"/>
              <w:left w:val="nil"/>
              <w:bottom w:val="single" w:sz="4" w:space="0" w:color="auto"/>
              <w:right w:val="single" w:sz="4" w:space="0" w:color="auto"/>
            </w:tcBorders>
            <w:shd w:val="clear" w:color="auto" w:fill="auto"/>
            <w:noWrap/>
            <w:vAlign w:val="bottom"/>
            <w:hideMark/>
          </w:tcPr>
          <w:p w14:paraId="30115AB0" w14:textId="77777777" w:rsidR="00D8365A" w:rsidRPr="00362517" w:rsidRDefault="00D8365A" w:rsidP="00BF6BC7">
            <w:pPr>
              <w:jc w:val="right"/>
            </w:pPr>
            <w:r w:rsidRPr="00362517">
              <w:t>42</w:t>
            </w:r>
          </w:p>
        </w:tc>
      </w:tr>
      <w:tr w:rsidR="00D8365A" w:rsidRPr="00362517" w14:paraId="5E91C827"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79FB509D" w14:textId="77777777" w:rsidR="00D8365A" w:rsidRPr="00362517" w:rsidRDefault="00D8365A" w:rsidP="00BF6BC7">
            <w:r w:rsidRPr="00362517">
              <w:t>Georgia</w:t>
            </w:r>
          </w:p>
        </w:tc>
        <w:tc>
          <w:tcPr>
            <w:tcW w:w="879" w:type="pct"/>
            <w:tcBorders>
              <w:top w:val="nil"/>
              <w:left w:val="nil"/>
              <w:bottom w:val="single" w:sz="4" w:space="0" w:color="auto"/>
              <w:right w:val="single" w:sz="4" w:space="0" w:color="auto"/>
            </w:tcBorders>
            <w:shd w:val="clear" w:color="auto" w:fill="auto"/>
            <w:noWrap/>
            <w:vAlign w:val="bottom"/>
            <w:hideMark/>
          </w:tcPr>
          <w:p w14:paraId="395093B7" w14:textId="77777777" w:rsidR="00D8365A" w:rsidRPr="00362517" w:rsidRDefault="00D8365A" w:rsidP="00BF6BC7">
            <w:pPr>
              <w:jc w:val="right"/>
            </w:pPr>
            <w:r w:rsidRPr="00362517">
              <w:t>22,776</w:t>
            </w:r>
          </w:p>
        </w:tc>
        <w:tc>
          <w:tcPr>
            <w:tcW w:w="894" w:type="pct"/>
            <w:tcBorders>
              <w:top w:val="nil"/>
              <w:left w:val="nil"/>
              <w:bottom w:val="single" w:sz="4" w:space="0" w:color="auto"/>
              <w:right w:val="single" w:sz="4" w:space="0" w:color="auto"/>
            </w:tcBorders>
            <w:shd w:val="clear" w:color="auto" w:fill="auto"/>
            <w:noWrap/>
            <w:vAlign w:val="bottom"/>
            <w:hideMark/>
          </w:tcPr>
          <w:p w14:paraId="633FB6E9" w14:textId="77777777" w:rsidR="00D8365A" w:rsidRPr="00362517" w:rsidRDefault="00D8365A" w:rsidP="00BF6BC7">
            <w:pPr>
              <w:jc w:val="right"/>
            </w:pPr>
            <w:r w:rsidRPr="00362517">
              <w:t>10,574</w:t>
            </w:r>
          </w:p>
        </w:tc>
        <w:tc>
          <w:tcPr>
            <w:tcW w:w="872" w:type="pct"/>
            <w:tcBorders>
              <w:top w:val="nil"/>
              <w:left w:val="nil"/>
              <w:bottom w:val="single" w:sz="4" w:space="0" w:color="auto"/>
              <w:right w:val="single" w:sz="4" w:space="0" w:color="auto"/>
            </w:tcBorders>
            <w:shd w:val="clear" w:color="auto" w:fill="auto"/>
            <w:noWrap/>
            <w:vAlign w:val="bottom"/>
            <w:hideMark/>
          </w:tcPr>
          <w:p w14:paraId="1E58E3E9" w14:textId="77777777" w:rsidR="00D8365A" w:rsidRPr="00362517" w:rsidRDefault="00D8365A" w:rsidP="00BF6BC7">
            <w:pPr>
              <w:jc w:val="right"/>
            </w:pPr>
            <w:r w:rsidRPr="00362517">
              <w:t>12,099</w:t>
            </w:r>
          </w:p>
        </w:tc>
        <w:tc>
          <w:tcPr>
            <w:tcW w:w="1065" w:type="pct"/>
            <w:tcBorders>
              <w:top w:val="nil"/>
              <w:left w:val="nil"/>
              <w:bottom w:val="single" w:sz="4" w:space="0" w:color="auto"/>
              <w:right w:val="single" w:sz="4" w:space="0" w:color="auto"/>
            </w:tcBorders>
            <w:shd w:val="clear" w:color="auto" w:fill="auto"/>
            <w:noWrap/>
            <w:vAlign w:val="bottom"/>
            <w:hideMark/>
          </w:tcPr>
          <w:p w14:paraId="532C1E43" w14:textId="77777777" w:rsidR="00D8365A" w:rsidRPr="00362517" w:rsidRDefault="00D8365A" w:rsidP="00BF6BC7">
            <w:pPr>
              <w:jc w:val="right"/>
            </w:pPr>
            <w:r w:rsidRPr="00362517">
              <w:t>1,389</w:t>
            </w:r>
          </w:p>
        </w:tc>
      </w:tr>
      <w:tr w:rsidR="00D8365A" w:rsidRPr="00362517" w14:paraId="130AE2A5"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19B87BE1" w14:textId="77777777" w:rsidR="00D8365A" w:rsidRPr="00362517" w:rsidRDefault="00D8365A" w:rsidP="00BF6BC7">
            <w:r w:rsidRPr="00362517">
              <w:t>Hawaii</w:t>
            </w:r>
          </w:p>
        </w:tc>
        <w:tc>
          <w:tcPr>
            <w:tcW w:w="879" w:type="pct"/>
            <w:tcBorders>
              <w:top w:val="nil"/>
              <w:left w:val="nil"/>
              <w:bottom w:val="single" w:sz="4" w:space="0" w:color="auto"/>
              <w:right w:val="single" w:sz="4" w:space="0" w:color="auto"/>
            </w:tcBorders>
            <w:shd w:val="clear" w:color="auto" w:fill="auto"/>
            <w:noWrap/>
            <w:vAlign w:val="bottom"/>
            <w:hideMark/>
          </w:tcPr>
          <w:p w14:paraId="557515F1" w14:textId="77777777" w:rsidR="00D8365A" w:rsidRPr="00362517" w:rsidRDefault="00D8365A" w:rsidP="00BF6BC7">
            <w:pPr>
              <w:jc w:val="right"/>
            </w:pPr>
            <w:r w:rsidRPr="00362517">
              <w:t>1,230</w:t>
            </w:r>
          </w:p>
        </w:tc>
        <w:tc>
          <w:tcPr>
            <w:tcW w:w="894" w:type="pct"/>
            <w:tcBorders>
              <w:top w:val="nil"/>
              <w:left w:val="nil"/>
              <w:bottom w:val="single" w:sz="4" w:space="0" w:color="auto"/>
              <w:right w:val="single" w:sz="4" w:space="0" w:color="auto"/>
            </w:tcBorders>
            <w:shd w:val="clear" w:color="auto" w:fill="auto"/>
            <w:noWrap/>
            <w:vAlign w:val="bottom"/>
            <w:hideMark/>
          </w:tcPr>
          <w:p w14:paraId="07D7A907" w14:textId="77777777" w:rsidR="00D8365A" w:rsidRPr="00362517" w:rsidRDefault="00D8365A" w:rsidP="00BF6BC7">
            <w:pPr>
              <w:jc w:val="right"/>
            </w:pPr>
            <w:r w:rsidRPr="00362517">
              <w:t>1,211</w:t>
            </w:r>
          </w:p>
        </w:tc>
        <w:tc>
          <w:tcPr>
            <w:tcW w:w="872" w:type="pct"/>
            <w:tcBorders>
              <w:top w:val="nil"/>
              <w:left w:val="nil"/>
              <w:bottom w:val="single" w:sz="4" w:space="0" w:color="auto"/>
              <w:right w:val="single" w:sz="4" w:space="0" w:color="auto"/>
            </w:tcBorders>
            <w:shd w:val="clear" w:color="auto" w:fill="auto"/>
            <w:noWrap/>
            <w:vAlign w:val="bottom"/>
            <w:hideMark/>
          </w:tcPr>
          <w:p w14:paraId="777C2949" w14:textId="77777777" w:rsidR="00D8365A" w:rsidRPr="00362517" w:rsidRDefault="00D8365A" w:rsidP="00BF6BC7">
            <w:pPr>
              <w:jc w:val="right"/>
            </w:pPr>
            <w:r w:rsidRPr="00362517">
              <w:t>18</w:t>
            </w:r>
          </w:p>
        </w:tc>
        <w:tc>
          <w:tcPr>
            <w:tcW w:w="1065" w:type="pct"/>
            <w:tcBorders>
              <w:top w:val="nil"/>
              <w:left w:val="nil"/>
              <w:bottom w:val="single" w:sz="4" w:space="0" w:color="auto"/>
              <w:right w:val="single" w:sz="4" w:space="0" w:color="auto"/>
            </w:tcBorders>
            <w:shd w:val="clear" w:color="auto" w:fill="auto"/>
            <w:noWrap/>
            <w:vAlign w:val="bottom"/>
            <w:hideMark/>
          </w:tcPr>
          <w:p w14:paraId="7148DB1D" w14:textId="77777777" w:rsidR="00D8365A" w:rsidRPr="00362517" w:rsidRDefault="00D8365A" w:rsidP="00BF6BC7">
            <w:pPr>
              <w:jc w:val="right"/>
            </w:pPr>
            <w:r w:rsidRPr="00362517">
              <w:t>2</w:t>
            </w:r>
          </w:p>
        </w:tc>
      </w:tr>
      <w:tr w:rsidR="00D8365A" w:rsidRPr="00362517" w14:paraId="7C41721A"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23A59834" w14:textId="77777777" w:rsidR="00D8365A" w:rsidRPr="00362517" w:rsidRDefault="00D8365A" w:rsidP="00BF6BC7">
            <w:r w:rsidRPr="00362517">
              <w:t>Idaho</w:t>
            </w:r>
          </w:p>
        </w:tc>
        <w:tc>
          <w:tcPr>
            <w:tcW w:w="879" w:type="pct"/>
            <w:tcBorders>
              <w:top w:val="nil"/>
              <w:left w:val="nil"/>
              <w:bottom w:val="single" w:sz="4" w:space="0" w:color="auto"/>
              <w:right w:val="single" w:sz="4" w:space="0" w:color="auto"/>
            </w:tcBorders>
            <w:shd w:val="clear" w:color="auto" w:fill="auto"/>
            <w:noWrap/>
            <w:vAlign w:val="bottom"/>
            <w:hideMark/>
          </w:tcPr>
          <w:p w14:paraId="22CCC893" w14:textId="77777777" w:rsidR="00D8365A" w:rsidRPr="00362517" w:rsidRDefault="00D8365A" w:rsidP="00BF6BC7">
            <w:pPr>
              <w:jc w:val="right"/>
            </w:pPr>
            <w:r w:rsidRPr="00362517">
              <w:t>6,687</w:t>
            </w:r>
          </w:p>
        </w:tc>
        <w:tc>
          <w:tcPr>
            <w:tcW w:w="894" w:type="pct"/>
            <w:tcBorders>
              <w:top w:val="nil"/>
              <w:left w:val="nil"/>
              <w:bottom w:val="single" w:sz="4" w:space="0" w:color="auto"/>
              <w:right w:val="single" w:sz="4" w:space="0" w:color="auto"/>
            </w:tcBorders>
            <w:shd w:val="clear" w:color="auto" w:fill="auto"/>
            <w:noWrap/>
            <w:vAlign w:val="bottom"/>
            <w:hideMark/>
          </w:tcPr>
          <w:p w14:paraId="25378665" w14:textId="77777777" w:rsidR="00D8365A" w:rsidRPr="00362517" w:rsidRDefault="00D8365A" w:rsidP="00BF6BC7">
            <w:pPr>
              <w:jc w:val="right"/>
            </w:pPr>
            <w:r w:rsidRPr="00362517">
              <w:t>6,645</w:t>
            </w:r>
          </w:p>
        </w:tc>
        <w:tc>
          <w:tcPr>
            <w:tcW w:w="872" w:type="pct"/>
            <w:tcBorders>
              <w:top w:val="nil"/>
              <w:left w:val="nil"/>
              <w:bottom w:val="single" w:sz="4" w:space="0" w:color="auto"/>
              <w:right w:val="single" w:sz="4" w:space="0" w:color="auto"/>
            </w:tcBorders>
            <w:shd w:val="clear" w:color="auto" w:fill="auto"/>
            <w:noWrap/>
            <w:vAlign w:val="bottom"/>
            <w:hideMark/>
          </w:tcPr>
          <w:p w14:paraId="5E2BA61C" w14:textId="77777777" w:rsidR="00D8365A" w:rsidRPr="00362517" w:rsidRDefault="00D8365A" w:rsidP="00BF6BC7">
            <w:pPr>
              <w:jc w:val="right"/>
            </w:pPr>
            <w:r w:rsidRPr="00362517">
              <w:t>21</w:t>
            </w:r>
          </w:p>
        </w:tc>
        <w:tc>
          <w:tcPr>
            <w:tcW w:w="1065" w:type="pct"/>
            <w:tcBorders>
              <w:top w:val="nil"/>
              <w:left w:val="nil"/>
              <w:bottom w:val="single" w:sz="4" w:space="0" w:color="auto"/>
              <w:right w:val="single" w:sz="4" w:space="0" w:color="auto"/>
            </w:tcBorders>
            <w:shd w:val="clear" w:color="auto" w:fill="auto"/>
            <w:noWrap/>
            <w:vAlign w:val="bottom"/>
            <w:hideMark/>
          </w:tcPr>
          <w:p w14:paraId="4B905CB5" w14:textId="77777777" w:rsidR="00D8365A" w:rsidRPr="00362517" w:rsidRDefault="00D8365A" w:rsidP="00BF6BC7">
            <w:pPr>
              <w:jc w:val="right"/>
            </w:pPr>
            <w:r w:rsidRPr="00362517">
              <w:t>5</w:t>
            </w:r>
          </w:p>
        </w:tc>
      </w:tr>
      <w:tr w:rsidR="00D8365A" w:rsidRPr="00362517" w14:paraId="2D2FF575"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75C3544A" w14:textId="77777777" w:rsidR="00D8365A" w:rsidRPr="00362517" w:rsidRDefault="00D8365A" w:rsidP="00BF6BC7">
            <w:r w:rsidRPr="00362517">
              <w:t>Illinois</w:t>
            </w:r>
          </w:p>
        </w:tc>
        <w:tc>
          <w:tcPr>
            <w:tcW w:w="879" w:type="pct"/>
            <w:tcBorders>
              <w:top w:val="nil"/>
              <w:left w:val="nil"/>
              <w:bottom w:val="single" w:sz="4" w:space="0" w:color="auto"/>
              <w:right w:val="single" w:sz="4" w:space="0" w:color="auto"/>
            </w:tcBorders>
            <w:shd w:val="clear" w:color="auto" w:fill="auto"/>
            <w:noWrap/>
            <w:vAlign w:val="bottom"/>
            <w:hideMark/>
          </w:tcPr>
          <w:p w14:paraId="61859D08" w14:textId="77777777" w:rsidR="00D8365A" w:rsidRPr="00362517" w:rsidRDefault="00D8365A" w:rsidP="00BF6BC7">
            <w:pPr>
              <w:jc w:val="right"/>
            </w:pPr>
            <w:r w:rsidRPr="00362517">
              <w:t>33,301</w:t>
            </w:r>
          </w:p>
        </w:tc>
        <w:tc>
          <w:tcPr>
            <w:tcW w:w="894" w:type="pct"/>
            <w:tcBorders>
              <w:top w:val="nil"/>
              <w:left w:val="nil"/>
              <w:bottom w:val="single" w:sz="4" w:space="0" w:color="auto"/>
              <w:right w:val="single" w:sz="4" w:space="0" w:color="auto"/>
            </w:tcBorders>
            <w:shd w:val="clear" w:color="auto" w:fill="auto"/>
            <w:noWrap/>
            <w:vAlign w:val="bottom"/>
            <w:hideMark/>
          </w:tcPr>
          <w:p w14:paraId="5DE62960" w14:textId="77777777" w:rsidR="00D8365A" w:rsidRPr="00362517" w:rsidRDefault="00D8365A" w:rsidP="00BF6BC7">
            <w:pPr>
              <w:jc w:val="right"/>
            </w:pPr>
            <w:r w:rsidRPr="00362517">
              <w:t>33,082</w:t>
            </w:r>
          </w:p>
        </w:tc>
        <w:tc>
          <w:tcPr>
            <w:tcW w:w="872" w:type="pct"/>
            <w:tcBorders>
              <w:top w:val="nil"/>
              <w:left w:val="nil"/>
              <w:bottom w:val="single" w:sz="4" w:space="0" w:color="auto"/>
              <w:right w:val="single" w:sz="4" w:space="0" w:color="auto"/>
            </w:tcBorders>
            <w:shd w:val="clear" w:color="auto" w:fill="auto"/>
            <w:noWrap/>
            <w:vAlign w:val="bottom"/>
            <w:hideMark/>
          </w:tcPr>
          <w:p w14:paraId="61CE302C" w14:textId="77777777" w:rsidR="00D8365A" w:rsidRPr="00362517" w:rsidRDefault="00D8365A" w:rsidP="00BF6BC7">
            <w:pPr>
              <w:jc w:val="right"/>
            </w:pPr>
            <w:r w:rsidRPr="00362517">
              <w:t>89</w:t>
            </w:r>
          </w:p>
        </w:tc>
        <w:tc>
          <w:tcPr>
            <w:tcW w:w="1065" w:type="pct"/>
            <w:tcBorders>
              <w:top w:val="nil"/>
              <w:left w:val="nil"/>
              <w:bottom w:val="single" w:sz="4" w:space="0" w:color="auto"/>
              <w:right w:val="single" w:sz="4" w:space="0" w:color="auto"/>
            </w:tcBorders>
            <w:shd w:val="clear" w:color="auto" w:fill="auto"/>
            <w:noWrap/>
            <w:vAlign w:val="bottom"/>
            <w:hideMark/>
          </w:tcPr>
          <w:p w14:paraId="3E1B0231" w14:textId="77777777" w:rsidR="00D8365A" w:rsidRPr="00362517" w:rsidRDefault="00D8365A" w:rsidP="00BF6BC7">
            <w:pPr>
              <w:jc w:val="right"/>
            </w:pPr>
            <w:r w:rsidRPr="00362517">
              <w:t>25</w:t>
            </w:r>
          </w:p>
        </w:tc>
      </w:tr>
      <w:tr w:rsidR="00D8365A" w:rsidRPr="00362517" w14:paraId="1CC89F7F"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23E8534F" w14:textId="77777777" w:rsidR="00D8365A" w:rsidRPr="00362517" w:rsidRDefault="00D8365A" w:rsidP="00BF6BC7">
            <w:r w:rsidRPr="00362517">
              <w:t>Indiana</w:t>
            </w:r>
          </w:p>
        </w:tc>
        <w:tc>
          <w:tcPr>
            <w:tcW w:w="879" w:type="pct"/>
            <w:tcBorders>
              <w:top w:val="nil"/>
              <w:left w:val="nil"/>
              <w:bottom w:val="single" w:sz="4" w:space="0" w:color="auto"/>
              <w:right w:val="single" w:sz="4" w:space="0" w:color="auto"/>
            </w:tcBorders>
            <w:shd w:val="clear" w:color="auto" w:fill="auto"/>
            <w:noWrap/>
            <w:vAlign w:val="bottom"/>
            <w:hideMark/>
          </w:tcPr>
          <w:p w14:paraId="22D0D452" w14:textId="77777777" w:rsidR="00D8365A" w:rsidRPr="00362517" w:rsidRDefault="00D8365A" w:rsidP="00BF6BC7">
            <w:pPr>
              <w:jc w:val="right"/>
            </w:pPr>
            <w:r w:rsidRPr="00362517">
              <w:t>15,332</w:t>
            </w:r>
          </w:p>
        </w:tc>
        <w:tc>
          <w:tcPr>
            <w:tcW w:w="894" w:type="pct"/>
            <w:tcBorders>
              <w:top w:val="nil"/>
              <w:left w:val="nil"/>
              <w:bottom w:val="single" w:sz="4" w:space="0" w:color="auto"/>
              <w:right w:val="single" w:sz="4" w:space="0" w:color="auto"/>
            </w:tcBorders>
            <w:shd w:val="clear" w:color="auto" w:fill="auto"/>
            <w:noWrap/>
            <w:vAlign w:val="bottom"/>
            <w:hideMark/>
          </w:tcPr>
          <w:p w14:paraId="406E005E" w14:textId="77777777" w:rsidR="00D8365A" w:rsidRPr="00362517" w:rsidRDefault="00D8365A" w:rsidP="00BF6BC7">
            <w:pPr>
              <w:jc w:val="right"/>
            </w:pPr>
            <w:r w:rsidRPr="00362517">
              <w:t>15,175</w:t>
            </w:r>
          </w:p>
        </w:tc>
        <w:tc>
          <w:tcPr>
            <w:tcW w:w="872" w:type="pct"/>
            <w:tcBorders>
              <w:top w:val="nil"/>
              <w:left w:val="nil"/>
              <w:bottom w:val="single" w:sz="4" w:space="0" w:color="auto"/>
              <w:right w:val="single" w:sz="4" w:space="0" w:color="auto"/>
            </w:tcBorders>
            <w:shd w:val="clear" w:color="auto" w:fill="auto"/>
            <w:noWrap/>
            <w:vAlign w:val="bottom"/>
            <w:hideMark/>
          </w:tcPr>
          <w:p w14:paraId="5710E0ED" w14:textId="77777777" w:rsidR="00D8365A" w:rsidRPr="00362517" w:rsidRDefault="00D8365A" w:rsidP="00BF6BC7">
            <w:pPr>
              <w:jc w:val="right"/>
            </w:pPr>
            <w:r w:rsidRPr="00362517">
              <w:t>76</w:t>
            </w:r>
          </w:p>
        </w:tc>
        <w:tc>
          <w:tcPr>
            <w:tcW w:w="1065" w:type="pct"/>
            <w:tcBorders>
              <w:top w:val="nil"/>
              <w:left w:val="nil"/>
              <w:bottom w:val="single" w:sz="4" w:space="0" w:color="auto"/>
              <w:right w:val="single" w:sz="4" w:space="0" w:color="auto"/>
            </w:tcBorders>
            <w:shd w:val="clear" w:color="auto" w:fill="auto"/>
            <w:noWrap/>
            <w:vAlign w:val="bottom"/>
            <w:hideMark/>
          </w:tcPr>
          <w:p w14:paraId="3D91C894" w14:textId="77777777" w:rsidR="00D8365A" w:rsidRPr="00362517" w:rsidRDefault="00D8365A" w:rsidP="00BF6BC7">
            <w:pPr>
              <w:jc w:val="right"/>
            </w:pPr>
            <w:r w:rsidRPr="00362517">
              <w:t>18</w:t>
            </w:r>
          </w:p>
        </w:tc>
      </w:tr>
      <w:tr w:rsidR="00D8365A" w:rsidRPr="00362517" w14:paraId="6B33BD2C"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579B9AC9" w14:textId="77777777" w:rsidR="00D8365A" w:rsidRPr="00362517" w:rsidRDefault="00D8365A" w:rsidP="00BF6BC7">
            <w:r w:rsidRPr="00362517">
              <w:t>Iowa</w:t>
            </w:r>
          </w:p>
        </w:tc>
        <w:tc>
          <w:tcPr>
            <w:tcW w:w="879" w:type="pct"/>
            <w:tcBorders>
              <w:top w:val="nil"/>
              <w:left w:val="nil"/>
              <w:bottom w:val="single" w:sz="4" w:space="0" w:color="auto"/>
              <w:right w:val="single" w:sz="4" w:space="0" w:color="auto"/>
            </w:tcBorders>
            <w:shd w:val="clear" w:color="auto" w:fill="auto"/>
            <w:noWrap/>
            <w:vAlign w:val="bottom"/>
            <w:hideMark/>
          </w:tcPr>
          <w:p w14:paraId="078DEE16" w14:textId="77777777" w:rsidR="00D8365A" w:rsidRPr="00362517" w:rsidRDefault="00D8365A" w:rsidP="00BF6BC7">
            <w:pPr>
              <w:jc w:val="right"/>
            </w:pPr>
            <w:r w:rsidRPr="00362517">
              <w:t>32,093</w:t>
            </w:r>
          </w:p>
        </w:tc>
        <w:tc>
          <w:tcPr>
            <w:tcW w:w="894" w:type="pct"/>
            <w:tcBorders>
              <w:top w:val="nil"/>
              <w:left w:val="nil"/>
              <w:bottom w:val="single" w:sz="4" w:space="0" w:color="auto"/>
              <w:right w:val="single" w:sz="4" w:space="0" w:color="auto"/>
            </w:tcBorders>
            <w:shd w:val="clear" w:color="auto" w:fill="auto"/>
            <w:noWrap/>
            <w:vAlign w:val="bottom"/>
            <w:hideMark/>
          </w:tcPr>
          <w:p w14:paraId="6AF36608" w14:textId="77777777" w:rsidR="00D8365A" w:rsidRPr="00362517" w:rsidRDefault="00D8365A" w:rsidP="00BF6BC7">
            <w:pPr>
              <w:jc w:val="right"/>
            </w:pPr>
            <w:r w:rsidRPr="00362517">
              <w:t>31,954</w:t>
            </w:r>
          </w:p>
        </w:tc>
        <w:tc>
          <w:tcPr>
            <w:tcW w:w="872" w:type="pct"/>
            <w:tcBorders>
              <w:top w:val="nil"/>
              <w:left w:val="nil"/>
              <w:bottom w:val="single" w:sz="4" w:space="0" w:color="auto"/>
              <w:right w:val="single" w:sz="4" w:space="0" w:color="auto"/>
            </w:tcBorders>
            <w:shd w:val="clear" w:color="auto" w:fill="auto"/>
            <w:noWrap/>
            <w:vAlign w:val="bottom"/>
            <w:hideMark/>
          </w:tcPr>
          <w:p w14:paraId="169E28E9" w14:textId="77777777" w:rsidR="00D8365A" w:rsidRPr="00362517" w:rsidRDefault="00D8365A" w:rsidP="00BF6BC7">
            <w:pPr>
              <w:jc w:val="right"/>
            </w:pPr>
            <w:r w:rsidRPr="00362517">
              <w:t>139</w:t>
            </w:r>
          </w:p>
        </w:tc>
        <w:tc>
          <w:tcPr>
            <w:tcW w:w="1065" w:type="pct"/>
            <w:tcBorders>
              <w:top w:val="nil"/>
              <w:left w:val="nil"/>
              <w:bottom w:val="single" w:sz="4" w:space="0" w:color="auto"/>
              <w:right w:val="single" w:sz="4" w:space="0" w:color="auto"/>
            </w:tcBorders>
            <w:shd w:val="clear" w:color="auto" w:fill="auto"/>
            <w:noWrap/>
            <w:vAlign w:val="bottom"/>
            <w:hideMark/>
          </w:tcPr>
          <w:p w14:paraId="4C942A9E" w14:textId="77777777" w:rsidR="00D8365A" w:rsidRPr="00362517" w:rsidRDefault="00D8365A" w:rsidP="00BF6BC7">
            <w:pPr>
              <w:jc w:val="right"/>
            </w:pPr>
            <w:r w:rsidRPr="00362517">
              <w:t>16</w:t>
            </w:r>
          </w:p>
        </w:tc>
      </w:tr>
      <w:tr w:rsidR="00D8365A" w:rsidRPr="00362517" w14:paraId="7EA83DB3"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3AED2FA7" w14:textId="77777777" w:rsidR="00D8365A" w:rsidRPr="00362517" w:rsidRDefault="00D8365A" w:rsidP="00BF6BC7">
            <w:r w:rsidRPr="00362517">
              <w:t>Kansas</w:t>
            </w:r>
          </w:p>
        </w:tc>
        <w:tc>
          <w:tcPr>
            <w:tcW w:w="879" w:type="pct"/>
            <w:tcBorders>
              <w:top w:val="nil"/>
              <w:left w:val="nil"/>
              <w:bottom w:val="single" w:sz="4" w:space="0" w:color="auto"/>
              <w:right w:val="single" w:sz="4" w:space="0" w:color="auto"/>
            </w:tcBorders>
            <w:shd w:val="clear" w:color="auto" w:fill="auto"/>
            <w:noWrap/>
            <w:vAlign w:val="bottom"/>
            <w:hideMark/>
          </w:tcPr>
          <w:p w14:paraId="3849FE73" w14:textId="77777777" w:rsidR="00D8365A" w:rsidRPr="00362517" w:rsidRDefault="00D8365A" w:rsidP="00BF6BC7">
            <w:pPr>
              <w:jc w:val="right"/>
            </w:pPr>
            <w:r w:rsidRPr="00362517">
              <w:t>21,640</w:t>
            </w:r>
          </w:p>
        </w:tc>
        <w:tc>
          <w:tcPr>
            <w:tcW w:w="894" w:type="pct"/>
            <w:tcBorders>
              <w:top w:val="nil"/>
              <w:left w:val="nil"/>
              <w:bottom w:val="single" w:sz="4" w:space="0" w:color="auto"/>
              <w:right w:val="single" w:sz="4" w:space="0" w:color="auto"/>
            </w:tcBorders>
            <w:shd w:val="clear" w:color="auto" w:fill="auto"/>
            <w:noWrap/>
            <w:vAlign w:val="bottom"/>
            <w:hideMark/>
          </w:tcPr>
          <w:p w14:paraId="09B34105" w14:textId="77777777" w:rsidR="00D8365A" w:rsidRPr="00362517" w:rsidRDefault="00D8365A" w:rsidP="00BF6BC7">
            <w:pPr>
              <w:jc w:val="right"/>
            </w:pPr>
            <w:r w:rsidRPr="00362517">
              <w:t>21,423</w:t>
            </w:r>
          </w:p>
        </w:tc>
        <w:tc>
          <w:tcPr>
            <w:tcW w:w="872" w:type="pct"/>
            <w:tcBorders>
              <w:top w:val="nil"/>
              <w:left w:val="nil"/>
              <w:bottom w:val="single" w:sz="4" w:space="0" w:color="auto"/>
              <w:right w:val="single" w:sz="4" w:space="0" w:color="auto"/>
            </w:tcBorders>
            <w:shd w:val="clear" w:color="auto" w:fill="auto"/>
            <w:noWrap/>
            <w:vAlign w:val="bottom"/>
            <w:hideMark/>
          </w:tcPr>
          <w:p w14:paraId="3CD21BFB" w14:textId="77777777" w:rsidR="00D8365A" w:rsidRPr="00362517" w:rsidRDefault="00D8365A" w:rsidP="00BF6BC7">
            <w:pPr>
              <w:jc w:val="right"/>
            </w:pPr>
            <w:r w:rsidRPr="00362517">
              <w:t>129</w:t>
            </w:r>
          </w:p>
        </w:tc>
        <w:tc>
          <w:tcPr>
            <w:tcW w:w="1065" w:type="pct"/>
            <w:tcBorders>
              <w:top w:val="nil"/>
              <w:left w:val="nil"/>
              <w:bottom w:val="single" w:sz="4" w:space="0" w:color="auto"/>
              <w:right w:val="single" w:sz="4" w:space="0" w:color="auto"/>
            </w:tcBorders>
            <w:shd w:val="clear" w:color="auto" w:fill="auto"/>
            <w:noWrap/>
            <w:vAlign w:val="bottom"/>
            <w:hideMark/>
          </w:tcPr>
          <w:p w14:paraId="63884ABE" w14:textId="77777777" w:rsidR="00D8365A" w:rsidRPr="00362517" w:rsidRDefault="00D8365A" w:rsidP="00BF6BC7">
            <w:pPr>
              <w:jc w:val="right"/>
            </w:pPr>
            <w:r w:rsidRPr="00362517">
              <w:t>25</w:t>
            </w:r>
          </w:p>
        </w:tc>
      </w:tr>
      <w:tr w:rsidR="00D8365A" w:rsidRPr="00362517" w14:paraId="0395540F"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175404B3" w14:textId="77777777" w:rsidR="00D8365A" w:rsidRPr="00362517" w:rsidRDefault="00D8365A" w:rsidP="00BF6BC7">
            <w:r w:rsidRPr="00362517">
              <w:t>Kentucky</w:t>
            </w:r>
          </w:p>
        </w:tc>
        <w:tc>
          <w:tcPr>
            <w:tcW w:w="879" w:type="pct"/>
            <w:tcBorders>
              <w:top w:val="nil"/>
              <w:left w:val="nil"/>
              <w:bottom w:val="single" w:sz="4" w:space="0" w:color="auto"/>
              <w:right w:val="single" w:sz="4" w:space="0" w:color="auto"/>
            </w:tcBorders>
            <w:shd w:val="clear" w:color="auto" w:fill="auto"/>
            <w:noWrap/>
            <w:vAlign w:val="bottom"/>
            <w:hideMark/>
          </w:tcPr>
          <w:p w14:paraId="0D45067F" w14:textId="77777777" w:rsidR="00D8365A" w:rsidRPr="00362517" w:rsidRDefault="00D8365A" w:rsidP="00BF6BC7">
            <w:pPr>
              <w:jc w:val="right"/>
            </w:pPr>
            <w:r w:rsidRPr="00362517">
              <w:t>23,045</w:t>
            </w:r>
          </w:p>
        </w:tc>
        <w:tc>
          <w:tcPr>
            <w:tcW w:w="894" w:type="pct"/>
            <w:tcBorders>
              <w:top w:val="nil"/>
              <w:left w:val="nil"/>
              <w:bottom w:val="single" w:sz="4" w:space="0" w:color="auto"/>
              <w:right w:val="single" w:sz="4" w:space="0" w:color="auto"/>
            </w:tcBorders>
            <w:shd w:val="clear" w:color="auto" w:fill="auto"/>
            <w:noWrap/>
            <w:vAlign w:val="bottom"/>
            <w:hideMark/>
          </w:tcPr>
          <w:p w14:paraId="2C16E3D8" w14:textId="77777777" w:rsidR="00D8365A" w:rsidRPr="00362517" w:rsidRDefault="00D8365A" w:rsidP="00BF6BC7">
            <w:pPr>
              <w:jc w:val="right"/>
            </w:pPr>
            <w:r w:rsidRPr="00362517">
              <w:t>11,273</w:t>
            </w:r>
          </w:p>
        </w:tc>
        <w:tc>
          <w:tcPr>
            <w:tcW w:w="872" w:type="pct"/>
            <w:tcBorders>
              <w:top w:val="nil"/>
              <w:left w:val="nil"/>
              <w:bottom w:val="single" w:sz="4" w:space="0" w:color="auto"/>
              <w:right w:val="single" w:sz="4" w:space="0" w:color="auto"/>
            </w:tcBorders>
            <w:shd w:val="clear" w:color="auto" w:fill="auto"/>
            <w:noWrap/>
            <w:vAlign w:val="bottom"/>
            <w:hideMark/>
          </w:tcPr>
          <w:p w14:paraId="052FA7AB" w14:textId="77777777" w:rsidR="00D8365A" w:rsidRPr="00362517" w:rsidRDefault="00D8365A" w:rsidP="00BF6BC7">
            <w:pPr>
              <w:jc w:val="right"/>
            </w:pPr>
            <w:r w:rsidRPr="00362517">
              <w:t>11,743</w:t>
            </w:r>
          </w:p>
        </w:tc>
        <w:tc>
          <w:tcPr>
            <w:tcW w:w="1065" w:type="pct"/>
            <w:tcBorders>
              <w:top w:val="nil"/>
              <w:left w:val="nil"/>
              <w:bottom w:val="single" w:sz="4" w:space="0" w:color="auto"/>
              <w:right w:val="single" w:sz="4" w:space="0" w:color="auto"/>
            </w:tcBorders>
            <w:shd w:val="clear" w:color="auto" w:fill="auto"/>
            <w:noWrap/>
            <w:vAlign w:val="bottom"/>
            <w:hideMark/>
          </w:tcPr>
          <w:p w14:paraId="10400891" w14:textId="77777777" w:rsidR="00D8365A" w:rsidRPr="00362517" w:rsidRDefault="00D8365A" w:rsidP="00BF6BC7">
            <w:pPr>
              <w:jc w:val="right"/>
            </w:pPr>
            <w:r w:rsidRPr="00362517">
              <w:t>1,340</w:t>
            </w:r>
          </w:p>
        </w:tc>
      </w:tr>
      <w:tr w:rsidR="00D8365A" w:rsidRPr="00362517" w14:paraId="3B661DBB"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12C66B77" w14:textId="77777777" w:rsidR="00D8365A" w:rsidRPr="00362517" w:rsidRDefault="00D8365A" w:rsidP="00BF6BC7">
            <w:r w:rsidRPr="00362517">
              <w:t>Louisiana</w:t>
            </w:r>
          </w:p>
        </w:tc>
        <w:tc>
          <w:tcPr>
            <w:tcW w:w="879" w:type="pct"/>
            <w:tcBorders>
              <w:top w:val="nil"/>
              <w:left w:val="nil"/>
              <w:bottom w:val="single" w:sz="4" w:space="0" w:color="auto"/>
              <w:right w:val="single" w:sz="4" w:space="0" w:color="auto"/>
            </w:tcBorders>
            <w:shd w:val="clear" w:color="auto" w:fill="auto"/>
            <w:noWrap/>
            <w:vAlign w:val="bottom"/>
            <w:hideMark/>
          </w:tcPr>
          <w:p w14:paraId="6115678E" w14:textId="77777777" w:rsidR="00D8365A" w:rsidRPr="00362517" w:rsidRDefault="00D8365A" w:rsidP="00BF6BC7">
            <w:pPr>
              <w:jc w:val="right"/>
            </w:pPr>
            <w:r w:rsidRPr="00362517">
              <w:t>8,048</w:t>
            </w:r>
          </w:p>
        </w:tc>
        <w:tc>
          <w:tcPr>
            <w:tcW w:w="894" w:type="pct"/>
            <w:tcBorders>
              <w:top w:val="nil"/>
              <w:left w:val="nil"/>
              <w:bottom w:val="single" w:sz="4" w:space="0" w:color="auto"/>
              <w:right w:val="single" w:sz="4" w:space="0" w:color="auto"/>
            </w:tcBorders>
            <w:shd w:val="clear" w:color="auto" w:fill="auto"/>
            <w:noWrap/>
            <w:vAlign w:val="bottom"/>
            <w:hideMark/>
          </w:tcPr>
          <w:p w14:paraId="0D329CB0" w14:textId="77777777" w:rsidR="00D8365A" w:rsidRPr="00362517" w:rsidRDefault="00D8365A" w:rsidP="00BF6BC7">
            <w:pPr>
              <w:jc w:val="right"/>
            </w:pPr>
            <w:r w:rsidRPr="00362517">
              <w:t>6,474</w:t>
            </w:r>
          </w:p>
        </w:tc>
        <w:tc>
          <w:tcPr>
            <w:tcW w:w="872" w:type="pct"/>
            <w:tcBorders>
              <w:top w:val="nil"/>
              <w:left w:val="nil"/>
              <w:bottom w:val="single" w:sz="4" w:space="0" w:color="auto"/>
              <w:right w:val="single" w:sz="4" w:space="0" w:color="auto"/>
            </w:tcBorders>
            <w:shd w:val="clear" w:color="auto" w:fill="auto"/>
            <w:noWrap/>
            <w:vAlign w:val="bottom"/>
            <w:hideMark/>
          </w:tcPr>
          <w:p w14:paraId="69B1C734" w14:textId="77777777" w:rsidR="00D8365A" w:rsidRPr="00362517" w:rsidRDefault="00D8365A" w:rsidP="00BF6BC7">
            <w:pPr>
              <w:jc w:val="right"/>
            </w:pPr>
            <w:r w:rsidRPr="00362517">
              <w:t>1,541</w:t>
            </w:r>
          </w:p>
        </w:tc>
        <w:tc>
          <w:tcPr>
            <w:tcW w:w="1065" w:type="pct"/>
            <w:tcBorders>
              <w:top w:val="nil"/>
              <w:left w:val="nil"/>
              <w:bottom w:val="single" w:sz="4" w:space="0" w:color="auto"/>
              <w:right w:val="single" w:sz="4" w:space="0" w:color="auto"/>
            </w:tcBorders>
            <w:shd w:val="clear" w:color="auto" w:fill="auto"/>
            <w:noWrap/>
            <w:vAlign w:val="bottom"/>
            <w:hideMark/>
          </w:tcPr>
          <w:p w14:paraId="643409BA" w14:textId="77777777" w:rsidR="00D8365A" w:rsidRPr="00362517" w:rsidRDefault="00D8365A" w:rsidP="00BF6BC7">
            <w:pPr>
              <w:jc w:val="right"/>
            </w:pPr>
            <w:r w:rsidRPr="00362517">
              <w:t>179</w:t>
            </w:r>
          </w:p>
        </w:tc>
      </w:tr>
      <w:tr w:rsidR="00D8365A" w:rsidRPr="00362517" w14:paraId="27ECF110"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578F5DC2" w14:textId="77777777" w:rsidR="00D8365A" w:rsidRPr="00362517" w:rsidRDefault="00D8365A" w:rsidP="00BF6BC7">
            <w:r w:rsidRPr="00362517">
              <w:t>Maine</w:t>
            </w:r>
          </w:p>
        </w:tc>
        <w:tc>
          <w:tcPr>
            <w:tcW w:w="879" w:type="pct"/>
            <w:tcBorders>
              <w:top w:val="nil"/>
              <w:left w:val="nil"/>
              <w:bottom w:val="single" w:sz="4" w:space="0" w:color="auto"/>
              <w:right w:val="single" w:sz="4" w:space="0" w:color="auto"/>
            </w:tcBorders>
            <w:shd w:val="clear" w:color="auto" w:fill="auto"/>
            <w:noWrap/>
            <w:vAlign w:val="bottom"/>
            <w:hideMark/>
          </w:tcPr>
          <w:p w14:paraId="320CB89D" w14:textId="77777777" w:rsidR="00D8365A" w:rsidRPr="00362517" w:rsidRDefault="00D8365A" w:rsidP="00BF6BC7">
            <w:pPr>
              <w:jc w:val="right"/>
            </w:pPr>
            <w:r w:rsidRPr="00362517">
              <w:t>2,025</w:t>
            </w:r>
          </w:p>
        </w:tc>
        <w:tc>
          <w:tcPr>
            <w:tcW w:w="894" w:type="pct"/>
            <w:tcBorders>
              <w:top w:val="nil"/>
              <w:left w:val="nil"/>
              <w:bottom w:val="single" w:sz="4" w:space="0" w:color="auto"/>
              <w:right w:val="single" w:sz="4" w:space="0" w:color="auto"/>
            </w:tcBorders>
            <w:shd w:val="clear" w:color="auto" w:fill="auto"/>
            <w:noWrap/>
            <w:vAlign w:val="bottom"/>
            <w:hideMark/>
          </w:tcPr>
          <w:p w14:paraId="2D133069" w14:textId="77777777" w:rsidR="00D8365A" w:rsidRPr="00362517" w:rsidRDefault="00D8365A" w:rsidP="00BF6BC7">
            <w:pPr>
              <w:jc w:val="right"/>
            </w:pPr>
            <w:r w:rsidRPr="00362517">
              <w:t>1,989</w:t>
            </w:r>
          </w:p>
        </w:tc>
        <w:tc>
          <w:tcPr>
            <w:tcW w:w="872" w:type="pct"/>
            <w:tcBorders>
              <w:top w:val="nil"/>
              <w:left w:val="nil"/>
              <w:bottom w:val="single" w:sz="4" w:space="0" w:color="auto"/>
              <w:right w:val="single" w:sz="4" w:space="0" w:color="auto"/>
            </w:tcBorders>
            <w:shd w:val="clear" w:color="auto" w:fill="auto"/>
            <w:noWrap/>
            <w:vAlign w:val="bottom"/>
            <w:hideMark/>
          </w:tcPr>
          <w:p w14:paraId="5434E9A9" w14:textId="77777777" w:rsidR="00D8365A" w:rsidRPr="00362517" w:rsidRDefault="00D8365A" w:rsidP="00BF6BC7">
            <w:pPr>
              <w:jc w:val="right"/>
            </w:pPr>
            <w:r w:rsidRPr="00362517">
              <w:t>33</w:t>
            </w:r>
          </w:p>
        </w:tc>
        <w:tc>
          <w:tcPr>
            <w:tcW w:w="1065" w:type="pct"/>
            <w:tcBorders>
              <w:top w:val="nil"/>
              <w:left w:val="nil"/>
              <w:bottom w:val="single" w:sz="4" w:space="0" w:color="auto"/>
              <w:right w:val="single" w:sz="4" w:space="0" w:color="auto"/>
            </w:tcBorders>
            <w:shd w:val="clear" w:color="auto" w:fill="auto"/>
            <w:noWrap/>
            <w:vAlign w:val="bottom"/>
            <w:hideMark/>
          </w:tcPr>
          <w:p w14:paraId="0CF4D71B" w14:textId="77777777" w:rsidR="00D8365A" w:rsidRPr="00362517" w:rsidRDefault="00D8365A" w:rsidP="00BF6BC7">
            <w:pPr>
              <w:jc w:val="right"/>
            </w:pPr>
            <w:r w:rsidRPr="00362517">
              <w:t>4</w:t>
            </w:r>
          </w:p>
        </w:tc>
      </w:tr>
      <w:tr w:rsidR="00D8365A" w:rsidRPr="00362517" w14:paraId="3FE0D854"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47E8CCE0" w14:textId="77777777" w:rsidR="00D8365A" w:rsidRPr="00362517" w:rsidRDefault="00D8365A" w:rsidP="00BF6BC7">
            <w:r w:rsidRPr="00362517">
              <w:t>Maryland</w:t>
            </w:r>
          </w:p>
        </w:tc>
        <w:tc>
          <w:tcPr>
            <w:tcW w:w="879" w:type="pct"/>
            <w:tcBorders>
              <w:top w:val="nil"/>
              <w:left w:val="nil"/>
              <w:bottom w:val="single" w:sz="4" w:space="0" w:color="auto"/>
              <w:right w:val="single" w:sz="4" w:space="0" w:color="auto"/>
            </w:tcBorders>
            <w:shd w:val="clear" w:color="auto" w:fill="auto"/>
            <w:noWrap/>
            <w:vAlign w:val="bottom"/>
            <w:hideMark/>
          </w:tcPr>
          <w:p w14:paraId="490893F4" w14:textId="77777777" w:rsidR="00D8365A" w:rsidRPr="00362517" w:rsidRDefault="00D8365A" w:rsidP="00BF6BC7">
            <w:pPr>
              <w:jc w:val="right"/>
            </w:pPr>
            <w:r w:rsidRPr="00362517">
              <w:t>3,364</w:t>
            </w:r>
          </w:p>
        </w:tc>
        <w:tc>
          <w:tcPr>
            <w:tcW w:w="894" w:type="pct"/>
            <w:tcBorders>
              <w:top w:val="nil"/>
              <w:left w:val="nil"/>
              <w:bottom w:val="single" w:sz="4" w:space="0" w:color="auto"/>
              <w:right w:val="single" w:sz="4" w:space="0" w:color="auto"/>
            </w:tcBorders>
            <w:shd w:val="clear" w:color="auto" w:fill="auto"/>
            <w:noWrap/>
            <w:vAlign w:val="bottom"/>
            <w:hideMark/>
          </w:tcPr>
          <w:p w14:paraId="6920C4AA" w14:textId="77777777" w:rsidR="00D8365A" w:rsidRPr="00362517" w:rsidRDefault="00D8365A" w:rsidP="00BF6BC7">
            <w:pPr>
              <w:jc w:val="right"/>
            </w:pPr>
            <w:r w:rsidRPr="00362517">
              <w:t>2,806</w:t>
            </w:r>
          </w:p>
        </w:tc>
        <w:tc>
          <w:tcPr>
            <w:tcW w:w="872" w:type="pct"/>
            <w:tcBorders>
              <w:top w:val="nil"/>
              <w:left w:val="nil"/>
              <w:bottom w:val="single" w:sz="4" w:space="0" w:color="auto"/>
              <w:right w:val="single" w:sz="4" w:space="0" w:color="auto"/>
            </w:tcBorders>
            <w:shd w:val="clear" w:color="auto" w:fill="auto"/>
            <w:noWrap/>
            <w:vAlign w:val="bottom"/>
            <w:hideMark/>
          </w:tcPr>
          <w:p w14:paraId="2925A379" w14:textId="77777777" w:rsidR="00D8365A" w:rsidRPr="00362517" w:rsidRDefault="00D8365A" w:rsidP="00BF6BC7">
            <w:pPr>
              <w:jc w:val="right"/>
            </w:pPr>
            <w:r w:rsidRPr="00362517">
              <w:t>539</w:t>
            </w:r>
          </w:p>
        </w:tc>
        <w:tc>
          <w:tcPr>
            <w:tcW w:w="1065" w:type="pct"/>
            <w:tcBorders>
              <w:top w:val="nil"/>
              <w:left w:val="nil"/>
              <w:bottom w:val="single" w:sz="4" w:space="0" w:color="auto"/>
              <w:right w:val="single" w:sz="4" w:space="0" w:color="auto"/>
            </w:tcBorders>
            <w:shd w:val="clear" w:color="auto" w:fill="auto"/>
            <w:noWrap/>
            <w:vAlign w:val="bottom"/>
            <w:hideMark/>
          </w:tcPr>
          <w:p w14:paraId="23FD1A26" w14:textId="77777777" w:rsidR="00D8365A" w:rsidRPr="00362517" w:rsidRDefault="00D8365A" w:rsidP="00BF6BC7">
            <w:pPr>
              <w:jc w:val="right"/>
            </w:pPr>
            <w:r w:rsidRPr="00362517">
              <w:t>64</w:t>
            </w:r>
          </w:p>
        </w:tc>
      </w:tr>
      <w:tr w:rsidR="00D8365A" w:rsidRPr="00362517" w14:paraId="0B3D1071"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2FD7F505" w14:textId="77777777" w:rsidR="00D8365A" w:rsidRPr="00362517" w:rsidRDefault="00D8365A" w:rsidP="00BF6BC7">
            <w:r w:rsidRPr="00362517">
              <w:t>Massachusetts</w:t>
            </w:r>
          </w:p>
        </w:tc>
        <w:tc>
          <w:tcPr>
            <w:tcW w:w="879" w:type="pct"/>
            <w:tcBorders>
              <w:top w:val="nil"/>
              <w:left w:val="nil"/>
              <w:bottom w:val="single" w:sz="4" w:space="0" w:color="auto"/>
              <w:right w:val="single" w:sz="4" w:space="0" w:color="auto"/>
            </w:tcBorders>
            <w:shd w:val="clear" w:color="auto" w:fill="auto"/>
            <w:noWrap/>
            <w:vAlign w:val="bottom"/>
            <w:hideMark/>
          </w:tcPr>
          <w:p w14:paraId="0ADF86E1" w14:textId="77777777" w:rsidR="00D8365A" w:rsidRPr="00362517" w:rsidRDefault="00D8365A" w:rsidP="00BF6BC7">
            <w:pPr>
              <w:jc w:val="right"/>
            </w:pPr>
            <w:r w:rsidRPr="00362517">
              <w:t>2,898</w:t>
            </w:r>
          </w:p>
        </w:tc>
        <w:tc>
          <w:tcPr>
            <w:tcW w:w="894" w:type="pct"/>
            <w:tcBorders>
              <w:top w:val="nil"/>
              <w:left w:val="nil"/>
              <w:bottom w:val="single" w:sz="4" w:space="0" w:color="auto"/>
              <w:right w:val="single" w:sz="4" w:space="0" w:color="auto"/>
            </w:tcBorders>
            <w:shd w:val="clear" w:color="auto" w:fill="auto"/>
            <w:noWrap/>
            <w:vAlign w:val="bottom"/>
            <w:hideMark/>
          </w:tcPr>
          <w:p w14:paraId="3C4612D8" w14:textId="77777777" w:rsidR="00D8365A" w:rsidRPr="00362517" w:rsidRDefault="00D8365A" w:rsidP="00BF6BC7">
            <w:pPr>
              <w:jc w:val="right"/>
            </w:pPr>
            <w:r w:rsidRPr="00362517">
              <w:t>2,891</w:t>
            </w:r>
          </w:p>
        </w:tc>
        <w:tc>
          <w:tcPr>
            <w:tcW w:w="872" w:type="pct"/>
            <w:tcBorders>
              <w:top w:val="nil"/>
              <w:left w:val="nil"/>
              <w:bottom w:val="single" w:sz="4" w:space="0" w:color="auto"/>
              <w:right w:val="single" w:sz="4" w:space="0" w:color="auto"/>
            </w:tcBorders>
            <w:shd w:val="clear" w:color="auto" w:fill="auto"/>
            <w:noWrap/>
            <w:vAlign w:val="bottom"/>
            <w:hideMark/>
          </w:tcPr>
          <w:p w14:paraId="674DCFA5" w14:textId="77777777" w:rsidR="00D8365A" w:rsidRPr="00362517" w:rsidRDefault="00D8365A" w:rsidP="00BF6BC7">
            <w:pPr>
              <w:jc w:val="right"/>
            </w:pPr>
            <w:r w:rsidRPr="00362517">
              <w:t>4</w:t>
            </w:r>
          </w:p>
        </w:tc>
        <w:tc>
          <w:tcPr>
            <w:tcW w:w="1065" w:type="pct"/>
            <w:tcBorders>
              <w:top w:val="nil"/>
              <w:left w:val="nil"/>
              <w:bottom w:val="single" w:sz="4" w:space="0" w:color="auto"/>
              <w:right w:val="single" w:sz="4" w:space="0" w:color="auto"/>
            </w:tcBorders>
            <w:shd w:val="clear" w:color="auto" w:fill="auto"/>
            <w:noWrap/>
            <w:vAlign w:val="bottom"/>
            <w:hideMark/>
          </w:tcPr>
          <w:p w14:paraId="2F23CB5A" w14:textId="77777777" w:rsidR="00D8365A" w:rsidRPr="00362517" w:rsidRDefault="00D8365A" w:rsidP="00BF6BC7">
            <w:pPr>
              <w:jc w:val="right"/>
            </w:pPr>
            <w:r w:rsidRPr="00362517">
              <w:t>1</w:t>
            </w:r>
          </w:p>
        </w:tc>
      </w:tr>
      <w:tr w:rsidR="00D8365A" w:rsidRPr="00362517" w14:paraId="10F36846"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40AC833C" w14:textId="77777777" w:rsidR="00D8365A" w:rsidRPr="00362517" w:rsidRDefault="00D8365A" w:rsidP="00BF6BC7">
            <w:r w:rsidRPr="00362517">
              <w:t>Michigan</w:t>
            </w:r>
          </w:p>
        </w:tc>
        <w:tc>
          <w:tcPr>
            <w:tcW w:w="879" w:type="pct"/>
            <w:tcBorders>
              <w:top w:val="nil"/>
              <w:left w:val="nil"/>
              <w:bottom w:val="single" w:sz="4" w:space="0" w:color="auto"/>
              <w:right w:val="single" w:sz="4" w:space="0" w:color="auto"/>
            </w:tcBorders>
            <w:shd w:val="clear" w:color="auto" w:fill="auto"/>
            <w:noWrap/>
            <w:vAlign w:val="bottom"/>
            <w:hideMark/>
          </w:tcPr>
          <w:p w14:paraId="353379E0" w14:textId="77777777" w:rsidR="00D8365A" w:rsidRPr="00362517" w:rsidRDefault="00D8365A" w:rsidP="00BF6BC7">
            <w:pPr>
              <w:jc w:val="right"/>
            </w:pPr>
            <w:r w:rsidRPr="00362517">
              <w:t>26,198</w:t>
            </w:r>
          </w:p>
        </w:tc>
        <w:tc>
          <w:tcPr>
            <w:tcW w:w="894" w:type="pct"/>
            <w:tcBorders>
              <w:top w:val="nil"/>
              <w:left w:val="nil"/>
              <w:bottom w:val="single" w:sz="4" w:space="0" w:color="auto"/>
              <w:right w:val="single" w:sz="4" w:space="0" w:color="auto"/>
            </w:tcBorders>
            <w:shd w:val="clear" w:color="auto" w:fill="auto"/>
            <w:noWrap/>
            <w:vAlign w:val="bottom"/>
            <w:hideMark/>
          </w:tcPr>
          <w:p w14:paraId="12D7617E" w14:textId="77777777" w:rsidR="00D8365A" w:rsidRPr="00362517" w:rsidRDefault="00D8365A" w:rsidP="00BF6BC7">
            <w:pPr>
              <w:jc w:val="right"/>
            </w:pPr>
            <w:r w:rsidRPr="00362517">
              <w:t>26,113</w:t>
            </w:r>
          </w:p>
        </w:tc>
        <w:tc>
          <w:tcPr>
            <w:tcW w:w="872" w:type="pct"/>
            <w:tcBorders>
              <w:top w:val="nil"/>
              <w:left w:val="nil"/>
              <w:bottom w:val="single" w:sz="4" w:space="0" w:color="auto"/>
              <w:right w:val="single" w:sz="4" w:space="0" w:color="auto"/>
            </w:tcBorders>
            <w:shd w:val="clear" w:color="auto" w:fill="auto"/>
            <w:noWrap/>
            <w:vAlign w:val="bottom"/>
            <w:hideMark/>
          </w:tcPr>
          <w:p w14:paraId="6BC3CD74" w14:textId="77777777" w:rsidR="00D8365A" w:rsidRPr="00362517" w:rsidRDefault="00D8365A" w:rsidP="00BF6BC7">
            <w:pPr>
              <w:jc w:val="right"/>
            </w:pPr>
            <w:r w:rsidRPr="00362517">
              <w:t>48</w:t>
            </w:r>
          </w:p>
        </w:tc>
        <w:tc>
          <w:tcPr>
            <w:tcW w:w="1065" w:type="pct"/>
            <w:tcBorders>
              <w:top w:val="nil"/>
              <w:left w:val="nil"/>
              <w:bottom w:val="single" w:sz="4" w:space="0" w:color="auto"/>
              <w:right w:val="single" w:sz="4" w:space="0" w:color="auto"/>
            </w:tcBorders>
            <w:shd w:val="clear" w:color="auto" w:fill="auto"/>
            <w:noWrap/>
            <w:vAlign w:val="bottom"/>
            <w:hideMark/>
          </w:tcPr>
          <w:p w14:paraId="51ADBB33" w14:textId="77777777" w:rsidR="00D8365A" w:rsidRPr="00362517" w:rsidRDefault="00D8365A" w:rsidP="00BF6BC7">
            <w:pPr>
              <w:jc w:val="right"/>
            </w:pPr>
            <w:r w:rsidRPr="00362517">
              <w:t>10</w:t>
            </w:r>
          </w:p>
        </w:tc>
      </w:tr>
      <w:tr w:rsidR="00D8365A" w:rsidRPr="00362517" w14:paraId="26811A1B"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64F4099D" w14:textId="77777777" w:rsidR="00D8365A" w:rsidRPr="00362517" w:rsidRDefault="00D8365A" w:rsidP="00BF6BC7">
            <w:r w:rsidRPr="00362517">
              <w:t>Minnesota</w:t>
            </w:r>
          </w:p>
        </w:tc>
        <w:tc>
          <w:tcPr>
            <w:tcW w:w="879" w:type="pct"/>
            <w:tcBorders>
              <w:top w:val="nil"/>
              <w:left w:val="nil"/>
              <w:bottom w:val="single" w:sz="4" w:space="0" w:color="auto"/>
              <w:right w:val="single" w:sz="4" w:space="0" w:color="auto"/>
            </w:tcBorders>
            <w:shd w:val="clear" w:color="auto" w:fill="auto"/>
            <w:noWrap/>
            <w:vAlign w:val="bottom"/>
            <w:hideMark/>
          </w:tcPr>
          <w:p w14:paraId="0121B11E" w14:textId="77777777" w:rsidR="00D8365A" w:rsidRPr="00362517" w:rsidRDefault="00D8365A" w:rsidP="00BF6BC7">
            <w:pPr>
              <w:jc w:val="right"/>
            </w:pPr>
            <w:r w:rsidRPr="00362517">
              <w:t>18,462</w:t>
            </w:r>
          </w:p>
        </w:tc>
        <w:tc>
          <w:tcPr>
            <w:tcW w:w="894" w:type="pct"/>
            <w:tcBorders>
              <w:top w:val="nil"/>
              <w:left w:val="nil"/>
              <w:bottom w:val="single" w:sz="4" w:space="0" w:color="auto"/>
              <w:right w:val="single" w:sz="4" w:space="0" w:color="auto"/>
            </w:tcBorders>
            <w:shd w:val="clear" w:color="auto" w:fill="auto"/>
            <w:noWrap/>
            <w:vAlign w:val="bottom"/>
            <w:hideMark/>
          </w:tcPr>
          <w:p w14:paraId="049480A7" w14:textId="77777777" w:rsidR="00D8365A" w:rsidRPr="00362517" w:rsidRDefault="00D8365A" w:rsidP="00BF6BC7">
            <w:pPr>
              <w:jc w:val="right"/>
            </w:pPr>
            <w:r w:rsidRPr="00362517">
              <w:t>18,366</w:t>
            </w:r>
          </w:p>
        </w:tc>
        <w:tc>
          <w:tcPr>
            <w:tcW w:w="872" w:type="pct"/>
            <w:tcBorders>
              <w:top w:val="nil"/>
              <w:left w:val="nil"/>
              <w:bottom w:val="single" w:sz="4" w:space="0" w:color="auto"/>
              <w:right w:val="single" w:sz="4" w:space="0" w:color="auto"/>
            </w:tcBorders>
            <w:shd w:val="clear" w:color="auto" w:fill="auto"/>
            <w:noWrap/>
            <w:vAlign w:val="bottom"/>
            <w:hideMark/>
          </w:tcPr>
          <w:p w14:paraId="50183559" w14:textId="77777777" w:rsidR="00D8365A" w:rsidRPr="00362517" w:rsidRDefault="00D8365A" w:rsidP="00BF6BC7">
            <w:pPr>
              <w:jc w:val="right"/>
            </w:pPr>
            <w:r w:rsidRPr="00362517">
              <w:t>96</w:t>
            </w:r>
          </w:p>
        </w:tc>
        <w:tc>
          <w:tcPr>
            <w:tcW w:w="1065" w:type="pct"/>
            <w:tcBorders>
              <w:top w:val="nil"/>
              <w:left w:val="nil"/>
              <w:bottom w:val="single" w:sz="4" w:space="0" w:color="auto"/>
              <w:right w:val="single" w:sz="4" w:space="0" w:color="auto"/>
            </w:tcBorders>
            <w:shd w:val="clear" w:color="auto" w:fill="auto"/>
            <w:noWrap/>
            <w:vAlign w:val="bottom"/>
            <w:hideMark/>
          </w:tcPr>
          <w:p w14:paraId="4BC382E3" w14:textId="77777777" w:rsidR="00D8365A" w:rsidRPr="00362517" w:rsidRDefault="00D8365A" w:rsidP="00BF6BC7">
            <w:pPr>
              <w:jc w:val="right"/>
            </w:pPr>
            <w:r w:rsidRPr="00362517">
              <w:t>11</w:t>
            </w:r>
          </w:p>
        </w:tc>
      </w:tr>
      <w:tr w:rsidR="00D8365A" w:rsidRPr="00362517" w14:paraId="24A8AB71"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41D336E7" w14:textId="77777777" w:rsidR="00D8365A" w:rsidRPr="00362517" w:rsidRDefault="00D8365A" w:rsidP="00BF6BC7">
            <w:r w:rsidRPr="00362517">
              <w:t>Mississippi</w:t>
            </w:r>
          </w:p>
        </w:tc>
        <w:tc>
          <w:tcPr>
            <w:tcW w:w="879" w:type="pct"/>
            <w:tcBorders>
              <w:top w:val="nil"/>
              <w:left w:val="nil"/>
              <w:bottom w:val="single" w:sz="4" w:space="0" w:color="auto"/>
              <w:right w:val="single" w:sz="4" w:space="0" w:color="auto"/>
            </w:tcBorders>
            <w:shd w:val="clear" w:color="auto" w:fill="auto"/>
            <w:noWrap/>
            <w:vAlign w:val="bottom"/>
            <w:hideMark/>
          </w:tcPr>
          <w:p w14:paraId="5EEE257E" w14:textId="77777777" w:rsidR="00D8365A" w:rsidRPr="00362517" w:rsidRDefault="00D8365A" w:rsidP="00BF6BC7">
            <w:pPr>
              <w:jc w:val="right"/>
            </w:pPr>
            <w:r w:rsidRPr="00362517">
              <w:t>16,631</w:t>
            </w:r>
          </w:p>
        </w:tc>
        <w:tc>
          <w:tcPr>
            <w:tcW w:w="894" w:type="pct"/>
            <w:tcBorders>
              <w:top w:val="nil"/>
              <w:left w:val="nil"/>
              <w:bottom w:val="single" w:sz="4" w:space="0" w:color="auto"/>
              <w:right w:val="single" w:sz="4" w:space="0" w:color="auto"/>
            </w:tcBorders>
            <w:shd w:val="clear" w:color="auto" w:fill="auto"/>
            <w:noWrap/>
            <w:vAlign w:val="bottom"/>
            <w:hideMark/>
          </w:tcPr>
          <w:p w14:paraId="712129FD" w14:textId="77777777" w:rsidR="00D8365A" w:rsidRPr="00362517" w:rsidRDefault="00D8365A" w:rsidP="00BF6BC7">
            <w:pPr>
              <w:jc w:val="right"/>
            </w:pPr>
            <w:r w:rsidRPr="00362517">
              <w:t>14,112</w:t>
            </w:r>
          </w:p>
        </w:tc>
        <w:tc>
          <w:tcPr>
            <w:tcW w:w="872" w:type="pct"/>
            <w:tcBorders>
              <w:top w:val="nil"/>
              <w:left w:val="nil"/>
              <w:bottom w:val="single" w:sz="4" w:space="0" w:color="auto"/>
              <w:right w:val="single" w:sz="4" w:space="0" w:color="auto"/>
            </w:tcBorders>
            <w:shd w:val="clear" w:color="auto" w:fill="auto"/>
            <w:noWrap/>
            <w:vAlign w:val="bottom"/>
            <w:hideMark/>
          </w:tcPr>
          <w:p w14:paraId="2054B93C" w14:textId="77777777" w:rsidR="00D8365A" w:rsidRPr="00362517" w:rsidRDefault="00D8365A" w:rsidP="00BF6BC7">
            <w:pPr>
              <w:jc w:val="right"/>
            </w:pPr>
            <w:r w:rsidRPr="00362517">
              <w:t>2,475</w:t>
            </w:r>
          </w:p>
        </w:tc>
        <w:tc>
          <w:tcPr>
            <w:tcW w:w="1065" w:type="pct"/>
            <w:tcBorders>
              <w:top w:val="nil"/>
              <w:left w:val="nil"/>
              <w:bottom w:val="single" w:sz="4" w:space="0" w:color="auto"/>
              <w:right w:val="single" w:sz="4" w:space="0" w:color="auto"/>
            </w:tcBorders>
            <w:shd w:val="clear" w:color="auto" w:fill="auto"/>
            <w:noWrap/>
            <w:vAlign w:val="bottom"/>
            <w:hideMark/>
          </w:tcPr>
          <w:p w14:paraId="6D53030B" w14:textId="77777777" w:rsidR="00D8365A" w:rsidRPr="00362517" w:rsidRDefault="00D8365A" w:rsidP="00BF6BC7">
            <w:pPr>
              <w:jc w:val="right"/>
            </w:pPr>
            <w:r w:rsidRPr="00362517">
              <w:t>287</w:t>
            </w:r>
          </w:p>
        </w:tc>
      </w:tr>
      <w:tr w:rsidR="00D8365A" w:rsidRPr="00362517" w14:paraId="6EB533D6"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75C5DDFF" w14:textId="77777777" w:rsidR="00D8365A" w:rsidRPr="00362517" w:rsidRDefault="00D8365A" w:rsidP="00BF6BC7">
            <w:r w:rsidRPr="00362517">
              <w:t>Missouri</w:t>
            </w:r>
          </w:p>
        </w:tc>
        <w:tc>
          <w:tcPr>
            <w:tcW w:w="879" w:type="pct"/>
            <w:tcBorders>
              <w:top w:val="nil"/>
              <w:left w:val="nil"/>
              <w:bottom w:val="single" w:sz="4" w:space="0" w:color="auto"/>
              <w:right w:val="single" w:sz="4" w:space="0" w:color="auto"/>
            </w:tcBorders>
            <w:shd w:val="clear" w:color="auto" w:fill="auto"/>
            <w:noWrap/>
            <w:vAlign w:val="bottom"/>
            <w:hideMark/>
          </w:tcPr>
          <w:p w14:paraId="42E27892" w14:textId="77777777" w:rsidR="00D8365A" w:rsidRPr="00362517" w:rsidRDefault="00D8365A" w:rsidP="00BF6BC7">
            <w:pPr>
              <w:jc w:val="right"/>
            </w:pPr>
            <w:r w:rsidRPr="00362517">
              <w:t>23,915</w:t>
            </w:r>
          </w:p>
        </w:tc>
        <w:tc>
          <w:tcPr>
            <w:tcW w:w="894" w:type="pct"/>
            <w:tcBorders>
              <w:top w:val="nil"/>
              <w:left w:val="nil"/>
              <w:bottom w:val="single" w:sz="4" w:space="0" w:color="auto"/>
              <w:right w:val="single" w:sz="4" w:space="0" w:color="auto"/>
            </w:tcBorders>
            <w:shd w:val="clear" w:color="auto" w:fill="auto"/>
            <w:noWrap/>
            <w:vAlign w:val="bottom"/>
            <w:hideMark/>
          </w:tcPr>
          <w:p w14:paraId="0538597A" w14:textId="77777777" w:rsidR="00D8365A" w:rsidRPr="00362517" w:rsidRDefault="00D8365A" w:rsidP="00BF6BC7">
            <w:pPr>
              <w:jc w:val="right"/>
            </w:pPr>
            <w:r w:rsidRPr="00362517">
              <w:t>12,805</w:t>
            </w:r>
          </w:p>
        </w:tc>
        <w:tc>
          <w:tcPr>
            <w:tcW w:w="872" w:type="pct"/>
            <w:tcBorders>
              <w:top w:val="nil"/>
              <w:left w:val="nil"/>
              <w:bottom w:val="single" w:sz="4" w:space="0" w:color="auto"/>
              <w:right w:val="single" w:sz="4" w:space="0" w:color="auto"/>
            </w:tcBorders>
            <w:shd w:val="clear" w:color="auto" w:fill="auto"/>
            <w:noWrap/>
            <w:vAlign w:val="bottom"/>
            <w:hideMark/>
          </w:tcPr>
          <w:p w14:paraId="5DCD4807" w14:textId="77777777" w:rsidR="00D8365A" w:rsidRPr="00362517" w:rsidRDefault="00D8365A" w:rsidP="00BF6BC7">
            <w:pPr>
              <w:jc w:val="right"/>
            </w:pPr>
            <w:r w:rsidRPr="00362517">
              <w:t>11,038</w:t>
            </w:r>
          </w:p>
        </w:tc>
        <w:tc>
          <w:tcPr>
            <w:tcW w:w="1065" w:type="pct"/>
            <w:tcBorders>
              <w:top w:val="nil"/>
              <w:left w:val="nil"/>
              <w:bottom w:val="single" w:sz="4" w:space="0" w:color="auto"/>
              <w:right w:val="single" w:sz="4" w:space="0" w:color="auto"/>
            </w:tcBorders>
            <w:shd w:val="clear" w:color="auto" w:fill="auto"/>
            <w:noWrap/>
            <w:vAlign w:val="bottom"/>
            <w:hideMark/>
          </w:tcPr>
          <w:p w14:paraId="275122EA" w14:textId="77777777" w:rsidR="00D8365A" w:rsidRPr="00362517" w:rsidRDefault="00D8365A" w:rsidP="00BF6BC7">
            <w:pPr>
              <w:jc w:val="right"/>
            </w:pPr>
            <w:r w:rsidRPr="00362517">
              <w:t>1,264</w:t>
            </w:r>
          </w:p>
        </w:tc>
      </w:tr>
      <w:tr w:rsidR="00D8365A" w:rsidRPr="00362517" w14:paraId="576E85BE"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389287DD" w14:textId="77777777" w:rsidR="00D8365A" w:rsidRPr="00362517" w:rsidRDefault="00D8365A" w:rsidP="00BF6BC7">
            <w:r w:rsidRPr="00362517">
              <w:t>Montana</w:t>
            </w:r>
          </w:p>
        </w:tc>
        <w:tc>
          <w:tcPr>
            <w:tcW w:w="879" w:type="pct"/>
            <w:tcBorders>
              <w:top w:val="nil"/>
              <w:left w:val="nil"/>
              <w:bottom w:val="single" w:sz="4" w:space="0" w:color="auto"/>
              <w:right w:val="single" w:sz="4" w:space="0" w:color="auto"/>
            </w:tcBorders>
            <w:shd w:val="clear" w:color="auto" w:fill="auto"/>
            <w:noWrap/>
            <w:vAlign w:val="bottom"/>
            <w:hideMark/>
          </w:tcPr>
          <w:p w14:paraId="6872EB25" w14:textId="77777777" w:rsidR="00D8365A" w:rsidRPr="00362517" w:rsidRDefault="00D8365A" w:rsidP="00BF6BC7">
            <w:pPr>
              <w:jc w:val="right"/>
            </w:pPr>
            <w:r w:rsidRPr="00362517">
              <w:t>6,385</w:t>
            </w:r>
          </w:p>
        </w:tc>
        <w:tc>
          <w:tcPr>
            <w:tcW w:w="894" w:type="pct"/>
            <w:tcBorders>
              <w:top w:val="nil"/>
              <w:left w:val="nil"/>
              <w:bottom w:val="single" w:sz="4" w:space="0" w:color="auto"/>
              <w:right w:val="single" w:sz="4" w:space="0" w:color="auto"/>
            </w:tcBorders>
            <w:shd w:val="clear" w:color="auto" w:fill="auto"/>
            <w:noWrap/>
            <w:vAlign w:val="bottom"/>
            <w:hideMark/>
          </w:tcPr>
          <w:p w14:paraId="1BB3DDAF" w14:textId="77777777" w:rsidR="00D8365A" w:rsidRPr="00362517" w:rsidRDefault="00D8365A" w:rsidP="00BF6BC7">
            <w:pPr>
              <w:jc w:val="right"/>
            </w:pPr>
            <w:r w:rsidRPr="00362517">
              <w:t>5,770</w:t>
            </w:r>
          </w:p>
        </w:tc>
        <w:tc>
          <w:tcPr>
            <w:tcW w:w="872" w:type="pct"/>
            <w:tcBorders>
              <w:top w:val="nil"/>
              <w:left w:val="nil"/>
              <w:bottom w:val="single" w:sz="4" w:space="0" w:color="auto"/>
              <w:right w:val="single" w:sz="4" w:space="0" w:color="auto"/>
            </w:tcBorders>
            <w:shd w:val="clear" w:color="auto" w:fill="auto"/>
            <w:noWrap/>
            <w:vAlign w:val="bottom"/>
            <w:hideMark/>
          </w:tcPr>
          <w:p w14:paraId="5E4C43FC" w14:textId="77777777" w:rsidR="00D8365A" w:rsidRPr="00362517" w:rsidRDefault="00D8365A" w:rsidP="00BF6BC7">
            <w:pPr>
              <w:jc w:val="right"/>
            </w:pPr>
            <w:r w:rsidRPr="00362517">
              <w:t>577</w:t>
            </w:r>
          </w:p>
        </w:tc>
        <w:tc>
          <w:tcPr>
            <w:tcW w:w="1065" w:type="pct"/>
            <w:tcBorders>
              <w:top w:val="nil"/>
              <w:left w:val="nil"/>
              <w:bottom w:val="single" w:sz="4" w:space="0" w:color="auto"/>
              <w:right w:val="single" w:sz="4" w:space="0" w:color="auto"/>
            </w:tcBorders>
            <w:shd w:val="clear" w:color="auto" w:fill="auto"/>
            <w:noWrap/>
            <w:vAlign w:val="bottom"/>
            <w:hideMark/>
          </w:tcPr>
          <w:p w14:paraId="2ED90A57" w14:textId="77777777" w:rsidR="00D8365A" w:rsidRPr="00362517" w:rsidRDefault="00D8365A" w:rsidP="00BF6BC7">
            <w:pPr>
              <w:jc w:val="right"/>
            </w:pPr>
            <w:r w:rsidRPr="00362517">
              <w:t>70</w:t>
            </w:r>
          </w:p>
        </w:tc>
      </w:tr>
      <w:tr w:rsidR="00D8365A" w:rsidRPr="00362517" w14:paraId="1A97B100"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460DB792" w14:textId="77777777" w:rsidR="00D8365A" w:rsidRPr="00362517" w:rsidRDefault="00D8365A" w:rsidP="00BF6BC7">
            <w:r w:rsidRPr="00362517">
              <w:t>Nebraska</w:t>
            </w:r>
          </w:p>
        </w:tc>
        <w:tc>
          <w:tcPr>
            <w:tcW w:w="879" w:type="pct"/>
            <w:tcBorders>
              <w:top w:val="nil"/>
              <w:left w:val="nil"/>
              <w:bottom w:val="single" w:sz="4" w:space="0" w:color="auto"/>
              <w:right w:val="single" w:sz="4" w:space="0" w:color="auto"/>
            </w:tcBorders>
            <w:shd w:val="clear" w:color="auto" w:fill="auto"/>
            <w:noWrap/>
            <w:vAlign w:val="bottom"/>
            <w:hideMark/>
          </w:tcPr>
          <w:p w14:paraId="174824F2" w14:textId="77777777" w:rsidR="00D8365A" w:rsidRPr="00362517" w:rsidRDefault="00D8365A" w:rsidP="00BF6BC7">
            <w:pPr>
              <w:jc w:val="right"/>
            </w:pPr>
            <w:r w:rsidRPr="00362517">
              <w:t>22,460</w:t>
            </w:r>
          </w:p>
        </w:tc>
        <w:tc>
          <w:tcPr>
            <w:tcW w:w="894" w:type="pct"/>
            <w:tcBorders>
              <w:top w:val="nil"/>
              <w:left w:val="nil"/>
              <w:bottom w:val="single" w:sz="4" w:space="0" w:color="auto"/>
              <w:right w:val="single" w:sz="4" w:space="0" w:color="auto"/>
            </w:tcBorders>
            <w:shd w:val="clear" w:color="auto" w:fill="auto"/>
            <w:noWrap/>
            <w:vAlign w:val="bottom"/>
            <w:hideMark/>
          </w:tcPr>
          <w:p w14:paraId="45BE27A3" w14:textId="77777777" w:rsidR="00D8365A" w:rsidRPr="00362517" w:rsidRDefault="00D8365A" w:rsidP="00BF6BC7">
            <w:pPr>
              <w:jc w:val="right"/>
            </w:pPr>
            <w:r w:rsidRPr="00362517">
              <w:t>20,496</w:t>
            </w:r>
          </w:p>
        </w:tc>
        <w:tc>
          <w:tcPr>
            <w:tcW w:w="872" w:type="pct"/>
            <w:tcBorders>
              <w:top w:val="nil"/>
              <w:left w:val="nil"/>
              <w:bottom w:val="single" w:sz="4" w:space="0" w:color="auto"/>
              <w:right w:val="single" w:sz="4" w:space="0" w:color="auto"/>
            </w:tcBorders>
            <w:shd w:val="clear" w:color="auto" w:fill="auto"/>
            <w:noWrap/>
            <w:vAlign w:val="bottom"/>
            <w:hideMark/>
          </w:tcPr>
          <w:p w14:paraId="2B037C3F" w14:textId="77777777" w:rsidR="00D8365A" w:rsidRPr="00362517" w:rsidRDefault="00D8365A" w:rsidP="00BF6BC7">
            <w:pPr>
              <w:jc w:val="right"/>
            </w:pPr>
            <w:r w:rsidRPr="00362517">
              <w:t>103</w:t>
            </w:r>
          </w:p>
        </w:tc>
        <w:tc>
          <w:tcPr>
            <w:tcW w:w="1065" w:type="pct"/>
            <w:tcBorders>
              <w:top w:val="nil"/>
              <w:left w:val="nil"/>
              <w:bottom w:val="single" w:sz="4" w:space="0" w:color="auto"/>
              <w:right w:val="single" w:sz="4" w:space="0" w:color="auto"/>
            </w:tcBorders>
            <w:shd w:val="clear" w:color="auto" w:fill="auto"/>
            <w:noWrap/>
            <w:vAlign w:val="bottom"/>
            <w:hideMark/>
          </w:tcPr>
          <w:p w14:paraId="3FC2432B" w14:textId="77777777" w:rsidR="00D8365A" w:rsidRPr="00362517" w:rsidRDefault="00D8365A" w:rsidP="00BF6BC7">
            <w:pPr>
              <w:jc w:val="right"/>
            </w:pPr>
            <w:r w:rsidRPr="00362517">
              <w:t>35</w:t>
            </w:r>
          </w:p>
        </w:tc>
      </w:tr>
      <w:tr w:rsidR="00D8365A" w:rsidRPr="00362517" w14:paraId="2DA963BC"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486E0173" w14:textId="77777777" w:rsidR="00D8365A" w:rsidRPr="00362517" w:rsidRDefault="00D8365A" w:rsidP="00BF6BC7">
            <w:r w:rsidRPr="00362517">
              <w:t>Nevada</w:t>
            </w:r>
          </w:p>
        </w:tc>
        <w:tc>
          <w:tcPr>
            <w:tcW w:w="879" w:type="pct"/>
            <w:tcBorders>
              <w:top w:val="nil"/>
              <w:left w:val="nil"/>
              <w:bottom w:val="single" w:sz="4" w:space="0" w:color="auto"/>
              <w:right w:val="single" w:sz="4" w:space="0" w:color="auto"/>
            </w:tcBorders>
            <w:shd w:val="clear" w:color="auto" w:fill="auto"/>
            <w:noWrap/>
            <w:vAlign w:val="bottom"/>
            <w:hideMark/>
          </w:tcPr>
          <w:p w14:paraId="3F3A7850" w14:textId="77777777" w:rsidR="00D8365A" w:rsidRPr="00362517" w:rsidRDefault="00D8365A" w:rsidP="00BF6BC7">
            <w:pPr>
              <w:jc w:val="right"/>
            </w:pPr>
            <w:r w:rsidRPr="00362517">
              <w:t>1,000</w:t>
            </w:r>
          </w:p>
        </w:tc>
        <w:tc>
          <w:tcPr>
            <w:tcW w:w="894" w:type="pct"/>
            <w:tcBorders>
              <w:top w:val="nil"/>
              <w:left w:val="nil"/>
              <w:bottom w:val="single" w:sz="4" w:space="0" w:color="auto"/>
              <w:right w:val="single" w:sz="4" w:space="0" w:color="auto"/>
            </w:tcBorders>
            <w:shd w:val="clear" w:color="auto" w:fill="auto"/>
            <w:noWrap/>
            <w:vAlign w:val="bottom"/>
            <w:hideMark/>
          </w:tcPr>
          <w:p w14:paraId="41265F3E" w14:textId="77777777" w:rsidR="00D8365A" w:rsidRPr="00362517" w:rsidRDefault="00D8365A" w:rsidP="00BF6BC7">
            <w:pPr>
              <w:jc w:val="right"/>
            </w:pPr>
            <w:r w:rsidRPr="00362517">
              <w:t>996</w:t>
            </w:r>
          </w:p>
        </w:tc>
        <w:tc>
          <w:tcPr>
            <w:tcW w:w="872" w:type="pct"/>
            <w:tcBorders>
              <w:top w:val="nil"/>
              <w:left w:val="nil"/>
              <w:bottom w:val="single" w:sz="4" w:space="0" w:color="auto"/>
              <w:right w:val="single" w:sz="4" w:space="0" w:color="auto"/>
            </w:tcBorders>
            <w:shd w:val="clear" w:color="auto" w:fill="auto"/>
            <w:noWrap/>
            <w:vAlign w:val="bottom"/>
            <w:hideMark/>
          </w:tcPr>
          <w:p w14:paraId="7820A09E" w14:textId="77777777" w:rsidR="00D8365A" w:rsidRPr="00362517" w:rsidRDefault="00D8365A" w:rsidP="00BF6BC7">
            <w:pPr>
              <w:jc w:val="right"/>
            </w:pPr>
            <w:r w:rsidRPr="00362517">
              <w:t>3</w:t>
            </w:r>
          </w:p>
        </w:tc>
        <w:tc>
          <w:tcPr>
            <w:tcW w:w="1065" w:type="pct"/>
            <w:tcBorders>
              <w:top w:val="nil"/>
              <w:left w:val="nil"/>
              <w:bottom w:val="single" w:sz="4" w:space="0" w:color="auto"/>
              <w:right w:val="single" w:sz="4" w:space="0" w:color="auto"/>
            </w:tcBorders>
            <w:shd w:val="clear" w:color="auto" w:fill="auto"/>
            <w:noWrap/>
            <w:vAlign w:val="bottom"/>
            <w:hideMark/>
          </w:tcPr>
          <w:p w14:paraId="16BEB819" w14:textId="77777777" w:rsidR="00D8365A" w:rsidRPr="00362517" w:rsidRDefault="00D8365A" w:rsidP="00BF6BC7">
            <w:pPr>
              <w:jc w:val="right"/>
            </w:pPr>
            <w:r w:rsidRPr="00362517">
              <w:t>0</w:t>
            </w:r>
          </w:p>
        </w:tc>
      </w:tr>
      <w:tr w:rsidR="00D8365A" w:rsidRPr="00362517" w14:paraId="697993FA"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5663F62B" w14:textId="77777777" w:rsidR="00D8365A" w:rsidRPr="00362517" w:rsidRDefault="00D8365A" w:rsidP="00BF6BC7">
            <w:r w:rsidRPr="00362517">
              <w:t>New Hampshire</w:t>
            </w:r>
          </w:p>
        </w:tc>
        <w:tc>
          <w:tcPr>
            <w:tcW w:w="879" w:type="pct"/>
            <w:tcBorders>
              <w:top w:val="nil"/>
              <w:left w:val="nil"/>
              <w:bottom w:val="single" w:sz="4" w:space="0" w:color="auto"/>
              <w:right w:val="single" w:sz="4" w:space="0" w:color="auto"/>
            </w:tcBorders>
            <w:shd w:val="clear" w:color="auto" w:fill="auto"/>
            <w:noWrap/>
            <w:vAlign w:val="bottom"/>
            <w:hideMark/>
          </w:tcPr>
          <w:p w14:paraId="53E7A56A" w14:textId="77777777" w:rsidR="00D8365A" w:rsidRPr="00362517" w:rsidRDefault="00D8365A" w:rsidP="00BF6BC7">
            <w:pPr>
              <w:jc w:val="right"/>
            </w:pPr>
            <w:r w:rsidRPr="00362517">
              <w:t>1,131</w:t>
            </w:r>
          </w:p>
        </w:tc>
        <w:tc>
          <w:tcPr>
            <w:tcW w:w="894" w:type="pct"/>
            <w:tcBorders>
              <w:top w:val="nil"/>
              <w:left w:val="nil"/>
              <w:bottom w:val="single" w:sz="4" w:space="0" w:color="auto"/>
              <w:right w:val="single" w:sz="4" w:space="0" w:color="auto"/>
            </w:tcBorders>
            <w:shd w:val="clear" w:color="auto" w:fill="auto"/>
            <w:noWrap/>
            <w:vAlign w:val="bottom"/>
            <w:hideMark/>
          </w:tcPr>
          <w:p w14:paraId="78C1AC85" w14:textId="77777777" w:rsidR="00D8365A" w:rsidRPr="00362517" w:rsidRDefault="00D8365A" w:rsidP="00BF6BC7">
            <w:pPr>
              <w:jc w:val="right"/>
            </w:pPr>
            <w:r w:rsidRPr="00362517">
              <w:t>1,128</w:t>
            </w:r>
          </w:p>
        </w:tc>
        <w:tc>
          <w:tcPr>
            <w:tcW w:w="872" w:type="pct"/>
            <w:tcBorders>
              <w:top w:val="nil"/>
              <w:left w:val="nil"/>
              <w:bottom w:val="single" w:sz="4" w:space="0" w:color="auto"/>
              <w:right w:val="single" w:sz="4" w:space="0" w:color="auto"/>
            </w:tcBorders>
            <w:shd w:val="clear" w:color="auto" w:fill="auto"/>
            <w:noWrap/>
            <w:vAlign w:val="bottom"/>
            <w:hideMark/>
          </w:tcPr>
          <w:p w14:paraId="3904626D" w14:textId="77777777" w:rsidR="00D8365A" w:rsidRPr="00362517" w:rsidRDefault="00D8365A" w:rsidP="00BF6BC7">
            <w:pPr>
              <w:jc w:val="right"/>
            </w:pPr>
            <w:r w:rsidRPr="00362517">
              <w:t>2</w:t>
            </w:r>
          </w:p>
        </w:tc>
        <w:tc>
          <w:tcPr>
            <w:tcW w:w="1065" w:type="pct"/>
            <w:tcBorders>
              <w:top w:val="nil"/>
              <w:left w:val="nil"/>
              <w:bottom w:val="single" w:sz="4" w:space="0" w:color="auto"/>
              <w:right w:val="single" w:sz="4" w:space="0" w:color="auto"/>
            </w:tcBorders>
            <w:shd w:val="clear" w:color="auto" w:fill="auto"/>
            <w:noWrap/>
            <w:vAlign w:val="bottom"/>
            <w:hideMark/>
          </w:tcPr>
          <w:p w14:paraId="7840D007" w14:textId="77777777" w:rsidR="00D8365A" w:rsidRPr="00362517" w:rsidRDefault="00D8365A" w:rsidP="00BF6BC7">
            <w:pPr>
              <w:jc w:val="right"/>
            </w:pPr>
            <w:r w:rsidRPr="00362517">
              <w:t>0</w:t>
            </w:r>
          </w:p>
        </w:tc>
      </w:tr>
      <w:tr w:rsidR="00D8365A" w:rsidRPr="00362517" w14:paraId="4232DB0C"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782ECC56" w14:textId="77777777" w:rsidR="00D8365A" w:rsidRPr="00362517" w:rsidRDefault="00D8365A" w:rsidP="00BF6BC7">
            <w:r w:rsidRPr="00362517">
              <w:t>New Jersey</w:t>
            </w:r>
          </w:p>
        </w:tc>
        <w:tc>
          <w:tcPr>
            <w:tcW w:w="879" w:type="pct"/>
            <w:tcBorders>
              <w:top w:val="nil"/>
              <w:left w:val="nil"/>
              <w:bottom w:val="single" w:sz="4" w:space="0" w:color="auto"/>
              <w:right w:val="single" w:sz="4" w:space="0" w:color="auto"/>
            </w:tcBorders>
            <w:shd w:val="clear" w:color="auto" w:fill="auto"/>
            <w:noWrap/>
            <w:vAlign w:val="bottom"/>
            <w:hideMark/>
          </w:tcPr>
          <w:p w14:paraId="3661FC60" w14:textId="77777777" w:rsidR="00D8365A" w:rsidRPr="00362517" w:rsidRDefault="00D8365A" w:rsidP="00BF6BC7">
            <w:pPr>
              <w:jc w:val="right"/>
            </w:pPr>
            <w:r w:rsidRPr="00362517">
              <w:t>3,053</w:t>
            </w:r>
          </w:p>
        </w:tc>
        <w:tc>
          <w:tcPr>
            <w:tcW w:w="894" w:type="pct"/>
            <w:tcBorders>
              <w:top w:val="nil"/>
              <w:left w:val="nil"/>
              <w:bottom w:val="single" w:sz="4" w:space="0" w:color="auto"/>
              <w:right w:val="single" w:sz="4" w:space="0" w:color="auto"/>
            </w:tcBorders>
            <w:shd w:val="clear" w:color="auto" w:fill="auto"/>
            <w:noWrap/>
            <w:vAlign w:val="bottom"/>
            <w:hideMark/>
          </w:tcPr>
          <w:p w14:paraId="681BAF89" w14:textId="77777777" w:rsidR="00D8365A" w:rsidRPr="00362517" w:rsidRDefault="00D8365A" w:rsidP="00BF6BC7">
            <w:pPr>
              <w:jc w:val="right"/>
            </w:pPr>
            <w:r w:rsidRPr="00362517">
              <w:t>3,017</w:t>
            </w:r>
          </w:p>
        </w:tc>
        <w:tc>
          <w:tcPr>
            <w:tcW w:w="872" w:type="pct"/>
            <w:tcBorders>
              <w:top w:val="nil"/>
              <w:left w:val="nil"/>
              <w:bottom w:val="single" w:sz="4" w:space="0" w:color="auto"/>
              <w:right w:val="single" w:sz="4" w:space="0" w:color="auto"/>
            </w:tcBorders>
            <w:shd w:val="clear" w:color="auto" w:fill="auto"/>
            <w:noWrap/>
            <w:vAlign w:val="bottom"/>
            <w:hideMark/>
          </w:tcPr>
          <w:p w14:paraId="092A119C" w14:textId="77777777" w:rsidR="00D8365A" w:rsidRPr="00362517" w:rsidRDefault="00D8365A" w:rsidP="00BF6BC7">
            <w:pPr>
              <w:jc w:val="right"/>
            </w:pPr>
            <w:r w:rsidRPr="00362517">
              <w:t>30</w:t>
            </w:r>
          </w:p>
        </w:tc>
        <w:tc>
          <w:tcPr>
            <w:tcW w:w="1065" w:type="pct"/>
            <w:tcBorders>
              <w:top w:val="nil"/>
              <w:left w:val="nil"/>
              <w:bottom w:val="single" w:sz="4" w:space="0" w:color="auto"/>
              <w:right w:val="single" w:sz="4" w:space="0" w:color="auto"/>
            </w:tcBorders>
            <w:shd w:val="clear" w:color="auto" w:fill="auto"/>
            <w:noWrap/>
            <w:vAlign w:val="bottom"/>
            <w:hideMark/>
          </w:tcPr>
          <w:p w14:paraId="2DF2444C" w14:textId="77777777" w:rsidR="00D8365A" w:rsidRPr="00362517" w:rsidRDefault="00D8365A" w:rsidP="00BF6BC7">
            <w:pPr>
              <w:jc w:val="right"/>
            </w:pPr>
            <w:r w:rsidRPr="00362517">
              <w:t>4</w:t>
            </w:r>
          </w:p>
        </w:tc>
      </w:tr>
      <w:tr w:rsidR="00D8365A" w:rsidRPr="00362517" w14:paraId="5A7C9E4B"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340A211E" w14:textId="77777777" w:rsidR="00D8365A" w:rsidRPr="00362517" w:rsidRDefault="00D8365A" w:rsidP="00BF6BC7">
            <w:r w:rsidRPr="00362517">
              <w:t>New Mexico</w:t>
            </w:r>
          </w:p>
        </w:tc>
        <w:tc>
          <w:tcPr>
            <w:tcW w:w="879" w:type="pct"/>
            <w:tcBorders>
              <w:top w:val="nil"/>
              <w:left w:val="nil"/>
              <w:bottom w:val="single" w:sz="4" w:space="0" w:color="auto"/>
              <w:right w:val="single" w:sz="4" w:space="0" w:color="auto"/>
            </w:tcBorders>
            <w:shd w:val="clear" w:color="auto" w:fill="auto"/>
            <w:noWrap/>
            <w:vAlign w:val="bottom"/>
            <w:hideMark/>
          </w:tcPr>
          <w:p w14:paraId="03A559DD" w14:textId="77777777" w:rsidR="00D8365A" w:rsidRPr="00362517" w:rsidRDefault="00D8365A" w:rsidP="00BF6BC7">
            <w:pPr>
              <w:jc w:val="right"/>
            </w:pPr>
            <w:r w:rsidRPr="00362517">
              <w:t>3,734</w:t>
            </w:r>
          </w:p>
        </w:tc>
        <w:tc>
          <w:tcPr>
            <w:tcW w:w="894" w:type="pct"/>
            <w:tcBorders>
              <w:top w:val="nil"/>
              <w:left w:val="nil"/>
              <w:bottom w:val="single" w:sz="4" w:space="0" w:color="auto"/>
              <w:right w:val="single" w:sz="4" w:space="0" w:color="auto"/>
            </w:tcBorders>
            <w:shd w:val="clear" w:color="auto" w:fill="auto"/>
            <w:noWrap/>
            <w:vAlign w:val="bottom"/>
            <w:hideMark/>
          </w:tcPr>
          <w:p w14:paraId="79751E37" w14:textId="77777777" w:rsidR="00D8365A" w:rsidRPr="00362517" w:rsidRDefault="00D8365A" w:rsidP="00BF6BC7">
            <w:pPr>
              <w:jc w:val="right"/>
            </w:pPr>
            <w:r w:rsidRPr="00362517">
              <w:t>3,351</w:t>
            </w:r>
          </w:p>
        </w:tc>
        <w:tc>
          <w:tcPr>
            <w:tcW w:w="872" w:type="pct"/>
            <w:tcBorders>
              <w:top w:val="nil"/>
              <w:left w:val="nil"/>
              <w:bottom w:val="single" w:sz="4" w:space="0" w:color="auto"/>
              <w:right w:val="single" w:sz="4" w:space="0" w:color="auto"/>
            </w:tcBorders>
            <w:shd w:val="clear" w:color="auto" w:fill="auto"/>
            <w:noWrap/>
            <w:vAlign w:val="bottom"/>
            <w:hideMark/>
          </w:tcPr>
          <w:p w14:paraId="1D152742" w14:textId="77777777" w:rsidR="00D8365A" w:rsidRPr="00362517" w:rsidRDefault="00D8365A" w:rsidP="00BF6BC7">
            <w:pPr>
              <w:jc w:val="right"/>
            </w:pPr>
            <w:r w:rsidRPr="00362517">
              <w:t>138</w:t>
            </w:r>
          </w:p>
        </w:tc>
        <w:tc>
          <w:tcPr>
            <w:tcW w:w="1065" w:type="pct"/>
            <w:tcBorders>
              <w:top w:val="nil"/>
              <w:left w:val="nil"/>
              <w:bottom w:val="single" w:sz="4" w:space="0" w:color="auto"/>
              <w:right w:val="single" w:sz="4" w:space="0" w:color="auto"/>
            </w:tcBorders>
            <w:shd w:val="clear" w:color="auto" w:fill="auto"/>
            <w:noWrap/>
            <w:vAlign w:val="bottom"/>
            <w:hideMark/>
          </w:tcPr>
          <w:p w14:paraId="4F8FCB71" w14:textId="77777777" w:rsidR="00D8365A" w:rsidRPr="00362517" w:rsidRDefault="00D8365A" w:rsidP="00BF6BC7">
            <w:pPr>
              <w:jc w:val="right"/>
            </w:pPr>
            <w:r w:rsidRPr="00362517">
              <w:t>16</w:t>
            </w:r>
          </w:p>
        </w:tc>
      </w:tr>
      <w:tr w:rsidR="00D8365A" w:rsidRPr="00362517" w14:paraId="295F4575"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79D180D4" w14:textId="77777777" w:rsidR="00D8365A" w:rsidRPr="00362517" w:rsidRDefault="00D8365A" w:rsidP="00BF6BC7">
            <w:r w:rsidRPr="00362517">
              <w:t>New York</w:t>
            </w:r>
          </w:p>
        </w:tc>
        <w:tc>
          <w:tcPr>
            <w:tcW w:w="879" w:type="pct"/>
            <w:tcBorders>
              <w:top w:val="nil"/>
              <w:left w:val="nil"/>
              <w:bottom w:val="single" w:sz="4" w:space="0" w:color="auto"/>
              <w:right w:val="single" w:sz="4" w:space="0" w:color="auto"/>
            </w:tcBorders>
            <w:shd w:val="clear" w:color="auto" w:fill="auto"/>
            <w:noWrap/>
            <w:vAlign w:val="bottom"/>
            <w:hideMark/>
          </w:tcPr>
          <w:p w14:paraId="75484032" w14:textId="77777777" w:rsidR="00D8365A" w:rsidRPr="00362517" w:rsidRDefault="00D8365A" w:rsidP="00BF6BC7">
            <w:pPr>
              <w:jc w:val="right"/>
            </w:pPr>
            <w:r w:rsidRPr="00362517">
              <w:t>10,851</w:t>
            </w:r>
          </w:p>
        </w:tc>
        <w:tc>
          <w:tcPr>
            <w:tcW w:w="894" w:type="pct"/>
            <w:tcBorders>
              <w:top w:val="nil"/>
              <w:left w:val="nil"/>
              <w:bottom w:val="single" w:sz="4" w:space="0" w:color="auto"/>
              <w:right w:val="single" w:sz="4" w:space="0" w:color="auto"/>
            </w:tcBorders>
            <w:shd w:val="clear" w:color="auto" w:fill="auto"/>
            <w:noWrap/>
            <w:vAlign w:val="bottom"/>
            <w:hideMark/>
          </w:tcPr>
          <w:p w14:paraId="6FD3AFAE" w14:textId="77777777" w:rsidR="00D8365A" w:rsidRPr="00362517" w:rsidRDefault="00D8365A" w:rsidP="00BF6BC7">
            <w:pPr>
              <w:jc w:val="right"/>
            </w:pPr>
            <w:r w:rsidRPr="00362517">
              <w:t>10,746</w:t>
            </w:r>
          </w:p>
        </w:tc>
        <w:tc>
          <w:tcPr>
            <w:tcW w:w="872" w:type="pct"/>
            <w:tcBorders>
              <w:top w:val="nil"/>
              <w:left w:val="nil"/>
              <w:bottom w:val="single" w:sz="4" w:space="0" w:color="auto"/>
              <w:right w:val="single" w:sz="4" w:space="0" w:color="auto"/>
            </w:tcBorders>
            <w:shd w:val="clear" w:color="auto" w:fill="auto"/>
            <w:noWrap/>
            <w:vAlign w:val="bottom"/>
            <w:hideMark/>
          </w:tcPr>
          <w:p w14:paraId="2707873F" w14:textId="77777777" w:rsidR="00D8365A" w:rsidRPr="00362517" w:rsidRDefault="00D8365A" w:rsidP="00BF6BC7">
            <w:pPr>
              <w:jc w:val="right"/>
            </w:pPr>
            <w:r w:rsidRPr="00362517">
              <w:t>69</w:t>
            </w:r>
          </w:p>
        </w:tc>
        <w:tc>
          <w:tcPr>
            <w:tcW w:w="1065" w:type="pct"/>
            <w:tcBorders>
              <w:top w:val="nil"/>
              <w:left w:val="nil"/>
              <w:bottom w:val="single" w:sz="4" w:space="0" w:color="auto"/>
              <w:right w:val="single" w:sz="4" w:space="0" w:color="auto"/>
            </w:tcBorders>
            <w:shd w:val="clear" w:color="auto" w:fill="auto"/>
            <w:noWrap/>
            <w:vAlign w:val="bottom"/>
            <w:hideMark/>
          </w:tcPr>
          <w:p w14:paraId="66DC380D" w14:textId="77777777" w:rsidR="00D8365A" w:rsidRPr="00362517" w:rsidRDefault="00D8365A" w:rsidP="00BF6BC7">
            <w:pPr>
              <w:jc w:val="right"/>
            </w:pPr>
            <w:r w:rsidRPr="00362517">
              <w:t>12</w:t>
            </w:r>
          </w:p>
        </w:tc>
      </w:tr>
      <w:tr w:rsidR="00D8365A" w:rsidRPr="00362517" w14:paraId="53381E1D"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46F86136" w14:textId="77777777" w:rsidR="00D8365A" w:rsidRPr="00362517" w:rsidRDefault="00D8365A" w:rsidP="00BF6BC7">
            <w:r w:rsidRPr="00362517">
              <w:t>North Carolina</w:t>
            </w:r>
          </w:p>
        </w:tc>
        <w:tc>
          <w:tcPr>
            <w:tcW w:w="879" w:type="pct"/>
            <w:tcBorders>
              <w:top w:val="nil"/>
              <w:left w:val="nil"/>
              <w:bottom w:val="single" w:sz="4" w:space="0" w:color="auto"/>
              <w:right w:val="single" w:sz="4" w:space="0" w:color="auto"/>
            </w:tcBorders>
            <w:shd w:val="clear" w:color="auto" w:fill="auto"/>
            <w:noWrap/>
            <w:vAlign w:val="bottom"/>
            <w:hideMark/>
          </w:tcPr>
          <w:p w14:paraId="41B627F0" w14:textId="77777777" w:rsidR="00D8365A" w:rsidRPr="00362517" w:rsidRDefault="00D8365A" w:rsidP="00BF6BC7">
            <w:pPr>
              <w:jc w:val="right"/>
            </w:pPr>
            <w:r w:rsidRPr="00362517">
              <w:t>17,960</w:t>
            </w:r>
          </w:p>
        </w:tc>
        <w:tc>
          <w:tcPr>
            <w:tcW w:w="894" w:type="pct"/>
            <w:tcBorders>
              <w:top w:val="nil"/>
              <w:left w:val="nil"/>
              <w:bottom w:val="single" w:sz="4" w:space="0" w:color="auto"/>
              <w:right w:val="single" w:sz="4" w:space="0" w:color="auto"/>
            </w:tcBorders>
            <w:shd w:val="clear" w:color="auto" w:fill="auto"/>
            <w:noWrap/>
            <w:vAlign w:val="bottom"/>
            <w:hideMark/>
          </w:tcPr>
          <w:p w14:paraId="0426FB6E" w14:textId="77777777" w:rsidR="00D8365A" w:rsidRPr="00362517" w:rsidRDefault="00D8365A" w:rsidP="00BF6BC7">
            <w:pPr>
              <w:jc w:val="right"/>
            </w:pPr>
            <w:r w:rsidRPr="00362517">
              <w:t>17,730</w:t>
            </w:r>
          </w:p>
        </w:tc>
        <w:tc>
          <w:tcPr>
            <w:tcW w:w="872" w:type="pct"/>
            <w:tcBorders>
              <w:top w:val="nil"/>
              <w:left w:val="nil"/>
              <w:bottom w:val="single" w:sz="4" w:space="0" w:color="auto"/>
              <w:right w:val="single" w:sz="4" w:space="0" w:color="auto"/>
            </w:tcBorders>
            <w:shd w:val="clear" w:color="auto" w:fill="auto"/>
            <w:noWrap/>
            <w:vAlign w:val="bottom"/>
            <w:hideMark/>
          </w:tcPr>
          <w:p w14:paraId="66886B3F" w14:textId="77777777" w:rsidR="00D8365A" w:rsidRPr="00362517" w:rsidRDefault="00D8365A" w:rsidP="00BF6BC7">
            <w:pPr>
              <w:jc w:val="right"/>
            </w:pPr>
            <w:r w:rsidRPr="00362517">
              <w:t>135</w:t>
            </w:r>
          </w:p>
        </w:tc>
        <w:tc>
          <w:tcPr>
            <w:tcW w:w="1065" w:type="pct"/>
            <w:tcBorders>
              <w:top w:val="nil"/>
              <w:left w:val="nil"/>
              <w:bottom w:val="single" w:sz="4" w:space="0" w:color="auto"/>
              <w:right w:val="single" w:sz="4" w:space="0" w:color="auto"/>
            </w:tcBorders>
            <w:shd w:val="clear" w:color="auto" w:fill="auto"/>
            <w:noWrap/>
            <w:vAlign w:val="bottom"/>
            <w:hideMark/>
          </w:tcPr>
          <w:p w14:paraId="1A874A3F" w14:textId="77777777" w:rsidR="00D8365A" w:rsidRPr="00362517" w:rsidRDefault="00D8365A" w:rsidP="00BF6BC7">
            <w:pPr>
              <w:jc w:val="right"/>
            </w:pPr>
            <w:r w:rsidRPr="00362517">
              <w:t>26</w:t>
            </w:r>
          </w:p>
        </w:tc>
      </w:tr>
      <w:tr w:rsidR="00D8365A" w:rsidRPr="00362517" w14:paraId="247A284B"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2AE82676" w14:textId="77777777" w:rsidR="00D8365A" w:rsidRPr="00362517" w:rsidRDefault="00D8365A" w:rsidP="00BF6BC7">
            <w:r w:rsidRPr="00362517">
              <w:t>North Dakota</w:t>
            </w:r>
          </w:p>
        </w:tc>
        <w:tc>
          <w:tcPr>
            <w:tcW w:w="879" w:type="pct"/>
            <w:tcBorders>
              <w:top w:val="nil"/>
              <w:left w:val="nil"/>
              <w:bottom w:val="single" w:sz="4" w:space="0" w:color="auto"/>
              <w:right w:val="single" w:sz="4" w:space="0" w:color="auto"/>
            </w:tcBorders>
            <w:shd w:val="clear" w:color="auto" w:fill="auto"/>
            <w:noWrap/>
            <w:vAlign w:val="bottom"/>
            <w:hideMark/>
          </w:tcPr>
          <w:p w14:paraId="2718543C" w14:textId="77777777" w:rsidR="00D8365A" w:rsidRPr="00362517" w:rsidRDefault="00D8365A" w:rsidP="00BF6BC7">
            <w:pPr>
              <w:jc w:val="right"/>
            </w:pPr>
            <w:r w:rsidRPr="00362517">
              <w:t>17,980</w:t>
            </w:r>
          </w:p>
        </w:tc>
        <w:tc>
          <w:tcPr>
            <w:tcW w:w="894" w:type="pct"/>
            <w:tcBorders>
              <w:top w:val="nil"/>
              <w:left w:val="nil"/>
              <w:bottom w:val="single" w:sz="4" w:space="0" w:color="auto"/>
              <w:right w:val="single" w:sz="4" w:space="0" w:color="auto"/>
            </w:tcBorders>
            <w:shd w:val="clear" w:color="auto" w:fill="auto"/>
            <w:noWrap/>
            <w:vAlign w:val="bottom"/>
            <w:hideMark/>
          </w:tcPr>
          <w:p w14:paraId="6B6453B1" w14:textId="77777777" w:rsidR="00D8365A" w:rsidRPr="00362517" w:rsidRDefault="00D8365A" w:rsidP="00BF6BC7">
            <w:pPr>
              <w:jc w:val="right"/>
            </w:pPr>
            <w:r w:rsidRPr="00362517">
              <w:t>17,266</w:t>
            </w:r>
          </w:p>
        </w:tc>
        <w:tc>
          <w:tcPr>
            <w:tcW w:w="872" w:type="pct"/>
            <w:tcBorders>
              <w:top w:val="nil"/>
              <w:left w:val="nil"/>
              <w:bottom w:val="single" w:sz="4" w:space="0" w:color="auto"/>
              <w:right w:val="single" w:sz="4" w:space="0" w:color="auto"/>
            </w:tcBorders>
            <w:shd w:val="clear" w:color="auto" w:fill="auto"/>
            <w:noWrap/>
            <w:vAlign w:val="bottom"/>
            <w:hideMark/>
          </w:tcPr>
          <w:p w14:paraId="02EB9B99" w14:textId="77777777" w:rsidR="00D8365A" w:rsidRPr="00362517" w:rsidRDefault="00D8365A" w:rsidP="00BF6BC7">
            <w:pPr>
              <w:jc w:val="right"/>
            </w:pPr>
            <w:r w:rsidRPr="00362517">
              <w:t>607</w:t>
            </w:r>
          </w:p>
        </w:tc>
        <w:tc>
          <w:tcPr>
            <w:tcW w:w="1065" w:type="pct"/>
            <w:tcBorders>
              <w:top w:val="nil"/>
              <w:left w:val="nil"/>
              <w:bottom w:val="single" w:sz="4" w:space="0" w:color="auto"/>
              <w:right w:val="single" w:sz="4" w:space="0" w:color="auto"/>
            </w:tcBorders>
            <w:shd w:val="clear" w:color="auto" w:fill="auto"/>
            <w:noWrap/>
            <w:vAlign w:val="bottom"/>
            <w:hideMark/>
          </w:tcPr>
          <w:p w14:paraId="23BCFE72" w14:textId="77777777" w:rsidR="00D8365A" w:rsidRPr="00362517" w:rsidRDefault="00D8365A" w:rsidP="00BF6BC7">
            <w:pPr>
              <w:jc w:val="right"/>
            </w:pPr>
            <w:r w:rsidRPr="00362517">
              <w:t>81</w:t>
            </w:r>
          </w:p>
        </w:tc>
      </w:tr>
      <w:tr w:rsidR="00D8365A" w:rsidRPr="00362517" w14:paraId="26BA7D2C"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7D689DA8" w14:textId="77777777" w:rsidR="00D8365A" w:rsidRPr="00362517" w:rsidRDefault="00D8365A" w:rsidP="00BF6BC7">
            <w:r w:rsidRPr="00362517">
              <w:t>Ohio</w:t>
            </w:r>
          </w:p>
        </w:tc>
        <w:tc>
          <w:tcPr>
            <w:tcW w:w="879" w:type="pct"/>
            <w:tcBorders>
              <w:top w:val="nil"/>
              <w:left w:val="nil"/>
              <w:bottom w:val="single" w:sz="4" w:space="0" w:color="auto"/>
              <w:right w:val="single" w:sz="4" w:space="0" w:color="auto"/>
            </w:tcBorders>
            <w:shd w:val="clear" w:color="auto" w:fill="auto"/>
            <w:noWrap/>
            <w:vAlign w:val="bottom"/>
            <w:hideMark/>
          </w:tcPr>
          <w:p w14:paraId="3175431F" w14:textId="77777777" w:rsidR="00D8365A" w:rsidRPr="00362517" w:rsidRDefault="00D8365A" w:rsidP="00BF6BC7">
            <w:pPr>
              <w:jc w:val="right"/>
            </w:pPr>
            <w:r w:rsidRPr="00362517">
              <w:t>18,420</w:t>
            </w:r>
          </w:p>
        </w:tc>
        <w:tc>
          <w:tcPr>
            <w:tcW w:w="894" w:type="pct"/>
            <w:tcBorders>
              <w:top w:val="nil"/>
              <w:left w:val="nil"/>
              <w:bottom w:val="single" w:sz="4" w:space="0" w:color="auto"/>
              <w:right w:val="single" w:sz="4" w:space="0" w:color="auto"/>
            </w:tcBorders>
            <w:shd w:val="clear" w:color="auto" w:fill="auto"/>
            <w:noWrap/>
            <w:vAlign w:val="bottom"/>
            <w:hideMark/>
          </w:tcPr>
          <w:p w14:paraId="7A9CD74C" w14:textId="77777777" w:rsidR="00D8365A" w:rsidRPr="00362517" w:rsidRDefault="00D8365A" w:rsidP="00BF6BC7">
            <w:pPr>
              <w:jc w:val="right"/>
            </w:pPr>
            <w:r w:rsidRPr="00362517">
              <w:t>18,216</w:t>
            </w:r>
          </w:p>
        </w:tc>
        <w:tc>
          <w:tcPr>
            <w:tcW w:w="872" w:type="pct"/>
            <w:tcBorders>
              <w:top w:val="nil"/>
              <w:left w:val="nil"/>
              <w:bottom w:val="single" w:sz="4" w:space="0" w:color="auto"/>
              <w:right w:val="single" w:sz="4" w:space="0" w:color="auto"/>
            </w:tcBorders>
            <w:shd w:val="clear" w:color="auto" w:fill="auto"/>
            <w:noWrap/>
            <w:vAlign w:val="bottom"/>
            <w:hideMark/>
          </w:tcPr>
          <w:p w14:paraId="6DFC730C" w14:textId="77777777" w:rsidR="00D8365A" w:rsidRPr="00362517" w:rsidRDefault="00D8365A" w:rsidP="00BF6BC7">
            <w:pPr>
              <w:jc w:val="right"/>
            </w:pPr>
            <w:r w:rsidRPr="00362517">
              <w:t>125</w:t>
            </w:r>
          </w:p>
        </w:tc>
        <w:tc>
          <w:tcPr>
            <w:tcW w:w="1065" w:type="pct"/>
            <w:tcBorders>
              <w:top w:val="nil"/>
              <w:left w:val="nil"/>
              <w:bottom w:val="single" w:sz="4" w:space="0" w:color="auto"/>
              <w:right w:val="single" w:sz="4" w:space="0" w:color="auto"/>
            </w:tcBorders>
            <w:shd w:val="clear" w:color="auto" w:fill="auto"/>
            <w:noWrap/>
            <w:vAlign w:val="bottom"/>
            <w:hideMark/>
          </w:tcPr>
          <w:p w14:paraId="08D677B1" w14:textId="77777777" w:rsidR="00D8365A" w:rsidRPr="00362517" w:rsidRDefault="00D8365A" w:rsidP="00BF6BC7">
            <w:pPr>
              <w:jc w:val="right"/>
            </w:pPr>
            <w:r w:rsidRPr="00362517">
              <w:t>23</w:t>
            </w:r>
          </w:p>
        </w:tc>
      </w:tr>
      <w:tr w:rsidR="00D8365A" w:rsidRPr="00362517" w14:paraId="0B6130FB"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5B60B97B" w14:textId="77777777" w:rsidR="00D8365A" w:rsidRPr="00362517" w:rsidRDefault="00D8365A" w:rsidP="00BF6BC7">
            <w:r w:rsidRPr="00362517">
              <w:t>Oklahoma</w:t>
            </w:r>
          </w:p>
        </w:tc>
        <w:tc>
          <w:tcPr>
            <w:tcW w:w="879" w:type="pct"/>
            <w:tcBorders>
              <w:top w:val="nil"/>
              <w:left w:val="nil"/>
              <w:bottom w:val="single" w:sz="4" w:space="0" w:color="auto"/>
              <w:right w:val="single" w:sz="4" w:space="0" w:color="auto"/>
            </w:tcBorders>
            <w:shd w:val="clear" w:color="auto" w:fill="auto"/>
            <w:noWrap/>
            <w:vAlign w:val="bottom"/>
            <w:hideMark/>
          </w:tcPr>
          <w:p w14:paraId="28B87BE0" w14:textId="77777777" w:rsidR="00D8365A" w:rsidRPr="00362517" w:rsidRDefault="00D8365A" w:rsidP="00BF6BC7">
            <w:pPr>
              <w:jc w:val="right"/>
            </w:pPr>
            <w:r w:rsidRPr="00362517">
              <w:t>24,648</w:t>
            </w:r>
          </w:p>
        </w:tc>
        <w:tc>
          <w:tcPr>
            <w:tcW w:w="894" w:type="pct"/>
            <w:tcBorders>
              <w:top w:val="nil"/>
              <w:left w:val="nil"/>
              <w:bottom w:val="single" w:sz="4" w:space="0" w:color="auto"/>
              <w:right w:val="single" w:sz="4" w:space="0" w:color="auto"/>
            </w:tcBorders>
            <w:shd w:val="clear" w:color="auto" w:fill="auto"/>
            <w:noWrap/>
            <w:vAlign w:val="bottom"/>
            <w:hideMark/>
          </w:tcPr>
          <w:p w14:paraId="48751232" w14:textId="77777777" w:rsidR="00D8365A" w:rsidRPr="00362517" w:rsidRDefault="00D8365A" w:rsidP="00BF6BC7">
            <w:pPr>
              <w:jc w:val="right"/>
            </w:pPr>
            <w:r w:rsidRPr="00362517">
              <w:t>24,191</w:t>
            </w:r>
          </w:p>
        </w:tc>
        <w:tc>
          <w:tcPr>
            <w:tcW w:w="872" w:type="pct"/>
            <w:tcBorders>
              <w:top w:val="nil"/>
              <w:left w:val="nil"/>
              <w:bottom w:val="single" w:sz="4" w:space="0" w:color="auto"/>
              <w:right w:val="single" w:sz="4" w:space="0" w:color="auto"/>
            </w:tcBorders>
            <w:shd w:val="clear" w:color="auto" w:fill="auto"/>
            <w:noWrap/>
            <w:vAlign w:val="bottom"/>
            <w:hideMark/>
          </w:tcPr>
          <w:p w14:paraId="4E47EF7D" w14:textId="77777777" w:rsidR="00D8365A" w:rsidRPr="00362517" w:rsidRDefault="00D8365A" w:rsidP="00BF6BC7">
            <w:pPr>
              <w:jc w:val="right"/>
            </w:pPr>
            <w:r w:rsidRPr="00362517">
              <w:t>423</w:t>
            </w:r>
          </w:p>
        </w:tc>
        <w:tc>
          <w:tcPr>
            <w:tcW w:w="1065" w:type="pct"/>
            <w:tcBorders>
              <w:top w:val="nil"/>
              <w:left w:val="nil"/>
              <w:bottom w:val="single" w:sz="4" w:space="0" w:color="auto"/>
              <w:right w:val="single" w:sz="4" w:space="0" w:color="auto"/>
            </w:tcBorders>
            <w:shd w:val="clear" w:color="auto" w:fill="auto"/>
            <w:noWrap/>
            <w:vAlign w:val="bottom"/>
            <w:hideMark/>
          </w:tcPr>
          <w:p w14:paraId="38BB7AC2" w14:textId="77777777" w:rsidR="00D8365A" w:rsidRPr="00362517" w:rsidRDefault="00D8365A" w:rsidP="00BF6BC7">
            <w:pPr>
              <w:jc w:val="right"/>
            </w:pPr>
            <w:r w:rsidRPr="00362517">
              <w:t>52</w:t>
            </w:r>
          </w:p>
        </w:tc>
      </w:tr>
      <w:tr w:rsidR="00D8365A" w:rsidRPr="00362517" w14:paraId="7F282697"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2AA0D21F" w14:textId="77777777" w:rsidR="00D8365A" w:rsidRPr="00362517" w:rsidRDefault="00D8365A" w:rsidP="00BF6BC7">
            <w:r w:rsidRPr="00362517">
              <w:t>Oregon</w:t>
            </w:r>
          </w:p>
        </w:tc>
        <w:tc>
          <w:tcPr>
            <w:tcW w:w="879" w:type="pct"/>
            <w:tcBorders>
              <w:top w:val="nil"/>
              <w:left w:val="nil"/>
              <w:bottom w:val="single" w:sz="4" w:space="0" w:color="auto"/>
              <w:right w:val="single" w:sz="4" w:space="0" w:color="auto"/>
            </w:tcBorders>
            <w:shd w:val="clear" w:color="auto" w:fill="auto"/>
            <w:noWrap/>
            <w:vAlign w:val="bottom"/>
            <w:hideMark/>
          </w:tcPr>
          <w:p w14:paraId="76A9A6EE" w14:textId="77777777" w:rsidR="00D8365A" w:rsidRPr="00362517" w:rsidRDefault="00D8365A" w:rsidP="00BF6BC7">
            <w:pPr>
              <w:jc w:val="right"/>
            </w:pPr>
            <w:r w:rsidRPr="00362517">
              <w:t>8,944</w:t>
            </w:r>
          </w:p>
        </w:tc>
        <w:tc>
          <w:tcPr>
            <w:tcW w:w="894" w:type="pct"/>
            <w:tcBorders>
              <w:top w:val="nil"/>
              <w:left w:val="nil"/>
              <w:bottom w:val="single" w:sz="4" w:space="0" w:color="auto"/>
              <w:right w:val="single" w:sz="4" w:space="0" w:color="auto"/>
            </w:tcBorders>
            <w:shd w:val="clear" w:color="auto" w:fill="auto"/>
            <w:noWrap/>
            <w:vAlign w:val="bottom"/>
            <w:hideMark/>
          </w:tcPr>
          <w:p w14:paraId="6575F716" w14:textId="77777777" w:rsidR="00D8365A" w:rsidRPr="00362517" w:rsidRDefault="00D8365A" w:rsidP="00BF6BC7">
            <w:pPr>
              <w:jc w:val="right"/>
            </w:pPr>
            <w:r w:rsidRPr="00362517">
              <w:t>8,879</w:t>
            </w:r>
          </w:p>
        </w:tc>
        <w:tc>
          <w:tcPr>
            <w:tcW w:w="872" w:type="pct"/>
            <w:tcBorders>
              <w:top w:val="nil"/>
              <w:left w:val="nil"/>
              <w:bottom w:val="single" w:sz="4" w:space="0" w:color="auto"/>
              <w:right w:val="single" w:sz="4" w:space="0" w:color="auto"/>
            </w:tcBorders>
            <w:shd w:val="clear" w:color="auto" w:fill="auto"/>
            <w:noWrap/>
            <w:vAlign w:val="bottom"/>
            <w:hideMark/>
          </w:tcPr>
          <w:p w14:paraId="7995064B" w14:textId="77777777" w:rsidR="00D8365A" w:rsidRPr="00362517" w:rsidRDefault="00D8365A" w:rsidP="00BF6BC7">
            <w:pPr>
              <w:jc w:val="right"/>
            </w:pPr>
            <w:r w:rsidRPr="00362517">
              <w:t>48</w:t>
            </w:r>
          </w:p>
        </w:tc>
        <w:tc>
          <w:tcPr>
            <w:tcW w:w="1065" w:type="pct"/>
            <w:tcBorders>
              <w:top w:val="nil"/>
              <w:left w:val="nil"/>
              <w:bottom w:val="single" w:sz="4" w:space="0" w:color="auto"/>
              <w:right w:val="single" w:sz="4" w:space="0" w:color="auto"/>
            </w:tcBorders>
            <w:shd w:val="clear" w:color="auto" w:fill="auto"/>
            <w:noWrap/>
            <w:vAlign w:val="bottom"/>
            <w:hideMark/>
          </w:tcPr>
          <w:p w14:paraId="651F5C63" w14:textId="77777777" w:rsidR="00D8365A" w:rsidRPr="00362517" w:rsidRDefault="00D8365A" w:rsidP="00BF6BC7">
            <w:pPr>
              <w:jc w:val="right"/>
            </w:pPr>
            <w:r w:rsidRPr="00362517">
              <w:t>7</w:t>
            </w:r>
          </w:p>
        </w:tc>
      </w:tr>
      <w:tr w:rsidR="00D8365A" w:rsidRPr="00362517" w14:paraId="1048E459"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425D6CE3" w14:textId="77777777" w:rsidR="00D8365A" w:rsidRPr="00362517" w:rsidRDefault="00D8365A" w:rsidP="00BF6BC7">
            <w:r w:rsidRPr="00362517">
              <w:t>Pennsylvania</w:t>
            </w:r>
          </w:p>
        </w:tc>
        <w:tc>
          <w:tcPr>
            <w:tcW w:w="879" w:type="pct"/>
            <w:tcBorders>
              <w:top w:val="nil"/>
              <w:left w:val="nil"/>
              <w:bottom w:val="single" w:sz="4" w:space="0" w:color="auto"/>
              <w:right w:val="single" w:sz="4" w:space="0" w:color="auto"/>
            </w:tcBorders>
            <w:shd w:val="clear" w:color="auto" w:fill="auto"/>
            <w:noWrap/>
            <w:vAlign w:val="bottom"/>
            <w:hideMark/>
          </w:tcPr>
          <w:p w14:paraId="15270806" w14:textId="77777777" w:rsidR="00D8365A" w:rsidRPr="00362517" w:rsidRDefault="00D8365A" w:rsidP="00BF6BC7">
            <w:pPr>
              <w:jc w:val="right"/>
            </w:pPr>
            <w:r w:rsidRPr="00362517">
              <w:t>19,013</w:t>
            </w:r>
          </w:p>
        </w:tc>
        <w:tc>
          <w:tcPr>
            <w:tcW w:w="894" w:type="pct"/>
            <w:tcBorders>
              <w:top w:val="nil"/>
              <w:left w:val="nil"/>
              <w:bottom w:val="single" w:sz="4" w:space="0" w:color="auto"/>
              <w:right w:val="single" w:sz="4" w:space="0" w:color="auto"/>
            </w:tcBorders>
            <w:shd w:val="clear" w:color="auto" w:fill="auto"/>
            <w:noWrap/>
            <w:vAlign w:val="bottom"/>
            <w:hideMark/>
          </w:tcPr>
          <w:p w14:paraId="156B9391" w14:textId="77777777" w:rsidR="00D8365A" w:rsidRPr="00362517" w:rsidRDefault="00D8365A" w:rsidP="00BF6BC7">
            <w:pPr>
              <w:jc w:val="right"/>
            </w:pPr>
            <w:r w:rsidRPr="00362517">
              <w:t>18,503</w:t>
            </w:r>
          </w:p>
        </w:tc>
        <w:tc>
          <w:tcPr>
            <w:tcW w:w="872" w:type="pct"/>
            <w:tcBorders>
              <w:top w:val="nil"/>
              <w:left w:val="nil"/>
              <w:bottom w:val="single" w:sz="4" w:space="0" w:color="auto"/>
              <w:right w:val="single" w:sz="4" w:space="0" w:color="auto"/>
            </w:tcBorders>
            <w:shd w:val="clear" w:color="auto" w:fill="auto"/>
            <w:noWrap/>
            <w:vAlign w:val="bottom"/>
            <w:hideMark/>
          </w:tcPr>
          <w:p w14:paraId="5B08DCCB" w14:textId="77777777" w:rsidR="00D8365A" w:rsidRPr="00362517" w:rsidRDefault="00D8365A" w:rsidP="00BF6BC7">
            <w:pPr>
              <w:jc w:val="right"/>
            </w:pPr>
            <w:r w:rsidRPr="00362517">
              <w:t>88</w:t>
            </w:r>
          </w:p>
        </w:tc>
        <w:tc>
          <w:tcPr>
            <w:tcW w:w="1065" w:type="pct"/>
            <w:tcBorders>
              <w:top w:val="nil"/>
              <w:left w:val="nil"/>
              <w:bottom w:val="single" w:sz="4" w:space="0" w:color="auto"/>
              <w:right w:val="single" w:sz="4" w:space="0" w:color="auto"/>
            </w:tcBorders>
            <w:shd w:val="clear" w:color="auto" w:fill="auto"/>
            <w:noWrap/>
            <w:vAlign w:val="bottom"/>
            <w:hideMark/>
          </w:tcPr>
          <w:p w14:paraId="7E0B3DA5" w14:textId="77777777" w:rsidR="00D8365A" w:rsidRPr="00362517" w:rsidRDefault="00D8365A" w:rsidP="00BF6BC7">
            <w:pPr>
              <w:jc w:val="right"/>
            </w:pPr>
            <w:r w:rsidRPr="00362517">
              <w:t>20</w:t>
            </w:r>
          </w:p>
        </w:tc>
      </w:tr>
      <w:tr w:rsidR="00D8365A" w:rsidRPr="00362517" w14:paraId="736A8C3C"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576CD21E" w14:textId="77777777" w:rsidR="00D8365A" w:rsidRPr="00362517" w:rsidRDefault="00D8365A" w:rsidP="00BF6BC7">
            <w:r w:rsidRPr="00362517">
              <w:t>Rhode Island</w:t>
            </w:r>
          </w:p>
        </w:tc>
        <w:tc>
          <w:tcPr>
            <w:tcW w:w="879" w:type="pct"/>
            <w:tcBorders>
              <w:top w:val="nil"/>
              <w:left w:val="nil"/>
              <w:bottom w:val="single" w:sz="4" w:space="0" w:color="auto"/>
              <w:right w:val="single" w:sz="4" w:space="0" w:color="auto"/>
            </w:tcBorders>
            <w:shd w:val="clear" w:color="auto" w:fill="auto"/>
            <w:noWrap/>
            <w:vAlign w:val="bottom"/>
            <w:hideMark/>
          </w:tcPr>
          <w:p w14:paraId="04C5B40D" w14:textId="77777777" w:rsidR="00D8365A" w:rsidRPr="00362517" w:rsidRDefault="00D8365A" w:rsidP="00BF6BC7">
            <w:pPr>
              <w:jc w:val="right"/>
            </w:pPr>
            <w:r w:rsidRPr="00362517">
              <w:t>186</w:t>
            </w:r>
          </w:p>
        </w:tc>
        <w:tc>
          <w:tcPr>
            <w:tcW w:w="894" w:type="pct"/>
            <w:tcBorders>
              <w:top w:val="nil"/>
              <w:left w:val="nil"/>
              <w:bottom w:val="single" w:sz="4" w:space="0" w:color="auto"/>
              <w:right w:val="single" w:sz="4" w:space="0" w:color="auto"/>
            </w:tcBorders>
            <w:shd w:val="clear" w:color="auto" w:fill="auto"/>
            <w:noWrap/>
            <w:vAlign w:val="bottom"/>
            <w:hideMark/>
          </w:tcPr>
          <w:p w14:paraId="2F990076" w14:textId="77777777" w:rsidR="00D8365A" w:rsidRPr="00362517" w:rsidRDefault="00D8365A" w:rsidP="00BF6BC7">
            <w:pPr>
              <w:jc w:val="right"/>
            </w:pPr>
            <w:r w:rsidRPr="00362517">
              <w:t>177</w:t>
            </w:r>
          </w:p>
        </w:tc>
        <w:tc>
          <w:tcPr>
            <w:tcW w:w="872" w:type="pct"/>
            <w:tcBorders>
              <w:top w:val="nil"/>
              <w:left w:val="nil"/>
              <w:bottom w:val="single" w:sz="4" w:space="0" w:color="auto"/>
              <w:right w:val="single" w:sz="4" w:space="0" w:color="auto"/>
            </w:tcBorders>
            <w:shd w:val="clear" w:color="auto" w:fill="auto"/>
            <w:noWrap/>
            <w:vAlign w:val="bottom"/>
            <w:hideMark/>
          </w:tcPr>
          <w:p w14:paraId="1BB36904" w14:textId="77777777" w:rsidR="00D8365A" w:rsidRPr="00362517" w:rsidRDefault="00D8365A" w:rsidP="00BF6BC7">
            <w:pPr>
              <w:jc w:val="right"/>
            </w:pPr>
            <w:r w:rsidRPr="00362517">
              <w:t>5</w:t>
            </w:r>
          </w:p>
        </w:tc>
        <w:tc>
          <w:tcPr>
            <w:tcW w:w="1065" w:type="pct"/>
            <w:tcBorders>
              <w:top w:val="nil"/>
              <w:left w:val="nil"/>
              <w:bottom w:val="single" w:sz="4" w:space="0" w:color="auto"/>
              <w:right w:val="single" w:sz="4" w:space="0" w:color="auto"/>
            </w:tcBorders>
            <w:shd w:val="clear" w:color="auto" w:fill="auto"/>
            <w:noWrap/>
            <w:vAlign w:val="bottom"/>
            <w:hideMark/>
          </w:tcPr>
          <w:p w14:paraId="4CD07021" w14:textId="77777777" w:rsidR="00D8365A" w:rsidRPr="00362517" w:rsidRDefault="00D8365A" w:rsidP="00BF6BC7">
            <w:pPr>
              <w:jc w:val="right"/>
            </w:pPr>
            <w:r w:rsidRPr="00362517">
              <w:t>0.61</w:t>
            </w:r>
          </w:p>
        </w:tc>
      </w:tr>
      <w:tr w:rsidR="00D8365A" w:rsidRPr="00362517" w14:paraId="0C5A9926"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5992C95D" w14:textId="77777777" w:rsidR="00D8365A" w:rsidRPr="00362517" w:rsidRDefault="00D8365A" w:rsidP="00BF6BC7">
            <w:r w:rsidRPr="00362517">
              <w:t>South Carolina</w:t>
            </w:r>
          </w:p>
        </w:tc>
        <w:tc>
          <w:tcPr>
            <w:tcW w:w="879" w:type="pct"/>
            <w:tcBorders>
              <w:top w:val="nil"/>
              <w:left w:val="nil"/>
              <w:bottom w:val="single" w:sz="4" w:space="0" w:color="auto"/>
              <w:right w:val="single" w:sz="4" w:space="0" w:color="auto"/>
            </w:tcBorders>
            <w:shd w:val="clear" w:color="auto" w:fill="auto"/>
            <w:noWrap/>
            <w:vAlign w:val="bottom"/>
            <w:hideMark/>
          </w:tcPr>
          <w:p w14:paraId="6F43E074" w14:textId="77777777" w:rsidR="00D8365A" w:rsidRPr="00362517" w:rsidRDefault="00D8365A" w:rsidP="00BF6BC7">
            <w:pPr>
              <w:jc w:val="right"/>
            </w:pPr>
            <w:r w:rsidRPr="00362517">
              <w:t>9,840</w:t>
            </w:r>
          </w:p>
        </w:tc>
        <w:tc>
          <w:tcPr>
            <w:tcW w:w="894" w:type="pct"/>
            <w:tcBorders>
              <w:top w:val="nil"/>
              <w:left w:val="nil"/>
              <w:bottom w:val="single" w:sz="4" w:space="0" w:color="auto"/>
              <w:right w:val="single" w:sz="4" w:space="0" w:color="auto"/>
            </w:tcBorders>
            <w:shd w:val="clear" w:color="auto" w:fill="auto"/>
            <w:noWrap/>
            <w:vAlign w:val="bottom"/>
            <w:hideMark/>
          </w:tcPr>
          <w:p w14:paraId="1A06C305" w14:textId="77777777" w:rsidR="00D8365A" w:rsidRPr="00362517" w:rsidRDefault="00D8365A" w:rsidP="00BF6BC7">
            <w:pPr>
              <w:jc w:val="right"/>
            </w:pPr>
            <w:r w:rsidRPr="00362517">
              <w:t>9,028</w:t>
            </w:r>
          </w:p>
        </w:tc>
        <w:tc>
          <w:tcPr>
            <w:tcW w:w="872" w:type="pct"/>
            <w:tcBorders>
              <w:top w:val="nil"/>
              <w:left w:val="nil"/>
              <w:bottom w:val="single" w:sz="4" w:space="0" w:color="auto"/>
              <w:right w:val="single" w:sz="4" w:space="0" w:color="auto"/>
            </w:tcBorders>
            <w:shd w:val="clear" w:color="auto" w:fill="auto"/>
            <w:noWrap/>
            <w:vAlign w:val="bottom"/>
            <w:hideMark/>
          </w:tcPr>
          <w:p w14:paraId="10745A7B" w14:textId="77777777" w:rsidR="00D8365A" w:rsidRPr="00362517" w:rsidRDefault="00D8365A" w:rsidP="00BF6BC7">
            <w:pPr>
              <w:jc w:val="right"/>
            </w:pPr>
            <w:r w:rsidRPr="00362517">
              <w:t>205</w:t>
            </w:r>
          </w:p>
        </w:tc>
        <w:tc>
          <w:tcPr>
            <w:tcW w:w="1065" w:type="pct"/>
            <w:tcBorders>
              <w:top w:val="nil"/>
              <w:left w:val="nil"/>
              <w:bottom w:val="single" w:sz="4" w:space="0" w:color="auto"/>
              <w:right w:val="single" w:sz="4" w:space="0" w:color="auto"/>
            </w:tcBorders>
            <w:shd w:val="clear" w:color="auto" w:fill="auto"/>
            <w:noWrap/>
            <w:vAlign w:val="bottom"/>
            <w:hideMark/>
          </w:tcPr>
          <w:p w14:paraId="5ABFD4FB" w14:textId="77777777" w:rsidR="00D8365A" w:rsidRPr="00362517" w:rsidRDefault="00D8365A" w:rsidP="00BF6BC7">
            <w:pPr>
              <w:jc w:val="right"/>
            </w:pPr>
            <w:r w:rsidRPr="00362517">
              <w:t>26</w:t>
            </w:r>
          </w:p>
        </w:tc>
      </w:tr>
      <w:tr w:rsidR="00D8365A" w:rsidRPr="00362517" w14:paraId="5D51A9EC"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0AB1F2DE" w14:textId="77777777" w:rsidR="00D8365A" w:rsidRPr="00362517" w:rsidRDefault="00D8365A" w:rsidP="00BF6BC7">
            <w:r w:rsidRPr="00362517">
              <w:t>South Dakota</w:t>
            </w:r>
          </w:p>
        </w:tc>
        <w:tc>
          <w:tcPr>
            <w:tcW w:w="879" w:type="pct"/>
            <w:tcBorders>
              <w:top w:val="nil"/>
              <w:left w:val="nil"/>
              <w:bottom w:val="single" w:sz="4" w:space="0" w:color="auto"/>
              <w:right w:val="single" w:sz="4" w:space="0" w:color="auto"/>
            </w:tcBorders>
            <w:shd w:val="clear" w:color="auto" w:fill="auto"/>
            <w:noWrap/>
            <w:vAlign w:val="bottom"/>
            <w:hideMark/>
          </w:tcPr>
          <w:p w14:paraId="67BEDAA1" w14:textId="77777777" w:rsidR="00D8365A" w:rsidRPr="00362517" w:rsidRDefault="00D8365A" w:rsidP="00BF6BC7">
            <w:pPr>
              <w:jc w:val="right"/>
            </w:pPr>
            <w:r w:rsidRPr="00362517">
              <w:t>24,427</w:t>
            </w:r>
          </w:p>
        </w:tc>
        <w:tc>
          <w:tcPr>
            <w:tcW w:w="894" w:type="pct"/>
            <w:tcBorders>
              <w:top w:val="nil"/>
              <w:left w:val="nil"/>
              <w:bottom w:val="single" w:sz="4" w:space="0" w:color="auto"/>
              <w:right w:val="single" w:sz="4" w:space="0" w:color="auto"/>
            </w:tcBorders>
            <w:shd w:val="clear" w:color="auto" w:fill="auto"/>
            <w:noWrap/>
            <w:vAlign w:val="bottom"/>
            <w:hideMark/>
          </w:tcPr>
          <w:p w14:paraId="1FD6443B" w14:textId="77777777" w:rsidR="00D8365A" w:rsidRPr="00362517" w:rsidRDefault="00D8365A" w:rsidP="00BF6BC7">
            <w:pPr>
              <w:jc w:val="right"/>
            </w:pPr>
            <w:r w:rsidRPr="00362517">
              <w:t>13,572</w:t>
            </w:r>
          </w:p>
        </w:tc>
        <w:tc>
          <w:tcPr>
            <w:tcW w:w="872" w:type="pct"/>
            <w:tcBorders>
              <w:top w:val="nil"/>
              <w:left w:val="nil"/>
              <w:bottom w:val="single" w:sz="4" w:space="0" w:color="auto"/>
              <w:right w:val="single" w:sz="4" w:space="0" w:color="auto"/>
            </w:tcBorders>
            <w:shd w:val="clear" w:color="auto" w:fill="auto"/>
            <w:noWrap/>
            <w:vAlign w:val="bottom"/>
            <w:hideMark/>
          </w:tcPr>
          <w:p w14:paraId="7A045AEE" w14:textId="77777777" w:rsidR="00D8365A" w:rsidRPr="00362517" w:rsidRDefault="00D8365A" w:rsidP="00BF6BC7">
            <w:pPr>
              <w:jc w:val="right"/>
            </w:pPr>
            <w:r w:rsidRPr="00362517">
              <w:t>10,855</w:t>
            </w:r>
          </w:p>
        </w:tc>
        <w:tc>
          <w:tcPr>
            <w:tcW w:w="1065" w:type="pct"/>
            <w:tcBorders>
              <w:top w:val="nil"/>
              <w:left w:val="nil"/>
              <w:bottom w:val="single" w:sz="4" w:space="0" w:color="auto"/>
              <w:right w:val="single" w:sz="4" w:space="0" w:color="auto"/>
            </w:tcBorders>
            <w:shd w:val="clear" w:color="auto" w:fill="auto"/>
            <w:noWrap/>
            <w:vAlign w:val="bottom"/>
            <w:hideMark/>
          </w:tcPr>
          <w:p w14:paraId="142151F4" w14:textId="77777777" w:rsidR="00D8365A" w:rsidRPr="00362517" w:rsidRDefault="00D8365A" w:rsidP="00BF6BC7">
            <w:pPr>
              <w:jc w:val="right"/>
            </w:pPr>
            <w:r w:rsidRPr="00362517">
              <w:t>1,235</w:t>
            </w:r>
          </w:p>
        </w:tc>
      </w:tr>
      <w:tr w:rsidR="00D8365A" w:rsidRPr="00362517" w14:paraId="6D83A558"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20F0A9FD" w14:textId="77777777" w:rsidR="00D8365A" w:rsidRPr="00362517" w:rsidRDefault="00D8365A" w:rsidP="00BF6BC7">
            <w:r w:rsidRPr="00362517">
              <w:t>Tennessee</w:t>
            </w:r>
          </w:p>
        </w:tc>
        <w:tc>
          <w:tcPr>
            <w:tcW w:w="879" w:type="pct"/>
            <w:tcBorders>
              <w:top w:val="nil"/>
              <w:left w:val="nil"/>
              <w:bottom w:val="single" w:sz="4" w:space="0" w:color="auto"/>
              <w:right w:val="single" w:sz="4" w:space="0" w:color="auto"/>
            </w:tcBorders>
            <w:shd w:val="clear" w:color="auto" w:fill="auto"/>
            <w:noWrap/>
            <w:vAlign w:val="bottom"/>
            <w:hideMark/>
          </w:tcPr>
          <w:p w14:paraId="4BB60DED" w14:textId="77777777" w:rsidR="00D8365A" w:rsidRPr="00362517" w:rsidRDefault="00D8365A" w:rsidP="00BF6BC7">
            <w:pPr>
              <w:jc w:val="right"/>
            </w:pPr>
            <w:r w:rsidRPr="00362517">
              <w:t>9,944</w:t>
            </w:r>
          </w:p>
        </w:tc>
        <w:tc>
          <w:tcPr>
            <w:tcW w:w="894" w:type="pct"/>
            <w:tcBorders>
              <w:top w:val="nil"/>
              <w:left w:val="nil"/>
              <w:bottom w:val="single" w:sz="4" w:space="0" w:color="auto"/>
              <w:right w:val="single" w:sz="4" w:space="0" w:color="auto"/>
            </w:tcBorders>
            <w:shd w:val="clear" w:color="auto" w:fill="auto"/>
            <w:noWrap/>
            <w:vAlign w:val="bottom"/>
            <w:hideMark/>
          </w:tcPr>
          <w:p w14:paraId="22410DB9" w14:textId="77777777" w:rsidR="00D8365A" w:rsidRPr="00362517" w:rsidRDefault="00D8365A" w:rsidP="00BF6BC7">
            <w:pPr>
              <w:jc w:val="right"/>
            </w:pPr>
            <w:r w:rsidRPr="00362517">
              <w:t>6,619</w:t>
            </w:r>
          </w:p>
        </w:tc>
        <w:tc>
          <w:tcPr>
            <w:tcW w:w="872" w:type="pct"/>
            <w:tcBorders>
              <w:top w:val="nil"/>
              <w:left w:val="nil"/>
              <w:bottom w:val="single" w:sz="4" w:space="0" w:color="auto"/>
              <w:right w:val="single" w:sz="4" w:space="0" w:color="auto"/>
            </w:tcBorders>
            <w:shd w:val="clear" w:color="auto" w:fill="auto"/>
            <w:noWrap/>
            <w:vAlign w:val="bottom"/>
            <w:hideMark/>
          </w:tcPr>
          <w:p w14:paraId="34B836C4" w14:textId="77777777" w:rsidR="00D8365A" w:rsidRPr="00362517" w:rsidRDefault="00D8365A" w:rsidP="00BF6BC7">
            <w:pPr>
              <w:jc w:val="right"/>
            </w:pPr>
            <w:r w:rsidRPr="00362517">
              <w:t>3,303</w:t>
            </w:r>
          </w:p>
        </w:tc>
        <w:tc>
          <w:tcPr>
            <w:tcW w:w="1065" w:type="pct"/>
            <w:tcBorders>
              <w:top w:val="nil"/>
              <w:left w:val="nil"/>
              <w:bottom w:val="single" w:sz="4" w:space="0" w:color="auto"/>
              <w:right w:val="single" w:sz="4" w:space="0" w:color="auto"/>
            </w:tcBorders>
            <w:shd w:val="clear" w:color="auto" w:fill="auto"/>
            <w:noWrap/>
            <w:vAlign w:val="bottom"/>
            <w:hideMark/>
          </w:tcPr>
          <w:p w14:paraId="1A19DEC3" w14:textId="77777777" w:rsidR="00D8365A" w:rsidRPr="00362517" w:rsidRDefault="00D8365A" w:rsidP="00BF6BC7">
            <w:pPr>
              <w:jc w:val="right"/>
            </w:pPr>
            <w:r w:rsidRPr="00362517">
              <w:t>378</w:t>
            </w:r>
          </w:p>
        </w:tc>
      </w:tr>
      <w:tr w:rsidR="00D8365A" w:rsidRPr="00362517" w14:paraId="768BD954"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6E6B1E3F" w14:textId="77777777" w:rsidR="00D8365A" w:rsidRPr="00362517" w:rsidRDefault="00D8365A" w:rsidP="00BF6BC7">
            <w:r w:rsidRPr="00362517">
              <w:t>Texas</w:t>
            </w:r>
          </w:p>
        </w:tc>
        <w:tc>
          <w:tcPr>
            <w:tcW w:w="879" w:type="pct"/>
            <w:tcBorders>
              <w:top w:val="nil"/>
              <w:left w:val="nil"/>
              <w:bottom w:val="single" w:sz="4" w:space="0" w:color="auto"/>
              <w:right w:val="single" w:sz="4" w:space="0" w:color="auto"/>
            </w:tcBorders>
            <w:shd w:val="clear" w:color="auto" w:fill="auto"/>
            <w:noWrap/>
            <w:vAlign w:val="bottom"/>
            <w:hideMark/>
          </w:tcPr>
          <w:p w14:paraId="1E744BB4" w14:textId="77777777" w:rsidR="00D8365A" w:rsidRPr="00362517" w:rsidRDefault="00D8365A" w:rsidP="00BF6BC7">
            <w:pPr>
              <w:jc w:val="right"/>
            </w:pPr>
            <w:r w:rsidRPr="00362517">
              <w:t>96,606</w:t>
            </w:r>
          </w:p>
        </w:tc>
        <w:tc>
          <w:tcPr>
            <w:tcW w:w="894" w:type="pct"/>
            <w:tcBorders>
              <w:top w:val="nil"/>
              <w:left w:val="nil"/>
              <w:bottom w:val="single" w:sz="4" w:space="0" w:color="auto"/>
              <w:right w:val="single" w:sz="4" w:space="0" w:color="auto"/>
            </w:tcBorders>
            <w:shd w:val="clear" w:color="auto" w:fill="auto"/>
            <w:noWrap/>
            <w:vAlign w:val="bottom"/>
            <w:hideMark/>
          </w:tcPr>
          <w:p w14:paraId="6E88F2C2" w14:textId="77777777" w:rsidR="00D8365A" w:rsidRPr="00362517" w:rsidRDefault="00D8365A" w:rsidP="00BF6BC7">
            <w:pPr>
              <w:jc w:val="right"/>
            </w:pPr>
            <w:r w:rsidRPr="00362517">
              <w:t>96,193</w:t>
            </w:r>
          </w:p>
        </w:tc>
        <w:tc>
          <w:tcPr>
            <w:tcW w:w="872" w:type="pct"/>
            <w:tcBorders>
              <w:top w:val="nil"/>
              <w:left w:val="nil"/>
              <w:bottom w:val="single" w:sz="4" w:space="0" w:color="auto"/>
              <w:right w:val="single" w:sz="4" w:space="0" w:color="auto"/>
            </w:tcBorders>
            <w:shd w:val="clear" w:color="auto" w:fill="auto"/>
            <w:noWrap/>
            <w:vAlign w:val="bottom"/>
            <w:hideMark/>
          </w:tcPr>
          <w:p w14:paraId="16D5E96D" w14:textId="77777777" w:rsidR="00D8365A" w:rsidRPr="00362517" w:rsidRDefault="00D8365A" w:rsidP="00BF6BC7">
            <w:pPr>
              <w:jc w:val="right"/>
            </w:pPr>
            <w:r w:rsidRPr="00362517">
              <w:t>310</w:t>
            </w:r>
          </w:p>
        </w:tc>
        <w:tc>
          <w:tcPr>
            <w:tcW w:w="1065" w:type="pct"/>
            <w:tcBorders>
              <w:top w:val="nil"/>
              <w:left w:val="nil"/>
              <w:bottom w:val="single" w:sz="4" w:space="0" w:color="auto"/>
              <w:right w:val="single" w:sz="4" w:space="0" w:color="auto"/>
            </w:tcBorders>
            <w:shd w:val="clear" w:color="auto" w:fill="auto"/>
            <w:noWrap/>
            <w:vAlign w:val="bottom"/>
            <w:hideMark/>
          </w:tcPr>
          <w:p w14:paraId="2768B245" w14:textId="77777777" w:rsidR="00D8365A" w:rsidRPr="00362517" w:rsidRDefault="00D8365A" w:rsidP="00BF6BC7">
            <w:pPr>
              <w:jc w:val="right"/>
            </w:pPr>
            <w:r w:rsidRPr="00362517">
              <w:t>47</w:t>
            </w:r>
          </w:p>
        </w:tc>
      </w:tr>
      <w:tr w:rsidR="00D8365A" w:rsidRPr="00362517" w14:paraId="5B6296FD"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6E1D6AAB" w14:textId="77777777" w:rsidR="00D8365A" w:rsidRPr="00362517" w:rsidRDefault="00D8365A" w:rsidP="00BF6BC7">
            <w:r w:rsidRPr="00362517">
              <w:t>Utah</w:t>
            </w:r>
          </w:p>
        </w:tc>
        <w:tc>
          <w:tcPr>
            <w:tcW w:w="879" w:type="pct"/>
            <w:tcBorders>
              <w:top w:val="nil"/>
              <w:left w:val="nil"/>
              <w:bottom w:val="single" w:sz="4" w:space="0" w:color="auto"/>
              <w:right w:val="single" w:sz="4" w:space="0" w:color="auto"/>
            </w:tcBorders>
            <w:shd w:val="clear" w:color="auto" w:fill="auto"/>
            <w:noWrap/>
            <w:vAlign w:val="bottom"/>
            <w:hideMark/>
          </w:tcPr>
          <w:p w14:paraId="79920566" w14:textId="77777777" w:rsidR="00D8365A" w:rsidRPr="00362517" w:rsidRDefault="00D8365A" w:rsidP="00BF6BC7">
            <w:pPr>
              <w:jc w:val="right"/>
            </w:pPr>
            <w:r w:rsidRPr="00362517">
              <w:t>7,061</w:t>
            </w:r>
          </w:p>
        </w:tc>
        <w:tc>
          <w:tcPr>
            <w:tcW w:w="894" w:type="pct"/>
            <w:tcBorders>
              <w:top w:val="nil"/>
              <w:left w:val="nil"/>
              <w:bottom w:val="single" w:sz="4" w:space="0" w:color="auto"/>
              <w:right w:val="single" w:sz="4" w:space="0" w:color="auto"/>
            </w:tcBorders>
            <w:shd w:val="clear" w:color="auto" w:fill="auto"/>
            <w:noWrap/>
            <w:vAlign w:val="bottom"/>
            <w:hideMark/>
          </w:tcPr>
          <w:p w14:paraId="71E60DD1" w14:textId="77777777" w:rsidR="00D8365A" w:rsidRPr="00362517" w:rsidRDefault="00D8365A" w:rsidP="00BF6BC7">
            <w:pPr>
              <w:jc w:val="right"/>
            </w:pPr>
            <w:r w:rsidRPr="00362517">
              <w:t>7,017</w:t>
            </w:r>
          </w:p>
        </w:tc>
        <w:tc>
          <w:tcPr>
            <w:tcW w:w="872" w:type="pct"/>
            <w:tcBorders>
              <w:top w:val="nil"/>
              <w:left w:val="nil"/>
              <w:bottom w:val="single" w:sz="4" w:space="0" w:color="auto"/>
              <w:right w:val="single" w:sz="4" w:space="0" w:color="auto"/>
            </w:tcBorders>
            <w:shd w:val="clear" w:color="auto" w:fill="auto"/>
            <w:noWrap/>
            <w:vAlign w:val="bottom"/>
            <w:hideMark/>
          </w:tcPr>
          <w:p w14:paraId="21ACFD32" w14:textId="77777777" w:rsidR="00D8365A" w:rsidRPr="00362517" w:rsidRDefault="00D8365A" w:rsidP="00BF6BC7">
            <w:pPr>
              <w:jc w:val="right"/>
            </w:pPr>
            <w:r w:rsidRPr="00362517">
              <w:t>39</w:t>
            </w:r>
          </w:p>
        </w:tc>
        <w:tc>
          <w:tcPr>
            <w:tcW w:w="1065" w:type="pct"/>
            <w:tcBorders>
              <w:top w:val="nil"/>
              <w:left w:val="nil"/>
              <w:bottom w:val="single" w:sz="4" w:space="0" w:color="auto"/>
              <w:right w:val="single" w:sz="4" w:space="0" w:color="auto"/>
            </w:tcBorders>
            <w:shd w:val="clear" w:color="auto" w:fill="auto"/>
            <w:noWrap/>
            <w:vAlign w:val="bottom"/>
            <w:hideMark/>
          </w:tcPr>
          <w:p w14:paraId="047A1ACB" w14:textId="77777777" w:rsidR="00D8365A" w:rsidRPr="00362517" w:rsidRDefault="00D8365A" w:rsidP="00BF6BC7">
            <w:pPr>
              <w:jc w:val="right"/>
            </w:pPr>
            <w:r w:rsidRPr="00362517">
              <w:t>5</w:t>
            </w:r>
          </w:p>
        </w:tc>
      </w:tr>
      <w:tr w:rsidR="00D8365A" w:rsidRPr="00362517" w14:paraId="072E3CF3"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70475F6B" w14:textId="77777777" w:rsidR="00D8365A" w:rsidRPr="00362517" w:rsidRDefault="00D8365A" w:rsidP="00BF6BC7">
            <w:r w:rsidRPr="00362517">
              <w:t>Vermont</w:t>
            </w:r>
          </w:p>
        </w:tc>
        <w:tc>
          <w:tcPr>
            <w:tcW w:w="879" w:type="pct"/>
            <w:tcBorders>
              <w:top w:val="nil"/>
              <w:left w:val="nil"/>
              <w:bottom w:val="single" w:sz="4" w:space="0" w:color="auto"/>
              <w:right w:val="single" w:sz="4" w:space="0" w:color="auto"/>
            </w:tcBorders>
            <w:shd w:val="clear" w:color="auto" w:fill="auto"/>
            <w:noWrap/>
            <w:vAlign w:val="bottom"/>
            <w:hideMark/>
          </w:tcPr>
          <w:p w14:paraId="7D248135" w14:textId="77777777" w:rsidR="00D8365A" w:rsidRPr="00362517" w:rsidRDefault="00D8365A" w:rsidP="00BF6BC7">
            <w:pPr>
              <w:jc w:val="right"/>
            </w:pPr>
            <w:r w:rsidRPr="00362517">
              <w:t>864</w:t>
            </w:r>
          </w:p>
        </w:tc>
        <w:tc>
          <w:tcPr>
            <w:tcW w:w="894" w:type="pct"/>
            <w:tcBorders>
              <w:top w:val="nil"/>
              <w:left w:val="nil"/>
              <w:bottom w:val="single" w:sz="4" w:space="0" w:color="auto"/>
              <w:right w:val="single" w:sz="4" w:space="0" w:color="auto"/>
            </w:tcBorders>
            <w:shd w:val="clear" w:color="auto" w:fill="auto"/>
            <w:noWrap/>
            <w:vAlign w:val="bottom"/>
            <w:hideMark/>
          </w:tcPr>
          <w:p w14:paraId="7C7DB979" w14:textId="77777777" w:rsidR="00D8365A" w:rsidRPr="00362517" w:rsidRDefault="00D8365A" w:rsidP="00BF6BC7">
            <w:pPr>
              <w:jc w:val="right"/>
            </w:pPr>
            <w:r w:rsidRPr="00362517">
              <w:t>845</w:t>
            </w:r>
          </w:p>
        </w:tc>
        <w:tc>
          <w:tcPr>
            <w:tcW w:w="872" w:type="pct"/>
            <w:tcBorders>
              <w:top w:val="nil"/>
              <w:left w:val="nil"/>
              <w:bottom w:val="single" w:sz="4" w:space="0" w:color="auto"/>
              <w:right w:val="single" w:sz="4" w:space="0" w:color="auto"/>
            </w:tcBorders>
            <w:shd w:val="clear" w:color="auto" w:fill="auto"/>
            <w:noWrap/>
            <w:vAlign w:val="bottom"/>
            <w:hideMark/>
          </w:tcPr>
          <w:p w14:paraId="7E415475" w14:textId="77777777" w:rsidR="00D8365A" w:rsidRPr="00362517" w:rsidRDefault="00D8365A" w:rsidP="00BF6BC7">
            <w:pPr>
              <w:jc w:val="right"/>
            </w:pPr>
            <w:r w:rsidRPr="00362517">
              <w:t>17</w:t>
            </w:r>
          </w:p>
        </w:tc>
        <w:tc>
          <w:tcPr>
            <w:tcW w:w="1065" w:type="pct"/>
            <w:tcBorders>
              <w:top w:val="nil"/>
              <w:left w:val="nil"/>
              <w:bottom w:val="single" w:sz="4" w:space="0" w:color="auto"/>
              <w:right w:val="single" w:sz="4" w:space="0" w:color="auto"/>
            </w:tcBorders>
            <w:shd w:val="clear" w:color="auto" w:fill="auto"/>
            <w:noWrap/>
            <w:vAlign w:val="bottom"/>
            <w:hideMark/>
          </w:tcPr>
          <w:p w14:paraId="2B52164C" w14:textId="77777777" w:rsidR="00D8365A" w:rsidRPr="00362517" w:rsidRDefault="00D8365A" w:rsidP="00BF6BC7">
            <w:pPr>
              <w:jc w:val="right"/>
            </w:pPr>
            <w:r w:rsidRPr="00362517">
              <w:t>2</w:t>
            </w:r>
          </w:p>
        </w:tc>
      </w:tr>
      <w:tr w:rsidR="00D8365A" w:rsidRPr="00362517" w14:paraId="14024991"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13E4F9DE" w14:textId="77777777" w:rsidR="00D8365A" w:rsidRPr="00362517" w:rsidRDefault="00D8365A" w:rsidP="00BF6BC7">
            <w:r w:rsidRPr="00362517">
              <w:t>Virginia</w:t>
            </w:r>
          </w:p>
        </w:tc>
        <w:tc>
          <w:tcPr>
            <w:tcW w:w="879" w:type="pct"/>
            <w:tcBorders>
              <w:top w:val="nil"/>
              <w:left w:val="nil"/>
              <w:bottom w:val="single" w:sz="4" w:space="0" w:color="auto"/>
              <w:right w:val="single" w:sz="4" w:space="0" w:color="auto"/>
            </w:tcBorders>
            <w:shd w:val="clear" w:color="auto" w:fill="auto"/>
            <w:noWrap/>
            <w:vAlign w:val="bottom"/>
            <w:hideMark/>
          </w:tcPr>
          <w:p w14:paraId="525266FB" w14:textId="77777777" w:rsidR="00D8365A" w:rsidRPr="00362517" w:rsidRDefault="00D8365A" w:rsidP="00BF6BC7">
            <w:pPr>
              <w:jc w:val="right"/>
            </w:pPr>
            <w:r w:rsidRPr="00362517">
              <w:t>15,775</w:t>
            </w:r>
          </w:p>
        </w:tc>
        <w:tc>
          <w:tcPr>
            <w:tcW w:w="894" w:type="pct"/>
            <w:tcBorders>
              <w:top w:val="nil"/>
              <w:left w:val="nil"/>
              <w:bottom w:val="single" w:sz="4" w:space="0" w:color="auto"/>
              <w:right w:val="single" w:sz="4" w:space="0" w:color="auto"/>
            </w:tcBorders>
            <w:shd w:val="clear" w:color="auto" w:fill="auto"/>
            <w:noWrap/>
            <w:vAlign w:val="bottom"/>
            <w:hideMark/>
          </w:tcPr>
          <w:p w14:paraId="3E4580E7" w14:textId="77777777" w:rsidR="00D8365A" w:rsidRPr="00362517" w:rsidRDefault="00D8365A" w:rsidP="00BF6BC7">
            <w:pPr>
              <w:jc w:val="right"/>
            </w:pPr>
            <w:r w:rsidRPr="00362517">
              <w:t>15,650</w:t>
            </w:r>
          </w:p>
        </w:tc>
        <w:tc>
          <w:tcPr>
            <w:tcW w:w="872" w:type="pct"/>
            <w:tcBorders>
              <w:top w:val="nil"/>
              <w:left w:val="nil"/>
              <w:bottom w:val="single" w:sz="4" w:space="0" w:color="auto"/>
              <w:right w:val="single" w:sz="4" w:space="0" w:color="auto"/>
            </w:tcBorders>
            <w:shd w:val="clear" w:color="auto" w:fill="auto"/>
            <w:noWrap/>
            <w:vAlign w:val="bottom"/>
            <w:hideMark/>
          </w:tcPr>
          <w:p w14:paraId="0B6EEFF8" w14:textId="77777777" w:rsidR="00D8365A" w:rsidRPr="00362517" w:rsidRDefault="00D8365A" w:rsidP="00BF6BC7">
            <w:pPr>
              <w:jc w:val="right"/>
            </w:pPr>
            <w:r w:rsidRPr="00362517">
              <w:t>108</w:t>
            </w:r>
          </w:p>
        </w:tc>
        <w:tc>
          <w:tcPr>
            <w:tcW w:w="1065" w:type="pct"/>
            <w:tcBorders>
              <w:top w:val="nil"/>
              <w:left w:val="nil"/>
              <w:bottom w:val="single" w:sz="4" w:space="0" w:color="auto"/>
              <w:right w:val="single" w:sz="4" w:space="0" w:color="auto"/>
            </w:tcBorders>
            <w:shd w:val="clear" w:color="auto" w:fill="auto"/>
            <w:noWrap/>
            <w:vAlign w:val="bottom"/>
            <w:hideMark/>
          </w:tcPr>
          <w:p w14:paraId="39F8AC99" w14:textId="77777777" w:rsidR="00D8365A" w:rsidRPr="00362517" w:rsidRDefault="00D8365A" w:rsidP="00BF6BC7">
            <w:pPr>
              <w:jc w:val="right"/>
            </w:pPr>
            <w:r w:rsidRPr="00362517">
              <w:t>14</w:t>
            </w:r>
          </w:p>
        </w:tc>
      </w:tr>
      <w:tr w:rsidR="00D8365A" w:rsidRPr="00362517" w14:paraId="5721BE3D"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36CD0D4D" w14:textId="77777777" w:rsidR="00D8365A" w:rsidRPr="00362517" w:rsidRDefault="00D8365A" w:rsidP="00BF6BC7">
            <w:r w:rsidRPr="00362517">
              <w:t>Washington</w:t>
            </w:r>
          </w:p>
        </w:tc>
        <w:tc>
          <w:tcPr>
            <w:tcW w:w="879" w:type="pct"/>
            <w:tcBorders>
              <w:top w:val="nil"/>
              <w:left w:val="nil"/>
              <w:bottom w:val="single" w:sz="4" w:space="0" w:color="auto"/>
              <w:right w:val="single" w:sz="4" w:space="0" w:color="auto"/>
            </w:tcBorders>
            <w:shd w:val="clear" w:color="auto" w:fill="auto"/>
            <w:noWrap/>
            <w:vAlign w:val="bottom"/>
            <w:hideMark/>
          </w:tcPr>
          <w:p w14:paraId="738423B4" w14:textId="77777777" w:rsidR="00D8365A" w:rsidRPr="00362517" w:rsidRDefault="00D8365A" w:rsidP="00BF6BC7">
            <w:pPr>
              <w:jc w:val="right"/>
            </w:pPr>
            <w:r w:rsidRPr="00362517">
              <w:t>18,202</w:t>
            </w:r>
          </w:p>
        </w:tc>
        <w:tc>
          <w:tcPr>
            <w:tcW w:w="894" w:type="pct"/>
            <w:tcBorders>
              <w:top w:val="nil"/>
              <w:left w:val="nil"/>
              <w:bottom w:val="single" w:sz="4" w:space="0" w:color="auto"/>
              <w:right w:val="single" w:sz="4" w:space="0" w:color="auto"/>
            </w:tcBorders>
            <w:shd w:val="clear" w:color="auto" w:fill="auto"/>
            <w:noWrap/>
            <w:vAlign w:val="bottom"/>
            <w:hideMark/>
          </w:tcPr>
          <w:p w14:paraId="2F5A9D56" w14:textId="77777777" w:rsidR="00D8365A" w:rsidRPr="00362517" w:rsidRDefault="00D8365A" w:rsidP="00BF6BC7">
            <w:pPr>
              <w:jc w:val="right"/>
            </w:pPr>
            <w:r w:rsidRPr="00362517">
              <w:t>17,577</w:t>
            </w:r>
          </w:p>
        </w:tc>
        <w:tc>
          <w:tcPr>
            <w:tcW w:w="872" w:type="pct"/>
            <w:tcBorders>
              <w:top w:val="nil"/>
              <w:left w:val="nil"/>
              <w:bottom w:val="single" w:sz="4" w:space="0" w:color="auto"/>
              <w:right w:val="single" w:sz="4" w:space="0" w:color="auto"/>
            </w:tcBorders>
            <w:shd w:val="clear" w:color="auto" w:fill="auto"/>
            <w:noWrap/>
            <w:vAlign w:val="bottom"/>
            <w:hideMark/>
          </w:tcPr>
          <w:p w14:paraId="4252CA47" w14:textId="77777777" w:rsidR="00D8365A" w:rsidRPr="00362517" w:rsidRDefault="00D8365A" w:rsidP="00BF6BC7">
            <w:pPr>
              <w:jc w:val="right"/>
            </w:pPr>
            <w:r w:rsidRPr="00362517">
              <w:t>553</w:t>
            </w:r>
          </w:p>
        </w:tc>
        <w:tc>
          <w:tcPr>
            <w:tcW w:w="1065" w:type="pct"/>
            <w:tcBorders>
              <w:top w:val="nil"/>
              <w:left w:val="nil"/>
              <w:bottom w:val="single" w:sz="4" w:space="0" w:color="auto"/>
              <w:right w:val="single" w:sz="4" w:space="0" w:color="auto"/>
            </w:tcBorders>
            <w:shd w:val="clear" w:color="auto" w:fill="auto"/>
            <w:noWrap/>
            <w:vAlign w:val="bottom"/>
            <w:hideMark/>
          </w:tcPr>
          <w:p w14:paraId="7D26DE0E" w14:textId="77777777" w:rsidR="00D8365A" w:rsidRPr="00362517" w:rsidRDefault="00D8365A" w:rsidP="00BF6BC7">
            <w:pPr>
              <w:jc w:val="right"/>
            </w:pPr>
            <w:r w:rsidRPr="00362517">
              <w:t>71</w:t>
            </w:r>
          </w:p>
        </w:tc>
      </w:tr>
      <w:tr w:rsidR="00D8365A" w:rsidRPr="00362517" w14:paraId="0040974C"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448C0D71" w14:textId="77777777" w:rsidR="00D8365A" w:rsidRPr="00362517" w:rsidRDefault="00D8365A" w:rsidP="00BF6BC7">
            <w:r w:rsidRPr="00362517">
              <w:t>West Virginia</w:t>
            </w:r>
          </w:p>
        </w:tc>
        <w:tc>
          <w:tcPr>
            <w:tcW w:w="879" w:type="pct"/>
            <w:tcBorders>
              <w:top w:val="nil"/>
              <w:left w:val="nil"/>
              <w:bottom w:val="single" w:sz="4" w:space="0" w:color="auto"/>
              <w:right w:val="single" w:sz="4" w:space="0" w:color="auto"/>
            </w:tcBorders>
            <w:shd w:val="clear" w:color="auto" w:fill="auto"/>
            <w:noWrap/>
            <w:vAlign w:val="bottom"/>
            <w:hideMark/>
          </w:tcPr>
          <w:p w14:paraId="4BEC7560" w14:textId="77777777" w:rsidR="00D8365A" w:rsidRPr="00362517" w:rsidRDefault="00D8365A" w:rsidP="00BF6BC7">
            <w:pPr>
              <w:jc w:val="right"/>
            </w:pPr>
            <w:r w:rsidRPr="00362517">
              <w:t>1,910</w:t>
            </w:r>
          </w:p>
        </w:tc>
        <w:tc>
          <w:tcPr>
            <w:tcW w:w="894" w:type="pct"/>
            <w:tcBorders>
              <w:top w:val="nil"/>
              <w:left w:val="nil"/>
              <w:bottom w:val="single" w:sz="4" w:space="0" w:color="auto"/>
              <w:right w:val="single" w:sz="4" w:space="0" w:color="auto"/>
            </w:tcBorders>
            <w:shd w:val="clear" w:color="auto" w:fill="auto"/>
            <w:noWrap/>
            <w:vAlign w:val="bottom"/>
            <w:hideMark/>
          </w:tcPr>
          <w:p w14:paraId="495FCF19" w14:textId="77777777" w:rsidR="00D8365A" w:rsidRPr="00362517" w:rsidRDefault="00D8365A" w:rsidP="00BF6BC7">
            <w:pPr>
              <w:jc w:val="right"/>
            </w:pPr>
            <w:r w:rsidRPr="00362517">
              <w:t>1,874</w:t>
            </w:r>
          </w:p>
        </w:tc>
        <w:tc>
          <w:tcPr>
            <w:tcW w:w="872" w:type="pct"/>
            <w:tcBorders>
              <w:top w:val="nil"/>
              <w:left w:val="nil"/>
              <w:bottom w:val="single" w:sz="4" w:space="0" w:color="auto"/>
              <w:right w:val="single" w:sz="4" w:space="0" w:color="auto"/>
            </w:tcBorders>
            <w:shd w:val="clear" w:color="auto" w:fill="auto"/>
            <w:noWrap/>
            <w:vAlign w:val="bottom"/>
            <w:hideMark/>
          </w:tcPr>
          <w:p w14:paraId="7B98C925" w14:textId="77777777" w:rsidR="00D8365A" w:rsidRPr="00362517" w:rsidRDefault="00D8365A" w:rsidP="00BF6BC7">
            <w:pPr>
              <w:jc w:val="right"/>
            </w:pPr>
            <w:r w:rsidRPr="00362517">
              <w:t>34</w:t>
            </w:r>
          </w:p>
        </w:tc>
        <w:tc>
          <w:tcPr>
            <w:tcW w:w="1065" w:type="pct"/>
            <w:tcBorders>
              <w:top w:val="nil"/>
              <w:left w:val="nil"/>
              <w:bottom w:val="single" w:sz="4" w:space="0" w:color="auto"/>
              <w:right w:val="single" w:sz="4" w:space="0" w:color="auto"/>
            </w:tcBorders>
            <w:shd w:val="clear" w:color="auto" w:fill="auto"/>
            <w:noWrap/>
            <w:vAlign w:val="bottom"/>
            <w:hideMark/>
          </w:tcPr>
          <w:p w14:paraId="2F699331" w14:textId="77777777" w:rsidR="00D8365A" w:rsidRPr="00362517" w:rsidRDefault="00D8365A" w:rsidP="00BF6BC7">
            <w:pPr>
              <w:jc w:val="right"/>
            </w:pPr>
            <w:r w:rsidRPr="00362517">
              <w:t>4</w:t>
            </w:r>
          </w:p>
        </w:tc>
      </w:tr>
      <w:tr w:rsidR="00D8365A" w:rsidRPr="00362517" w14:paraId="7D21D469"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48F8DF94" w14:textId="77777777" w:rsidR="00D8365A" w:rsidRPr="00362517" w:rsidRDefault="00D8365A" w:rsidP="00BF6BC7">
            <w:r w:rsidRPr="00362517">
              <w:t>Wisconsin</w:t>
            </w:r>
          </w:p>
        </w:tc>
        <w:tc>
          <w:tcPr>
            <w:tcW w:w="879" w:type="pct"/>
            <w:tcBorders>
              <w:top w:val="nil"/>
              <w:left w:val="nil"/>
              <w:bottom w:val="single" w:sz="4" w:space="0" w:color="auto"/>
              <w:right w:val="single" w:sz="4" w:space="0" w:color="auto"/>
            </w:tcBorders>
            <w:shd w:val="clear" w:color="auto" w:fill="auto"/>
            <w:noWrap/>
            <w:vAlign w:val="bottom"/>
            <w:hideMark/>
          </w:tcPr>
          <w:p w14:paraId="0EA6079D" w14:textId="77777777" w:rsidR="00D8365A" w:rsidRPr="00362517" w:rsidRDefault="00D8365A" w:rsidP="00BF6BC7">
            <w:pPr>
              <w:jc w:val="right"/>
            </w:pPr>
            <w:r w:rsidRPr="00362517">
              <w:t>20,079</w:t>
            </w:r>
          </w:p>
        </w:tc>
        <w:tc>
          <w:tcPr>
            <w:tcW w:w="894" w:type="pct"/>
            <w:tcBorders>
              <w:top w:val="nil"/>
              <w:left w:val="nil"/>
              <w:bottom w:val="single" w:sz="4" w:space="0" w:color="auto"/>
              <w:right w:val="single" w:sz="4" w:space="0" w:color="auto"/>
            </w:tcBorders>
            <w:shd w:val="clear" w:color="auto" w:fill="auto"/>
            <w:noWrap/>
            <w:vAlign w:val="bottom"/>
            <w:hideMark/>
          </w:tcPr>
          <w:p w14:paraId="127EC18B" w14:textId="77777777" w:rsidR="00D8365A" w:rsidRPr="00362517" w:rsidRDefault="00D8365A" w:rsidP="00BF6BC7">
            <w:pPr>
              <w:jc w:val="right"/>
            </w:pPr>
            <w:r w:rsidRPr="00362517">
              <w:t>19,433</w:t>
            </w:r>
          </w:p>
        </w:tc>
        <w:tc>
          <w:tcPr>
            <w:tcW w:w="872" w:type="pct"/>
            <w:tcBorders>
              <w:top w:val="nil"/>
              <w:left w:val="nil"/>
              <w:bottom w:val="single" w:sz="4" w:space="0" w:color="auto"/>
              <w:right w:val="single" w:sz="4" w:space="0" w:color="auto"/>
            </w:tcBorders>
            <w:shd w:val="clear" w:color="auto" w:fill="auto"/>
            <w:noWrap/>
            <w:vAlign w:val="bottom"/>
            <w:hideMark/>
          </w:tcPr>
          <w:p w14:paraId="23D3AB1E" w14:textId="77777777" w:rsidR="00D8365A" w:rsidRPr="00362517" w:rsidRDefault="00D8365A" w:rsidP="00BF6BC7">
            <w:pPr>
              <w:jc w:val="right"/>
            </w:pPr>
            <w:r w:rsidRPr="00362517">
              <w:t>565</w:t>
            </w:r>
          </w:p>
        </w:tc>
        <w:tc>
          <w:tcPr>
            <w:tcW w:w="1065" w:type="pct"/>
            <w:tcBorders>
              <w:top w:val="nil"/>
              <w:left w:val="nil"/>
              <w:bottom w:val="single" w:sz="4" w:space="0" w:color="auto"/>
              <w:right w:val="single" w:sz="4" w:space="0" w:color="auto"/>
            </w:tcBorders>
            <w:shd w:val="clear" w:color="auto" w:fill="auto"/>
            <w:noWrap/>
            <w:vAlign w:val="bottom"/>
            <w:hideMark/>
          </w:tcPr>
          <w:p w14:paraId="0A586B87" w14:textId="77777777" w:rsidR="00D8365A" w:rsidRPr="00362517" w:rsidRDefault="00D8365A" w:rsidP="00BF6BC7">
            <w:pPr>
              <w:jc w:val="right"/>
            </w:pPr>
            <w:r w:rsidRPr="00362517">
              <w:t>73</w:t>
            </w:r>
          </w:p>
        </w:tc>
      </w:tr>
      <w:tr w:rsidR="00D8365A" w:rsidRPr="00362517" w14:paraId="65EBF2AE"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15DEAD18" w14:textId="77777777" w:rsidR="00D8365A" w:rsidRPr="00362517" w:rsidRDefault="00D8365A" w:rsidP="00BF6BC7">
            <w:r w:rsidRPr="00362517">
              <w:t>Wyoming</w:t>
            </w:r>
          </w:p>
        </w:tc>
        <w:tc>
          <w:tcPr>
            <w:tcW w:w="879" w:type="pct"/>
            <w:tcBorders>
              <w:top w:val="nil"/>
              <w:left w:val="nil"/>
              <w:bottom w:val="single" w:sz="4" w:space="0" w:color="auto"/>
              <w:right w:val="single" w:sz="4" w:space="0" w:color="auto"/>
            </w:tcBorders>
            <w:shd w:val="clear" w:color="auto" w:fill="auto"/>
            <w:noWrap/>
            <w:vAlign w:val="bottom"/>
            <w:hideMark/>
          </w:tcPr>
          <w:p w14:paraId="1AA32965" w14:textId="77777777" w:rsidR="00D8365A" w:rsidRPr="00362517" w:rsidRDefault="00D8365A" w:rsidP="00BF6BC7">
            <w:pPr>
              <w:jc w:val="right"/>
            </w:pPr>
            <w:r w:rsidRPr="00362517">
              <w:t>6,759</w:t>
            </w:r>
          </w:p>
        </w:tc>
        <w:tc>
          <w:tcPr>
            <w:tcW w:w="894" w:type="pct"/>
            <w:tcBorders>
              <w:top w:val="nil"/>
              <w:left w:val="nil"/>
              <w:bottom w:val="single" w:sz="4" w:space="0" w:color="auto"/>
              <w:right w:val="single" w:sz="4" w:space="0" w:color="auto"/>
            </w:tcBorders>
            <w:shd w:val="clear" w:color="auto" w:fill="auto"/>
            <w:noWrap/>
            <w:vAlign w:val="bottom"/>
            <w:hideMark/>
          </w:tcPr>
          <w:p w14:paraId="0077B999" w14:textId="77777777" w:rsidR="00D8365A" w:rsidRPr="00362517" w:rsidRDefault="00D8365A" w:rsidP="00BF6BC7">
            <w:pPr>
              <w:jc w:val="right"/>
            </w:pPr>
            <w:r w:rsidRPr="00362517">
              <w:t>5,440</w:t>
            </w:r>
          </w:p>
        </w:tc>
        <w:tc>
          <w:tcPr>
            <w:tcW w:w="872" w:type="pct"/>
            <w:tcBorders>
              <w:top w:val="nil"/>
              <w:left w:val="nil"/>
              <w:bottom w:val="single" w:sz="4" w:space="0" w:color="auto"/>
              <w:right w:val="single" w:sz="4" w:space="0" w:color="auto"/>
            </w:tcBorders>
            <w:shd w:val="clear" w:color="auto" w:fill="auto"/>
            <w:noWrap/>
            <w:vAlign w:val="bottom"/>
            <w:hideMark/>
          </w:tcPr>
          <w:p w14:paraId="0C17D503" w14:textId="77777777" w:rsidR="00D8365A" w:rsidRPr="00362517" w:rsidRDefault="00D8365A" w:rsidP="00BF6BC7">
            <w:pPr>
              <w:jc w:val="right"/>
            </w:pPr>
            <w:r w:rsidRPr="00362517">
              <w:t>1,293</w:t>
            </w:r>
          </w:p>
        </w:tc>
        <w:tc>
          <w:tcPr>
            <w:tcW w:w="1065" w:type="pct"/>
            <w:tcBorders>
              <w:top w:val="nil"/>
              <w:left w:val="nil"/>
              <w:bottom w:val="single" w:sz="4" w:space="0" w:color="auto"/>
              <w:right w:val="single" w:sz="4" w:space="0" w:color="auto"/>
            </w:tcBorders>
            <w:shd w:val="clear" w:color="auto" w:fill="auto"/>
            <w:noWrap/>
            <w:vAlign w:val="bottom"/>
            <w:hideMark/>
          </w:tcPr>
          <w:p w14:paraId="095390F0" w14:textId="77777777" w:rsidR="00D8365A" w:rsidRPr="00362517" w:rsidRDefault="00D8365A" w:rsidP="00BF6BC7">
            <w:pPr>
              <w:jc w:val="right"/>
            </w:pPr>
            <w:r w:rsidRPr="00362517">
              <w:t>150</w:t>
            </w:r>
          </w:p>
        </w:tc>
      </w:tr>
      <w:tr w:rsidR="00D8365A" w:rsidRPr="00362517" w14:paraId="566846B6"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27C9FB34" w14:textId="77777777" w:rsidR="00D8365A" w:rsidRPr="00362517" w:rsidRDefault="00D8365A" w:rsidP="00BF6BC7">
            <w:r w:rsidRPr="00362517">
              <w:t>Puerto Rico</w:t>
            </w:r>
          </w:p>
        </w:tc>
        <w:tc>
          <w:tcPr>
            <w:tcW w:w="879" w:type="pct"/>
            <w:tcBorders>
              <w:top w:val="nil"/>
              <w:left w:val="nil"/>
              <w:bottom w:val="single" w:sz="4" w:space="0" w:color="auto"/>
              <w:right w:val="single" w:sz="4" w:space="0" w:color="auto"/>
            </w:tcBorders>
            <w:shd w:val="clear" w:color="auto" w:fill="auto"/>
            <w:noWrap/>
            <w:vAlign w:val="bottom"/>
            <w:hideMark/>
          </w:tcPr>
          <w:p w14:paraId="0AB6D0F6" w14:textId="77777777" w:rsidR="00D8365A" w:rsidRPr="00362517" w:rsidRDefault="00D8365A" w:rsidP="00BF6BC7">
            <w:pPr>
              <w:jc w:val="right"/>
            </w:pPr>
            <w:r w:rsidRPr="00362517">
              <w:t>15,840</w:t>
            </w:r>
          </w:p>
        </w:tc>
        <w:tc>
          <w:tcPr>
            <w:tcW w:w="894" w:type="pct"/>
            <w:tcBorders>
              <w:top w:val="nil"/>
              <w:left w:val="nil"/>
              <w:bottom w:val="single" w:sz="4" w:space="0" w:color="auto"/>
              <w:right w:val="single" w:sz="4" w:space="0" w:color="auto"/>
            </w:tcBorders>
            <w:shd w:val="clear" w:color="auto" w:fill="auto"/>
            <w:noWrap/>
            <w:vAlign w:val="bottom"/>
            <w:hideMark/>
          </w:tcPr>
          <w:p w14:paraId="227B2365" w14:textId="77777777" w:rsidR="00D8365A" w:rsidRPr="00362517" w:rsidRDefault="00D8365A" w:rsidP="00BF6BC7">
            <w:pPr>
              <w:jc w:val="right"/>
            </w:pPr>
            <w:r w:rsidRPr="00362517">
              <w:t>14,503</w:t>
            </w:r>
          </w:p>
        </w:tc>
        <w:tc>
          <w:tcPr>
            <w:tcW w:w="872" w:type="pct"/>
            <w:tcBorders>
              <w:top w:val="nil"/>
              <w:left w:val="nil"/>
              <w:bottom w:val="single" w:sz="4" w:space="0" w:color="auto"/>
              <w:right w:val="single" w:sz="4" w:space="0" w:color="auto"/>
            </w:tcBorders>
            <w:shd w:val="clear" w:color="auto" w:fill="auto"/>
            <w:noWrap/>
            <w:vAlign w:val="bottom"/>
            <w:hideMark/>
          </w:tcPr>
          <w:p w14:paraId="69098BBE" w14:textId="77777777" w:rsidR="00D8365A" w:rsidRPr="00362517" w:rsidRDefault="00D8365A" w:rsidP="00BF6BC7">
            <w:pPr>
              <w:jc w:val="right"/>
            </w:pPr>
            <w:r w:rsidRPr="00362517">
              <w:t>1,245</w:t>
            </w:r>
          </w:p>
        </w:tc>
        <w:tc>
          <w:tcPr>
            <w:tcW w:w="1065" w:type="pct"/>
            <w:tcBorders>
              <w:top w:val="nil"/>
              <w:left w:val="nil"/>
              <w:bottom w:val="single" w:sz="4" w:space="0" w:color="auto"/>
              <w:right w:val="single" w:sz="4" w:space="0" w:color="auto"/>
            </w:tcBorders>
            <w:shd w:val="clear" w:color="auto" w:fill="auto"/>
            <w:noWrap/>
            <w:vAlign w:val="bottom"/>
            <w:hideMark/>
          </w:tcPr>
          <w:p w14:paraId="2E42DEC0" w14:textId="77777777" w:rsidR="00D8365A" w:rsidRPr="00362517" w:rsidRDefault="00D8365A" w:rsidP="00BF6BC7">
            <w:pPr>
              <w:jc w:val="right"/>
            </w:pPr>
            <w:r w:rsidRPr="00362517">
              <w:t>152</w:t>
            </w:r>
          </w:p>
        </w:tc>
      </w:tr>
      <w:tr w:rsidR="00D8365A" w:rsidRPr="00362517" w14:paraId="747D3032" w14:textId="77777777" w:rsidTr="007A2164">
        <w:trPr>
          <w:trHeight w:val="312"/>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796DA196" w14:textId="77777777" w:rsidR="00D8365A" w:rsidRPr="00362517" w:rsidRDefault="00D8365A" w:rsidP="00BF6BC7">
            <w:r w:rsidRPr="00362517">
              <w:t>Other Jurisdictions</w:t>
            </w:r>
          </w:p>
        </w:tc>
        <w:tc>
          <w:tcPr>
            <w:tcW w:w="879" w:type="pct"/>
            <w:tcBorders>
              <w:top w:val="nil"/>
              <w:left w:val="nil"/>
              <w:bottom w:val="single" w:sz="4" w:space="0" w:color="auto"/>
              <w:right w:val="single" w:sz="4" w:space="0" w:color="auto"/>
            </w:tcBorders>
            <w:shd w:val="clear" w:color="auto" w:fill="auto"/>
            <w:noWrap/>
            <w:vAlign w:val="bottom"/>
            <w:hideMark/>
          </w:tcPr>
          <w:p w14:paraId="7DDCDFCA" w14:textId="77777777" w:rsidR="00D8365A" w:rsidRPr="00362517" w:rsidRDefault="00D8365A" w:rsidP="00BF6BC7">
            <w:pPr>
              <w:jc w:val="right"/>
            </w:pPr>
            <w:r w:rsidRPr="00362517">
              <w:t>1,115</w:t>
            </w:r>
          </w:p>
        </w:tc>
        <w:tc>
          <w:tcPr>
            <w:tcW w:w="894" w:type="pct"/>
            <w:tcBorders>
              <w:top w:val="nil"/>
              <w:left w:val="nil"/>
              <w:bottom w:val="single" w:sz="4" w:space="0" w:color="auto"/>
              <w:right w:val="single" w:sz="4" w:space="0" w:color="auto"/>
            </w:tcBorders>
            <w:shd w:val="clear" w:color="auto" w:fill="auto"/>
            <w:noWrap/>
            <w:vAlign w:val="bottom"/>
            <w:hideMark/>
          </w:tcPr>
          <w:p w14:paraId="1D824298" w14:textId="77777777" w:rsidR="00D8365A" w:rsidRPr="00362517" w:rsidRDefault="00D8365A" w:rsidP="00BF6BC7">
            <w:pPr>
              <w:jc w:val="right"/>
            </w:pPr>
            <w:r w:rsidRPr="00362517">
              <w:t>998</w:t>
            </w:r>
          </w:p>
        </w:tc>
        <w:tc>
          <w:tcPr>
            <w:tcW w:w="872" w:type="pct"/>
            <w:tcBorders>
              <w:top w:val="nil"/>
              <w:left w:val="nil"/>
              <w:bottom w:val="single" w:sz="4" w:space="0" w:color="auto"/>
              <w:right w:val="single" w:sz="4" w:space="0" w:color="auto"/>
            </w:tcBorders>
            <w:shd w:val="clear" w:color="auto" w:fill="auto"/>
            <w:noWrap/>
            <w:vAlign w:val="bottom"/>
            <w:hideMark/>
          </w:tcPr>
          <w:p w14:paraId="29417E96" w14:textId="77777777" w:rsidR="00D8365A" w:rsidRPr="00362517" w:rsidRDefault="00D8365A" w:rsidP="00BF6BC7">
            <w:pPr>
              <w:jc w:val="right"/>
            </w:pPr>
            <w:r w:rsidRPr="00362517">
              <w:t>115</w:t>
            </w:r>
          </w:p>
        </w:tc>
        <w:tc>
          <w:tcPr>
            <w:tcW w:w="1065" w:type="pct"/>
            <w:tcBorders>
              <w:top w:val="nil"/>
              <w:left w:val="nil"/>
              <w:bottom w:val="single" w:sz="4" w:space="0" w:color="auto"/>
              <w:right w:val="single" w:sz="4" w:space="0" w:color="auto"/>
            </w:tcBorders>
            <w:shd w:val="clear" w:color="auto" w:fill="auto"/>
            <w:noWrap/>
            <w:vAlign w:val="bottom"/>
            <w:hideMark/>
          </w:tcPr>
          <w:p w14:paraId="50A21144" w14:textId="77777777" w:rsidR="00D8365A" w:rsidRPr="00362517" w:rsidRDefault="00D8365A" w:rsidP="00BF6BC7">
            <w:pPr>
              <w:jc w:val="right"/>
            </w:pPr>
            <w:r w:rsidRPr="00362517">
              <w:t>13</w:t>
            </w:r>
          </w:p>
        </w:tc>
      </w:tr>
      <w:tr w:rsidR="00D8365A" w:rsidRPr="00362517" w14:paraId="08E4D21F" w14:textId="77777777" w:rsidTr="007A2164">
        <w:trPr>
          <w:trHeight w:val="324"/>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14:paraId="01AEEDD9" w14:textId="77777777" w:rsidR="00D8365A" w:rsidRPr="00362517" w:rsidRDefault="00D8365A" w:rsidP="00BF6BC7">
            <w:pPr>
              <w:rPr>
                <w:b/>
                <w:bCs/>
              </w:rPr>
            </w:pPr>
            <w:r w:rsidRPr="00362517">
              <w:rPr>
                <w:b/>
                <w:bCs/>
              </w:rPr>
              <w:t>U.S. Total</w:t>
            </w:r>
          </w:p>
        </w:tc>
        <w:tc>
          <w:tcPr>
            <w:tcW w:w="879" w:type="pct"/>
            <w:tcBorders>
              <w:top w:val="nil"/>
              <w:left w:val="nil"/>
              <w:bottom w:val="single" w:sz="4" w:space="0" w:color="auto"/>
              <w:right w:val="single" w:sz="4" w:space="0" w:color="auto"/>
            </w:tcBorders>
            <w:shd w:val="clear" w:color="auto" w:fill="auto"/>
            <w:noWrap/>
            <w:vAlign w:val="bottom"/>
            <w:hideMark/>
          </w:tcPr>
          <w:p w14:paraId="2EE73EBA" w14:textId="77777777" w:rsidR="00D8365A" w:rsidRPr="00362517" w:rsidRDefault="00D8365A" w:rsidP="00BF6BC7">
            <w:pPr>
              <w:jc w:val="right"/>
              <w:rPr>
                <w:b/>
                <w:bCs/>
              </w:rPr>
            </w:pPr>
            <w:r w:rsidRPr="00362517">
              <w:rPr>
                <w:b/>
                <w:bCs/>
              </w:rPr>
              <w:t>735,100</w:t>
            </w:r>
          </w:p>
        </w:tc>
        <w:tc>
          <w:tcPr>
            <w:tcW w:w="894" w:type="pct"/>
            <w:tcBorders>
              <w:top w:val="nil"/>
              <w:left w:val="nil"/>
              <w:bottom w:val="single" w:sz="4" w:space="0" w:color="auto"/>
              <w:right w:val="single" w:sz="4" w:space="0" w:color="auto"/>
            </w:tcBorders>
            <w:shd w:val="clear" w:color="auto" w:fill="auto"/>
            <w:noWrap/>
            <w:vAlign w:val="bottom"/>
            <w:hideMark/>
          </w:tcPr>
          <w:p w14:paraId="785E3571" w14:textId="77777777" w:rsidR="00D8365A" w:rsidRPr="00362517" w:rsidRDefault="00D8365A" w:rsidP="00BF6BC7">
            <w:pPr>
              <w:jc w:val="right"/>
              <w:rPr>
                <w:b/>
                <w:bCs/>
              </w:rPr>
            </w:pPr>
            <w:r w:rsidRPr="00362517">
              <w:rPr>
                <w:b/>
                <w:bCs/>
              </w:rPr>
              <w:t>656,667</w:t>
            </w:r>
          </w:p>
        </w:tc>
        <w:tc>
          <w:tcPr>
            <w:tcW w:w="872" w:type="pct"/>
            <w:tcBorders>
              <w:top w:val="nil"/>
              <w:left w:val="nil"/>
              <w:bottom w:val="single" w:sz="4" w:space="0" w:color="auto"/>
              <w:right w:val="single" w:sz="4" w:space="0" w:color="auto"/>
            </w:tcBorders>
            <w:shd w:val="clear" w:color="auto" w:fill="auto"/>
            <w:noWrap/>
            <w:vAlign w:val="bottom"/>
            <w:hideMark/>
          </w:tcPr>
          <w:p w14:paraId="51353905" w14:textId="77777777" w:rsidR="00D8365A" w:rsidRPr="00362517" w:rsidRDefault="00D8365A" w:rsidP="00BF6BC7">
            <w:pPr>
              <w:jc w:val="right"/>
              <w:rPr>
                <w:b/>
                <w:bCs/>
              </w:rPr>
            </w:pPr>
            <w:r w:rsidRPr="00362517">
              <w:rPr>
                <w:b/>
                <w:bCs/>
              </w:rPr>
              <w:t>73,417</w:t>
            </w:r>
          </w:p>
        </w:tc>
        <w:tc>
          <w:tcPr>
            <w:tcW w:w="1065" w:type="pct"/>
            <w:tcBorders>
              <w:top w:val="nil"/>
              <w:left w:val="nil"/>
              <w:bottom w:val="single" w:sz="4" w:space="0" w:color="auto"/>
              <w:right w:val="single" w:sz="4" w:space="0" w:color="auto"/>
            </w:tcBorders>
            <w:shd w:val="clear" w:color="auto" w:fill="auto"/>
            <w:noWrap/>
            <w:vAlign w:val="bottom"/>
            <w:hideMark/>
          </w:tcPr>
          <w:p w14:paraId="01D95028" w14:textId="77777777" w:rsidR="00D8365A" w:rsidRPr="00362517" w:rsidRDefault="00D8365A" w:rsidP="00BF6BC7">
            <w:pPr>
              <w:jc w:val="right"/>
              <w:rPr>
                <w:b/>
                <w:bCs/>
              </w:rPr>
            </w:pPr>
            <w:r w:rsidRPr="00362517">
              <w:rPr>
                <w:b/>
                <w:bCs/>
              </w:rPr>
              <w:t>8,600</w:t>
            </w:r>
          </w:p>
        </w:tc>
      </w:tr>
    </w:tbl>
    <w:p w14:paraId="4D5D9C98" w14:textId="218E42D4" w:rsidR="00D8365A" w:rsidRPr="00362517" w:rsidRDefault="00D8365A" w:rsidP="00BF6BC7">
      <w:r w:rsidRPr="00362517">
        <w:rPr>
          <w:sz w:val="22"/>
          <w:szCs w:val="22"/>
        </w:rPr>
        <w:t>Source: EPA calculations using a three percent discount rate over a ten</w:t>
      </w:r>
      <w:r w:rsidR="00CA28EA">
        <w:rPr>
          <w:sz w:val="22"/>
          <w:szCs w:val="22"/>
        </w:rPr>
        <w:t>-</w:t>
      </w:r>
      <w:r w:rsidRPr="00362517">
        <w:rPr>
          <w:sz w:val="22"/>
          <w:szCs w:val="22"/>
        </w:rPr>
        <w:t>year period.</w:t>
      </w:r>
    </w:p>
    <w:p w14:paraId="1B4D5FEF" w14:textId="77777777" w:rsidR="00D8365A" w:rsidRPr="00362517" w:rsidRDefault="00D8365A" w:rsidP="00BF6BC7"/>
    <w:p w14:paraId="02660D86" w14:textId="69A6812D" w:rsidR="00D8365A" w:rsidRPr="00362517" w:rsidRDefault="00D8365A" w:rsidP="00BF6BC7">
      <w:r w:rsidRPr="00362517">
        <w:t>The states with the highest incremental costs for private applicators include Georgia, Kentucky, Missouri, South Dakota, and Arkansas.  The main drivers in these states are the high incremental costs of obtaining and maintaining a private applicator license under the final rule, because their state plans only meet the baseline.  At the national level, initial certification and recertification costs account for nearly 90 percent of the total cost to private applicators (Figure 1).</w:t>
      </w:r>
    </w:p>
    <w:p w14:paraId="20217BEA" w14:textId="77777777" w:rsidR="00D8365A" w:rsidRPr="00362517" w:rsidRDefault="00D8365A" w:rsidP="00BF6BC7"/>
    <w:p w14:paraId="3F9B7642" w14:textId="77777777" w:rsidR="00D8365A" w:rsidRPr="00362517" w:rsidRDefault="00D8365A" w:rsidP="00BF6BC7">
      <w:r w:rsidRPr="00362517">
        <w:t xml:space="preserve">                 </w:t>
      </w:r>
      <w:r w:rsidRPr="00362517">
        <w:rPr>
          <w:noProof/>
        </w:rPr>
        <w:drawing>
          <wp:inline distT="0" distB="0" distL="0" distR="0" wp14:anchorId="797BD0EF" wp14:editId="1E0B51D2">
            <wp:extent cx="4663440" cy="3649980"/>
            <wp:effectExtent l="0" t="0" r="3810"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149FF0" w14:textId="77777777" w:rsidR="00D8365A" w:rsidRPr="00362517" w:rsidRDefault="00D8365A" w:rsidP="00BF6BC7">
      <w:pPr>
        <w:ind w:left="720" w:firstLine="720"/>
      </w:pPr>
      <w:r w:rsidRPr="00362517">
        <w:rPr>
          <w:b/>
        </w:rPr>
        <w:t xml:space="preserve">           Figure 1. Private Applicator Costs by Rule Area</w:t>
      </w:r>
    </w:p>
    <w:p w14:paraId="14488B7D" w14:textId="77777777" w:rsidR="00D8365A" w:rsidRPr="00362517" w:rsidRDefault="00D8365A" w:rsidP="00BF6BC7"/>
    <w:p w14:paraId="3E1BF0F5" w14:textId="77777777" w:rsidR="00D8365A" w:rsidRPr="00362517" w:rsidRDefault="00D8365A" w:rsidP="00BF6BC7"/>
    <w:p w14:paraId="50F7C9D5" w14:textId="77777777" w:rsidR="00D8365A" w:rsidRPr="00362517" w:rsidRDefault="00D8365A" w:rsidP="00BF6BC7">
      <w:pPr>
        <w:pStyle w:val="Heading3"/>
      </w:pPr>
      <w:bookmarkStart w:id="256" w:name="_Toc452020153"/>
      <w:bookmarkStart w:id="257" w:name="_Toc456270177"/>
      <w:bookmarkStart w:id="258" w:name="_Toc468872093"/>
      <w:r w:rsidRPr="00362517">
        <w:t>3.5.2</w:t>
      </w:r>
      <w:r w:rsidRPr="00362517">
        <w:tab/>
        <w:t>Commercial Applicator Cost of Final Rule</w:t>
      </w:r>
      <w:bookmarkEnd w:id="256"/>
      <w:bookmarkEnd w:id="257"/>
      <w:bookmarkEnd w:id="258"/>
    </w:p>
    <w:p w14:paraId="4D06E09F" w14:textId="77777777" w:rsidR="00D8365A" w:rsidRPr="00362517" w:rsidRDefault="00D8365A" w:rsidP="00BF6BC7"/>
    <w:p w14:paraId="1BE4115A" w14:textId="77777777" w:rsidR="00D8365A" w:rsidRPr="00362517" w:rsidRDefault="00D8365A" w:rsidP="00BF6BC7">
      <w:r w:rsidRPr="00362517">
        <w:t>The total cost of the final rule to commercial applicators can be estimated by summing the costs of the six components evaluated in Section 3.4.  Table 3.5-4 presents the PVs of costs for the final regulatory requirement, baseline requirement, incremental cost, and annualized incremental cost by jurisdiction.  For commercial applicators, EPA estimates that the annualized incremental cost of the final rule over ten years to be $16.2 million, given a three percent discount rate.  See Appendix B for details.</w:t>
      </w:r>
    </w:p>
    <w:p w14:paraId="177A5827" w14:textId="77777777" w:rsidR="00D8365A" w:rsidRPr="00362517" w:rsidRDefault="00D8365A" w:rsidP="00BF6BC7"/>
    <w:p w14:paraId="4B949B52" w14:textId="77777777" w:rsidR="00D8365A" w:rsidRPr="00362517" w:rsidRDefault="00D8365A" w:rsidP="00BF6BC7">
      <w:pPr>
        <w:rPr>
          <w:b/>
        </w:rPr>
      </w:pPr>
      <w:r w:rsidRPr="00362517">
        <w:rPr>
          <w:b/>
        </w:rPr>
        <w:t>Table 3.5-4 Commercial Applicator Cost of Final Rule</w:t>
      </w:r>
    </w:p>
    <w:tbl>
      <w:tblPr>
        <w:tblW w:w="5000" w:type="pct"/>
        <w:tblLook w:val="04A0" w:firstRow="1" w:lastRow="0" w:firstColumn="1" w:lastColumn="0" w:noHBand="0" w:noVBand="1"/>
      </w:tblPr>
      <w:tblGrid>
        <w:gridCol w:w="2338"/>
        <w:gridCol w:w="1688"/>
        <w:gridCol w:w="1938"/>
        <w:gridCol w:w="1548"/>
        <w:gridCol w:w="1833"/>
      </w:tblGrid>
      <w:tr w:rsidR="00D8365A" w:rsidRPr="00362517" w14:paraId="06A0242C" w14:textId="77777777" w:rsidTr="007A2164">
        <w:trPr>
          <w:trHeight w:val="458"/>
        </w:trPr>
        <w:tc>
          <w:tcPr>
            <w:tcW w:w="1251" w:type="pct"/>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1F1779C0" w14:textId="77777777" w:rsidR="00D8365A" w:rsidRPr="00362517" w:rsidRDefault="00D8365A" w:rsidP="00BF6BC7">
            <w:r w:rsidRPr="00362517">
              <w:t>Jurisdiction</w:t>
            </w:r>
          </w:p>
        </w:tc>
        <w:tc>
          <w:tcPr>
            <w:tcW w:w="903" w:type="pct"/>
            <w:tcBorders>
              <w:top w:val="single" w:sz="4" w:space="0" w:color="auto"/>
              <w:left w:val="nil"/>
              <w:bottom w:val="single" w:sz="4" w:space="0" w:color="auto"/>
              <w:right w:val="single" w:sz="4" w:space="0" w:color="auto"/>
            </w:tcBorders>
            <w:shd w:val="clear" w:color="auto" w:fill="auto"/>
            <w:noWrap/>
            <w:vAlign w:val="center"/>
            <w:hideMark/>
          </w:tcPr>
          <w:p w14:paraId="62A66FDF" w14:textId="77777777" w:rsidR="00D8365A" w:rsidRPr="00362517" w:rsidRDefault="00D8365A" w:rsidP="00BF6BC7">
            <w:pPr>
              <w:jc w:val="center"/>
            </w:pPr>
            <w:r w:rsidRPr="00362517">
              <w:t>PV(RC</w:t>
            </w:r>
            <w:r w:rsidRPr="00362517">
              <w:rPr>
                <w:vertAlign w:val="superscript"/>
              </w:rPr>
              <w:t>P</w:t>
            </w:r>
            <w:r w:rsidRPr="00362517">
              <w:t>)</w:t>
            </w:r>
          </w:p>
        </w:tc>
        <w:tc>
          <w:tcPr>
            <w:tcW w:w="1037" w:type="pct"/>
            <w:tcBorders>
              <w:top w:val="single" w:sz="4" w:space="0" w:color="auto"/>
              <w:left w:val="nil"/>
              <w:bottom w:val="single" w:sz="4" w:space="0" w:color="auto"/>
              <w:right w:val="single" w:sz="4" w:space="0" w:color="auto"/>
            </w:tcBorders>
            <w:shd w:val="clear" w:color="auto" w:fill="auto"/>
            <w:noWrap/>
            <w:vAlign w:val="center"/>
            <w:hideMark/>
          </w:tcPr>
          <w:p w14:paraId="261EB5E6" w14:textId="77777777" w:rsidR="00D8365A" w:rsidRPr="00362517" w:rsidRDefault="00D8365A" w:rsidP="00BF6BC7">
            <w:pPr>
              <w:jc w:val="center"/>
            </w:pPr>
            <w:r w:rsidRPr="00362517">
              <w:t>PV(RC</w:t>
            </w:r>
            <w:r w:rsidRPr="00362517">
              <w:rPr>
                <w:vertAlign w:val="superscript"/>
              </w:rPr>
              <w:t>B</w:t>
            </w:r>
            <w:r w:rsidRPr="00362517">
              <w:t>)</w:t>
            </w:r>
          </w:p>
        </w:tc>
        <w:tc>
          <w:tcPr>
            <w:tcW w:w="828" w:type="pct"/>
            <w:tcBorders>
              <w:top w:val="single" w:sz="4" w:space="0" w:color="auto"/>
              <w:left w:val="nil"/>
              <w:bottom w:val="single" w:sz="4" w:space="0" w:color="auto"/>
              <w:right w:val="single" w:sz="4" w:space="0" w:color="auto"/>
            </w:tcBorders>
            <w:shd w:val="clear" w:color="auto" w:fill="auto"/>
            <w:noWrap/>
            <w:vAlign w:val="center"/>
            <w:hideMark/>
          </w:tcPr>
          <w:p w14:paraId="03350403" w14:textId="77777777" w:rsidR="00D8365A" w:rsidRPr="00362517" w:rsidRDefault="00D8365A" w:rsidP="00BF6BC7">
            <w:pPr>
              <w:jc w:val="center"/>
            </w:pPr>
            <w:r w:rsidRPr="00362517">
              <w:t>PV(RIC)</w:t>
            </w:r>
          </w:p>
        </w:tc>
        <w:tc>
          <w:tcPr>
            <w:tcW w:w="981" w:type="pct"/>
            <w:tcBorders>
              <w:top w:val="single" w:sz="4" w:space="0" w:color="auto"/>
              <w:left w:val="nil"/>
              <w:bottom w:val="single" w:sz="4" w:space="0" w:color="auto"/>
              <w:right w:val="single" w:sz="4" w:space="0" w:color="auto"/>
            </w:tcBorders>
            <w:shd w:val="clear" w:color="auto" w:fill="auto"/>
            <w:vAlign w:val="center"/>
            <w:hideMark/>
          </w:tcPr>
          <w:p w14:paraId="23E79732" w14:textId="77777777" w:rsidR="00D8365A" w:rsidRPr="00362517" w:rsidRDefault="00D8365A" w:rsidP="00BF6BC7">
            <w:pPr>
              <w:jc w:val="center"/>
            </w:pPr>
            <w:r w:rsidRPr="00362517">
              <w:t>Annualized RIC</w:t>
            </w:r>
          </w:p>
        </w:tc>
      </w:tr>
      <w:tr w:rsidR="00D8365A" w:rsidRPr="00362517" w14:paraId="6664F6E7" w14:textId="77777777" w:rsidTr="007A2164">
        <w:trPr>
          <w:trHeight w:val="312"/>
        </w:trPr>
        <w:tc>
          <w:tcPr>
            <w:tcW w:w="1251" w:type="pct"/>
            <w:vMerge/>
            <w:tcBorders>
              <w:top w:val="single" w:sz="4" w:space="0" w:color="auto"/>
              <w:left w:val="single" w:sz="8" w:space="0" w:color="auto"/>
              <w:bottom w:val="single" w:sz="4" w:space="0" w:color="000000"/>
              <w:right w:val="single" w:sz="4" w:space="0" w:color="auto"/>
            </w:tcBorders>
            <w:vAlign w:val="center"/>
            <w:hideMark/>
          </w:tcPr>
          <w:p w14:paraId="48986FA5" w14:textId="77777777" w:rsidR="00D8365A" w:rsidRPr="00362517" w:rsidRDefault="00D8365A" w:rsidP="00BF6BC7"/>
        </w:tc>
        <w:tc>
          <w:tcPr>
            <w:tcW w:w="374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1AFFE79B" w14:textId="77777777" w:rsidR="00D8365A" w:rsidRPr="00362517" w:rsidRDefault="00D8365A" w:rsidP="00BF6BC7">
            <w:pPr>
              <w:jc w:val="center"/>
            </w:pPr>
            <w:r w:rsidRPr="00362517">
              <w:t xml:space="preserve">$1,000 </w:t>
            </w:r>
          </w:p>
        </w:tc>
      </w:tr>
      <w:tr w:rsidR="00D8365A" w:rsidRPr="00362517" w14:paraId="2ED241F8"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4A60F4B4" w14:textId="77777777" w:rsidR="00D8365A" w:rsidRPr="00362517" w:rsidRDefault="00D8365A" w:rsidP="00BF6BC7">
            <w:r w:rsidRPr="00362517">
              <w:t>Alabama</w:t>
            </w:r>
          </w:p>
        </w:tc>
        <w:tc>
          <w:tcPr>
            <w:tcW w:w="903" w:type="pct"/>
            <w:tcBorders>
              <w:top w:val="nil"/>
              <w:left w:val="nil"/>
              <w:bottom w:val="single" w:sz="4" w:space="0" w:color="auto"/>
              <w:right w:val="single" w:sz="4" w:space="0" w:color="auto"/>
            </w:tcBorders>
            <w:shd w:val="clear" w:color="auto" w:fill="auto"/>
            <w:noWrap/>
            <w:vAlign w:val="bottom"/>
            <w:hideMark/>
          </w:tcPr>
          <w:p w14:paraId="04986FBE" w14:textId="77777777" w:rsidR="00D8365A" w:rsidRPr="00362517" w:rsidRDefault="00D8365A" w:rsidP="00BF6BC7">
            <w:pPr>
              <w:jc w:val="right"/>
            </w:pPr>
            <w:r w:rsidRPr="00362517">
              <w:t>17,777</w:t>
            </w:r>
          </w:p>
        </w:tc>
        <w:tc>
          <w:tcPr>
            <w:tcW w:w="1037" w:type="pct"/>
            <w:tcBorders>
              <w:top w:val="nil"/>
              <w:left w:val="nil"/>
              <w:bottom w:val="single" w:sz="4" w:space="0" w:color="auto"/>
              <w:right w:val="single" w:sz="4" w:space="0" w:color="auto"/>
            </w:tcBorders>
            <w:shd w:val="clear" w:color="auto" w:fill="auto"/>
            <w:noWrap/>
            <w:vAlign w:val="bottom"/>
            <w:hideMark/>
          </w:tcPr>
          <w:p w14:paraId="67037109" w14:textId="77777777" w:rsidR="00D8365A" w:rsidRPr="00362517" w:rsidRDefault="00D8365A" w:rsidP="00BF6BC7">
            <w:pPr>
              <w:jc w:val="right"/>
            </w:pPr>
            <w:r w:rsidRPr="00362517">
              <w:t>15,312</w:t>
            </w:r>
          </w:p>
        </w:tc>
        <w:tc>
          <w:tcPr>
            <w:tcW w:w="828" w:type="pct"/>
            <w:tcBorders>
              <w:top w:val="nil"/>
              <w:left w:val="nil"/>
              <w:bottom w:val="single" w:sz="4" w:space="0" w:color="auto"/>
              <w:right w:val="single" w:sz="4" w:space="0" w:color="auto"/>
            </w:tcBorders>
            <w:shd w:val="clear" w:color="auto" w:fill="auto"/>
            <w:noWrap/>
            <w:vAlign w:val="bottom"/>
            <w:hideMark/>
          </w:tcPr>
          <w:p w14:paraId="0A145C23" w14:textId="77777777" w:rsidR="00D8365A" w:rsidRPr="00362517" w:rsidRDefault="00D8365A" w:rsidP="00BF6BC7">
            <w:pPr>
              <w:jc w:val="right"/>
            </w:pPr>
            <w:r w:rsidRPr="00362517">
              <w:t>2,466</w:t>
            </w:r>
          </w:p>
        </w:tc>
        <w:tc>
          <w:tcPr>
            <w:tcW w:w="981" w:type="pct"/>
            <w:tcBorders>
              <w:top w:val="nil"/>
              <w:left w:val="nil"/>
              <w:bottom w:val="single" w:sz="4" w:space="0" w:color="auto"/>
              <w:right w:val="single" w:sz="4" w:space="0" w:color="auto"/>
            </w:tcBorders>
            <w:shd w:val="clear" w:color="auto" w:fill="auto"/>
            <w:noWrap/>
            <w:vAlign w:val="bottom"/>
            <w:hideMark/>
          </w:tcPr>
          <w:p w14:paraId="4A1F537A" w14:textId="77777777" w:rsidR="00D8365A" w:rsidRPr="00362517" w:rsidRDefault="00D8365A" w:rsidP="00BF6BC7">
            <w:pPr>
              <w:jc w:val="right"/>
            </w:pPr>
            <w:r w:rsidRPr="00362517">
              <w:t>281</w:t>
            </w:r>
          </w:p>
        </w:tc>
      </w:tr>
      <w:tr w:rsidR="00D8365A" w:rsidRPr="00362517" w14:paraId="20526E6D"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533987FB" w14:textId="77777777" w:rsidR="00D8365A" w:rsidRPr="00362517" w:rsidRDefault="00D8365A" w:rsidP="00BF6BC7">
            <w:r w:rsidRPr="00362517">
              <w:t>Alaska</w:t>
            </w:r>
          </w:p>
        </w:tc>
        <w:tc>
          <w:tcPr>
            <w:tcW w:w="903" w:type="pct"/>
            <w:tcBorders>
              <w:top w:val="nil"/>
              <w:left w:val="nil"/>
              <w:bottom w:val="single" w:sz="4" w:space="0" w:color="auto"/>
              <w:right w:val="single" w:sz="4" w:space="0" w:color="auto"/>
            </w:tcBorders>
            <w:shd w:val="clear" w:color="auto" w:fill="auto"/>
            <w:noWrap/>
            <w:vAlign w:val="bottom"/>
            <w:hideMark/>
          </w:tcPr>
          <w:p w14:paraId="61228D8F" w14:textId="77777777" w:rsidR="00D8365A" w:rsidRPr="00362517" w:rsidRDefault="00D8365A" w:rsidP="00BF6BC7">
            <w:pPr>
              <w:jc w:val="right"/>
            </w:pPr>
            <w:r w:rsidRPr="00362517">
              <w:t>1,282</w:t>
            </w:r>
          </w:p>
        </w:tc>
        <w:tc>
          <w:tcPr>
            <w:tcW w:w="1037" w:type="pct"/>
            <w:tcBorders>
              <w:top w:val="nil"/>
              <w:left w:val="nil"/>
              <w:bottom w:val="single" w:sz="4" w:space="0" w:color="auto"/>
              <w:right w:val="single" w:sz="4" w:space="0" w:color="auto"/>
            </w:tcBorders>
            <w:shd w:val="clear" w:color="auto" w:fill="auto"/>
            <w:noWrap/>
            <w:vAlign w:val="bottom"/>
            <w:hideMark/>
          </w:tcPr>
          <w:p w14:paraId="059D9DF0" w14:textId="77777777" w:rsidR="00D8365A" w:rsidRPr="00362517" w:rsidRDefault="00D8365A" w:rsidP="00BF6BC7">
            <w:pPr>
              <w:jc w:val="right"/>
            </w:pPr>
            <w:r w:rsidRPr="00362517">
              <w:t>1,128</w:t>
            </w:r>
          </w:p>
        </w:tc>
        <w:tc>
          <w:tcPr>
            <w:tcW w:w="828" w:type="pct"/>
            <w:tcBorders>
              <w:top w:val="nil"/>
              <w:left w:val="nil"/>
              <w:bottom w:val="single" w:sz="4" w:space="0" w:color="auto"/>
              <w:right w:val="single" w:sz="4" w:space="0" w:color="auto"/>
            </w:tcBorders>
            <w:shd w:val="clear" w:color="auto" w:fill="auto"/>
            <w:noWrap/>
            <w:vAlign w:val="bottom"/>
            <w:hideMark/>
          </w:tcPr>
          <w:p w14:paraId="0AC0C4C0" w14:textId="77777777" w:rsidR="00D8365A" w:rsidRPr="00362517" w:rsidRDefault="00D8365A" w:rsidP="00BF6BC7">
            <w:pPr>
              <w:jc w:val="right"/>
            </w:pPr>
            <w:r w:rsidRPr="00362517">
              <w:t>153</w:t>
            </w:r>
          </w:p>
        </w:tc>
        <w:tc>
          <w:tcPr>
            <w:tcW w:w="981" w:type="pct"/>
            <w:tcBorders>
              <w:top w:val="nil"/>
              <w:left w:val="nil"/>
              <w:bottom w:val="single" w:sz="4" w:space="0" w:color="auto"/>
              <w:right w:val="single" w:sz="4" w:space="0" w:color="auto"/>
            </w:tcBorders>
            <w:shd w:val="clear" w:color="auto" w:fill="auto"/>
            <w:noWrap/>
            <w:vAlign w:val="bottom"/>
            <w:hideMark/>
          </w:tcPr>
          <w:p w14:paraId="2048B4F2" w14:textId="77777777" w:rsidR="00D8365A" w:rsidRPr="00362517" w:rsidRDefault="00D8365A" w:rsidP="00BF6BC7">
            <w:pPr>
              <w:jc w:val="right"/>
            </w:pPr>
            <w:r w:rsidRPr="00362517">
              <w:t>17</w:t>
            </w:r>
          </w:p>
        </w:tc>
      </w:tr>
      <w:tr w:rsidR="00D8365A" w:rsidRPr="00362517" w14:paraId="07A9DC3F"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1562FC27" w14:textId="77777777" w:rsidR="00D8365A" w:rsidRPr="00362517" w:rsidRDefault="00D8365A" w:rsidP="00BF6BC7">
            <w:r w:rsidRPr="00362517">
              <w:t>Arizona</w:t>
            </w:r>
          </w:p>
        </w:tc>
        <w:tc>
          <w:tcPr>
            <w:tcW w:w="903" w:type="pct"/>
            <w:tcBorders>
              <w:top w:val="nil"/>
              <w:left w:val="nil"/>
              <w:bottom w:val="single" w:sz="4" w:space="0" w:color="auto"/>
              <w:right w:val="single" w:sz="4" w:space="0" w:color="auto"/>
            </w:tcBorders>
            <w:shd w:val="clear" w:color="auto" w:fill="auto"/>
            <w:noWrap/>
            <w:vAlign w:val="bottom"/>
            <w:hideMark/>
          </w:tcPr>
          <w:p w14:paraId="1170329F" w14:textId="77777777" w:rsidR="00D8365A" w:rsidRPr="00362517" w:rsidRDefault="00D8365A" w:rsidP="00BF6BC7">
            <w:pPr>
              <w:jc w:val="right"/>
            </w:pPr>
            <w:r w:rsidRPr="00362517">
              <w:t>33,881</w:t>
            </w:r>
          </w:p>
        </w:tc>
        <w:tc>
          <w:tcPr>
            <w:tcW w:w="1037" w:type="pct"/>
            <w:tcBorders>
              <w:top w:val="nil"/>
              <w:left w:val="nil"/>
              <w:bottom w:val="single" w:sz="4" w:space="0" w:color="auto"/>
              <w:right w:val="single" w:sz="4" w:space="0" w:color="auto"/>
            </w:tcBorders>
            <w:shd w:val="clear" w:color="auto" w:fill="auto"/>
            <w:noWrap/>
            <w:vAlign w:val="bottom"/>
            <w:hideMark/>
          </w:tcPr>
          <w:p w14:paraId="1852B80F" w14:textId="77777777" w:rsidR="00D8365A" w:rsidRPr="00362517" w:rsidRDefault="00D8365A" w:rsidP="00BF6BC7">
            <w:pPr>
              <w:jc w:val="right"/>
            </w:pPr>
            <w:r w:rsidRPr="00362517">
              <w:t>30,428</w:t>
            </w:r>
          </w:p>
        </w:tc>
        <w:tc>
          <w:tcPr>
            <w:tcW w:w="828" w:type="pct"/>
            <w:tcBorders>
              <w:top w:val="nil"/>
              <w:left w:val="nil"/>
              <w:bottom w:val="single" w:sz="4" w:space="0" w:color="auto"/>
              <w:right w:val="single" w:sz="4" w:space="0" w:color="auto"/>
            </w:tcBorders>
            <w:shd w:val="clear" w:color="auto" w:fill="auto"/>
            <w:noWrap/>
            <w:vAlign w:val="bottom"/>
            <w:hideMark/>
          </w:tcPr>
          <w:p w14:paraId="386BD710" w14:textId="77777777" w:rsidR="00D8365A" w:rsidRPr="00362517" w:rsidRDefault="00D8365A" w:rsidP="00BF6BC7">
            <w:pPr>
              <w:jc w:val="right"/>
            </w:pPr>
            <w:r w:rsidRPr="00362517">
              <w:t>3,453</w:t>
            </w:r>
          </w:p>
        </w:tc>
        <w:tc>
          <w:tcPr>
            <w:tcW w:w="981" w:type="pct"/>
            <w:tcBorders>
              <w:top w:val="nil"/>
              <w:left w:val="nil"/>
              <w:bottom w:val="single" w:sz="4" w:space="0" w:color="auto"/>
              <w:right w:val="single" w:sz="4" w:space="0" w:color="auto"/>
            </w:tcBorders>
            <w:shd w:val="clear" w:color="auto" w:fill="auto"/>
            <w:noWrap/>
            <w:vAlign w:val="bottom"/>
            <w:hideMark/>
          </w:tcPr>
          <w:p w14:paraId="1C2662D2" w14:textId="77777777" w:rsidR="00D8365A" w:rsidRPr="00362517" w:rsidRDefault="00D8365A" w:rsidP="00BF6BC7">
            <w:pPr>
              <w:jc w:val="right"/>
            </w:pPr>
            <w:r w:rsidRPr="00362517">
              <w:t>393</w:t>
            </w:r>
          </w:p>
        </w:tc>
      </w:tr>
      <w:tr w:rsidR="00D8365A" w:rsidRPr="00362517" w14:paraId="073BC6E1"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1A731B14" w14:textId="77777777" w:rsidR="00D8365A" w:rsidRPr="00362517" w:rsidRDefault="00D8365A" w:rsidP="00BF6BC7">
            <w:r w:rsidRPr="00362517">
              <w:t>Arkansas</w:t>
            </w:r>
          </w:p>
        </w:tc>
        <w:tc>
          <w:tcPr>
            <w:tcW w:w="903" w:type="pct"/>
            <w:tcBorders>
              <w:top w:val="nil"/>
              <w:left w:val="nil"/>
              <w:bottom w:val="single" w:sz="4" w:space="0" w:color="auto"/>
              <w:right w:val="single" w:sz="4" w:space="0" w:color="auto"/>
            </w:tcBorders>
            <w:shd w:val="clear" w:color="auto" w:fill="auto"/>
            <w:noWrap/>
            <w:vAlign w:val="bottom"/>
            <w:hideMark/>
          </w:tcPr>
          <w:p w14:paraId="4CE29EF7" w14:textId="77777777" w:rsidR="00D8365A" w:rsidRPr="00362517" w:rsidRDefault="00D8365A" w:rsidP="00BF6BC7">
            <w:pPr>
              <w:jc w:val="right"/>
            </w:pPr>
            <w:r w:rsidRPr="00362517">
              <w:t>8,496</w:t>
            </w:r>
          </w:p>
        </w:tc>
        <w:tc>
          <w:tcPr>
            <w:tcW w:w="1037" w:type="pct"/>
            <w:tcBorders>
              <w:top w:val="nil"/>
              <w:left w:val="nil"/>
              <w:bottom w:val="single" w:sz="4" w:space="0" w:color="auto"/>
              <w:right w:val="single" w:sz="4" w:space="0" w:color="auto"/>
            </w:tcBorders>
            <w:shd w:val="clear" w:color="auto" w:fill="auto"/>
            <w:noWrap/>
            <w:vAlign w:val="bottom"/>
            <w:hideMark/>
          </w:tcPr>
          <w:p w14:paraId="2CF93542" w14:textId="77777777" w:rsidR="00D8365A" w:rsidRPr="00362517" w:rsidRDefault="00D8365A" w:rsidP="00BF6BC7">
            <w:pPr>
              <w:jc w:val="right"/>
            </w:pPr>
            <w:r w:rsidRPr="00362517">
              <w:t>5,853</w:t>
            </w:r>
          </w:p>
        </w:tc>
        <w:tc>
          <w:tcPr>
            <w:tcW w:w="828" w:type="pct"/>
            <w:tcBorders>
              <w:top w:val="nil"/>
              <w:left w:val="nil"/>
              <w:bottom w:val="single" w:sz="4" w:space="0" w:color="auto"/>
              <w:right w:val="single" w:sz="4" w:space="0" w:color="auto"/>
            </w:tcBorders>
            <w:shd w:val="clear" w:color="auto" w:fill="auto"/>
            <w:noWrap/>
            <w:vAlign w:val="bottom"/>
            <w:hideMark/>
          </w:tcPr>
          <w:p w14:paraId="6F7D0269" w14:textId="77777777" w:rsidR="00D8365A" w:rsidRPr="00362517" w:rsidRDefault="00D8365A" w:rsidP="00BF6BC7">
            <w:pPr>
              <w:jc w:val="right"/>
            </w:pPr>
            <w:r w:rsidRPr="00362517">
              <w:t>2,644</w:t>
            </w:r>
          </w:p>
        </w:tc>
        <w:tc>
          <w:tcPr>
            <w:tcW w:w="981" w:type="pct"/>
            <w:tcBorders>
              <w:top w:val="nil"/>
              <w:left w:val="nil"/>
              <w:bottom w:val="single" w:sz="4" w:space="0" w:color="auto"/>
              <w:right w:val="single" w:sz="4" w:space="0" w:color="auto"/>
            </w:tcBorders>
            <w:shd w:val="clear" w:color="auto" w:fill="auto"/>
            <w:noWrap/>
            <w:vAlign w:val="bottom"/>
            <w:hideMark/>
          </w:tcPr>
          <w:p w14:paraId="29D26364" w14:textId="77777777" w:rsidR="00D8365A" w:rsidRPr="00362517" w:rsidRDefault="00D8365A" w:rsidP="00BF6BC7">
            <w:pPr>
              <w:jc w:val="right"/>
            </w:pPr>
            <w:r w:rsidRPr="00362517">
              <w:t>301</w:t>
            </w:r>
          </w:p>
        </w:tc>
      </w:tr>
      <w:tr w:rsidR="00D8365A" w:rsidRPr="00362517" w14:paraId="6FE4F478"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1B494729" w14:textId="77777777" w:rsidR="00D8365A" w:rsidRPr="00362517" w:rsidRDefault="00D8365A" w:rsidP="00BF6BC7">
            <w:r w:rsidRPr="00362517">
              <w:t>California</w:t>
            </w:r>
          </w:p>
        </w:tc>
        <w:tc>
          <w:tcPr>
            <w:tcW w:w="903" w:type="pct"/>
            <w:tcBorders>
              <w:top w:val="nil"/>
              <w:left w:val="nil"/>
              <w:bottom w:val="single" w:sz="4" w:space="0" w:color="auto"/>
              <w:right w:val="single" w:sz="4" w:space="0" w:color="auto"/>
            </w:tcBorders>
            <w:shd w:val="clear" w:color="auto" w:fill="auto"/>
            <w:noWrap/>
            <w:vAlign w:val="bottom"/>
            <w:hideMark/>
          </w:tcPr>
          <w:p w14:paraId="653BA3D1" w14:textId="77777777" w:rsidR="00D8365A" w:rsidRPr="00362517" w:rsidRDefault="00D8365A" w:rsidP="00BF6BC7">
            <w:pPr>
              <w:jc w:val="right"/>
            </w:pPr>
            <w:r w:rsidRPr="00362517">
              <w:t>195,938</w:t>
            </w:r>
          </w:p>
        </w:tc>
        <w:tc>
          <w:tcPr>
            <w:tcW w:w="1037" w:type="pct"/>
            <w:tcBorders>
              <w:top w:val="nil"/>
              <w:left w:val="nil"/>
              <w:bottom w:val="single" w:sz="4" w:space="0" w:color="auto"/>
              <w:right w:val="single" w:sz="4" w:space="0" w:color="auto"/>
            </w:tcBorders>
            <w:shd w:val="clear" w:color="auto" w:fill="auto"/>
            <w:noWrap/>
            <w:vAlign w:val="bottom"/>
            <w:hideMark/>
          </w:tcPr>
          <w:p w14:paraId="3C088468" w14:textId="77777777" w:rsidR="00D8365A" w:rsidRPr="00362517" w:rsidRDefault="00D8365A" w:rsidP="00BF6BC7">
            <w:pPr>
              <w:jc w:val="right"/>
            </w:pPr>
            <w:r w:rsidRPr="00362517">
              <w:t>175,788</w:t>
            </w:r>
          </w:p>
        </w:tc>
        <w:tc>
          <w:tcPr>
            <w:tcW w:w="828" w:type="pct"/>
            <w:tcBorders>
              <w:top w:val="nil"/>
              <w:left w:val="nil"/>
              <w:bottom w:val="single" w:sz="4" w:space="0" w:color="auto"/>
              <w:right w:val="single" w:sz="4" w:space="0" w:color="auto"/>
            </w:tcBorders>
            <w:shd w:val="clear" w:color="auto" w:fill="auto"/>
            <w:noWrap/>
            <w:vAlign w:val="bottom"/>
            <w:hideMark/>
          </w:tcPr>
          <w:p w14:paraId="2DCC70CF" w14:textId="77777777" w:rsidR="00D8365A" w:rsidRPr="00362517" w:rsidRDefault="00D8365A" w:rsidP="00BF6BC7">
            <w:pPr>
              <w:jc w:val="right"/>
            </w:pPr>
            <w:r w:rsidRPr="00362517">
              <w:t>20,150</w:t>
            </w:r>
          </w:p>
        </w:tc>
        <w:tc>
          <w:tcPr>
            <w:tcW w:w="981" w:type="pct"/>
            <w:tcBorders>
              <w:top w:val="nil"/>
              <w:left w:val="nil"/>
              <w:bottom w:val="single" w:sz="4" w:space="0" w:color="auto"/>
              <w:right w:val="single" w:sz="4" w:space="0" w:color="auto"/>
            </w:tcBorders>
            <w:shd w:val="clear" w:color="auto" w:fill="auto"/>
            <w:noWrap/>
            <w:vAlign w:val="bottom"/>
            <w:hideMark/>
          </w:tcPr>
          <w:p w14:paraId="171085AD" w14:textId="77777777" w:rsidR="00D8365A" w:rsidRPr="00362517" w:rsidRDefault="00D8365A" w:rsidP="00BF6BC7">
            <w:pPr>
              <w:jc w:val="right"/>
            </w:pPr>
            <w:r w:rsidRPr="00362517">
              <w:t>2,293</w:t>
            </w:r>
          </w:p>
        </w:tc>
      </w:tr>
      <w:tr w:rsidR="00D8365A" w:rsidRPr="00362517" w14:paraId="2F55639F"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3D838965" w14:textId="77777777" w:rsidR="00D8365A" w:rsidRPr="00362517" w:rsidRDefault="00D8365A" w:rsidP="00BF6BC7">
            <w:r w:rsidRPr="00362517">
              <w:t>Colorado</w:t>
            </w:r>
          </w:p>
        </w:tc>
        <w:tc>
          <w:tcPr>
            <w:tcW w:w="903" w:type="pct"/>
            <w:tcBorders>
              <w:top w:val="nil"/>
              <w:left w:val="nil"/>
              <w:bottom w:val="single" w:sz="4" w:space="0" w:color="auto"/>
              <w:right w:val="single" w:sz="4" w:space="0" w:color="auto"/>
            </w:tcBorders>
            <w:shd w:val="clear" w:color="auto" w:fill="auto"/>
            <w:noWrap/>
            <w:vAlign w:val="bottom"/>
            <w:hideMark/>
          </w:tcPr>
          <w:p w14:paraId="7A3AAD72" w14:textId="77777777" w:rsidR="00D8365A" w:rsidRPr="00362517" w:rsidRDefault="00D8365A" w:rsidP="00BF6BC7">
            <w:pPr>
              <w:jc w:val="right"/>
            </w:pPr>
            <w:r w:rsidRPr="00362517">
              <w:t>14,857</w:t>
            </w:r>
          </w:p>
        </w:tc>
        <w:tc>
          <w:tcPr>
            <w:tcW w:w="1037" w:type="pct"/>
            <w:tcBorders>
              <w:top w:val="nil"/>
              <w:left w:val="nil"/>
              <w:bottom w:val="single" w:sz="4" w:space="0" w:color="auto"/>
              <w:right w:val="single" w:sz="4" w:space="0" w:color="auto"/>
            </w:tcBorders>
            <w:shd w:val="clear" w:color="auto" w:fill="auto"/>
            <w:noWrap/>
            <w:vAlign w:val="bottom"/>
            <w:hideMark/>
          </w:tcPr>
          <w:p w14:paraId="381CF2BD" w14:textId="77777777" w:rsidR="00D8365A" w:rsidRPr="00362517" w:rsidRDefault="00D8365A" w:rsidP="00BF6BC7">
            <w:pPr>
              <w:jc w:val="right"/>
            </w:pPr>
            <w:r w:rsidRPr="00362517">
              <w:t>11,424</w:t>
            </w:r>
          </w:p>
        </w:tc>
        <w:tc>
          <w:tcPr>
            <w:tcW w:w="828" w:type="pct"/>
            <w:tcBorders>
              <w:top w:val="nil"/>
              <w:left w:val="nil"/>
              <w:bottom w:val="single" w:sz="4" w:space="0" w:color="auto"/>
              <w:right w:val="single" w:sz="4" w:space="0" w:color="auto"/>
            </w:tcBorders>
            <w:shd w:val="clear" w:color="auto" w:fill="auto"/>
            <w:noWrap/>
            <w:vAlign w:val="bottom"/>
            <w:hideMark/>
          </w:tcPr>
          <w:p w14:paraId="49990E1B" w14:textId="77777777" w:rsidR="00D8365A" w:rsidRPr="00362517" w:rsidRDefault="00D8365A" w:rsidP="00BF6BC7">
            <w:pPr>
              <w:jc w:val="right"/>
            </w:pPr>
            <w:r w:rsidRPr="00362517">
              <w:t>3,433</w:t>
            </w:r>
          </w:p>
        </w:tc>
        <w:tc>
          <w:tcPr>
            <w:tcW w:w="981" w:type="pct"/>
            <w:tcBorders>
              <w:top w:val="nil"/>
              <w:left w:val="nil"/>
              <w:bottom w:val="single" w:sz="4" w:space="0" w:color="auto"/>
              <w:right w:val="single" w:sz="4" w:space="0" w:color="auto"/>
            </w:tcBorders>
            <w:shd w:val="clear" w:color="auto" w:fill="auto"/>
            <w:noWrap/>
            <w:vAlign w:val="bottom"/>
            <w:hideMark/>
          </w:tcPr>
          <w:p w14:paraId="0FBF0CA9" w14:textId="77777777" w:rsidR="00D8365A" w:rsidRPr="00362517" w:rsidRDefault="00D8365A" w:rsidP="00BF6BC7">
            <w:pPr>
              <w:jc w:val="right"/>
            </w:pPr>
            <w:r w:rsidRPr="00362517">
              <w:t>391</w:t>
            </w:r>
          </w:p>
        </w:tc>
      </w:tr>
      <w:tr w:rsidR="00D8365A" w:rsidRPr="00362517" w14:paraId="7DBC1BA8"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79DB9563" w14:textId="77777777" w:rsidR="00D8365A" w:rsidRPr="00362517" w:rsidRDefault="00D8365A" w:rsidP="00BF6BC7">
            <w:r w:rsidRPr="00362517">
              <w:t>Connecticut</w:t>
            </w:r>
          </w:p>
        </w:tc>
        <w:tc>
          <w:tcPr>
            <w:tcW w:w="903" w:type="pct"/>
            <w:tcBorders>
              <w:top w:val="nil"/>
              <w:left w:val="nil"/>
              <w:bottom w:val="single" w:sz="4" w:space="0" w:color="auto"/>
              <w:right w:val="single" w:sz="4" w:space="0" w:color="auto"/>
            </w:tcBorders>
            <w:shd w:val="clear" w:color="auto" w:fill="auto"/>
            <w:noWrap/>
            <w:vAlign w:val="bottom"/>
            <w:hideMark/>
          </w:tcPr>
          <w:p w14:paraId="77FEF3DE" w14:textId="77777777" w:rsidR="00D8365A" w:rsidRPr="00362517" w:rsidRDefault="00D8365A" w:rsidP="00BF6BC7">
            <w:pPr>
              <w:jc w:val="right"/>
            </w:pPr>
            <w:r w:rsidRPr="00362517">
              <w:t>9,584</w:t>
            </w:r>
          </w:p>
        </w:tc>
        <w:tc>
          <w:tcPr>
            <w:tcW w:w="1037" w:type="pct"/>
            <w:tcBorders>
              <w:top w:val="nil"/>
              <w:left w:val="nil"/>
              <w:bottom w:val="single" w:sz="4" w:space="0" w:color="auto"/>
              <w:right w:val="single" w:sz="4" w:space="0" w:color="auto"/>
            </w:tcBorders>
            <w:shd w:val="clear" w:color="auto" w:fill="auto"/>
            <w:noWrap/>
            <w:vAlign w:val="bottom"/>
            <w:hideMark/>
          </w:tcPr>
          <w:p w14:paraId="0ADE8410" w14:textId="77777777" w:rsidR="00D8365A" w:rsidRPr="00362517" w:rsidRDefault="00D8365A" w:rsidP="00BF6BC7">
            <w:pPr>
              <w:jc w:val="right"/>
            </w:pPr>
            <w:r w:rsidRPr="00362517">
              <w:t>8,915</w:t>
            </w:r>
          </w:p>
        </w:tc>
        <w:tc>
          <w:tcPr>
            <w:tcW w:w="828" w:type="pct"/>
            <w:tcBorders>
              <w:top w:val="nil"/>
              <w:left w:val="nil"/>
              <w:bottom w:val="single" w:sz="4" w:space="0" w:color="auto"/>
              <w:right w:val="single" w:sz="4" w:space="0" w:color="auto"/>
            </w:tcBorders>
            <w:shd w:val="clear" w:color="auto" w:fill="auto"/>
            <w:noWrap/>
            <w:vAlign w:val="bottom"/>
            <w:hideMark/>
          </w:tcPr>
          <w:p w14:paraId="157D0965" w14:textId="77777777" w:rsidR="00D8365A" w:rsidRPr="00362517" w:rsidRDefault="00D8365A" w:rsidP="00BF6BC7">
            <w:pPr>
              <w:jc w:val="right"/>
            </w:pPr>
            <w:r w:rsidRPr="00362517">
              <w:t>669</w:t>
            </w:r>
          </w:p>
        </w:tc>
        <w:tc>
          <w:tcPr>
            <w:tcW w:w="981" w:type="pct"/>
            <w:tcBorders>
              <w:top w:val="nil"/>
              <w:left w:val="nil"/>
              <w:bottom w:val="single" w:sz="4" w:space="0" w:color="auto"/>
              <w:right w:val="single" w:sz="4" w:space="0" w:color="auto"/>
            </w:tcBorders>
            <w:shd w:val="clear" w:color="auto" w:fill="auto"/>
            <w:noWrap/>
            <w:vAlign w:val="bottom"/>
            <w:hideMark/>
          </w:tcPr>
          <w:p w14:paraId="78DE2847" w14:textId="77777777" w:rsidR="00D8365A" w:rsidRPr="00362517" w:rsidRDefault="00D8365A" w:rsidP="00BF6BC7">
            <w:pPr>
              <w:jc w:val="right"/>
            </w:pPr>
            <w:r w:rsidRPr="00362517">
              <w:t>76</w:t>
            </w:r>
          </w:p>
        </w:tc>
      </w:tr>
      <w:tr w:rsidR="00D8365A" w:rsidRPr="00362517" w14:paraId="65C8FCC0"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347E0394" w14:textId="77777777" w:rsidR="00D8365A" w:rsidRPr="00362517" w:rsidRDefault="00D8365A" w:rsidP="00BF6BC7">
            <w:r w:rsidRPr="00362517">
              <w:t>Delaware</w:t>
            </w:r>
          </w:p>
        </w:tc>
        <w:tc>
          <w:tcPr>
            <w:tcW w:w="903" w:type="pct"/>
            <w:tcBorders>
              <w:top w:val="nil"/>
              <w:left w:val="nil"/>
              <w:bottom w:val="single" w:sz="4" w:space="0" w:color="auto"/>
              <w:right w:val="single" w:sz="4" w:space="0" w:color="auto"/>
            </w:tcBorders>
            <w:shd w:val="clear" w:color="auto" w:fill="auto"/>
            <w:noWrap/>
            <w:vAlign w:val="bottom"/>
            <w:hideMark/>
          </w:tcPr>
          <w:p w14:paraId="615C0EDE" w14:textId="77777777" w:rsidR="00D8365A" w:rsidRPr="00362517" w:rsidRDefault="00D8365A" w:rsidP="00BF6BC7">
            <w:pPr>
              <w:jc w:val="right"/>
            </w:pPr>
            <w:r w:rsidRPr="00362517">
              <w:t>11,343</w:t>
            </w:r>
          </w:p>
        </w:tc>
        <w:tc>
          <w:tcPr>
            <w:tcW w:w="1037" w:type="pct"/>
            <w:tcBorders>
              <w:top w:val="nil"/>
              <w:left w:val="nil"/>
              <w:bottom w:val="single" w:sz="4" w:space="0" w:color="auto"/>
              <w:right w:val="single" w:sz="4" w:space="0" w:color="auto"/>
            </w:tcBorders>
            <w:shd w:val="clear" w:color="auto" w:fill="auto"/>
            <w:noWrap/>
            <w:vAlign w:val="bottom"/>
            <w:hideMark/>
          </w:tcPr>
          <w:p w14:paraId="23B34D24" w14:textId="77777777" w:rsidR="00D8365A" w:rsidRPr="00362517" w:rsidRDefault="00D8365A" w:rsidP="00BF6BC7">
            <w:pPr>
              <w:jc w:val="right"/>
            </w:pPr>
            <w:r w:rsidRPr="00362517">
              <w:t>9,955</w:t>
            </w:r>
          </w:p>
        </w:tc>
        <w:tc>
          <w:tcPr>
            <w:tcW w:w="828" w:type="pct"/>
            <w:tcBorders>
              <w:top w:val="nil"/>
              <w:left w:val="nil"/>
              <w:bottom w:val="single" w:sz="4" w:space="0" w:color="auto"/>
              <w:right w:val="single" w:sz="4" w:space="0" w:color="auto"/>
            </w:tcBorders>
            <w:shd w:val="clear" w:color="auto" w:fill="auto"/>
            <w:noWrap/>
            <w:vAlign w:val="bottom"/>
            <w:hideMark/>
          </w:tcPr>
          <w:p w14:paraId="30A32689" w14:textId="77777777" w:rsidR="00D8365A" w:rsidRPr="00362517" w:rsidRDefault="00D8365A" w:rsidP="00BF6BC7">
            <w:pPr>
              <w:jc w:val="right"/>
            </w:pPr>
            <w:r w:rsidRPr="00362517">
              <w:t>1,388</w:t>
            </w:r>
          </w:p>
        </w:tc>
        <w:tc>
          <w:tcPr>
            <w:tcW w:w="981" w:type="pct"/>
            <w:tcBorders>
              <w:top w:val="nil"/>
              <w:left w:val="nil"/>
              <w:bottom w:val="single" w:sz="4" w:space="0" w:color="auto"/>
              <w:right w:val="single" w:sz="4" w:space="0" w:color="auto"/>
            </w:tcBorders>
            <w:shd w:val="clear" w:color="auto" w:fill="auto"/>
            <w:noWrap/>
            <w:vAlign w:val="bottom"/>
            <w:hideMark/>
          </w:tcPr>
          <w:p w14:paraId="7E0A220B" w14:textId="77777777" w:rsidR="00D8365A" w:rsidRPr="00362517" w:rsidRDefault="00D8365A" w:rsidP="00BF6BC7">
            <w:pPr>
              <w:jc w:val="right"/>
            </w:pPr>
            <w:r w:rsidRPr="00362517">
              <w:t>158</w:t>
            </w:r>
          </w:p>
        </w:tc>
      </w:tr>
      <w:tr w:rsidR="00D8365A" w:rsidRPr="00362517" w14:paraId="440EA2EB"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6A953C39" w14:textId="77777777" w:rsidR="00D8365A" w:rsidRPr="00362517" w:rsidRDefault="00D8365A" w:rsidP="00BF6BC7">
            <w:r w:rsidRPr="00362517">
              <w:t>Florida</w:t>
            </w:r>
          </w:p>
        </w:tc>
        <w:tc>
          <w:tcPr>
            <w:tcW w:w="903" w:type="pct"/>
            <w:tcBorders>
              <w:top w:val="nil"/>
              <w:left w:val="nil"/>
              <w:bottom w:val="single" w:sz="4" w:space="0" w:color="auto"/>
              <w:right w:val="single" w:sz="4" w:space="0" w:color="auto"/>
            </w:tcBorders>
            <w:shd w:val="clear" w:color="auto" w:fill="auto"/>
            <w:noWrap/>
            <w:vAlign w:val="bottom"/>
            <w:hideMark/>
          </w:tcPr>
          <w:p w14:paraId="7A3434D0" w14:textId="77777777" w:rsidR="00D8365A" w:rsidRPr="00362517" w:rsidRDefault="00D8365A" w:rsidP="00BF6BC7">
            <w:pPr>
              <w:jc w:val="right"/>
            </w:pPr>
            <w:r w:rsidRPr="00362517">
              <w:t>91,709</w:t>
            </w:r>
          </w:p>
        </w:tc>
        <w:tc>
          <w:tcPr>
            <w:tcW w:w="1037" w:type="pct"/>
            <w:tcBorders>
              <w:top w:val="nil"/>
              <w:left w:val="nil"/>
              <w:bottom w:val="single" w:sz="4" w:space="0" w:color="auto"/>
              <w:right w:val="single" w:sz="4" w:space="0" w:color="auto"/>
            </w:tcBorders>
            <w:shd w:val="clear" w:color="auto" w:fill="auto"/>
            <w:noWrap/>
            <w:vAlign w:val="bottom"/>
            <w:hideMark/>
          </w:tcPr>
          <w:p w14:paraId="3FDB1529" w14:textId="77777777" w:rsidR="00D8365A" w:rsidRPr="00362517" w:rsidRDefault="00D8365A" w:rsidP="00BF6BC7">
            <w:pPr>
              <w:jc w:val="right"/>
            </w:pPr>
            <w:r w:rsidRPr="00362517">
              <w:t>87,228</w:t>
            </w:r>
          </w:p>
        </w:tc>
        <w:tc>
          <w:tcPr>
            <w:tcW w:w="828" w:type="pct"/>
            <w:tcBorders>
              <w:top w:val="nil"/>
              <w:left w:val="nil"/>
              <w:bottom w:val="single" w:sz="4" w:space="0" w:color="auto"/>
              <w:right w:val="single" w:sz="4" w:space="0" w:color="auto"/>
            </w:tcBorders>
            <w:shd w:val="clear" w:color="auto" w:fill="auto"/>
            <w:noWrap/>
            <w:vAlign w:val="bottom"/>
            <w:hideMark/>
          </w:tcPr>
          <w:p w14:paraId="52C79AA3" w14:textId="77777777" w:rsidR="00D8365A" w:rsidRPr="00362517" w:rsidRDefault="00D8365A" w:rsidP="00BF6BC7">
            <w:pPr>
              <w:jc w:val="right"/>
            </w:pPr>
            <w:r w:rsidRPr="00362517">
              <w:t>4,481</w:t>
            </w:r>
          </w:p>
        </w:tc>
        <w:tc>
          <w:tcPr>
            <w:tcW w:w="981" w:type="pct"/>
            <w:tcBorders>
              <w:top w:val="nil"/>
              <w:left w:val="nil"/>
              <w:bottom w:val="single" w:sz="4" w:space="0" w:color="auto"/>
              <w:right w:val="single" w:sz="4" w:space="0" w:color="auto"/>
            </w:tcBorders>
            <w:shd w:val="clear" w:color="auto" w:fill="auto"/>
            <w:noWrap/>
            <w:vAlign w:val="bottom"/>
            <w:hideMark/>
          </w:tcPr>
          <w:p w14:paraId="4E8449C3" w14:textId="77777777" w:rsidR="00D8365A" w:rsidRPr="00362517" w:rsidRDefault="00D8365A" w:rsidP="00BF6BC7">
            <w:pPr>
              <w:jc w:val="right"/>
            </w:pPr>
            <w:r w:rsidRPr="00362517">
              <w:t>510</w:t>
            </w:r>
          </w:p>
        </w:tc>
      </w:tr>
      <w:tr w:rsidR="00D8365A" w:rsidRPr="00362517" w14:paraId="282118AE"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008CEC7D" w14:textId="77777777" w:rsidR="00D8365A" w:rsidRPr="00362517" w:rsidRDefault="00D8365A" w:rsidP="00BF6BC7">
            <w:r w:rsidRPr="00362517">
              <w:t>Georgia</w:t>
            </w:r>
          </w:p>
        </w:tc>
        <w:tc>
          <w:tcPr>
            <w:tcW w:w="903" w:type="pct"/>
            <w:tcBorders>
              <w:top w:val="nil"/>
              <w:left w:val="nil"/>
              <w:bottom w:val="single" w:sz="4" w:space="0" w:color="auto"/>
              <w:right w:val="single" w:sz="4" w:space="0" w:color="auto"/>
            </w:tcBorders>
            <w:shd w:val="clear" w:color="auto" w:fill="auto"/>
            <w:noWrap/>
            <w:vAlign w:val="bottom"/>
            <w:hideMark/>
          </w:tcPr>
          <w:p w14:paraId="39592617" w14:textId="77777777" w:rsidR="00D8365A" w:rsidRPr="00362517" w:rsidRDefault="00D8365A" w:rsidP="00BF6BC7">
            <w:pPr>
              <w:jc w:val="right"/>
            </w:pPr>
            <w:r w:rsidRPr="00362517">
              <w:t>22,141</w:t>
            </w:r>
          </w:p>
        </w:tc>
        <w:tc>
          <w:tcPr>
            <w:tcW w:w="1037" w:type="pct"/>
            <w:tcBorders>
              <w:top w:val="nil"/>
              <w:left w:val="nil"/>
              <w:bottom w:val="single" w:sz="4" w:space="0" w:color="auto"/>
              <w:right w:val="single" w:sz="4" w:space="0" w:color="auto"/>
            </w:tcBorders>
            <w:shd w:val="clear" w:color="auto" w:fill="auto"/>
            <w:noWrap/>
            <w:vAlign w:val="bottom"/>
            <w:hideMark/>
          </w:tcPr>
          <w:p w14:paraId="2C17206B" w14:textId="77777777" w:rsidR="00D8365A" w:rsidRPr="00362517" w:rsidRDefault="00D8365A" w:rsidP="00BF6BC7">
            <w:pPr>
              <w:jc w:val="right"/>
            </w:pPr>
            <w:r w:rsidRPr="00362517">
              <w:t>16,815</w:t>
            </w:r>
          </w:p>
        </w:tc>
        <w:tc>
          <w:tcPr>
            <w:tcW w:w="828" w:type="pct"/>
            <w:tcBorders>
              <w:top w:val="nil"/>
              <w:left w:val="nil"/>
              <w:bottom w:val="single" w:sz="4" w:space="0" w:color="auto"/>
              <w:right w:val="single" w:sz="4" w:space="0" w:color="auto"/>
            </w:tcBorders>
            <w:shd w:val="clear" w:color="auto" w:fill="auto"/>
            <w:noWrap/>
            <w:vAlign w:val="bottom"/>
            <w:hideMark/>
          </w:tcPr>
          <w:p w14:paraId="0E436292" w14:textId="77777777" w:rsidR="00D8365A" w:rsidRPr="00362517" w:rsidRDefault="00D8365A" w:rsidP="00BF6BC7">
            <w:pPr>
              <w:jc w:val="right"/>
            </w:pPr>
            <w:r w:rsidRPr="00362517">
              <w:t>5,326</w:t>
            </w:r>
          </w:p>
        </w:tc>
        <w:tc>
          <w:tcPr>
            <w:tcW w:w="981" w:type="pct"/>
            <w:tcBorders>
              <w:top w:val="nil"/>
              <w:left w:val="nil"/>
              <w:bottom w:val="single" w:sz="4" w:space="0" w:color="auto"/>
              <w:right w:val="single" w:sz="4" w:space="0" w:color="auto"/>
            </w:tcBorders>
            <w:shd w:val="clear" w:color="auto" w:fill="auto"/>
            <w:noWrap/>
            <w:vAlign w:val="bottom"/>
            <w:hideMark/>
          </w:tcPr>
          <w:p w14:paraId="4A292945" w14:textId="77777777" w:rsidR="00D8365A" w:rsidRPr="00362517" w:rsidRDefault="00D8365A" w:rsidP="00BF6BC7">
            <w:pPr>
              <w:jc w:val="right"/>
            </w:pPr>
            <w:r w:rsidRPr="00362517">
              <w:t>606</w:t>
            </w:r>
          </w:p>
        </w:tc>
      </w:tr>
      <w:tr w:rsidR="00D8365A" w:rsidRPr="00362517" w14:paraId="0462719F"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18BC922C" w14:textId="77777777" w:rsidR="00D8365A" w:rsidRPr="00362517" w:rsidRDefault="00D8365A" w:rsidP="00BF6BC7">
            <w:r w:rsidRPr="00362517">
              <w:t>Hawaii</w:t>
            </w:r>
          </w:p>
        </w:tc>
        <w:tc>
          <w:tcPr>
            <w:tcW w:w="903" w:type="pct"/>
            <w:tcBorders>
              <w:top w:val="nil"/>
              <w:left w:val="nil"/>
              <w:bottom w:val="single" w:sz="4" w:space="0" w:color="auto"/>
              <w:right w:val="single" w:sz="4" w:space="0" w:color="auto"/>
            </w:tcBorders>
            <w:shd w:val="clear" w:color="auto" w:fill="auto"/>
            <w:noWrap/>
            <w:vAlign w:val="bottom"/>
            <w:hideMark/>
          </w:tcPr>
          <w:p w14:paraId="154055FD" w14:textId="77777777" w:rsidR="00D8365A" w:rsidRPr="00362517" w:rsidRDefault="00D8365A" w:rsidP="00BF6BC7">
            <w:pPr>
              <w:jc w:val="right"/>
            </w:pPr>
            <w:r w:rsidRPr="00362517">
              <w:t>4,766</w:t>
            </w:r>
          </w:p>
        </w:tc>
        <w:tc>
          <w:tcPr>
            <w:tcW w:w="1037" w:type="pct"/>
            <w:tcBorders>
              <w:top w:val="nil"/>
              <w:left w:val="nil"/>
              <w:bottom w:val="single" w:sz="4" w:space="0" w:color="auto"/>
              <w:right w:val="single" w:sz="4" w:space="0" w:color="auto"/>
            </w:tcBorders>
            <w:shd w:val="clear" w:color="auto" w:fill="auto"/>
            <w:noWrap/>
            <w:vAlign w:val="bottom"/>
            <w:hideMark/>
          </w:tcPr>
          <w:p w14:paraId="602F80A2" w14:textId="77777777" w:rsidR="00D8365A" w:rsidRPr="00362517" w:rsidRDefault="00D8365A" w:rsidP="00BF6BC7">
            <w:pPr>
              <w:jc w:val="right"/>
            </w:pPr>
            <w:r w:rsidRPr="00362517">
              <w:t>3,804</w:t>
            </w:r>
          </w:p>
        </w:tc>
        <w:tc>
          <w:tcPr>
            <w:tcW w:w="828" w:type="pct"/>
            <w:tcBorders>
              <w:top w:val="nil"/>
              <w:left w:val="nil"/>
              <w:bottom w:val="single" w:sz="4" w:space="0" w:color="auto"/>
              <w:right w:val="single" w:sz="4" w:space="0" w:color="auto"/>
            </w:tcBorders>
            <w:shd w:val="clear" w:color="auto" w:fill="auto"/>
            <w:noWrap/>
            <w:vAlign w:val="bottom"/>
            <w:hideMark/>
          </w:tcPr>
          <w:p w14:paraId="1966A9C2" w14:textId="77777777" w:rsidR="00D8365A" w:rsidRPr="00362517" w:rsidRDefault="00D8365A" w:rsidP="00BF6BC7">
            <w:pPr>
              <w:jc w:val="right"/>
            </w:pPr>
            <w:r w:rsidRPr="00362517">
              <w:t>962</w:t>
            </w:r>
          </w:p>
        </w:tc>
        <w:tc>
          <w:tcPr>
            <w:tcW w:w="981" w:type="pct"/>
            <w:tcBorders>
              <w:top w:val="nil"/>
              <w:left w:val="nil"/>
              <w:bottom w:val="single" w:sz="4" w:space="0" w:color="auto"/>
              <w:right w:val="single" w:sz="4" w:space="0" w:color="auto"/>
            </w:tcBorders>
            <w:shd w:val="clear" w:color="auto" w:fill="auto"/>
            <w:noWrap/>
            <w:vAlign w:val="bottom"/>
            <w:hideMark/>
          </w:tcPr>
          <w:p w14:paraId="128B4854" w14:textId="77777777" w:rsidR="00D8365A" w:rsidRPr="00362517" w:rsidRDefault="00D8365A" w:rsidP="00BF6BC7">
            <w:pPr>
              <w:jc w:val="right"/>
            </w:pPr>
            <w:r w:rsidRPr="00362517">
              <w:t>109</w:t>
            </w:r>
          </w:p>
        </w:tc>
      </w:tr>
      <w:tr w:rsidR="00D8365A" w:rsidRPr="00362517" w14:paraId="4F9CC947"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4FAD8F97" w14:textId="77777777" w:rsidR="00D8365A" w:rsidRPr="00362517" w:rsidRDefault="00D8365A" w:rsidP="00BF6BC7">
            <w:r w:rsidRPr="00362517">
              <w:t>Idaho</w:t>
            </w:r>
          </w:p>
        </w:tc>
        <w:tc>
          <w:tcPr>
            <w:tcW w:w="903" w:type="pct"/>
            <w:tcBorders>
              <w:top w:val="nil"/>
              <w:left w:val="nil"/>
              <w:bottom w:val="single" w:sz="4" w:space="0" w:color="auto"/>
              <w:right w:val="single" w:sz="4" w:space="0" w:color="auto"/>
            </w:tcBorders>
            <w:shd w:val="clear" w:color="auto" w:fill="auto"/>
            <w:noWrap/>
            <w:vAlign w:val="bottom"/>
            <w:hideMark/>
          </w:tcPr>
          <w:p w14:paraId="506A81D9" w14:textId="77777777" w:rsidR="00D8365A" w:rsidRPr="00362517" w:rsidRDefault="00D8365A" w:rsidP="00BF6BC7">
            <w:pPr>
              <w:jc w:val="right"/>
            </w:pPr>
            <w:r w:rsidRPr="00362517">
              <w:t>31,158</w:t>
            </w:r>
          </w:p>
        </w:tc>
        <w:tc>
          <w:tcPr>
            <w:tcW w:w="1037" w:type="pct"/>
            <w:tcBorders>
              <w:top w:val="nil"/>
              <w:left w:val="nil"/>
              <w:bottom w:val="single" w:sz="4" w:space="0" w:color="auto"/>
              <w:right w:val="single" w:sz="4" w:space="0" w:color="auto"/>
            </w:tcBorders>
            <w:shd w:val="clear" w:color="auto" w:fill="auto"/>
            <w:noWrap/>
            <w:vAlign w:val="bottom"/>
            <w:hideMark/>
          </w:tcPr>
          <w:p w14:paraId="2104548D" w14:textId="77777777" w:rsidR="00D8365A" w:rsidRPr="00362517" w:rsidRDefault="00D8365A" w:rsidP="00BF6BC7">
            <w:pPr>
              <w:jc w:val="right"/>
            </w:pPr>
            <w:r w:rsidRPr="00362517">
              <w:t>29,918</w:t>
            </w:r>
          </w:p>
        </w:tc>
        <w:tc>
          <w:tcPr>
            <w:tcW w:w="828" w:type="pct"/>
            <w:tcBorders>
              <w:top w:val="nil"/>
              <w:left w:val="nil"/>
              <w:bottom w:val="single" w:sz="4" w:space="0" w:color="auto"/>
              <w:right w:val="single" w:sz="4" w:space="0" w:color="auto"/>
            </w:tcBorders>
            <w:shd w:val="clear" w:color="auto" w:fill="auto"/>
            <w:noWrap/>
            <w:vAlign w:val="bottom"/>
            <w:hideMark/>
          </w:tcPr>
          <w:p w14:paraId="3E2C5C38" w14:textId="77777777" w:rsidR="00D8365A" w:rsidRPr="00362517" w:rsidRDefault="00D8365A" w:rsidP="00BF6BC7">
            <w:pPr>
              <w:jc w:val="right"/>
            </w:pPr>
            <w:r w:rsidRPr="00362517">
              <w:t>1,241</w:t>
            </w:r>
          </w:p>
        </w:tc>
        <w:tc>
          <w:tcPr>
            <w:tcW w:w="981" w:type="pct"/>
            <w:tcBorders>
              <w:top w:val="nil"/>
              <w:left w:val="nil"/>
              <w:bottom w:val="single" w:sz="4" w:space="0" w:color="auto"/>
              <w:right w:val="single" w:sz="4" w:space="0" w:color="auto"/>
            </w:tcBorders>
            <w:shd w:val="clear" w:color="auto" w:fill="auto"/>
            <w:noWrap/>
            <w:vAlign w:val="bottom"/>
            <w:hideMark/>
          </w:tcPr>
          <w:p w14:paraId="46DAB69F" w14:textId="77777777" w:rsidR="00D8365A" w:rsidRPr="00362517" w:rsidRDefault="00D8365A" w:rsidP="00BF6BC7">
            <w:pPr>
              <w:jc w:val="right"/>
            </w:pPr>
            <w:r w:rsidRPr="00362517">
              <w:t>141</w:t>
            </w:r>
          </w:p>
        </w:tc>
      </w:tr>
      <w:tr w:rsidR="00D8365A" w:rsidRPr="00362517" w14:paraId="6F0EC57E"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4CE288A0" w14:textId="77777777" w:rsidR="00D8365A" w:rsidRPr="00362517" w:rsidRDefault="00D8365A" w:rsidP="00BF6BC7">
            <w:r w:rsidRPr="00362517">
              <w:t>Illinois</w:t>
            </w:r>
          </w:p>
        </w:tc>
        <w:tc>
          <w:tcPr>
            <w:tcW w:w="903" w:type="pct"/>
            <w:tcBorders>
              <w:top w:val="nil"/>
              <w:left w:val="nil"/>
              <w:bottom w:val="single" w:sz="4" w:space="0" w:color="auto"/>
              <w:right w:val="single" w:sz="4" w:space="0" w:color="auto"/>
            </w:tcBorders>
            <w:shd w:val="clear" w:color="auto" w:fill="auto"/>
            <w:noWrap/>
            <w:vAlign w:val="bottom"/>
            <w:hideMark/>
          </w:tcPr>
          <w:p w14:paraId="29A0482E" w14:textId="77777777" w:rsidR="00D8365A" w:rsidRPr="00362517" w:rsidRDefault="00D8365A" w:rsidP="00BF6BC7">
            <w:pPr>
              <w:jc w:val="right"/>
            </w:pPr>
            <w:r w:rsidRPr="00362517">
              <w:t>41,901</w:t>
            </w:r>
          </w:p>
        </w:tc>
        <w:tc>
          <w:tcPr>
            <w:tcW w:w="1037" w:type="pct"/>
            <w:tcBorders>
              <w:top w:val="nil"/>
              <w:left w:val="nil"/>
              <w:bottom w:val="single" w:sz="4" w:space="0" w:color="auto"/>
              <w:right w:val="single" w:sz="4" w:space="0" w:color="auto"/>
            </w:tcBorders>
            <w:shd w:val="clear" w:color="auto" w:fill="auto"/>
            <w:noWrap/>
            <w:vAlign w:val="bottom"/>
            <w:hideMark/>
          </w:tcPr>
          <w:p w14:paraId="04FDCF53" w14:textId="77777777" w:rsidR="00D8365A" w:rsidRPr="00362517" w:rsidRDefault="00D8365A" w:rsidP="00BF6BC7">
            <w:pPr>
              <w:jc w:val="right"/>
            </w:pPr>
            <w:r w:rsidRPr="00362517">
              <w:t>40,052</w:t>
            </w:r>
          </w:p>
        </w:tc>
        <w:tc>
          <w:tcPr>
            <w:tcW w:w="828" w:type="pct"/>
            <w:tcBorders>
              <w:top w:val="nil"/>
              <w:left w:val="nil"/>
              <w:bottom w:val="single" w:sz="4" w:space="0" w:color="auto"/>
              <w:right w:val="single" w:sz="4" w:space="0" w:color="auto"/>
            </w:tcBorders>
            <w:shd w:val="clear" w:color="auto" w:fill="auto"/>
            <w:noWrap/>
            <w:vAlign w:val="bottom"/>
            <w:hideMark/>
          </w:tcPr>
          <w:p w14:paraId="180768FD" w14:textId="77777777" w:rsidR="00D8365A" w:rsidRPr="00362517" w:rsidRDefault="00D8365A" w:rsidP="00BF6BC7">
            <w:pPr>
              <w:jc w:val="right"/>
            </w:pPr>
            <w:r w:rsidRPr="00362517">
              <w:t>1,849</w:t>
            </w:r>
          </w:p>
        </w:tc>
        <w:tc>
          <w:tcPr>
            <w:tcW w:w="981" w:type="pct"/>
            <w:tcBorders>
              <w:top w:val="nil"/>
              <w:left w:val="nil"/>
              <w:bottom w:val="single" w:sz="4" w:space="0" w:color="auto"/>
              <w:right w:val="single" w:sz="4" w:space="0" w:color="auto"/>
            </w:tcBorders>
            <w:shd w:val="clear" w:color="auto" w:fill="auto"/>
            <w:noWrap/>
            <w:vAlign w:val="bottom"/>
            <w:hideMark/>
          </w:tcPr>
          <w:p w14:paraId="6F537079" w14:textId="77777777" w:rsidR="00D8365A" w:rsidRPr="00362517" w:rsidRDefault="00D8365A" w:rsidP="00BF6BC7">
            <w:pPr>
              <w:jc w:val="right"/>
            </w:pPr>
            <w:r w:rsidRPr="00362517">
              <w:t>210</w:t>
            </w:r>
          </w:p>
        </w:tc>
      </w:tr>
      <w:tr w:rsidR="00D8365A" w:rsidRPr="00362517" w14:paraId="410E6154"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24BB7693" w14:textId="77777777" w:rsidR="00D8365A" w:rsidRPr="00362517" w:rsidRDefault="00D8365A" w:rsidP="00BF6BC7">
            <w:r w:rsidRPr="00362517">
              <w:t>Indiana</w:t>
            </w:r>
          </w:p>
        </w:tc>
        <w:tc>
          <w:tcPr>
            <w:tcW w:w="903" w:type="pct"/>
            <w:tcBorders>
              <w:top w:val="nil"/>
              <w:left w:val="nil"/>
              <w:bottom w:val="single" w:sz="4" w:space="0" w:color="auto"/>
              <w:right w:val="single" w:sz="4" w:space="0" w:color="auto"/>
            </w:tcBorders>
            <w:shd w:val="clear" w:color="auto" w:fill="auto"/>
            <w:noWrap/>
            <w:vAlign w:val="bottom"/>
            <w:hideMark/>
          </w:tcPr>
          <w:p w14:paraId="46C0AC5C" w14:textId="77777777" w:rsidR="00D8365A" w:rsidRPr="00362517" w:rsidRDefault="00D8365A" w:rsidP="00BF6BC7">
            <w:pPr>
              <w:jc w:val="right"/>
            </w:pPr>
            <w:r w:rsidRPr="00362517">
              <w:t>59,216</w:t>
            </w:r>
          </w:p>
        </w:tc>
        <w:tc>
          <w:tcPr>
            <w:tcW w:w="1037" w:type="pct"/>
            <w:tcBorders>
              <w:top w:val="nil"/>
              <w:left w:val="nil"/>
              <w:bottom w:val="single" w:sz="4" w:space="0" w:color="auto"/>
              <w:right w:val="single" w:sz="4" w:space="0" w:color="auto"/>
            </w:tcBorders>
            <w:shd w:val="clear" w:color="auto" w:fill="auto"/>
            <w:noWrap/>
            <w:vAlign w:val="bottom"/>
            <w:hideMark/>
          </w:tcPr>
          <w:p w14:paraId="68A11FC9" w14:textId="77777777" w:rsidR="00D8365A" w:rsidRPr="00362517" w:rsidRDefault="00D8365A" w:rsidP="00BF6BC7">
            <w:pPr>
              <w:jc w:val="right"/>
            </w:pPr>
            <w:r w:rsidRPr="00362517">
              <w:t>57,331</w:t>
            </w:r>
          </w:p>
        </w:tc>
        <w:tc>
          <w:tcPr>
            <w:tcW w:w="828" w:type="pct"/>
            <w:tcBorders>
              <w:top w:val="nil"/>
              <w:left w:val="nil"/>
              <w:bottom w:val="single" w:sz="4" w:space="0" w:color="auto"/>
              <w:right w:val="single" w:sz="4" w:space="0" w:color="auto"/>
            </w:tcBorders>
            <w:shd w:val="clear" w:color="auto" w:fill="auto"/>
            <w:noWrap/>
            <w:vAlign w:val="bottom"/>
            <w:hideMark/>
          </w:tcPr>
          <w:p w14:paraId="084D3E1C" w14:textId="77777777" w:rsidR="00D8365A" w:rsidRPr="00362517" w:rsidRDefault="00D8365A" w:rsidP="00BF6BC7">
            <w:pPr>
              <w:jc w:val="right"/>
            </w:pPr>
            <w:r w:rsidRPr="00362517">
              <w:t>1,886</w:t>
            </w:r>
          </w:p>
        </w:tc>
        <w:tc>
          <w:tcPr>
            <w:tcW w:w="981" w:type="pct"/>
            <w:tcBorders>
              <w:top w:val="nil"/>
              <w:left w:val="nil"/>
              <w:bottom w:val="single" w:sz="4" w:space="0" w:color="auto"/>
              <w:right w:val="single" w:sz="4" w:space="0" w:color="auto"/>
            </w:tcBorders>
            <w:shd w:val="clear" w:color="auto" w:fill="auto"/>
            <w:noWrap/>
            <w:vAlign w:val="bottom"/>
            <w:hideMark/>
          </w:tcPr>
          <w:p w14:paraId="165474B8" w14:textId="77777777" w:rsidR="00D8365A" w:rsidRPr="00362517" w:rsidRDefault="00D8365A" w:rsidP="00BF6BC7">
            <w:pPr>
              <w:jc w:val="right"/>
            </w:pPr>
            <w:r w:rsidRPr="00362517">
              <w:t>215</w:t>
            </w:r>
          </w:p>
        </w:tc>
      </w:tr>
      <w:tr w:rsidR="00D8365A" w:rsidRPr="00362517" w14:paraId="1F7DF7B9"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5FB8ACFA" w14:textId="77777777" w:rsidR="00D8365A" w:rsidRPr="00362517" w:rsidRDefault="00D8365A" w:rsidP="00BF6BC7">
            <w:r w:rsidRPr="00362517">
              <w:t>Iowa</w:t>
            </w:r>
          </w:p>
        </w:tc>
        <w:tc>
          <w:tcPr>
            <w:tcW w:w="903" w:type="pct"/>
            <w:tcBorders>
              <w:top w:val="nil"/>
              <w:left w:val="nil"/>
              <w:bottom w:val="single" w:sz="4" w:space="0" w:color="auto"/>
              <w:right w:val="single" w:sz="4" w:space="0" w:color="auto"/>
            </w:tcBorders>
            <w:shd w:val="clear" w:color="auto" w:fill="auto"/>
            <w:noWrap/>
            <w:vAlign w:val="bottom"/>
            <w:hideMark/>
          </w:tcPr>
          <w:p w14:paraId="4AD0EE60" w14:textId="77777777" w:rsidR="00D8365A" w:rsidRPr="00362517" w:rsidRDefault="00D8365A" w:rsidP="00BF6BC7">
            <w:pPr>
              <w:jc w:val="right"/>
            </w:pPr>
            <w:r w:rsidRPr="00362517">
              <w:t>50,228</w:t>
            </w:r>
          </w:p>
        </w:tc>
        <w:tc>
          <w:tcPr>
            <w:tcW w:w="1037" w:type="pct"/>
            <w:tcBorders>
              <w:top w:val="nil"/>
              <w:left w:val="nil"/>
              <w:bottom w:val="single" w:sz="4" w:space="0" w:color="auto"/>
              <w:right w:val="single" w:sz="4" w:space="0" w:color="auto"/>
            </w:tcBorders>
            <w:shd w:val="clear" w:color="auto" w:fill="auto"/>
            <w:noWrap/>
            <w:vAlign w:val="bottom"/>
            <w:hideMark/>
          </w:tcPr>
          <w:p w14:paraId="4C55C6DF" w14:textId="77777777" w:rsidR="00D8365A" w:rsidRPr="00362517" w:rsidRDefault="00D8365A" w:rsidP="00BF6BC7">
            <w:pPr>
              <w:jc w:val="right"/>
            </w:pPr>
            <w:r w:rsidRPr="00362517">
              <w:t>49,903</w:t>
            </w:r>
          </w:p>
        </w:tc>
        <w:tc>
          <w:tcPr>
            <w:tcW w:w="828" w:type="pct"/>
            <w:tcBorders>
              <w:top w:val="nil"/>
              <w:left w:val="nil"/>
              <w:bottom w:val="single" w:sz="4" w:space="0" w:color="auto"/>
              <w:right w:val="single" w:sz="4" w:space="0" w:color="auto"/>
            </w:tcBorders>
            <w:shd w:val="clear" w:color="auto" w:fill="auto"/>
            <w:noWrap/>
            <w:vAlign w:val="bottom"/>
            <w:hideMark/>
          </w:tcPr>
          <w:p w14:paraId="11BB255E" w14:textId="77777777" w:rsidR="00D8365A" w:rsidRPr="00362517" w:rsidRDefault="00D8365A" w:rsidP="00BF6BC7">
            <w:pPr>
              <w:jc w:val="right"/>
            </w:pPr>
            <w:r w:rsidRPr="00362517">
              <w:t>325</w:t>
            </w:r>
          </w:p>
        </w:tc>
        <w:tc>
          <w:tcPr>
            <w:tcW w:w="981" w:type="pct"/>
            <w:tcBorders>
              <w:top w:val="nil"/>
              <w:left w:val="nil"/>
              <w:bottom w:val="single" w:sz="4" w:space="0" w:color="auto"/>
              <w:right w:val="single" w:sz="4" w:space="0" w:color="auto"/>
            </w:tcBorders>
            <w:shd w:val="clear" w:color="auto" w:fill="auto"/>
            <w:noWrap/>
            <w:vAlign w:val="bottom"/>
            <w:hideMark/>
          </w:tcPr>
          <w:p w14:paraId="53953E25" w14:textId="77777777" w:rsidR="00D8365A" w:rsidRPr="00362517" w:rsidRDefault="00D8365A" w:rsidP="00BF6BC7">
            <w:pPr>
              <w:jc w:val="right"/>
            </w:pPr>
            <w:r w:rsidRPr="00362517">
              <w:t>37</w:t>
            </w:r>
          </w:p>
        </w:tc>
      </w:tr>
      <w:tr w:rsidR="00D8365A" w:rsidRPr="00362517" w14:paraId="56B2EFB2"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3E95255C" w14:textId="77777777" w:rsidR="00D8365A" w:rsidRPr="00362517" w:rsidRDefault="00D8365A" w:rsidP="00BF6BC7">
            <w:r w:rsidRPr="00362517">
              <w:t>Kansas</w:t>
            </w:r>
          </w:p>
        </w:tc>
        <w:tc>
          <w:tcPr>
            <w:tcW w:w="903" w:type="pct"/>
            <w:tcBorders>
              <w:top w:val="nil"/>
              <w:left w:val="nil"/>
              <w:bottom w:val="single" w:sz="4" w:space="0" w:color="auto"/>
              <w:right w:val="single" w:sz="4" w:space="0" w:color="auto"/>
            </w:tcBorders>
            <w:shd w:val="clear" w:color="auto" w:fill="auto"/>
            <w:noWrap/>
            <w:vAlign w:val="bottom"/>
            <w:hideMark/>
          </w:tcPr>
          <w:p w14:paraId="7AC71A40" w14:textId="77777777" w:rsidR="00D8365A" w:rsidRPr="00362517" w:rsidRDefault="00D8365A" w:rsidP="00BF6BC7">
            <w:pPr>
              <w:jc w:val="right"/>
            </w:pPr>
            <w:r w:rsidRPr="00362517">
              <w:t>22,096</w:t>
            </w:r>
          </w:p>
        </w:tc>
        <w:tc>
          <w:tcPr>
            <w:tcW w:w="1037" w:type="pct"/>
            <w:tcBorders>
              <w:top w:val="nil"/>
              <w:left w:val="nil"/>
              <w:bottom w:val="single" w:sz="4" w:space="0" w:color="auto"/>
              <w:right w:val="single" w:sz="4" w:space="0" w:color="auto"/>
            </w:tcBorders>
            <w:shd w:val="clear" w:color="auto" w:fill="auto"/>
            <w:noWrap/>
            <w:vAlign w:val="bottom"/>
            <w:hideMark/>
          </w:tcPr>
          <w:p w14:paraId="434715AA" w14:textId="77777777" w:rsidR="00D8365A" w:rsidRPr="00362517" w:rsidRDefault="00D8365A" w:rsidP="00BF6BC7">
            <w:pPr>
              <w:jc w:val="right"/>
            </w:pPr>
            <w:r w:rsidRPr="00362517">
              <w:t>20,101</w:t>
            </w:r>
          </w:p>
        </w:tc>
        <w:tc>
          <w:tcPr>
            <w:tcW w:w="828" w:type="pct"/>
            <w:tcBorders>
              <w:top w:val="nil"/>
              <w:left w:val="nil"/>
              <w:bottom w:val="single" w:sz="4" w:space="0" w:color="auto"/>
              <w:right w:val="single" w:sz="4" w:space="0" w:color="auto"/>
            </w:tcBorders>
            <w:shd w:val="clear" w:color="auto" w:fill="auto"/>
            <w:noWrap/>
            <w:vAlign w:val="bottom"/>
            <w:hideMark/>
          </w:tcPr>
          <w:p w14:paraId="191703E3" w14:textId="77777777" w:rsidR="00D8365A" w:rsidRPr="00362517" w:rsidRDefault="00D8365A" w:rsidP="00BF6BC7">
            <w:pPr>
              <w:jc w:val="right"/>
            </w:pPr>
            <w:r w:rsidRPr="00362517">
              <w:t>1,995</w:t>
            </w:r>
          </w:p>
        </w:tc>
        <w:tc>
          <w:tcPr>
            <w:tcW w:w="981" w:type="pct"/>
            <w:tcBorders>
              <w:top w:val="nil"/>
              <w:left w:val="nil"/>
              <w:bottom w:val="single" w:sz="4" w:space="0" w:color="auto"/>
              <w:right w:val="single" w:sz="4" w:space="0" w:color="auto"/>
            </w:tcBorders>
            <w:shd w:val="clear" w:color="auto" w:fill="auto"/>
            <w:noWrap/>
            <w:vAlign w:val="bottom"/>
            <w:hideMark/>
          </w:tcPr>
          <w:p w14:paraId="22FCC8E0" w14:textId="77777777" w:rsidR="00D8365A" w:rsidRPr="00362517" w:rsidRDefault="00D8365A" w:rsidP="00BF6BC7">
            <w:pPr>
              <w:jc w:val="right"/>
            </w:pPr>
            <w:r w:rsidRPr="00362517">
              <w:t>227</w:t>
            </w:r>
          </w:p>
        </w:tc>
      </w:tr>
      <w:tr w:rsidR="00D8365A" w:rsidRPr="00362517" w14:paraId="0E13CF68"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29A273F4" w14:textId="77777777" w:rsidR="00D8365A" w:rsidRPr="00362517" w:rsidRDefault="00D8365A" w:rsidP="00BF6BC7">
            <w:r w:rsidRPr="00362517">
              <w:t>Kentucky</w:t>
            </w:r>
          </w:p>
        </w:tc>
        <w:tc>
          <w:tcPr>
            <w:tcW w:w="903" w:type="pct"/>
            <w:tcBorders>
              <w:top w:val="nil"/>
              <w:left w:val="nil"/>
              <w:bottom w:val="single" w:sz="4" w:space="0" w:color="auto"/>
              <w:right w:val="single" w:sz="4" w:space="0" w:color="auto"/>
            </w:tcBorders>
            <w:shd w:val="clear" w:color="auto" w:fill="auto"/>
            <w:noWrap/>
            <w:vAlign w:val="bottom"/>
            <w:hideMark/>
          </w:tcPr>
          <w:p w14:paraId="58472DE2" w14:textId="77777777" w:rsidR="00D8365A" w:rsidRPr="00362517" w:rsidRDefault="00D8365A" w:rsidP="00BF6BC7">
            <w:pPr>
              <w:jc w:val="right"/>
            </w:pPr>
            <w:r w:rsidRPr="00362517">
              <w:t>37,113</w:t>
            </w:r>
          </w:p>
        </w:tc>
        <w:tc>
          <w:tcPr>
            <w:tcW w:w="1037" w:type="pct"/>
            <w:tcBorders>
              <w:top w:val="nil"/>
              <w:left w:val="nil"/>
              <w:bottom w:val="single" w:sz="4" w:space="0" w:color="auto"/>
              <w:right w:val="single" w:sz="4" w:space="0" w:color="auto"/>
            </w:tcBorders>
            <w:shd w:val="clear" w:color="auto" w:fill="auto"/>
            <w:noWrap/>
            <w:vAlign w:val="bottom"/>
            <w:hideMark/>
          </w:tcPr>
          <w:p w14:paraId="3DB81390" w14:textId="77777777" w:rsidR="00D8365A" w:rsidRPr="00362517" w:rsidRDefault="00D8365A" w:rsidP="00BF6BC7">
            <w:pPr>
              <w:jc w:val="right"/>
            </w:pPr>
            <w:r w:rsidRPr="00362517">
              <w:t>34,805</w:t>
            </w:r>
          </w:p>
        </w:tc>
        <w:tc>
          <w:tcPr>
            <w:tcW w:w="828" w:type="pct"/>
            <w:tcBorders>
              <w:top w:val="nil"/>
              <w:left w:val="nil"/>
              <w:bottom w:val="single" w:sz="4" w:space="0" w:color="auto"/>
              <w:right w:val="single" w:sz="4" w:space="0" w:color="auto"/>
            </w:tcBorders>
            <w:shd w:val="clear" w:color="auto" w:fill="auto"/>
            <w:noWrap/>
            <w:vAlign w:val="bottom"/>
            <w:hideMark/>
          </w:tcPr>
          <w:p w14:paraId="59D35AB2" w14:textId="77777777" w:rsidR="00D8365A" w:rsidRPr="00362517" w:rsidRDefault="00D8365A" w:rsidP="00BF6BC7">
            <w:pPr>
              <w:jc w:val="right"/>
            </w:pPr>
            <w:r w:rsidRPr="00362517">
              <w:t>2,249</w:t>
            </w:r>
          </w:p>
        </w:tc>
        <w:tc>
          <w:tcPr>
            <w:tcW w:w="981" w:type="pct"/>
            <w:tcBorders>
              <w:top w:val="nil"/>
              <w:left w:val="nil"/>
              <w:bottom w:val="single" w:sz="4" w:space="0" w:color="auto"/>
              <w:right w:val="single" w:sz="4" w:space="0" w:color="auto"/>
            </w:tcBorders>
            <w:shd w:val="clear" w:color="auto" w:fill="auto"/>
            <w:noWrap/>
            <w:vAlign w:val="bottom"/>
            <w:hideMark/>
          </w:tcPr>
          <w:p w14:paraId="1C4B4146" w14:textId="77777777" w:rsidR="00D8365A" w:rsidRPr="00362517" w:rsidRDefault="00D8365A" w:rsidP="00BF6BC7">
            <w:pPr>
              <w:jc w:val="right"/>
            </w:pPr>
            <w:r w:rsidRPr="00362517">
              <w:t>256</w:t>
            </w:r>
          </w:p>
        </w:tc>
      </w:tr>
      <w:tr w:rsidR="00D8365A" w:rsidRPr="00362517" w14:paraId="1A3886DD"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29088C5E" w14:textId="77777777" w:rsidR="00D8365A" w:rsidRPr="00362517" w:rsidRDefault="00D8365A" w:rsidP="00BF6BC7">
            <w:r w:rsidRPr="00362517">
              <w:t>Louisiana</w:t>
            </w:r>
          </w:p>
        </w:tc>
        <w:tc>
          <w:tcPr>
            <w:tcW w:w="903" w:type="pct"/>
            <w:tcBorders>
              <w:top w:val="nil"/>
              <w:left w:val="nil"/>
              <w:bottom w:val="single" w:sz="4" w:space="0" w:color="auto"/>
              <w:right w:val="single" w:sz="4" w:space="0" w:color="auto"/>
            </w:tcBorders>
            <w:shd w:val="clear" w:color="auto" w:fill="auto"/>
            <w:noWrap/>
            <w:vAlign w:val="bottom"/>
            <w:hideMark/>
          </w:tcPr>
          <w:p w14:paraId="47FDC5D8" w14:textId="77777777" w:rsidR="00D8365A" w:rsidRPr="00362517" w:rsidRDefault="00D8365A" w:rsidP="00BF6BC7">
            <w:pPr>
              <w:jc w:val="right"/>
            </w:pPr>
            <w:r w:rsidRPr="00362517">
              <w:t>12,720</w:t>
            </w:r>
          </w:p>
        </w:tc>
        <w:tc>
          <w:tcPr>
            <w:tcW w:w="1037" w:type="pct"/>
            <w:tcBorders>
              <w:top w:val="nil"/>
              <w:left w:val="nil"/>
              <w:bottom w:val="single" w:sz="4" w:space="0" w:color="auto"/>
              <w:right w:val="single" w:sz="4" w:space="0" w:color="auto"/>
            </w:tcBorders>
            <w:shd w:val="clear" w:color="auto" w:fill="auto"/>
            <w:noWrap/>
            <w:vAlign w:val="bottom"/>
            <w:hideMark/>
          </w:tcPr>
          <w:p w14:paraId="6D9BC52F" w14:textId="77777777" w:rsidR="00D8365A" w:rsidRPr="00362517" w:rsidRDefault="00D8365A" w:rsidP="00BF6BC7">
            <w:pPr>
              <w:jc w:val="right"/>
            </w:pPr>
            <w:r w:rsidRPr="00362517">
              <w:t>11,668</w:t>
            </w:r>
          </w:p>
        </w:tc>
        <w:tc>
          <w:tcPr>
            <w:tcW w:w="828" w:type="pct"/>
            <w:tcBorders>
              <w:top w:val="nil"/>
              <w:left w:val="nil"/>
              <w:bottom w:val="single" w:sz="4" w:space="0" w:color="auto"/>
              <w:right w:val="single" w:sz="4" w:space="0" w:color="auto"/>
            </w:tcBorders>
            <w:shd w:val="clear" w:color="auto" w:fill="auto"/>
            <w:noWrap/>
            <w:vAlign w:val="bottom"/>
            <w:hideMark/>
          </w:tcPr>
          <w:p w14:paraId="0BE8947D" w14:textId="77777777" w:rsidR="00D8365A" w:rsidRPr="00362517" w:rsidRDefault="00D8365A" w:rsidP="00BF6BC7">
            <w:pPr>
              <w:jc w:val="right"/>
            </w:pPr>
            <w:r w:rsidRPr="00362517">
              <w:t>745</w:t>
            </w:r>
          </w:p>
        </w:tc>
        <w:tc>
          <w:tcPr>
            <w:tcW w:w="981" w:type="pct"/>
            <w:tcBorders>
              <w:top w:val="nil"/>
              <w:left w:val="nil"/>
              <w:bottom w:val="single" w:sz="4" w:space="0" w:color="auto"/>
              <w:right w:val="single" w:sz="4" w:space="0" w:color="auto"/>
            </w:tcBorders>
            <w:shd w:val="clear" w:color="auto" w:fill="auto"/>
            <w:noWrap/>
            <w:vAlign w:val="bottom"/>
            <w:hideMark/>
          </w:tcPr>
          <w:p w14:paraId="74952EFD" w14:textId="77777777" w:rsidR="00D8365A" w:rsidRPr="00362517" w:rsidRDefault="00D8365A" w:rsidP="00BF6BC7">
            <w:pPr>
              <w:jc w:val="right"/>
            </w:pPr>
            <w:r w:rsidRPr="00362517">
              <w:t>85</w:t>
            </w:r>
          </w:p>
        </w:tc>
      </w:tr>
      <w:tr w:rsidR="00D8365A" w:rsidRPr="00362517" w14:paraId="12FECCD7"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059A95F2" w14:textId="77777777" w:rsidR="00D8365A" w:rsidRPr="00362517" w:rsidRDefault="00D8365A" w:rsidP="00BF6BC7">
            <w:r w:rsidRPr="00362517">
              <w:t>Maine</w:t>
            </w:r>
          </w:p>
        </w:tc>
        <w:tc>
          <w:tcPr>
            <w:tcW w:w="903" w:type="pct"/>
            <w:tcBorders>
              <w:top w:val="nil"/>
              <w:left w:val="nil"/>
              <w:bottom w:val="single" w:sz="4" w:space="0" w:color="auto"/>
              <w:right w:val="single" w:sz="4" w:space="0" w:color="auto"/>
            </w:tcBorders>
            <w:shd w:val="clear" w:color="auto" w:fill="auto"/>
            <w:noWrap/>
            <w:vAlign w:val="bottom"/>
            <w:hideMark/>
          </w:tcPr>
          <w:p w14:paraId="1677073C" w14:textId="77777777" w:rsidR="00D8365A" w:rsidRPr="00362517" w:rsidRDefault="00D8365A" w:rsidP="00BF6BC7">
            <w:pPr>
              <w:jc w:val="right"/>
            </w:pPr>
            <w:r w:rsidRPr="00362517">
              <w:t>3,802</w:t>
            </w:r>
          </w:p>
        </w:tc>
        <w:tc>
          <w:tcPr>
            <w:tcW w:w="1037" w:type="pct"/>
            <w:tcBorders>
              <w:top w:val="nil"/>
              <w:left w:val="nil"/>
              <w:bottom w:val="single" w:sz="4" w:space="0" w:color="auto"/>
              <w:right w:val="single" w:sz="4" w:space="0" w:color="auto"/>
            </w:tcBorders>
            <w:shd w:val="clear" w:color="auto" w:fill="auto"/>
            <w:noWrap/>
            <w:vAlign w:val="bottom"/>
            <w:hideMark/>
          </w:tcPr>
          <w:p w14:paraId="6F5D439D" w14:textId="77777777" w:rsidR="00D8365A" w:rsidRPr="00362517" w:rsidRDefault="00D8365A" w:rsidP="00BF6BC7">
            <w:pPr>
              <w:jc w:val="right"/>
            </w:pPr>
            <w:r w:rsidRPr="00362517">
              <w:t>2,718</w:t>
            </w:r>
          </w:p>
        </w:tc>
        <w:tc>
          <w:tcPr>
            <w:tcW w:w="828" w:type="pct"/>
            <w:tcBorders>
              <w:top w:val="nil"/>
              <w:left w:val="nil"/>
              <w:bottom w:val="single" w:sz="4" w:space="0" w:color="auto"/>
              <w:right w:val="single" w:sz="4" w:space="0" w:color="auto"/>
            </w:tcBorders>
            <w:shd w:val="clear" w:color="auto" w:fill="auto"/>
            <w:noWrap/>
            <w:vAlign w:val="bottom"/>
            <w:hideMark/>
          </w:tcPr>
          <w:p w14:paraId="67F7CE6D" w14:textId="77777777" w:rsidR="00D8365A" w:rsidRPr="00362517" w:rsidRDefault="00D8365A" w:rsidP="00BF6BC7">
            <w:pPr>
              <w:jc w:val="right"/>
            </w:pPr>
            <w:r w:rsidRPr="00362517">
              <w:t>1,064</w:t>
            </w:r>
          </w:p>
        </w:tc>
        <w:tc>
          <w:tcPr>
            <w:tcW w:w="981" w:type="pct"/>
            <w:tcBorders>
              <w:top w:val="nil"/>
              <w:left w:val="nil"/>
              <w:bottom w:val="single" w:sz="4" w:space="0" w:color="auto"/>
              <w:right w:val="single" w:sz="4" w:space="0" w:color="auto"/>
            </w:tcBorders>
            <w:shd w:val="clear" w:color="auto" w:fill="auto"/>
            <w:noWrap/>
            <w:vAlign w:val="bottom"/>
            <w:hideMark/>
          </w:tcPr>
          <w:p w14:paraId="28B7171F" w14:textId="77777777" w:rsidR="00D8365A" w:rsidRPr="00362517" w:rsidRDefault="00D8365A" w:rsidP="00BF6BC7">
            <w:pPr>
              <w:jc w:val="right"/>
            </w:pPr>
            <w:r w:rsidRPr="00362517">
              <w:t>121</w:t>
            </w:r>
          </w:p>
        </w:tc>
      </w:tr>
      <w:tr w:rsidR="00D8365A" w:rsidRPr="00362517" w14:paraId="0614B074"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54052002" w14:textId="77777777" w:rsidR="00D8365A" w:rsidRPr="00362517" w:rsidRDefault="00D8365A" w:rsidP="00BF6BC7">
            <w:r w:rsidRPr="00362517">
              <w:t>Maryland</w:t>
            </w:r>
          </w:p>
        </w:tc>
        <w:tc>
          <w:tcPr>
            <w:tcW w:w="903" w:type="pct"/>
            <w:tcBorders>
              <w:top w:val="nil"/>
              <w:left w:val="nil"/>
              <w:bottom w:val="single" w:sz="4" w:space="0" w:color="auto"/>
              <w:right w:val="single" w:sz="4" w:space="0" w:color="auto"/>
            </w:tcBorders>
            <w:shd w:val="clear" w:color="auto" w:fill="auto"/>
            <w:noWrap/>
            <w:vAlign w:val="bottom"/>
            <w:hideMark/>
          </w:tcPr>
          <w:p w14:paraId="63A9C6A3" w14:textId="77777777" w:rsidR="00D8365A" w:rsidRPr="00362517" w:rsidRDefault="00D8365A" w:rsidP="00BF6BC7">
            <w:pPr>
              <w:jc w:val="right"/>
            </w:pPr>
            <w:r w:rsidRPr="00362517">
              <w:t>12,791</w:t>
            </w:r>
          </w:p>
        </w:tc>
        <w:tc>
          <w:tcPr>
            <w:tcW w:w="1037" w:type="pct"/>
            <w:tcBorders>
              <w:top w:val="nil"/>
              <w:left w:val="nil"/>
              <w:bottom w:val="single" w:sz="4" w:space="0" w:color="auto"/>
              <w:right w:val="single" w:sz="4" w:space="0" w:color="auto"/>
            </w:tcBorders>
            <w:shd w:val="clear" w:color="auto" w:fill="auto"/>
            <w:noWrap/>
            <w:vAlign w:val="bottom"/>
            <w:hideMark/>
          </w:tcPr>
          <w:p w14:paraId="03365A39" w14:textId="77777777" w:rsidR="00D8365A" w:rsidRPr="00362517" w:rsidRDefault="00D8365A" w:rsidP="00BF6BC7">
            <w:pPr>
              <w:jc w:val="right"/>
            </w:pPr>
            <w:r w:rsidRPr="00362517">
              <w:t>12,739</w:t>
            </w:r>
          </w:p>
        </w:tc>
        <w:tc>
          <w:tcPr>
            <w:tcW w:w="828" w:type="pct"/>
            <w:tcBorders>
              <w:top w:val="nil"/>
              <w:left w:val="nil"/>
              <w:bottom w:val="single" w:sz="4" w:space="0" w:color="auto"/>
              <w:right w:val="single" w:sz="4" w:space="0" w:color="auto"/>
            </w:tcBorders>
            <w:shd w:val="clear" w:color="auto" w:fill="auto"/>
            <w:noWrap/>
            <w:vAlign w:val="bottom"/>
            <w:hideMark/>
          </w:tcPr>
          <w:p w14:paraId="572FEB9C" w14:textId="77777777" w:rsidR="00D8365A" w:rsidRPr="00362517" w:rsidRDefault="00D8365A" w:rsidP="00BF6BC7">
            <w:pPr>
              <w:jc w:val="right"/>
            </w:pPr>
            <w:r w:rsidRPr="00362517">
              <w:t>52</w:t>
            </w:r>
          </w:p>
        </w:tc>
        <w:tc>
          <w:tcPr>
            <w:tcW w:w="981" w:type="pct"/>
            <w:tcBorders>
              <w:top w:val="nil"/>
              <w:left w:val="nil"/>
              <w:bottom w:val="single" w:sz="4" w:space="0" w:color="auto"/>
              <w:right w:val="single" w:sz="4" w:space="0" w:color="auto"/>
            </w:tcBorders>
            <w:shd w:val="clear" w:color="auto" w:fill="auto"/>
            <w:noWrap/>
            <w:vAlign w:val="bottom"/>
            <w:hideMark/>
          </w:tcPr>
          <w:p w14:paraId="646EB4A3" w14:textId="77777777" w:rsidR="00D8365A" w:rsidRPr="00362517" w:rsidRDefault="00D8365A" w:rsidP="00BF6BC7">
            <w:pPr>
              <w:jc w:val="right"/>
            </w:pPr>
            <w:r w:rsidRPr="00362517">
              <w:t>6</w:t>
            </w:r>
          </w:p>
        </w:tc>
      </w:tr>
      <w:tr w:rsidR="00D8365A" w:rsidRPr="00362517" w14:paraId="32EF27E2"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62C20072" w14:textId="77777777" w:rsidR="00D8365A" w:rsidRPr="00362517" w:rsidRDefault="00D8365A" w:rsidP="00BF6BC7">
            <w:r w:rsidRPr="00362517">
              <w:t>Massachusetts</w:t>
            </w:r>
          </w:p>
        </w:tc>
        <w:tc>
          <w:tcPr>
            <w:tcW w:w="903" w:type="pct"/>
            <w:tcBorders>
              <w:top w:val="nil"/>
              <w:left w:val="nil"/>
              <w:bottom w:val="single" w:sz="4" w:space="0" w:color="auto"/>
              <w:right w:val="single" w:sz="4" w:space="0" w:color="auto"/>
            </w:tcBorders>
            <w:shd w:val="clear" w:color="auto" w:fill="auto"/>
            <w:noWrap/>
            <w:vAlign w:val="bottom"/>
            <w:hideMark/>
          </w:tcPr>
          <w:p w14:paraId="4797F8FE" w14:textId="77777777" w:rsidR="00D8365A" w:rsidRPr="00362517" w:rsidRDefault="00D8365A" w:rsidP="00BF6BC7">
            <w:pPr>
              <w:jc w:val="right"/>
            </w:pPr>
            <w:r w:rsidRPr="00362517">
              <w:t>5,395</w:t>
            </w:r>
          </w:p>
        </w:tc>
        <w:tc>
          <w:tcPr>
            <w:tcW w:w="1037" w:type="pct"/>
            <w:tcBorders>
              <w:top w:val="nil"/>
              <w:left w:val="nil"/>
              <w:bottom w:val="single" w:sz="4" w:space="0" w:color="auto"/>
              <w:right w:val="single" w:sz="4" w:space="0" w:color="auto"/>
            </w:tcBorders>
            <w:shd w:val="clear" w:color="auto" w:fill="auto"/>
            <w:noWrap/>
            <w:vAlign w:val="bottom"/>
            <w:hideMark/>
          </w:tcPr>
          <w:p w14:paraId="2C381179" w14:textId="77777777" w:rsidR="00D8365A" w:rsidRPr="00362517" w:rsidRDefault="00D8365A" w:rsidP="00BF6BC7">
            <w:pPr>
              <w:jc w:val="right"/>
            </w:pPr>
            <w:r w:rsidRPr="00362517">
              <w:t>5,370</w:t>
            </w:r>
          </w:p>
        </w:tc>
        <w:tc>
          <w:tcPr>
            <w:tcW w:w="828" w:type="pct"/>
            <w:tcBorders>
              <w:top w:val="nil"/>
              <w:left w:val="nil"/>
              <w:bottom w:val="single" w:sz="4" w:space="0" w:color="auto"/>
              <w:right w:val="single" w:sz="4" w:space="0" w:color="auto"/>
            </w:tcBorders>
            <w:shd w:val="clear" w:color="auto" w:fill="auto"/>
            <w:noWrap/>
            <w:vAlign w:val="bottom"/>
            <w:hideMark/>
          </w:tcPr>
          <w:p w14:paraId="7E0329B1" w14:textId="77777777" w:rsidR="00D8365A" w:rsidRPr="00362517" w:rsidRDefault="00D8365A" w:rsidP="00BF6BC7">
            <w:pPr>
              <w:jc w:val="right"/>
            </w:pPr>
            <w:r w:rsidRPr="00362517">
              <w:t>25</w:t>
            </w:r>
          </w:p>
        </w:tc>
        <w:tc>
          <w:tcPr>
            <w:tcW w:w="981" w:type="pct"/>
            <w:tcBorders>
              <w:top w:val="nil"/>
              <w:left w:val="nil"/>
              <w:bottom w:val="single" w:sz="4" w:space="0" w:color="auto"/>
              <w:right w:val="single" w:sz="4" w:space="0" w:color="auto"/>
            </w:tcBorders>
            <w:shd w:val="clear" w:color="auto" w:fill="auto"/>
            <w:noWrap/>
            <w:vAlign w:val="bottom"/>
            <w:hideMark/>
          </w:tcPr>
          <w:p w14:paraId="5A636A3A" w14:textId="77777777" w:rsidR="00D8365A" w:rsidRPr="00362517" w:rsidRDefault="00D8365A" w:rsidP="00BF6BC7">
            <w:pPr>
              <w:jc w:val="right"/>
            </w:pPr>
            <w:r w:rsidRPr="00362517">
              <w:t>3</w:t>
            </w:r>
          </w:p>
        </w:tc>
      </w:tr>
      <w:tr w:rsidR="00D8365A" w:rsidRPr="00362517" w14:paraId="55E3D29A"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1BD9E9C3" w14:textId="77777777" w:rsidR="00D8365A" w:rsidRPr="00362517" w:rsidRDefault="00D8365A" w:rsidP="00BF6BC7">
            <w:r w:rsidRPr="00362517">
              <w:t>Michigan</w:t>
            </w:r>
          </w:p>
        </w:tc>
        <w:tc>
          <w:tcPr>
            <w:tcW w:w="903" w:type="pct"/>
            <w:tcBorders>
              <w:top w:val="nil"/>
              <w:left w:val="nil"/>
              <w:bottom w:val="single" w:sz="4" w:space="0" w:color="auto"/>
              <w:right w:val="single" w:sz="4" w:space="0" w:color="auto"/>
            </w:tcBorders>
            <w:shd w:val="clear" w:color="auto" w:fill="auto"/>
            <w:noWrap/>
            <w:vAlign w:val="bottom"/>
            <w:hideMark/>
          </w:tcPr>
          <w:p w14:paraId="11E99D75" w14:textId="77777777" w:rsidR="00D8365A" w:rsidRPr="00362517" w:rsidRDefault="00D8365A" w:rsidP="00BF6BC7">
            <w:pPr>
              <w:jc w:val="right"/>
            </w:pPr>
            <w:r w:rsidRPr="00362517">
              <w:t>75,640</w:t>
            </w:r>
          </w:p>
        </w:tc>
        <w:tc>
          <w:tcPr>
            <w:tcW w:w="1037" w:type="pct"/>
            <w:tcBorders>
              <w:top w:val="nil"/>
              <w:left w:val="nil"/>
              <w:bottom w:val="single" w:sz="4" w:space="0" w:color="auto"/>
              <w:right w:val="single" w:sz="4" w:space="0" w:color="auto"/>
            </w:tcBorders>
            <w:shd w:val="clear" w:color="auto" w:fill="auto"/>
            <w:noWrap/>
            <w:vAlign w:val="bottom"/>
            <w:hideMark/>
          </w:tcPr>
          <w:p w14:paraId="4A4A4D26" w14:textId="77777777" w:rsidR="00D8365A" w:rsidRPr="00362517" w:rsidRDefault="00D8365A" w:rsidP="00BF6BC7">
            <w:pPr>
              <w:jc w:val="right"/>
            </w:pPr>
            <w:r w:rsidRPr="00362517">
              <w:t>73,054</w:t>
            </w:r>
          </w:p>
        </w:tc>
        <w:tc>
          <w:tcPr>
            <w:tcW w:w="828" w:type="pct"/>
            <w:tcBorders>
              <w:top w:val="nil"/>
              <w:left w:val="nil"/>
              <w:bottom w:val="single" w:sz="4" w:space="0" w:color="auto"/>
              <w:right w:val="single" w:sz="4" w:space="0" w:color="auto"/>
            </w:tcBorders>
            <w:shd w:val="clear" w:color="auto" w:fill="auto"/>
            <w:noWrap/>
            <w:vAlign w:val="bottom"/>
            <w:hideMark/>
          </w:tcPr>
          <w:p w14:paraId="1F7E74C3" w14:textId="77777777" w:rsidR="00D8365A" w:rsidRPr="00362517" w:rsidRDefault="00D8365A" w:rsidP="00BF6BC7">
            <w:pPr>
              <w:jc w:val="right"/>
            </w:pPr>
            <w:r w:rsidRPr="00362517">
              <w:t>2,586</w:t>
            </w:r>
          </w:p>
        </w:tc>
        <w:tc>
          <w:tcPr>
            <w:tcW w:w="981" w:type="pct"/>
            <w:tcBorders>
              <w:top w:val="nil"/>
              <w:left w:val="nil"/>
              <w:bottom w:val="single" w:sz="4" w:space="0" w:color="auto"/>
              <w:right w:val="single" w:sz="4" w:space="0" w:color="auto"/>
            </w:tcBorders>
            <w:shd w:val="clear" w:color="auto" w:fill="auto"/>
            <w:noWrap/>
            <w:vAlign w:val="bottom"/>
            <w:hideMark/>
          </w:tcPr>
          <w:p w14:paraId="51521B08" w14:textId="77777777" w:rsidR="00D8365A" w:rsidRPr="00362517" w:rsidRDefault="00D8365A" w:rsidP="00BF6BC7">
            <w:pPr>
              <w:jc w:val="right"/>
            </w:pPr>
            <w:r w:rsidRPr="00362517">
              <w:t>294</w:t>
            </w:r>
          </w:p>
        </w:tc>
      </w:tr>
      <w:tr w:rsidR="00D8365A" w:rsidRPr="00362517" w14:paraId="67F61B0D"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20134FD7" w14:textId="77777777" w:rsidR="00D8365A" w:rsidRPr="00362517" w:rsidRDefault="00D8365A" w:rsidP="00BF6BC7">
            <w:r w:rsidRPr="00362517">
              <w:t>Minnesota</w:t>
            </w:r>
          </w:p>
        </w:tc>
        <w:tc>
          <w:tcPr>
            <w:tcW w:w="903" w:type="pct"/>
            <w:tcBorders>
              <w:top w:val="nil"/>
              <w:left w:val="nil"/>
              <w:bottom w:val="single" w:sz="4" w:space="0" w:color="auto"/>
              <w:right w:val="single" w:sz="4" w:space="0" w:color="auto"/>
            </w:tcBorders>
            <w:shd w:val="clear" w:color="auto" w:fill="auto"/>
            <w:noWrap/>
            <w:vAlign w:val="bottom"/>
            <w:hideMark/>
          </w:tcPr>
          <w:p w14:paraId="1FEAA22E" w14:textId="77777777" w:rsidR="00D8365A" w:rsidRPr="00362517" w:rsidRDefault="00D8365A" w:rsidP="00BF6BC7">
            <w:pPr>
              <w:jc w:val="right"/>
            </w:pPr>
            <w:r w:rsidRPr="00362517">
              <w:t>22,593</w:t>
            </w:r>
          </w:p>
        </w:tc>
        <w:tc>
          <w:tcPr>
            <w:tcW w:w="1037" w:type="pct"/>
            <w:tcBorders>
              <w:top w:val="nil"/>
              <w:left w:val="nil"/>
              <w:bottom w:val="single" w:sz="4" w:space="0" w:color="auto"/>
              <w:right w:val="single" w:sz="4" w:space="0" w:color="auto"/>
            </w:tcBorders>
            <w:shd w:val="clear" w:color="auto" w:fill="auto"/>
            <w:noWrap/>
            <w:vAlign w:val="bottom"/>
            <w:hideMark/>
          </w:tcPr>
          <w:p w14:paraId="075C8599" w14:textId="77777777" w:rsidR="00D8365A" w:rsidRPr="00362517" w:rsidRDefault="00D8365A" w:rsidP="00BF6BC7">
            <w:pPr>
              <w:jc w:val="right"/>
            </w:pPr>
            <w:r w:rsidRPr="00362517">
              <w:t>22,264</w:t>
            </w:r>
          </w:p>
        </w:tc>
        <w:tc>
          <w:tcPr>
            <w:tcW w:w="828" w:type="pct"/>
            <w:tcBorders>
              <w:top w:val="nil"/>
              <w:left w:val="nil"/>
              <w:bottom w:val="single" w:sz="4" w:space="0" w:color="auto"/>
              <w:right w:val="single" w:sz="4" w:space="0" w:color="auto"/>
            </w:tcBorders>
            <w:shd w:val="clear" w:color="auto" w:fill="auto"/>
            <w:noWrap/>
            <w:vAlign w:val="bottom"/>
            <w:hideMark/>
          </w:tcPr>
          <w:p w14:paraId="037DEB9E" w14:textId="77777777" w:rsidR="00D8365A" w:rsidRPr="00362517" w:rsidRDefault="00D8365A" w:rsidP="00BF6BC7">
            <w:pPr>
              <w:jc w:val="right"/>
            </w:pPr>
            <w:r w:rsidRPr="00362517">
              <w:t>329</w:t>
            </w:r>
          </w:p>
        </w:tc>
        <w:tc>
          <w:tcPr>
            <w:tcW w:w="981" w:type="pct"/>
            <w:tcBorders>
              <w:top w:val="nil"/>
              <w:left w:val="nil"/>
              <w:bottom w:val="single" w:sz="4" w:space="0" w:color="auto"/>
              <w:right w:val="single" w:sz="4" w:space="0" w:color="auto"/>
            </w:tcBorders>
            <w:shd w:val="clear" w:color="auto" w:fill="auto"/>
            <w:noWrap/>
            <w:vAlign w:val="bottom"/>
            <w:hideMark/>
          </w:tcPr>
          <w:p w14:paraId="10C4C63F" w14:textId="77777777" w:rsidR="00D8365A" w:rsidRPr="00362517" w:rsidRDefault="00D8365A" w:rsidP="00BF6BC7">
            <w:pPr>
              <w:jc w:val="right"/>
            </w:pPr>
            <w:r w:rsidRPr="00362517">
              <w:t>37</w:t>
            </w:r>
          </w:p>
        </w:tc>
      </w:tr>
      <w:tr w:rsidR="00D8365A" w:rsidRPr="00362517" w14:paraId="2D7E753F"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6778BC74" w14:textId="77777777" w:rsidR="00D8365A" w:rsidRPr="00362517" w:rsidRDefault="00D8365A" w:rsidP="00BF6BC7">
            <w:r w:rsidRPr="00362517">
              <w:t>Mississippi</w:t>
            </w:r>
          </w:p>
        </w:tc>
        <w:tc>
          <w:tcPr>
            <w:tcW w:w="903" w:type="pct"/>
            <w:tcBorders>
              <w:top w:val="nil"/>
              <w:left w:val="nil"/>
              <w:bottom w:val="single" w:sz="4" w:space="0" w:color="auto"/>
              <w:right w:val="single" w:sz="4" w:space="0" w:color="auto"/>
            </w:tcBorders>
            <w:shd w:val="clear" w:color="auto" w:fill="auto"/>
            <w:noWrap/>
            <w:vAlign w:val="bottom"/>
            <w:hideMark/>
          </w:tcPr>
          <w:p w14:paraId="1DE29C36" w14:textId="77777777" w:rsidR="00D8365A" w:rsidRPr="00362517" w:rsidRDefault="00D8365A" w:rsidP="00BF6BC7">
            <w:pPr>
              <w:jc w:val="right"/>
            </w:pPr>
            <w:r w:rsidRPr="00362517">
              <w:t>5,299</w:t>
            </w:r>
          </w:p>
        </w:tc>
        <w:tc>
          <w:tcPr>
            <w:tcW w:w="1037" w:type="pct"/>
            <w:tcBorders>
              <w:top w:val="nil"/>
              <w:left w:val="nil"/>
              <w:bottom w:val="single" w:sz="4" w:space="0" w:color="auto"/>
              <w:right w:val="single" w:sz="4" w:space="0" w:color="auto"/>
            </w:tcBorders>
            <w:shd w:val="clear" w:color="auto" w:fill="auto"/>
            <w:noWrap/>
            <w:vAlign w:val="bottom"/>
            <w:hideMark/>
          </w:tcPr>
          <w:p w14:paraId="198F96F1" w14:textId="77777777" w:rsidR="00D8365A" w:rsidRPr="00362517" w:rsidRDefault="00D8365A" w:rsidP="00BF6BC7">
            <w:pPr>
              <w:jc w:val="right"/>
            </w:pPr>
            <w:r w:rsidRPr="00362517">
              <w:t>4,393</w:t>
            </w:r>
          </w:p>
        </w:tc>
        <w:tc>
          <w:tcPr>
            <w:tcW w:w="828" w:type="pct"/>
            <w:tcBorders>
              <w:top w:val="nil"/>
              <w:left w:val="nil"/>
              <w:bottom w:val="single" w:sz="4" w:space="0" w:color="auto"/>
              <w:right w:val="single" w:sz="4" w:space="0" w:color="auto"/>
            </w:tcBorders>
            <w:shd w:val="clear" w:color="auto" w:fill="auto"/>
            <w:noWrap/>
            <w:vAlign w:val="bottom"/>
            <w:hideMark/>
          </w:tcPr>
          <w:p w14:paraId="349E4E6E" w14:textId="77777777" w:rsidR="00D8365A" w:rsidRPr="00362517" w:rsidRDefault="00D8365A" w:rsidP="00BF6BC7">
            <w:pPr>
              <w:jc w:val="right"/>
            </w:pPr>
            <w:r w:rsidRPr="00362517">
              <w:t>722</w:t>
            </w:r>
          </w:p>
        </w:tc>
        <w:tc>
          <w:tcPr>
            <w:tcW w:w="981" w:type="pct"/>
            <w:tcBorders>
              <w:top w:val="nil"/>
              <w:left w:val="nil"/>
              <w:bottom w:val="single" w:sz="4" w:space="0" w:color="auto"/>
              <w:right w:val="single" w:sz="4" w:space="0" w:color="auto"/>
            </w:tcBorders>
            <w:shd w:val="clear" w:color="auto" w:fill="auto"/>
            <w:noWrap/>
            <w:vAlign w:val="bottom"/>
            <w:hideMark/>
          </w:tcPr>
          <w:p w14:paraId="38339240" w14:textId="77777777" w:rsidR="00D8365A" w:rsidRPr="00362517" w:rsidRDefault="00D8365A" w:rsidP="00BF6BC7">
            <w:pPr>
              <w:jc w:val="right"/>
            </w:pPr>
            <w:r w:rsidRPr="00362517">
              <w:t>82</w:t>
            </w:r>
          </w:p>
        </w:tc>
      </w:tr>
      <w:tr w:rsidR="00D8365A" w:rsidRPr="00362517" w14:paraId="27D03172"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6764BD1D" w14:textId="77777777" w:rsidR="00D8365A" w:rsidRPr="00362517" w:rsidRDefault="00D8365A" w:rsidP="00BF6BC7">
            <w:r w:rsidRPr="00362517">
              <w:t>Missouri</w:t>
            </w:r>
          </w:p>
        </w:tc>
        <w:tc>
          <w:tcPr>
            <w:tcW w:w="903" w:type="pct"/>
            <w:tcBorders>
              <w:top w:val="nil"/>
              <w:left w:val="nil"/>
              <w:bottom w:val="single" w:sz="4" w:space="0" w:color="auto"/>
              <w:right w:val="single" w:sz="4" w:space="0" w:color="auto"/>
            </w:tcBorders>
            <w:shd w:val="clear" w:color="auto" w:fill="auto"/>
            <w:noWrap/>
            <w:vAlign w:val="bottom"/>
            <w:hideMark/>
          </w:tcPr>
          <w:p w14:paraId="1EB7E977" w14:textId="77777777" w:rsidR="00D8365A" w:rsidRPr="00362517" w:rsidRDefault="00D8365A" w:rsidP="00BF6BC7">
            <w:pPr>
              <w:jc w:val="right"/>
            </w:pPr>
            <w:r w:rsidRPr="00362517">
              <w:t>21,051</w:t>
            </w:r>
          </w:p>
        </w:tc>
        <w:tc>
          <w:tcPr>
            <w:tcW w:w="1037" w:type="pct"/>
            <w:tcBorders>
              <w:top w:val="nil"/>
              <w:left w:val="nil"/>
              <w:bottom w:val="single" w:sz="4" w:space="0" w:color="auto"/>
              <w:right w:val="single" w:sz="4" w:space="0" w:color="auto"/>
            </w:tcBorders>
            <w:shd w:val="clear" w:color="auto" w:fill="auto"/>
            <w:noWrap/>
            <w:vAlign w:val="bottom"/>
            <w:hideMark/>
          </w:tcPr>
          <w:p w14:paraId="10842B3D" w14:textId="77777777" w:rsidR="00D8365A" w:rsidRPr="00362517" w:rsidRDefault="00D8365A" w:rsidP="00BF6BC7">
            <w:pPr>
              <w:jc w:val="right"/>
            </w:pPr>
            <w:r w:rsidRPr="00362517">
              <w:t>17,944</w:t>
            </w:r>
          </w:p>
        </w:tc>
        <w:tc>
          <w:tcPr>
            <w:tcW w:w="828" w:type="pct"/>
            <w:tcBorders>
              <w:top w:val="nil"/>
              <w:left w:val="nil"/>
              <w:bottom w:val="single" w:sz="4" w:space="0" w:color="auto"/>
              <w:right w:val="single" w:sz="4" w:space="0" w:color="auto"/>
            </w:tcBorders>
            <w:shd w:val="clear" w:color="auto" w:fill="auto"/>
            <w:noWrap/>
            <w:vAlign w:val="bottom"/>
            <w:hideMark/>
          </w:tcPr>
          <w:p w14:paraId="397B6EB2" w14:textId="77777777" w:rsidR="00D8365A" w:rsidRPr="00362517" w:rsidRDefault="00D8365A" w:rsidP="00BF6BC7">
            <w:pPr>
              <w:jc w:val="right"/>
            </w:pPr>
            <w:r w:rsidRPr="00362517">
              <w:t>3,107</w:t>
            </w:r>
          </w:p>
        </w:tc>
        <w:tc>
          <w:tcPr>
            <w:tcW w:w="981" w:type="pct"/>
            <w:tcBorders>
              <w:top w:val="nil"/>
              <w:left w:val="nil"/>
              <w:bottom w:val="single" w:sz="4" w:space="0" w:color="auto"/>
              <w:right w:val="single" w:sz="4" w:space="0" w:color="auto"/>
            </w:tcBorders>
            <w:shd w:val="clear" w:color="auto" w:fill="auto"/>
            <w:noWrap/>
            <w:vAlign w:val="bottom"/>
            <w:hideMark/>
          </w:tcPr>
          <w:p w14:paraId="4F526A98" w14:textId="77777777" w:rsidR="00D8365A" w:rsidRPr="00362517" w:rsidRDefault="00D8365A" w:rsidP="00BF6BC7">
            <w:pPr>
              <w:jc w:val="right"/>
            </w:pPr>
            <w:r w:rsidRPr="00362517">
              <w:t>354</w:t>
            </w:r>
          </w:p>
        </w:tc>
      </w:tr>
      <w:tr w:rsidR="00D8365A" w:rsidRPr="00362517" w14:paraId="294A1292"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7905AF4A" w14:textId="77777777" w:rsidR="00D8365A" w:rsidRPr="00362517" w:rsidRDefault="00D8365A" w:rsidP="00BF6BC7">
            <w:r w:rsidRPr="00362517">
              <w:t>Montana</w:t>
            </w:r>
          </w:p>
        </w:tc>
        <w:tc>
          <w:tcPr>
            <w:tcW w:w="903" w:type="pct"/>
            <w:tcBorders>
              <w:top w:val="nil"/>
              <w:left w:val="nil"/>
              <w:bottom w:val="single" w:sz="4" w:space="0" w:color="auto"/>
              <w:right w:val="single" w:sz="4" w:space="0" w:color="auto"/>
            </w:tcBorders>
            <w:shd w:val="clear" w:color="auto" w:fill="auto"/>
            <w:noWrap/>
            <w:vAlign w:val="bottom"/>
            <w:hideMark/>
          </w:tcPr>
          <w:p w14:paraId="6A2291A8" w14:textId="77777777" w:rsidR="00D8365A" w:rsidRPr="00362517" w:rsidRDefault="00D8365A" w:rsidP="00BF6BC7">
            <w:pPr>
              <w:jc w:val="right"/>
            </w:pPr>
            <w:r w:rsidRPr="00362517">
              <w:t>6,059</w:t>
            </w:r>
          </w:p>
        </w:tc>
        <w:tc>
          <w:tcPr>
            <w:tcW w:w="1037" w:type="pct"/>
            <w:tcBorders>
              <w:top w:val="nil"/>
              <w:left w:val="nil"/>
              <w:bottom w:val="single" w:sz="4" w:space="0" w:color="auto"/>
              <w:right w:val="single" w:sz="4" w:space="0" w:color="auto"/>
            </w:tcBorders>
            <w:shd w:val="clear" w:color="auto" w:fill="auto"/>
            <w:noWrap/>
            <w:vAlign w:val="bottom"/>
            <w:hideMark/>
          </w:tcPr>
          <w:p w14:paraId="4B3AC9E6" w14:textId="77777777" w:rsidR="00D8365A" w:rsidRPr="00362517" w:rsidRDefault="00D8365A" w:rsidP="00BF6BC7">
            <w:pPr>
              <w:jc w:val="right"/>
            </w:pPr>
            <w:r w:rsidRPr="00362517">
              <w:t>5,758</w:t>
            </w:r>
          </w:p>
        </w:tc>
        <w:tc>
          <w:tcPr>
            <w:tcW w:w="828" w:type="pct"/>
            <w:tcBorders>
              <w:top w:val="nil"/>
              <w:left w:val="nil"/>
              <w:bottom w:val="single" w:sz="4" w:space="0" w:color="auto"/>
              <w:right w:val="single" w:sz="4" w:space="0" w:color="auto"/>
            </w:tcBorders>
            <w:shd w:val="clear" w:color="auto" w:fill="auto"/>
            <w:noWrap/>
            <w:vAlign w:val="bottom"/>
            <w:hideMark/>
          </w:tcPr>
          <w:p w14:paraId="29605DAA" w14:textId="77777777" w:rsidR="00D8365A" w:rsidRPr="00362517" w:rsidRDefault="00D8365A" w:rsidP="00BF6BC7">
            <w:pPr>
              <w:jc w:val="right"/>
            </w:pPr>
            <w:r w:rsidRPr="00362517">
              <w:t>301</w:t>
            </w:r>
          </w:p>
        </w:tc>
        <w:tc>
          <w:tcPr>
            <w:tcW w:w="981" w:type="pct"/>
            <w:tcBorders>
              <w:top w:val="nil"/>
              <w:left w:val="nil"/>
              <w:bottom w:val="single" w:sz="4" w:space="0" w:color="auto"/>
              <w:right w:val="single" w:sz="4" w:space="0" w:color="auto"/>
            </w:tcBorders>
            <w:shd w:val="clear" w:color="auto" w:fill="auto"/>
            <w:noWrap/>
            <w:vAlign w:val="bottom"/>
            <w:hideMark/>
          </w:tcPr>
          <w:p w14:paraId="70F605D1" w14:textId="77777777" w:rsidR="00D8365A" w:rsidRPr="00362517" w:rsidRDefault="00D8365A" w:rsidP="00BF6BC7">
            <w:pPr>
              <w:jc w:val="right"/>
            </w:pPr>
            <w:r w:rsidRPr="00362517">
              <w:t>34</w:t>
            </w:r>
          </w:p>
        </w:tc>
      </w:tr>
      <w:tr w:rsidR="00D8365A" w:rsidRPr="00362517" w14:paraId="4CA2EA25"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19B73765" w14:textId="77777777" w:rsidR="00D8365A" w:rsidRPr="00362517" w:rsidRDefault="00D8365A" w:rsidP="00BF6BC7">
            <w:r w:rsidRPr="00362517">
              <w:t>Nebraska</w:t>
            </w:r>
          </w:p>
        </w:tc>
        <w:tc>
          <w:tcPr>
            <w:tcW w:w="903" w:type="pct"/>
            <w:tcBorders>
              <w:top w:val="nil"/>
              <w:left w:val="nil"/>
              <w:bottom w:val="single" w:sz="4" w:space="0" w:color="auto"/>
              <w:right w:val="single" w:sz="4" w:space="0" w:color="auto"/>
            </w:tcBorders>
            <w:shd w:val="clear" w:color="auto" w:fill="auto"/>
            <w:noWrap/>
            <w:vAlign w:val="bottom"/>
            <w:hideMark/>
          </w:tcPr>
          <w:p w14:paraId="24D4D4B1" w14:textId="77777777" w:rsidR="00D8365A" w:rsidRPr="00362517" w:rsidRDefault="00D8365A" w:rsidP="00BF6BC7">
            <w:pPr>
              <w:jc w:val="right"/>
            </w:pPr>
            <w:r w:rsidRPr="00362517">
              <w:t>25,584</w:t>
            </w:r>
          </w:p>
        </w:tc>
        <w:tc>
          <w:tcPr>
            <w:tcW w:w="1037" w:type="pct"/>
            <w:tcBorders>
              <w:top w:val="nil"/>
              <w:left w:val="nil"/>
              <w:bottom w:val="single" w:sz="4" w:space="0" w:color="auto"/>
              <w:right w:val="single" w:sz="4" w:space="0" w:color="auto"/>
            </w:tcBorders>
            <w:shd w:val="clear" w:color="auto" w:fill="auto"/>
            <w:noWrap/>
            <w:vAlign w:val="bottom"/>
            <w:hideMark/>
          </w:tcPr>
          <w:p w14:paraId="13F04A38" w14:textId="77777777" w:rsidR="00D8365A" w:rsidRPr="00362517" w:rsidRDefault="00D8365A" w:rsidP="00BF6BC7">
            <w:pPr>
              <w:jc w:val="right"/>
            </w:pPr>
            <w:r w:rsidRPr="00362517">
              <w:t>22,257</w:t>
            </w:r>
          </w:p>
        </w:tc>
        <w:tc>
          <w:tcPr>
            <w:tcW w:w="828" w:type="pct"/>
            <w:tcBorders>
              <w:top w:val="nil"/>
              <w:left w:val="nil"/>
              <w:bottom w:val="single" w:sz="4" w:space="0" w:color="auto"/>
              <w:right w:val="single" w:sz="4" w:space="0" w:color="auto"/>
            </w:tcBorders>
            <w:shd w:val="clear" w:color="auto" w:fill="auto"/>
            <w:noWrap/>
            <w:vAlign w:val="bottom"/>
            <w:hideMark/>
          </w:tcPr>
          <w:p w14:paraId="045BF780" w14:textId="77777777" w:rsidR="00D8365A" w:rsidRPr="00362517" w:rsidRDefault="00D8365A" w:rsidP="00BF6BC7">
            <w:pPr>
              <w:jc w:val="right"/>
            </w:pPr>
            <w:r w:rsidRPr="00362517">
              <w:t>2,903</w:t>
            </w:r>
          </w:p>
        </w:tc>
        <w:tc>
          <w:tcPr>
            <w:tcW w:w="981" w:type="pct"/>
            <w:tcBorders>
              <w:top w:val="nil"/>
              <w:left w:val="nil"/>
              <w:bottom w:val="single" w:sz="4" w:space="0" w:color="auto"/>
              <w:right w:val="single" w:sz="4" w:space="0" w:color="auto"/>
            </w:tcBorders>
            <w:shd w:val="clear" w:color="auto" w:fill="auto"/>
            <w:noWrap/>
            <w:vAlign w:val="bottom"/>
            <w:hideMark/>
          </w:tcPr>
          <w:p w14:paraId="5732A2F8" w14:textId="77777777" w:rsidR="00D8365A" w:rsidRPr="00362517" w:rsidRDefault="00D8365A" w:rsidP="00BF6BC7">
            <w:pPr>
              <w:jc w:val="right"/>
            </w:pPr>
            <w:r w:rsidRPr="00362517">
              <w:t>330</w:t>
            </w:r>
          </w:p>
        </w:tc>
      </w:tr>
      <w:tr w:rsidR="00D8365A" w:rsidRPr="00362517" w14:paraId="1B6E3DC4"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20FD766B" w14:textId="77777777" w:rsidR="00D8365A" w:rsidRPr="00362517" w:rsidRDefault="00D8365A" w:rsidP="00BF6BC7">
            <w:r w:rsidRPr="00362517">
              <w:t>Nevada</w:t>
            </w:r>
          </w:p>
        </w:tc>
        <w:tc>
          <w:tcPr>
            <w:tcW w:w="903" w:type="pct"/>
            <w:tcBorders>
              <w:top w:val="nil"/>
              <w:left w:val="nil"/>
              <w:bottom w:val="single" w:sz="4" w:space="0" w:color="auto"/>
              <w:right w:val="single" w:sz="4" w:space="0" w:color="auto"/>
            </w:tcBorders>
            <w:shd w:val="clear" w:color="auto" w:fill="auto"/>
            <w:noWrap/>
            <w:vAlign w:val="bottom"/>
            <w:hideMark/>
          </w:tcPr>
          <w:p w14:paraId="36B4ACB5" w14:textId="77777777" w:rsidR="00D8365A" w:rsidRPr="00362517" w:rsidRDefault="00D8365A" w:rsidP="00BF6BC7">
            <w:pPr>
              <w:jc w:val="right"/>
            </w:pPr>
            <w:r w:rsidRPr="00362517">
              <w:t>6,952</w:t>
            </w:r>
          </w:p>
        </w:tc>
        <w:tc>
          <w:tcPr>
            <w:tcW w:w="1037" w:type="pct"/>
            <w:tcBorders>
              <w:top w:val="nil"/>
              <w:left w:val="nil"/>
              <w:bottom w:val="single" w:sz="4" w:space="0" w:color="auto"/>
              <w:right w:val="single" w:sz="4" w:space="0" w:color="auto"/>
            </w:tcBorders>
            <w:shd w:val="clear" w:color="auto" w:fill="auto"/>
            <w:noWrap/>
            <w:vAlign w:val="bottom"/>
            <w:hideMark/>
          </w:tcPr>
          <w:p w14:paraId="4C525A52" w14:textId="77777777" w:rsidR="00D8365A" w:rsidRPr="00362517" w:rsidRDefault="00D8365A" w:rsidP="00BF6BC7">
            <w:pPr>
              <w:jc w:val="right"/>
            </w:pPr>
            <w:r w:rsidRPr="00362517">
              <w:t>6,186</w:t>
            </w:r>
          </w:p>
        </w:tc>
        <w:tc>
          <w:tcPr>
            <w:tcW w:w="828" w:type="pct"/>
            <w:tcBorders>
              <w:top w:val="nil"/>
              <w:left w:val="nil"/>
              <w:bottom w:val="single" w:sz="4" w:space="0" w:color="auto"/>
              <w:right w:val="single" w:sz="4" w:space="0" w:color="auto"/>
            </w:tcBorders>
            <w:shd w:val="clear" w:color="auto" w:fill="auto"/>
            <w:noWrap/>
            <w:vAlign w:val="bottom"/>
            <w:hideMark/>
          </w:tcPr>
          <w:p w14:paraId="0E5FC8F8" w14:textId="77777777" w:rsidR="00D8365A" w:rsidRPr="00362517" w:rsidRDefault="00D8365A" w:rsidP="00BF6BC7">
            <w:pPr>
              <w:jc w:val="right"/>
            </w:pPr>
            <w:r w:rsidRPr="00362517">
              <w:t>766</w:t>
            </w:r>
          </w:p>
        </w:tc>
        <w:tc>
          <w:tcPr>
            <w:tcW w:w="981" w:type="pct"/>
            <w:tcBorders>
              <w:top w:val="nil"/>
              <w:left w:val="nil"/>
              <w:bottom w:val="single" w:sz="4" w:space="0" w:color="auto"/>
              <w:right w:val="single" w:sz="4" w:space="0" w:color="auto"/>
            </w:tcBorders>
            <w:shd w:val="clear" w:color="auto" w:fill="auto"/>
            <w:noWrap/>
            <w:vAlign w:val="bottom"/>
            <w:hideMark/>
          </w:tcPr>
          <w:p w14:paraId="0BAD8905" w14:textId="77777777" w:rsidR="00D8365A" w:rsidRPr="00362517" w:rsidRDefault="00D8365A" w:rsidP="00BF6BC7">
            <w:pPr>
              <w:jc w:val="right"/>
            </w:pPr>
            <w:r w:rsidRPr="00362517">
              <w:t>87</w:t>
            </w:r>
          </w:p>
        </w:tc>
      </w:tr>
      <w:tr w:rsidR="00D8365A" w:rsidRPr="00362517" w14:paraId="09CDE354"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6F443D79" w14:textId="77777777" w:rsidR="00D8365A" w:rsidRPr="00362517" w:rsidRDefault="00D8365A" w:rsidP="00BF6BC7">
            <w:r w:rsidRPr="00362517">
              <w:t>New Hampshire</w:t>
            </w:r>
          </w:p>
        </w:tc>
        <w:tc>
          <w:tcPr>
            <w:tcW w:w="903" w:type="pct"/>
            <w:tcBorders>
              <w:top w:val="nil"/>
              <w:left w:val="nil"/>
              <w:bottom w:val="single" w:sz="4" w:space="0" w:color="auto"/>
              <w:right w:val="single" w:sz="4" w:space="0" w:color="auto"/>
            </w:tcBorders>
            <w:shd w:val="clear" w:color="auto" w:fill="auto"/>
            <w:noWrap/>
            <w:vAlign w:val="bottom"/>
            <w:hideMark/>
          </w:tcPr>
          <w:p w14:paraId="27F750C8" w14:textId="77777777" w:rsidR="00D8365A" w:rsidRPr="00362517" w:rsidRDefault="00D8365A" w:rsidP="00BF6BC7">
            <w:pPr>
              <w:jc w:val="right"/>
            </w:pPr>
            <w:r w:rsidRPr="00362517">
              <w:t>2,234</w:t>
            </w:r>
          </w:p>
        </w:tc>
        <w:tc>
          <w:tcPr>
            <w:tcW w:w="1037" w:type="pct"/>
            <w:tcBorders>
              <w:top w:val="nil"/>
              <w:left w:val="nil"/>
              <w:bottom w:val="single" w:sz="4" w:space="0" w:color="auto"/>
              <w:right w:val="single" w:sz="4" w:space="0" w:color="auto"/>
            </w:tcBorders>
            <w:shd w:val="clear" w:color="auto" w:fill="auto"/>
            <w:noWrap/>
            <w:vAlign w:val="bottom"/>
            <w:hideMark/>
          </w:tcPr>
          <w:p w14:paraId="55E2CC04" w14:textId="77777777" w:rsidR="00D8365A" w:rsidRPr="00362517" w:rsidRDefault="00D8365A" w:rsidP="00BF6BC7">
            <w:pPr>
              <w:jc w:val="right"/>
            </w:pPr>
            <w:r w:rsidRPr="00362517">
              <w:t>2,234</w:t>
            </w:r>
          </w:p>
        </w:tc>
        <w:tc>
          <w:tcPr>
            <w:tcW w:w="828" w:type="pct"/>
            <w:tcBorders>
              <w:top w:val="nil"/>
              <w:left w:val="nil"/>
              <w:bottom w:val="single" w:sz="4" w:space="0" w:color="auto"/>
              <w:right w:val="single" w:sz="4" w:space="0" w:color="auto"/>
            </w:tcBorders>
            <w:shd w:val="clear" w:color="auto" w:fill="auto"/>
            <w:noWrap/>
            <w:vAlign w:val="bottom"/>
            <w:hideMark/>
          </w:tcPr>
          <w:p w14:paraId="78B99A9A" w14:textId="77777777" w:rsidR="00D8365A" w:rsidRPr="00362517" w:rsidRDefault="00D8365A" w:rsidP="00BF6BC7">
            <w:pPr>
              <w:jc w:val="right"/>
            </w:pPr>
            <w:r w:rsidRPr="00362517">
              <w:t>0</w:t>
            </w:r>
          </w:p>
        </w:tc>
        <w:tc>
          <w:tcPr>
            <w:tcW w:w="981" w:type="pct"/>
            <w:tcBorders>
              <w:top w:val="nil"/>
              <w:left w:val="nil"/>
              <w:bottom w:val="single" w:sz="4" w:space="0" w:color="auto"/>
              <w:right w:val="single" w:sz="4" w:space="0" w:color="auto"/>
            </w:tcBorders>
            <w:shd w:val="clear" w:color="auto" w:fill="auto"/>
            <w:noWrap/>
            <w:vAlign w:val="bottom"/>
            <w:hideMark/>
          </w:tcPr>
          <w:p w14:paraId="036D0E65" w14:textId="77777777" w:rsidR="00D8365A" w:rsidRPr="00362517" w:rsidRDefault="00D8365A" w:rsidP="00BF6BC7">
            <w:pPr>
              <w:jc w:val="right"/>
            </w:pPr>
            <w:r w:rsidRPr="00362517">
              <w:t>0</w:t>
            </w:r>
          </w:p>
        </w:tc>
      </w:tr>
      <w:tr w:rsidR="00D8365A" w:rsidRPr="00362517" w14:paraId="2B987638"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3A96CE8E" w14:textId="77777777" w:rsidR="00D8365A" w:rsidRPr="00362517" w:rsidRDefault="00D8365A" w:rsidP="00BF6BC7">
            <w:r w:rsidRPr="00362517">
              <w:t>New Jersey</w:t>
            </w:r>
          </w:p>
        </w:tc>
        <w:tc>
          <w:tcPr>
            <w:tcW w:w="903" w:type="pct"/>
            <w:tcBorders>
              <w:top w:val="nil"/>
              <w:left w:val="nil"/>
              <w:bottom w:val="single" w:sz="4" w:space="0" w:color="auto"/>
              <w:right w:val="single" w:sz="4" w:space="0" w:color="auto"/>
            </w:tcBorders>
            <w:shd w:val="clear" w:color="auto" w:fill="auto"/>
            <w:noWrap/>
            <w:vAlign w:val="bottom"/>
            <w:hideMark/>
          </w:tcPr>
          <w:p w14:paraId="467EEA8A" w14:textId="77777777" w:rsidR="00D8365A" w:rsidRPr="00362517" w:rsidRDefault="00D8365A" w:rsidP="00BF6BC7">
            <w:pPr>
              <w:jc w:val="right"/>
            </w:pPr>
            <w:r w:rsidRPr="00362517">
              <w:t>17,963</w:t>
            </w:r>
          </w:p>
        </w:tc>
        <w:tc>
          <w:tcPr>
            <w:tcW w:w="1037" w:type="pct"/>
            <w:tcBorders>
              <w:top w:val="nil"/>
              <w:left w:val="nil"/>
              <w:bottom w:val="single" w:sz="4" w:space="0" w:color="auto"/>
              <w:right w:val="single" w:sz="4" w:space="0" w:color="auto"/>
            </w:tcBorders>
            <w:shd w:val="clear" w:color="auto" w:fill="auto"/>
            <w:noWrap/>
            <w:vAlign w:val="bottom"/>
            <w:hideMark/>
          </w:tcPr>
          <w:p w14:paraId="0DF87884" w14:textId="77777777" w:rsidR="00D8365A" w:rsidRPr="00362517" w:rsidRDefault="00D8365A" w:rsidP="00BF6BC7">
            <w:pPr>
              <w:jc w:val="right"/>
            </w:pPr>
            <w:r w:rsidRPr="00362517">
              <w:t>17,963</w:t>
            </w:r>
          </w:p>
        </w:tc>
        <w:tc>
          <w:tcPr>
            <w:tcW w:w="828" w:type="pct"/>
            <w:tcBorders>
              <w:top w:val="nil"/>
              <w:left w:val="nil"/>
              <w:bottom w:val="single" w:sz="4" w:space="0" w:color="auto"/>
              <w:right w:val="single" w:sz="4" w:space="0" w:color="auto"/>
            </w:tcBorders>
            <w:shd w:val="clear" w:color="auto" w:fill="auto"/>
            <w:noWrap/>
            <w:vAlign w:val="bottom"/>
            <w:hideMark/>
          </w:tcPr>
          <w:p w14:paraId="10342544" w14:textId="77777777" w:rsidR="00D8365A" w:rsidRPr="00362517" w:rsidRDefault="00D8365A" w:rsidP="00BF6BC7">
            <w:pPr>
              <w:jc w:val="right"/>
            </w:pPr>
            <w:r w:rsidRPr="00362517">
              <w:t>0</w:t>
            </w:r>
          </w:p>
        </w:tc>
        <w:tc>
          <w:tcPr>
            <w:tcW w:w="981" w:type="pct"/>
            <w:tcBorders>
              <w:top w:val="nil"/>
              <w:left w:val="nil"/>
              <w:bottom w:val="single" w:sz="4" w:space="0" w:color="auto"/>
              <w:right w:val="single" w:sz="4" w:space="0" w:color="auto"/>
            </w:tcBorders>
            <w:shd w:val="clear" w:color="auto" w:fill="auto"/>
            <w:noWrap/>
            <w:vAlign w:val="bottom"/>
            <w:hideMark/>
          </w:tcPr>
          <w:p w14:paraId="3B8655DB" w14:textId="77777777" w:rsidR="00D8365A" w:rsidRPr="00362517" w:rsidRDefault="00D8365A" w:rsidP="00BF6BC7">
            <w:pPr>
              <w:jc w:val="right"/>
            </w:pPr>
            <w:r w:rsidRPr="00362517">
              <w:t>0</w:t>
            </w:r>
          </w:p>
        </w:tc>
      </w:tr>
      <w:tr w:rsidR="00D8365A" w:rsidRPr="00362517" w14:paraId="48CB707D"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12FC1D03" w14:textId="77777777" w:rsidR="00D8365A" w:rsidRPr="00362517" w:rsidRDefault="00D8365A" w:rsidP="00BF6BC7">
            <w:r w:rsidRPr="00362517">
              <w:t>New Mexico</w:t>
            </w:r>
          </w:p>
        </w:tc>
        <w:tc>
          <w:tcPr>
            <w:tcW w:w="903" w:type="pct"/>
            <w:tcBorders>
              <w:top w:val="nil"/>
              <w:left w:val="nil"/>
              <w:bottom w:val="single" w:sz="4" w:space="0" w:color="auto"/>
              <w:right w:val="single" w:sz="4" w:space="0" w:color="auto"/>
            </w:tcBorders>
            <w:shd w:val="clear" w:color="auto" w:fill="auto"/>
            <w:noWrap/>
            <w:vAlign w:val="bottom"/>
            <w:hideMark/>
          </w:tcPr>
          <w:p w14:paraId="6CF1A752" w14:textId="77777777" w:rsidR="00D8365A" w:rsidRPr="00362517" w:rsidRDefault="00D8365A" w:rsidP="00BF6BC7">
            <w:pPr>
              <w:jc w:val="right"/>
            </w:pPr>
            <w:r w:rsidRPr="00362517">
              <w:t>9,807</w:t>
            </w:r>
          </w:p>
        </w:tc>
        <w:tc>
          <w:tcPr>
            <w:tcW w:w="1037" w:type="pct"/>
            <w:tcBorders>
              <w:top w:val="nil"/>
              <w:left w:val="nil"/>
              <w:bottom w:val="single" w:sz="4" w:space="0" w:color="auto"/>
              <w:right w:val="single" w:sz="4" w:space="0" w:color="auto"/>
            </w:tcBorders>
            <w:shd w:val="clear" w:color="auto" w:fill="auto"/>
            <w:noWrap/>
            <w:vAlign w:val="bottom"/>
            <w:hideMark/>
          </w:tcPr>
          <w:p w14:paraId="0DACED94" w14:textId="77777777" w:rsidR="00D8365A" w:rsidRPr="00362517" w:rsidRDefault="00D8365A" w:rsidP="00BF6BC7">
            <w:pPr>
              <w:jc w:val="right"/>
            </w:pPr>
            <w:r w:rsidRPr="00362517">
              <w:t>9,503</w:t>
            </w:r>
          </w:p>
        </w:tc>
        <w:tc>
          <w:tcPr>
            <w:tcW w:w="828" w:type="pct"/>
            <w:tcBorders>
              <w:top w:val="nil"/>
              <w:left w:val="nil"/>
              <w:bottom w:val="single" w:sz="4" w:space="0" w:color="auto"/>
              <w:right w:val="single" w:sz="4" w:space="0" w:color="auto"/>
            </w:tcBorders>
            <w:shd w:val="clear" w:color="auto" w:fill="auto"/>
            <w:noWrap/>
            <w:vAlign w:val="bottom"/>
            <w:hideMark/>
          </w:tcPr>
          <w:p w14:paraId="3E22F2C0" w14:textId="77777777" w:rsidR="00D8365A" w:rsidRPr="00362517" w:rsidRDefault="00D8365A" w:rsidP="00BF6BC7">
            <w:pPr>
              <w:jc w:val="right"/>
            </w:pPr>
            <w:r w:rsidRPr="00362517">
              <w:t>304</w:t>
            </w:r>
          </w:p>
        </w:tc>
        <w:tc>
          <w:tcPr>
            <w:tcW w:w="981" w:type="pct"/>
            <w:tcBorders>
              <w:top w:val="nil"/>
              <w:left w:val="nil"/>
              <w:bottom w:val="single" w:sz="4" w:space="0" w:color="auto"/>
              <w:right w:val="single" w:sz="4" w:space="0" w:color="auto"/>
            </w:tcBorders>
            <w:shd w:val="clear" w:color="auto" w:fill="auto"/>
            <w:noWrap/>
            <w:vAlign w:val="bottom"/>
            <w:hideMark/>
          </w:tcPr>
          <w:p w14:paraId="5DC77B20" w14:textId="77777777" w:rsidR="00D8365A" w:rsidRPr="00362517" w:rsidRDefault="00D8365A" w:rsidP="00BF6BC7">
            <w:pPr>
              <w:jc w:val="right"/>
            </w:pPr>
            <w:r w:rsidRPr="00362517">
              <w:t>35</w:t>
            </w:r>
          </w:p>
        </w:tc>
      </w:tr>
      <w:tr w:rsidR="00D8365A" w:rsidRPr="00362517" w14:paraId="0272B1A3"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3FA73A89" w14:textId="77777777" w:rsidR="00D8365A" w:rsidRPr="00362517" w:rsidRDefault="00D8365A" w:rsidP="00BF6BC7">
            <w:r w:rsidRPr="00362517">
              <w:t>New York</w:t>
            </w:r>
          </w:p>
        </w:tc>
        <w:tc>
          <w:tcPr>
            <w:tcW w:w="903" w:type="pct"/>
            <w:tcBorders>
              <w:top w:val="nil"/>
              <w:left w:val="nil"/>
              <w:bottom w:val="single" w:sz="4" w:space="0" w:color="auto"/>
              <w:right w:val="single" w:sz="4" w:space="0" w:color="auto"/>
            </w:tcBorders>
            <w:shd w:val="clear" w:color="auto" w:fill="auto"/>
            <w:noWrap/>
            <w:vAlign w:val="bottom"/>
            <w:hideMark/>
          </w:tcPr>
          <w:p w14:paraId="0D7D6C6B" w14:textId="77777777" w:rsidR="00D8365A" w:rsidRPr="00362517" w:rsidRDefault="00D8365A" w:rsidP="00BF6BC7">
            <w:pPr>
              <w:jc w:val="right"/>
            </w:pPr>
            <w:r w:rsidRPr="00362517">
              <w:t>60,739</w:t>
            </w:r>
          </w:p>
        </w:tc>
        <w:tc>
          <w:tcPr>
            <w:tcW w:w="1037" w:type="pct"/>
            <w:tcBorders>
              <w:top w:val="nil"/>
              <w:left w:val="nil"/>
              <w:bottom w:val="single" w:sz="4" w:space="0" w:color="auto"/>
              <w:right w:val="single" w:sz="4" w:space="0" w:color="auto"/>
            </w:tcBorders>
            <w:shd w:val="clear" w:color="auto" w:fill="auto"/>
            <w:noWrap/>
            <w:vAlign w:val="bottom"/>
            <w:hideMark/>
          </w:tcPr>
          <w:p w14:paraId="1FB505C3" w14:textId="77777777" w:rsidR="00D8365A" w:rsidRPr="00362517" w:rsidRDefault="00D8365A" w:rsidP="00BF6BC7">
            <w:pPr>
              <w:jc w:val="right"/>
            </w:pPr>
            <w:r w:rsidRPr="00362517">
              <w:t>57,464</w:t>
            </w:r>
          </w:p>
        </w:tc>
        <w:tc>
          <w:tcPr>
            <w:tcW w:w="828" w:type="pct"/>
            <w:tcBorders>
              <w:top w:val="nil"/>
              <w:left w:val="nil"/>
              <w:bottom w:val="single" w:sz="4" w:space="0" w:color="auto"/>
              <w:right w:val="single" w:sz="4" w:space="0" w:color="auto"/>
            </w:tcBorders>
            <w:shd w:val="clear" w:color="auto" w:fill="auto"/>
            <w:noWrap/>
            <w:vAlign w:val="bottom"/>
            <w:hideMark/>
          </w:tcPr>
          <w:p w14:paraId="7EAAC8DA" w14:textId="77777777" w:rsidR="00D8365A" w:rsidRPr="00362517" w:rsidRDefault="00D8365A" w:rsidP="00BF6BC7">
            <w:pPr>
              <w:jc w:val="right"/>
            </w:pPr>
            <w:r w:rsidRPr="00362517">
              <w:t>3,275</w:t>
            </w:r>
          </w:p>
        </w:tc>
        <w:tc>
          <w:tcPr>
            <w:tcW w:w="981" w:type="pct"/>
            <w:tcBorders>
              <w:top w:val="nil"/>
              <w:left w:val="nil"/>
              <w:bottom w:val="single" w:sz="4" w:space="0" w:color="auto"/>
              <w:right w:val="single" w:sz="4" w:space="0" w:color="auto"/>
            </w:tcBorders>
            <w:shd w:val="clear" w:color="auto" w:fill="auto"/>
            <w:noWrap/>
            <w:vAlign w:val="bottom"/>
            <w:hideMark/>
          </w:tcPr>
          <w:p w14:paraId="78E84A2E" w14:textId="77777777" w:rsidR="00D8365A" w:rsidRPr="00362517" w:rsidRDefault="00D8365A" w:rsidP="00BF6BC7">
            <w:pPr>
              <w:jc w:val="right"/>
            </w:pPr>
            <w:r w:rsidRPr="00362517">
              <w:t>373</w:t>
            </w:r>
          </w:p>
        </w:tc>
      </w:tr>
      <w:tr w:rsidR="00D8365A" w:rsidRPr="00362517" w14:paraId="697BADA9"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0515757D" w14:textId="77777777" w:rsidR="00D8365A" w:rsidRPr="00362517" w:rsidRDefault="00D8365A" w:rsidP="00BF6BC7">
            <w:r w:rsidRPr="00362517">
              <w:t>North Carolina</w:t>
            </w:r>
          </w:p>
        </w:tc>
        <w:tc>
          <w:tcPr>
            <w:tcW w:w="903" w:type="pct"/>
            <w:tcBorders>
              <w:top w:val="nil"/>
              <w:left w:val="nil"/>
              <w:bottom w:val="single" w:sz="4" w:space="0" w:color="auto"/>
              <w:right w:val="single" w:sz="4" w:space="0" w:color="auto"/>
            </w:tcBorders>
            <w:shd w:val="clear" w:color="auto" w:fill="auto"/>
            <w:noWrap/>
            <w:vAlign w:val="bottom"/>
            <w:hideMark/>
          </w:tcPr>
          <w:p w14:paraId="2348E387" w14:textId="77777777" w:rsidR="00D8365A" w:rsidRPr="00362517" w:rsidRDefault="00D8365A" w:rsidP="00BF6BC7">
            <w:pPr>
              <w:jc w:val="right"/>
            </w:pPr>
            <w:r w:rsidRPr="00362517">
              <w:t>52,949</w:t>
            </w:r>
          </w:p>
        </w:tc>
        <w:tc>
          <w:tcPr>
            <w:tcW w:w="1037" w:type="pct"/>
            <w:tcBorders>
              <w:top w:val="nil"/>
              <w:left w:val="nil"/>
              <w:bottom w:val="single" w:sz="4" w:space="0" w:color="auto"/>
              <w:right w:val="single" w:sz="4" w:space="0" w:color="auto"/>
            </w:tcBorders>
            <w:shd w:val="clear" w:color="auto" w:fill="auto"/>
            <w:noWrap/>
            <w:vAlign w:val="bottom"/>
            <w:hideMark/>
          </w:tcPr>
          <w:p w14:paraId="3E4D7578" w14:textId="77777777" w:rsidR="00D8365A" w:rsidRPr="00362517" w:rsidRDefault="00D8365A" w:rsidP="00BF6BC7">
            <w:pPr>
              <w:jc w:val="right"/>
            </w:pPr>
            <w:r w:rsidRPr="00362517">
              <w:t>49,313</w:t>
            </w:r>
          </w:p>
        </w:tc>
        <w:tc>
          <w:tcPr>
            <w:tcW w:w="828" w:type="pct"/>
            <w:tcBorders>
              <w:top w:val="nil"/>
              <w:left w:val="nil"/>
              <w:bottom w:val="single" w:sz="4" w:space="0" w:color="auto"/>
              <w:right w:val="single" w:sz="4" w:space="0" w:color="auto"/>
            </w:tcBorders>
            <w:shd w:val="clear" w:color="auto" w:fill="auto"/>
            <w:noWrap/>
            <w:vAlign w:val="bottom"/>
            <w:hideMark/>
          </w:tcPr>
          <w:p w14:paraId="3CA05978" w14:textId="77777777" w:rsidR="00D8365A" w:rsidRPr="00362517" w:rsidRDefault="00D8365A" w:rsidP="00BF6BC7">
            <w:pPr>
              <w:jc w:val="right"/>
            </w:pPr>
            <w:r w:rsidRPr="00362517">
              <w:t>3,636</w:t>
            </w:r>
          </w:p>
        </w:tc>
        <w:tc>
          <w:tcPr>
            <w:tcW w:w="981" w:type="pct"/>
            <w:tcBorders>
              <w:top w:val="nil"/>
              <w:left w:val="nil"/>
              <w:bottom w:val="single" w:sz="4" w:space="0" w:color="auto"/>
              <w:right w:val="single" w:sz="4" w:space="0" w:color="auto"/>
            </w:tcBorders>
            <w:shd w:val="clear" w:color="auto" w:fill="auto"/>
            <w:noWrap/>
            <w:vAlign w:val="bottom"/>
            <w:hideMark/>
          </w:tcPr>
          <w:p w14:paraId="6E951CB8" w14:textId="77777777" w:rsidR="00D8365A" w:rsidRPr="00362517" w:rsidRDefault="00D8365A" w:rsidP="00BF6BC7">
            <w:pPr>
              <w:jc w:val="right"/>
            </w:pPr>
            <w:r w:rsidRPr="00362517">
              <w:t>414</w:t>
            </w:r>
          </w:p>
        </w:tc>
      </w:tr>
      <w:tr w:rsidR="00D8365A" w:rsidRPr="00362517" w14:paraId="12F68F7E"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48C21F1C" w14:textId="77777777" w:rsidR="00D8365A" w:rsidRPr="00362517" w:rsidRDefault="00D8365A" w:rsidP="00BF6BC7">
            <w:r w:rsidRPr="00362517">
              <w:t>North Dakota</w:t>
            </w:r>
          </w:p>
        </w:tc>
        <w:tc>
          <w:tcPr>
            <w:tcW w:w="903" w:type="pct"/>
            <w:tcBorders>
              <w:top w:val="nil"/>
              <w:left w:val="nil"/>
              <w:bottom w:val="single" w:sz="4" w:space="0" w:color="auto"/>
              <w:right w:val="single" w:sz="4" w:space="0" w:color="auto"/>
            </w:tcBorders>
            <w:shd w:val="clear" w:color="auto" w:fill="auto"/>
            <w:noWrap/>
            <w:vAlign w:val="bottom"/>
            <w:hideMark/>
          </w:tcPr>
          <w:p w14:paraId="5A305288" w14:textId="77777777" w:rsidR="00D8365A" w:rsidRPr="00362517" w:rsidRDefault="00D8365A" w:rsidP="00BF6BC7">
            <w:pPr>
              <w:jc w:val="right"/>
            </w:pPr>
            <w:r w:rsidRPr="00362517">
              <w:t>14,339</w:t>
            </w:r>
          </w:p>
        </w:tc>
        <w:tc>
          <w:tcPr>
            <w:tcW w:w="1037" w:type="pct"/>
            <w:tcBorders>
              <w:top w:val="nil"/>
              <w:left w:val="nil"/>
              <w:bottom w:val="single" w:sz="4" w:space="0" w:color="auto"/>
              <w:right w:val="single" w:sz="4" w:space="0" w:color="auto"/>
            </w:tcBorders>
            <w:shd w:val="clear" w:color="auto" w:fill="auto"/>
            <w:noWrap/>
            <w:vAlign w:val="bottom"/>
            <w:hideMark/>
          </w:tcPr>
          <w:p w14:paraId="0ADB11B0" w14:textId="77777777" w:rsidR="00D8365A" w:rsidRPr="00362517" w:rsidRDefault="00D8365A" w:rsidP="00BF6BC7">
            <w:pPr>
              <w:jc w:val="right"/>
            </w:pPr>
            <w:r w:rsidRPr="00362517">
              <w:t>10,722</w:t>
            </w:r>
          </w:p>
        </w:tc>
        <w:tc>
          <w:tcPr>
            <w:tcW w:w="828" w:type="pct"/>
            <w:tcBorders>
              <w:top w:val="nil"/>
              <w:left w:val="nil"/>
              <w:bottom w:val="single" w:sz="4" w:space="0" w:color="auto"/>
              <w:right w:val="single" w:sz="4" w:space="0" w:color="auto"/>
            </w:tcBorders>
            <w:shd w:val="clear" w:color="auto" w:fill="auto"/>
            <w:noWrap/>
            <w:vAlign w:val="bottom"/>
            <w:hideMark/>
          </w:tcPr>
          <w:p w14:paraId="11423E18" w14:textId="77777777" w:rsidR="00D8365A" w:rsidRPr="00362517" w:rsidRDefault="00D8365A" w:rsidP="00BF6BC7">
            <w:pPr>
              <w:jc w:val="right"/>
            </w:pPr>
            <w:r w:rsidRPr="00362517">
              <w:t>3,329</w:t>
            </w:r>
          </w:p>
        </w:tc>
        <w:tc>
          <w:tcPr>
            <w:tcW w:w="981" w:type="pct"/>
            <w:tcBorders>
              <w:top w:val="nil"/>
              <w:left w:val="nil"/>
              <w:bottom w:val="single" w:sz="4" w:space="0" w:color="auto"/>
              <w:right w:val="single" w:sz="4" w:space="0" w:color="auto"/>
            </w:tcBorders>
            <w:shd w:val="clear" w:color="auto" w:fill="auto"/>
            <w:noWrap/>
            <w:vAlign w:val="bottom"/>
            <w:hideMark/>
          </w:tcPr>
          <w:p w14:paraId="3554D831" w14:textId="77777777" w:rsidR="00D8365A" w:rsidRPr="00362517" w:rsidRDefault="00D8365A" w:rsidP="00BF6BC7">
            <w:pPr>
              <w:jc w:val="right"/>
            </w:pPr>
            <w:r w:rsidRPr="00362517">
              <w:t>379</w:t>
            </w:r>
          </w:p>
        </w:tc>
      </w:tr>
      <w:tr w:rsidR="00D8365A" w:rsidRPr="00362517" w14:paraId="76AEA318"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17EB9763" w14:textId="77777777" w:rsidR="00D8365A" w:rsidRPr="00362517" w:rsidRDefault="00D8365A" w:rsidP="00BF6BC7">
            <w:r w:rsidRPr="00362517">
              <w:t>Ohio</w:t>
            </w:r>
          </w:p>
        </w:tc>
        <w:tc>
          <w:tcPr>
            <w:tcW w:w="903" w:type="pct"/>
            <w:tcBorders>
              <w:top w:val="nil"/>
              <w:left w:val="nil"/>
              <w:bottom w:val="single" w:sz="4" w:space="0" w:color="auto"/>
              <w:right w:val="single" w:sz="4" w:space="0" w:color="auto"/>
            </w:tcBorders>
            <w:shd w:val="clear" w:color="auto" w:fill="auto"/>
            <w:noWrap/>
            <w:vAlign w:val="bottom"/>
            <w:hideMark/>
          </w:tcPr>
          <w:p w14:paraId="441B76CC" w14:textId="77777777" w:rsidR="00D8365A" w:rsidRPr="00362517" w:rsidRDefault="00D8365A" w:rsidP="00BF6BC7">
            <w:pPr>
              <w:jc w:val="right"/>
            </w:pPr>
            <w:r w:rsidRPr="00362517">
              <w:t>29,108</w:t>
            </w:r>
          </w:p>
        </w:tc>
        <w:tc>
          <w:tcPr>
            <w:tcW w:w="1037" w:type="pct"/>
            <w:tcBorders>
              <w:top w:val="nil"/>
              <w:left w:val="nil"/>
              <w:bottom w:val="single" w:sz="4" w:space="0" w:color="auto"/>
              <w:right w:val="single" w:sz="4" w:space="0" w:color="auto"/>
            </w:tcBorders>
            <w:shd w:val="clear" w:color="auto" w:fill="auto"/>
            <w:noWrap/>
            <w:vAlign w:val="bottom"/>
            <w:hideMark/>
          </w:tcPr>
          <w:p w14:paraId="6CA95509" w14:textId="77777777" w:rsidR="00D8365A" w:rsidRPr="00362517" w:rsidRDefault="00D8365A" w:rsidP="00BF6BC7">
            <w:pPr>
              <w:jc w:val="right"/>
            </w:pPr>
            <w:r w:rsidRPr="00362517">
              <w:t>21,970</w:t>
            </w:r>
          </w:p>
        </w:tc>
        <w:tc>
          <w:tcPr>
            <w:tcW w:w="828" w:type="pct"/>
            <w:tcBorders>
              <w:top w:val="nil"/>
              <w:left w:val="nil"/>
              <w:bottom w:val="single" w:sz="4" w:space="0" w:color="auto"/>
              <w:right w:val="single" w:sz="4" w:space="0" w:color="auto"/>
            </w:tcBorders>
            <w:shd w:val="clear" w:color="auto" w:fill="auto"/>
            <w:noWrap/>
            <w:vAlign w:val="bottom"/>
            <w:hideMark/>
          </w:tcPr>
          <w:p w14:paraId="37302DCF" w14:textId="77777777" w:rsidR="00D8365A" w:rsidRPr="00362517" w:rsidRDefault="00D8365A" w:rsidP="00BF6BC7">
            <w:pPr>
              <w:jc w:val="right"/>
            </w:pPr>
            <w:r w:rsidRPr="00362517">
              <w:t>7,058</w:t>
            </w:r>
          </w:p>
        </w:tc>
        <w:tc>
          <w:tcPr>
            <w:tcW w:w="981" w:type="pct"/>
            <w:tcBorders>
              <w:top w:val="nil"/>
              <w:left w:val="nil"/>
              <w:bottom w:val="single" w:sz="4" w:space="0" w:color="auto"/>
              <w:right w:val="single" w:sz="4" w:space="0" w:color="auto"/>
            </w:tcBorders>
            <w:shd w:val="clear" w:color="auto" w:fill="auto"/>
            <w:noWrap/>
            <w:vAlign w:val="bottom"/>
            <w:hideMark/>
          </w:tcPr>
          <w:p w14:paraId="4E5A3BA2" w14:textId="77777777" w:rsidR="00D8365A" w:rsidRPr="00362517" w:rsidRDefault="00D8365A" w:rsidP="00BF6BC7">
            <w:pPr>
              <w:jc w:val="right"/>
            </w:pPr>
            <w:r w:rsidRPr="00362517">
              <w:t>803</w:t>
            </w:r>
          </w:p>
        </w:tc>
      </w:tr>
      <w:tr w:rsidR="00D8365A" w:rsidRPr="00362517" w14:paraId="57331FE7"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24B3C97B" w14:textId="77777777" w:rsidR="00D8365A" w:rsidRPr="00362517" w:rsidRDefault="00D8365A" w:rsidP="00BF6BC7">
            <w:r w:rsidRPr="00362517">
              <w:t>Oklahoma</w:t>
            </w:r>
          </w:p>
        </w:tc>
        <w:tc>
          <w:tcPr>
            <w:tcW w:w="903" w:type="pct"/>
            <w:tcBorders>
              <w:top w:val="nil"/>
              <w:left w:val="nil"/>
              <w:bottom w:val="single" w:sz="4" w:space="0" w:color="auto"/>
              <w:right w:val="single" w:sz="4" w:space="0" w:color="auto"/>
            </w:tcBorders>
            <w:shd w:val="clear" w:color="auto" w:fill="auto"/>
            <w:noWrap/>
            <w:vAlign w:val="bottom"/>
            <w:hideMark/>
          </w:tcPr>
          <w:p w14:paraId="20452D9B" w14:textId="77777777" w:rsidR="00D8365A" w:rsidRPr="00362517" w:rsidRDefault="00D8365A" w:rsidP="00BF6BC7">
            <w:pPr>
              <w:jc w:val="right"/>
            </w:pPr>
            <w:r w:rsidRPr="00362517">
              <w:t>52,952</w:t>
            </w:r>
          </w:p>
        </w:tc>
        <w:tc>
          <w:tcPr>
            <w:tcW w:w="1037" w:type="pct"/>
            <w:tcBorders>
              <w:top w:val="nil"/>
              <w:left w:val="nil"/>
              <w:bottom w:val="single" w:sz="4" w:space="0" w:color="auto"/>
              <w:right w:val="single" w:sz="4" w:space="0" w:color="auto"/>
            </w:tcBorders>
            <w:shd w:val="clear" w:color="auto" w:fill="auto"/>
            <w:noWrap/>
            <w:vAlign w:val="bottom"/>
            <w:hideMark/>
          </w:tcPr>
          <w:p w14:paraId="18F35672" w14:textId="77777777" w:rsidR="00D8365A" w:rsidRPr="00362517" w:rsidRDefault="00D8365A" w:rsidP="00BF6BC7">
            <w:pPr>
              <w:jc w:val="right"/>
            </w:pPr>
            <w:r w:rsidRPr="00362517">
              <w:t>45,205</w:t>
            </w:r>
          </w:p>
        </w:tc>
        <w:tc>
          <w:tcPr>
            <w:tcW w:w="828" w:type="pct"/>
            <w:tcBorders>
              <w:top w:val="nil"/>
              <w:left w:val="nil"/>
              <w:bottom w:val="single" w:sz="4" w:space="0" w:color="auto"/>
              <w:right w:val="single" w:sz="4" w:space="0" w:color="auto"/>
            </w:tcBorders>
            <w:shd w:val="clear" w:color="auto" w:fill="auto"/>
            <w:noWrap/>
            <w:vAlign w:val="bottom"/>
            <w:hideMark/>
          </w:tcPr>
          <w:p w14:paraId="4A4823A9" w14:textId="77777777" w:rsidR="00D8365A" w:rsidRPr="00362517" w:rsidRDefault="00D8365A" w:rsidP="00BF6BC7">
            <w:pPr>
              <w:jc w:val="right"/>
            </w:pPr>
            <w:r w:rsidRPr="00362517">
              <w:t>7,747</w:t>
            </w:r>
          </w:p>
        </w:tc>
        <w:tc>
          <w:tcPr>
            <w:tcW w:w="981" w:type="pct"/>
            <w:tcBorders>
              <w:top w:val="nil"/>
              <w:left w:val="nil"/>
              <w:bottom w:val="single" w:sz="4" w:space="0" w:color="auto"/>
              <w:right w:val="single" w:sz="4" w:space="0" w:color="auto"/>
            </w:tcBorders>
            <w:shd w:val="clear" w:color="auto" w:fill="auto"/>
            <w:noWrap/>
            <w:vAlign w:val="bottom"/>
            <w:hideMark/>
          </w:tcPr>
          <w:p w14:paraId="4C8CF8D7" w14:textId="77777777" w:rsidR="00D8365A" w:rsidRPr="00362517" w:rsidRDefault="00D8365A" w:rsidP="00BF6BC7">
            <w:pPr>
              <w:jc w:val="right"/>
            </w:pPr>
            <w:r w:rsidRPr="00362517">
              <w:t>882</w:t>
            </w:r>
          </w:p>
        </w:tc>
      </w:tr>
      <w:tr w:rsidR="00D8365A" w:rsidRPr="00362517" w14:paraId="77C42C2E"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5F5BCBEA" w14:textId="77777777" w:rsidR="00D8365A" w:rsidRPr="00362517" w:rsidRDefault="00D8365A" w:rsidP="00BF6BC7">
            <w:r w:rsidRPr="00362517">
              <w:t>Oregon</w:t>
            </w:r>
          </w:p>
        </w:tc>
        <w:tc>
          <w:tcPr>
            <w:tcW w:w="903" w:type="pct"/>
            <w:tcBorders>
              <w:top w:val="nil"/>
              <w:left w:val="nil"/>
              <w:bottom w:val="single" w:sz="4" w:space="0" w:color="auto"/>
              <w:right w:val="single" w:sz="4" w:space="0" w:color="auto"/>
            </w:tcBorders>
            <w:shd w:val="clear" w:color="auto" w:fill="auto"/>
            <w:noWrap/>
            <w:vAlign w:val="bottom"/>
            <w:hideMark/>
          </w:tcPr>
          <w:p w14:paraId="5FAAB888" w14:textId="77777777" w:rsidR="00D8365A" w:rsidRPr="00362517" w:rsidRDefault="00D8365A" w:rsidP="00BF6BC7">
            <w:pPr>
              <w:jc w:val="right"/>
            </w:pPr>
            <w:r w:rsidRPr="00362517">
              <w:t>18,825</w:t>
            </w:r>
          </w:p>
        </w:tc>
        <w:tc>
          <w:tcPr>
            <w:tcW w:w="1037" w:type="pct"/>
            <w:tcBorders>
              <w:top w:val="nil"/>
              <w:left w:val="nil"/>
              <w:bottom w:val="single" w:sz="4" w:space="0" w:color="auto"/>
              <w:right w:val="single" w:sz="4" w:space="0" w:color="auto"/>
            </w:tcBorders>
            <w:shd w:val="clear" w:color="auto" w:fill="auto"/>
            <w:noWrap/>
            <w:vAlign w:val="bottom"/>
            <w:hideMark/>
          </w:tcPr>
          <w:p w14:paraId="33762228" w14:textId="77777777" w:rsidR="00D8365A" w:rsidRPr="00362517" w:rsidRDefault="00D8365A" w:rsidP="00BF6BC7">
            <w:pPr>
              <w:jc w:val="right"/>
            </w:pPr>
            <w:r w:rsidRPr="00362517">
              <w:t>17,583</w:t>
            </w:r>
          </w:p>
        </w:tc>
        <w:tc>
          <w:tcPr>
            <w:tcW w:w="828" w:type="pct"/>
            <w:tcBorders>
              <w:top w:val="nil"/>
              <w:left w:val="nil"/>
              <w:bottom w:val="single" w:sz="4" w:space="0" w:color="auto"/>
              <w:right w:val="single" w:sz="4" w:space="0" w:color="auto"/>
            </w:tcBorders>
            <w:shd w:val="clear" w:color="auto" w:fill="auto"/>
            <w:noWrap/>
            <w:vAlign w:val="bottom"/>
            <w:hideMark/>
          </w:tcPr>
          <w:p w14:paraId="56092FD2" w14:textId="77777777" w:rsidR="00D8365A" w:rsidRPr="00362517" w:rsidRDefault="00D8365A" w:rsidP="00BF6BC7">
            <w:pPr>
              <w:jc w:val="right"/>
            </w:pPr>
            <w:r w:rsidRPr="00362517">
              <w:t>1,242</w:t>
            </w:r>
          </w:p>
        </w:tc>
        <w:tc>
          <w:tcPr>
            <w:tcW w:w="981" w:type="pct"/>
            <w:tcBorders>
              <w:top w:val="nil"/>
              <w:left w:val="nil"/>
              <w:bottom w:val="single" w:sz="4" w:space="0" w:color="auto"/>
              <w:right w:val="single" w:sz="4" w:space="0" w:color="auto"/>
            </w:tcBorders>
            <w:shd w:val="clear" w:color="auto" w:fill="auto"/>
            <w:noWrap/>
            <w:vAlign w:val="bottom"/>
            <w:hideMark/>
          </w:tcPr>
          <w:p w14:paraId="397C7C95" w14:textId="77777777" w:rsidR="00D8365A" w:rsidRPr="00362517" w:rsidRDefault="00D8365A" w:rsidP="00BF6BC7">
            <w:pPr>
              <w:jc w:val="right"/>
            </w:pPr>
            <w:r w:rsidRPr="00362517">
              <w:t>141</w:t>
            </w:r>
          </w:p>
        </w:tc>
      </w:tr>
      <w:tr w:rsidR="00D8365A" w:rsidRPr="00362517" w14:paraId="2145DADD"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3BDFC890" w14:textId="77777777" w:rsidR="00D8365A" w:rsidRPr="00362517" w:rsidRDefault="00D8365A" w:rsidP="00BF6BC7">
            <w:r w:rsidRPr="00362517">
              <w:t>Pennsylvania</w:t>
            </w:r>
          </w:p>
        </w:tc>
        <w:tc>
          <w:tcPr>
            <w:tcW w:w="903" w:type="pct"/>
            <w:tcBorders>
              <w:top w:val="nil"/>
              <w:left w:val="nil"/>
              <w:bottom w:val="single" w:sz="4" w:space="0" w:color="auto"/>
              <w:right w:val="single" w:sz="4" w:space="0" w:color="auto"/>
            </w:tcBorders>
            <w:shd w:val="clear" w:color="auto" w:fill="auto"/>
            <w:noWrap/>
            <w:vAlign w:val="bottom"/>
            <w:hideMark/>
          </w:tcPr>
          <w:p w14:paraId="131E0CDD" w14:textId="77777777" w:rsidR="00D8365A" w:rsidRPr="00362517" w:rsidRDefault="00D8365A" w:rsidP="00BF6BC7">
            <w:pPr>
              <w:jc w:val="right"/>
            </w:pPr>
            <w:r w:rsidRPr="00362517">
              <w:t>46,712</w:t>
            </w:r>
          </w:p>
        </w:tc>
        <w:tc>
          <w:tcPr>
            <w:tcW w:w="1037" w:type="pct"/>
            <w:tcBorders>
              <w:top w:val="nil"/>
              <w:left w:val="nil"/>
              <w:bottom w:val="single" w:sz="4" w:space="0" w:color="auto"/>
              <w:right w:val="single" w:sz="4" w:space="0" w:color="auto"/>
            </w:tcBorders>
            <w:shd w:val="clear" w:color="auto" w:fill="auto"/>
            <w:noWrap/>
            <w:vAlign w:val="bottom"/>
            <w:hideMark/>
          </w:tcPr>
          <w:p w14:paraId="02E037E1" w14:textId="77777777" w:rsidR="00D8365A" w:rsidRPr="00362517" w:rsidRDefault="00D8365A" w:rsidP="00BF6BC7">
            <w:pPr>
              <w:jc w:val="right"/>
            </w:pPr>
            <w:r w:rsidRPr="00362517">
              <w:t>44,066</w:t>
            </w:r>
          </w:p>
        </w:tc>
        <w:tc>
          <w:tcPr>
            <w:tcW w:w="828" w:type="pct"/>
            <w:tcBorders>
              <w:top w:val="nil"/>
              <w:left w:val="nil"/>
              <w:bottom w:val="single" w:sz="4" w:space="0" w:color="auto"/>
              <w:right w:val="single" w:sz="4" w:space="0" w:color="auto"/>
            </w:tcBorders>
            <w:shd w:val="clear" w:color="auto" w:fill="auto"/>
            <w:noWrap/>
            <w:vAlign w:val="bottom"/>
            <w:hideMark/>
          </w:tcPr>
          <w:p w14:paraId="6ECC720D" w14:textId="77777777" w:rsidR="00D8365A" w:rsidRPr="00362517" w:rsidRDefault="00D8365A" w:rsidP="00BF6BC7">
            <w:pPr>
              <w:jc w:val="right"/>
            </w:pPr>
            <w:r w:rsidRPr="00362517">
              <w:t>2,647</w:t>
            </w:r>
          </w:p>
        </w:tc>
        <w:tc>
          <w:tcPr>
            <w:tcW w:w="981" w:type="pct"/>
            <w:tcBorders>
              <w:top w:val="nil"/>
              <w:left w:val="nil"/>
              <w:bottom w:val="single" w:sz="4" w:space="0" w:color="auto"/>
              <w:right w:val="single" w:sz="4" w:space="0" w:color="auto"/>
            </w:tcBorders>
            <w:shd w:val="clear" w:color="auto" w:fill="auto"/>
            <w:noWrap/>
            <w:vAlign w:val="bottom"/>
            <w:hideMark/>
          </w:tcPr>
          <w:p w14:paraId="34404939" w14:textId="77777777" w:rsidR="00D8365A" w:rsidRPr="00362517" w:rsidRDefault="00D8365A" w:rsidP="00BF6BC7">
            <w:pPr>
              <w:jc w:val="right"/>
            </w:pPr>
            <w:r w:rsidRPr="00362517">
              <w:t>301</w:t>
            </w:r>
          </w:p>
        </w:tc>
      </w:tr>
      <w:tr w:rsidR="00D8365A" w:rsidRPr="00362517" w14:paraId="634178CB"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0FEA0AE2" w14:textId="77777777" w:rsidR="00D8365A" w:rsidRPr="00362517" w:rsidRDefault="00D8365A" w:rsidP="00BF6BC7">
            <w:r w:rsidRPr="00362517">
              <w:t>Rhode Island</w:t>
            </w:r>
          </w:p>
        </w:tc>
        <w:tc>
          <w:tcPr>
            <w:tcW w:w="903" w:type="pct"/>
            <w:tcBorders>
              <w:top w:val="nil"/>
              <w:left w:val="nil"/>
              <w:bottom w:val="single" w:sz="4" w:space="0" w:color="auto"/>
              <w:right w:val="single" w:sz="4" w:space="0" w:color="auto"/>
            </w:tcBorders>
            <w:shd w:val="clear" w:color="auto" w:fill="auto"/>
            <w:noWrap/>
            <w:vAlign w:val="bottom"/>
            <w:hideMark/>
          </w:tcPr>
          <w:p w14:paraId="20B0353A" w14:textId="77777777" w:rsidR="00D8365A" w:rsidRPr="00362517" w:rsidRDefault="00D8365A" w:rsidP="00BF6BC7">
            <w:pPr>
              <w:jc w:val="right"/>
            </w:pPr>
            <w:r w:rsidRPr="00362517">
              <w:t>2,506</w:t>
            </w:r>
          </w:p>
        </w:tc>
        <w:tc>
          <w:tcPr>
            <w:tcW w:w="1037" w:type="pct"/>
            <w:tcBorders>
              <w:top w:val="nil"/>
              <w:left w:val="nil"/>
              <w:bottom w:val="single" w:sz="4" w:space="0" w:color="auto"/>
              <w:right w:val="single" w:sz="4" w:space="0" w:color="auto"/>
            </w:tcBorders>
            <w:shd w:val="clear" w:color="auto" w:fill="auto"/>
            <w:noWrap/>
            <w:vAlign w:val="bottom"/>
            <w:hideMark/>
          </w:tcPr>
          <w:p w14:paraId="22F6C398" w14:textId="77777777" w:rsidR="00D8365A" w:rsidRPr="00362517" w:rsidRDefault="00D8365A" w:rsidP="00BF6BC7">
            <w:pPr>
              <w:jc w:val="right"/>
            </w:pPr>
            <w:r w:rsidRPr="00362517">
              <w:t>1,687</w:t>
            </w:r>
          </w:p>
        </w:tc>
        <w:tc>
          <w:tcPr>
            <w:tcW w:w="828" w:type="pct"/>
            <w:tcBorders>
              <w:top w:val="nil"/>
              <w:left w:val="nil"/>
              <w:bottom w:val="single" w:sz="4" w:space="0" w:color="auto"/>
              <w:right w:val="single" w:sz="4" w:space="0" w:color="auto"/>
            </w:tcBorders>
            <w:shd w:val="clear" w:color="auto" w:fill="auto"/>
            <w:noWrap/>
            <w:vAlign w:val="bottom"/>
            <w:hideMark/>
          </w:tcPr>
          <w:p w14:paraId="6FBA69AB" w14:textId="77777777" w:rsidR="00D8365A" w:rsidRPr="00362517" w:rsidRDefault="00D8365A" w:rsidP="00BF6BC7">
            <w:pPr>
              <w:jc w:val="right"/>
            </w:pPr>
            <w:r w:rsidRPr="00362517">
              <w:t>819</w:t>
            </w:r>
          </w:p>
        </w:tc>
        <w:tc>
          <w:tcPr>
            <w:tcW w:w="981" w:type="pct"/>
            <w:tcBorders>
              <w:top w:val="nil"/>
              <w:left w:val="nil"/>
              <w:bottom w:val="single" w:sz="4" w:space="0" w:color="auto"/>
              <w:right w:val="single" w:sz="4" w:space="0" w:color="auto"/>
            </w:tcBorders>
            <w:shd w:val="clear" w:color="auto" w:fill="auto"/>
            <w:noWrap/>
            <w:vAlign w:val="bottom"/>
            <w:hideMark/>
          </w:tcPr>
          <w:p w14:paraId="5D74C1F3" w14:textId="77777777" w:rsidR="00D8365A" w:rsidRPr="00362517" w:rsidRDefault="00D8365A" w:rsidP="00BF6BC7">
            <w:pPr>
              <w:jc w:val="right"/>
            </w:pPr>
            <w:r w:rsidRPr="00362517">
              <w:t>93</w:t>
            </w:r>
          </w:p>
        </w:tc>
      </w:tr>
      <w:tr w:rsidR="00D8365A" w:rsidRPr="00362517" w14:paraId="465114FC"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61C3E4B4" w14:textId="77777777" w:rsidR="00D8365A" w:rsidRPr="00362517" w:rsidRDefault="00D8365A" w:rsidP="00BF6BC7">
            <w:r w:rsidRPr="00362517">
              <w:t>South Carolina</w:t>
            </w:r>
          </w:p>
        </w:tc>
        <w:tc>
          <w:tcPr>
            <w:tcW w:w="903" w:type="pct"/>
            <w:tcBorders>
              <w:top w:val="nil"/>
              <w:left w:val="nil"/>
              <w:bottom w:val="single" w:sz="4" w:space="0" w:color="auto"/>
              <w:right w:val="single" w:sz="4" w:space="0" w:color="auto"/>
            </w:tcBorders>
            <w:shd w:val="clear" w:color="auto" w:fill="auto"/>
            <w:noWrap/>
            <w:vAlign w:val="bottom"/>
            <w:hideMark/>
          </w:tcPr>
          <w:p w14:paraId="3329A8E1" w14:textId="77777777" w:rsidR="00D8365A" w:rsidRPr="00362517" w:rsidRDefault="00D8365A" w:rsidP="00BF6BC7">
            <w:pPr>
              <w:jc w:val="right"/>
            </w:pPr>
            <w:r w:rsidRPr="00362517">
              <w:t>11,387</w:t>
            </w:r>
          </w:p>
        </w:tc>
        <w:tc>
          <w:tcPr>
            <w:tcW w:w="1037" w:type="pct"/>
            <w:tcBorders>
              <w:top w:val="nil"/>
              <w:left w:val="nil"/>
              <w:bottom w:val="single" w:sz="4" w:space="0" w:color="auto"/>
              <w:right w:val="single" w:sz="4" w:space="0" w:color="auto"/>
            </w:tcBorders>
            <w:shd w:val="clear" w:color="auto" w:fill="auto"/>
            <w:noWrap/>
            <w:vAlign w:val="bottom"/>
            <w:hideMark/>
          </w:tcPr>
          <w:p w14:paraId="60409142" w14:textId="77777777" w:rsidR="00D8365A" w:rsidRPr="00362517" w:rsidRDefault="00D8365A" w:rsidP="00BF6BC7">
            <w:pPr>
              <w:jc w:val="right"/>
            </w:pPr>
            <w:r w:rsidRPr="00362517">
              <w:t>8,185</w:t>
            </w:r>
          </w:p>
        </w:tc>
        <w:tc>
          <w:tcPr>
            <w:tcW w:w="828" w:type="pct"/>
            <w:tcBorders>
              <w:top w:val="nil"/>
              <w:left w:val="nil"/>
              <w:bottom w:val="single" w:sz="4" w:space="0" w:color="auto"/>
              <w:right w:val="single" w:sz="4" w:space="0" w:color="auto"/>
            </w:tcBorders>
            <w:shd w:val="clear" w:color="auto" w:fill="auto"/>
            <w:noWrap/>
            <w:vAlign w:val="bottom"/>
            <w:hideMark/>
          </w:tcPr>
          <w:p w14:paraId="281182CB" w14:textId="77777777" w:rsidR="00D8365A" w:rsidRPr="00362517" w:rsidRDefault="00D8365A" w:rsidP="00BF6BC7">
            <w:pPr>
              <w:jc w:val="right"/>
            </w:pPr>
            <w:r w:rsidRPr="00362517">
              <w:t>3,133</w:t>
            </w:r>
          </w:p>
        </w:tc>
        <w:tc>
          <w:tcPr>
            <w:tcW w:w="981" w:type="pct"/>
            <w:tcBorders>
              <w:top w:val="nil"/>
              <w:left w:val="nil"/>
              <w:bottom w:val="single" w:sz="4" w:space="0" w:color="auto"/>
              <w:right w:val="single" w:sz="4" w:space="0" w:color="auto"/>
            </w:tcBorders>
            <w:shd w:val="clear" w:color="auto" w:fill="auto"/>
            <w:noWrap/>
            <w:vAlign w:val="bottom"/>
            <w:hideMark/>
          </w:tcPr>
          <w:p w14:paraId="42D37C37" w14:textId="77777777" w:rsidR="00D8365A" w:rsidRPr="00362517" w:rsidRDefault="00D8365A" w:rsidP="00BF6BC7">
            <w:pPr>
              <w:jc w:val="right"/>
            </w:pPr>
            <w:r w:rsidRPr="00362517">
              <w:t>357</w:t>
            </w:r>
          </w:p>
        </w:tc>
      </w:tr>
      <w:tr w:rsidR="00D8365A" w:rsidRPr="00362517" w14:paraId="15773CD3"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2F9EDA92" w14:textId="77777777" w:rsidR="00D8365A" w:rsidRPr="00362517" w:rsidRDefault="00D8365A" w:rsidP="00BF6BC7">
            <w:r w:rsidRPr="00362517">
              <w:t>South Dakota</w:t>
            </w:r>
          </w:p>
        </w:tc>
        <w:tc>
          <w:tcPr>
            <w:tcW w:w="903" w:type="pct"/>
            <w:tcBorders>
              <w:top w:val="nil"/>
              <w:left w:val="nil"/>
              <w:bottom w:val="single" w:sz="4" w:space="0" w:color="auto"/>
              <w:right w:val="single" w:sz="4" w:space="0" w:color="auto"/>
            </w:tcBorders>
            <w:shd w:val="clear" w:color="auto" w:fill="auto"/>
            <w:noWrap/>
            <w:vAlign w:val="bottom"/>
            <w:hideMark/>
          </w:tcPr>
          <w:p w14:paraId="7C33D067" w14:textId="77777777" w:rsidR="00D8365A" w:rsidRPr="00362517" w:rsidRDefault="00D8365A" w:rsidP="00BF6BC7">
            <w:pPr>
              <w:jc w:val="right"/>
            </w:pPr>
            <w:r w:rsidRPr="00362517">
              <w:t>13,208</w:t>
            </w:r>
          </w:p>
        </w:tc>
        <w:tc>
          <w:tcPr>
            <w:tcW w:w="1037" w:type="pct"/>
            <w:tcBorders>
              <w:top w:val="nil"/>
              <w:left w:val="nil"/>
              <w:bottom w:val="single" w:sz="4" w:space="0" w:color="auto"/>
              <w:right w:val="single" w:sz="4" w:space="0" w:color="auto"/>
            </w:tcBorders>
            <w:shd w:val="clear" w:color="auto" w:fill="auto"/>
            <w:noWrap/>
            <w:vAlign w:val="bottom"/>
            <w:hideMark/>
          </w:tcPr>
          <w:p w14:paraId="6ACEF68D" w14:textId="77777777" w:rsidR="00D8365A" w:rsidRPr="00362517" w:rsidRDefault="00D8365A" w:rsidP="00BF6BC7">
            <w:pPr>
              <w:jc w:val="right"/>
            </w:pPr>
            <w:r w:rsidRPr="00362517">
              <w:t>12,488</w:t>
            </w:r>
          </w:p>
        </w:tc>
        <w:tc>
          <w:tcPr>
            <w:tcW w:w="828" w:type="pct"/>
            <w:tcBorders>
              <w:top w:val="nil"/>
              <w:left w:val="nil"/>
              <w:bottom w:val="single" w:sz="4" w:space="0" w:color="auto"/>
              <w:right w:val="single" w:sz="4" w:space="0" w:color="auto"/>
            </w:tcBorders>
            <w:shd w:val="clear" w:color="auto" w:fill="auto"/>
            <w:noWrap/>
            <w:vAlign w:val="bottom"/>
            <w:hideMark/>
          </w:tcPr>
          <w:p w14:paraId="20D5783C" w14:textId="77777777" w:rsidR="00D8365A" w:rsidRPr="00362517" w:rsidRDefault="00D8365A" w:rsidP="00BF6BC7">
            <w:pPr>
              <w:jc w:val="right"/>
            </w:pPr>
            <w:r w:rsidRPr="00362517">
              <w:t>720</w:t>
            </w:r>
          </w:p>
        </w:tc>
        <w:tc>
          <w:tcPr>
            <w:tcW w:w="981" w:type="pct"/>
            <w:tcBorders>
              <w:top w:val="nil"/>
              <w:left w:val="nil"/>
              <w:bottom w:val="single" w:sz="4" w:space="0" w:color="auto"/>
              <w:right w:val="single" w:sz="4" w:space="0" w:color="auto"/>
            </w:tcBorders>
            <w:shd w:val="clear" w:color="auto" w:fill="auto"/>
            <w:noWrap/>
            <w:vAlign w:val="bottom"/>
            <w:hideMark/>
          </w:tcPr>
          <w:p w14:paraId="387256C3" w14:textId="77777777" w:rsidR="00D8365A" w:rsidRPr="00362517" w:rsidRDefault="00D8365A" w:rsidP="00BF6BC7">
            <w:pPr>
              <w:jc w:val="right"/>
            </w:pPr>
            <w:r w:rsidRPr="00362517">
              <w:t>82</w:t>
            </w:r>
          </w:p>
        </w:tc>
      </w:tr>
      <w:tr w:rsidR="00D8365A" w:rsidRPr="00362517" w14:paraId="5FF2604E"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1A653728" w14:textId="77777777" w:rsidR="00D8365A" w:rsidRPr="00362517" w:rsidRDefault="00D8365A" w:rsidP="00BF6BC7">
            <w:r w:rsidRPr="00362517">
              <w:t>Tennessee</w:t>
            </w:r>
          </w:p>
        </w:tc>
        <w:tc>
          <w:tcPr>
            <w:tcW w:w="903" w:type="pct"/>
            <w:tcBorders>
              <w:top w:val="nil"/>
              <w:left w:val="nil"/>
              <w:bottom w:val="single" w:sz="4" w:space="0" w:color="auto"/>
              <w:right w:val="single" w:sz="4" w:space="0" w:color="auto"/>
            </w:tcBorders>
            <w:shd w:val="clear" w:color="auto" w:fill="auto"/>
            <w:noWrap/>
            <w:vAlign w:val="bottom"/>
            <w:hideMark/>
          </w:tcPr>
          <w:p w14:paraId="3801BE77" w14:textId="77777777" w:rsidR="00D8365A" w:rsidRPr="00362517" w:rsidRDefault="00D8365A" w:rsidP="00BF6BC7">
            <w:pPr>
              <w:jc w:val="right"/>
            </w:pPr>
            <w:r w:rsidRPr="00362517">
              <w:t>53,236</w:t>
            </w:r>
          </w:p>
        </w:tc>
        <w:tc>
          <w:tcPr>
            <w:tcW w:w="1037" w:type="pct"/>
            <w:tcBorders>
              <w:top w:val="nil"/>
              <w:left w:val="nil"/>
              <w:bottom w:val="single" w:sz="4" w:space="0" w:color="auto"/>
              <w:right w:val="single" w:sz="4" w:space="0" w:color="auto"/>
            </w:tcBorders>
            <w:shd w:val="clear" w:color="auto" w:fill="auto"/>
            <w:noWrap/>
            <w:vAlign w:val="bottom"/>
            <w:hideMark/>
          </w:tcPr>
          <w:p w14:paraId="35F4B944" w14:textId="77777777" w:rsidR="00D8365A" w:rsidRPr="00362517" w:rsidRDefault="00D8365A" w:rsidP="00BF6BC7">
            <w:pPr>
              <w:jc w:val="right"/>
            </w:pPr>
            <w:r w:rsidRPr="00362517">
              <w:t>46,963</w:t>
            </w:r>
          </w:p>
        </w:tc>
        <w:tc>
          <w:tcPr>
            <w:tcW w:w="828" w:type="pct"/>
            <w:tcBorders>
              <w:top w:val="nil"/>
              <w:left w:val="nil"/>
              <w:bottom w:val="single" w:sz="4" w:space="0" w:color="auto"/>
              <w:right w:val="single" w:sz="4" w:space="0" w:color="auto"/>
            </w:tcBorders>
            <w:shd w:val="clear" w:color="auto" w:fill="auto"/>
            <w:noWrap/>
            <w:vAlign w:val="bottom"/>
            <w:hideMark/>
          </w:tcPr>
          <w:p w14:paraId="08743DF9" w14:textId="77777777" w:rsidR="00D8365A" w:rsidRPr="00362517" w:rsidRDefault="00D8365A" w:rsidP="00BF6BC7">
            <w:pPr>
              <w:jc w:val="right"/>
            </w:pPr>
            <w:r w:rsidRPr="00362517">
              <w:t>6,272</w:t>
            </w:r>
          </w:p>
        </w:tc>
        <w:tc>
          <w:tcPr>
            <w:tcW w:w="981" w:type="pct"/>
            <w:tcBorders>
              <w:top w:val="nil"/>
              <w:left w:val="nil"/>
              <w:bottom w:val="single" w:sz="4" w:space="0" w:color="auto"/>
              <w:right w:val="single" w:sz="4" w:space="0" w:color="auto"/>
            </w:tcBorders>
            <w:shd w:val="clear" w:color="auto" w:fill="auto"/>
            <w:noWrap/>
            <w:vAlign w:val="bottom"/>
            <w:hideMark/>
          </w:tcPr>
          <w:p w14:paraId="6E7A2BE2" w14:textId="77777777" w:rsidR="00D8365A" w:rsidRPr="00362517" w:rsidRDefault="00D8365A" w:rsidP="00BF6BC7">
            <w:pPr>
              <w:jc w:val="right"/>
            </w:pPr>
            <w:r w:rsidRPr="00362517">
              <w:t>714</w:t>
            </w:r>
          </w:p>
        </w:tc>
      </w:tr>
      <w:tr w:rsidR="00D8365A" w:rsidRPr="00362517" w14:paraId="49CA05A4"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70657D0E" w14:textId="77777777" w:rsidR="00D8365A" w:rsidRPr="00362517" w:rsidRDefault="00D8365A" w:rsidP="00BF6BC7">
            <w:r w:rsidRPr="00362517">
              <w:t>Texas</w:t>
            </w:r>
          </w:p>
        </w:tc>
        <w:tc>
          <w:tcPr>
            <w:tcW w:w="903" w:type="pct"/>
            <w:tcBorders>
              <w:top w:val="nil"/>
              <w:left w:val="nil"/>
              <w:bottom w:val="single" w:sz="4" w:space="0" w:color="auto"/>
              <w:right w:val="single" w:sz="4" w:space="0" w:color="auto"/>
            </w:tcBorders>
            <w:shd w:val="clear" w:color="auto" w:fill="auto"/>
            <w:noWrap/>
            <w:vAlign w:val="bottom"/>
            <w:hideMark/>
          </w:tcPr>
          <w:p w14:paraId="007B716F" w14:textId="77777777" w:rsidR="00D8365A" w:rsidRPr="00362517" w:rsidRDefault="00D8365A" w:rsidP="00BF6BC7">
            <w:pPr>
              <w:jc w:val="right"/>
            </w:pPr>
            <w:r w:rsidRPr="00362517">
              <w:t>78,539</w:t>
            </w:r>
          </w:p>
        </w:tc>
        <w:tc>
          <w:tcPr>
            <w:tcW w:w="1037" w:type="pct"/>
            <w:tcBorders>
              <w:top w:val="nil"/>
              <w:left w:val="nil"/>
              <w:bottom w:val="single" w:sz="4" w:space="0" w:color="auto"/>
              <w:right w:val="single" w:sz="4" w:space="0" w:color="auto"/>
            </w:tcBorders>
            <w:shd w:val="clear" w:color="auto" w:fill="auto"/>
            <w:noWrap/>
            <w:vAlign w:val="bottom"/>
            <w:hideMark/>
          </w:tcPr>
          <w:p w14:paraId="1ABB5FCE" w14:textId="77777777" w:rsidR="00D8365A" w:rsidRPr="00362517" w:rsidRDefault="00D8365A" w:rsidP="00BF6BC7">
            <w:pPr>
              <w:jc w:val="right"/>
            </w:pPr>
            <w:r w:rsidRPr="00362517">
              <w:t>74,812</w:t>
            </w:r>
          </w:p>
        </w:tc>
        <w:tc>
          <w:tcPr>
            <w:tcW w:w="828" w:type="pct"/>
            <w:tcBorders>
              <w:top w:val="nil"/>
              <w:left w:val="nil"/>
              <w:bottom w:val="single" w:sz="4" w:space="0" w:color="auto"/>
              <w:right w:val="single" w:sz="4" w:space="0" w:color="auto"/>
            </w:tcBorders>
            <w:shd w:val="clear" w:color="auto" w:fill="auto"/>
            <w:noWrap/>
            <w:vAlign w:val="bottom"/>
            <w:hideMark/>
          </w:tcPr>
          <w:p w14:paraId="21572952" w14:textId="77777777" w:rsidR="00D8365A" w:rsidRPr="00362517" w:rsidRDefault="00D8365A" w:rsidP="00BF6BC7">
            <w:pPr>
              <w:jc w:val="right"/>
            </w:pPr>
            <w:r w:rsidRPr="00362517">
              <w:t>3,727</w:t>
            </w:r>
          </w:p>
        </w:tc>
        <w:tc>
          <w:tcPr>
            <w:tcW w:w="981" w:type="pct"/>
            <w:tcBorders>
              <w:top w:val="nil"/>
              <w:left w:val="nil"/>
              <w:bottom w:val="single" w:sz="4" w:space="0" w:color="auto"/>
              <w:right w:val="single" w:sz="4" w:space="0" w:color="auto"/>
            </w:tcBorders>
            <w:shd w:val="clear" w:color="auto" w:fill="auto"/>
            <w:noWrap/>
            <w:vAlign w:val="bottom"/>
            <w:hideMark/>
          </w:tcPr>
          <w:p w14:paraId="27D8F8B5" w14:textId="77777777" w:rsidR="00D8365A" w:rsidRPr="00362517" w:rsidRDefault="00D8365A" w:rsidP="00BF6BC7">
            <w:pPr>
              <w:jc w:val="right"/>
            </w:pPr>
            <w:r w:rsidRPr="00362517">
              <w:t>424</w:t>
            </w:r>
          </w:p>
        </w:tc>
      </w:tr>
      <w:tr w:rsidR="00D8365A" w:rsidRPr="00362517" w14:paraId="26B4F324"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66474A84" w14:textId="77777777" w:rsidR="00D8365A" w:rsidRPr="00362517" w:rsidRDefault="00D8365A" w:rsidP="00BF6BC7">
            <w:r w:rsidRPr="00362517">
              <w:t>Utah</w:t>
            </w:r>
          </w:p>
        </w:tc>
        <w:tc>
          <w:tcPr>
            <w:tcW w:w="903" w:type="pct"/>
            <w:tcBorders>
              <w:top w:val="nil"/>
              <w:left w:val="nil"/>
              <w:bottom w:val="single" w:sz="4" w:space="0" w:color="auto"/>
              <w:right w:val="single" w:sz="4" w:space="0" w:color="auto"/>
            </w:tcBorders>
            <w:shd w:val="clear" w:color="auto" w:fill="auto"/>
            <w:noWrap/>
            <w:vAlign w:val="bottom"/>
            <w:hideMark/>
          </w:tcPr>
          <w:p w14:paraId="58029BB1" w14:textId="77777777" w:rsidR="00D8365A" w:rsidRPr="00362517" w:rsidRDefault="00D8365A" w:rsidP="00BF6BC7">
            <w:pPr>
              <w:jc w:val="right"/>
            </w:pPr>
            <w:r w:rsidRPr="00362517">
              <w:t>13,807</w:t>
            </w:r>
          </w:p>
        </w:tc>
        <w:tc>
          <w:tcPr>
            <w:tcW w:w="1037" w:type="pct"/>
            <w:tcBorders>
              <w:top w:val="nil"/>
              <w:left w:val="nil"/>
              <w:bottom w:val="single" w:sz="4" w:space="0" w:color="auto"/>
              <w:right w:val="single" w:sz="4" w:space="0" w:color="auto"/>
            </w:tcBorders>
            <w:shd w:val="clear" w:color="auto" w:fill="auto"/>
            <w:noWrap/>
            <w:vAlign w:val="bottom"/>
            <w:hideMark/>
          </w:tcPr>
          <w:p w14:paraId="771BCB29" w14:textId="77777777" w:rsidR="00D8365A" w:rsidRPr="00362517" w:rsidRDefault="00D8365A" w:rsidP="00BF6BC7">
            <w:pPr>
              <w:jc w:val="right"/>
            </w:pPr>
            <w:r w:rsidRPr="00362517">
              <w:t>12,317</w:t>
            </w:r>
          </w:p>
        </w:tc>
        <w:tc>
          <w:tcPr>
            <w:tcW w:w="828" w:type="pct"/>
            <w:tcBorders>
              <w:top w:val="nil"/>
              <w:left w:val="nil"/>
              <w:bottom w:val="single" w:sz="4" w:space="0" w:color="auto"/>
              <w:right w:val="single" w:sz="4" w:space="0" w:color="auto"/>
            </w:tcBorders>
            <w:shd w:val="clear" w:color="auto" w:fill="auto"/>
            <w:noWrap/>
            <w:vAlign w:val="bottom"/>
            <w:hideMark/>
          </w:tcPr>
          <w:p w14:paraId="004DD963" w14:textId="77777777" w:rsidR="00D8365A" w:rsidRPr="00362517" w:rsidRDefault="00D8365A" w:rsidP="00BF6BC7">
            <w:pPr>
              <w:jc w:val="right"/>
            </w:pPr>
            <w:r w:rsidRPr="00362517">
              <w:t>1,453</w:t>
            </w:r>
          </w:p>
        </w:tc>
        <w:tc>
          <w:tcPr>
            <w:tcW w:w="981" w:type="pct"/>
            <w:tcBorders>
              <w:top w:val="nil"/>
              <w:left w:val="nil"/>
              <w:bottom w:val="single" w:sz="4" w:space="0" w:color="auto"/>
              <w:right w:val="single" w:sz="4" w:space="0" w:color="auto"/>
            </w:tcBorders>
            <w:shd w:val="clear" w:color="auto" w:fill="auto"/>
            <w:noWrap/>
            <w:vAlign w:val="bottom"/>
            <w:hideMark/>
          </w:tcPr>
          <w:p w14:paraId="4599573F" w14:textId="77777777" w:rsidR="00D8365A" w:rsidRPr="00362517" w:rsidRDefault="00D8365A" w:rsidP="00BF6BC7">
            <w:pPr>
              <w:jc w:val="right"/>
            </w:pPr>
            <w:r w:rsidRPr="00362517">
              <w:t>165</w:t>
            </w:r>
          </w:p>
        </w:tc>
      </w:tr>
      <w:tr w:rsidR="00D8365A" w:rsidRPr="00362517" w14:paraId="4A446ADB"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06E0797C" w14:textId="77777777" w:rsidR="00D8365A" w:rsidRPr="00362517" w:rsidRDefault="00D8365A" w:rsidP="00BF6BC7">
            <w:r w:rsidRPr="00362517">
              <w:t>Vermont</w:t>
            </w:r>
          </w:p>
        </w:tc>
        <w:tc>
          <w:tcPr>
            <w:tcW w:w="903" w:type="pct"/>
            <w:tcBorders>
              <w:top w:val="nil"/>
              <w:left w:val="nil"/>
              <w:bottom w:val="single" w:sz="4" w:space="0" w:color="auto"/>
              <w:right w:val="single" w:sz="4" w:space="0" w:color="auto"/>
            </w:tcBorders>
            <w:shd w:val="clear" w:color="auto" w:fill="auto"/>
            <w:noWrap/>
            <w:vAlign w:val="bottom"/>
            <w:hideMark/>
          </w:tcPr>
          <w:p w14:paraId="6CA12F82" w14:textId="77777777" w:rsidR="00D8365A" w:rsidRPr="00362517" w:rsidRDefault="00D8365A" w:rsidP="00BF6BC7">
            <w:pPr>
              <w:jc w:val="right"/>
            </w:pPr>
            <w:r w:rsidRPr="00362517">
              <w:t>2,305</w:t>
            </w:r>
          </w:p>
        </w:tc>
        <w:tc>
          <w:tcPr>
            <w:tcW w:w="1037" w:type="pct"/>
            <w:tcBorders>
              <w:top w:val="nil"/>
              <w:left w:val="nil"/>
              <w:bottom w:val="single" w:sz="4" w:space="0" w:color="auto"/>
              <w:right w:val="single" w:sz="4" w:space="0" w:color="auto"/>
            </w:tcBorders>
            <w:shd w:val="clear" w:color="auto" w:fill="auto"/>
            <w:noWrap/>
            <w:vAlign w:val="bottom"/>
            <w:hideMark/>
          </w:tcPr>
          <w:p w14:paraId="7EA88788" w14:textId="77777777" w:rsidR="00D8365A" w:rsidRPr="00362517" w:rsidRDefault="00D8365A" w:rsidP="00BF6BC7">
            <w:pPr>
              <w:jc w:val="right"/>
            </w:pPr>
            <w:r w:rsidRPr="00362517">
              <w:t>1,828</w:t>
            </w:r>
          </w:p>
        </w:tc>
        <w:tc>
          <w:tcPr>
            <w:tcW w:w="828" w:type="pct"/>
            <w:tcBorders>
              <w:top w:val="nil"/>
              <w:left w:val="nil"/>
              <w:bottom w:val="single" w:sz="4" w:space="0" w:color="auto"/>
              <w:right w:val="single" w:sz="4" w:space="0" w:color="auto"/>
            </w:tcBorders>
            <w:shd w:val="clear" w:color="auto" w:fill="auto"/>
            <w:noWrap/>
            <w:vAlign w:val="bottom"/>
            <w:hideMark/>
          </w:tcPr>
          <w:p w14:paraId="22646F9C" w14:textId="77777777" w:rsidR="00D8365A" w:rsidRPr="00362517" w:rsidRDefault="00D8365A" w:rsidP="00BF6BC7">
            <w:pPr>
              <w:jc w:val="right"/>
            </w:pPr>
            <w:r w:rsidRPr="00362517">
              <w:t>477</w:t>
            </w:r>
          </w:p>
        </w:tc>
        <w:tc>
          <w:tcPr>
            <w:tcW w:w="981" w:type="pct"/>
            <w:tcBorders>
              <w:top w:val="nil"/>
              <w:left w:val="nil"/>
              <w:bottom w:val="single" w:sz="4" w:space="0" w:color="auto"/>
              <w:right w:val="single" w:sz="4" w:space="0" w:color="auto"/>
            </w:tcBorders>
            <w:shd w:val="clear" w:color="auto" w:fill="auto"/>
            <w:noWrap/>
            <w:vAlign w:val="bottom"/>
            <w:hideMark/>
          </w:tcPr>
          <w:p w14:paraId="021A6940" w14:textId="77777777" w:rsidR="00D8365A" w:rsidRPr="00362517" w:rsidRDefault="00D8365A" w:rsidP="00BF6BC7">
            <w:pPr>
              <w:jc w:val="right"/>
            </w:pPr>
            <w:r w:rsidRPr="00362517">
              <w:t>54</w:t>
            </w:r>
          </w:p>
        </w:tc>
      </w:tr>
      <w:tr w:rsidR="00D8365A" w:rsidRPr="00362517" w14:paraId="7D888DA6"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3DC42CA7" w14:textId="77777777" w:rsidR="00D8365A" w:rsidRPr="00362517" w:rsidRDefault="00D8365A" w:rsidP="00BF6BC7">
            <w:r w:rsidRPr="00362517">
              <w:t>Virginia</w:t>
            </w:r>
          </w:p>
        </w:tc>
        <w:tc>
          <w:tcPr>
            <w:tcW w:w="903" w:type="pct"/>
            <w:tcBorders>
              <w:top w:val="nil"/>
              <w:left w:val="nil"/>
              <w:bottom w:val="single" w:sz="4" w:space="0" w:color="auto"/>
              <w:right w:val="single" w:sz="4" w:space="0" w:color="auto"/>
            </w:tcBorders>
            <w:shd w:val="clear" w:color="auto" w:fill="auto"/>
            <w:noWrap/>
            <w:vAlign w:val="bottom"/>
            <w:hideMark/>
          </w:tcPr>
          <w:p w14:paraId="29F1CC06" w14:textId="77777777" w:rsidR="00D8365A" w:rsidRPr="00362517" w:rsidRDefault="00D8365A" w:rsidP="00BF6BC7">
            <w:pPr>
              <w:jc w:val="right"/>
            </w:pPr>
            <w:r w:rsidRPr="00362517">
              <w:t>17,375</w:t>
            </w:r>
          </w:p>
        </w:tc>
        <w:tc>
          <w:tcPr>
            <w:tcW w:w="1037" w:type="pct"/>
            <w:tcBorders>
              <w:top w:val="nil"/>
              <w:left w:val="nil"/>
              <w:bottom w:val="single" w:sz="4" w:space="0" w:color="auto"/>
              <w:right w:val="single" w:sz="4" w:space="0" w:color="auto"/>
            </w:tcBorders>
            <w:shd w:val="clear" w:color="auto" w:fill="auto"/>
            <w:noWrap/>
            <w:vAlign w:val="bottom"/>
            <w:hideMark/>
          </w:tcPr>
          <w:p w14:paraId="3C2CD55A" w14:textId="77777777" w:rsidR="00D8365A" w:rsidRPr="00362517" w:rsidRDefault="00D8365A" w:rsidP="00BF6BC7">
            <w:pPr>
              <w:jc w:val="right"/>
            </w:pPr>
            <w:r w:rsidRPr="00362517">
              <w:t>17,375</w:t>
            </w:r>
          </w:p>
        </w:tc>
        <w:tc>
          <w:tcPr>
            <w:tcW w:w="828" w:type="pct"/>
            <w:tcBorders>
              <w:top w:val="nil"/>
              <w:left w:val="nil"/>
              <w:bottom w:val="single" w:sz="4" w:space="0" w:color="auto"/>
              <w:right w:val="single" w:sz="4" w:space="0" w:color="auto"/>
            </w:tcBorders>
            <w:shd w:val="clear" w:color="auto" w:fill="auto"/>
            <w:noWrap/>
            <w:vAlign w:val="bottom"/>
            <w:hideMark/>
          </w:tcPr>
          <w:p w14:paraId="1F01A900" w14:textId="77777777" w:rsidR="00D8365A" w:rsidRPr="00362517" w:rsidRDefault="00D8365A" w:rsidP="00BF6BC7">
            <w:pPr>
              <w:jc w:val="right"/>
            </w:pPr>
            <w:r w:rsidRPr="00362517">
              <w:t>0</w:t>
            </w:r>
          </w:p>
        </w:tc>
        <w:tc>
          <w:tcPr>
            <w:tcW w:w="981" w:type="pct"/>
            <w:tcBorders>
              <w:top w:val="nil"/>
              <w:left w:val="nil"/>
              <w:bottom w:val="single" w:sz="4" w:space="0" w:color="auto"/>
              <w:right w:val="single" w:sz="4" w:space="0" w:color="auto"/>
            </w:tcBorders>
            <w:shd w:val="clear" w:color="auto" w:fill="auto"/>
            <w:noWrap/>
            <w:vAlign w:val="bottom"/>
            <w:hideMark/>
          </w:tcPr>
          <w:p w14:paraId="1DBD2D88" w14:textId="77777777" w:rsidR="00D8365A" w:rsidRPr="00362517" w:rsidRDefault="00D8365A" w:rsidP="00BF6BC7">
            <w:pPr>
              <w:jc w:val="right"/>
            </w:pPr>
            <w:r w:rsidRPr="00362517">
              <w:t>0</w:t>
            </w:r>
          </w:p>
        </w:tc>
      </w:tr>
      <w:tr w:rsidR="00D8365A" w:rsidRPr="00362517" w14:paraId="60C9637C"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7AAF11F0" w14:textId="77777777" w:rsidR="00D8365A" w:rsidRPr="00362517" w:rsidRDefault="00D8365A" w:rsidP="00BF6BC7">
            <w:r w:rsidRPr="00362517">
              <w:t>Washington</w:t>
            </w:r>
          </w:p>
        </w:tc>
        <w:tc>
          <w:tcPr>
            <w:tcW w:w="903" w:type="pct"/>
            <w:tcBorders>
              <w:top w:val="nil"/>
              <w:left w:val="nil"/>
              <w:bottom w:val="single" w:sz="4" w:space="0" w:color="auto"/>
              <w:right w:val="single" w:sz="4" w:space="0" w:color="auto"/>
            </w:tcBorders>
            <w:shd w:val="clear" w:color="auto" w:fill="auto"/>
            <w:noWrap/>
            <w:vAlign w:val="bottom"/>
            <w:hideMark/>
          </w:tcPr>
          <w:p w14:paraId="29500F1D" w14:textId="77777777" w:rsidR="00D8365A" w:rsidRPr="00362517" w:rsidRDefault="00D8365A" w:rsidP="00BF6BC7">
            <w:pPr>
              <w:jc w:val="right"/>
            </w:pPr>
            <w:r w:rsidRPr="00362517">
              <w:t>54,488</w:t>
            </w:r>
          </w:p>
        </w:tc>
        <w:tc>
          <w:tcPr>
            <w:tcW w:w="1037" w:type="pct"/>
            <w:tcBorders>
              <w:top w:val="nil"/>
              <w:left w:val="nil"/>
              <w:bottom w:val="single" w:sz="4" w:space="0" w:color="auto"/>
              <w:right w:val="single" w:sz="4" w:space="0" w:color="auto"/>
            </w:tcBorders>
            <w:shd w:val="clear" w:color="auto" w:fill="auto"/>
            <w:noWrap/>
            <w:vAlign w:val="bottom"/>
            <w:hideMark/>
          </w:tcPr>
          <w:p w14:paraId="7F6086CD" w14:textId="77777777" w:rsidR="00D8365A" w:rsidRPr="00362517" w:rsidRDefault="00D8365A" w:rsidP="00BF6BC7">
            <w:pPr>
              <w:jc w:val="right"/>
            </w:pPr>
            <w:r w:rsidRPr="00362517">
              <w:t>43,023</w:t>
            </w:r>
          </w:p>
        </w:tc>
        <w:tc>
          <w:tcPr>
            <w:tcW w:w="828" w:type="pct"/>
            <w:tcBorders>
              <w:top w:val="nil"/>
              <w:left w:val="nil"/>
              <w:bottom w:val="single" w:sz="4" w:space="0" w:color="auto"/>
              <w:right w:val="single" w:sz="4" w:space="0" w:color="auto"/>
            </w:tcBorders>
            <w:shd w:val="clear" w:color="auto" w:fill="auto"/>
            <w:noWrap/>
            <w:vAlign w:val="bottom"/>
            <w:hideMark/>
          </w:tcPr>
          <w:p w14:paraId="35205A50" w14:textId="77777777" w:rsidR="00D8365A" w:rsidRPr="00362517" w:rsidRDefault="00D8365A" w:rsidP="00BF6BC7">
            <w:pPr>
              <w:jc w:val="right"/>
            </w:pPr>
            <w:r w:rsidRPr="00362517">
              <w:t>11,465</w:t>
            </w:r>
          </w:p>
        </w:tc>
        <w:tc>
          <w:tcPr>
            <w:tcW w:w="981" w:type="pct"/>
            <w:tcBorders>
              <w:top w:val="nil"/>
              <w:left w:val="nil"/>
              <w:bottom w:val="single" w:sz="4" w:space="0" w:color="auto"/>
              <w:right w:val="single" w:sz="4" w:space="0" w:color="auto"/>
            </w:tcBorders>
            <w:shd w:val="clear" w:color="auto" w:fill="auto"/>
            <w:noWrap/>
            <w:vAlign w:val="bottom"/>
            <w:hideMark/>
          </w:tcPr>
          <w:p w14:paraId="35358202" w14:textId="77777777" w:rsidR="00D8365A" w:rsidRPr="00362517" w:rsidRDefault="00D8365A" w:rsidP="00BF6BC7">
            <w:pPr>
              <w:jc w:val="right"/>
            </w:pPr>
            <w:r w:rsidRPr="00362517">
              <w:t>1,305</w:t>
            </w:r>
          </w:p>
        </w:tc>
      </w:tr>
      <w:tr w:rsidR="00D8365A" w:rsidRPr="00362517" w14:paraId="35774C2C"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28FA874E" w14:textId="77777777" w:rsidR="00D8365A" w:rsidRPr="00362517" w:rsidRDefault="00D8365A" w:rsidP="00BF6BC7">
            <w:r w:rsidRPr="00362517">
              <w:t>West Virginia</w:t>
            </w:r>
          </w:p>
        </w:tc>
        <w:tc>
          <w:tcPr>
            <w:tcW w:w="903" w:type="pct"/>
            <w:tcBorders>
              <w:top w:val="nil"/>
              <w:left w:val="nil"/>
              <w:bottom w:val="single" w:sz="4" w:space="0" w:color="auto"/>
              <w:right w:val="single" w:sz="4" w:space="0" w:color="auto"/>
            </w:tcBorders>
            <w:shd w:val="clear" w:color="auto" w:fill="auto"/>
            <w:noWrap/>
            <w:vAlign w:val="bottom"/>
            <w:hideMark/>
          </w:tcPr>
          <w:p w14:paraId="2E258D75" w14:textId="77777777" w:rsidR="00D8365A" w:rsidRPr="00362517" w:rsidRDefault="00D8365A" w:rsidP="00BF6BC7">
            <w:pPr>
              <w:jc w:val="right"/>
            </w:pPr>
            <w:r w:rsidRPr="00362517">
              <w:t>4,252</w:t>
            </w:r>
          </w:p>
        </w:tc>
        <w:tc>
          <w:tcPr>
            <w:tcW w:w="1037" w:type="pct"/>
            <w:tcBorders>
              <w:top w:val="nil"/>
              <w:left w:val="nil"/>
              <w:bottom w:val="single" w:sz="4" w:space="0" w:color="auto"/>
              <w:right w:val="single" w:sz="4" w:space="0" w:color="auto"/>
            </w:tcBorders>
            <w:shd w:val="clear" w:color="auto" w:fill="auto"/>
            <w:noWrap/>
            <w:vAlign w:val="bottom"/>
            <w:hideMark/>
          </w:tcPr>
          <w:p w14:paraId="71B09E56" w14:textId="77777777" w:rsidR="00D8365A" w:rsidRPr="00362517" w:rsidRDefault="00D8365A" w:rsidP="00BF6BC7">
            <w:pPr>
              <w:jc w:val="right"/>
            </w:pPr>
            <w:r w:rsidRPr="00362517">
              <w:t>4,083</w:t>
            </w:r>
          </w:p>
        </w:tc>
        <w:tc>
          <w:tcPr>
            <w:tcW w:w="828" w:type="pct"/>
            <w:tcBorders>
              <w:top w:val="nil"/>
              <w:left w:val="nil"/>
              <w:bottom w:val="single" w:sz="4" w:space="0" w:color="auto"/>
              <w:right w:val="single" w:sz="4" w:space="0" w:color="auto"/>
            </w:tcBorders>
            <w:shd w:val="clear" w:color="auto" w:fill="auto"/>
            <w:noWrap/>
            <w:vAlign w:val="bottom"/>
            <w:hideMark/>
          </w:tcPr>
          <w:p w14:paraId="1FB74B78" w14:textId="77777777" w:rsidR="00D8365A" w:rsidRPr="00362517" w:rsidRDefault="00D8365A" w:rsidP="00BF6BC7">
            <w:pPr>
              <w:jc w:val="right"/>
            </w:pPr>
            <w:r w:rsidRPr="00362517">
              <w:t>169</w:t>
            </w:r>
          </w:p>
        </w:tc>
        <w:tc>
          <w:tcPr>
            <w:tcW w:w="981" w:type="pct"/>
            <w:tcBorders>
              <w:top w:val="nil"/>
              <w:left w:val="nil"/>
              <w:bottom w:val="single" w:sz="4" w:space="0" w:color="auto"/>
              <w:right w:val="single" w:sz="4" w:space="0" w:color="auto"/>
            </w:tcBorders>
            <w:shd w:val="clear" w:color="auto" w:fill="auto"/>
            <w:noWrap/>
            <w:vAlign w:val="bottom"/>
            <w:hideMark/>
          </w:tcPr>
          <w:p w14:paraId="55D708BE" w14:textId="77777777" w:rsidR="00D8365A" w:rsidRPr="00362517" w:rsidRDefault="00D8365A" w:rsidP="00BF6BC7">
            <w:pPr>
              <w:jc w:val="right"/>
            </w:pPr>
            <w:r w:rsidRPr="00362517">
              <w:t>19</w:t>
            </w:r>
          </w:p>
        </w:tc>
      </w:tr>
      <w:tr w:rsidR="00D8365A" w:rsidRPr="00362517" w14:paraId="04D5BB83"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3CB20415" w14:textId="77777777" w:rsidR="00D8365A" w:rsidRPr="00362517" w:rsidRDefault="00D8365A" w:rsidP="00BF6BC7">
            <w:r w:rsidRPr="00362517">
              <w:t>Wisconsin</w:t>
            </w:r>
          </w:p>
        </w:tc>
        <w:tc>
          <w:tcPr>
            <w:tcW w:w="903" w:type="pct"/>
            <w:tcBorders>
              <w:top w:val="nil"/>
              <w:left w:val="nil"/>
              <w:bottom w:val="single" w:sz="4" w:space="0" w:color="auto"/>
              <w:right w:val="single" w:sz="4" w:space="0" w:color="auto"/>
            </w:tcBorders>
            <w:shd w:val="clear" w:color="auto" w:fill="auto"/>
            <w:noWrap/>
            <w:vAlign w:val="bottom"/>
            <w:hideMark/>
          </w:tcPr>
          <w:p w14:paraId="14537A24" w14:textId="77777777" w:rsidR="00D8365A" w:rsidRPr="00362517" w:rsidRDefault="00D8365A" w:rsidP="00BF6BC7">
            <w:pPr>
              <w:jc w:val="right"/>
            </w:pPr>
            <w:r w:rsidRPr="00362517">
              <w:t>31,510</w:t>
            </w:r>
          </w:p>
        </w:tc>
        <w:tc>
          <w:tcPr>
            <w:tcW w:w="1037" w:type="pct"/>
            <w:tcBorders>
              <w:top w:val="nil"/>
              <w:left w:val="nil"/>
              <w:bottom w:val="single" w:sz="4" w:space="0" w:color="auto"/>
              <w:right w:val="single" w:sz="4" w:space="0" w:color="auto"/>
            </w:tcBorders>
            <w:shd w:val="clear" w:color="auto" w:fill="auto"/>
            <w:noWrap/>
            <w:vAlign w:val="bottom"/>
            <w:hideMark/>
          </w:tcPr>
          <w:p w14:paraId="618168C1" w14:textId="77777777" w:rsidR="00D8365A" w:rsidRPr="00362517" w:rsidRDefault="00D8365A" w:rsidP="00BF6BC7">
            <w:pPr>
              <w:jc w:val="right"/>
            </w:pPr>
            <w:r w:rsidRPr="00362517">
              <w:t>22,362</w:t>
            </w:r>
          </w:p>
        </w:tc>
        <w:tc>
          <w:tcPr>
            <w:tcW w:w="828" w:type="pct"/>
            <w:tcBorders>
              <w:top w:val="nil"/>
              <w:left w:val="nil"/>
              <w:bottom w:val="single" w:sz="4" w:space="0" w:color="auto"/>
              <w:right w:val="single" w:sz="4" w:space="0" w:color="auto"/>
            </w:tcBorders>
            <w:shd w:val="clear" w:color="auto" w:fill="auto"/>
            <w:noWrap/>
            <w:vAlign w:val="bottom"/>
            <w:hideMark/>
          </w:tcPr>
          <w:p w14:paraId="3C9C9E5D" w14:textId="77777777" w:rsidR="00D8365A" w:rsidRPr="00362517" w:rsidRDefault="00D8365A" w:rsidP="00BF6BC7">
            <w:pPr>
              <w:jc w:val="right"/>
            </w:pPr>
            <w:r w:rsidRPr="00362517">
              <w:t>9,148</w:t>
            </w:r>
          </w:p>
        </w:tc>
        <w:tc>
          <w:tcPr>
            <w:tcW w:w="981" w:type="pct"/>
            <w:tcBorders>
              <w:top w:val="nil"/>
              <w:left w:val="nil"/>
              <w:bottom w:val="single" w:sz="4" w:space="0" w:color="auto"/>
              <w:right w:val="single" w:sz="4" w:space="0" w:color="auto"/>
            </w:tcBorders>
            <w:shd w:val="clear" w:color="auto" w:fill="auto"/>
            <w:noWrap/>
            <w:vAlign w:val="bottom"/>
            <w:hideMark/>
          </w:tcPr>
          <w:p w14:paraId="5F741EFD" w14:textId="77777777" w:rsidR="00D8365A" w:rsidRPr="00362517" w:rsidRDefault="00D8365A" w:rsidP="00BF6BC7">
            <w:pPr>
              <w:jc w:val="right"/>
            </w:pPr>
            <w:r w:rsidRPr="00362517">
              <w:t>1,041</w:t>
            </w:r>
          </w:p>
        </w:tc>
      </w:tr>
      <w:tr w:rsidR="00D8365A" w:rsidRPr="00362517" w14:paraId="6192809A"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16873DC6" w14:textId="77777777" w:rsidR="00D8365A" w:rsidRPr="00362517" w:rsidRDefault="00D8365A" w:rsidP="00BF6BC7">
            <w:r w:rsidRPr="00362517">
              <w:t>Wyoming</w:t>
            </w:r>
          </w:p>
        </w:tc>
        <w:tc>
          <w:tcPr>
            <w:tcW w:w="903" w:type="pct"/>
            <w:tcBorders>
              <w:top w:val="nil"/>
              <w:left w:val="nil"/>
              <w:bottom w:val="single" w:sz="4" w:space="0" w:color="auto"/>
              <w:right w:val="single" w:sz="4" w:space="0" w:color="auto"/>
            </w:tcBorders>
            <w:shd w:val="clear" w:color="auto" w:fill="auto"/>
            <w:noWrap/>
            <w:vAlign w:val="bottom"/>
            <w:hideMark/>
          </w:tcPr>
          <w:p w14:paraId="5D599CB6" w14:textId="77777777" w:rsidR="00D8365A" w:rsidRPr="00362517" w:rsidRDefault="00D8365A" w:rsidP="00BF6BC7">
            <w:pPr>
              <w:jc w:val="right"/>
            </w:pPr>
            <w:r w:rsidRPr="00362517">
              <w:t>6,752</w:t>
            </w:r>
          </w:p>
        </w:tc>
        <w:tc>
          <w:tcPr>
            <w:tcW w:w="1037" w:type="pct"/>
            <w:tcBorders>
              <w:top w:val="nil"/>
              <w:left w:val="nil"/>
              <w:bottom w:val="single" w:sz="4" w:space="0" w:color="auto"/>
              <w:right w:val="single" w:sz="4" w:space="0" w:color="auto"/>
            </w:tcBorders>
            <w:shd w:val="clear" w:color="auto" w:fill="auto"/>
            <w:noWrap/>
            <w:vAlign w:val="bottom"/>
            <w:hideMark/>
          </w:tcPr>
          <w:p w14:paraId="51DDCC68" w14:textId="77777777" w:rsidR="00D8365A" w:rsidRPr="00362517" w:rsidRDefault="00D8365A" w:rsidP="00BF6BC7">
            <w:pPr>
              <w:jc w:val="right"/>
            </w:pPr>
            <w:r w:rsidRPr="00362517">
              <w:t>5,567</w:t>
            </w:r>
          </w:p>
        </w:tc>
        <w:tc>
          <w:tcPr>
            <w:tcW w:w="828" w:type="pct"/>
            <w:tcBorders>
              <w:top w:val="nil"/>
              <w:left w:val="nil"/>
              <w:bottom w:val="single" w:sz="4" w:space="0" w:color="auto"/>
              <w:right w:val="single" w:sz="4" w:space="0" w:color="auto"/>
            </w:tcBorders>
            <w:shd w:val="clear" w:color="auto" w:fill="auto"/>
            <w:noWrap/>
            <w:vAlign w:val="bottom"/>
            <w:hideMark/>
          </w:tcPr>
          <w:p w14:paraId="44F786E6" w14:textId="77777777" w:rsidR="00D8365A" w:rsidRPr="00362517" w:rsidRDefault="00D8365A" w:rsidP="00BF6BC7">
            <w:pPr>
              <w:jc w:val="right"/>
            </w:pPr>
            <w:r w:rsidRPr="00362517">
              <w:t>1,152</w:t>
            </w:r>
          </w:p>
        </w:tc>
        <w:tc>
          <w:tcPr>
            <w:tcW w:w="981" w:type="pct"/>
            <w:tcBorders>
              <w:top w:val="nil"/>
              <w:left w:val="nil"/>
              <w:bottom w:val="single" w:sz="4" w:space="0" w:color="auto"/>
              <w:right w:val="single" w:sz="4" w:space="0" w:color="auto"/>
            </w:tcBorders>
            <w:shd w:val="clear" w:color="auto" w:fill="auto"/>
            <w:noWrap/>
            <w:vAlign w:val="bottom"/>
            <w:hideMark/>
          </w:tcPr>
          <w:p w14:paraId="66FF0C94" w14:textId="77777777" w:rsidR="00D8365A" w:rsidRPr="00362517" w:rsidRDefault="00D8365A" w:rsidP="00BF6BC7">
            <w:pPr>
              <w:jc w:val="right"/>
            </w:pPr>
            <w:r w:rsidRPr="00362517">
              <w:t>131</w:t>
            </w:r>
          </w:p>
        </w:tc>
      </w:tr>
      <w:tr w:rsidR="00D8365A" w:rsidRPr="00362517" w14:paraId="77F7EDF8"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4C5C70EE" w14:textId="77777777" w:rsidR="00D8365A" w:rsidRPr="00362517" w:rsidRDefault="00D8365A" w:rsidP="00BF6BC7">
            <w:r w:rsidRPr="00362517">
              <w:t>Puerto Rico</w:t>
            </w:r>
          </w:p>
        </w:tc>
        <w:tc>
          <w:tcPr>
            <w:tcW w:w="903" w:type="pct"/>
            <w:tcBorders>
              <w:top w:val="nil"/>
              <w:left w:val="nil"/>
              <w:bottom w:val="single" w:sz="4" w:space="0" w:color="auto"/>
              <w:right w:val="single" w:sz="4" w:space="0" w:color="auto"/>
            </w:tcBorders>
            <w:shd w:val="clear" w:color="auto" w:fill="auto"/>
            <w:noWrap/>
            <w:vAlign w:val="bottom"/>
            <w:hideMark/>
          </w:tcPr>
          <w:p w14:paraId="11654443" w14:textId="77777777" w:rsidR="00D8365A" w:rsidRPr="00362517" w:rsidRDefault="00D8365A" w:rsidP="00BF6BC7">
            <w:pPr>
              <w:jc w:val="right"/>
            </w:pPr>
            <w:r w:rsidRPr="00362517">
              <w:t>16,157</w:t>
            </w:r>
          </w:p>
        </w:tc>
        <w:tc>
          <w:tcPr>
            <w:tcW w:w="1037" w:type="pct"/>
            <w:tcBorders>
              <w:top w:val="nil"/>
              <w:left w:val="nil"/>
              <w:bottom w:val="single" w:sz="4" w:space="0" w:color="auto"/>
              <w:right w:val="single" w:sz="4" w:space="0" w:color="auto"/>
            </w:tcBorders>
            <w:shd w:val="clear" w:color="auto" w:fill="auto"/>
            <w:noWrap/>
            <w:vAlign w:val="bottom"/>
            <w:hideMark/>
          </w:tcPr>
          <w:p w14:paraId="74F88418" w14:textId="77777777" w:rsidR="00D8365A" w:rsidRPr="00362517" w:rsidRDefault="00D8365A" w:rsidP="00BF6BC7">
            <w:pPr>
              <w:jc w:val="right"/>
            </w:pPr>
            <w:r w:rsidRPr="00362517">
              <w:t>10,765</w:t>
            </w:r>
          </w:p>
        </w:tc>
        <w:tc>
          <w:tcPr>
            <w:tcW w:w="828" w:type="pct"/>
            <w:tcBorders>
              <w:top w:val="nil"/>
              <w:left w:val="nil"/>
              <w:bottom w:val="single" w:sz="4" w:space="0" w:color="auto"/>
              <w:right w:val="single" w:sz="4" w:space="0" w:color="auto"/>
            </w:tcBorders>
            <w:shd w:val="clear" w:color="auto" w:fill="auto"/>
            <w:noWrap/>
            <w:vAlign w:val="bottom"/>
            <w:hideMark/>
          </w:tcPr>
          <w:p w14:paraId="7CF0910A" w14:textId="77777777" w:rsidR="00D8365A" w:rsidRPr="00362517" w:rsidRDefault="00D8365A" w:rsidP="00BF6BC7">
            <w:pPr>
              <w:jc w:val="right"/>
            </w:pPr>
            <w:r w:rsidRPr="00362517">
              <w:t>5,392</w:t>
            </w:r>
          </w:p>
        </w:tc>
        <w:tc>
          <w:tcPr>
            <w:tcW w:w="981" w:type="pct"/>
            <w:tcBorders>
              <w:top w:val="nil"/>
              <w:left w:val="nil"/>
              <w:bottom w:val="single" w:sz="4" w:space="0" w:color="auto"/>
              <w:right w:val="single" w:sz="4" w:space="0" w:color="auto"/>
            </w:tcBorders>
            <w:shd w:val="clear" w:color="auto" w:fill="auto"/>
            <w:noWrap/>
            <w:vAlign w:val="bottom"/>
            <w:hideMark/>
          </w:tcPr>
          <w:p w14:paraId="33F92472" w14:textId="77777777" w:rsidR="00D8365A" w:rsidRPr="00362517" w:rsidRDefault="00D8365A" w:rsidP="00BF6BC7">
            <w:pPr>
              <w:jc w:val="right"/>
            </w:pPr>
            <w:r w:rsidRPr="00362517">
              <w:t>614</w:t>
            </w:r>
          </w:p>
        </w:tc>
      </w:tr>
      <w:tr w:rsidR="00D8365A" w:rsidRPr="00362517" w14:paraId="56447DA3" w14:textId="77777777" w:rsidTr="007A2164">
        <w:trPr>
          <w:trHeight w:val="312"/>
        </w:trPr>
        <w:tc>
          <w:tcPr>
            <w:tcW w:w="1251" w:type="pct"/>
            <w:tcBorders>
              <w:top w:val="nil"/>
              <w:left w:val="single" w:sz="8" w:space="0" w:color="auto"/>
              <w:bottom w:val="single" w:sz="4" w:space="0" w:color="auto"/>
              <w:right w:val="single" w:sz="4" w:space="0" w:color="auto"/>
            </w:tcBorders>
            <w:shd w:val="clear" w:color="auto" w:fill="auto"/>
            <w:noWrap/>
            <w:vAlign w:val="bottom"/>
            <w:hideMark/>
          </w:tcPr>
          <w:p w14:paraId="7D714B03" w14:textId="77777777" w:rsidR="00D8365A" w:rsidRPr="00362517" w:rsidRDefault="00D8365A" w:rsidP="00BF6BC7">
            <w:r w:rsidRPr="00362517">
              <w:t>Other Jurisdictions</w:t>
            </w:r>
          </w:p>
        </w:tc>
        <w:tc>
          <w:tcPr>
            <w:tcW w:w="903" w:type="pct"/>
            <w:tcBorders>
              <w:top w:val="nil"/>
              <w:left w:val="nil"/>
              <w:bottom w:val="single" w:sz="4" w:space="0" w:color="auto"/>
              <w:right w:val="single" w:sz="4" w:space="0" w:color="auto"/>
            </w:tcBorders>
            <w:shd w:val="clear" w:color="auto" w:fill="auto"/>
            <w:noWrap/>
            <w:vAlign w:val="bottom"/>
            <w:hideMark/>
          </w:tcPr>
          <w:p w14:paraId="7E579F1B" w14:textId="77777777" w:rsidR="00D8365A" w:rsidRPr="00362517" w:rsidRDefault="00D8365A" w:rsidP="00BF6BC7">
            <w:pPr>
              <w:jc w:val="right"/>
            </w:pPr>
            <w:r w:rsidRPr="00362517">
              <w:t>6,649</w:t>
            </w:r>
          </w:p>
        </w:tc>
        <w:tc>
          <w:tcPr>
            <w:tcW w:w="1037" w:type="pct"/>
            <w:tcBorders>
              <w:top w:val="nil"/>
              <w:left w:val="nil"/>
              <w:bottom w:val="single" w:sz="4" w:space="0" w:color="auto"/>
              <w:right w:val="single" w:sz="4" w:space="0" w:color="auto"/>
            </w:tcBorders>
            <w:shd w:val="clear" w:color="auto" w:fill="auto"/>
            <w:noWrap/>
            <w:vAlign w:val="bottom"/>
            <w:hideMark/>
          </w:tcPr>
          <w:p w14:paraId="027FDA1B" w14:textId="77777777" w:rsidR="00D8365A" w:rsidRPr="00362517" w:rsidRDefault="00D8365A" w:rsidP="00BF6BC7">
            <w:pPr>
              <w:jc w:val="right"/>
            </w:pPr>
            <w:r w:rsidRPr="00362517">
              <w:t>5,091</w:t>
            </w:r>
          </w:p>
        </w:tc>
        <w:tc>
          <w:tcPr>
            <w:tcW w:w="828" w:type="pct"/>
            <w:tcBorders>
              <w:top w:val="nil"/>
              <w:left w:val="nil"/>
              <w:bottom w:val="single" w:sz="4" w:space="0" w:color="auto"/>
              <w:right w:val="single" w:sz="4" w:space="0" w:color="auto"/>
            </w:tcBorders>
            <w:shd w:val="clear" w:color="auto" w:fill="auto"/>
            <w:noWrap/>
            <w:vAlign w:val="bottom"/>
            <w:hideMark/>
          </w:tcPr>
          <w:p w14:paraId="7DDEE4B1" w14:textId="77777777" w:rsidR="00D8365A" w:rsidRPr="00362517" w:rsidRDefault="00D8365A" w:rsidP="00BF6BC7">
            <w:pPr>
              <w:jc w:val="right"/>
            </w:pPr>
            <w:r w:rsidRPr="00362517">
              <w:t>1,558</w:t>
            </w:r>
          </w:p>
        </w:tc>
        <w:tc>
          <w:tcPr>
            <w:tcW w:w="981" w:type="pct"/>
            <w:tcBorders>
              <w:top w:val="nil"/>
              <w:left w:val="nil"/>
              <w:bottom w:val="single" w:sz="4" w:space="0" w:color="auto"/>
              <w:right w:val="single" w:sz="4" w:space="0" w:color="auto"/>
            </w:tcBorders>
            <w:shd w:val="clear" w:color="auto" w:fill="auto"/>
            <w:noWrap/>
            <w:vAlign w:val="bottom"/>
            <w:hideMark/>
          </w:tcPr>
          <w:p w14:paraId="6AF864EB" w14:textId="77777777" w:rsidR="00D8365A" w:rsidRPr="00362517" w:rsidRDefault="00D8365A" w:rsidP="00BF6BC7">
            <w:pPr>
              <w:jc w:val="right"/>
            </w:pPr>
            <w:r w:rsidRPr="00362517">
              <w:t>177</w:t>
            </w:r>
          </w:p>
        </w:tc>
      </w:tr>
      <w:tr w:rsidR="00D8365A" w:rsidRPr="00362517" w14:paraId="4C9DBFC7" w14:textId="77777777" w:rsidTr="007A2164">
        <w:trPr>
          <w:trHeight w:val="324"/>
        </w:trPr>
        <w:tc>
          <w:tcPr>
            <w:tcW w:w="1251" w:type="pct"/>
            <w:tcBorders>
              <w:top w:val="nil"/>
              <w:left w:val="single" w:sz="8" w:space="0" w:color="auto"/>
              <w:bottom w:val="single" w:sz="8" w:space="0" w:color="auto"/>
              <w:right w:val="single" w:sz="4" w:space="0" w:color="auto"/>
            </w:tcBorders>
            <w:shd w:val="clear" w:color="auto" w:fill="auto"/>
            <w:noWrap/>
            <w:vAlign w:val="bottom"/>
            <w:hideMark/>
          </w:tcPr>
          <w:p w14:paraId="1C94B035" w14:textId="77777777" w:rsidR="00D8365A" w:rsidRPr="00362517" w:rsidRDefault="00D8365A" w:rsidP="00BF6BC7">
            <w:pPr>
              <w:rPr>
                <w:b/>
                <w:bCs/>
              </w:rPr>
            </w:pPr>
            <w:r w:rsidRPr="00362517">
              <w:rPr>
                <w:b/>
                <w:bCs/>
              </w:rPr>
              <w:t>U.S. Total</w:t>
            </w:r>
          </w:p>
        </w:tc>
        <w:tc>
          <w:tcPr>
            <w:tcW w:w="903" w:type="pct"/>
            <w:tcBorders>
              <w:top w:val="nil"/>
              <w:left w:val="nil"/>
              <w:bottom w:val="single" w:sz="8" w:space="0" w:color="auto"/>
              <w:right w:val="single" w:sz="4" w:space="0" w:color="auto"/>
            </w:tcBorders>
            <w:shd w:val="clear" w:color="auto" w:fill="auto"/>
            <w:noWrap/>
            <w:vAlign w:val="bottom"/>
            <w:hideMark/>
          </w:tcPr>
          <w:p w14:paraId="0F389A81" w14:textId="77777777" w:rsidR="00D8365A" w:rsidRPr="00362517" w:rsidRDefault="00D8365A" w:rsidP="00BF6BC7">
            <w:pPr>
              <w:jc w:val="right"/>
              <w:rPr>
                <w:b/>
                <w:bCs/>
              </w:rPr>
            </w:pPr>
            <w:r w:rsidRPr="00362517">
              <w:rPr>
                <w:b/>
                <w:bCs/>
              </w:rPr>
              <w:t>1,469,170</w:t>
            </w:r>
          </w:p>
        </w:tc>
        <w:tc>
          <w:tcPr>
            <w:tcW w:w="1037" w:type="pct"/>
            <w:tcBorders>
              <w:top w:val="nil"/>
              <w:left w:val="nil"/>
              <w:bottom w:val="single" w:sz="8" w:space="0" w:color="auto"/>
              <w:right w:val="single" w:sz="4" w:space="0" w:color="auto"/>
            </w:tcBorders>
            <w:shd w:val="clear" w:color="auto" w:fill="auto"/>
            <w:noWrap/>
            <w:vAlign w:val="bottom"/>
            <w:hideMark/>
          </w:tcPr>
          <w:p w14:paraId="098BF1A7" w14:textId="77777777" w:rsidR="00D8365A" w:rsidRPr="00362517" w:rsidRDefault="00D8365A" w:rsidP="00BF6BC7">
            <w:pPr>
              <w:jc w:val="right"/>
              <w:rPr>
                <w:b/>
                <w:bCs/>
              </w:rPr>
            </w:pPr>
            <w:r w:rsidRPr="00362517">
              <w:rPr>
                <w:b/>
                <w:bCs/>
              </w:rPr>
              <w:t>1,325,675</w:t>
            </w:r>
          </w:p>
        </w:tc>
        <w:tc>
          <w:tcPr>
            <w:tcW w:w="828" w:type="pct"/>
            <w:tcBorders>
              <w:top w:val="nil"/>
              <w:left w:val="nil"/>
              <w:bottom w:val="single" w:sz="8" w:space="0" w:color="auto"/>
              <w:right w:val="single" w:sz="4" w:space="0" w:color="auto"/>
            </w:tcBorders>
            <w:shd w:val="clear" w:color="auto" w:fill="auto"/>
            <w:noWrap/>
            <w:vAlign w:val="bottom"/>
            <w:hideMark/>
          </w:tcPr>
          <w:p w14:paraId="58C23C47" w14:textId="77777777" w:rsidR="00D8365A" w:rsidRPr="00362517" w:rsidRDefault="00D8365A" w:rsidP="00BF6BC7">
            <w:pPr>
              <w:jc w:val="right"/>
              <w:rPr>
                <w:b/>
                <w:bCs/>
              </w:rPr>
            </w:pPr>
            <w:r w:rsidRPr="00362517">
              <w:rPr>
                <w:b/>
                <w:bCs/>
              </w:rPr>
              <w:t>141,992</w:t>
            </w:r>
          </w:p>
        </w:tc>
        <w:tc>
          <w:tcPr>
            <w:tcW w:w="981" w:type="pct"/>
            <w:tcBorders>
              <w:top w:val="nil"/>
              <w:left w:val="nil"/>
              <w:bottom w:val="single" w:sz="8" w:space="0" w:color="auto"/>
              <w:right w:val="single" w:sz="4" w:space="0" w:color="auto"/>
            </w:tcBorders>
            <w:shd w:val="clear" w:color="auto" w:fill="auto"/>
            <w:noWrap/>
            <w:vAlign w:val="bottom"/>
            <w:hideMark/>
          </w:tcPr>
          <w:p w14:paraId="2E8F5ADE" w14:textId="77777777" w:rsidR="00D8365A" w:rsidRPr="00362517" w:rsidRDefault="00D8365A" w:rsidP="00BF6BC7">
            <w:pPr>
              <w:jc w:val="right"/>
              <w:rPr>
                <w:b/>
                <w:bCs/>
              </w:rPr>
            </w:pPr>
            <w:r w:rsidRPr="00362517">
              <w:rPr>
                <w:b/>
                <w:bCs/>
              </w:rPr>
              <w:t>16,161</w:t>
            </w:r>
          </w:p>
        </w:tc>
      </w:tr>
    </w:tbl>
    <w:p w14:paraId="5AD319EC" w14:textId="33B68419" w:rsidR="00D8365A" w:rsidRPr="00362517" w:rsidRDefault="00D8365A" w:rsidP="00BF6BC7">
      <w:r w:rsidRPr="00362517">
        <w:rPr>
          <w:sz w:val="22"/>
          <w:szCs w:val="22"/>
        </w:rPr>
        <w:t>Source:  EPA calculations using a three percent discount rate over a ten</w:t>
      </w:r>
      <w:r w:rsidR="00CA28EA">
        <w:rPr>
          <w:sz w:val="22"/>
          <w:szCs w:val="22"/>
        </w:rPr>
        <w:t>-</w:t>
      </w:r>
      <w:r w:rsidRPr="00362517">
        <w:rPr>
          <w:sz w:val="22"/>
          <w:szCs w:val="22"/>
        </w:rPr>
        <w:t>year period.</w:t>
      </w:r>
    </w:p>
    <w:p w14:paraId="6F964A66" w14:textId="77777777" w:rsidR="00D8365A" w:rsidRPr="00362517" w:rsidRDefault="00D8365A" w:rsidP="00BF6BC7"/>
    <w:p w14:paraId="73B118D2" w14:textId="77777777" w:rsidR="00D8365A" w:rsidRPr="00362517" w:rsidRDefault="00D8365A" w:rsidP="00BF6BC7">
      <w:r w:rsidRPr="00362517">
        <w:t>The states with the highest incremental costs for commercial applicators include California, Washington, and Wisconsin.  For example, under the final rule, commercial applicators in California will bear a large cost of training noncertified applicators under their direct supervision.  At the national level, the costs associated with age requirements and supervision of noncertified applicators under the direct supervision of a certified applicator account for about 80 percent of the total cost to commercial applicators (Figure 2).</w:t>
      </w:r>
    </w:p>
    <w:p w14:paraId="6C123489" w14:textId="77777777" w:rsidR="00D8365A" w:rsidRPr="00362517" w:rsidRDefault="00D8365A" w:rsidP="00BF6BC7"/>
    <w:p w14:paraId="11765C8A" w14:textId="77777777" w:rsidR="00D8365A" w:rsidRPr="00362517" w:rsidRDefault="00D8365A" w:rsidP="00BF6BC7">
      <w:r w:rsidRPr="00362517">
        <w:t xml:space="preserve">            </w:t>
      </w:r>
      <w:r w:rsidRPr="00362517">
        <w:rPr>
          <w:noProof/>
        </w:rPr>
        <w:drawing>
          <wp:inline distT="0" distB="0" distL="0" distR="0" wp14:anchorId="334E9578" wp14:editId="68C8EE90">
            <wp:extent cx="4998720" cy="3688080"/>
            <wp:effectExtent l="0" t="0" r="1143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C8DBD9" w14:textId="77777777" w:rsidR="00D8365A" w:rsidRPr="00362517" w:rsidRDefault="00D8365A" w:rsidP="00BF6BC7">
      <w:pPr>
        <w:pStyle w:val="Caption"/>
        <w:ind w:left="720" w:firstLine="720"/>
      </w:pPr>
      <w:r w:rsidRPr="00362517">
        <w:t xml:space="preserve">     Figure 2. Commercial Applicator Costs by Rule Area</w:t>
      </w:r>
    </w:p>
    <w:p w14:paraId="28A6D2C6" w14:textId="77777777" w:rsidR="00D8365A" w:rsidRPr="00362517" w:rsidRDefault="00D8365A" w:rsidP="00BF6BC7"/>
    <w:p w14:paraId="22F0BF96" w14:textId="77777777" w:rsidR="00D8365A" w:rsidRPr="00362517" w:rsidRDefault="00D8365A" w:rsidP="00BF6BC7"/>
    <w:p w14:paraId="08F2A62D" w14:textId="77777777" w:rsidR="00D8365A" w:rsidRPr="00362517" w:rsidRDefault="00D8365A" w:rsidP="00BF6BC7">
      <w:pPr>
        <w:pStyle w:val="Heading3"/>
      </w:pPr>
      <w:bookmarkStart w:id="259" w:name="_Toc452020154"/>
      <w:bookmarkStart w:id="260" w:name="_Toc456270178"/>
      <w:bookmarkStart w:id="261" w:name="_Toc468872094"/>
      <w:r w:rsidRPr="00362517">
        <w:t>3.5.3</w:t>
      </w:r>
      <w:r w:rsidRPr="00362517">
        <w:tab/>
        <w:t>Cost to Certifying Authorities of Final Rule</w:t>
      </w:r>
      <w:bookmarkEnd w:id="259"/>
      <w:bookmarkEnd w:id="260"/>
      <w:bookmarkEnd w:id="261"/>
    </w:p>
    <w:p w14:paraId="5FDDC72A" w14:textId="77777777" w:rsidR="00D8365A" w:rsidRPr="00362517" w:rsidRDefault="00D8365A" w:rsidP="00BF6BC7"/>
    <w:p w14:paraId="5A2E86A6" w14:textId="77777777" w:rsidR="00D8365A" w:rsidRPr="00362517" w:rsidRDefault="00D8365A" w:rsidP="00BF6BC7">
      <w:r w:rsidRPr="00362517">
        <w:t>The total cost of the final rule to certifying authorities (States, Tribes, Territories, Federal Agencies, and EPA) can be estimated by summing the costs of the individual requirements evaluated in Section 3.4.  Table 3.5-5 presents the PVs of costs for the final regulatory requirement, baseline requirement, incremental cost, and the annualized incremental cost by jurisdiction.  For these entities, EPA estimates that the annualized incremental cost of the final rule over ten years to be $6.5 million given a three percent discount rate.  See Appendix B for details.</w:t>
      </w:r>
    </w:p>
    <w:p w14:paraId="45F079D4" w14:textId="77777777" w:rsidR="00D8365A" w:rsidRPr="00362517" w:rsidRDefault="00D8365A" w:rsidP="00BF6BC7"/>
    <w:p w14:paraId="357E8698" w14:textId="77777777" w:rsidR="00D8365A" w:rsidRPr="00362517" w:rsidRDefault="00D8365A" w:rsidP="00BF6BC7">
      <w:pPr>
        <w:rPr>
          <w:b/>
        </w:rPr>
      </w:pPr>
      <w:r w:rsidRPr="00362517">
        <w:rPr>
          <w:b/>
        </w:rPr>
        <w:t>Table 3.5-5 Cost to Certifying Authorities</w:t>
      </w:r>
      <w:r w:rsidRPr="00362517" w:rsidDel="007B6E32">
        <w:rPr>
          <w:b/>
        </w:rPr>
        <w:t xml:space="preserve"> </w:t>
      </w:r>
      <w:r w:rsidRPr="00362517">
        <w:rPr>
          <w:b/>
        </w:rPr>
        <w:t>of Final Rule</w:t>
      </w:r>
    </w:p>
    <w:tbl>
      <w:tblPr>
        <w:tblW w:w="5000" w:type="pct"/>
        <w:tblLook w:val="04A0" w:firstRow="1" w:lastRow="0" w:firstColumn="1" w:lastColumn="0" w:noHBand="0" w:noVBand="1"/>
      </w:tblPr>
      <w:tblGrid>
        <w:gridCol w:w="2505"/>
        <w:gridCol w:w="1620"/>
        <w:gridCol w:w="1648"/>
        <w:gridCol w:w="1606"/>
        <w:gridCol w:w="1961"/>
      </w:tblGrid>
      <w:tr w:rsidR="00D8365A" w:rsidRPr="00362517" w14:paraId="78BF8D4A" w14:textId="77777777" w:rsidTr="007A2164">
        <w:trPr>
          <w:trHeight w:val="449"/>
        </w:trPr>
        <w:tc>
          <w:tcPr>
            <w:tcW w:w="1341" w:type="pct"/>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51FE411F" w14:textId="77777777" w:rsidR="00D8365A" w:rsidRPr="00362517" w:rsidRDefault="00D8365A" w:rsidP="00BF6BC7">
            <w:r w:rsidRPr="00362517">
              <w:t>Jurisdiction</w:t>
            </w:r>
          </w:p>
        </w:tc>
        <w:tc>
          <w:tcPr>
            <w:tcW w:w="867" w:type="pct"/>
            <w:tcBorders>
              <w:top w:val="single" w:sz="4" w:space="0" w:color="auto"/>
              <w:left w:val="nil"/>
              <w:bottom w:val="single" w:sz="4" w:space="0" w:color="auto"/>
              <w:right w:val="single" w:sz="4" w:space="0" w:color="auto"/>
            </w:tcBorders>
            <w:shd w:val="clear" w:color="auto" w:fill="auto"/>
            <w:noWrap/>
            <w:vAlign w:val="center"/>
            <w:hideMark/>
          </w:tcPr>
          <w:p w14:paraId="22151C2E" w14:textId="77777777" w:rsidR="00D8365A" w:rsidRPr="00362517" w:rsidRDefault="00D8365A" w:rsidP="00BF6BC7">
            <w:pPr>
              <w:jc w:val="center"/>
            </w:pPr>
            <w:r w:rsidRPr="00362517">
              <w:t>PV(RC</w:t>
            </w:r>
            <w:r w:rsidRPr="00362517">
              <w:rPr>
                <w:vertAlign w:val="superscript"/>
              </w:rPr>
              <w:t>P</w:t>
            </w:r>
            <w:r w:rsidRPr="00362517">
              <w:t>)</w:t>
            </w:r>
          </w:p>
        </w:tc>
        <w:tc>
          <w:tcPr>
            <w:tcW w:w="882" w:type="pct"/>
            <w:tcBorders>
              <w:top w:val="single" w:sz="4" w:space="0" w:color="auto"/>
              <w:left w:val="nil"/>
              <w:bottom w:val="single" w:sz="4" w:space="0" w:color="auto"/>
              <w:right w:val="single" w:sz="4" w:space="0" w:color="auto"/>
            </w:tcBorders>
            <w:shd w:val="clear" w:color="auto" w:fill="auto"/>
            <w:noWrap/>
            <w:vAlign w:val="center"/>
            <w:hideMark/>
          </w:tcPr>
          <w:p w14:paraId="1EE6C2FD" w14:textId="77777777" w:rsidR="00D8365A" w:rsidRPr="00362517" w:rsidRDefault="00D8365A" w:rsidP="00BF6BC7">
            <w:pPr>
              <w:jc w:val="center"/>
            </w:pPr>
            <w:r w:rsidRPr="00362517">
              <w:t>PV(RC</w:t>
            </w:r>
            <w:r w:rsidRPr="00362517">
              <w:rPr>
                <w:vertAlign w:val="superscript"/>
              </w:rPr>
              <w:t>B</w:t>
            </w:r>
            <w:r w:rsidRPr="00362517">
              <w:t>)</w:t>
            </w:r>
          </w:p>
        </w:tc>
        <w:tc>
          <w:tcPr>
            <w:tcW w:w="860" w:type="pct"/>
            <w:tcBorders>
              <w:top w:val="single" w:sz="4" w:space="0" w:color="auto"/>
              <w:left w:val="nil"/>
              <w:bottom w:val="single" w:sz="4" w:space="0" w:color="auto"/>
              <w:right w:val="single" w:sz="4" w:space="0" w:color="auto"/>
            </w:tcBorders>
            <w:shd w:val="clear" w:color="auto" w:fill="auto"/>
            <w:noWrap/>
            <w:vAlign w:val="center"/>
            <w:hideMark/>
          </w:tcPr>
          <w:p w14:paraId="15D3392E" w14:textId="77777777" w:rsidR="00D8365A" w:rsidRPr="00362517" w:rsidRDefault="00D8365A" w:rsidP="00BF6BC7">
            <w:pPr>
              <w:jc w:val="center"/>
            </w:pPr>
            <w:r w:rsidRPr="00362517">
              <w:t>PV(RIC)</w:t>
            </w:r>
          </w:p>
        </w:tc>
        <w:tc>
          <w:tcPr>
            <w:tcW w:w="1050" w:type="pct"/>
            <w:tcBorders>
              <w:top w:val="single" w:sz="4" w:space="0" w:color="auto"/>
              <w:left w:val="nil"/>
              <w:bottom w:val="single" w:sz="4" w:space="0" w:color="auto"/>
              <w:right w:val="single" w:sz="8" w:space="0" w:color="auto"/>
            </w:tcBorders>
            <w:shd w:val="clear" w:color="auto" w:fill="auto"/>
            <w:vAlign w:val="center"/>
            <w:hideMark/>
          </w:tcPr>
          <w:p w14:paraId="6345684F" w14:textId="77777777" w:rsidR="00D8365A" w:rsidRPr="00362517" w:rsidRDefault="00D8365A" w:rsidP="00BF6BC7">
            <w:pPr>
              <w:jc w:val="center"/>
            </w:pPr>
            <w:r w:rsidRPr="00362517">
              <w:t>Annualized RIC</w:t>
            </w:r>
          </w:p>
        </w:tc>
      </w:tr>
      <w:tr w:rsidR="00D8365A" w:rsidRPr="00362517" w14:paraId="2B6A0E56" w14:textId="77777777" w:rsidTr="007A2164">
        <w:trPr>
          <w:trHeight w:val="312"/>
        </w:trPr>
        <w:tc>
          <w:tcPr>
            <w:tcW w:w="1341" w:type="pct"/>
            <w:vMerge/>
            <w:tcBorders>
              <w:top w:val="single" w:sz="4" w:space="0" w:color="auto"/>
              <w:left w:val="single" w:sz="8" w:space="0" w:color="auto"/>
              <w:bottom w:val="single" w:sz="4" w:space="0" w:color="000000"/>
              <w:right w:val="single" w:sz="4" w:space="0" w:color="auto"/>
            </w:tcBorders>
            <w:vAlign w:val="center"/>
            <w:hideMark/>
          </w:tcPr>
          <w:p w14:paraId="679C53FB" w14:textId="77777777" w:rsidR="00D8365A" w:rsidRPr="00362517" w:rsidRDefault="00D8365A" w:rsidP="00BF6BC7"/>
        </w:tc>
        <w:tc>
          <w:tcPr>
            <w:tcW w:w="3659" w:type="pct"/>
            <w:gridSpan w:val="4"/>
            <w:tcBorders>
              <w:top w:val="single" w:sz="4" w:space="0" w:color="auto"/>
              <w:left w:val="nil"/>
              <w:bottom w:val="single" w:sz="4" w:space="0" w:color="auto"/>
              <w:right w:val="single" w:sz="8" w:space="0" w:color="000000"/>
            </w:tcBorders>
            <w:shd w:val="clear" w:color="auto" w:fill="auto"/>
            <w:noWrap/>
            <w:vAlign w:val="center"/>
            <w:hideMark/>
          </w:tcPr>
          <w:p w14:paraId="734EA703" w14:textId="77777777" w:rsidR="00D8365A" w:rsidRPr="00362517" w:rsidRDefault="00D8365A" w:rsidP="00BF6BC7">
            <w:pPr>
              <w:jc w:val="center"/>
            </w:pPr>
            <w:r w:rsidRPr="00362517">
              <w:t xml:space="preserve">$1,000 </w:t>
            </w:r>
          </w:p>
        </w:tc>
      </w:tr>
      <w:tr w:rsidR="00D8365A" w:rsidRPr="00362517" w14:paraId="4B4C927C"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1EB4B09E" w14:textId="77777777" w:rsidR="00D8365A" w:rsidRPr="00362517" w:rsidRDefault="00D8365A" w:rsidP="00BF6BC7">
            <w:r w:rsidRPr="00362517">
              <w:t>Alabama</w:t>
            </w:r>
          </w:p>
        </w:tc>
        <w:tc>
          <w:tcPr>
            <w:tcW w:w="867" w:type="pct"/>
            <w:tcBorders>
              <w:top w:val="nil"/>
              <w:left w:val="nil"/>
              <w:bottom w:val="single" w:sz="4" w:space="0" w:color="auto"/>
              <w:right w:val="single" w:sz="4" w:space="0" w:color="auto"/>
            </w:tcBorders>
            <w:shd w:val="clear" w:color="auto" w:fill="auto"/>
            <w:noWrap/>
            <w:vAlign w:val="bottom"/>
            <w:hideMark/>
          </w:tcPr>
          <w:p w14:paraId="14E859CB" w14:textId="77777777" w:rsidR="00D8365A" w:rsidRPr="00362517" w:rsidRDefault="00D8365A" w:rsidP="00BF6BC7">
            <w:pPr>
              <w:jc w:val="right"/>
            </w:pPr>
            <w:r w:rsidRPr="00362517">
              <w:t>1,231</w:t>
            </w:r>
          </w:p>
        </w:tc>
        <w:tc>
          <w:tcPr>
            <w:tcW w:w="882" w:type="pct"/>
            <w:tcBorders>
              <w:top w:val="nil"/>
              <w:left w:val="nil"/>
              <w:bottom w:val="single" w:sz="4" w:space="0" w:color="auto"/>
              <w:right w:val="single" w:sz="4" w:space="0" w:color="auto"/>
            </w:tcBorders>
            <w:shd w:val="clear" w:color="auto" w:fill="auto"/>
            <w:noWrap/>
            <w:vAlign w:val="bottom"/>
            <w:hideMark/>
          </w:tcPr>
          <w:p w14:paraId="30C983A9" w14:textId="77777777" w:rsidR="00D8365A" w:rsidRPr="00362517" w:rsidRDefault="00D8365A" w:rsidP="00BF6BC7">
            <w:pPr>
              <w:jc w:val="right"/>
            </w:pPr>
            <w:r w:rsidRPr="00362517">
              <w:t>449</w:t>
            </w:r>
          </w:p>
        </w:tc>
        <w:tc>
          <w:tcPr>
            <w:tcW w:w="860" w:type="pct"/>
            <w:tcBorders>
              <w:top w:val="nil"/>
              <w:left w:val="nil"/>
              <w:bottom w:val="single" w:sz="4" w:space="0" w:color="auto"/>
              <w:right w:val="single" w:sz="4" w:space="0" w:color="auto"/>
            </w:tcBorders>
            <w:shd w:val="clear" w:color="auto" w:fill="auto"/>
            <w:noWrap/>
            <w:vAlign w:val="bottom"/>
            <w:hideMark/>
          </w:tcPr>
          <w:p w14:paraId="3DCCA5BD" w14:textId="77777777" w:rsidR="00D8365A" w:rsidRPr="00362517" w:rsidRDefault="00D8365A" w:rsidP="00BF6BC7">
            <w:pPr>
              <w:jc w:val="right"/>
            </w:pPr>
            <w:r w:rsidRPr="00362517">
              <w:t>782</w:t>
            </w:r>
          </w:p>
        </w:tc>
        <w:tc>
          <w:tcPr>
            <w:tcW w:w="1050" w:type="pct"/>
            <w:tcBorders>
              <w:top w:val="nil"/>
              <w:left w:val="nil"/>
              <w:bottom w:val="single" w:sz="4" w:space="0" w:color="auto"/>
              <w:right w:val="single" w:sz="8" w:space="0" w:color="auto"/>
            </w:tcBorders>
            <w:shd w:val="clear" w:color="auto" w:fill="auto"/>
            <w:noWrap/>
            <w:vAlign w:val="bottom"/>
            <w:hideMark/>
          </w:tcPr>
          <w:p w14:paraId="6EFF181A" w14:textId="77777777" w:rsidR="00D8365A" w:rsidRPr="00362517" w:rsidRDefault="00D8365A" w:rsidP="00BF6BC7">
            <w:pPr>
              <w:jc w:val="right"/>
            </w:pPr>
            <w:r w:rsidRPr="00362517">
              <w:t>89</w:t>
            </w:r>
          </w:p>
        </w:tc>
      </w:tr>
      <w:tr w:rsidR="00D8365A" w:rsidRPr="00362517" w14:paraId="635BFC41"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539C6E65" w14:textId="77777777" w:rsidR="00D8365A" w:rsidRPr="00362517" w:rsidRDefault="00D8365A" w:rsidP="00BF6BC7">
            <w:r w:rsidRPr="00362517">
              <w:t>Alaska</w:t>
            </w:r>
          </w:p>
        </w:tc>
        <w:tc>
          <w:tcPr>
            <w:tcW w:w="867" w:type="pct"/>
            <w:tcBorders>
              <w:top w:val="nil"/>
              <w:left w:val="nil"/>
              <w:bottom w:val="single" w:sz="4" w:space="0" w:color="auto"/>
              <w:right w:val="single" w:sz="4" w:space="0" w:color="auto"/>
            </w:tcBorders>
            <w:shd w:val="clear" w:color="auto" w:fill="auto"/>
            <w:noWrap/>
            <w:vAlign w:val="bottom"/>
            <w:hideMark/>
          </w:tcPr>
          <w:p w14:paraId="3344003E" w14:textId="77777777" w:rsidR="00D8365A" w:rsidRPr="00362517" w:rsidRDefault="00D8365A" w:rsidP="00BF6BC7">
            <w:pPr>
              <w:jc w:val="right"/>
            </w:pPr>
            <w:r w:rsidRPr="00362517">
              <w:t>654</w:t>
            </w:r>
          </w:p>
        </w:tc>
        <w:tc>
          <w:tcPr>
            <w:tcW w:w="882" w:type="pct"/>
            <w:tcBorders>
              <w:top w:val="nil"/>
              <w:left w:val="nil"/>
              <w:bottom w:val="single" w:sz="4" w:space="0" w:color="auto"/>
              <w:right w:val="single" w:sz="4" w:space="0" w:color="auto"/>
            </w:tcBorders>
            <w:shd w:val="clear" w:color="auto" w:fill="auto"/>
            <w:noWrap/>
            <w:vAlign w:val="bottom"/>
            <w:hideMark/>
          </w:tcPr>
          <w:p w14:paraId="52CA2569" w14:textId="77777777" w:rsidR="00D8365A" w:rsidRPr="00362517" w:rsidRDefault="00D8365A" w:rsidP="00BF6BC7">
            <w:pPr>
              <w:jc w:val="right"/>
            </w:pPr>
            <w:r w:rsidRPr="00362517">
              <w:t>40</w:t>
            </w:r>
          </w:p>
        </w:tc>
        <w:tc>
          <w:tcPr>
            <w:tcW w:w="860" w:type="pct"/>
            <w:tcBorders>
              <w:top w:val="nil"/>
              <w:left w:val="nil"/>
              <w:bottom w:val="single" w:sz="4" w:space="0" w:color="auto"/>
              <w:right w:val="single" w:sz="4" w:space="0" w:color="auto"/>
            </w:tcBorders>
            <w:shd w:val="clear" w:color="auto" w:fill="auto"/>
            <w:noWrap/>
            <w:vAlign w:val="bottom"/>
            <w:hideMark/>
          </w:tcPr>
          <w:p w14:paraId="300A13A6" w14:textId="77777777" w:rsidR="00D8365A" w:rsidRPr="00362517" w:rsidRDefault="00D8365A" w:rsidP="00BF6BC7">
            <w:pPr>
              <w:jc w:val="right"/>
            </w:pPr>
            <w:r w:rsidRPr="00362517">
              <w:t>614</w:t>
            </w:r>
          </w:p>
        </w:tc>
        <w:tc>
          <w:tcPr>
            <w:tcW w:w="1050" w:type="pct"/>
            <w:tcBorders>
              <w:top w:val="nil"/>
              <w:left w:val="nil"/>
              <w:bottom w:val="single" w:sz="4" w:space="0" w:color="auto"/>
              <w:right w:val="single" w:sz="8" w:space="0" w:color="auto"/>
            </w:tcBorders>
            <w:shd w:val="clear" w:color="auto" w:fill="auto"/>
            <w:noWrap/>
            <w:vAlign w:val="bottom"/>
            <w:hideMark/>
          </w:tcPr>
          <w:p w14:paraId="0DA08D5E" w14:textId="77777777" w:rsidR="00D8365A" w:rsidRPr="00362517" w:rsidRDefault="00D8365A" w:rsidP="00BF6BC7">
            <w:pPr>
              <w:jc w:val="right"/>
            </w:pPr>
            <w:r w:rsidRPr="00362517">
              <w:t>70</w:t>
            </w:r>
          </w:p>
        </w:tc>
      </w:tr>
      <w:tr w:rsidR="00D8365A" w:rsidRPr="00362517" w14:paraId="212D7CBE"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5AE930CA" w14:textId="77777777" w:rsidR="00D8365A" w:rsidRPr="00362517" w:rsidRDefault="00D8365A" w:rsidP="00BF6BC7">
            <w:r w:rsidRPr="00362517">
              <w:t>Arizona</w:t>
            </w:r>
          </w:p>
        </w:tc>
        <w:tc>
          <w:tcPr>
            <w:tcW w:w="867" w:type="pct"/>
            <w:tcBorders>
              <w:top w:val="nil"/>
              <w:left w:val="nil"/>
              <w:bottom w:val="single" w:sz="4" w:space="0" w:color="auto"/>
              <w:right w:val="single" w:sz="4" w:space="0" w:color="auto"/>
            </w:tcBorders>
            <w:shd w:val="clear" w:color="auto" w:fill="auto"/>
            <w:noWrap/>
            <w:vAlign w:val="bottom"/>
            <w:hideMark/>
          </w:tcPr>
          <w:p w14:paraId="3F0193CB" w14:textId="77777777" w:rsidR="00D8365A" w:rsidRPr="00362517" w:rsidRDefault="00D8365A" w:rsidP="00BF6BC7">
            <w:pPr>
              <w:jc w:val="right"/>
            </w:pPr>
            <w:r w:rsidRPr="00362517">
              <w:t>1,677</w:t>
            </w:r>
          </w:p>
        </w:tc>
        <w:tc>
          <w:tcPr>
            <w:tcW w:w="882" w:type="pct"/>
            <w:tcBorders>
              <w:top w:val="nil"/>
              <w:left w:val="nil"/>
              <w:bottom w:val="single" w:sz="4" w:space="0" w:color="auto"/>
              <w:right w:val="single" w:sz="4" w:space="0" w:color="auto"/>
            </w:tcBorders>
            <w:shd w:val="clear" w:color="auto" w:fill="auto"/>
            <w:noWrap/>
            <w:vAlign w:val="bottom"/>
            <w:hideMark/>
          </w:tcPr>
          <w:p w14:paraId="3A8FA77E" w14:textId="77777777" w:rsidR="00D8365A" w:rsidRPr="00362517" w:rsidRDefault="00D8365A" w:rsidP="00BF6BC7">
            <w:pPr>
              <w:jc w:val="right"/>
            </w:pPr>
            <w:r w:rsidRPr="00362517">
              <w:t>905</w:t>
            </w:r>
          </w:p>
        </w:tc>
        <w:tc>
          <w:tcPr>
            <w:tcW w:w="860" w:type="pct"/>
            <w:tcBorders>
              <w:top w:val="nil"/>
              <w:left w:val="nil"/>
              <w:bottom w:val="single" w:sz="4" w:space="0" w:color="auto"/>
              <w:right w:val="single" w:sz="4" w:space="0" w:color="auto"/>
            </w:tcBorders>
            <w:shd w:val="clear" w:color="auto" w:fill="auto"/>
            <w:noWrap/>
            <w:vAlign w:val="bottom"/>
            <w:hideMark/>
          </w:tcPr>
          <w:p w14:paraId="341950F6" w14:textId="77777777" w:rsidR="00D8365A" w:rsidRPr="00362517" w:rsidRDefault="00D8365A" w:rsidP="00BF6BC7">
            <w:pPr>
              <w:jc w:val="right"/>
            </w:pPr>
            <w:r w:rsidRPr="00362517">
              <w:t>771</w:t>
            </w:r>
          </w:p>
        </w:tc>
        <w:tc>
          <w:tcPr>
            <w:tcW w:w="1050" w:type="pct"/>
            <w:tcBorders>
              <w:top w:val="nil"/>
              <w:left w:val="nil"/>
              <w:bottom w:val="single" w:sz="4" w:space="0" w:color="auto"/>
              <w:right w:val="single" w:sz="8" w:space="0" w:color="auto"/>
            </w:tcBorders>
            <w:shd w:val="clear" w:color="auto" w:fill="auto"/>
            <w:noWrap/>
            <w:vAlign w:val="bottom"/>
            <w:hideMark/>
          </w:tcPr>
          <w:p w14:paraId="4A43AC15" w14:textId="77777777" w:rsidR="00D8365A" w:rsidRPr="00362517" w:rsidRDefault="00D8365A" w:rsidP="00BF6BC7">
            <w:pPr>
              <w:jc w:val="right"/>
            </w:pPr>
            <w:r w:rsidRPr="00362517">
              <w:t>88</w:t>
            </w:r>
          </w:p>
        </w:tc>
      </w:tr>
      <w:tr w:rsidR="00D8365A" w:rsidRPr="00362517" w14:paraId="4F4E5997"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69175A11" w14:textId="77777777" w:rsidR="00D8365A" w:rsidRPr="00362517" w:rsidRDefault="00D8365A" w:rsidP="00BF6BC7">
            <w:r w:rsidRPr="00362517">
              <w:t>Arkansas</w:t>
            </w:r>
          </w:p>
        </w:tc>
        <w:tc>
          <w:tcPr>
            <w:tcW w:w="867" w:type="pct"/>
            <w:tcBorders>
              <w:top w:val="nil"/>
              <w:left w:val="nil"/>
              <w:bottom w:val="single" w:sz="4" w:space="0" w:color="auto"/>
              <w:right w:val="single" w:sz="4" w:space="0" w:color="auto"/>
            </w:tcBorders>
            <w:shd w:val="clear" w:color="auto" w:fill="auto"/>
            <w:noWrap/>
            <w:vAlign w:val="bottom"/>
            <w:hideMark/>
          </w:tcPr>
          <w:p w14:paraId="3FE71E3C" w14:textId="77777777" w:rsidR="00D8365A" w:rsidRPr="00362517" w:rsidRDefault="00D8365A" w:rsidP="00BF6BC7">
            <w:pPr>
              <w:jc w:val="right"/>
            </w:pPr>
            <w:r w:rsidRPr="00362517">
              <w:t>1,619</w:t>
            </w:r>
          </w:p>
        </w:tc>
        <w:tc>
          <w:tcPr>
            <w:tcW w:w="882" w:type="pct"/>
            <w:tcBorders>
              <w:top w:val="nil"/>
              <w:left w:val="nil"/>
              <w:bottom w:val="single" w:sz="4" w:space="0" w:color="auto"/>
              <w:right w:val="single" w:sz="4" w:space="0" w:color="auto"/>
            </w:tcBorders>
            <w:shd w:val="clear" w:color="auto" w:fill="auto"/>
            <w:noWrap/>
            <w:vAlign w:val="bottom"/>
            <w:hideMark/>
          </w:tcPr>
          <w:p w14:paraId="207FB865" w14:textId="77777777" w:rsidR="00D8365A" w:rsidRPr="00362517" w:rsidRDefault="00D8365A" w:rsidP="00BF6BC7">
            <w:pPr>
              <w:jc w:val="right"/>
            </w:pPr>
            <w:r w:rsidRPr="00362517">
              <w:t>324</w:t>
            </w:r>
          </w:p>
        </w:tc>
        <w:tc>
          <w:tcPr>
            <w:tcW w:w="860" w:type="pct"/>
            <w:tcBorders>
              <w:top w:val="nil"/>
              <w:left w:val="nil"/>
              <w:bottom w:val="single" w:sz="4" w:space="0" w:color="auto"/>
              <w:right w:val="single" w:sz="4" w:space="0" w:color="auto"/>
            </w:tcBorders>
            <w:shd w:val="clear" w:color="auto" w:fill="auto"/>
            <w:noWrap/>
            <w:vAlign w:val="bottom"/>
            <w:hideMark/>
          </w:tcPr>
          <w:p w14:paraId="5ED1B0F0" w14:textId="77777777" w:rsidR="00D8365A" w:rsidRPr="00362517" w:rsidRDefault="00D8365A" w:rsidP="00BF6BC7">
            <w:pPr>
              <w:jc w:val="right"/>
            </w:pPr>
            <w:r w:rsidRPr="00362517">
              <w:t>1,295</w:t>
            </w:r>
          </w:p>
        </w:tc>
        <w:tc>
          <w:tcPr>
            <w:tcW w:w="1050" w:type="pct"/>
            <w:tcBorders>
              <w:top w:val="nil"/>
              <w:left w:val="nil"/>
              <w:bottom w:val="single" w:sz="4" w:space="0" w:color="auto"/>
              <w:right w:val="single" w:sz="8" w:space="0" w:color="auto"/>
            </w:tcBorders>
            <w:shd w:val="clear" w:color="auto" w:fill="auto"/>
            <w:noWrap/>
            <w:vAlign w:val="bottom"/>
            <w:hideMark/>
          </w:tcPr>
          <w:p w14:paraId="2D7DD482" w14:textId="77777777" w:rsidR="00D8365A" w:rsidRPr="00362517" w:rsidRDefault="00D8365A" w:rsidP="00BF6BC7">
            <w:pPr>
              <w:jc w:val="right"/>
            </w:pPr>
            <w:r w:rsidRPr="00362517">
              <w:t>147</w:t>
            </w:r>
          </w:p>
        </w:tc>
      </w:tr>
      <w:tr w:rsidR="00D8365A" w:rsidRPr="00362517" w14:paraId="423DCBFD"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0BCFD1F2" w14:textId="77777777" w:rsidR="00D8365A" w:rsidRPr="00362517" w:rsidRDefault="00D8365A" w:rsidP="00BF6BC7">
            <w:r w:rsidRPr="00362517">
              <w:t>California</w:t>
            </w:r>
          </w:p>
        </w:tc>
        <w:tc>
          <w:tcPr>
            <w:tcW w:w="867" w:type="pct"/>
            <w:tcBorders>
              <w:top w:val="nil"/>
              <w:left w:val="nil"/>
              <w:bottom w:val="single" w:sz="4" w:space="0" w:color="auto"/>
              <w:right w:val="single" w:sz="4" w:space="0" w:color="auto"/>
            </w:tcBorders>
            <w:shd w:val="clear" w:color="auto" w:fill="auto"/>
            <w:noWrap/>
            <w:vAlign w:val="bottom"/>
            <w:hideMark/>
          </w:tcPr>
          <w:p w14:paraId="3EB5ED75" w14:textId="77777777" w:rsidR="00D8365A" w:rsidRPr="00362517" w:rsidRDefault="00D8365A" w:rsidP="00BF6BC7">
            <w:pPr>
              <w:jc w:val="right"/>
            </w:pPr>
            <w:r w:rsidRPr="00362517">
              <w:t>9,855</w:t>
            </w:r>
          </w:p>
        </w:tc>
        <w:tc>
          <w:tcPr>
            <w:tcW w:w="882" w:type="pct"/>
            <w:tcBorders>
              <w:top w:val="nil"/>
              <w:left w:val="nil"/>
              <w:bottom w:val="single" w:sz="4" w:space="0" w:color="auto"/>
              <w:right w:val="single" w:sz="4" w:space="0" w:color="auto"/>
            </w:tcBorders>
            <w:shd w:val="clear" w:color="auto" w:fill="auto"/>
            <w:noWrap/>
            <w:vAlign w:val="bottom"/>
            <w:hideMark/>
          </w:tcPr>
          <w:p w14:paraId="6463725A" w14:textId="77777777" w:rsidR="00D8365A" w:rsidRPr="00362517" w:rsidRDefault="00D8365A" w:rsidP="00BF6BC7">
            <w:pPr>
              <w:jc w:val="right"/>
            </w:pPr>
            <w:r w:rsidRPr="00362517">
              <w:t>6,772</w:t>
            </w:r>
          </w:p>
        </w:tc>
        <w:tc>
          <w:tcPr>
            <w:tcW w:w="860" w:type="pct"/>
            <w:tcBorders>
              <w:top w:val="nil"/>
              <w:left w:val="nil"/>
              <w:bottom w:val="single" w:sz="4" w:space="0" w:color="auto"/>
              <w:right w:val="single" w:sz="4" w:space="0" w:color="auto"/>
            </w:tcBorders>
            <w:shd w:val="clear" w:color="auto" w:fill="auto"/>
            <w:noWrap/>
            <w:vAlign w:val="bottom"/>
            <w:hideMark/>
          </w:tcPr>
          <w:p w14:paraId="5626C029" w14:textId="77777777" w:rsidR="00D8365A" w:rsidRPr="00362517" w:rsidRDefault="00D8365A" w:rsidP="00BF6BC7">
            <w:pPr>
              <w:jc w:val="right"/>
            </w:pPr>
            <w:r w:rsidRPr="00362517">
              <w:t>3,083</w:t>
            </w:r>
          </w:p>
        </w:tc>
        <w:tc>
          <w:tcPr>
            <w:tcW w:w="1050" w:type="pct"/>
            <w:tcBorders>
              <w:top w:val="nil"/>
              <w:left w:val="nil"/>
              <w:bottom w:val="single" w:sz="4" w:space="0" w:color="auto"/>
              <w:right w:val="single" w:sz="8" w:space="0" w:color="auto"/>
            </w:tcBorders>
            <w:shd w:val="clear" w:color="auto" w:fill="auto"/>
            <w:noWrap/>
            <w:vAlign w:val="bottom"/>
            <w:hideMark/>
          </w:tcPr>
          <w:p w14:paraId="27A6BA17" w14:textId="77777777" w:rsidR="00D8365A" w:rsidRPr="00362517" w:rsidRDefault="00D8365A" w:rsidP="00BF6BC7">
            <w:pPr>
              <w:jc w:val="right"/>
            </w:pPr>
            <w:r w:rsidRPr="00362517">
              <w:t>351</w:t>
            </w:r>
          </w:p>
        </w:tc>
      </w:tr>
      <w:tr w:rsidR="00D8365A" w:rsidRPr="00362517" w14:paraId="5BADF598"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57C77543" w14:textId="77777777" w:rsidR="00D8365A" w:rsidRPr="00362517" w:rsidRDefault="00D8365A" w:rsidP="00BF6BC7">
            <w:r w:rsidRPr="00362517">
              <w:t>Colorado</w:t>
            </w:r>
          </w:p>
        </w:tc>
        <w:tc>
          <w:tcPr>
            <w:tcW w:w="867" w:type="pct"/>
            <w:tcBorders>
              <w:top w:val="nil"/>
              <w:left w:val="nil"/>
              <w:bottom w:val="single" w:sz="4" w:space="0" w:color="auto"/>
              <w:right w:val="single" w:sz="4" w:space="0" w:color="auto"/>
            </w:tcBorders>
            <w:shd w:val="clear" w:color="auto" w:fill="auto"/>
            <w:noWrap/>
            <w:vAlign w:val="bottom"/>
            <w:hideMark/>
          </w:tcPr>
          <w:p w14:paraId="19EA68B4" w14:textId="77777777" w:rsidR="00D8365A" w:rsidRPr="00362517" w:rsidRDefault="00D8365A" w:rsidP="00BF6BC7">
            <w:pPr>
              <w:jc w:val="right"/>
            </w:pPr>
            <w:r w:rsidRPr="00362517">
              <w:t>1,265</w:t>
            </w:r>
          </w:p>
        </w:tc>
        <w:tc>
          <w:tcPr>
            <w:tcW w:w="882" w:type="pct"/>
            <w:tcBorders>
              <w:top w:val="nil"/>
              <w:left w:val="nil"/>
              <w:bottom w:val="single" w:sz="4" w:space="0" w:color="auto"/>
              <w:right w:val="single" w:sz="4" w:space="0" w:color="auto"/>
            </w:tcBorders>
            <w:shd w:val="clear" w:color="auto" w:fill="auto"/>
            <w:noWrap/>
            <w:vAlign w:val="bottom"/>
            <w:hideMark/>
          </w:tcPr>
          <w:p w14:paraId="50BF814E" w14:textId="77777777" w:rsidR="00D8365A" w:rsidRPr="00362517" w:rsidRDefault="00D8365A" w:rsidP="00BF6BC7">
            <w:pPr>
              <w:jc w:val="right"/>
            </w:pPr>
            <w:r w:rsidRPr="00362517">
              <w:t>184</w:t>
            </w:r>
          </w:p>
        </w:tc>
        <w:tc>
          <w:tcPr>
            <w:tcW w:w="860" w:type="pct"/>
            <w:tcBorders>
              <w:top w:val="nil"/>
              <w:left w:val="nil"/>
              <w:bottom w:val="single" w:sz="4" w:space="0" w:color="auto"/>
              <w:right w:val="single" w:sz="4" w:space="0" w:color="auto"/>
            </w:tcBorders>
            <w:shd w:val="clear" w:color="auto" w:fill="auto"/>
            <w:noWrap/>
            <w:vAlign w:val="bottom"/>
            <w:hideMark/>
          </w:tcPr>
          <w:p w14:paraId="5DD064DA" w14:textId="77777777" w:rsidR="00D8365A" w:rsidRPr="00362517" w:rsidRDefault="00D8365A" w:rsidP="00BF6BC7">
            <w:pPr>
              <w:jc w:val="right"/>
            </w:pPr>
            <w:r w:rsidRPr="00362517">
              <w:t>1,081</w:t>
            </w:r>
          </w:p>
        </w:tc>
        <w:tc>
          <w:tcPr>
            <w:tcW w:w="1050" w:type="pct"/>
            <w:tcBorders>
              <w:top w:val="nil"/>
              <w:left w:val="nil"/>
              <w:bottom w:val="single" w:sz="4" w:space="0" w:color="auto"/>
              <w:right w:val="single" w:sz="8" w:space="0" w:color="auto"/>
            </w:tcBorders>
            <w:shd w:val="clear" w:color="auto" w:fill="auto"/>
            <w:noWrap/>
            <w:vAlign w:val="bottom"/>
            <w:hideMark/>
          </w:tcPr>
          <w:p w14:paraId="1EB9DF08" w14:textId="77777777" w:rsidR="00D8365A" w:rsidRPr="00362517" w:rsidRDefault="00D8365A" w:rsidP="00BF6BC7">
            <w:pPr>
              <w:jc w:val="right"/>
            </w:pPr>
            <w:r w:rsidRPr="00362517">
              <w:t>123</w:t>
            </w:r>
          </w:p>
        </w:tc>
      </w:tr>
      <w:tr w:rsidR="00D8365A" w:rsidRPr="00362517" w14:paraId="11D535E3"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3BB3B132" w14:textId="77777777" w:rsidR="00D8365A" w:rsidRPr="00362517" w:rsidRDefault="00D8365A" w:rsidP="00BF6BC7">
            <w:r w:rsidRPr="00362517">
              <w:t>Connecticut</w:t>
            </w:r>
          </w:p>
        </w:tc>
        <w:tc>
          <w:tcPr>
            <w:tcW w:w="867" w:type="pct"/>
            <w:tcBorders>
              <w:top w:val="nil"/>
              <w:left w:val="nil"/>
              <w:bottom w:val="single" w:sz="4" w:space="0" w:color="auto"/>
              <w:right w:val="single" w:sz="4" w:space="0" w:color="auto"/>
            </w:tcBorders>
            <w:shd w:val="clear" w:color="auto" w:fill="auto"/>
            <w:noWrap/>
            <w:vAlign w:val="bottom"/>
            <w:hideMark/>
          </w:tcPr>
          <w:p w14:paraId="77A190FF" w14:textId="77777777" w:rsidR="00D8365A" w:rsidRPr="00362517" w:rsidRDefault="00D8365A" w:rsidP="00BF6BC7">
            <w:pPr>
              <w:jc w:val="right"/>
            </w:pPr>
            <w:r w:rsidRPr="00362517">
              <w:t>799</w:t>
            </w:r>
          </w:p>
        </w:tc>
        <w:tc>
          <w:tcPr>
            <w:tcW w:w="882" w:type="pct"/>
            <w:tcBorders>
              <w:top w:val="nil"/>
              <w:left w:val="nil"/>
              <w:bottom w:val="single" w:sz="4" w:space="0" w:color="auto"/>
              <w:right w:val="single" w:sz="4" w:space="0" w:color="auto"/>
            </w:tcBorders>
            <w:shd w:val="clear" w:color="auto" w:fill="auto"/>
            <w:noWrap/>
            <w:vAlign w:val="bottom"/>
            <w:hideMark/>
          </w:tcPr>
          <w:p w14:paraId="0C446B92" w14:textId="77777777" w:rsidR="00D8365A" w:rsidRPr="00362517" w:rsidRDefault="00D8365A" w:rsidP="00BF6BC7">
            <w:pPr>
              <w:jc w:val="right"/>
            </w:pPr>
            <w:r w:rsidRPr="00362517">
              <w:t>122</w:t>
            </w:r>
          </w:p>
        </w:tc>
        <w:tc>
          <w:tcPr>
            <w:tcW w:w="860" w:type="pct"/>
            <w:tcBorders>
              <w:top w:val="nil"/>
              <w:left w:val="nil"/>
              <w:bottom w:val="single" w:sz="4" w:space="0" w:color="auto"/>
              <w:right w:val="single" w:sz="4" w:space="0" w:color="auto"/>
            </w:tcBorders>
            <w:shd w:val="clear" w:color="auto" w:fill="auto"/>
            <w:noWrap/>
            <w:vAlign w:val="bottom"/>
            <w:hideMark/>
          </w:tcPr>
          <w:p w14:paraId="37DF66ED" w14:textId="77777777" w:rsidR="00D8365A" w:rsidRPr="00362517" w:rsidRDefault="00D8365A" w:rsidP="00BF6BC7">
            <w:pPr>
              <w:jc w:val="right"/>
            </w:pPr>
            <w:r w:rsidRPr="00362517">
              <w:t>677</w:t>
            </w:r>
          </w:p>
        </w:tc>
        <w:tc>
          <w:tcPr>
            <w:tcW w:w="1050" w:type="pct"/>
            <w:tcBorders>
              <w:top w:val="nil"/>
              <w:left w:val="nil"/>
              <w:bottom w:val="single" w:sz="4" w:space="0" w:color="auto"/>
              <w:right w:val="single" w:sz="8" w:space="0" w:color="auto"/>
            </w:tcBorders>
            <w:shd w:val="clear" w:color="auto" w:fill="auto"/>
            <w:noWrap/>
            <w:vAlign w:val="bottom"/>
            <w:hideMark/>
          </w:tcPr>
          <w:p w14:paraId="107C765B" w14:textId="77777777" w:rsidR="00D8365A" w:rsidRPr="00362517" w:rsidRDefault="00D8365A" w:rsidP="00BF6BC7">
            <w:pPr>
              <w:jc w:val="right"/>
            </w:pPr>
            <w:r w:rsidRPr="00362517">
              <w:t>77</w:t>
            </w:r>
          </w:p>
        </w:tc>
      </w:tr>
      <w:tr w:rsidR="00D8365A" w:rsidRPr="00362517" w14:paraId="42F6FC68"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3B80FB1D" w14:textId="77777777" w:rsidR="00D8365A" w:rsidRPr="00362517" w:rsidRDefault="00D8365A" w:rsidP="00BF6BC7">
            <w:r w:rsidRPr="00362517">
              <w:t>Delaware</w:t>
            </w:r>
          </w:p>
        </w:tc>
        <w:tc>
          <w:tcPr>
            <w:tcW w:w="867" w:type="pct"/>
            <w:tcBorders>
              <w:top w:val="nil"/>
              <w:left w:val="nil"/>
              <w:bottom w:val="single" w:sz="4" w:space="0" w:color="auto"/>
              <w:right w:val="single" w:sz="4" w:space="0" w:color="auto"/>
            </w:tcBorders>
            <w:shd w:val="clear" w:color="auto" w:fill="auto"/>
            <w:noWrap/>
            <w:vAlign w:val="bottom"/>
            <w:hideMark/>
          </w:tcPr>
          <w:p w14:paraId="5E2E6378" w14:textId="77777777" w:rsidR="00D8365A" w:rsidRPr="00362517" w:rsidRDefault="00D8365A" w:rsidP="00BF6BC7">
            <w:pPr>
              <w:jc w:val="right"/>
            </w:pPr>
            <w:r w:rsidRPr="00362517">
              <w:t>1,010</w:t>
            </w:r>
          </w:p>
        </w:tc>
        <w:tc>
          <w:tcPr>
            <w:tcW w:w="882" w:type="pct"/>
            <w:tcBorders>
              <w:top w:val="nil"/>
              <w:left w:val="nil"/>
              <w:bottom w:val="single" w:sz="4" w:space="0" w:color="auto"/>
              <w:right w:val="single" w:sz="4" w:space="0" w:color="auto"/>
            </w:tcBorders>
            <w:shd w:val="clear" w:color="auto" w:fill="auto"/>
            <w:noWrap/>
            <w:vAlign w:val="bottom"/>
            <w:hideMark/>
          </w:tcPr>
          <w:p w14:paraId="34AAEDED" w14:textId="77777777" w:rsidR="00D8365A" w:rsidRPr="00362517" w:rsidRDefault="00D8365A" w:rsidP="00BF6BC7">
            <w:pPr>
              <w:jc w:val="right"/>
            </w:pPr>
            <w:r w:rsidRPr="00362517">
              <w:t>301</w:t>
            </w:r>
          </w:p>
        </w:tc>
        <w:tc>
          <w:tcPr>
            <w:tcW w:w="860" w:type="pct"/>
            <w:tcBorders>
              <w:top w:val="nil"/>
              <w:left w:val="nil"/>
              <w:bottom w:val="single" w:sz="4" w:space="0" w:color="auto"/>
              <w:right w:val="single" w:sz="4" w:space="0" w:color="auto"/>
            </w:tcBorders>
            <w:shd w:val="clear" w:color="auto" w:fill="auto"/>
            <w:noWrap/>
            <w:vAlign w:val="bottom"/>
            <w:hideMark/>
          </w:tcPr>
          <w:p w14:paraId="1C767631" w14:textId="77777777" w:rsidR="00D8365A" w:rsidRPr="00362517" w:rsidRDefault="00D8365A" w:rsidP="00BF6BC7">
            <w:pPr>
              <w:jc w:val="right"/>
            </w:pPr>
            <w:r w:rsidRPr="00362517">
              <w:t>709</w:t>
            </w:r>
          </w:p>
        </w:tc>
        <w:tc>
          <w:tcPr>
            <w:tcW w:w="1050" w:type="pct"/>
            <w:tcBorders>
              <w:top w:val="nil"/>
              <w:left w:val="nil"/>
              <w:bottom w:val="single" w:sz="4" w:space="0" w:color="auto"/>
              <w:right w:val="single" w:sz="8" w:space="0" w:color="auto"/>
            </w:tcBorders>
            <w:shd w:val="clear" w:color="auto" w:fill="auto"/>
            <w:noWrap/>
            <w:vAlign w:val="bottom"/>
            <w:hideMark/>
          </w:tcPr>
          <w:p w14:paraId="07A0E828" w14:textId="77777777" w:rsidR="00D8365A" w:rsidRPr="00362517" w:rsidRDefault="00D8365A" w:rsidP="00BF6BC7">
            <w:pPr>
              <w:jc w:val="right"/>
            </w:pPr>
            <w:r w:rsidRPr="00362517">
              <w:t>81</w:t>
            </w:r>
          </w:p>
        </w:tc>
      </w:tr>
      <w:tr w:rsidR="00D8365A" w:rsidRPr="00362517" w14:paraId="3EB51789"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183DEC43" w14:textId="77777777" w:rsidR="00D8365A" w:rsidRPr="00362517" w:rsidRDefault="00D8365A" w:rsidP="00BF6BC7">
            <w:r w:rsidRPr="00362517">
              <w:t>Florida</w:t>
            </w:r>
          </w:p>
        </w:tc>
        <w:tc>
          <w:tcPr>
            <w:tcW w:w="867" w:type="pct"/>
            <w:tcBorders>
              <w:top w:val="nil"/>
              <w:left w:val="nil"/>
              <w:bottom w:val="single" w:sz="4" w:space="0" w:color="auto"/>
              <w:right w:val="single" w:sz="4" w:space="0" w:color="auto"/>
            </w:tcBorders>
            <w:shd w:val="clear" w:color="auto" w:fill="auto"/>
            <w:noWrap/>
            <w:vAlign w:val="bottom"/>
            <w:hideMark/>
          </w:tcPr>
          <w:p w14:paraId="1A9D8EF3" w14:textId="77777777" w:rsidR="00D8365A" w:rsidRPr="00362517" w:rsidRDefault="00D8365A" w:rsidP="00BF6BC7">
            <w:pPr>
              <w:jc w:val="right"/>
            </w:pPr>
            <w:r w:rsidRPr="00362517">
              <w:t>8,261</w:t>
            </w:r>
          </w:p>
        </w:tc>
        <w:tc>
          <w:tcPr>
            <w:tcW w:w="882" w:type="pct"/>
            <w:tcBorders>
              <w:top w:val="nil"/>
              <w:left w:val="nil"/>
              <w:bottom w:val="single" w:sz="4" w:space="0" w:color="auto"/>
              <w:right w:val="single" w:sz="4" w:space="0" w:color="auto"/>
            </w:tcBorders>
            <w:shd w:val="clear" w:color="auto" w:fill="auto"/>
            <w:noWrap/>
            <w:vAlign w:val="bottom"/>
            <w:hideMark/>
          </w:tcPr>
          <w:p w14:paraId="2981B421" w14:textId="77777777" w:rsidR="00D8365A" w:rsidRPr="00362517" w:rsidRDefault="00D8365A" w:rsidP="00BF6BC7">
            <w:pPr>
              <w:jc w:val="right"/>
            </w:pPr>
            <w:r w:rsidRPr="00362517">
              <w:t>4,991</w:t>
            </w:r>
          </w:p>
        </w:tc>
        <w:tc>
          <w:tcPr>
            <w:tcW w:w="860" w:type="pct"/>
            <w:tcBorders>
              <w:top w:val="nil"/>
              <w:left w:val="nil"/>
              <w:bottom w:val="single" w:sz="4" w:space="0" w:color="auto"/>
              <w:right w:val="single" w:sz="4" w:space="0" w:color="auto"/>
            </w:tcBorders>
            <w:shd w:val="clear" w:color="auto" w:fill="auto"/>
            <w:noWrap/>
            <w:vAlign w:val="bottom"/>
            <w:hideMark/>
          </w:tcPr>
          <w:p w14:paraId="6FE82423" w14:textId="77777777" w:rsidR="00D8365A" w:rsidRPr="00362517" w:rsidRDefault="00D8365A" w:rsidP="00BF6BC7">
            <w:pPr>
              <w:jc w:val="right"/>
            </w:pPr>
            <w:r w:rsidRPr="00362517">
              <w:t>3,270</w:t>
            </w:r>
          </w:p>
        </w:tc>
        <w:tc>
          <w:tcPr>
            <w:tcW w:w="1050" w:type="pct"/>
            <w:tcBorders>
              <w:top w:val="nil"/>
              <w:left w:val="nil"/>
              <w:bottom w:val="single" w:sz="4" w:space="0" w:color="auto"/>
              <w:right w:val="single" w:sz="8" w:space="0" w:color="auto"/>
            </w:tcBorders>
            <w:shd w:val="clear" w:color="auto" w:fill="auto"/>
            <w:noWrap/>
            <w:vAlign w:val="bottom"/>
            <w:hideMark/>
          </w:tcPr>
          <w:p w14:paraId="37BF3DDD" w14:textId="77777777" w:rsidR="00D8365A" w:rsidRPr="00362517" w:rsidRDefault="00D8365A" w:rsidP="00BF6BC7">
            <w:pPr>
              <w:jc w:val="right"/>
            </w:pPr>
            <w:r w:rsidRPr="00362517">
              <w:t>372</w:t>
            </w:r>
          </w:p>
        </w:tc>
      </w:tr>
      <w:tr w:rsidR="00D8365A" w:rsidRPr="00362517" w14:paraId="21AD309A"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4454AADA" w14:textId="77777777" w:rsidR="00D8365A" w:rsidRPr="00362517" w:rsidRDefault="00D8365A" w:rsidP="00BF6BC7">
            <w:r w:rsidRPr="00362517">
              <w:t>Georgia</w:t>
            </w:r>
          </w:p>
        </w:tc>
        <w:tc>
          <w:tcPr>
            <w:tcW w:w="867" w:type="pct"/>
            <w:tcBorders>
              <w:top w:val="nil"/>
              <w:left w:val="nil"/>
              <w:bottom w:val="single" w:sz="4" w:space="0" w:color="auto"/>
              <w:right w:val="single" w:sz="4" w:space="0" w:color="auto"/>
            </w:tcBorders>
            <w:shd w:val="clear" w:color="auto" w:fill="auto"/>
            <w:noWrap/>
            <w:vAlign w:val="bottom"/>
            <w:hideMark/>
          </w:tcPr>
          <w:p w14:paraId="7F2B3CFE" w14:textId="77777777" w:rsidR="00D8365A" w:rsidRPr="00362517" w:rsidRDefault="00D8365A" w:rsidP="00BF6BC7">
            <w:pPr>
              <w:jc w:val="right"/>
            </w:pPr>
            <w:r w:rsidRPr="00362517">
              <w:t>2,159</w:t>
            </w:r>
          </w:p>
        </w:tc>
        <w:tc>
          <w:tcPr>
            <w:tcW w:w="882" w:type="pct"/>
            <w:tcBorders>
              <w:top w:val="nil"/>
              <w:left w:val="nil"/>
              <w:bottom w:val="single" w:sz="4" w:space="0" w:color="auto"/>
              <w:right w:val="single" w:sz="4" w:space="0" w:color="auto"/>
            </w:tcBorders>
            <w:shd w:val="clear" w:color="auto" w:fill="auto"/>
            <w:noWrap/>
            <w:vAlign w:val="bottom"/>
            <w:hideMark/>
          </w:tcPr>
          <w:p w14:paraId="38CFC746" w14:textId="77777777" w:rsidR="00D8365A" w:rsidRPr="00362517" w:rsidRDefault="00D8365A" w:rsidP="00BF6BC7">
            <w:pPr>
              <w:jc w:val="right"/>
            </w:pPr>
            <w:r w:rsidRPr="00362517">
              <w:t>795</w:t>
            </w:r>
          </w:p>
        </w:tc>
        <w:tc>
          <w:tcPr>
            <w:tcW w:w="860" w:type="pct"/>
            <w:tcBorders>
              <w:top w:val="nil"/>
              <w:left w:val="nil"/>
              <w:bottom w:val="single" w:sz="4" w:space="0" w:color="auto"/>
              <w:right w:val="single" w:sz="4" w:space="0" w:color="auto"/>
            </w:tcBorders>
            <w:shd w:val="clear" w:color="auto" w:fill="auto"/>
            <w:noWrap/>
            <w:vAlign w:val="bottom"/>
            <w:hideMark/>
          </w:tcPr>
          <w:p w14:paraId="161C8A98" w14:textId="77777777" w:rsidR="00D8365A" w:rsidRPr="00362517" w:rsidRDefault="00D8365A" w:rsidP="00BF6BC7">
            <w:pPr>
              <w:jc w:val="right"/>
            </w:pPr>
            <w:r w:rsidRPr="00362517">
              <w:t>1,363</w:t>
            </w:r>
          </w:p>
        </w:tc>
        <w:tc>
          <w:tcPr>
            <w:tcW w:w="1050" w:type="pct"/>
            <w:tcBorders>
              <w:top w:val="nil"/>
              <w:left w:val="nil"/>
              <w:bottom w:val="single" w:sz="4" w:space="0" w:color="auto"/>
              <w:right w:val="single" w:sz="8" w:space="0" w:color="auto"/>
            </w:tcBorders>
            <w:shd w:val="clear" w:color="auto" w:fill="auto"/>
            <w:noWrap/>
            <w:vAlign w:val="bottom"/>
            <w:hideMark/>
          </w:tcPr>
          <w:p w14:paraId="5FFDAB9B" w14:textId="77777777" w:rsidR="00D8365A" w:rsidRPr="00362517" w:rsidRDefault="00D8365A" w:rsidP="00BF6BC7">
            <w:pPr>
              <w:jc w:val="right"/>
            </w:pPr>
            <w:r w:rsidRPr="00362517">
              <w:t>155</w:t>
            </w:r>
          </w:p>
        </w:tc>
      </w:tr>
      <w:tr w:rsidR="00D8365A" w:rsidRPr="00362517" w14:paraId="314861B5"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0C2E4EE1" w14:textId="77777777" w:rsidR="00D8365A" w:rsidRPr="00362517" w:rsidRDefault="00D8365A" w:rsidP="00BF6BC7">
            <w:r w:rsidRPr="00362517">
              <w:t>Hawaii</w:t>
            </w:r>
          </w:p>
        </w:tc>
        <w:tc>
          <w:tcPr>
            <w:tcW w:w="867" w:type="pct"/>
            <w:tcBorders>
              <w:top w:val="nil"/>
              <w:left w:val="nil"/>
              <w:bottom w:val="single" w:sz="4" w:space="0" w:color="auto"/>
              <w:right w:val="single" w:sz="4" w:space="0" w:color="auto"/>
            </w:tcBorders>
            <w:shd w:val="clear" w:color="auto" w:fill="auto"/>
            <w:noWrap/>
            <w:vAlign w:val="bottom"/>
            <w:hideMark/>
          </w:tcPr>
          <w:p w14:paraId="6794B36D" w14:textId="77777777" w:rsidR="00D8365A" w:rsidRPr="00362517" w:rsidRDefault="00D8365A" w:rsidP="00BF6BC7">
            <w:pPr>
              <w:jc w:val="right"/>
            </w:pPr>
            <w:r w:rsidRPr="00362517">
              <w:t>940</w:t>
            </w:r>
          </w:p>
        </w:tc>
        <w:tc>
          <w:tcPr>
            <w:tcW w:w="882" w:type="pct"/>
            <w:tcBorders>
              <w:top w:val="nil"/>
              <w:left w:val="nil"/>
              <w:bottom w:val="single" w:sz="4" w:space="0" w:color="auto"/>
              <w:right w:val="single" w:sz="4" w:space="0" w:color="auto"/>
            </w:tcBorders>
            <w:shd w:val="clear" w:color="auto" w:fill="auto"/>
            <w:noWrap/>
            <w:vAlign w:val="bottom"/>
            <w:hideMark/>
          </w:tcPr>
          <w:p w14:paraId="4EB44473" w14:textId="77777777" w:rsidR="00D8365A" w:rsidRPr="00362517" w:rsidRDefault="00D8365A" w:rsidP="00BF6BC7">
            <w:pPr>
              <w:jc w:val="right"/>
            </w:pPr>
            <w:r w:rsidRPr="00362517">
              <w:t>228</w:t>
            </w:r>
          </w:p>
        </w:tc>
        <w:tc>
          <w:tcPr>
            <w:tcW w:w="860" w:type="pct"/>
            <w:tcBorders>
              <w:top w:val="nil"/>
              <w:left w:val="nil"/>
              <w:bottom w:val="single" w:sz="4" w:space="0" w:color="auto"/>
              <w:right w:val="single" w:sz="4" w:space="0" w:color="auto"/>
            </w:tcBorders>
            <w:shd w:val="clear" w:color="auto" w:fill="auto"/>
            <w:noWrap/>
            <w:vAlign w:val="bottom"/>
            <w:hideMark/>
          </w:tcPr>
          <w:p w14:paraId="74B2C02C" w14:textId="77777777" w:rsidR="00D8365A" w:rsidRPr="00362517" w:rsidRDefault="00D8365A" w:rsidP="00BF6BC7">
            <w:pPr>
              <w:jc w:val="right"/>
            </w:pPr>
            <w:r w:rsidRPr="00362517">
              <w:t>712</w:t>
            </w:r>
          </w:p>
        </w:tc>
        <w:tc>
          <w:tcPr>
            <w:tcW w:w="1050" w:type="pct"/>
            <w:tcBorders>
              <w:top w:val="nil"/>
              <w:left w:val="nil"/>
              <w:bottom w:val="single" w:sz="4" w:space="0" w:color="auto"/>
              <w:right w:val="single" w:sz="8" w:space="0" w:color="auto"/>
            </w:tcBorders>
            <w:shd w:val="clear" w:color="auto" w:fill="auto"/>
            <w:noWrap/>
            <w:vAlign w:val="bottom"/>
            <w:hideMark/>
          </w:tcPr>
          <w:p w14:paraId="0883545E" w14:textId="77777777" w:rsidR="00D8365A" w:rsidRPr="00362517" w:rsidRDefault="00D8365A" w:rsidP="00BF6BC7">
            <w:pPr>
              <w:jc w:val="right"/>
            </w:pPr>
            <w:r w:rsidRPr="00362517">
              <w:t>81</w:t>
            </w:r>
          </w:p>
        </w:tc>
      </w:tr>
      <w:tr w:rsidR="00D8365A" w:rsidRPr="00362517" w14:paraId="68CDC643"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40D92223" w14:textId="77777777" w:rsidR="00D8365A" w:rsidRPr="00362517" w:rsidRDefault="00D8365A" w:rsidP="00BF6BC7">
            <w:r w:rsidRPr="00362517">
              <w:t>Idaho</w:t>
            </w:r>
          </w:p>
        </w:tc>
        <w:tc>
          <w:tcPr>
            <w:tcW w:w="867" w:type="pct"/>
            <w:tcBorders>
              <w:top w:val="nil"/>
              <w:left w:val="nil"/>
              <w:bottom w:val="single" w:sz="4" w:space="0" w:color="auto"/>
              <w:right w:val="single" w:sz="4" w:space="0" w:color="auto"/>
            </w:tcBorders>
            <w:shd w:val="clear" w:color="auto" w:fill="auto"/>
            <w:noWrap/>
            <w:vAlign w:val="bottom"/>
            <w:hideMark/>
          </w:tcPr>
          <w:p w14:paraId="64FF7A32" w14:textId="77777777" w:rsidR="00D8365A" w:rsidRPr="00362517" w:rsidRDefault="00D8365A" w:rsidP="00BF6BC7">
            <w:pPr>
              <w:jc w:val="right"/>
            </w:pPr>
            <w:r w:rsidRPr="00362517">
              <w:t>1,692</w:t>
            </w:r>
          </w:p>
        </w:tc>
        <w:tc>
          <w:tcPr>
            <w:tcW w:w="882" w:type="pct"/>
            <w:tcBorders>
              <w:top w:val="nil"/>
              <w:left w:val="nil"/>
              <w:bottom w:val="single" w:sz="4" w:space="0" w:color="auto"/>
              <w:right w:val="single" w:sz="4" w:space="0" w:color="auto"/>
            </w:tcBorders>
            <w:shd w:val="clear" w:color="auto" w:fill="auto"/>
            <w:noWrap/>
            <w:vAlign w:val="bottom"/>
            <w:hideMark/>
          </w:tcPr>
          <w:p w14:paraId="37FFB611" w14:textId="77777777" w:rsidR="00D8365A" w:rsidRPr="00362517" w:rsidRDefault="00D8365A" w:rsidP="00BF6BC7">
            <w:pPr>
              <w:jc w:val="right"/>
            </w:pPr>
            <w:r w:rsidRPr="00362517">
              <w:t>720</w:t>
            </w:r>
          </w:p>
        </w:tc>
        <w:tc>
          <w:tcPr>
            <w:tcW w:w="860" w:type="pct"/>
            <w:tcBorders>
              <w:top w:val="nil"/>
              <w:left w:val="nil"/>
              <w:bottom w:val="single" w:sz="4" w:space="0" w:color="auto"/>
              <w:right w:val="single" w:sz="4" w:space="0" w:color="auto"/>
            </w:tcBorders>
            <w:shd w:val="clear" w:color="auto" w:fill="auto"/>
            <w:noWrap/>
            <w:vAlign w:val="bottom"/>
            <w:hideMark/>
          </w:tcPr>
          <w:p w14:paraId="67F88536" w14:textId="77777777" w:rsidR="00D8365A" w:rsidRPr="00362517" w:rsidRDefault="00D8365A" w:rsidP="00BF6BC7">
            <w:pPr>
              <w:jc w:val="right"/>
            </w:pPr>
            <w:r w:rsidRPr="00362517">
              <w:t>972</w:t>
            </w:r>
          </w:p>
        </w:tc>
        <w:tc>
          <w:tcPr>
            <w:tcW w:w="1050" w:type="pct"/>
            <w:tcBorders>
              <w:top w:val="nil"/>
              <w:left w:val="nil"/>
              <w:bottom w:val="single" w:sz="4" w:space="0" w:color="auto"/>
              <w:right w:val="single" w:sz="8" w:space="0" w:color="auto"/>
            </w:tcBorders>
            <w:shd w:val="clear" w:color="auto" w:fill="auto"/>
            <w:noWrap/>
            <w:vAlign w:val="bottom"/>
            <w:hideMark/>
          </w:tcPr>
          <w:p w14:paraId="441B5D0E" w14:textId="77777777" w:rsidR="00D8365A" w:rsidRPr="00362517" w:rsidRDefault="00D8365A" w:rsidP="00BF6BC7">
            <w:pPr>
              <w:jc w:val="right"/>
            </w:pPr>
            <w:r w:rsidRPr="00362517">
              <w:t>111</w:t>
            </w:r>
          </w:p>
        </w:tc>
      </w:tr>
      <w:tr w:rsidR="00D8365A" w:rsidRPr="00362517" w14:paraId="67EB87B4"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393BF2EC" w14:textId="77777777" w:rsidR="00D8365A" w:rsidRPr="00362517" w:rsidRDefault="00D8365A" w:rsidP="00BF6BC7">
            <w:r w:rsidRPr="00362517">
              <w:t>Illinois</w:t>
            </w:r>
          </w:p>
        </w:tc>
        <w:tc>
          <w:tcPr>
            <w:tcW w:w="867" w:type="pct"/>
            <w:tcBorders>
              <w:top w:val="nil"/>
              <w:left w:val="nil"/>
              <w:bottom w:val="single" w:sz="4" w:space="0" w:color="auto"/>
              <w:right w:val="single" w:sz="4" w:space="0" w:color="auto"/>
            </w:tcBorders>
            <w:shd w:val="clear" w:color="auto" w:fill="auto"/>
            <w:noWrap/>
            <w:vAlign w:val="bottom"/>
            <w:hideMark/>
          </w:tcPr>
          <w:p w14:paraId="4BE327DE" w14:textId="77777777" w:rsidR="00D8365A" w:rsidRPr="00362517" w:rsidRDefault="00D8365A" w:rsidP="00BF6BC7">
            <w:pPr>
              <w:jc w:val="right"/>
            </w:pPr>
            <w:r w:rsidRPr="00362517">
              <w:t>2,046</w:t>
            </w:r>
          </w:p>
        </w:tc>
        <w:tc>
          <w:tcPr>
            <w:tcW w:w="882" w:type="pct"/>
            <w:tcBorders>
              <w:top w:val="nil"/>
              <w:left w:val="nil"/>
              <w:bottom w:val="single" w:sz="4" w:space="0" w:color="auto"/>
              <w:right w:val="single" w:sz="4" w:space="0" w:color="auto"/>
            </w:tcBorders>
            <w:shd w:val="clear" w:color="auto" w:fill="auto"/>
            <w:noWrap/>
            <w:vAlign w:val="bottom"/>
            <w:hideMark/>
          </w:tcPr>
          <w:p w14:paraId="647D4B35" w14:textId="77777777" w:rsidR="00D8365A" w:rsidRPr="00362517" w:rsidRDefault="00D8365A" w:rsidP="00BF6BC7">
            <w:pPr>
              <w:jc w:val="right"/>
            </w:pPr>
            <w:r w:rsidRPr="00362517">
              <w:t>1,213</w:t>
            </w:r>
          </w:p>
        </w:tc>
        <w:tc>
          <w:tcPr>
            <w:tcW w:w="860" w:type="pct"/>
            <w:tcBorders>
              <w:top w:val="nil"/>
              <w:left w:val="nil"/>
              <w:bottom w:val="single" w:sz="4" w:space="0" w:color="auto"/>
              <w:right w:val="single" w:sz="4" w:space="0" w:color="auto"/>
            </w:tcBorders>
            <w:shd w:val="clear" w:color="auto" w:fill="auto"/>
            <w:noWrap/>
            <w:vAlign w:val="bottom"/>
            <w:hideMark/>
          </w:tcPr>
          <w:p w14:paraId="35BB2F1C" w14:textId="77777777" w:rsidR="00D8365A" w:rsidRPr="00362517" w:rsidRDefault="00D8365A" w:rsidP="00BF6BC7">
            <w:pPr>
              <w:jc w:val="right"/>
            </w:pPr>
            <w:r w:rsidRPr="00362517">
              <w:t>833</w:t>
            </w:r>
          </w:p>
        </w:tc>
        <w:tc>
          <w:tcPr>
            <w:tcW w:w="1050" w:type="pct"/>
            <w:tcBorders>
              <w:top w:val="nil"/>
              <w:left w:val="nil"/>
              <w:bottom w:val="single" w:sz="4" w:space="0" w:color="auto"/>
              <w:right w:val="single" w:sz="8" w:space="0" w:color="auto"/>
            </w:tcBorders>
            <w:shd w:val="clear" w:color="auto" w:fill="auto"/>
            <w:noWrap/>
            <w:vAlign w:val="bottom"/>
            <w:hideMark/>
          </w:tcPr>
          <w:p w14:paraId="690B0C80" w14:textId="77777777" w:rsidR="00D8365A" w:rsidRPr="00362517" w:rsidRDefault="00D8365A" w:rsidP="00BF6BC7">
            <w:pPr>
              <w:jc w:val="right"/>
            </w:pPr>
            <w:r w:rsidRPr="00362517">
              <w:t>95</w:t>
            </w:r>
          </w:p>
        </w:tc>
      </w:tr>
      <w:tr w:rsidR="00D8365A" w:rsidRPr="00362517" w14:paraId="76CBCDA4"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51C1F23C" w14:textId="77777777" w:rsidR="00D8365A" w:rsidRPr="00362517" w:rsidRDefault="00D8365A" w:rsidP="00BF6BC7">
            <w:r w:rsidRPr="00362517">
              <w:t>Indiana</w:t>
            </w:r>
          </w:p>
        </w:tc>
        <w:tc>
          <w:tcPr>
            <w:tcW w:w="867" w:type="pct"/>
            <w:tcBorders>
              <w:top w:val="nil"/>
              <w:left w:val="nil"/>
              <w:bottom w:val="single" w:sz="4" w:space="0" w:color="auto"/>
              <w:right w:val="single" w:sz="4" w:space="0" w:color="auto"/>
            </w:tcBorders>
            <w:shd w:val="clear" w:color="auto" w:fill="auto"/>
            <w:noWrap/>
            <w:vAlign w:val="bottom"/>
            <w:hideMark/>
          </w:tcPr>
          <w:p w14:paraId="1876CC94" w14:textId="77777777" w:rsidR="00D8365A" w:rsidRPr="00362517" w:rsidRDefault="00D8365A" w:rsidP="00BF6BC7">
            <w:pPr>
              <w:jc w:val="right"/>
            </w:pPr>
            <w:r w:rsidRPr="00362517">
              <w:t>3,737</w:t>
            </w:r>
          </w:p>
        </w:tc>
        <w:tc>
          <w:tcPr>
            <w:tcW w:w="882" w:type="pct"/>
            <w:tcBorders>
              <w:top w:val="nil"/>
              <w:left w:val="nil"/>
              <w:bottom w:val="single" w:sz="4" w:space="0" w:color="auto"/>
              <w:right w:val="single" w:sz="4" w:space="0" w:color="auto"/>
            </w:tcBorders>
            <w:shd w:val="clear" w:color="auto" w:fill="auto"/>
            <w:noWrap/>
            <w:vAlign w:val="bottom"/>
            <w:hideMark/>
          </w:tcPr>
          <w:p w14:paraId="20930902" w14:textId="77777777" w:rsidR="00D8365A" w:rsidRPr="00362517" w:rsidRDefault="00D8365A" w:rsidP="00BF6BC7">
            <w:pPr>
              <w:jc w:val="right"/>
            </w:pPr>
            <w:r w:rsidRPr="00362517">
              <w:t>2,841</w:t>
            </w:r>
          </w:p>
        </w:tc>
        <w:tc>
          <w:tcPr>
            <w:tcW w:w="860" w:type="pct"/>
            <w:tcBorders>
              <w:top w:val="nil"/>
              <w:left w:val="nil"/>
              <w:bottom w:val="single" w:sz="4" w:space="0" w:color="auto"/>
              <w:right w:val="single" w:sz="4" w:space="0" w:color="auto"/>
            </w:tcBorders>
            <w:shd w:val="clear" w:color="auto" w:fill="auto"/>
            <w:noWrap/>
            <w:vAlign w:val="bottom"/>
            <w:hideMark/>
          </w:tcPr>
          <w:p w14:paraId="43CD50E4" w14:textId="77777777" w:rsidR="00D8365A" w:rsidRPr="00362517" w:rsidRDefault="00D8365A" w:rsidP="00BF6BC7">
            <w:pPr>
              <w:jc w:val="right"/>
            </w:pPr>
            <w:r w:rsidRPr="00362517">
              <w:t>896</w:t>
            </w:r>
          </w:p>
        </w:tc>
        <w:tc>
          <w:tcPr>
            <w:tcW w:w="1050" w:type="pct"/>
            <w:tcBorders>
              <w:top w:val="nil"/>
              <w:left w:val="nil"/>
              <w:bottom w:val="single" w:sz="4" w:space="0" w:color="auto"/>
              <w:right w:val="single" w:sz="8" w:space="0" w:color="auto"/>
            </w:tcBorders>
            <w:shd w:val="clear" w:color="auto" w:fill="auto"/>
            <w:noWrap/>
            <w:vAlign w:val="bottom"/>
            <w:hideMark/>
          </w:tcPr>
          <w:p w14:paraId="36A51963" w14:textId="77777777" w:rsidR="00D8365A" w:rsidRPr="00362517" w:rsidRDefault="00D8365A" w:rsidP="00BF6BC7">
            <w:pPr>
              <w:jc w:val="right"/>
            </w:pPr>
            <w:r w:rsidRPr="00362517">
              <w:t>102</w:t>
            </w:r>
          </w:p>
        </w:tc>
      </w:tr>
      <w:tr w:rsidR="00D8365A" w:rsidRPr="00362517" w14:paraId="78373296"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039D1540" w14:textId="77777777" w:rsidR="00D8365A" w:rsidRPr="00362517" w:rsidRDefault="00D8365A" w:rsidP="00BF6BC7">
            <w:r w:rsidRPr="00362517">
              <w:t>Iowa</w:t>
            </w:r>
          </w:p>
        </w:tc>
        <w:tc>
          <w:tcPr>
            <w:tcW w:w="867" w:type="pct"/>
            <w:tcBorders>
              <w:top w:val="nil"/>
              <w:left w:val="nil"/>
              <w:bottom w:val="single" w:sz="4" w:space="0" w:color="auto"/>
              <w:right w:val="single" w:sz="4" w:space="0" w:color="auto"/>
            </w:tcBorders>
            <w:shd w:val="clear" w:color="auto" w:fill="auto"/>
            <w:noWrap/>
            <w:vAlign w:val="bottom"/>
            <w:hideMark/>
          </w:tcPr>
          <w:p w14:paraId="3C44F7B7" w14:textId="77777777" w:rsidR="00D8365A" w:rsidRPr="00362517" w:rsidRDefault="00D8365A" w:rsidP="00BF6BC7">
            <w:pPr>
              <w:jc w:val="right"/>
            </w:pPr>
            <w:r w:rsidRPr="00362517">
              <w:t>4,447</w:t>
            </w:r>
          </w:p>
        </w:tc>
        <w:tc>
          <w:tcPr>
            <w:tcW w:w="882" w:type="pct"/>
            <w:tcBorders>
              <w:top w:val="nil"/>
              <w:left w:val="nil"/>
              <w:bottom w:val="single" w:sz="4" w:space="0" w:color="auto"/>
              <w:right w:val="single" w:sz="4" w:space="0" w:color="auto"/>
            </w:tcBorders>
            <w:shd w:val="clear" w:color="auto" w:fill="auto"/>
            <w:noWrap/>
            <w:vAlign w:val="bottom"/>
            <w:hideMark/>
          </w:tcPr>
          <w:p w14:paraId="3CDFFB8D" w14:textId="77777777" w:rsidR="00D8365A" w:rsidRPr="00362517" w:rsidRDefault="00D8365A" w:rsidP="00BF6BC7">
            <w:pPr>
              <w:jc w:val="right"/>
            </w:pPr>
            <w:r w:rsidRPr="00362517">
              <w:t>3,426</w:t>
            </w:r>
          </w:p>
        </w:tc>
        <w:tc>
          <w:tcPr>
            <w:tcW w:w="860" w:type="pct"/>
            <w:tcBorders>
              <w:top w:val="nil"/>
              <w:left w:val="nil"/>
              <w:bottom w:val="single" w:sz="4" w:space="0" w:color="auto"/>
              <w:right w:val="single" w:sz="4" w:space="0" w:color="auto"/>
            </w:tcBorders>
            <w:shd w:val="clear" w:color="auto" w:fill="auto"/>
            <w:noWrap/>
            <w:vAlign w:val="bottom"/>
            <w:hideMark/>
          </w:tcPr>
          <w:p w14:paraId="77C2226A" w14:textId="77777777" w:rsidR="00D8365A" w:rsidRPr="00362517" w:rsidRDefault="00D8365A" w:rsidP="00BF6BC7">
            <w:pPr>
              <w:jc w:val="right"/>
            </w:pPr>
            <w:r w:rsidRPr="00362517">
              <w:t>1,021</w:t>
            </w:r>
          </w:p>
        </w:tc>
        <w:tc>
          <w:tcPr>
            <w:tcW w:w="1050" w:type="pct"/>
            <w:tcBorders>
              <w:top w:val="nil"/>
              <w:left w:val="nil"/>
              <w:bottom w:val="single" w:sz="4" w:space="0" w:color="auto"/>
              <w:right w:val="single" w:sz="8" w:space="0" w:color="auto"/>
            </w:tcBorders>
            <w:shd w:val="clear" w:color="auto" w:fill="auto"/>
            <w:noWrap/>
            <w:vAlign w:val="bottom"/>
            <w:hideMark/>
          </w:tcPr>
          <w:p w14:paraId="6DAF46AC" w14:textId="77777777" w:rsidR="00D8365A" w:rsidRPr="00362517" w:rsidRDefault="00D8365A" w:rsidP="00BF6BC7">
            <w:pPr>
              <w:jc w:val="right"/>
            </w:pPr>
            <w:r w:rsidRPr="00362517">
              <w:t>116</w:t>
            </w:r>
          </w:p>
        </w:tc>
      </w:tr>
      <w:tr w:rsidR="00D8365A" w:rsidRPr="00362517" w14:paraId="3F849396"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789C994D" w14:textId="77777777" w:rsidR="00D8365A" w:rsidRPr="00362517" w:rsidRDefault="00D8365A" w:rsidP="00BF6BC7">
            <w:r w:rsidRPr="00362517">
              <w:t>Kansas</w:t>
            </w:r>
          </w:p>
        </w:tc>
        <w:tc>
          <w:tcPr>
            <w:tcW w:w="867" w:type="pct"/>
            <w:tcBorders>
              <w:top w:val="nil"/>
              <w:left w:val="nil"/>
              <w:bottom w:val="single" w:sz="4" w:space="0" w:color="auto"/>
              <w:right w:val="single" w:sz="4" w:space="0" w:color="auto"/>
            </w:tcBorders>
            <w:shd w:val="clear" w:color="auto" w:fill="auto"/>
            <w:noWrap/>
            <w:vAlign w:val="bottom"/>
            <w:hideMark/>
          </w:tcPr>
          <w:p w14:paraId="2AB22612" w14:textId="77777777" w:rsidR="00D8365A" w:rsidRPr="00362517" w:rsidRDefault="00D8365A" w:rsidP="00BF6BC7">
            <w:pPr>
              <w:jc w:val="right"/>
            </w:pPr>
            <w:r w:rsidRPr="00362517">
              <w:t>1,844</w:t>
            </w:r>
          </w:p>
        </w:tc>
        <w:tc>
          <w:tcPr>
            <w:tcW w:w="882" w:type="pct"/>
            <w:tcBorders>
              <w:top w:val="nil"/>
              <w:left w:val="nil"/>
              <w:bottom w:val="single" w:sz="4" w:space="0" w:color="auto"/>
              <w:right w:val="single" w:sz="4" w:space="0" w:color="auto"/>
            </w:tcBorders>
            <w:shd w:val="clear" w:color="auto" w:fill="auto"/>
            <w:noWrap/>
            <w:vAlign w:val="bottom"/>
            <w:hideMark/>
          </w:tcPr>
          <w:p w14:paraId="0F6B4733" w14:textId="77777777" w:rsidR="00D8365A" w:rsidRPr="00362517" w:rsidRDefault="00D8365A" w:rsidP="00BF6BC7">
            <w:pPr>
              <w:jc w:val="right"/>
            </w:pPr>
            <w:r w:rsidRPr="00362517">
              <w:t>366</w:t>
            </w:r>
          </w:p>
        </w:tc>
        <w:tc>
          <w:tcPr>
            <w:tcW w:w="860" w:type="pct"/>
            <w:tcBorders>
              <w:top w:val="nil"/>
              <w:left w:val="nil"/>
              <w:bottom w:val="single" w:sz="4" w:space="0" w:color="auto"/>
              <w:right w:val="single" w:sz="4" w:space="0" w:color="auto"/>
            </w:tcBorders>
            <w:shd w:val="clear" w:color="auto" w:fill="auto"/>
            <w:noWrap/>
            <w:vAlign w:val="bottom"/>
            <w:hideMark/>
          </w:tcPr>
          <w:p w14:paraId="21972E05" w14:textId="77777777" w:rsidR="00D8365A" w:rsidRPr="00362517" w:rsidRDefault="00D8365A" w:rsidP="00BF6BC7">
            <w:pPr>
              <w:jc w:val="right"/>
            </w:pPr>
            <w:r w:rsidRPr="00362517">
              <w:t>1,477</w:t>
            </w:r>
          </w:p>
        </w:tc>
        <w:tc>
          <w:tcPr>
            <w:tcW w:w="1050" w:type="pct"/>
            <w:tcBorders>
              <w:top w:val="nil"/>
              <w:left w:val="nil"/>
              <w:bottom w:val="single" w:sz="4" w:space="0" w:color="auto"/>
              <w:right w:val="single" w:sz="8" w:space="0" w:color="auto"/>
            </w:tcBorders>
            <w:shd w:val="clear" w:color="auto" w:fill="auto"/>
            <w:noWrap/>
            <w:vAlign w:val="bottom"/>
            <w:hideMark/>
          </w:tcPr>
          <w:p w14:paraId="3FCD3C06" w14:textId="77777777" w:rsidR="00D8365A" w:rsidRPr="00362517" w:rsidRDefault="00D8365A" w:rsidP="00BF6BC7">
            <w:pPr>
              <w:jc w:val="right"/>
            </w:pPr>
            <w:r w:rsidRPr="00362517">
              <w:t>168</w:t>
            </w:r>
          </w:p>
        </w:tc>
      </w:tr>
      <w:tr w:rsidR="00D8365A" w:rsidRPr="00362517" w14:paraId="5B519455"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5C1EC06D" w14:textId="77777777" w:rsidR="00D8365A" w:rsidRPr="00362517" w:rsidRDefault="00D8365A" w:rsidP="00BF6BC7">
            <w:r w:rsidRPr="00362517">
              <w:t>Kentucky</w:t>
            </w:r>
          </w:p>
        </w:tc>
        <w:tc>
          <w:tcPr>
            <w:tcW w:w="867" w:type="pct"/>
            <w:tcBorders>
              <w:top w:val="nil"/>
              <w:left w:val="nil"/>
              <w:bottom w:val="single" w:sz="4" w:space="0" w:color="auto"/>
              <w:right w:val="single" w:sz="4" w:space="0" w:color="auto"/>
            </w:tcBorders>
            <w:shd w:val="clear" w:color="auto" w:fill="auto"/>
            <w:noWrap/>
            <w:vAlign w:val="bottom"/>
            <w:hideMark/>
          </w:tcPr>
          <w:p w14:paraId="22C8F4C2" w14:textId="77777777" w:rsidR="00D8365A" w:rsidRPr="00362517" w:rsidRDefault="00D8365A" w:rsidP="00BF6BC7">
            <w:pPr>
              <w:jc w:val="right"/>
            </w:pPr>
            <w:r w:rsidRPr="00362517">
              <w:t>2,283</w:t>
            </w:r>
          </w:p>
        </w:tc>
        <w:tc>
          <w:tcPr>
            <w:tcW w:w="882" w:type="pct"/>
            <w:tcBorders>
              <w:top w:val="nil"/>
              <w:left w:val="nil"/>
              <w:bottom w:val="single" w:sz="4" w:space="0" w:color="auto"/>
              <w:right w:val="single" w:sz="4" w:space="0" w:color="auto"/>
            </w:tcBorders>
            <w:shd w:val="clear" w:color="auto" w:fill="auto"/>
            <w:noWrap/>
            <w:vAlign w:val="bottom"/>
            <w:hideMark/>
          </w:tcPr>
          <w:p w14:paraId="1262842E" w14:textId="77777777" w:rsidR="00D8365A" w:rsidRPr="00362517" w:rsidRDefault="00D8365A" w:rsidP="00BF6BC7">
            <w:pPr>
              <w:jc w:val="right"/>
            </w:pPr>
            <w:r w:rsidRPr="00362517">
              <w:t>865</w:t>
            </w:r>
          </w:p>
        </w:tc>
        <w:tc>
          <w:tcPr>
            <w:tcW w:w="860" w:type="pct"/>
            <w:tcBorders>
              <w:top w:val="nil"/>
              <w:left w:val="nil"/>
              <w:bottom w:val="single" w:sz="4" w:space="0" w:color="auto"/>
              <w:right w:val="single" w:sz="4" w:space="0" w:color="auto"/>
            </w:tcBorders>
            <w:shd w:val="clear" w:color="auto" w:fill="auto"/>
            <w:noWrap/>
            <w:vAlign w:val="bottom"/>
            <w:hideMark/>
          </w:tcPr>
          <w:p w14:paraId="68759A0C" w14:textId="77777777" w:rsidR="00D8365A" w:rsidRPr="00362517" w:rsidRDefault="00D8365A" w:rsidP="00BF6BC7">
            <w:pPr>
              <w:jc w:val="right"/>
            </w:pPr>
            <w:r w:rsidRPr="00362517">
              <w:t>1,418</w:t>
            </w:r>
          </w:p>
        </w:tc>
        <w:tc>
          <w:tcPr>
            <w:tcW w:w="1050" w:type="pct"/>
            <w:tcBorders>
              <w:top w:val="nil"/>
              <w:left w:val="nil"/>
              <w:bottom w:val="single" w:sz="4" w:space="0" w:color="auto"/>
              <w:right w:val="single" w:sz="8" w:space="0" w:color="auto"/>
            </w:tcBorders>
            <w:shd w:val="clear" w:color="auto" w:fill="auto"/>
            <w:noWrap/>
            <w:vAlign w:val="bottom"/>
            <w:hideMark/>
          </w:tcPr>
          <w:p w14:paraId="02A3A730" w14:textId="77777777" w:rsidR="00D8365A" w:rsidRPr="00362517" w:rsidRDefault="00D8365A" w:rsidP="00BF6BC7">
            <w:pPr>
              <w:jc w:val="right"/>
            </w:pPr>
            <w:r w:rsidRPr="00362517">
              <w:t>161</w:t>
            </w:r>
          </w:p>
        </w:tc>
      </w:tr>
      <w:tr w:rsidR="00D8365A" w:rsidRPr="00362517" w14:paraId="68F4C57D"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63B46E0D" w14:textId="77777777" w:rsidR="00D8365A" w:rsidRPr="00362517" w:rsidRDefault="00D8365A" w:rsidP="00BF6BC7">
            <w:r w:rsidRPr="00362517">
              <w:t>Louisiana</w:t>
            </w:r>
          </w:p>
        </w:tc>
        <w:tc>
          <w:tcPr>
            <w:tcW w:w="867" w:type="pct"/>
            <w:tcBorders>
              <w:top w:val="nil"/>
              <w:left w:val="nil"/>
              <w:bottom w:val="single" w:sz="4" w:space="0" w:color="auto"/>
              <w:right w:val="single" w:sz="4" w:space="0" w:color="auto"/>
            </w:tcBorders>
            <w:shd w:val="clear" w:color="auto" w:fill="auto"/>
            <w:noWrap/>
            <w:vAlign w:val="bottom"/>
            <w:hideMark/>
          </w:tcPr>
          <w:p w14:paraId="1BEECC28" w14:textId="77777777" w:rsidR="00D8365A" w:rsidRPr="00362517" w:rsidRDefault="00D8365A" w:rsidP="00BF6BC7">
            <w:pPr>
              <w:jc w:val="right"/>
            </w:pPr>
            <w:r w:rsidRPr="00362517">
              <w:t>1,503</w:t>
            </w:r>
          </w:p>
        </w:tc>
        <w:tc>
          <w:tcPr>
            <w:tcW w:w="882" w:type="pct"/>
            <w:tcBorders>
              <w:top w:val="nil"/>
              <w:left w:val="nil"/>
              <w:bottom w:val="single" w:sz="4" w:space="0" w:color="auto"/>
              <w:right w:val="single" w:sz="4" w:space="0" w:color="auto"/>
            </w:tcBorders>
            <w:shd w:val="clear" w:color="auto" w:fill="auto"/>
            <w:noWrap/>
            <w:vAlign w:val="bottom"/>
            <w:hideMark/>
          </w:tcPr>
          <w:p w14:paraId="331ACF6F" w14:textId="77777777" w:rsidR="00D8365A" w:rsidRPr="00362517" w:rsidRDefault="00D8365A" w:rsidP="00BF6BC7">
            <w:pPr>
              <w:jc w:val="right"/>
            </w:pPr>
            <w:r w:rsidRPr="00362517">
              <w:t>215</w:t>
            </w:r>
          </w:p>
        </w:tc>
        <w:tc>
          <w:tcPr>
            <w:tcW w:w="860" w:type="pct"/>
            <w:tcBorders>
              <w:top w:val="nil"/>
              <w:left w:val="nil"/>
              <w:bottom w:val="single" w:sz="4" w:space="0" w:color="auto"/>
              <w:right w:val="single" w:sz="4" w:space="0" w:color="auto"/>
            </w:tcBorders>
            <w:shd w:val="clear" w:color="auto" w:fill="auto"/>
            <w:noWrap/>
            <w:vAlign w:val="bottom"/>
            <w:hideMark/>
          </w:tcPr>
          <w:p w14:paraId="269491F1" w14:textId="77777777" w:rsidR="00D8365A" w:rsidRPr="00362517" w:rsidRDefault="00D8365A" w:rsidP="00BF6BC7">
            <w:pPr>
              <w:jc w:val="right"/>
            </w:pPr>
            <w:r w:rsidRPr="00362517">
              <w:t>1,288</w:t>
            </w:r>
          </w:p>
        </w:tc>
        <w:tc>
          <w:tcPr>
            <w:tcW w:w="1050" w:type="pct"/>
            <w:tcBorders>
              <w:top w:val="nil"/>
              <w:left w:val="nil"/>
              <w:bottom w:val="single" w:sz="4" w:space="0" w:color="auto"/>
              <w:right w:val="single" w:sz="8" w:space="0" w:color="auto"/>
            </w:tcBorders>
            <w:shd w:val="clear" w:color="auto" w:fill="auto"/>
            <w:noWrap/>
            <w:vAlign w:val="bottom"/>
            <w:hideMark/>
          </w:tcPr>
          <w:p w14:paraId="2CAFA25E" w14:textId="77777777" w:rsidR="00D8365A" w:rsidRPr="00362517" w:rsidRDefault="00D8365A" w:rsidP="00BF6BC7">
            <w:pPr>
              <w:jc w:val="right"/>
            </w:pPr>
            <w:r w:rsidRPr="00362517">
              <w:t>147</w:t>
            </w:r>
          </w:p>
        </w:tc>
      </w:tr>
      <w:tr w:rsidR="00D8365A" w:rsidRPr="00362517" w14:paraId="036C48B0"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11494858" w14:textId="77777777" w:rsidR="00D8365A" w:rsidRPr="00362517" w:rsidRDefault="00D8365A" w:rsidP="00BF6BC7">
            <w:r w:rsidRPr="00362517">
              <w:t>Maine</w:t>
            </w:r>
          </w:p>
        </w:tc>
        <w:tc>
          <w:tcPr>
            <w:tcW w:w="867" w:type="pct"/>
            <w:tcBorders>
              <w:top w:val="nil"/>
              <w:left w:val="nil"/>
              <w:bottom w:val="single" w:sz="4" w:space="0" w:color="auto"/>
              <w:right w:val="single" w:sz="4" w:space="0" w:color="auto"/>
            </w:tcBorders>
            <w:shd w:val="clear" w:color="auto" w:fill="auto"/>
            <w:noWrap/>
            <w:vAlign w:val="bottom"/>
            <w:hideMark/>
          </w:tcPr>
          <w:p w14:paraId="43691C14" w14:textId="77777777" w:rsidR="00D8365A" w:rsidRPr="00362517" w:rsidRDefault="00D8365A" w:rsidP="00BF6BC7">
            <w:pPr>
              <w:jc w:val="right"/>
            </w:pPr>
            <w:r w:rsidRPr="00362517">
              <w:t>860</w:t>
            </w:r>
          </w:p>
        </w:tc>
        <w:tc>
          <w:tcPr>
            <w:tcW w:w="882" w:type="pct"/>
            <w:tcBorders>
              <w:top w:val="nil"/>
              <w:left w:val="nil"/>
              <w:bottom w:val="single" w:sz="4" w:space="0" w:color="auto"/>
              <w:right w:val="single" w:sz="4" w:space="0" w:color="auto"/>
            </w:tcBorders>
            <w:shd w:val="clear" w:color="auto" w:fill="auto"/>
            <w:noWrap/>
            <w:vAlign w:val="bottom"/>
            <w:hideMark/>
          </w:tcPr>
          <w:p w14:paraId="32670960" w14:textId="77777777" w:rsidR="00D8365A" w:rsidRPr="00362517" w:rsidRDefault="00D8365A" w:rsidP="00BF6BC7">
            <w:pPr>
              <w:jc w:val="right"/>
            </w:pPr>
            <w:r w:rsidRPr="00362517">
              <w:t>155</w:t>
            </w:r>
          </w:p>
        </w:tc>
        <w:tc>
          <w:tcPr>
            <w:tcW w:w="860" w:type="pct"/>
            <w:tcBorders>
              <w:top w:val="nil"/>
              <w:left w:val="nil"/>
              <w:bottom w:val="single" w:sz="4" w:space="0" w:color="auto"/>
              <w:right w:val="single" w:sz="4" w:space="0" w:color="auto"/>
            </w:tcBorders>
            <w:shd w:val="clear" w:color="auto" w:fill="auto"/>
            <w:noWrap/>
            <w:vAlign w:val="bottom"/>
            <w:hideMark/>
          </w:tcPr>
          <w:p w14:paraId="35DF871C" w14:textId="77777777" w:rsidR="00D8365A" w:rsidRPr="00362517" w:rsidRDefault="00D8365A" w:rsidP="00BF6BC7">
            <w:pPr>
              <w:jc w:val="right"/>
            </w:pPr>
            <w:r w:rsidRPr="00362517">
              <w:t>704</w:t>
            </w:r>
          </w:p>
        </w:tc>
        <w:tc>
          <w:tcPr>
            <w:tcW w:w="1050" w:type="pct"/>
            <w:tcBorders>
              <w:top w:val="nil"/>
              <w:left w:val="nil"/>
              <w:bottom w:val="single" w:sz="4" w:space="0" w:color="auto"/>
              <w:right w:val="single" w:sz="8" w:space="0" w:color="auto"/>
            </w:tcBorders>
            <w:shd w:val="clear" w:color="auto" w:fill="auto"/>
            <w:noWrap/>
            <w:vAlign w:val="bottom"/>
            <w:hideMark/>
          </w:tcPr>
          <w:p w14:paraId="5B4F11D7" w14:textId="77777777" w:rsidR="00D8365A" w:rsidRPr="00362517" w:rsidRDefault="00D8365A" w:rsidP="00BF6BC7">
            <w:pPr>
              <w:jc w:val="right"/>
            </w:pPr>
            <w:r w:rsidRPr="00362517">
              <w:t>80</w:t>
            </w:r>
          </w:p>
        </w:tc>
      </w:tr>
      <w:tr w:rsidR="00D8365A" w:rsidRPr="00362517" w14:paraId="0419B22A"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6C2D4AC5" w14:textId="77777777" w:rsidR="00D8365A" w:rsidRPr="00362517" w:rsidRDefault="00D8365A" w:rsidP="00BF6BC7">
            <w:r w:rsidRPr="00362517">
              <w:t>Maryland</w:t>
            </w:r>
          </w:p>
        </w:tc>
        <w:tc>
          <w:tcPr>
            <w:tcW w:w="867" w:type="pct"/>
            <w:tcBorders>
              <w:top w:val="nil"/>
              <w:left w:val="nil"/>
              <w:bottom w:val="single" w:sz="4" w:space="0" w:color="auto"/>
              <w:right w:val="single" w:sz="4" w:space="0" w:color="auto"/>
            </w:tcBorders>
            <w:shd w:val="clear" w:color="auto" w:fill="auto"/>
            <w:noWrap/>
            <w:vAlign w:val="bottom"/>
            <w:hideMark/>
          </w:tcPr>
          <w:p w14:paraId="209A68AC" w14:textId="77777777" w:rsidR="00D8365A" w:rsidRPr="00362517" w:rsidRDefault="00D8365A" w:rsidP="00BF6BC7">
            <w:pPr>
              <w:jc w:val="right"/>
            </w:pPr>
            <w:r w:rsidRPr="00362517">
              <w:t>2,355</w:t>
            </w:r>
          </w:p>
        </w:tc>
        <w:tc>
          <w:tcPr>
            <w:tcW w:w="882" w:type="pct"/>
            <w:tcBorders>
              <w:top w:val="nil"/>
              <w:left w:val="nil"/>
              <w:bottom w:val="single" w:sz="4" w:space="0" w:color="auto"/>
              <w:right w:val="single" w:sz="4" w:space="0" w:color="auto"/>
            </w:tcBorders>
            <w:shd w:val="clear" w:color="auto" w:fill="auto"/>
            <w:noWrap/>
            <w:vAlign w:val="bottom"/>
            <w:hideMark/>
          </w:tcPr>
          <w:p w14:paraId="5EAE40C2" w14:textId="77777777" w:rsidR="00D8365A" w:rsidRPr="00362517" w:rsidRDefault="00D8365A" w:rsidP="00BF6BC7">
            <w:pPr>
              <w:jc w:val="right"/>
            </w:pPr>
            <w:r w:rsidRPr="00362517">
              <w:t>1,100</w:t>
            </w:r>
          </w:p>
        </w:tc>
        <w:tc>
          <w:tcPr>
            <w:tcW w:w="860" w:type="pct"/>
            <w:tcBorders>
              <w:top w:val="nil"/>
              <w:left w:val="nil"/>
              <w:bottom w:val="single" w:sz="4" w:space="0" w:color="auto"/>
              <w:right w:val="single" w:sz="4" w:space="0" w:color="auto"/>
            </w:tcBorders>
            <w:shd w:val="clear" w:color="auto" w:fill="auto"/>
            <w:noWrap/>
            <w:vAlign w:val="bottom"/>
            <w:hideMark/>
          </w:tcPr>
          <w:p w14:paraId="5DF74E1B" w14:textId="77777777" w:rsidR="00D8365A" w:rsidRPr="00362517" w:rsidRDefault="00D8365A" w:rsidP="00BF6BC7">
            <w:pPr>
              <w:jc w:val="right"/>
            </w:pPr>
            <w:r w:rsidRPr="00362517">
              <w:t>1,255</w:t>
            </w:r>
          </w:p>
        </w:tc>
        <w:tc>
          <w:tcPr>
            <w:tcW w:w="1050" w:type="pct"/>
            <w:tcBorders>
              <w:top w:val="nil"/>
              <w:left w:val="nil"/>
              <w:bottom w:val="single" w:sz="4" w:space="0" w:color="auto"/>
              <w:right w:val="single" w:sz="8" w:space="0" w:color="auto"/>
            </w:tcBorders>
            <w:shd w:val="clear" w:color="auto" w:fill="auto"/>
            <w:noWrap/>
            <w:vAlign w:val="bottom"/>
            <w:hideMark/>
          </w:tcPr>
          <w:p w14:paraId="737C56C5" w14:textId="77777777" w:rsidR="00D8365A" w:rsidRPr="00362517" w:rsidRDefault="00D8365A" w:rsidP="00BF6BC7">
            <w:pPr>
              <w:jc w:val="right"/>
            </w:pPr>
            <w:r w:rsidRPr="00362517">
              <w:t>143</w:t>
            </w:r>
          </w:p>
        </w:tc>
      </w:tr>
      <w:tr w:rsidR="00D8365A" w:rsidRPr="00362517" w14:paraId="36B3D230"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68D4ACA1" w14:textId="77777777" w:rsidR="00D8365A" w:rsidRPr="00362517" w:rsidRDefault="00D8365A" w:rsidP="00BF6BC7">
            <w:r w:rsidRPr="00362517">
              <w:t>Massachusetts</w:t>
            </w:r>
          </w:p>
        </w:tc>
        <w:tc>
          <w:tcPr>
            <w:tcW w:w="867" w:type="pct"/>
            <w:tcBorders>
              <w:top w:val="nil"/>
              <w:left w:val="nil"/>
              <w:bottom w:val="single" w:sz="4" w:space="0" w:color="auto"/>
              <w:right w:val="single" w:sz="4" w:space="0" w:color="auto"/>
            </w:tcBorders>
            <w:shd w:val="clear" w:color="auto" w:fill="auto"/>
            <w:noWrap/>
            <w:vAlign w:val="bottom"/>
            <w:hideMark/>
          </w:tcPr>
          <w:p w14:paraId="41EF7F3E" w14:textId="77777777" w:rsidR="00D8365A" w:rsidRPr="00362517" w:rsidRDefault="00D8365A" w:rsidP="00BF6BC7">
            <w:pPr>
              <w:jc w:val="right"/>
            </w:pPr>
            <w:r w:rsidRPr="00362517">
              <w:t>835</w:t>
            </w:r>
          </w:p>
        </w:tc>
        <w:tc>
          <w:tcPr>
            <w:tcW w:w="882" w:type="pct"/>
            <w:tcBorders>
              <w:top w:val="nil"/>
              <w:left w:val="nil"/>
              <w:bottom w:val="single" w:sz="4" w:space="0" w:color="auto"/>
              <w:right w:val="single" w:sz="4" w:space="0" w:color="auto"/>
            </w:tcBorders>
            <w:shd w:val="clear" w:color="auto" w:fill="auto"/>
            <w:noWrap/>
            <w:vAlign w:val="bottom"/>
            <w:hideMark/>
          </w:tcPr>
          <w:p w14:paraId="1BF156CD" w14:textId="77777777" w:rsidR="00D8365A" w:rsidRPr="00362517" w:rsidRDefault="00D8365A" w:rsidP="00BF6BC7">
            <w:pPr>
              <w:jc w:val="right"/>
            </w:pPr>
            <w:r w:rsidRPr="00362517">
              <w:t>176</w:t>
            </w:r>
          </w:p>
        </w:tc>
        <w:tc>
          <w:tcPr>
            <w:tcW w:w="860" w:type="pct"/>
            <w:tcBorders>
              <w:top w:val="nil"/>
              <w:left w:val="nil"/>
              <w:bottom w:val="single" w:sz="4" w:space="0" w:color="auto"/>
              <w:right w:val="single" w:sz="4" w:space="0" w:color="auto"/>
            </w:tcBorders>
            <w:shd w:val="clear" w:color="auto" w:fill="auto"/>
            <w:noWrap/>
            <w:vAlign w:val="bottom"/>
            <w:hideMark/>
          </w:tcPr>
          <w:p w14:paraId="149BB1D2" w14:textId="77777777" w:rsidR="00D8365A" w:rsidRPr="00362517" w:rsidRDefault="00D8365A" w:rsidP="00BF6BC7">
            <w:pPr>
              <w:jc w:val="right"/>
            </w:pPr>
            <w:r w:rsidRPr="00362517">
              <w:t>659</w:t>
            </w:r>
          </w:p>
        </w:tc>
        <w:tc>
          <w:tcPr>
            <w:tcW w:w="1050" w:type="pct"/>
            <w:tcBorders>
              <w:top w:val="nil"/>
              <w:left w:val="nil"/>
              <w:bottom w:val="single" w:sz="4" w:space="0" w:color="auto"/>
              <w:right w:val="single" w:sz="8" w:space="0" w:color="auto"/>
            </w:tcBorders>
            <w:shd w:val="clear" w:color="auto" w:fill="auto"/>
            <w:noWrap/>
            <w:vAlign w:val="bottom"/>
            <w:hideMark/>
          </w:tcPr>
          <w:p w14:paraId="3401735F" w14:textId="77777777" w:rsidR="00D8365A" w:rsidRPr="00362517" w:rsidRDefault="00D8365A" w:rsidP="00BF6BC7">
            <w:pPr>
              <w:jc w:val="right"/>
            </w:pPr>
            <w:r w:rsidRPr="00362517">
              <w:t>75</w:t>
            </w:r>
          </w:p>
        </w:tc>
      </w:tr>
      <w:tr w:rsidR="00D8365A" w:rsidRPr="00362517" w14:paraId="3BEAEF05"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2B934AA3" w14:textId="77777777" w:rsidR="00D8365A" w:rsidRPr="00362517" w:rsidRDefault="00D8365A" w:rsidP="00BF6BC7">
            <w:r w:rsidRPr="00362517">
              <w:t>Michigan</w:t>
            </w:r>
          </w:p>
        </w:tc>
        <w:tc>
          <w:tcPr>
            <w:tcW w:w="867" w:type="pct"/>
            <w:tcBorders>
              <w:top w:val="nil"/>
              <w:left w:val="nil"/>
              <w:bottom w:val="single" w:sz="4" w:space="0" w:color="auto"/>
              <w:right w:val="single" w:sz="4" w:space="0" w:color="auto"/>
            </w:tcBorders>
            <w:shd w:val="clear" w:color="auto" w:fill="auto"/>
            <w:noWrap/>
            <w:vAlign w:val="bottom"/>
            <w:hideMark/>
          </w:tcPr>
          <w:p w14:paraId="4CA328D4" w14:textId="77777777" w:rsidR="00D8365A" w:rsidRPr="00362517" w:rsidRDefault="00D8365A" w:rsidP="00BF6BC7">
            <w:pPr>
              <w:jc w:val="right"/>
            </w:pPr>
            <w:r w:rsidRPr="00362517">
              <w:t>3,007</w:t>
            </w:r>
          </w:p>
        </w:tc>
        <w:tc>
          <w:tcPr>
            <w:tcW w:w="882" w:type="pct"/>
            <w:tcBorders>
              <w:top w:val="nil"/>
              <w:left w:val="nil"/>
              <w:bottom w:val="single" w:sz="4" w:space="0" w:color="auto"/>
              <w:right w:val="single" w:sz="4" w:space="0" w:color="auto"/>
            </w:tcBorders>
            <w:shd w:val="clear" w:color="auto" w:fill="auto"/>
            <w:noWrap/>
            <w:vAlign w:val="bottom"/>
            <w:hideMark/>
          </w:tcPr>
          <w:p w14:paraId="2A623026" w14:textId="77777777" w:rsidR="00D8365A" w:rsidRPr="00362517" w:rsidRDefault="00D8365A" w:rsidP="00BF6BC7">
            <w:pPr>
              <w:jc w:val="right"/>
            </w:pPr>
            <w:r w:rsidRPr="00362517">
              <w:t>2,008</w:t>
            </w:r>
          </w:p>
        </w:tc>
        <w:tc>
          <w:tcPr>
            <w:tcW w:w="860" w:type="pct"/>
            <w:tcBorders>
              <w:top w:val="nil"/>
              <w:left w:val="nil"/>
              <w:bottom w:val="single" w:sz="4" w:space="0" w:color="auto"/>
              <w:right w:val="single" w:sz="4" w:space="0" w:color="auto"/>
            </w:tcBorders>
            <w:shd w:val="clear" w:color="auto" w:fill="auto"/>
            <w:noWrap/>
            <w:vAlign w:val="bottom"/>
            <w:hideMark/>
          </w:tcPr>
          <w:p w14:paraId="13DDE132" w14:textId="77777777" w:rsidR="00D8365A" w:rsidRPr="00362517" w:rsidRDefault="00D8365A" w:rsidP="00BF6BC7">
            <w:pPr>
              <w:jc w:val="right"/>
            </w:pPr>
            <w:r w:rsidRPr="00362517">
              <w:t>999</w:t>
            </w:r>
          </w:p>
        </w:tc>
        <w:tc>
          <w:tcPr>
            <w:tcW w:w="1050" w:type="pct"/>
            <w:tcBorders>
              <w:top w:val="nil"/>
              <w:left w:val="nil"/>
              <w:bottom w:val="single" w:sz="4" w:space="0" w:color="auto"/>
              <w:right w:val="single" w:sz="8" w:space="0" w:color="auto"/>
            </w:tcBorders>
            <w:shd w:val="clear" w:color="auto" w:fill="auto"/>
            <w:noWrap/>
            <w:vAlign w:val="bottom"/>
            <w:hideMark/>
          </w:tcPr>
          <w:p w14:paraId="42150844" w14:textId="77777777" w:rsidR="00D8365A" w:rsidRPr="00362517" w:rsidRDefault="00D8365A" w:rsidP="00BF6BC7">
            <w:pPr>
              <w:jc w:val="right"/>
            </w:pPr>
            <w:r w:rsidRPr="00362517">
              <w:t>114</w:t>
            </w:r>
          </w:p>
        </w:tc>
      </w:tr>
      <w:tr w:rsidR="00D8365A" w:rsidRPr="00362517" w14:paraId="183D60A3"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3EE0763F" w14:textId="77777777" w:rsidR="00D8365A" w:rsidRPr="00362517" w:rsidRDefault="00D8365A" w:rsidP="00BF6BC7">
            <w:r w:rsidRPr="00362517">
              <w:t>Minnesota</w:t>
            </w:r>
          </w:p>
        </w:tc>
        <w:tc>
          <w:tcPr>
            <w:tcW w:w="867" w:type="pct"/>
            <w:tcBorders>
              <w:top w:val="nil"/>
              <w:left w:val="nil"/>
              <w:bottom w:val="single" w:sz="4" w:space="0" w:color="auto"/>
              <w:right w:val="single" w:sz="4" w:space="0" w:color="auto"/>
            </w:tcBorders>
            <w:shd w:val="clear" w:color="auto" w:fill="auto"/>
            <w:noWrap/>
            <w:vAlign w:val="bottom"/>
            <w:hideMark/>
          </w:tcPr>
          <w:p w14:paraId="44252A26" w14:textId="77777777" w:rsidR="00D8365A" w:rsidRPr="00362517" w:rsidRDefault="00D8365A" w:rsidP="00BF6BC7">
            <w:pPr>
              <w:jc w:val="right"/>
            </w:pPr>
            <w:r w:rsidRPr="00362517">
              <w:t>2,240</w:t>
            </w:r>
          </w:p>
        </w:tc>
        <w:tc>
          <w:tcPr>
            <w:tcW w:w="882" w:type="pct"/>
            <w:tcBorders>
              <w:top w:val="nil"/>
              <w:left w:val="nil"/>
              <w:bottom w:val="single" w:sz="4" w:space="0" w:color="auto"/>
              <w:right w:val="single" w:sz="4" w:space="0" w:color="auto"/>
            </w:tcBorders>
            <w:shd w:val="clear" w:color="auto" w:fill="auto"/>
            <w:noWrap/>
            <w:vAlign w:val="bottom"/>
            <w:hideMark/>
          </w:tcPr>
          <w:p w14:paraId="60CED6C9" w14:textId="77777777" w:rsidR="00D8365A" w:rsidRPr="00362517" w:rsidRDefault="00D8365A" w:rsidP="00BF6BC7">
            <w:pPr>
              <w:jc w:val="right"/>
            </w:pPr>
            <w:r w:rsidRPr="00362517">
              <w:t>1,285</w:t>
            </w:r>
          </w:p>
        </w:tc>
        <w:tc>
          <w:tcPr>
            <w:tcW w:w="860" w:type="pct"/>
            <w:tcBorders>
              <w:top w:val="nil"/>
              <w:left w:val="nil"/>
              <w:bottom w:val="single" w:sz="4" w:space="0" w:color="auto"/>
              <w:right w:val="single" w:sz="4" w:space="0" w:color="auto"/>
            </w:tcBorders>
            <w:shd w:val="clear" w:color="auto" w:fill="auto"/>
            <w:noWrap/>
            <w:vAlign w:val="bottom"/>
            <w:hideMark/>
          </w:tcPr>
          <w:p w14:paraId="7A12B4D5" w14:textId="77777777" w:rsidR="00D8365A" w:rsidRPr="00362517" w:rsidRDefault="00D8365A" w:rsidP="00BF6BC7">
            <w:pPr>
              <w:jc w:val="right"/>
            </w:pPr>
            <w:r w:rsidRPr="00362517">
              <w:t>955</w:t>
            </w:r>
          </w:p>
        </w:tc>
        <w:tc>
          <w:tcPr>
            <w:tcW w:w="1050" w:type="pct"/>
            <w:tcBorders>
              <w:top w:val="nil"/>
              <w:left w:val="nil"/>
              <w:bottom w:val="single" w:sz="4" w:space="0" w:color="auto"/>
              <w:right w:val="single" w:sz="8" w:space="0" w:color="auto"/>
            </w:tcBorders>
            <w:shd w:val="clear" w:color="auto" w:fill="auto"/>
            <w:noWrap/>
            <w:vAlign w:val="bottom"/>
            <w:hideMark/>
          </w:tcPr>
          <w:p w14:paraId="3AB04B16" w14:textId="77777777" w:rsidR="00D8365A" w:rsidRPr="00362517" w:rsidRDefault="00D8365A" w:rsidP="00BF6BC7">
            <w:pPr>
              <w:jc w:val="right"/>
            </w:pPr>
            <w:r w:rsidRPr="00362517">
              <w:t>109</w:t>
            </w:r>
          </w:p>
        </w:tc>
      </w:tr>
      <w:tr w:rsidR="00D8365A" w:rsidRPr="00362517" w14:paraId="1DDDE866"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05B1184C" w14:textId="77777777" w:rsidR="00D8365A" w:rsidRPr="00362517" w:rsidRDefault="00D8365A" w:rsidP="00BF6BC7">
            <w:r w:rsidRPr="00362517">
              <w:t>Mississippi</w:t>
            </w:r>
          </w:p>
        </w:tc>
        <w:tc>
          <w:tcPr>
            <w:tcW w:w="867" w:type="pct"/>
            <w:tcBorders>
              <w:top w:val="nil"/>
              <w:left w:val="nil"/>
              <w:bottom w:val="single" w:sz="4" w:space="0" w:color="auto"/>
              <w:right w:val="single" w:sz="4" w:space="0" w:color="auto"/>
            </w:tcBorders>
            <w:shd w:val="clear" w:color="auto" w:fill="auto"/>
            <w:noWrap/>
            <w:vAlign w:val="bottom"/>
            <w:hideMark/>
          </w:tcPr>
          <w:p w14:paraId="75FDCF3B" w14:textId="77777777" w:rsidR="00D8365A" w:rsidRPr="00362517" w:rsidRDefault="00D8365A" w:rsidP="00BF6BC7">
            <w:pPr>
              <w:jc w:val="right"/>
            </w:pPr>
            <w:r w:rsidRPr="00362517">
              <w:t>1,221</w:t>
            </w:r>
          </w:p>
        </w:tc>
        <w:tc>
          <w:tcPr>
            <w:tcW w:w="882" w:type="pct"/>
            <w:tcBorders>
              <w:top w:val="nil"/>
              <w:left w:val="nil"/>
              <w:bottom w:val="single" w:sz="4" w:space="0" w:color="auto"/>
              <w:right w:val="single" w:sz="4" w:space="0" w:color="auto"/>
            </w:tcBorders>
            <w:shd w:val="clear" w:color="auto" w:fill="auto"/>
            <w:noWrap/>
            <w:vAlign w:val="bottom"/>
            <w:hideMark/>
          </w:tcPr>
          <w:p w14:paraId="25041068" w14:textId="77777777" w:rsidR="00D8365A" w:rsidRPr="00362517" w:rsidRDefault="00D8365A" w:rsidP="00BF6BC7">
            <w:pPr>
              <w:jc w:val="right"/>
            </w:pPr>
            <w:r w:rsidRPr="00362517">
              <w:t>163</w:t>
            </w:r>
          </w:p>
        </w:tc>
        <w:tc>
          <w:tcPr>
            <w:tcW w:w="860" w:type="pct"/>
            <w:tcBorders>
              <w:top w:val="nil"/>
              <w:left w:val="nil"/>
              <w:bottom w:val="single" w:sz="4" w:space="0" w:color="auto"/>
              <w:right w:val="single" w:sz="4" w:space="0" w:color="auto"/>
            </w:tcBorders>
            <w:shd w:val="clear" w:color="auto" w:fill="auto"/>
            <w:noWrap/>
            <w:vAlign w:val="bottom"/>
            <w:hideMark/>
          </w:tcPr>
          <w:p w14:paraId="27F636EE" w14:textId="77777777" w:rsidR="00D8365A" w:rsidRPr="00362517" w:rsidRDefault="00D8365A" w:rsidP="00BF6BC7">
            <w:pPr>
              <w:jc w:val="right"/>
            </w:pPr>
            <w:r w:rsidRPr="00362517">
              <w:t>1,058</w:t>
            </w:r>
          </w:p>
        </w:tc>
        <w:tc>
          <w:tcPr>
            <w:tcW w:w="1050" w:type="pct"/>
            <w:tcBorders>
              <w:top w:val="nil"/>
              <w:left w:val="nil"/>
              <w:bottom w:val="single" w:sz="4" w:space="0" w:color="auto"/>
              <w:right w:val="single" w:sz="8" w:space="0" w:color="auto"/>
            </w:tcBorders>
            <w:shd w:val="clear" w:color="auto" w:fill="auto"/>
            <w:noWrap/>
            <w:vAlign w:val="bottom"/>
            <w:hideMark/>
          </w:tcPr>
          <w:p w14:paraId="2BA61770" w14:textId="77777777" w:rsidR="00D8365A" w:rsidRPr="00362517" w:rsidRDefault="00D8365A" w:rsidP="00BF6BC7">
            <w:pPr>
              <w:jc w:val="right"/>
            </w:pPr>
            <w:r w:rsidRPr="00362517">
              <w:t>120</w:t>
            </w:r>
          </w:p>
        </w:tc>
      </w:tr>
      <w:tr w:rsidR="00D8365A" w:rsidRPr="00362517" w14:paraId="0752B9A9"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65295A2F" w14:textId="77777777" w:rsidR="00D8365A" w:rsidRPr="00362517" w:rsidRDefault="00D8365A" w:rsidP="00BF6BC7">
            <w:r w:rsidRPr="00362517">
              <w:t>Missouri</w:t>
            </w:r>
          </w:p>
        </w:tc>
        <w:tc>
          <w:tcPr>
            <w:tcW w:w="867" w:type="pct"/>
            <w:tcBorders>
              <w:top w:val="nil"/>
              <w:left w:val="nil"/>
              <w:bottom w:val="single" w:sz="4" w:space="0" w:color="auto"/>
              <w:right w:val="single" w:sz="4" w:space="0" w:color="auto"/>
            </w:tcBorders>
            <w:shd w:val="clear" w:color="auto" w:fill="auto"/>
            <w:noWrap/>
            <w:vAlign w:val="bottom"/>
            <w:hideMark/>
          </w:tcPr>
          <w:p w14:paraId="7E75A1B3" w14:textId="77777777" w:rsidR="00D8365A" w:rsidRPr="00362517" w:rsidRDefault="00D8365A" w:rsidP="00BF6BC7">
            <w:pPr>
              <w:jc w:val="right"/>
            </w:pPr>
            <w:r w:rsidRPr="00362517">
              <w:t>2,115</w:t>
            </w:r>
          </w:p>
        </w:tc>
        <w:tc>
          <w:tcPr>
            <w:tcW w:w="882" w:type="pct"/>
            <w:tcBorders>
              <w:top w:val="nil"/>
              <w:left w:val="nil"/>
              <w:bottom w:val="single" w:sz="4" w:space="0" w:color="auto"/>
              <w:right w:val="single" w:sz="4" w:space="0" w:color="auto"/>
            </w:tcBorders>
            <w:shd w:val="clear" w:color="auto" w:fill="auto"/>
            <w:noWrap/>
            <w:vAlign w:val="bottom"/>
            <w:hideMark/>
          </w:tcPr>
          <w:p w14:paraId="01C94E10" w14:textId="77777777" w:rsidR="00D8365A" w:rsidRPr="00362517" w:rsidRDefault="00D8365A" w:rsidP="00BF6BC7">
            <w:pPr>
              <w:jc w:val="right"/>
            </w:pPr>
            <w:r w:rsidRPr="00362517">
              <w:t>547</w:t>
            </w:r>
          </w:p>
        </w:tc>
        <w:tc>
          <w:tcPr>
            <w:tcW w:w="860" w:type="pct"/>
            <w:tcBorders>
              <w:top w:val="nil"/>
              <w:left w:val="nil"/>
              <w:bottom w:val="single" w:sz="4" w:space="0" w:color="auto"/>
              <w:right w:val="single" w:sz="4" w:space="0" w:color="auto"/>
            </w:tcBorders>
            <w:shd w:val="clear" w:color="auto" w:fill="auto"/>
            <w:noWrap/>
            <w:vAlign w:val="bottom"/>
            <w:hideMark/>
          </w:tcPr>
          <w:p w14:paraId="22C45D02" w14:textId="77777777" w:rsidR="00D8365A" w:rsidRPr="00362517" w:rsidRDefault="00D8365A" w:rsidP="00BF6BC7">
            <w:pPr>
              <w:jc w:val="right"/>
            </w:pPr>
            <w:r w:rsidRPr="00362517">
              <w:t>1,568</w:t>
            </w:r>
          </w:p>
        </w:tc>
        <w:tc>
          <w:tcPr>
            <w:tcW w:w="1050" w:type="pct"/>
            <w:tcBorders>
              <w:top w:val="nil"/>
              <w:left w:val="nil"/>
              <w:bottom w:val="single" w:sz="4" w:space="0" w:color="auto"/>
              <w:right w:val="single" w:sz="8" w:space="0" w:color="auto"/>
            </w:tcBorders>
            <w:shd w:val="clear" w:color="auto" w:fill="auto"/>
            <w:noWrap/>
            <w:vAlign w:val="bottom"/>
            <w:hideMark/>
          </w:tcPr>
          <w:p w14:paraId="6230DB1C" w14:textId="77777777" w:rsidR="00D8365A" w:rsidRPr="00362517" w:rsidRDefault="00D8365A" w:rsidP="00BF6BC7">
            <w:pPr>
              <w:jc w:val="right"/>
            </w:pPr>
            <w:r w:rsidRPr="00362517">
              <w:t>178</w:t>
            </w:r>
          </w:p>
        </w:tc>
      </w:tr>
      <w:tr w:rsidR="00D8365A" w:rsidRPr="00362517" w14:paraId="7FD30499"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0BA93EDF" w14:textId="77777777" w:rsidR="00D8365A" w:rsidRPr="00362517" w:rsidRDefault="00D8365A" w:rsidP="00BF6BC7">
            <w:r w:rsidRPr="00362517">
              <w:t>Montana</w:t>
            </w:r>
          </w:p>
        </w:tc>
        <w:tc>
          <w:tcPr>
            <w:tcW w:w="867" w:type="pct"/>
            <w:tcBorders>
              <w:top w:val="nil"/>
              <w:left w:val="nil"/>
              <w:bottom w:val="single" w:sz="4" w:space="0" w:color="auto"/>
              <w:right w:val="single" w:sz="4" w:space="0" w:color="auto"/>
            </w:tcBorders>
            <w:shd w:val="clear" w:color="auto" w:fill="auto"/>
            <w:noWrap/>
            <w:vAlign w:val="bottom"/>
            <w:hideMark/>
          </w:tcPr>
          <w:p w14:paraId="76DDA682" w14:textId="77777777" w:rsidR="00D8365A" w:rsidRPr="00362517" w:rsidRDefault="00D8365A" w:rsidP="00BF6BC7">
            <w:pPr>
              <w:jc w:val="right"/>
            </w:pPr>
            <w:r w:rsidRPr="00362517">
              <w:t>905</w:t>
            </w:r>
          </w:p>
        </w:tc>
        <w:tc>
          <w:tcPr>
            <w:tcW w:w="882" w:type="pct"/>
            <w:tcBorders>
              <w:top w:val="nil"/>
              <w:left w:val="nil"/>
              <w:bottom w:val="single" w:sz="4" w:space="0" w:color="auto"/>
              <w:right w:val="single" w:sz="4" w:space="0" w:color="auto"/>
            </w:tcBorders>
            <w:shd w:val="clear" w:color="auto" w:fill="auto"/>
            <w:noWrap/>
            <w:vAlign w:val="bottom"/>
            <w:hideMark/>
          </w:tcPr>
          <w:p w14:paraId="3049BD97" w14:textId="77777777" w:rsidR="00D8365A" w:rsidRPr="00362517" w:rsidRDefault="00D8365A" w:rsidP="00BF6BC7">
            <w:pPr>
              <w:jc w:val="right"/>
            </w:pPr>
            <w:r w:rsidRPr="00362517">
              <w:t>198</w:t>
            </w:r>
          </w:p>
        </w:tc>
        <w:tc>
          <w:tcPr>
            <w:tcW w:w="860" w:type="pct"/>
            <w:tcBorders>
              <w:top w:val="nil"/>
              <w:left w:val="nil"/>
              <w:bottom w:val="single" w:sz="4" w:space="0" w:color="auto"/>
              <w:right w:val="single" w:sz="4" w:space="0" w:color="auto"/>
            </w:tcBorders>
            <w:shd w:val="clear" w:color="auto" w:fill="auto"/>
            <w:noWrap/>
            <w:vAlign w:val="bottom"/>
            <w:hideMark/>
          </w:tcPr>
          <w:p w14:paraId="17FB2725" w14:textId="77777777" w:rsidR="00D8365A" w:rsidRPr="00362517" w:rsidRDefault="00D8365A" w:rsidP="00BF6BC7">
            <w:pPr>
              <w:jc w:val="right"/>
            </w:pPr>
            <w:r w:rsidRPr="00362517">
              <w:t>708</w:t>
            </w:r>
          </w:p>
        </w:tc>
        <w:tc>
          <w:tcPr>
            <w:tcW w:w="1050" w:type="pct"/>
            <w:tcBorders>
              <w:top w:val="nil"/>
              <w:left w:val="nil"/>
              <w:bottom w:val="single" w:sz="4" w:space="0" w:color="auto"/>
              <w:right w:val="single" w:sz="8" w:space="0" w:color="auto"/>
            </w:tcBorders>
            <w:shd w:val="clear" w:color="auto" w:fill="auto"/>
            <w:noWrap/>
            <w:vAlign w:val="bottom"/>
            <w:hideMark/>
          </w:tcPr>
          <w:p w14:paraId="19196F64" w14:textId="77777777" w:rsidR="00D8365A" w:rsidRPr="00362517" w:rsidRDefault="00D8365A" w:rsidP="00BF6BC7">
            <w:pPr>
              <w:jc w:val="right"/>
            </w:pPr>
            <w:r w:rsidRPr="00362517">
              <w:t>81</w:t>
            </w:r>
          </w:p>
        </w:tc>
      </w:tr>
      <w:tr w:rsidR="00D8365A" w:rsidRPr="00362517" w14:paraId="2A7F1489"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5D646767" w14:textId="77777777" w:rsidR="00D8365A" w:rsidRPr="00362517" w:rsidRDefault="00D8365A" w:rsidP="00BF6BC7">
            <w:r w:rsidRPr="00362517">
              <w:t>Nebraska</w:t>
            </w:r>
          </w:p>
        </w:tc>
        <w:tc>
          <w:tcPr>
            <w:tcW w:w="867" w:type="pct"/>
            <w:tcBorders>
              <w:top w:val="nil"/>
              <w:left w:val="nil"/>
              <w:bottom w:val="single" w:sz="4" w:space="0" w:color="auto"/>
              <w:right w:val="single" w:sz="4" w:space="0" w:color="auto"/>
            </w:tcBorders>
            <w:shd w:val="clear" w:color="auto" w:fill="auto"/>
            <w:noWrap/>
            <w:vAlign w:val="bottom"/>
            <w:hideMark/>
          </w:tcPr>
          <w:p w14:paraId="6FDFC424" w14:textId="77777777" w:rsidR="00D8365A" w:rsidRPr="00362517" w:rsidRDefault="00D8365A" w:rsidP="00BF6BC7">
            <w:pPr>
              <w:jc w:val="right"/>
            </w:pPr>
            <w:r w:rsidRPr="00362517">
              <w:t>2,328</w:t>
            </w:r>
          </w:p>
        </w:tc>
        <w:tc>
          <w:tcPr>
            <w:tcW w:w="882" w:type="pct"/>
            <w:tcBorders>
              <w:top w:val="nil"/>
              <w:left w:val="nil"/>
              <w:bottom w:val="single" w:sz="4" w:space="0" w:color="auto"/>
              <w:right w:val="single" w:sz="4" w:space="0" w:color="auto"/>
            </w:tcBorders>
            <w:shd w:val="clear" w:color="auto" w:fill="auto"/>
            <w:noWrap/>
            <w:vAlign w:val="bottom"/>
            <w:hideMark/>
          </w:tcPr>
          <w:p w14:paraId="76747E3A" w14:textId="77777777" w:rsidR="00D8365A" w:rsidRPr="00362517" w:rsidRDefault="00D8365A" w:rsidP="00BF6BC7">
            <w:pPr>
              <w:jc w:val="right"/>
            </w:pPr>
            <w:r w:rsidRPr="00362517">
              <w:t>631</w:t>
            </w:r>
          </w:p>
        </w:tc>
        <w:tc>
          <w:tcPr>
            <w:tcW w:w="860" w:type="pct"/>
            <w:tcBorders>
              <w:top w:val="nil"/>
              <w:left w:val="nil"/>
              <w:bottom w:val="single" w:sz="4" w:space="0" w:color="auto"/>
              <w:right w:val="single" w:sz="4" w:space="0" w:color="auto"/>
            </w:tcBorders>
            <w:shd w:val="clear" w:color="auto" w:fill="auto"/>
            <w:noWrap/>
            <w:vAlign w:val="bottom"/>
            <w:hideMark/>
          </w:tcPr>
          <w:p w14:paraId="6E1B7FA9" w14:textId="77777777" w:rsidR="00D8365A" w:rsidRPr="00362517" w:rsidRDefault="00D8365A" w:rsidP="00BF6BC7">
            <w:pPr>
              <w:jc w:val="right"/>
            </w:pPr>
            <w:r w:rsidRPr="00362517">
              <w:t>1,698</w:t>
            </w:r>
          </w:p>
        </w:tc>
        <w:tc>
          <w:tcPr>
            <w:tcW w:w="1050" w:type="pct"/>
            <w:tcBorders>
              <w:top w:val="nil"/>
              <w:left w:val="nil"/>
              <w:bottom w:val="single" w:sz="4" w:space="0" w:color="auto"/>
              <w:right w:val="single" w:sz="8" w:space="0" w:color="auto"/>
            </w:tcBorders>
            <w:shd w:val="clear" w:color="auto" w:fill="auto"/>
            <w:noWrap/>
            <w:vAlign w:val="bottom"/>
            <w:hideMark/>
          </w:tcPr>
          <w:p w14:paraId="2FFD7BB1" w14:textId="77777777" w:rsidR="00D8365A" w:rsidRPr="00362517" w:rsidRDefault="00D8365A" w:rsidP="00BF6BC7">
            <w:pPr>
              <w:jc w:val="right"/>
            </w:pPr>
            <w:r w:rsidRPr="00362517">
              <w:t>193</w:t>
            </w:r>
          </w:p>
        </w:tc>
      </w:tr>
      <w:tr w:rsidR="00D8365A" w:rsidRPr="00362517" w14:paraId="3A12CDE2"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6843A070" w14:textId="77777777" w:rsidR="00D8365A" w:rsidRPr="00362517" w:rsidRDefault="00D8365A" w:rsidP="00BF6BC7">
            <w:r w:rsidRPr="00362517">
              <w:t>Nevada</w:t>
            </w:r>
          </w:p>
        </w:tc>
        <w:tc>
          <w:tcPr>
            <w:tcW w:w="867" w:type="pct"/>
            <w:tcBorders>
              <w:top w:val="nil"/>
              <w:left w:val="nil"/>
              <w:bottom w:val="single" w:sz="4" w:space="0" w:color="auto"/>
              <w:right w:val="single" w:sz="4" w:space="0" w:color="auto"/>
            </w:tcBorders>
            <w:shd w:val="clear" w:color="auto" w:fill="auto"/>
            <w:noWrap/>
            <w:vAlign w:val="bottom"/>
            <w:hideMark/>
          </w:tcPr>
          <w:p w14:paraId="056ECC45" w14:textId="77777777" w:rsidR="00D8365A" w:rsidRPr="00362517" w:rsidRDefault="00D8365A" w:rsidP="00BF6BC7">
            <w:pPr>
              <w:jc w:val="right"/>
            </w:pPr>
            <w:r w:rsidRPr="00362517">
              <w:t>876</w:t>
            </w:r>
          </w:p>
        </w:tc>
        <w:tc>
          <w:tcPr>
            <w:tcW w:w="882" w:type="pct"/>
            <w:tcBorders>
              <w:top w:val="nil"/>
              <w:left w:val="nil"/>
              <w:bottom w:val="single" w:sz="4" w:space="0" w:color="auto"/>
              <w:right w:val="single" w:sz="4" w:space="0" w:color="auto"/>
            </w:tcBorders>
            <w:shd w:val="clear" w:color="auto" w:fill="auto"/>
            <w:noWrap/>
            <w:vAlign w:val="bottom"/>
            <w:hideMark/>
          </w:tcPr>
          <w:p w14:paraId="069F35E8" w14:textId="77777777" w:rsidR="00D8365A" w:rsidRPr="00362517" w:rsidRDefault="00D8365A" w:rsidP="00BF6BC7">
            <w:pPr>
              <w:jc w:val="right"/>
            </w:pPr>
            <w:r w:rsidRPr="00362517">
              <w:t>184</w:t>
            </w:r>
          </w:p>
        </w:tc>
        <w:tc>
          <w:tcPr>
            <w:tcW w:w="860" w:type="pct"/>
            <w:tcBorders>
              <w:top w:val="nil"/>
              <w:left w:val="nil"/>
              <w:bottom w:val="single" w:sz="4" w:space="0" w:color="auto"/>
              <w:right w:val="single" w:sz="4" w:space="0" w:color="auto"/>
            </w:tcBorders>
            <w:shd w:val="clear" w:color="auto" w:fill="auto"/>
            <w:noWrap/>
            <w:vAlign w:val="bottom"/>
            <w:hideMark/>
          </w:tcPr>
          <w:p w14:paraId="24E3B9A8" w14:textId="77777777" w:rsidR="00D8365A" w:rsidRPr="00362517" w:rsidRDefault="00D8365A" w:rsidP="00BF6BC7">
            <w:pPr>
              <w:jc w:val="right"/>
            </w:pPr>
            <w:r w:rsidRPr="00362517">
              <w:t>692</w:t>
            </w:r>
          </w:p>
        </w:tc>
        <w:tc>
          <w:tcPr>
            <w:tcW w:w="1050" w:type="pct"/>
            <w:tcBorders>
              <w:top w:val="nil"/>
              <w:left w:val="nil"/>
              <w:bottom w:val="single" w:sz="4" w:space="0" w:color="auto"/>
              <w:right w:val="single" w:sz="8" w:space="0" w:color="auto"/>
            </w:tcBorders>
            <w:shd w:val="clear" w:color="auto" w:fill="auto"/>
            <w:noWrap/>
            <w:vAlign w:val="bottom"/>
            <w:hideMark/>
          </w:tcPr>
          <w:p w14:paraId="4F563A99" w14:textId="77777777" w:rsidR="00D8365A" w:rsidRPr="00362517" w:rsidRDefault="00D8365A" w:rsidP="00BF6BC7">
            <w:pPr>
              <w:jc w:val="right"/>
            </w:pPr>
            <w:r w:rsidRPr="00362517">
              <w:t>79</w:t>
            </w:r>
          </w:p>
        </w:tc>
      </w:tr>
      <w:tr w:rsidR="00D8365A" w:rsidRPr="00362517" w14:paraId="26447BF4"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7E7129D2" w14:textId="77777777" w:rsidR="00D8365A" w:rsidRPr="00362517" w:rsidRDefault="00D8365A" w:rsidP="00BF6BC7">
            <w:r w:rsidRPr="00362517">
              <w:t>New Hampshire</w:t>
            </w:r>
          </w:p>
        </w:tc>
        <w:tc>
          <w:tcPr>
            <w:tcW w:w="867" w:type="pct"/>
            <w:tcBorders>
              <w:top w:val="nil"/>
              <w:left w:val="nil"/>
              <w:bottom w:val="single" w:sz="4" w:space="0" w:color="auto"/>
              <w:right w:val="single" w:sz="4" w:space="0" w:color="auto"/>
            </w:tcBorders>
            <w:shd w:val="clear" w:color="auto" w:fill="auto"/>
            <w:noWrap/>
            <w:vAlign w:val="bottom"/>
            <w:hideMark/>
          </w:tcPr>
          <w:p w14:paraId="565E4B82" w14:textId="77777777" w:rsidR="00D8365A" w:rsidRPr="00362517" w:rsidRDefault="00D8365A" w:rsidP="00BF6BC7">
            <w:pPr>
              <w:jc w:val="right"/>
            </w:pPr>
            <w:r w:rsidRPr="00362517">
              <w:t>748</w:t>
            </w:r>
          </w:p>
        </w:tc>
        <w:tc>
          <w:tcPr>
            <w:tcW w:w="882" w:type="pct"/>
            <w:tcBorders>
              <w:top w:val="nil"/>
              <w:left w:val="nil"/>
              <w:bottom w:val="single" w:sz="4" w:space="0" w:color="auto"/>
              <w:right w:val="single" w:sz="4" w:space="0" w:color="auto"/>
            </w:tcBorders>
            <w:shd w:val="clear" w:color="auto" w:fill="auto"/>
            <w:noWrap/>
            <w:vAlign w:val="bottom"/>
            <w:hideMark/>
          </w:tcPr>
          <w:p w14:paraId="7A839B8E" w14:textId="77777777" w:rsidR="00D8365A" w:rsidRPr="00362517" w:rsidRDefault="00D8365A" w:rsidP="00BF6BC7">
            <w:pPr>
              <w:jc w:val="right"/>
            </w:pPr>
            <w:r w:rsidRPr="00362517">
              <w:t>99</w:t>
            </w:r>
          </w:p>
        </w:tc>
        <w:tc>
          <w:tcPr>
            <w:tcW w:w="860" w:type="pct"/>
            <w:tcBorders>
              <w:top w:val="nil"/>
              <w:left w:val="nil"/>
              <w:bottom w:val="single" w:sz="4" w:space="0" w:color="auto"/>
              <w:right w:val="single" w:sz="4" w:space="0" w:color="auto"/>
            </w:tcBorders>
            <w:shd w:val="clear" w:color="auto" w:fill="auto"/>
            <w:noWrap/>
            <w:vAlign w:val="bottom"/>
            <w:hideMark/>
          </w:tcPr>
          <w:p w14:paraId="25F394EB" w14:textId="77777777" w:rsidR="00D8365A" w:rsidRPr="00362517" w:rsidRDefault="00D8365A" w:rsidP="00BF6BC7">
            <w:pPr>
              <w:jc w:val="right"/>
            </w:pPr>
            <w:r w:rsidRPr="00362517">
              <w:t>648</w:t>
            </w:r>
          </w:p>
        </w:tc>
        <w:tc>
          <w:tcPr>
            <w:tcW w:w="1050" w:type="pct"/>
            <w:tcBorders>
              <w:top w:val="nil"/>
              <w:left w:val="nil"/>
              <w:bottom w:val="single" w:sz="4" w:space="0" w:color="auto"/>
              <w:right w:val="single" w:sz="8" w:space="0" w:color="auto"/>
            </w:tcBorders>
            <w:shd w:val="clear" w:color="auto" w:fill="auto"/>
            <w:noWrap/>
            <w:vAlign w:val="bottom"/>
            <w:hideMark/>
          </w:tcPr>
          <w:p w14:paraId="0CA4B871" w14:textId="77777777" w:rsidR="00D8365A" w:rsidRPr="00362517" w:rsidRDefault="00D8365A" w:rsidP="00BF6BC7">
            <w:pPr>
              <w:jc w:val="right"/>
            </w:pPr>
            <w:r w:rsidRPr="00362517">
              <w:t>74</w:t>
            </w:r>
          </w:p>
        </w:tc>
      </w:tr>
      <w:tr w:rsidR="00D8365A" w:rsidRPr="00362517" w14:paraId="6ABDF25D"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2C53FC42" w14:textId="77777777" w:rsidR="00D8365A" w:rsidRPr="00362517" w:rsidRDefault="00D8365A" w:rsidP="00BF6BC7">
            <w:r w:rsidRPr="00362517">
              <w:t>New Jersey</w:t>
            </w:r>
          </w:p>
        </w:tc>
        <w:tc>
          <w:tcPr>
            <w:tcW w:w="867" w:type="pct"/>
            <w:tcBorders>
              <w:top w:val="nil"/>
              <w:left w:val="nil"/>
              <w:bottom w:val="single" w:sz="4" w:space="0" w:color="auto"/>
              <w:right w:val="single" w:sz="4" w:space="0" w:color="auto"/>
            </w:tcBorders>
            <w:shd w:val="clear" w:color="auto" w:fill="auto"/>
            <w:noWrap/>
            <w:vAlign w:val="bottom"/>
            <w:hideMark/>
          </w:tcPr>
          <w:p w14:paraId="2D0147CB" w14:textId="77777777" w:rsidR="00D8365A" w:rsidRPr="00362517" w:rsidRDefault="00D8365A" w:rsidP="00BF6BC7">
            <w:pPr>
              <w:jc w:val="right"/>
            </w:pPr>
            <w:r w:rsidRPr="00362517">
              <w:t>1,348</w:t>
            </w:r>
          </w:p>
        </w:tc>
        <w:tc>
          <w:tcPr>
            <w:tcW w:w="882" w:type="pct"/>
            <w:tcBorders>
              <w:top w:val="nil"/>
              <w:left w:val="nil"/>
              <w:bottom w:val="single" w:sz="4" w:space="0" w:color="auto"/>
              <w:right w:val="single" w:sz="4" w:space="0" w:color="auto"/>
            </w:tcBorders>
            <w:shd w:val="clear" w:color="auto" w:fill="auto"/>
            <w:noWrap/>
            <w:vAlign w:val="bottom"/>
            <w:hideMark/>
          </w:tcPr>
          <w:p w14:paraId="252C0C17" w14:textId="77777777" w:rsidR="00D8365A" w:rsidRPr="00362517" w:rsidRDefault="00D8365A" w:rsidP="00BF6BC7">
            <w:pPr>
              <w:jc w:val="right"/>
            </w:pPr>
            <w:r w:rsidRPr="00362517">
              <w:t>503</w:t>
            </w:r>
          </w:p>
        </w:tc>
        <w:tc>
          <w:tcPr>
            <w:tcW w:w="860" w:type="pct"/>
            <w:tcBorders>
              <w:top w:val="nil"/>
              <w:left w:val="nil"/>
              <w:bottom w:val="single" w:sz="4" w:space="0" w:color="auto"/>
              <w:right w:val="single" w:sz="4" w:space="0" w:color="auto"/>
            </w:tcBorders>
            <w:shd w:val="clear" w:color="auto" w:fill="auto"/>
            <w:noWrap/>
            <w:vAlign w:val="bottom"/>
            <w:hideMark/>
          </w:tcPr>
          <w:p w14:paraId="25D8A3ED" w14:textId="77777777" w:rsidR="00D8365A" w:rsidRPr="00362517" w:rsidRDefault="00D8365A" w:rsidP="00BF6BC7">
            <w:pPr>
              <w:jc w:val="right"/>
            </w:pPr>
            <w:r w:rsidRPr="00362517">
              <w:t>845</w:t>
            </w:r>
          </w:p>
        </w:tc>
        <w:tc>
          <w:tcPr>
            <w:tcW w:w="1050" w:type="pct"/>
            <w:tcBorders>
              <w:top w:val="nil"/>
              <w:left w:val="nil"/>
              <w:bottom w:val="single" w:sz="4" w:space="0" w:color="auto"/>
              <w:right w:val="single" w:sz="8" w:space="0" w:color="auto"/>
            </w:tcBorders>
            <w:shd w:val="clear" w:color="auto" w:fill="auto"/>
            <w:noWrap/>
            <w:vAlign w:val="bottom"/>
            <w:hideMark/>
          </w:tcPr>
          <w:p w14:paraId="03157F36" w14:textId="77777777" w:rsidR="00D8365A" w:rsidRPr="00362517" w:rsidRDefault="00D8365A" w:rsidP="00BF6BC7">
            <w:pPr>
              <w:jc w:val="right"/>
            </w:pPr>
            <w:r w:rsidRPr="00362517">
              <w:t>96</w:t>
            </w:r>
          </w:p>
        </w:tc>
      </w:tr>
      <w:tr w:rsidR="00D8365A" w:rsidRPr="00362517" w14:paraId="16CEB7A0"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1407B906" w14:textId="77777777" w:rsidR="00D8365A" w:rsidRPr="00362517" w:rsidRDefault="00D8365A" w:rsidP="00BF6BC7">
            <w:r w:rsidRPr="00362517">
              <w:t>New Mexico</w:t>
            </w:r>
          </w:p>
        </w:tc>
        <w:tc>
          <w:tcPr>
            <w:tcW w:w="867" w:type="pct"/>
            <w:tcBorders>
              <w:top w:val="nil"/>
              <w:left w:val="nil"/>
              <w:bottom w:val="single" w:sz="4" w:space="0" w:color="auto"/>
              <w:right w:val="single" w:sz="4" w:space="0" w:color="auto"/>
            </w:tcBorders>
            <w:shd w:val="clear" w:color="auto" w:fill="auto"/>
            <w:noWrap/>
            <w:vAlign w:val="bottom"/>
            <w:hideMark/>
          </w:tcPr>
          <w:p w14:paraId="0751E07E" w14:textId="77777777" w:rsidR="00D8365A" w:rsidRPr="00362517" w:rsidRDefault="00D8365A" w:rsidP="00BF6BC7">
            <w:pPr>
              <w:jc w:val="right"/>
            </w:pPr>
            <w:r w:rsidRPr="00362517">
              <w:t>1,008</w:t>
            </w:r>
          </w:p>
        </w:tc>
        <w:tc>
          <w:tcPr>
            <w:tcW w:w="882" w:type="pct"/>
            <w:tcBorders>
              <w:top w:val="nil"/>
              <w:left w:val="nil"/>
              <w:bottom w:val="single" w:sz="4" w:space="0" w:color="auto"/>
              <w:right w:val="single" w:sz="4" w:space="0" w:color="auto"/>
            </w:tcBorders>
            <w:shd w:val="clear" w:color="auto" w:fill="auto"/>
            <w:noWrap/>
            <w:vAlign w:val="bottom"/>
            <w:hideMark/>
          </w:tcPr>
          <w:p w14:paraId="6B1DF5EC" w14:textId="77777777" w:rsidR="00D8365A" w:rsidRPr="00362517" w:rsidRDefault="00D8365A" w:rsidP="00BF6BC7">
            <w:pPr>
              <w:jc w:val="right"/>
            </w:pPr>
            <w:r w:rsidRPr="00362517">
              <w:t>261</w:t>
            </w:r>
          </w:p>
        </w:tc>
        <w:tc>
          <w:tcPr>
            <w:tcW w:w="860" w:type="pct"/>
            <w:tcBorders>
              <w:top w:val="nil"/>
              <w:left w:val="nil"/>
              <w:bottom w:val="single" w:sz="4" w:space="0" w:color="auto"/>
              <w:right w:val="single" w:sz="4" w:space="0" w:color="auto"/>
            </w:tcBorders>
            <w:shd w:val="clear" w:color="auto" w:fill="auto"/>
            <w:noWrap/>
            <w:vAlign w:val="bottom"/>
            <w:hideMark/>
          </w:tcPr>
          <w:p w14:paraId="777048C1" w14:textId="77777777" w:rsidR="00D8365A" w:rsidRPr="00362517" w:rsidRDefault="00D8365A" w:rsidP="00BF6BC7">
            <w:pPr>
              <w:jc w:val="right"/>
            </w:pPr>
            <w:r w:rsidRPr="00362517">
              <w:t>747</w:t>
            </w:r>
          </w:p>
        </w:tc>
        <w:tc>
          <w:tcPr>
            <w:tcW w:w="1050" w:type="pct"/>
            <w:tcBorders>
              <w:top w:val="nil"/>
              <w:left w:val="nil"/>
              <w:bottom w:val="single" w:sz="4" w:space="0" w:color="auto"/>
              <w:right w:val="single" w:sz="8" w:space="0" w:color="auto"/>
            </w:tcBorders>
            <w:shd w:val="clear" w:color="auto" w:fill="auto"/>
            <w:noWrap/>
            <w:vAlign w:val="bottom"/>
            <w:hideMark/>
          </w:tcPr>
          <w:p w14:paraId="29A41537" w14:textId="77777777" w:rsidR="00D8365A" w:rsidRPr="00362517" w:rsidRDefault="00D8365A" w:rsidP="00BF6BC7">
            <w:pPr>
              <w:jc w:val="right"/>
            </w:pPr>
            <w:r w:rsidRPr="00362517">
              <w:t>85</w:t>
            </w:r>
          </w:p>
        </w:tc>
      </w:tr>
      <w:tr w:rsidR="00D8365A" w:rsidRPr="00362517" w14:paraId="07FBB249"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13672408" w14:textId="77777777" w:rsidR="00D8365A" w:rsidRPr="00362517" w:rsidRDefault="00D8365A" w:rsidP="00BF6BC7">
            <w:r w:rsidRPr="00362517">
              <w:t>New York</w:t>
            </w:r>
          </w:p>
        </w:tc>
        <w:tc>
          <w:tcPr>
            <w:tcW w:w="867" w:type="pct"/>
            <w:tcBorders>
              <w:top w:val="nil"/>
              <w:left w:val="nil"/>
              <w:bottom w:val="single" w:sz="4" w:space="0" w:color="auto"/>
              <w:right w:val="single" w:sz="4" w:space="0" w:color="auto"/>
            </w:tcBorders>
            <w:shd w:val="clear" w:color="auto" w:fill="auto"/>
            <w:noWrap/>
            <w:vAlign w:val="bottom"/>
            <w:hideMark/>
          </w:tcPr>
          <w:p w14:paraId="76DE1581" w14:textId="77777777" w:rsidR="00D8365A" w:rsidRPr="00362517" w:rsidRDefault="00D8365A" w:rsidP="00BF6BC7">
            <w:pPr>
              <w:jc w:val="right"/>
            </w:pPr>
            <w:r w:rsidRPr="00362517">
              <w:t>1,972</w:t>
            </w:r>
          </w:p>
        </w:tc>
        <w:tc>
          <w:tcPr>
            <w:tcW w:w="882" w:type="pct"/>
            <w:tcBorders>
              <w:top w:val="nil"/>
              <w:left w:val="nil"/>
              <w:bottom w:val="single" w:sz="4" w:space="0" w:color="auto"/>
              <w:right w:val="single" w:sz="4" w:space="0" w:color="auto"/>
            </w:tcBorders>
            <w:shd w:val="clear" w:color="auto" w:fill="auto"/>
            <w:noWrap/>
            <w:vAlign w:val="bottom"/>
            <w:hideMark/>
          </w:tcPr>
          <w:p w14:paraId="40EBE475" w14:textId="77777777" w:rsidR="00D8365A" w:rsidRPr="00362517" w:rsidRDefault="00D8365A" w:rsidP="00BF6BC7">
            <w:pPr>
              <w:jc w:val="right"/>
            </w:pPr>
            <w:r w:rsidRPr="00362517">
              <w:t>1,112</w:t>
            </w:r>
          </w:p>
        </w:tc>
        <w:tc>
          <w:tcPr>
            <w:tcW w:w="860" w:type="pct"/>
            <w:tcBorders>
              <w:top w:val="nil"/>
              <w:left w:val="nil"/>
              <w:bottom w:val="single" w:sz="4" w:space="0" w:color="auto"/>
              <w:right w:val="single" w:sz="4" w:space="0" w:color="auto"/>
            </w:tcBorders>
            <w:shd w:val="clear" w:color="auto" w:fill="auto"/>
            <w:noWrap/>
            <w:vAlign w:val="bottom"/>
            <w:hideMark/>
          </w:tcPr>
          <w:p w14:paraId="34A83A3D" w14:textId="77777777" w:rsidR="00D8365A" w:rsidRPr="00362517" w:rsidRDefault="00D8365A" w:rsidP="00BF6BC7">
            <w:pPr>
              <w:jc w:val="right"/>
            </w:pPr>
            <w:r w:rsidRPr="00362517">
              <w:t>860</w:t>
            </w:r>
          </w:p>
        </w:tc>
        <w:tc>
          <w:tcPr>
            <w:tcW w:w="1050" w:type="pct"/>
            <w:tcBorders>
              <w:top w:val="nil"/>
              <w:left w:val="nil"/>
              <w:bottom w:val="single" w:sz="4" w:space="0" w:color="auto"/>
              <w:right w:val="single" w:sz="8" w:space="0" w:color="auto"/>
            </w:tcBorders>
            <w:shd w:val="clear" w:color="auto" w:fill="auto"/>
            <w:noWrap/>
            <w:vAlign w:val="bottom"/>
            <w:hideMark/>
          </w:tcPr>
          <w:p w14:paraId="34CF18EB" w14:textId="77777777" w:rsidR="00D8365A" w:rsidRPr="00362517" w:rsidRDefault="00D8365A" w:rsidP="00BF6BC7">
            <w:pPr>
              <w:jc w:val="right"/>
            </w:pPr>
            <w:r w:rsidRPr="00362517">
              <w:t>98</w:t>
            </w:r>
          </w:p>
        </w:tc>
      </w:tr>
      <w:tr w:rsidR="00D8365A" w:rsidRPr="00362517" w14:paraId="7925DF41"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5DF355DC" w14:textId="77777777" w:rsidR="00D8365A" w:rsidRPr="00362517" w:rsidRDefault="00D8365A" w:rsidP="00BF6BC7">
            <w:r w:rsidRPr="00362517">
              <w:t>North Carolina</w:t>
            </w:r>
          </w:p>
        </w:tc>
        <w:tc>
          <w:tcPr>
            <w:tcW w:w="867" w:type="pct"/>
            <w:tcBorders>
              <w:top w:val="nil"/>
              <w:left w:val="nil"/>
              <w:bottom w:val="single" w:sz="4" w:space="0" w:color="auto"/>
              <w:right w:val="single" w:sz="4" w:space="0" w:color="auto"/>
            </w:tcBorders>
            <w:shd w:val="clear" w:color="auto" w:fill="auto"/>
            <w:noWrap/>
            <w:vAlign w:val="bottom"/>
            <w:hideMark/>
          </w:tcPr>
          <w:p w14:paraId="5B31D3BA" w14:textId="77777777" w:rsidR="00D8365A" w:rsidRPr="00362517" w:rsidRDefault="00D8365A" w:rsidP="00BF6BC7">
            <w:pPr>
              <w:jc w:val="right"/>
            </w:pPr>
            <w:r w:rsidRPr="00362517">
              <w:t>2,190</w:t>
            </w:r>
          </w:p>
        </w:tc>
        <w:tc>
          <w:tcPr>
            <w:tcW w:w="882" w:type="pct"/>
            <w:tcBorders>
              <w:top w:val="nil"/>
              <w:left w:val="nil"/>
              <w:bottom w:val="single" w:sz="4" w:space="0" w:color="auto"/>
              <w:right w:val="single" w:sz="4" w:space="0" w:color="auto"/>
            </w:tcBorders>
            <w:shd w:val="clear" w:color="auto" w:fill="auto"/>
            <w:noWrap/>
            <w:vAlign w:val="bottom"/>
            <w:hideMark/>
          </w:tcPr>
          <w:p w14:paraId="21947B9C" w14:textId="77777777" w:rsidR="00D8365A" w:rsidRPr="00362517" w:rsidRDefault="00D8365A" w:rsidP="00BF6BC7">
            <w:pPr>
              <w:jc w:val="right"/>
            </w:pPr>
            <w:r w:rsidRPr="00362517">
              <w:t>804</w:t>
            </w:r>
          </w:p>
        </w:tc>
        <w:tc>
          <w:tcPr>
            <w:tcW w:w="860" w:type="pct"/>
            <w:tcBorders>
              <w:top w:val="nil"/>
              <w:left w:val="nil"/>
              <w:bottom w:val="single" w:sz="4" w:space="0" w:color="auto"/>
              <w:right w:val="single" w:sz="4" w:space="0" w:color="auto"/>
            </w:tcBorders>
            <w:shd w:val="clear" w:color="auto" w:fill="auto"/>
            <w:noWrap/>
            <w:vAlign w:val="bottom"/>
            <w:hideMark/>
          </w:tcPr>
          <w:p w14:paraId="5856DEDF" w14:textId="77777777" w:rsidR="00D8365A" w:rsidRPr="00362517" w:rsidRDefault="00D8365A" w:rsidP="00BF6BC7">
            <w:pPr>
              <w:jc w:val="right"/>
            </w:pPr>
            <w:r w:rsidRPr="00362517">
              <w:t>1,386</w:t>
            </w:r>
          </w:p>
        </w:tc>
        <w:tc>
          <w:tcPr>
            <w:tcW w:w="1050" w:type="pct"/>
            <w:tcBorders>
              <w:top w:val="nil"/>
              <w:left w:val="nil"/>
              <w:bottom w:val="single" w:sz="4" w:space="0" w:color="auto"/>
              <w:right w:val="single" w:sz="8" w:space="0" w:color="auto"/>
            </w:tcBorders>
            <w:shd w:val="clear" w:color="auto" w:fill="auto"/>
            <w:noWrap/>
            <w:vAlign w:val="bottom"/>
            <w:hideMark/>
          </w:tcPr>
          <w:p w14:paraId="17B0EAA1" w14:textId="77777777" w:rsidR="00D8365A" w:rsidRPr="00362517" w:rsidRDefault="00D8365A" w:rsidP="00BF6BC7">
            <w:pPr>
              <w:jc w:val="right"/>
            </w:pPr>
            <w:r w:rsidRPr="00362517">
              <w:t>158</w:t>
            </w:r>
          </w:p>
        </w:tc>
      </w:tr>
      <w:tr w:rsidR="00D8365A" w:rsidRPr="00362517" w14:paraId="66FF5F41"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3CF2A65E" w14:textId="77777777" w:rsidR="00D8365A" w:rsidRPr="00362517" w:rsidRDefault="00D8365A" w:rsidP="00BF6BC7">
            <w:r w:rsidRPr="00362517">
              <w:t>North Dakota</w:t>
            </w:r>
          </w:p>
        </w:tc>
        <w:tc>
          <w:tcPr>
            <w:tcW w:w="867" w:type="pct"/>
            <w:tcBorders>
              <w:top w:val="nil"/>
              <w:left w:val="nil"/>
              <w:bottom w:val="single" w:sz="4" w:space="0" w:color="auto"/>
              <w:right w:val="single" w:sz="4" w:space="0" w:color="auto"/>
            </w:tcBorders>
            <w:shd w:val="clear" w:color="auto" w:fill="auto"/>
            <w:noWrap/>
            <w:vAlign w:val="bottom"/>
            <w:hideMark/>
          </w:tcPr>
          <w:p w14:paraId="43E53166" w14:textId="77777777" w:rsidR="00D8365A" w:rsidRPr="00362517" w:rsidRDefault="00D8365A" w:rsidP="00BF6BC7">
            <w:pPr>
              <w:jc w:val="right"/>
            </w:pPr>
            <w:r w:rsidRPr="00362517">
              <w:t>2,450</w:t>
            </w:r>
          </w:p>
        </w:tc>
        <w:tc>
          <w:tcPr>
            <w:tcW w:w="882" w:type="pct"/>
            <w:tcBorders>
              <w:top w:val="nil"/>
              <w:left w:val="nil"/>
              <w:bottom w:val="single" w:sz="4" w:space="0" w:color="auto"/>
              <w:right w:val="single" w:sz="4" w:space="0" w:color="auto"/>
            </w:tcBorders>
            <w:shd w:val="clear" w:color="auto" w:fill="auto"/>
            <w:noWrap/>
            <w:vAlign w:val="bottom"/>
            <w:hideMark/>
          </w:tcPr>
          <w:p w14:paraId="4AA4FA4F" w14:textId="77777777" w:rsidR="00D8365A" w:rsidRPr="00362517" w:rsidRDefault="00D8365A" w:rsidP="00BF6BC7">
            <w:pPr>
              <w:jc w:val="right"/>
            </w:pPr>
            <w:r w:rsidRPr="00362517">
              <w:t>1,157</w:t>
            </w:r>
          </w:p>
        </w:tc>
        <w:tc>
          <w:tcPr>
            <w:tcW w:w="860" w:type="pct"/>
            <w:tcBorders>
              <w:top w:val="nil"/>
              <w:left w:val="nil"/>
              <w:bottom w:val="single" w:sz="4" w:space="0" w:color="auto"/>
              <w:right w:val="single" w:sz="4" w:space="0" w:color="auto"/>
            </w:tcBorders>
            <w:shd w:val="clear" w:color="auto" w:fill="auto"/>
            <w:noWrap/>
            <w:vAlign w:val="bottom"/>
            <w:hideMark/>
          </w:tcPr>
          <w:p w14:paraId="362383E3" w14:textId="77777777" w:rsidR="00D8365A" w:rsidRPr="00362517" w:rsidRDefault="00D8365A" w:rsidP="00BF6BC7">
            <w:pPr>
              <w:jc w:val="right"/>
            </w:pPr>
            <w:r w:rsidRPr="00362517">
              <w:t>1,293</w:t>
            </w:r>
          </w:p>
        </w:tc>
        <w:tc>
          <w:tcPr>
            <w:tcW w:w="1050" w:type="pct"/>
            <w:tcBorders>
              <w:top w:val="nil"/>
              <w:left w:val="nil"/>
              <w:bottom w:val="single" w:sz="4" w:space="0" w:color="auto"/>
              <w:right w:val="single" w:sz="8" w:space="0" w:color="auto"/>
            </w:tcBorders>
            <w:shd w:val="clear" w:color="auto" w:fill="auto"/>
            <w:noWrap/>
            <w:vAlign w:val="bottom"/>
            <w:hideMark/>
          </w:tcPr>
          <w:p w14:paraId="0B87777B" w14:textId="77777777" w:rsidR="00D8365A" w:rsidRPr="00362517" w:rsidRDefault="00D8365A" w:rsidP="00BF6BC7">
            <w:pPr>
              <w:jc w:val="right"/>
            </w:pPr>
            <w:r w:rsidRPr="00362517">
              <w:t>147</w:t>
            </w:r>
          </w:p>
        </w:tc>
      </w:tr>
      <w:tr w:rsidR="00D8365A" w:rsidRPr="00362517" w14:paraId="4252C5C7"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6DF63BF1" w14:textId="77777777" w:rsidR="00D8365A" w:rsidRPr="00362517" w:rsidRDefault="00D8365A" w:rsidP="00BF6BC7">
            <w:r w:rsidRPr="00362517">
              <w:t>Ohio</w:t>
            </w:r>
          </w:p>
        </w:tc>
        <w:tc>
          <w:tcPr>
            <w:tcW w:w="867" w:type="pct"/>
            <w:tcBorders>
              <w:top w:val="nil"/>
              <w:left w:val="nil"/>
              <w:bottom w:val="single" w:sz="4" w:space="0" w:color="auto"/>
              <w:right w:val="single" w:sz="4" w:space="0" w:color="auto"/>
            </w:tcBorders>
            <w:shd w:val="clear" w:color="auto" w:fill="auto"/>
            <w:noWrap/>
            <w:vAlign w:val="bottom"/>
            <w:hideMark/>
          </w:tcPr>
          <w:p w14:paraId="1A668C02" w14:textId="77777777" w:rsidR="00D8365A" w:rsidRPr="00362517" w:rsidRDefault="00D8365A" w:rsidP="00BF6BC7">
            <w:pPr>
              <w:jc w:val="right"/>
            </w:pPr>
            <w:r w:rsidRPr="00362517">
              <w:t>2,155</w:t>
            </w:r>
          </w:p>
        </w:tc>
        <w:tc>
          <w:tcPr>
            <w:tcW w:w="882" w:type="pct"/>
            <w:tcBorders>
              <w:top w:val="nil"/>
              <w:left w:val="nil"/>
              <w:bottom w:val="single" w:sz="4" w:space="0" w:color="auto"/>
              <w:right w:val="single" w:sz="4" w:space="0" w:color="auto"/>
            </w:tcBorders>
            <w:shd w:val="clear" w:color="auto" w:fill="auto"/>
            <w:noWrap/>
            <w:vAlign w:val="bottom"/>
            <w:hideMark/>
          </w:tcPr>
          <w:p w14:paraId="6B15DB27" w14:textId="77777777" w:rsidR="00D8365A" w:rsidRPr="00362517" w:rsidRDefault="00D8365A" w:rsidP="00BF6BC7">
            <w:pPr>
              <w:jc w:val="right"/>
            </w:pPr>
            <w:r w:rsidRPr="00362517">
              <w:t>676</w:t>
            </w:r>
          </w:p>
        </w:tc>
        <w:tc>
          <w:tcPr>
            <w:tcW w:w="860" w:type="pct"/>
            <w:tcBorders>
              <w:top w:val="nil"/>
              <w:left w:val="nil"/>
              <w:bottom w:val="single" w:sz="4" w:space="0" w:color="auto"/>
              <w:right w:val="single" w:sz="4" w:space="0" w:color="auto"/>
            </w:tcBorders>
            <w:shd w:val="clear" w:color="auto" w:fill="auto"/>
            <w:noWrap/>
            <w:vAlign w:val="bottom"/>
            <w:hideMark/>
          </w:tcPr>
          <w:p w14:paraId="40854A60" w14:textId="77777777" w:rsidR="00D8365A" w:rsidRPr="00362517" w:rsidRDefault="00D8365A" w:rsidP="00BF6BC7">
            <w:pPr>
              <w:jc w:val="right"/>
            </w:pPr>
            <w:r w:rsidRPr="00362517">
              <w:t>1,479</w:t>
            </w:r>
          </w:p>
        </w:tc>
        <w:tc>
          <w:tcPr>
            <w:tcW w:w="1050" w:type="pct"/>
            <w:tcBorders>
              <w:top w:val="nil"/>
              <w:left w:val="nil"/>
              <w:bottom w:val="single" w:sz="4" w:space="0" w:color="auto"/>
              <w:right w:val="single" w:sz="8" w:space="0" w:color="auto"/>
            </w:tcBorders>
            <w:shd w:val="clear" w:color="auto" w:fill="auto"/>
            <w:noWrap/>
            <w:vAlign w:val="bottom"/>
            <w:hideMark/>
          </w:tcPr>
          <w:p w14:paraId="54830B3B" w14:textId="77777777" w:rsidR="00D8365A" w:rsidRPr="00362517" w:rsidRDefault="00D8365A" w:rsidP="00BF6BC7">
            <w:pPr>
              <w:jc w:val="right"/>
            </w:pPr>
            <w:r w:rsidRPr="00362517">
              <w:t>168</w:t>
            </w:r>
          </w:p>
        </w:tc>
      </w:tr>
      <w:tr w:rsidR="00D8365A" w:rsidRPr="00362517" w14:paraId="1C09D52D"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7C7A39FB" w14:textId="77777777" w:rsidR="00D8365A" w:rsidRPr="00362517" w:rsidRDefault="00D8365A" w:rsidP="00BF6BC7">
            <w:r w:rsidRPr="00362517">
              <w:t>Oklahoma</w:t>
            </w:r>
          </w:p>
        </w:tc>
        <w:tc>
          <w:tcPr>
            <w:tcW w:w="867" w:type="pct"/>
            <w:tcBorders>
              <w:top w:val="nil"/>
              <w:left w:val="nil"/>
              <w:bottom w:val="single" w:sz="4" w:space="0" w:color="auto"/>
              <w:right w:val="single" w:sz="4" w:space="0" w:color="auto"/>
            </w:tcBorders>
            <w:shd w:val="clear" w:color="auto" w:fill="auto"/>
            <w:noWrap/>
            <w:vAlign w:val="bottom"/>
            <w:hideMark/>
          </w:tcPr>
          <w:p w14:paraId="780F5874" w14:textId="77777777" w:rsidR="00D8365A" w:rsidRPr="00362517" w:rsidRDefault="00D8365A" w:rsidP="00BF6BC7">
            <w:pPr>
              <w:jc w:val="right"/>
            </w:pPr>
            <w:r w:rsidRPr="00362517">
              <w:t>2,679</w:t>
            </w:r>
          </w:p>
        </w:tc>
        <w:tc>
          <w:tcPr>
            <w:tcW w:w="882" w:type="pct"/>
            <w:tcBorders>
              <w:top w:val="nil"/>
              <w:left w:val="nil"/>
              <w:bottom w:val="single" w:sz="4" w:space="0" w:color="auto"/>
              <w:right w:val="single" w:sz="4" w:space="0" w:color="auto"/>
            </w:tcBorders>
            <w:shd w:val="clear" w:color="auto" w:fill="auto"/>
            <w:noWrap/>
            <w:vAlign w:val="bottom"/>
            <w:hideMark/>
          </w:tcPr>
          <w:p w14:paraId="7FC14728" w14:textId="77777777" w:rsidR="00D8365A" w:rsidRPr="00362517" w:rsidRDefault="00D8365A" w:rsidP="00BF6BC7">
            <w:pPr>
              <w:jc w:val="right"/>
            </w:pPr>
            <w:r w:rsidRPr="00362517">
              <w:t>1,370</w:t>
            </w:r>
          </w:p>
        </w:tc>
        <w:tc>
          <w:tcPr>
            <w:tcW w:w="860" w:type="pct"/>
            <w:tcBorders>
              <w:top w:val="nil"/>
              <w:left w:val="nil"/>
              <w:bottom w:val="single" w:sz="4" w:space="0" w:color="auto"/>
              <w:right w:val="single" w:sz="4" w:space="0" w:color="auto"/>
            </w:tcBorders>
            <w:shd w:val="clear" w:color="auto" w:fill="auto"/>
            <w:noWrap/>
            <w:vAlign w:val="bottom"/>
            <w:hideMark/>
          </w:tcPr>
          <w:p w14:paraId="34D3D4D3" w14:textId="77777777" w:rsidR="00D8365A" w:rsidRPr="00362517" w:rsidRDefault="00D8365A" w:rsidP="00BF6BC7">
            <w:pPr>
              <w:jc w:val="right"/>
            </w:pPr>
            <w:r w:rsidRPr="00362517">
              <w:t>1,309</w:t>
            </w:r>
          </w:p>
        </w:tc>
        <w:tc>
          <w:tcPr>
            <w:tcW w:w="1050" w:type="pct"/>
            <w:tcBorders>
              <w:top w:val="nil"/>
              <w:left w:val="nil"/>
              <w:bottom w:val="single" w:sz="4" w:space="0" w:color="auto"/>
              <w:right w:val="single" w:sz="8" w:space="0" w:color="auto"/>
            </w:tcBorders>
            <w:shd w:val="clear" w:color="auto" w:fill="auto"/>
            <w:noWrap/>
            <w:vAlign w:val="bottom"/>
            <w:hideMark/>
          </w:tcPr>
          <w:p w14:paraId="3D986FE7" w14:textId="77777777" w:rsidR="00D8365A" w:rsidRPr="00362517" w:rsidRDefault="00D8365A" w:rsidP="00BF6BC7">
            <w:pPr>
              <w:jc w:val="right"/>
            </w:pPr>
            <w:r w:rsidRPr="00362517">
              <w:t>149</w:t>
            </w:r>
          </w:p>
        </w:tc>
      </w:tr>
      <w:tr w:rsidR="00D8365A" w:rsidRPr="00362517" w14:paraId="2093CABD"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4043D42C" w14:textId="77777777" w:rsidR="00D8365A" w:rsidRPr="00362517" w:rsidRDefault="00D8365A" w:rsidP="00BF6BC7">
            <w:r w:rsidRPr="00362517">
              <w:t>Oregon</w:t>
            </w:r>
          </w:p>
        </w:tc>
        <w:tc>
          <w:tcPr>
            <w:tcW w:w="867" w:type="pct"/>
            <w:tcBorders>
              <w:top w:val="nil"/>
              <w:left w:val="nil"/>
              <w:bottom w:val="single" w:sz="4" w:space="0" w:color="auto"/>
              <w:right w:val="single" w:sz="4" w:space="0" w:color="auto"/>
            </w:tcBorders>
            <w:shd w:val="clear" w:color="auto" w:fill="auto"/>
            <w:noWrap/>
            <w:vAlign w:val="bottom"/>
            <w:hideMark/>
          </w:tcPr>
          <w:p w14:paraId="052F7800" w14:textId="77777777" w:rsidR="00D8365A" w:rsidRPr="00362517" w:rsidRDefault="00D8365A" w:rsidP="00BF6BC7">
            <w:pPr>
              <w:jc w:val="right"/>
            </w:pPr>
            <w:r w:rsidRPr="00362517">
              <w:t>1,428</w:t>
            </w:r>
          </w:p>
        </w:tc>
        <w:tc>
          <w:tcPr>
            <w:tcW w:w="882" w:type="pct"/>
            <w:tcBorders>
              <w:top w:val="nil"/>
              <w:left w:val="nil"/>
              <w:bottom w:val="single" w:sz="4" w:space="0" w:color="auto"/>
              <w:right w:val="single" w:sz="4" w:space="0" w:color="auto"/>
            </w:tcBorders>
            <w:shd w:val="clear" w:color="auto" w:fill="auto"/>
            <w:noWrap/>
            <w:vAlign w:val="bottom"/>
            <w:hideMark/>
          </w:tcPr>
          <w:p w14:paraId="091B4D94" w14:textId="77777777" w:rsidR="00D8365A" w:rsidRPr="00362517" w:rsidRDefault="00D8365A" w:rsidP="00BF6BC7">
            <w:pPr>
              <w:jc w:val="right"/>
            </w:pPr>
            <w:r w:rsidRPr="00362517">
              <w:t>528</w:t>
            </w:r>
          </w:p>
        </w:tc>
        <w:tc>
          <w:tcPr>
            <w:tcW w:w="860" w:type="pct"/>
            <w:tcBorders>
              <w:top w:val="nil"/>
              <w:left w:val="nil"/>
              <w:bottom w:val="single" w:sz="4" w:space="0" w:color="auto"/>
              <w:right w:val="single" w:sz="4" w:space="0" w:color="auto"/>
            </w:tcBorders>
            <w:shd w:val="clear" w:color="auto" w:fill="auto"/>
            <w:noWrap/>
            <w:vAlign w:val="bottom"/>
            <w:hideMark/>
          </w:tcPr>
          <w:p w14:paraId="777BD55E" w14:textId="77777777" w:rsidR="00D8365A" w:rsidRPr="00362517" w:rsidRDefault="00D8365A" w:rsidP="00BF6BC7">
            <w:pPr>
              <w:jc w:val="right"/>
            </w:pPr>
            <w:r w:rsidRPr="00362517">
              <w:t>900</w:t>
            </w:r>
          </w:p>
        </w:tc>
        <w:tc>
          <w:tcPr>
            <w:tcW w:w="1050" w:type="pct"/>
            <w:tcBorders>
              <w:top w:val="nil"/>
              <w:left w:val="nil"/>
              <w:bottom w:val="single" w:sz="4" w:space="0" w:color="auto"/>
              <w:right w:val="single" w:sz="8" w:space="0" w:color="auto"/>
            </w:tcBorders>
            <w:shd w:val="clear" w:color="auto" w:fill="auto"/>
            <w:noWrap/>
            <w:vAlign w:val="bottom"/>
            <w:hideMark/>
          </w:tcPr>
          <w:p w14:paraId="64B57699" w14:textId="77777777" w:rsidR="00D8365A" w:rsidRPr="00362517" w:rsidRDefault="00D8365A" w:rsidP="00BF6BC7">
            <w:pPr>
              <w:jc w:val="right"/>
            </w:pPr>
            <w:r w:rsidRPr="00362517">
              <w:t>102</w:t>
            </w:r>
          </w:p>
        </w:tc>
      </w:tr>
      <w:tr w:rsidR="00D8365A" w:rsidRPr="00362517" w14:paraId="1CAC907F"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60D57180" w14:textId="77777777" w:rsidR="00D8365A" w:rsidRPr="00362517" w:rsidRDefault="00D8365A" w:rsidP="00BF6BC7">
            <w:r w:rsidRPr="00362517">
              <w:t>Pennsylvania</w:t>
            </w:r>
          </w:p>
        </w:tc>
        <w:tc>
          <w:tcPr>
            <w:tcW w:w="867" w:type="pct"/>
            <w:tcBorders>
              <w:top w:val="nil"/>
              <w:left w:val="nil"/>
              <w:bottom w:val="single" w:sz="4" w:space="0" w:color="auto"/>
              <w:right w:val="single" w:sz="4" w:space="0" w:color="auto"/>
            </w:tcBorders>
            <w:shd w:val="clear" w:color="auto" w:fill="auto"/>
            <w:noWrap/>
            <w:vAlign w:val="bottom"/>
            <w:hideMark/>
          </w:tcPr>
          <w:p w14:paraId="77702838" w14:textId="77777777" w:rsidR="00D8365A" w:rsidRPr="00362517" w:rsidRDefault="00D8365A" w:rsidP="00BF6BC7">
            <w:pPr>
              <w:jc w:val="right"/>
            </w:pPr>
            <w:r w:rsidRPr="00362517">
              <w:t>2,448</w:t>
            </w:r>
          </w:p>
        </w:tc>
        <w:tc>
          <w:tcPr>
            <w:tcW w:w="882" w:type="pct"/>
            <w:tcBorders>
              <w:top w:val="nil"/>
              <w:left w:val="nil"/>
              <w:bottom w:val="single" w:sz="4" w:space="0" w:color="auto"/>
              <w:right w:val="single" w:sz="4" w:space="0" w:color="auto"/>
            </w:tcBorders>
            <w:shd w:val="clear" w:color="auto" w:fill="auto"/>
            <w:noWrap/>
            <w:vAlign w:val="bottom"/>
            <w:hideMark/>
          </w:tcPr>
          <w:p w14:paraId="24C3DBB0" w14:textId="77777777" w:rsidR="00D8365A" w:rsidRPr="00362517" w:rsidRDefault="00D8365A" w:rsidP="00BF6BC7">
            <w:pPr>
              <w:jc w:val="right"/>
            </w:pPr>
            <w:r w:rsidRPr="00362517">
              <w:t>1,106</w:t>
            </w:r>
          </w:p>
        </w:tc>
        <w:tc>
          <w:tcPr>
            <w:tcW w:w="860" w:type="pct"/>
            <w:tcBorders>
              <w:top w:val="nil"/>
              <w:left w:val="nil"/>
              <w:bottom w:val="single" w:sz="4" w:space="0" w:color="auto"/>
              <w:right w:val="single" w:sz="4" w:space="0" w:color="auto"/>
            </w:tcBorders>
            <w:shd w:val="clear" w:color="auto" w:fill="auto"/>
            <w:noWrap/>
            <w:vAlign w:val="bottom"/>
            <w:hideMark/>
          </w:tcPr>
          <w:p w14:paraId="08CFC5C8" w14:textId="77777777" w:rsidR="00D8365A" w:rsidRPr="00362517" w:rsidRDefault="00D8365A" w:rsidP="00BF6BC7">
            <w:pPr>
              <w:jc w:val="right"/>
            </w:pPr>
            <w:r w:rsidRPr="00362517">
              <w:t>1,342</w:t>
            </w:r>
          </w:p>
        </w:tc>
        <w:tc>
          <w:tcPr>
            <w:tcW w:w="1050" w:type="pct"/>
            <w:tcBorders>
              <w:top w:val="nil"/>
              <w:left w:val="nil"/>
              <w:bottom w:val="single" w:sz="4" w:space="0" w:color="auto"/>
              <w:right w:val="single" w:sz="8" w:space="0" w:color="auto"/>
            </w:tcBorders>
            <w:shd w:val="clear" w:color="auto" w:fill="auto"/>
            <w:noWrap/>
            <w:vAlign w:val="bottom"/>
            <w:hideMark/>
          </w:tcPr>
          <w:p w14:paraId="25E35124" w14:textId="77777777" w:rsidR="00D8365A" w:rsidRPr="00362517" w:rsidRDefault="00D8365A" w:rsidP="00BF6BC7">
            <w:pPr>
              <w:jc w:val="right"/>
            </w:pPr>
            <w:r w:rsidRPr="00362517">
              <w:t>153</w:t>
            </w:r>
          </w:p>
        </w:tc>
      </w:tr>
      <w:tr w:rsidR="00D8365A" w:rsidRPr="00362517" w14:paraId="61CB09A9"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23301761" w14:textId="77777777" w:rsidR="00D8365A" w:rsidRPr="00362517" w:rsidRDefault="00D8365A" w:rsidP="00BF6BC7">
            <w:r w:rsidRPr="00362517">
              <w:t>Rhode Island</w:t>
            </w:r>
          </w:p>
        </w:tc>
        <w:tc>
          <w:tcPr>
            <w:tcW w:w="867" w:type="pct"/>
            <w:tcBorders>
              <w:top w:val="nil"/>
              <w:left w:val="nil"/>
              <w:bottom w:val="single" w:sz="4" w:space="0" w:color="auto"/>
              <w:right w:val="single" w:sz="4" w:space="0" w:color="auto"/>
            </w:tcBorders>
            <w:shd w:val="clear" w:color="auto" w:fill="auto"/>
            <w:noWrap/>
            <w:vAlign w:val="bottom"/>
            <w:hideMark/>
          </w:tcPr>
          <w:p w14:paraId="06FDA368" w14:textId="77777777" w:rsidR="00D8365A" w:rsidRPr="00362517" w:rsidRDefault="00D8365A" w:rsidP="00BF6BC7">
            <w:pPr>
              <w:jc w:val="right"/>
            </w:pPr>
            <w:r w:rsidRPr="00362517">
              <w:t>696</w:t>
            </w:r>
          </w:p>
        </w:tc>
        <w:tc>
          <w:tcPr>
            <w:tcW w:w="882" w:type="pct"/>
            <w:tcBorders>
              <w:top w:val="nil"/>
              <w:left w:val="nil"/>
              <w:bottom w:val="single" w:sz="4" w:space="0" w:color="auto"/>
              <w:right w:val="single" w:sz="4" w:space="0" w:color="auto"/>
            </w:tcBorders>
            <w:shd w:val="clear" w:color="auto" w:fill="auto"/>
            <w:noWrap/>
            <w:vAlign w:val="bottom"/>
            <w:hideMark/>
          </w:tcPr>
          <w:p w14:paraId="4B7284FA" w14:textId="77777777" w:rsidR="00D8365A" w:rsidRPr="00362517" w:rsidRDefault="00D8365A" w:rsidP="00BF6BC7">
            <w:pPr>
              <w:jc w:val="right"/>
            </w:pPr>
            <w:r w:rsidRPr="00362517">
              <w:t>27</w:t>
            </w:r>
          </w:p>
        </w:tc>
        <w:tc>
          <w:tcPr>
            <w:tcW w:w="860" w:type="pct"/>
            <w:tcBorders>
              <w:top w:val="nil"/>
              <w:left w:val="nil"/>
              <w:bottom w:val="single" w:sz="4" w:space="0" w:color="auto"/>
              <w:right w:val="single" w:sz="4" w:space="0" w:color="auto"/>
            </w:tcBorders>
            <w:shd w:val="clear" w:color="auto" w:fill="auto"/>
            <w:noWrap/>
            <w:vAlign w:val="bottom"/>
            <w:hideMark/>
          </w:tcPr>
          <w:p w14:paraId="03644D81" w14:textId="77777777" w:rsidR="00D8365A" w:rsidRPr="00362517" w:rsidRDefault="00D8365A" w:rsidP="00BF6BC7">
            <w:pPr>
              <w:jc w:val="right"/>
            </w:pPr>
            <w:r w:rsidRPr="00362517">
              <w:t>669</w:t>
            </w:r>
          </w:p>
        </w:tc>
        <w:tc>
          <w:tcPr>
            <w:tcW w:w="1050" w:type="pct"/>
            <w:tcBorders>
              <w:top w:val="nil"/>
              <w:left w:val="nil"/>
              <w:bottom w:val="single" w:sz="4" w:space="0" w:color="auto"/>
              <w:right w:val="single" w:sz="8" w:space="0" w:color="auto"/>
            </w:tcBorders>
            <w:shd w:val="clear" w:color="auto" w:fill="auto"/>
            <w:noWrap/>
            <w:vAlign w:val="bottom"/>
            <w:hideMark/>
          </w:tcPr>
          <w:p w14:paraId="39FE09CE" w14:textId="77777777" w:rsidR="00D8365A" w:rsidRPr="00362517" w:rsidRDefault="00D8365A" w:rsidP="00BF6BC7">
            <w:pPr>
              <w:jc w:val="right"/>
            </w:pPr>
            <w:r w:rsidRPr="00362517">
              <w:t>76</w:t>
            </w:r>
          </w:p>
        </w:tc>
      </w:tr>
      <w:tr w:rsidR="00D8365A" w:rsidRPr="00362517" w14:paraId="3A9B76DB"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453E92D4" w14:textId="77777777" w:rsidR="00D8365A" w:rsidRPr="00362517" w:rsidRDefault="00D8365A" w:rsidP="00BF6BC7">
            <w:r w:rsidRPr="00362517">
              <w:t>South Carolina</w:t>
            </w:r>
          </w:p>
        </w:tc>
        <w:tc>
          <w:tcPr>
            <w:tcW w:w="867" w:type="pct"/>
            <w:tcBorders>
              <w:top w:val="nil"/>
              <w:left w:val="nil"/>
              <w:bottom w:val="single" w:sz="4" w:space="0" w:color="auto"/>
              <w:right w:val="single" w:sz="4" w:space="0" w:color="auto"/>
            </w:tcBorders>
            <w:shd w:val="clear" w:color="auto" w:fill="auto"/>
            <w:noWrap/>
            <w:vAlign w:val="bottom"/>
            <w:hideMark/>
          </w:tcPr>
          <w:p w14:paraId="0C93A137" w14:textId="77777777" w:rsidR="00D8365A" w:rsidRPr="00362517" w:rsidRDefault="00D8365A" w:rsidP="00BF6BC7">
            <w:pPr>
              <w:jc w:val="right"/>
            </w:pPr>
            <w:r w:rsidRPr="00362517">
              <w:t>1,302</w:t>
            </w:r>
          </w:p>
        </w:tc>
        <w:tc>
          <w:tcPr>
            <w:tcW w:w="882" w:type="pct"/>
            <w:tcBorders>
              <w:top w:val="nil"/>
              <w:left w:val="nil"/>
              <w:bottom w:val="single" w:sz="4" w:space="0" w:color="auto"/>
              <w:right w:val="single" w:sz="4" w:space="0" w:color="auto"/>
            </w:tcBorders>
            <w:shd w:val="clear" w:color="auto" w:fill="auto"/>
            <w:noWrap/>
            <w:vAlign w:val="bottom"/>
            <w:hideMark/>
          </w:tcPr>
          <w:p w14:paraId="169C786D" w14:textId="77777777" w:rsidR="00D8365A" w:rsidRPr="00362517" w:rsidRDefault="00D8365A" w:rsidP="00BF6BC7">
            <w:pPr>
              <w:jc w:val="right"/>
            </w:pPr>
            <w:r w:rsidRPr="00362517">
              <w:t>276</w:t>
            </w:r>
          </w:p>
        </w:tc>
        <w:tc>
          <w:tcPr>
            <w:tcW w:w="860" w:type="pct"/>
            <w:tcBorders>
              <w:top w:val="nil"/>
              <w:left w:val="nil"/>
              <w:bottom w:val="single" w:sz="4" w:space="0" w:color="auto"/>
              <w:right w:val="single" w:sz="4" w:space="0" w:color="auto"/>
            </w:tcBorders>
            <w:shd w:val="clear" w:color="auto" w:fill="auto"/>
            <w:noWrap/>
            <w:vAlign w:val="bottom"/>
            <w:hideMark/>
          </w:tcPr>
          <w:p w14:paraId="0BC49EFB" w14:textId="77777777" w:rsidR="00D8365A" w:rsidRPr="00362517" w:rsidRDefault="00D8365A" w:rsidP="00BF6BC7">
            <w:pPr>
              <w:jc w:val="right"/>
            </w:pPr>
            <w:r w:rsidRPr="00362517">
              <w:t>1,025</w:t>
            </w:r>
          </w:p>
        </w:tc>
        <w:tc>
          <w:tcPr>
            <w:tcW w:w="1050" w:type="pct"/>
            <w:tcBorders>
              <w:top w:val="nil"/>
              <w:left w:val="nil"/>
              <w:bottom w:val="single" w:sz="4" w:space="0" w:color="auto"/>
              <w:right w:val="single" w:sz="8" w:space="0" w:color="auto"/>
            </w:tcBorders>
            <w:shd w:val="clear" w:color="auto" w:fill="auto"/>
            <w:noWrap/>
            <w:vAlign w:val="bottom"/>
            <w:hideMark/>
          </w:tcPr>
          <w:p w14:paraId="1113AB33" w14:textId="77777777" w:rsidR="00D8365A" w:rsidRPr="00362517" w:rsidRDefault="00D8365A" w:rsidP="00BF6BC7">
            <w:pPr>
              <w:jc w:val="right"/>
            </w:pPr>
            <w:r w:rsidRPr="00362517">
              <w:t>117</w:t>
            </w:r>
          </w:p>
        </w:tc>
      </w:tr>
      <w:tr w:rsidR="00D8365A" w:rsidRPr="00362517" w14:paraId="625A474F"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792B734A" w14:textId="77777777" w:rsidR="00D8365A" w:rsidRPr="00362517" w:rsidRDefault="00D8365A" w:rsidP="00BF6BC7">
            <w:r w:rsidRPr="00362517">
              <w:t>South Dakota</w:t>
            </w:r>
          </w:p>
        </w:tc>
        <w:tc>
          <w:tcPr>
            <w:tcW w:w="867" w:type="pct"/>
            <w:tcBorders>
              <w:top w:val="nil"/>
              <w:left w:val="nil"/>
              <w:bottom w:val="single" w:sz="4" w:space="0" w:color="auto"/>
              <w:right w:val="single" w:sz="4" w:space="0" w:color="auto"/>
            </w:tcBorders>
            <w:shd w:val="clear" w:color="auto" w:fill="auto"/>
            <w:noWrap/>
            <w:vAlign w:val="bottom"/>
            <w:hideMark/>
          </w:tcPr>
          <w:p w14:paraId="12F2E5E1" w14:textId="77777777" w:rsidR="00D8365A" w:rsidRPr="00362517" w:rsidRDefault="00D8365A" w:rsidP="00BF6BC7">
            <w:pPr>
              <w:jc w:val="right"/>
            </w:pPr>
            <w:r w:rsidRPr="00362517">
              <w:t>1,889</w:t>
            </w:r>
          </w:p>
        </w:tc>
        <w:tc>
          <w:tcPr>
            <w:tcW w:w="882" w:type="pct"/>
            <w:tcBorders>
              <w:top w:val="nil"/>
              <w:left w:val="nil"/>
              <w:bottom w:val="single" w:sz="4" w:space="0" w:color="auto"/>
              <w:right w:val="single" w:sz="4" w:space="0" w:color="auto"/>
            </w:tcBorders>
            <w:shd w:val="clear" w:color="auto" w:fill="auto"/>
            <w:noWrap/>
            <w:vAlign w:val="bottom"/>
            <w:hideMark/>
          </w:tcPr>
          <w:p w14:paraId="0B69B64B" w14:textId="77777777" w:rsidR="00D8365A" w:rsidRPr="00362517" w:rsidRDefault="00D8365A" w:rsidP="00BF6BC7">
            <w:pPr>
              <w:jc w:val="right"/>
            </w:pPr>
            <w:r w:rsidRPr="00362517">
              <w:t>604</w:t>
            </w:r>
          </w:p>
        </w:tc>
        <w:tc>
          <w:tcPr>
            <w:tcW w:w="860" w:type="pct"/>
            <w:tcBorders>
              <w:top w:val="nil"/>
              <w:left w:val="nil"/>
              <w:bottom w:val="single" w:sz="4" w:space="0" w:color="auto"/>
              <w:right w:val="single" w:sz="4" w:space="0" w:color="auto"/>
            </w:tcBorders>
            <w:shd w:val="clear" w:color="auto" w:fill="auto"/>
            <w:noWrap/>
            <w:vAlign w:val="bottom"/>
            <w:hideMark/>
          </w:tcPr>
          <w:p w14:paraId="71830EA5" w14:textId="77777777" w:rsidR="00D8365A" w:rsidRPr="00362517" w:rsidRDefault="00D8365A" w:rsidP="00BF6BC7">
            <w:pPr>
              <w:jc w:val="right"/>
            </w:pPr>
            <w:r w:rsidRPr="00362517">
              <w:t>1,286</w:t>
            </w:r>
          </w:p>
        </w:tc>
        <w:tc>
          <w:tcPr>
            <w:tcW w:w="1050" w:type="pct"/>
            <w:tcBorders>
              <w:top w:val="nil"/>
              <w:left w:val="nil"/>
              <w:bottom w:val="single" w:sz="4" w:space="0" w:color="auto"/>
              <w:right w:val="single" w:sz="8" w:space="0" w:color="auto"/>
            </w:tcBorders>
            <w:shd w:val="clear" w:color="auto" w:fill="auto"/>
            <w:noWrap/>
            <w:vAlign w:val="bottom"/>
            <w:hideMark/>
          </w:tcPr>
          <w:p w14:paraId="4BD5C102" w14:textId="77777777" w:rsidR="00D8365A" w:rsidRPr="00362517" w:rsidRDefault="00D8365A" w:rsidP="00BF6BC7">
            <w:pPr>
              <w:jc w:val="right"/>
            </w:pPr>
            <w:r w:rsidRPr="00362517">
              <w:t>146</w:t>
            </w:r>
          </w:p>
        </w:tc>
      </w:tr>
      <w:tr w:rsidR="00D8365A" w:rsidRPr="00362517" w14:paraId="2A78CCE9"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3C6E9CE2" w14:textId="77777777" w:rsidR="00D8365A" w:rsidRPr="00362517" w:rsidRDefault="00D8365A" w:rsidP="00BF6BC7">
            <w:r w:rsidRPr="00362517">
              <w:t>Tennessee</w:t>
            </w:r>
          </w:p>
        </w:tc>
        <w:tc>
          <w:tcPr>
            <w:tcW w:w="867" w:type="pct"/>
            <w:tcBorders>
              <w:top w:val="nil"/>
              <w:left w:val="nil"/>
              <w:bottom w:val="single" w:sz="4" w:space="0" w:color="auto"/>
              <w:right w:val="single" w:sz="4" w:space="0" w:color="auto"/>
            </w:tcBorders>
            <w:shd w:val="clear" w:color="auto" w:fill="auto"/>
            <w:noWrap/>
            <w:vAlign w:val="bottom"/>
            <w:hideMark/>
          </w:tcPr>
          <w:p w14:paraId="7A855540" w14:textId="77777777" w:rsidR="00D8365A" w:rsidRPr="00362517" w:rsidRDefault="00D8365A" w:rsidP="00BF6BC7">
            <w:pPr>
              <w:jc w:val="right"/>
            </w:pPr>
            <w:r w:rsidRPr="00362517">
              <w:t>2,211</w:t>
            </w:r>
          </w:p>
        </w:tc>
        <w:tc>
          <w:tcPr>
            <w:tcW w:w="882" w:type="pct"/>
            <w:tcBorders>
              <w:top w:val="nil"/>
              <w:left w:val="nil"/>
              <w:bottom w:val="single" w:sz="4" w:space="0" w:color="auto"/>
              <w:right w:val="single" w:sz="4" w:space="0" w:color="auto"/>
            </w:tcBorders>
            <w:shd w:val="clear" w:color="auto" w:fill="auto"/>
            <w:noWrap/>
            <w:vAlign w:val="bottom"/>
            <w:hideMark/>
          </w:tcPr>
          <w:p w14:paraId="68247F92" w14:textId="77777777" w:rsidR="00D8365A" w:rsidRPr="00362517" w:rsidRDefault="00D8365A" w:rsidP="00BF6BC7">
            <w:pPr>
              <w:jc w:val="right"/>
            </w:pPr>
            <w:r w:rsidRPr="00362517">
              <w:t>1,090</w:t>
            </w:r>
          </w:p>
        </w:tc>
        <w:tc>
          <w:tcPr>
            <w:tcW w:w="860" w:type="pct"/>
            <w:tcBorders>
              <w:top w:val="nil"/>
              <w:left w:val="nil"/>
              <w:bottom w:val="single" w:sz="4" w:space="0" w:color="auto"/>
              <w:right w:val="single" w:sz="4" w:space="0" w:color="auto"/>
            </w:tcBorders>
            <w:shd w:val="clear" w:color="auto" w:fill="auto"/>
            <w:noWrap/>
            <w:vAlign w:val="bottom"/>
            <w:hideMark/>
          </w:tcPr>
          <w:p w14:paraId="5B3EDFAD" w14:textId="77777777" w:rsidR="00D8365A" w:rsidRPr="00362517" w:rsidRDefault="00D8365A" w:rsidP="00BF6BC7">
            <w:pPr>
              <w:jc w:val="right"/>
            </w:pPr>
            <w:r w:rsidRPr="00362517">
              <w:t>1,121</w:t>
            </w:r>
          </w:p>
        </w:tc>
        <w:tc>
          <w:tcPr>
            <w:tcW w:w="1050" w:type="pct"/>
            <w:tcBorders>
              <w:top w:val="nil"/>
              <w:left w:val="nil"/>
              <w:bottom w:val="single" w:sz="4" w:space="0" w:color="auto"/>
              <w:right w:val="single" w:sz="8" w:space="0" w:color="auto"/>
            </w:tcBorders>
            <w:shd w:val="clear" w:color="auto" w:fill="auto"/>
            <w:noWrap/>
            <w:vAlign w:val="bottom"/>
            <w:hideMark/>
          </w:tcPr>
          <w:p w14:paraId="1617CF4F" w14:textId="77777777" w:rsidR="00D8365A" w:rsidRPr="00362517" w:rsidRDefault="00D8365A" w:rsidP="00BF6BC7">
            <w:pPr>
              <w:jc w:val="right"/>
            </w:pPr>
            <w:r w:rsidRPr="00362517">
              <w:t>128</w:t>
            </w:r>
          </w:p>
        </w:tc>
      </w:tr>
      <w:tr w:rsidR="00D8365A" w:rsidRPr="00362517" w14:paraId="0A050248"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7759DDDC" w14:textId="77777777" w:rsidR="00D8365A" w:rsidRPr="00362517" w:rsidRDefault="00D8365A" w:rsidP="00BF6BC7">
            <w:r w:rsidRPr="00362517">
              <w:t>Texas</w:t>
            </w:r>
          </w:p>
        </w:tc>
        <w:tc>
          <w:tcPr>
            <w:tcW w:w="867" w:type="pct"/>
            <w:tcBorders>
              <w:top w:val="nil"/>
              <w:left w:val="nil"/>
              <w:bottom w:val="single" w:sz="4" w:space="0" w:color="auto"/>
              <w:right w:val="single" w:sz="4" w:space="0" w:color="auto"/>
            </w:tcBorders>
            <w:shd w:val="clear" w:color="auto" w:fill="auto"/>
            <w:noWrap/>
            <w:vAlign w:val="bottom"/>
            <w:hideMark/>
          </w:tcPr>
          <w:p w14:paraId="4DA12B3F" w14:textId="77777777" w:rsidR="00D8365A" w:rsidRPr="00362517" w:rsidRDefault="00D8365A" w:rsidP="00BF6BC7">
            <w:pPr>
              <w:jc w:val="right"/>
            </w:pPr>
            <w:r w:rsidRPr="00362517">
              <w:t>5,315</w:t>
            </w:r>
          </w:p>
        </w:tc>
        <w:tc>
          <w:tcPr>
            <w:tcW w:w="882" w:type="pct"/>
            <w:tcBorders>
              <w:top w:val="nil"/>
              <w:left w:val="nil"/>
              <w:bottom w:val="single" w:sz="4" w:space="0" w:color="auto"/>
              <w:right w:val="single" w:sz="4" w:space="0" w:color="auto"/>
            </w:tcBorders>
            <w:shd w:val="clear" w:color="auto" w:fill="auto"/>
            <w:noWrap/>
            <w:vAlign w:val="bottom"/>
            <w:hideMark/>
          </w:tcPr>
          <w:p w14:paraId="3B04E023" w14:textId="77777777" w:rsidR="00D8365A" w:rsidRPr="00362517" w:rsidRDefault="00D8365A" w:rsidP="00BF6BC7">
            <w:pPr>
              <w:jc w:val="right"/>
            </w:pPr>
            <w:r w:rsidRPr="00362517">
              <w:t>4,190</w:t>
            </w:r>
          </w:p>
        </w:tc>
        <w:tc>
          <w:tcPr>
            <w:tcW w:w="860" w:type="pct"/>
            <w:tcBorders>
              <w:top w:val="nil"/>
              <w:left w:val="nil"/>
              <w:bottom w:val="single" w:sz="4" w:space="0" w:color="auto"/>
              <w:right w:val="single" w:sz="4" w:space="0" w:color="auto"/>
            </w:tcBorders>
            <w:shd w:val="clear" w:color="auto" w:fill="auto"/>
            <w:noWrap/>
            <w:vAlign w:val="bottom"/>
            <w:hideMark/>
          </w:tcPr>
          <w:p w14:paraId="451766CC" w14:textId="77777777" w:rsidR="00D8365A" w:rsidRPr="00362517" w:rsidRDefault="00D8365A" w:rsidP="00BF6BC7">
            <w:pPr>
              <w:jc w:val="right"/>
            </w:pPr>
            <w:r w:rsidRPr="00362517">
              <w:t>1,126</w:t>
            </w:r>
          </w:p>
        </w:tc>
        <w:tc>
          <w:tcPr>
            <w:tcW w:w="1050" w:type="pct"/>
            <w:tcBorders>
              <w:top w:val="nil"/>
              <w:left w:val="nil"/>
              <w:bottom w:val="single" w:sz="4" w:space="0" w:color="auto"/>
              <w:right w:val="single" w:sz="8" w:space="0" w:color="auto"/>
            </w:tcBorders>
            <w:shd w:val="clear" w:color="auto" w:fill="auto"/>
            <w:noWrap/>
            <w:vAlign w:val="bottom"/>
            <w:hideMark/>
          </w:tcPr>
          <w:p w14:paraId="2DCF6FE9" w14:textId="77777777" w:rsidR="00D8365A" w:rsidRPr="00362517" w:rsidRDefault="00D8365A" w:rsidP="00BF6BC7">
            <w:pPr>
              <w:jc w:val="right"/>
            </w:pPr>
            <w:r w:rsidRPr="00362517">
              <w:t>128</w:t>
            </w:r>
          </w:p>
        </w:tc>
      </w:tr>
      <w:tr w:rsidR="00D8365A" w:rsidRPr="00362517" w14:paraId="31C1B1F1"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7D354651" w14:textId="77777777" w:rsidR="00D8365A" w:rsidRPr="00362517" w:rsidRDefault="00D8365A" w:rsidP="00BF6BC7">
            <w:r w:rsidRPr="00362517">
              <w:t>Utah</w:t>
            </w:r>
          </w:p>
        </w:tc>
        <w:tc>
          <w:tcPr>
            <w:tcW w:w="867" w:type="pct"/>
            <w:tcBorders>
              <w:top w:val="nil"/>
              <w:left w:val="nil"/>
              <w:bottom w:val="single" w:sz="4" w:space="0" w:color="auto"/>
              <w:right w:val="single" w:sz="4" w:space="0" w:color="auto"/>
            </w:tcBorders>
            <w:shd w:val="clear" w:color="auto" w:fill="auto"/>
            <w:noWrap/>
            <w:vAlign w:val="bottom"/>
            <w:hideMark/>
          </w:tcPr>
          <w:p w14:paraId="7FD77A2C" w14:textId="77777777" w:rsidR="00D8365A" w:rsidRPr="00362517" w:rsidRDefault="00D8365A" w:rsidP="00BF6BC7">
            <w:pPr>
              <w:jc w:val="right"/>
            </w:pPr>
            <w:r w:rsidRPr="00362517">
              <w:t>1,151</w:t>
            </w:r>
          </w:p>
        </w:tc>
        <w:tc>
          <w:tcPr>
            <w:tcW w:w="882" w:type="pct"/>
            <w:tcBorders>
              <w:top w:val="nil"/>
              <w:left w:val="nil"/>
              <w:bottom w:val="single" w:sz="4" w:space="0" w:color="auto"/>
              <w:right w:val="single" w:sz="4" w:space="0" w:color="auto"/>
            </w:tcBorders>
            <w:shd w:val="clear" w:color="auto" w:fill="auto"/>
            <w:noWrap/>
            <w:vAlign w:val="bottom"/>
            <w:hideMark/>
          </w:tcPr>
          <w:p w14:paraId="0876E7CB" w14:textId="77777777" w:rsidR="00D8365A" w:rsidRPr="00362517" w:rsidRDefault="00D8365A" w:rsidP="00BF6BC7">
            <w:pPr>
              <w:jc w:val="right"/>
            </w:pPr>
            <w:r w:rsidRPr="00362517">
              <w:t>443</w:t>
            </w:r>
          </w:p>
        </w:tc>
        <w:tc>
          <w:tcPr>
            <w:tcW w:w="860" w:type="pct"/>
            <w:tcBorders>
              <w:top w:val="nil"/>
              <w:left w:val="nil"/>
              <w:bottom w:val="single" w:sz="4" w:space="0" w:color="auto"/>
              <w:right w:val="single" w:sz="4" w:space="0" w:color="auto"/>
            </w:tcBorders>
            <w:shd w:val="clear" w:color="auto" w:fill="auto"/>
            <w:noWrap/>
            <w:vAlign w:val="bottom"/>
            <w:hideMark/>
          </w:tcPr>
          <w:p w14:paraId="54A70952" w14:textId="77777777" w:rsidR="00D8365A" w:rsidRPr="00362517" w:rsidRDefault="00D8365A" w:rsidP="00BF6BC7">
            <w:pPr>
              <w:jc w:val="right"/>
            </w:pPr>
            <w:r w:rsidRPr="00362517">
              <w:t>709</w:t>
            </w:r>
          </w:p>
        </w:tc>
        <w:tc>
          <w:tcPr>
            <w:tcW w:w="1050" w:type="pct"/>
            <w:tcBorders>
              <w:top w:val="nil"/>
              <w:left w:val="nil"/>
              <w:bottom w:val="single" w:sz="4" w:space="0" w:color="auto"/>
              <w:right w:val="single" w:sz="8" w:space="0" w:color="auto"/>
            </w:tcBorders>
            <w:shd w:val="clear" w:color="auto" w:fill="auto"/>
            <w:noWrap/>
            <w:vAlign w:val="bottom"/>
            <w:hideMark/>
          </w:tcPr>
          <w:p w14:paraId="271D7FEF" w14:textId="77777777" w:rsidR="00D8365A" w:rsidRPr="00362517" w:rsidRDefault="00D8365A" w:rsidP="00BF6BC7">
            <w:pPr>
              <w:jc w:val="right"/>
            </w:pPr>
            <w:r w:rsidRPr="00362517">
              <w:t>81</w:t>
            </w:r>
          </w:p>
        </w:tc>
      </w:tr>
      <w:tr w:rsidR="00D8365A" w:rsidRPr="00362517" w14:paraId="6F8094A4"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6ED43447" w14:textId="77777777" w:rsidR="00D8365A" w:rsidRPr="00362517" w:rsidRDefault="00D8365A" w:rsidP="00BF6BC7">
            <w:r w:rsidRPr="00362517">
              <w:t>Vermont</w:t>
            </w:r>
          </w:p>
        </w:tc>
        <w:tc>
          <w:tcPr>
            <w:tcW w:w="867" w:type="pct"/>
            <w:tcBorders>
              <w:top w:val="nil"/>
              <w:left w:val="nil"/>
              <w:bottom w:val="single" w:sz="4" w:space="0" w:color="auto"/>
              <w:right w:val="single" w:sz="4" w:space="0" w:color="auto"/>
            </w:tcBorders>
            <w:shd w:val="clear" w:color="auto" w:fill="auto"/>
            <w:noWrap/>
            <w:vAlign w:val="bottom"/>
            <w:hideMark/>
          </w:tcPr>
          <w:p w14:paraId="5DE67DCE" w14:textId="77777777" w:rsidR="00D8365A" w:rsidRPr="00362517" w:rsidRDefault="00D8365A" w:rsidP="00BF6BC7">
            <w:pPr>
              <w:jc w:val="right"/>
            </w:pPr>
            <w:r w:rsidRPr="00362517">
              <w:t>706</w:t>
            </w:r>
          </w:p>
        </w:tc>
        <w:tc>
          <w:tcPr>
            <w:tcW w:w="882" w:type="pct"/>
            <w:tcBorders>
              <w:top w:val="nil"/>
              <w:left w:val="nil"/>
              <w:bottom w:val="single" w:sz="4" w:space="0" w:color="auto"/>
              <w:right w:val="single" w:sz="4" w:space="0" w:color="auto"/>
            </w:tcBorders>
            <w:shd w:val="clear" w:color="auto" w:fill="auto"/>
            <w:noWrap/>
            <w:vAlign w:val="bottom"/>
            <w:hideMark/>
          </w:tcPr>
          <w:p w14:paraId="6E7524F8" w14:textId="77777777" w:rsidR="00D8365A" w:rsidRPr="00362517" w:rsidRDefault="00D8365A" w:rsidP="00BF6BC7">
            <w:pPr>
              <w:jc w:val="right"/>
            </w:pPr>
            <w:r w:rsidRPr="00362517">
              <w:t>69</w:t>
            </w:r>
          </w:p>
        </w:tc>
        <w:tc>
          <w:tcPr>
            <w:tcW w:w="860" w:type="pct"/>
            <w:tcBorders>
              <w:top w:val="nil"/>
              <w:left w:val="nil"/>
              <w:bottom w:val="single" w:sz="4" w:space="0" w:color="auto"/>
              <w:right w:val="single" w:sz="4" w:space="0" w:color="auto"/>
            </w:tcBorders>
            <w:shd w:val="clear" w:color="auto" w:fill="auto"/>
            <w:noWrap/>
            <w:vAlign w:val="bottom"/>
            <w:hideMark/>
          </w:tcPr>
          <w:p w14:paraId="1F1835D5" w14:textId="77777777" w:rsidR="00D8365A" w:rsidRPr="00362517" w:rsidRDefault="00D8365A" w:rsidP="00BF6BC7">
            <w:pPr>
              <w:jc w:val="right"/>
            </w:pPr>
            <w:r w:rsidRPr="00362517">
              <w:t>637</w:t>
            </w:r>
          </w:p>
        </w:tc>
        <w:tc>
          <w:tcPr>
            <w:tcW w:w="1050" w:type="pct"/>
            <w:tcBorders>
              <w:top w:val="nil"/>
              <w:left w:val="nil"/>
              <w:bottom w:val="single" w:sz="4" w:space="0" w:color="auto"/>
              <w:right w:val="single" w:sz="8" w:space="0" w:color="auto"/>
            </w:tcBorders>
            <w:shd w:val="clear" w:color="auto" w:fill="auto"/>
            <w:noWrap/>
            <w:vAlign w:val="bottom"/>
            <w:hideMark/>
          </w:tcPr>
          <w:p w14:paraId="7ED5EA0B" w14:textId="77777777" w:rsidR="00D8365A" w:rsidRPr="00362517" w:rsidRDefault="00D8365A" w:rsidP="00BF6BC7">
            <w:pPr>
              <w:jc w:val="right"/>
            </w:pPr>
            <w:r w:rsidRPr="00362517">
              <w:t>72</w:t>
            </w:r>
          </w:p>
        </w:tc>
      </w:tr>
      <w:tr w:rsidR="00D8365A" w:rsidRPr="00362517" w14:paraId="165E2DE1"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32D3401B" w14:textId="77777777" w:rsidR="00D8365A" w:rsidRPr="00362517" w:rsidRDefault="00D8365A" w:rsidP="00BF6BC7">
            <w:r w:rsidRPr="00362517">
              <w:t>Virginia</w:t>
            </w:r>
          </w:p>
        </w:tc>
        <w:tc>
          <w:tcPr>
            <w:tcW w:w="867" w:type="pct"/>
            <w:tcBorders>
              <w:top w:val="nil"/>
              <w:left w:val="nil"/>
              <w:bottom w:val="single" w:sz="4" w:space="0" w:color="auto"/>
              <w:right w:val="single" w:sz="4" w:space="0" w:color="auto"/>
            </w:tcBorders>
            <w:shd w:val="clear" w:color="auto" w:fill="auto"/>
            <w:noWrap/>
            <w:vAlign w:val="bottom"/>
            <w:hideMark/>
          </w:tcPr>
          <w:p w14:paraId="6D4F0E44" w14:textId="77777777" w:rsidR="00D8365A" w:rsidRPr="00362517" w:rsidRDefault="00D8365A" w:rsidP="00BF6BC7">
            <w:pPr>
              <w:jc w:val="right"/>
            </w:pPr>
            <w:r w:rsidRPr="00362517">
              <w:t>1,522</w:t>
            </w:r>
          </w:p>
        </w:tc>
        <w:tc>
          <w:tcPr>
            <w:tcW w:w="882" w:type="pct"/>
            <w:tcBorders>
              <w:top w:val="nil"/>
              <w:left w:val="nil"/>
              <w:bottom w:val="single" w:sz="4" w:space="0" w:color="auto"/>
              <w:right w:val="single" w:sz="4" w:space="0" w:color="auto"/>
            </w:tcBorders>
            <w:shd w:val="clear" w:color="auto" w:fill="auto"/>
            <w:noWrap/>
            <w:vAlign w:val="bottom"/>
            <w:hideMark/>
          </w:tcPr>
          <w:p w14:paraId="0CE34B54" w14:textId="77777777" w:rsidR="00D8365A" w:rsidRPr="00362517" w:rsidRDefault="00D8365A" w:rsidP="00BF6BC7">
            <w:pPr>
              <w:jc w:val="right"/>
            </w:pPr>
            <w:r w:rsidRPr="00362517">
              <w:t>570</w:t>
            </w:r>
          </w:p>
        </w:tc>
        <w:tc>
          <w:tcPr>
            <w:tcW w:w="860" w:type="pct"/>
            <w:tcBorders>
              <w:top w:val="nil"/>
              <w:left w:val="nil"/>
              <w:bottom w:val="single" w:sz="4" w:space="0" w:color="auto"/>
              <w:right w:val="single" w:sz="4" w:space="0" w:color="auto"/>
            </w:tcBorders>
            <w:shd w:val="clear" w:color="auto" w:fill="auto"/>
            <w:noWrap/>
            <w:vAlign w:val="bottom"/>
            <w:hideMark/>
          </w:tcPr>
          <w:p w14:paraId="06CD9C7A" w14:textId="77777777" w:rsidR="00D8365A" w:rsidRPr="00362517" w:rsidRDefault="00D8365A" w:rsidP="00BF6BC7">
            <w:pPr>
              <w:jc w:val="right"/>
            </w:pPr>
            <w:r w:rsidRPr="00362517">
              <w:t>952</w:t>
            </w:r>
          </w:p>
        </w:tc>
        <w:tc>
          <w:tcPr>
            <w:tcW w:w="1050" w:type="pct"/>
            <w:tcBorders>
              <w:top w:val="nil"/>
              <w:left w:val="nil"/>
              <w:bottom w:val="single" w:sz="4" w:space="0" w:color="auto"/>
              <w:right w:val="single" w:sz="8" w:space="0" w:color="auto"/>
            </w:tcBorders>
            <w:shd w:val="clear" w:color="auto" w:fill="auto"/>
            <w:noWrap/>
            <w:vAlign w:val="bottom"/>
            <w:hideMark/>
          </w:tcPr>
          <w:p w14:paraId="18F8A853" w14:textId="77777777" w:rsidR="00D8365A" w:rsidRPr="00362517" w:rsidRDefault="00D8365A" w:rsidP="00BF6BC7">
            <w:pPr>
              <w:jc w:val="right"/>
            </w:pPr>
            <w:r w:rsidRPr="00362517">
              <w:t>108</w:t>
            </w:r>
          </w:p>
        </w:tc>
      </w:tr>
      <w:tr w:rsidR="00D8365A" w:rsidRPr="00362517" w14:paraId="418B9F9A"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3612CD48" w14:textId="77777777" w:rsidR="00D8365A" w:rsidRPr="00362517" w:rsidRDefault="00D8365A" w:rsidP="00BF6BC7">
            <w:r w:rsidRPr="00362517">
              <w:t>Washington</w:t>
            </w:r>
          </w:p>
        </w:tc>
        <w:tc>
          <w:tcPr>
            <w:tcW w:w="867" w:type="pct"/>
            <w:tcBorders>
              <w:top w:val="nil"/>
              <w:left w:val="nil"/>
              <w:bottom w:val="single" w:sz="4" w:space="0" w:color="auto"/>
              <w:right w:val="single" w:sz="4" w:space="0" w:color="auto"/>
            </w:tcBorders>
            <w:shd w:val="clear" w:color="auto" w:fill="auto"/>
            <w:noWrap/>
            <w:vAlign w:val="bottom"/>
            <w:hideMark/>
          </w:tcPr>
          <w:p w14:paraId="0A5A1402" w14:textId="77777777" w:rsidR="00D8365A" w:rsidRPr="00362517" w:rsidRDefault="00D8365A" w:rsidP="00BF6BC7">
            <w:pPr>
              <w:jc w:val="right"/>
            </w:pPr>
            <w:r w:rsidRPr="00362517">
              <w:t>3,277</w:t>
            </w:r>
          </w:p>
        </w:tc>
        <w:tc>
          <w:tcPr>
            <w:tcW w:w="882" w:type="pct"/>
            <w:tcBorders>
              <w:top w:val="nil"/>
              <w:left w:val="nil"/>
              <w:bottom w:val="single" w:sz="4" w:space="0" w:color="auto"/>
              <w:right w:val="single" w:sz="4" w:space="0" w:color="auto"/>
            </w:tcBorders>
            <w:shd w:val="clear" w:color="auto" w:fill="auto"/>
            <w:noWrap/>
            <w:vAlign w:val="bottom"/>
            <w:hideMark/>
          </w:tcPr>
          <w:p w14:paraId="3CBE43D4" w14:textId="77777777" w:rsidR="00D8365A" w:rsidRPr="00362517" w:rsidRDefault="00D8365A" w:rsidP="00BF6BC7">
            <w:pPr>
              <w:jc w:val="right"/>
            </w:pPr>
            <w:r w:rsidRPr="00362517">
              <w:t>1,174</w:t>
            </w:r>
          </w:p>
        </w:tc>
        <w:tc>
          <w:tcPr>
            <w:tcW w:w="860" w:type="pct"/>
            <w:tcBorders>
              <w:top w:val="nil"/>
              <w:left w:val="nil"/>
              <w:bottom w:val="single" w:sz="4" w:space="0" w:color="auto"/>
              <w:right w:val="single" w:sz="4" w:space="0" w:color="auto"/>
            </w:tcBorders>
            <w:shd w:val="clear" w:color="auto" w:fill="auto"/>
            <w:noWrap/>
            <w:vAlign w:val="bottom"/>
            <w:hideMark/>
          </w:tcPr>
          <w:p w14:paraId="6A3CF135" w14:textId="77777777" w:rsidR="00D8365A" w:rsidRPr="00362517" w:rsidRDefault="00D8365A" w:rsidP="00BF6BC7">
            <w:pPr>
              <w:jc w:val="right"/>
            </w:pPr>
            <w:r w:rsidRPr="00362517">
              <w:t>2,102</w:t>
            </w:r>
          </w:p>
        </w:tc>
        <w:tc>
          <w:tcPr>
            <w:tcW w:w="1050" w:type="pct"/>
            <w:tcBorders>
              <w:top w:val="nil"/>
              <w:left w:val="nil"/>
              <w:bottom w:val="single" w:sz="4" w:space="0" w:color="auto"/>
              <w:right w:val="single" w:sz="8" w:space="0" w:color="auto"/>
            </w:tcBorders>
            <w:shd w:val="clear" w:color="auto" w:fill="auto"/>
            <w:noWrap/>
            <w:vAlign w:val="bottom"/>
            <w:hideMark/>
          </w:tcPr>
          <w:p w14:paraId="3EFE6C40" w14:textId="77777777" w:rsidR="00D8365A" w:rsidRPr="00362517" w:rsidRDefault="00D8365A" w:rsidP="00BF6BC7">
            <w:pPr>
              <w:jc w:val="right"/>
            </w:pPr>
            <w:r w:rsidRPr="00362517">
              <w:t>239</w:t>
            </w:r>
          </w:p>
        </w:tc>
      </w:tr>
      <w:tr w:rsidR="00D8365A" w:rsidRPr="00362517" w14:paraId="457583B1"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2476B44F" w14:textId="77777777" w:rsidR="00D8365A" w:rsidRPr="00362517" w:rsidRDefault="00D8365A" w:rsidP="00BF6BC7">
            <w:r w:rsidRPr="00362517">
              <w:t>West Virginia</w:t>
            </w:r>
          </w:p>
        </w:tc>
        <w:tc>
          <w:tcPr>
            <w:tcW w:w="867" w:type="pct"/>
            <w:tcBorders>
              <w:top w:val="nil"/>
              <w:left w:val="nil"/>
              <w:bottom w:val="single" w:sz="4" w:space="0" w:color="auto"/>
              <w:right w:val="single" w:sz="4" w:space="0" w:color="auto"/>
            </w:tcBorders>
            <w:shd w:val="clear" w:color="auto" w:fill="auto"/>
            <w:noWrap/>
            <w:vAlign w:val="bottom"/>
            <w:hideMark/>
          </w:tcPr>
          <w:p w14:paraId="78EFFA9C" w14:textId="77777777" w:rsidR="00D8365A" w:rsidRPr="00362517" w:rsidRDefault="00D8365A" w:rsidP="00BF6BC7">
            <w:pPr>
              <w:jc w:val="right"/>
            </w:pPr>
            <w:r w:rsidRPr="00362517">
              <w:t>852</w:t>
            </w:r>
          </w:p>
        </w:tc>
        <w:tc>
          <w:tcPr>
            <w:tcW w:w="882" w:type="pct"/>
            <w:tcBorders>
              <w:top w:val="nil"/>
              <w:left w:val="nil"/>
              <w:bottom w:val="single" w:sz="4" w:space="0" w:color="auto"/>
              <w:right w:val="single" w:sz="4" w:space="0" w:color="auto"/>
            </w:tcBorders>
            <w:shd w:val="clear" w:color="auto" w:fill="auto"/>
            <w:noWrap/>
            <w:vAlign w:val="bottom"/>
            <w:hideMark/>
          </w:tcPr>
          <w:p w14:paraId="296E308E" w14:textId="77777777" w:rsidR="00D8365A" w:rsidRPr="00362517" w:rsidRDefault="00D8365A" w:rsidP="00BF6BC7">
            <w:pPr>
              <w:jc w:val="right"/>
            </w:pPr>
            <w:r w:rsidRPr="00362517">
              <w:t>106</w:t>
            </w:r>
          </w:p>
        </w:tc>
        <w:tc>
          <w:tcPr>
            <w:tcW w:w="860" w:type="pct"/>
            <w:tcBorders>
              <w:top w:val="nil"/>
              <w:left w:val="nil"/>
              <w:bottom w:val="single" w:sz="4" w:space="0" w:color="auto"/>
              <w:right w:val="single" w:sz="4" w:space="0" w:color="auto"/>
            </w:tcBorders>
            <w:shd w:val="clear" w:color="auto" w:fill="auto"/>
            <w:noWrap/>
            <w:vAlign w:val="bottom"/>
            <w:hideMark/>
          </w:tcPr>
          <w:p w14:paraId="0349710F" w14:textId="77777777" w:rsidR="00D8365A" w:rsidRPr="00362517" w:rsidRDefault="00D8365A" w:rsidP="00BF6BC7">
            <w:pPr>
              <w:jc w:val="right"/>
            </w:pPr>
            <w:r w:rsidRPr="00362517">
              <w:t>746</w:t>
            </w:r>
          </w:p>
        </w:tc>
        <w:tc>
          <w:tcPr>
            <w:tcW w:w="1050" w:type="pct"/>
            <w:tcBorders>
              <w:top w:val="nil"/>
              <w:left w:val="nil"/>
              <w:bottom w:val="single" w:sz="4" w:space="0" w:color="auto"/>
              <w:right w:val="single" w:sz="8" w:space="0" w:color="auto"/>
            </w:tcBorders>
            <w:shd w:val="clear" w:color="auto" w:fill="auto"/>
            <w:noWrap/>
            <w:vAlign w:val="bottom"/>
            <w:hideMark/>
          </w:tcPr>
          <w:p w14:paraId="33830C24" w14:textId="77777777" w:rsidR="00D8365A" w:rsidRPr="00362517" w:rsidRDefault="00D8365A" w:rsidP="00BF6BC7">
            <w:pPr>
              <w:jc w:val="right"/>
            </w:pPr>
            <w:r w:rsidRPr="00362517">
              <w:t>85</w:t>
            </w:r>
          </w:p>
        </w:tc>
      </w:tr>
      <w:tr w:rsidR="00D8365A" w:rsidRPr="00362517" w14:paraId="09C6A5AB"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4849FA23" w14:textId="77777777" w:rsidR="00D8365A" w:rsidRPr="00362517" w:rsidRDefault="00D8365A" w:rsidP="00BF6BC7">
            <w:r w:rsidRPr="00362517">
              <w:t>Wisconsin</w:t>
            </w:r>
          </w:p>
        </w:tc>
        <w:tc>
          <w:tcPr>
            <w:tcW w:w="867" w:type="pct"/>
            <w:tcBorders>
              <w:top w:val="nil"/>
              <w:left w:val="nil"/>
              <w:bottom w:val="single" w:sz="4" w:space="0" w:color="auto"/>
              <w:right w:val="single" w:sz="4" w:space="0" w:color="auto"/>
            </w:tcBorders>
            <w:shd w:val="clear" w:color="auto" w:fill="auto"/>
            <w:noWrap/>
            <w:vAlign w:val="bottom"/>
            <w:hideMark/>
          </w:tcPr>
          <w:p w14:paraId="590DEC93" w14:textId="77777777" w:rsidR="00D8365A" w:rsidRPr="00362517" w:rsidRDefault="00D8365A" w:rsidP="00BF6BC7">
            <w:pPr>
              <w:jc w:val="right"/>
            </w:pPr>
            <w:r w:rsidRPr="00362517">
              <w:t>1,558</w:t>
            </w:r>
          </w:p>
        </w:tc>
        <w:tc>
          <w:tcPr>
            <w:tcW w:w="882" w:type="pct"/>
            <w:tcBorders>
              <w:top w:val="nil"/>
              <w:left w:val="nil"/>
              <w:bottom w:val="single" w:sz="4" w:space="0" w:color="auto"/>
              <w:right w:val="single" w:sz="4" w:space="0" w:color="auto"/>
            </w:tcBorders>
            <w:shd w:val="clear" w:color="auto" w:fill="auto"/>
            <w:noWrap/>
            <w:vAlign w:val="bottom"/>
            <w:hideMark/>
          </w:tcPr>
          <w:p w14:paraId="0639B7C5" w14:textId="77777777" w:rsidR="00D8365A" w:rsidRPr="00362517" w:rsidRDefault="00D8365A" w:rsidP="00BF6BC7">
            <w:pPr>
              <w:jc w:val="right"/>
            </w:pPr>
            <w:r w:rsidRPr="00362517">
              <w:t>475</w:t>
            </w:r>
          </w:p>
        </w:tc>
        <w:tc>
          <w:tcPr>
            <w:tcW w:w="860" w:type="pct"/>
            <w:tcBorders>
              <w:top w:val="nil"/>
              <w:left w:val="nil"/>
              <w:bottom w:val="single" w:sz="4" w:space="0" w:color="auto"/>
              <w:right w:val="single" w:sz="4" w:space="0" w:color="auto"/>
            </w:tcBorders>
            <w:shd w:val="clear" w:color="auto" w:fill="auto"/>
            <w:noWrap/>
            <w:vAlign w:val="bottom"/>
            <w:hideMark/>
          </w:tcPr>
          <w:p w14:paraId="6F4BB769" w14:textId="77777777" w:rsidR="00D8365A" w:rsidRPr="00362517" w:rsidRDefault="00D8365A" w:rsidP="00BF6BC7">
            <w:pPr>
              <w:jc w:val="right"/>
            </w:pPr>
            <w:r w:rsidRPr="00362517">
              <w:t>1,083</w:t>
            </w:r>
          </w:p>
        </w:tc>
        <w:tc>
          <w:tcPr>
            <w:tcW w:w="1050" w:type="pct"/>
            <w:tcBorders>
              <w:top w:val="nil"/>
              <w:left w:val="nil"/>
              <w:bottom w:val="single" w:sz="4" w:space="0" w:color="auto"/>
              <w:right w:val="single" w:sz="8" w:space="0" w:color="auto"/>
            </w:tcBorders>
            <w:shd w:val="clear" w:color="auto" w:fill="auto"/>
            <w:noWrap/>
            <w:vAlign w:val="bottom"/>
            <w:hideMark/>
          </w:tcPr>
          <w:p w14:paraId="46C835D9" w14:textId="77777777" w:rsidR="00D8365A" w:rsidRPr="00362517" w:rsidRDefault="00D8365A" w:rsidP="00BF6BC7">
            <w:pPr>
              <w:jc w:val="right"/>
            </w:pPr>
            <w:r w:rsidRPr="00362517">
              <w:t>123</w:t>
            </w:r>
          </w:p>
        </w:tc>
      </w:tr>
      <w:tr w:rsidR="00D8365A" w:rsidRPr="00362517" w14:paraId="7CCC6C65"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24CE50D0" w14:textId="77777777" w:rsidR="00D8365A" w:rsidRPr="00362517" w:rsidRDefault="00D8365A" w:rsidP="00BF6BC7">
            <w:r w:rsidRPr="00362517">
              <w:t>Wyoming</w:t>
            </w:r>
          </w:p>
        </w:tc>
        <w:tc>
          <w:tcPr>
            <w:tcW w:w="867" w:type="pct"/>
            <w:tcBorders>
              <w:top w:val="nil"/>
              <w:left w:val="nil"/>
              <w:bottom w:val="single" w:sz="4" w:space="0" w:color="auto"/>
              <w:right w:val="single" w:sz="4" w:space="0" w:color="auto"/>
            </w:tcBorders>
            <w:shd w:val="clear" w:color="auto" w:fill="auto"/>
            <w:noWrap/>
            <w:vAlign w:val="bottom"/>
            <w:hideMark/>
          </w:tcPr>
          <w:p w14:paraId="19FEFE2D" w14:textId="77777777" w:rsidR="00D8365A" w:rsidRPr="00362517" w:rsidRDefault="00D8365A" w:rsidP="00BF6BC7">
            <w:pPr>
              <w:jc w:val="right"/>
            </w:pPr>
            <w:r w:rsidRPr="00362517">
              <w:t>909</w:t>
            </w:r>
          </w:p>
        </w:tc>
        <w:tc>
          <w:tcPr>
            <w:tcW w:w="882" w:type="pct"/>
            <w:tcBorders>
              <w:top w:val="nil"/>
              <w:left w:val="nil"/>
              <w:bottom w:val="single" w:sz="4" w:space="0" w:color="auto"/>
              <w:right w:val="single" w:sz="4" w:space="0" w:color="auto"/>
            </w:tcBorders>
            <w:shd w:val="clear" w:color="auto" w:fill="auto"/>
            <w:noWrap/>
            <w:vAlign w:val="bottom"/>
            <w:hideMark/>
          </w:tcPr>
          <w:p w14:paraId="6669CA2E" w14:textId="77777777" w:rsidR="00D8365A" w:rsidRPr="00362517" w:rsidRDefault="00D8365A" w:rsidP="00BF6BC7">
            <w:pPr>
              <w:jc w:val="right"/>
            </w:pPr>
            <w:r w:rsidRPr="00362517">
              <w:t>225</w:t>
            </w:r>
          </w:p>
        </w:tc>
        <w:tc>
          <w:tcPr>
            <w:tcW w:w="860" w:type="pct"/>
            <w:tcBorders>
              <w:top w:val="nil"/>
              <w:left w:val="nil"/>
              <w:bottom w:val="single" w:sz="4" w:space="0" w:color="auto"/>
              <w:right w:val="single" w:sz="4" w:space="0" w:color="auto"/>
            </w:tcBorders>
            <w:shd w:val="clear" w:color="auto" w:fill="auto"/>
            <w:noWrap/>
            <w:vAlign w:val="bottom"/>
            <w:hideMark/>
          </w:tcPr>
          <w:p w14:paraId="037E2BA5" w14:textId="77777777" w:rsidR="00D8365A" w:rsidRPr="00362517" w:rsidRDefault="00D8365A" w:rsidP="00BF6BC7">
            <w:pPr>
              <w:jc w:val="right"/>
            </w:pPr>
            <w:r w:rsidRPr="00362517">
              <w:t>684</w:t>
            </w:r>
          </w:p>
        </w:tc>
        <w:tc>
          <w:tcPr>
            <w:tcW w:w="1050" w:type="pct"/>
            <w:tcBorders>
              <w:top w:val="nil"/>
              <w:left w:val="nil"/>
              <w:bottom w:val="single" w:sz="4" w:space="0" w:color="auto"/>
              <w:right w:val="single" w:sz="8" w:space="0" w:color="auto"/>
            </w:tcBorders>
            <w:shd w:val="clear" w:color="auto" w:fill="auto"/>
            <w:noWrap/>
            <w:vAlign w:val="bottom"/>
            <w:hideMark/>
          </w:tcPr>
          <w:p w14:paraId="1A5CFFC2" w14:textId="77777777" w:rsidR="00D8365A" w:rsidRPr="00362517" w:rsidRDefault="00D8365A" w:rsidP="00BF6BC7">
            <w:pPr>
              <w:jc w:val="right"/>
            </w:pPr>
            <w:r w:rsidRPr="00362517">
              <w:t>78</w:t>
            </w:r>
          </w:p>
        </w:tc>
      </w:tr>
      <w:tr w:rsidR="00D8365A" w:rsidRPr="00362517" w14:paraId="058E1AB9"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4967645D" w14:textId="77777777" w:rsidR="00D8365A" w:rsidRPr="00362517" w:rsidRDefault="00D8365A" w:rsidP="00BF6BC7">
            <w:r w:rsidRPr="00362517">
              <w:t>Puerto Rico</w:t>
            </w:r>
          </w:p>
        </w:tc>
        <w:tc>
          <w:tcPr>
            <w:tcW w:w="867" w:type="pct"/>
            <w:tcBorders>
              <w:top w:val="nil"/>
              <w:left w:val="nil"/>
              <w:bottom w:val="single" w:sz="4" w:space="0" w:color="auto"/>
              <w:right w:val="single" w:sz="4" w:space="0" w:color="auto"/>
            </w:tcBorders>
            <w:shd w:val="clear" w:color="auto" w:fill="auto"/>
            <w:noWrap/>
            <w:vAlign w:val="bottom"/>
            <w:hideMark/>
          </w:tcPr>
          <w:p w14:paraId="1E821F6D" w14:textId="77777777" w:rsidR="00D8365A" w:rsidRPr="00362517" w:rsidRDefault="00D8365A" w:rsidP="00BF6BC7">
            <w:pPr>
              <w:jc w:val="right"/>
            </w:pPr>
            <w:r w:rsidRPr="00362517">
              <w:t>1,286</w:t>
            </w:r>
          </w:p>
        </w:tc>
        <w:tc>
          <w:tcPr>
            <w:tcW w:w="882" w:type="pct"/>
            <w:tcBorders>
              <w:top w:val="nil"/>
              <w:left w:val="nil"/>
              <w:bottom w:val="single" w:sz="4" w:space="0" w:color="auto"/>
              <w:right w:val="single" w:sz="4" w:space="0" w:color="auto"/>
            </w:tcBorders>
            <w:shd w:val="clear" w:color="auto" w:fill="auto"/>
            <w:noWrap/>
            <w:vAlign w:val="bottom"/>
            <w:hideMark/>
          </w:tcPr>
          <w:p w14:paraId="00FC51B2" w14:textId="77777777" w:rsidR="00D8365A" w:rsidRPr="00362517" w:rsidRDefault="00D8365A" w:rsidP="00BF6BC7">
            <w:pPr>
              <w:jc w:val="right"/>
            </w:pPr>
            <w:r w:rsidRPr="00362517">
              <w:t>255</w:t>
            </w:r>
          </w:p>
        </w:tc>
        <w:tc>
          <w:tcPr>
            <w:tcW w:w="860" w:type="pct"/>
            <w:tcBorders>
              <w:top w:val="nil"/>
              <w:left w:val="nil"/>
              <w:bottom w:val="single" w:sz="4" w:space="0" w:color="auto"/>
              <w:right w:val="single" w:sz="4" w:space="0" w:color="auto"/>
            </w:tcBorders>
            <w:shd w:val="clear" w:color="auto" w:fill="auto"/>
            <w:noWrap/>
            <w:vAlign w:val="bottom"/>
            <w:hideMark/>
          </w:tcPr>
          <w:p w14:paraId="6AD6DCDF" w14:textId="77777777" w:rsidR="00D8365A" w:rsidRPr="00362517" w:rsidRDefault="00D8365A" w:rsidP="00BF6BC7">
            <w:pPr>
              <w:jc w:val="right"/>
            </w:pPr>
            <w:r w:rsidRPr="00362517">
              <w:t>1,034</w:t>
            </w:r>
          </w:p>
        </w:tc>
        <w:tc>
          <w:tcPr>
            <w:tcW w:w="1050" w:type="pct"/>
            <w:tcBorders>
              <w:top w:val="nil"/>
              <w:left w:val="nil"/>
              <w:bottom w:val="single" w:sz="4" w:space="0" w:color="auto"/>
              <w:right w:val="single" w:sz="8" w:space="0" w:color="auto"/>
            </w:tcBorders>
            <w:shd w:val="clear" w:color="auto" w:fill="auto"/>
            <w:noWrap/>
            <w:vAlign w:val="bottom"/>
            <w:hideMark/>
          </w:tcPr>
          <w:p w14:paraId="4FE45498" w14:textId="77777777" w:rsidR="00D8365A" w:rsidRPr="00362517" w:rsidRDefault="00D8365A" w:rsidP="00BF6BC7">
            <w:pPr>
              <w:jc w:val="right"/>
            </w:pPr>
            <w:r w:rsidRPr="00362517">
              <w:t>118</w:t>
            </w:r>
          </w:p>
        </w:tc>
      </w:tr>
      <w:tr w:rsidR="00D8365A" w:rsidRPr="00362517" w14:paraId="106F2145" w14:textId="77777777" w:rsidTr="007A2164">
        <w:trPr>
          <w:trHeight w:val="312"/>
        </w:trPr>
        <w:tc>
          <w:tcPr>
            <w:tcW w:w="1341" w:type="pct"/>
            <w:tcBorders>
              <w:top w:val="nil"/>
              <w:left w:val="single" w:sz="8" w:space="0" w:color="auto"/>
              <w:bottom w:val="single" w:sz="4" w:space="0" w:color="auto"/>
              <w:right w:val="single" w:sz="4" w:space="0" w:color="auto"/>
            </w:tcBorders>
            <w:shd w:val="clear" w:color="auto" w:fill="auto"/>
            <w:noWrap/>
            <w:vAlign w:val="bottom"/>
            <w:hideMark/>
          </w:tcPr>
          <w:p w14:paraId="37A3D3F8" w14:textId="77777777" w:rsidR="00D8365A" w:rsidRPr="00362517" w:rsidRDefault="00D8365A" w:rsidP="00BF6BC7">
            <w:r w:rsidRPr="00362517">
              <w:t>Other Jurisdictions</w:t>
            </w:r>
          </w:p>
        </w:tc>
        <w:tc>
          <w:tcPr>
            <w:tcW w:w="867" w:type="pct"/>
            <w:tcBorders>
              <w:top w:val="nil"/>
              <w:left w:val="nil"/>
              <w:bottom w:val="single" w:sz="4" w:space="0" w:color="auto"/>
              <w:right w:val="single" w:sz="4" w:space="0" w:color="auto"/>
            </w:tcBorders>
            <w:shd w:val="clear" w:color="auto" w:fill="auto"/>
            <w:noWrap/>
            <w:vAlign w:val="bottom"/>
            <w:hideMark/>
          </w:tcPr>
          <w:p w14:paraId="2307A3BE" w14:textId="77777777" w:rsidR="00D8365A" w:rsidRPr="00362517" w:rsidRDefault="00D8365A" w:rsidP="00BF6BC7">
            <w:pPr>
              <w:jc w:val="right"/>
            </w:pPr>
            <w:r w:rsidRPr="00362517">
              <w:t>1,069</w:t>
            </w:r>
          </w:p>
        </w:tc>
        <w:tc>
          <w:tcPr>
            <w:tcW w:w="882" w:type="pct"/>
            <w:tcBorders>
              <w:top w:val="nil"/>
              <w:left w:val="nil"/>
              <w:bottom w:val="single" w:sz="4" w:space="0" w:color="auto"/>
              <w:right w:val="single" w:sz="4" w:space="0" w:color="auto"/>
            </w:tcBorders>
            <w:shd w:val="clear" w:color="auto" w:fill="auto"/>
            <w:noWrap/>
            <w:vAlign w:val="bottom"/>
            <w:hideMark/>
          </w:tcPr>
          <w:p w14:paraId="772170E9" w14:textId="77777777" w:rsidR="00D8365A" w:rsidRPr="00362517" w:rsidRDefault="00D8365A" w:rsidP="00BF6BC7">
            <w:pPr>
              <w:jc w:val="right"/>
            </w:pPr>
            <w:r w:rsidRPr="00362517">
              <w:t>87</w:t>
            </w:r>
          </w:p>
        </w:tc>
        <w:tc>
          <w:tcPr>
            <w:tcW w:w="860" w:type="pct"/>
            <w:tcBorders>
              <w:top w:val="nil"/>
              <w:left w:val="nil"/>
              <w:bottom w:val="single" w:sz="4" w:space="0" w:color="auto"/>
              <w:right w:val="single" w:sz="4" w:space="0" w:color="auto"/>
            </w:tcBorders>
            <w:shd w:val="clear" w:color="auto" w:fill="auto"/>
            <w:noWrap/>
            <w:vAlign w:val="bottom"/>
            <w:hideMark/>
          </w:tcPr>
          <w:p w14:paraId="58F58005" w14:textId="77777777" w:rsidR="00D8365A" w:rsidRPr="00362517" w:rsidRDefault="00D8365A" w:rsidP="00BF6BC7">
            <w:pPr>
              <w:jc w:val="right"/>
            </w:pPr>
            <w:r w:rsidRPr="00362517">
              <w:t>1,000</w:t>
            </w:r>
          </w:p>
        </w:tc>
        <w:tc>
          <w:tcPr>
            <w:tcW w:w="1050" w:type="pct"/>
            <w:tcBorders>
              <w:top w:val="nil"/>
              <w:left w:val="nil"/>
              <w:bottom w:val="single" w:sz="4" w:space="0" w:color="auto"/>
              <w:right w:val="single" w:sz="8" w:space="0" w:color="auto"/>
            </w:tcBorders>
            <w:shd w:val="clear" w:color="auto" w:fill="auto"/>
            <w:noWrap/>
            <w:vAlign w:val="bottom"/>
            <w:hideMark/>
          </w:tcPr>
          <w:p w14:paraId="5D3D36E0" w14:textId="77777777" w:rsidR="00D8365A" w:rsidRPr="00362517" w:rsidRDefault="00D8365A" w:rsidP="00BF6BC7">
            <w:pPr>
              <w:jc w:val="right"/>
            </w:pPr>
            <w:r w:rsidRPr="00362517">
              <w:t>114</w:t>
            </w:r>
          </w:p>
        </w:tc>
      </w:tr>
      <w:tr w:rsidR="00D8365A" w:rsidRPr="00362517" w14:paraId="5F05FA16" w14:textId="77777777" w:rsidTr="007A2164">
        <w:trPr>
          <w:trHeight w:val="324"/>
        </w:trPr>
        <w:tc>
          <w:tcPr>
            <w:tcW w:w="1341" w:type="pct"/>
            <w:tcBorders>
              <w:top w:val="nil"/>
              <w:left w:val="single" w:sz="8" w:space="0" w:color="auto"/>
              <w:bottom w:val="single" w:sz="8" w:space="0" w:color="auto"/>
              <w:right w:val="single" w:sz="4" w:space="0" w:color="auto"/>
            </w:tcBorders>
            <w:shd w:val="clear" w:color="auto" w:fill="auto"/>
            <w:noWrap/>
            <w:vAlign w:val="bottom"/>
            <w:hideMark/>
          </w:tcPr>
          <w:p w14:paraId="125C0B24" w14:textId="77777777" w:rsidR="00D8365A" w:rsidRPr="00362517" w:rsidRDefault="00D8365A" w:rsidP="00BF6BC7">
            <w:pPr>
              <w:rPr>
                <w:b/>
                <w:bCs/>
              </w:rPr>
            </w:pPr>
            <w:r w:rsidRPr="00362517">
              <w:rPr>
                <w:b/>
                <w:bCs/>
              </w:rPr>
              <w:t>U.S. Total</w:t>
            </w:r>
          </w:p>
        </w:tc>
        <w:tc>
          <w:tcPr>
            <w:tcW w:w="867" w:type="pct"/>
            <w:tcBorders>
              <w:top w:val="nil"/>
              <w:left w:val="nil"/>
              <w:bottom w:val="single" w:sz="8" w:space="0" w:color="auto"/>
              <w:right w:val="single" w:sz="4" w:space="0" w:color="auto"/>
            </w:tcBorders>
            <w:shd w:val="clear" w:color="auto" w:fill="auto"/>
            <w:noWrap/>
            <w:vAlign w:val="bottom"/>
            <w:hideMark/>
          </w:tcPr>
          <w:p w14:paraId="70242AF5" w14:textId="77777777" w:rsidR="00D8365A" w:rsidRPr="00362517" w:rsidRDefault="00D8365A" w:rsidP="00BF6BC7">
            <w:pPr>
              <w:jc w:val="right"/>
              <w:rPr>
                <w:b/>
                <w:bCs/>
              </w:rPr>
            </w:pPr>
            <w:r w:rsidRPr="00362517">
              <w:rPr>
                <w:b/>
                <w:bCs/>
              </w:rPr>
              <w:t>105,934</w:t>
            </w:r>
          </w:p>
        </w:tc>
        <w:tc>
          <w:tcPr>
            <w:tcW w:w="882" w:type="pct"/>
            <w:tcBorders>
              <w:top w:val="nil"/>
              <w:left w:val="nil"/>
              <w:bottom w:val="single" w:sz="8" w:space="0" w:color="auto"/>
              <w:right w:val="single" w:sz="4" w:space="0" w:color="auto"/>
            </w:tcBorders>
            <w:shd w:val="clear" w:color="auto" w:fill="auto"/>
            <w:noWrap/>
            <w:vAlign w:val="bottom"/>
            <w:hideMark/>
          </w:tcPr>
          <w:p w14:paraId="3690F2C3" w14:textId="77777777" w:rsidR="00D8365A" w:rsidRPr="00362517" w:rsidRDefault="00D8365A" w:rsidP="00BF6BC7">
            <w:pPr>
              <w:jc w:val="right"/>
              <w:rPr>
                <w:b/>
                <w:bCs/>
              </w:rPr>
            </w:pPr>
            <w:r w:rsidRPr="00362517">
              <w:rPr>
                <w:b/>
                <w:bCs/>
              </w:rPr>
              <w:t>48,414</w:t>
            </w:r>
          </w:p>
        </w:tc>
        <w:tc>
          <w:tcPr>
            <w:tcW w:w="860" w:type="pct"/>
            <w:tcBorders>
              <w:top w:val="nil"/>
              <w:left w:val="nil"/>
              <w:bottom w:val="single" w:sz="8" w:space="0" w:color="auto"/>
              <w:right w:val="single" w:sz="4" w:space="0" w:color="auto"/>
            </w:tcBorders>
            <w:shd w:val="clear" w:color="auto" w:fill="auto"/>
            <w:noWrap/>
            <w:vAlign w:val="bottom"/>
            <w:hideMark/>
          </w:tcPr>
          <w:p w14:paraId="71BE031F" w14:textId="77777777" w:rsidR="00D8365A" w:rsidRPr="00362517" w:rsidRDefault="00D8365A" w:rsidP="00BF6BC7">
            <w:pPr>
              <w:jc w:val="right"/>
              <w:rPr>
                <w:b/>
                <w:bCs/>
              </w:rPr>
            </w:pPr>
            <w:r w:rsidRPr="00362517">
              <w:rPr>
                <w:b/>
                <w:bCs/>
              </w:rPr>
              <w:t>57,542</w:t>
            </w:r>
          </w:p>
        </w:tc>
        <w:tc>
          <w:tcPr>
            <w:tcW w:w="1050" w:type="pct"/>
            <w:tcBorders>
              <w:top w:val="nil"/>
              <w:left w:val="nil"/>
              <w:bottom w:val="single" w:sz="8" w:space="0" w:color="auto"/>
              <w:right w:val="single" w:sz="8" w:space="0" w:color="auto"/>
            </w:tcBorders>
            <w:shd w:val="clear" w:color="auto" w:fill="auto"/>
            <w:noWrap/>
            <w:vAlign w:val="bottom"/>
            <w:hideMark/>
          </w:tcPr>
          <w:p w14:paraId="218AA5C3" w14:textId="77777777" w:rsidR="00D8365A" w:rsidRPr="00362517" w:rsidRDefault="00D8365A" w:rsidP="00BF6BC7">
            <w:pPr>
              <w:jc w:val="right"/>
              <w:rPr>
                <w:b/>
                <w:bCs/>
              </w:rPr>
            </w:pPr>
            <w:r w:rsidRPr="00362517">
              <w:rPr>
                <w:b/>
                <w:bCs/>
              </w:rPr>
              <w:t>6,549</w:t>
            </w:r>
          </w:p>
        </w:tc>
      </w:tr>
    </w:tbl>
    <w:p w14:paraId="03580C71" w14:textId="7BF68A5F" w:rsidR="00D8365A" w:rsidRPr="00362517" w:rsidRDefault="00D8365A" w:rsidP="00BF6BC7">
      <w:pPr>
        <w:rPr>
          <w:sz w:val="22"/>
          <w:szCs w:val="22"/>
        </w:rPr>
      </w:pPr>
      <w:r w:rsidRPr="00362517">
        <w:rPr>
          <w:sz w:val="22"/>
          <w:szCs w:val="22"/>
        </w:rPr>
        <w:t>Source:  EPA calculations using a three percent discount rate over a ten</w:t>
      </w:r>
      <w:r w:rsidR="00CA28EA">
        <w:rPr>
          <w:sz w:val="22"/>
          <w:szCs w:val="22"/>
        </w:rPr>
        <w:t>-</w:t>
      </w:r>
      <w:r w:rsidRPr="00362517">
        <w:rPr>
          <w:sz w:val="22"/>
          <w:szCs w:val="22"/>
        </w:rPr>
        <w:t>year period.</w:t>
      </w:r>
    </w:p>
    <w:p w14:paraId="63E1F47C" w14:textId="77777777" w:rsidR="00D8365A" w:rsidRPr="00362517" w:rsidRDefault="00D8365A" w:rsidP="00BF6BC7">
      <w:pPr>
        <w:rPr>
          <w:sz w:val="22"/>
          <w:szCs w:val="22"/>
        </w:rPr>
      </w:pPr>
    </w:p>
    <w:p w14:paraId="6E6D240B" w14:textId="77777777" w:rsidR="00D8365A" w:rsidRPr="00362517" w:rsidRDefault="00D8365A" w:rsidP="00BF6BC7"/>
    <w:p w14:paraId="6C0CA285" w14:textId="5973B4D3" w:rsidR="00D8365A" w:rsidRPr="00362517" w:rsidRDefault="00D8365A" w:rsidP="00BF6BC7">
      <w:r w:rsidRPr="00362517">
        <w:t xml:space="preserve">EPA received many public comments on the costs that the certifying authorities would incur in complying with the proposed changes to the current Certification rule.  The comments indicate that for many states, these rule changes would require costly revision of state laws and regulations. To address these comments, EPA revised the requirements and also these costs in associated with the </w:t>
      </w:r>
      <w:r w:rsidR="000C0407">
        <w:t>E</w:t>
      </w:r>
      <w:r w:rsidRPr="00362517">
        <w:t xml:space="preserve">conomic </w:t>
      </w:r>
      <w:r w:rsidR="000C0407">
        <w:t>A</w:t>
      </w:r>
      <w:r w:rsidRPr="00362517">
        <w:t xml:space="preserve">nalysis of the final rule (Table 3.5-6).  The comments also indicate that EPA underestimated the cost of travel to training or exam sites for applicators and state employees. The travel costs are incurred as part of the costs of obtaining or providing certification and recertification exams and/or trainings (the costs of administering exam/training in Table 3.5-6), and the revision of travel costs in the </w:t>
      </w:r>
      <w:r w:rsidR="000C0407">
        <w:t>E</w:t>
      </w:r>
      <w:r w:rsidRPr="00362517">
        <w:t xml:space="preserve">conomic </w:t>
      </w:r>
      <w:r w:rsidR="000C0407">
        <w:t>A</w:t>
      </w:r>
      <w:r w:rsidRPr="00362517">
        <w:t>nalysis of the final rule significantly increased the incremental costs to certifying authorities.  The comments also pointed out the need to update certifying authorities’ tracking databases to comply with the rule changes, which is estimated in this analysis.</w:t>
      </w:r>
    </w:p>
    <w:p w14:paraId="3BC3B124" w14:textId="77777777" w:rsidR="00D8365A" w:rsidRPr="00362517" w:rsidRDefault="00D8365A" w:rsidP="00BF6BC7"/>
    <w:p w14:paraId="5D6F9069" w14:textId="77777777" w:rsidR="00D8365A" w:rsidRPr="00362517" w:rsidRDefault="00D8365A" w:rsidP="00BF6BC7">
      <w:pPr>
        <w:rPr>
          <w:b/>
        </w:rPr>
      </w:pPr>
      <w:r w:rsidRPr="00362517">
        <w:rPr>
          <w:b/>
        </w:rPr>
        <w:t>Table 3.5-6 Breakdown of Cost of Final Rule to Governmental Entities</w:t>
      </w:r>
    </w:p>
    <w:tbl>
      <w:tblPr>
        <w:tblW w:w="5000" w:type="pct"/>
        <w:tblLook w:val="04A0" w:firstRow="1" w:lastRow="0" w:firstColumn="1" w:lastColumn="0" w:noHBand="0" w:noVBand="1"/>
      </w:tblPr>
      <w:tblGrid>
        <w:gridCol w:w="5581"/>
        <w:gridCol w:w="1791"/>
        <w:gridCol w:w="1978"/>
      </w:tblGrid>
      <w:tr w:rsidR="00D8365A" w:rsidRPr="00362517" w14:paraId="524390B1" w14:textId="77777777" w:rsidTr="007A2164">
        <w:trPr>
          <w:trHeight w:val="656"/>
        </w:trPr>
        <w:tc>
          <w:tcPr>
            <w:tcW w:w="29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40049" w14:textId="77777777" w:rsidR="00D8365A" w:rsidRPr="00362517" w:rsidRDefault="00D8365A" w:rsidP="00BF6BC7">
            <w:r w:rsidRPr="00362517">
              <w:t>Component</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608BB8D3" w14:textId="77777777" w:rsidR="00D8365A" w:rsidRPr="00362517" w:rsidRDefault="00D8365A" w:rsidP="00BF6BC7">
            <w:pPr>
              <w:jc w:val="center"/>
            </w:pPr>
            <w:r w:rsidRPr="00362517">
              <w:t>Annualized Cost ($1000)</w:t>
            </w: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14:paraId="6B3E5B5B" w14:textId="77777777" w:rsidR="00D8365A" w:rsidRPr="00362517" w:rsidRDefault="00D8365A" w:rsidP="00BF6BC7">
            <w:pPr>
              <w:jc w:val="center"/>
            </w:pPr>
            <w:r w:rsidRPr="00362517">
              <w:t>% of total cost</w:t>
            </w:r>
          </w:p>
        </w:tc>
      </w:tr>
      <w:tr w:rsidR="00D8365A" w:rsidRPr="00362517" w14:paraId="2205374B" w14:textId="77777777" w:rsidTr="007A2164">
        <w:trPr>
          <w:trHeight w:val="312"/>
        </w:trPr>
        <w:tc>
          <w:tcPr>
            <w:tcW w:w="2984" w:type="pct"/>
            <w:tcBorders>
              <w:top w:val="nil"/>
              <w:left w:val="single" w:sz="4" w:space="0" w:color="auto"/>
              <w:bottom w:val="single" w:sz="4" w:space="0" w:color="auto"/>
              <w:right w:val="single" w:sz="4" w:space="0" w:color="auto"/>
            </w:tcBorders>
            <w:shd w:val="clear" w:color="auto" w:fill="auto"/>
            <w:noWrap/>
            <w:vAlign w:val="bottom"/>
            <w:hideMark/>
          </w:tcPr>
          <w:p w14:paraId="0512C007" w14:textId="77777777" w:rsidR="00D8365A" w:rsidRPr="00362517" w:rsidRDefault="00D8365A" w:rsidP="00BF6BC7">
            <w:r w:rsidRPr="00362517">
              <w:t>Revise and Submit certification plans (Table 3.4-9)</w:t>
            </w:r>
          </w:p>
        </w:tc>
        <w:tc>
          <w:tcPr>
            <w:tcW w:w="958" w:type="pct"/>
            <w:tcBorders>
              <w:top w:val="nil"/>
              <w:left w:val="nil"/>
              <w:bottom w:val="single" w:sz="4" w:space="0" w:color="auto"/>
              <w:right w:val="single" w:sz="4" w:space="0" w:color="auto"/>
            </w:tcBorders>
            <w:shd w:val="clear" w:color="auto" w:fill="auto"/>
            <w:noWrap/>
            <w:vAlign w:val="bottom"/>
            <w:hideMark/>
          </w:tcPr>
          <w:p w14:paraId="3B5D8B55" w14:textId="77777777" w:rsidR="00D8365A" w:rsidRPr="00362517" w:rsidRDefault="00D8365A" w:rsidP="00BF6BC7">
            <w:pPr>
              <w:jc w:val="right"/>
            </w:pPr>
            <w:r w:rsidRPr="00362517">
              <w:t>2,453</w:t>
            </w:r>
          </w:p>
        </w:tc>
        <w:tc>
          <w:tcPr>
            <w:tcW w:w="1058" w:type="pct"/>
            <w:tcBorders>
              <w:top w:val="nil"/>
              <w:left w:val="nil"/>
              <w:bottom w:val="single" w:sz="4" w:space="0" w:color="auto"/>
              <w:right w:val="single" w:sz="4" w:space="0" w:color="auto"/>
            </w:tcBorders>
            <w:shd w:val="clear" w:color="auto" w:fill="auto"/>
            <w:noWrap/>
            <w:vAlign w:val="bottom"/>
            <w:hideMark/>
          </w:tcPr>
          <w:p w14:paraId="0EB71DF7" w14:textId="77777777" w:rsidR="00D8365A" w:rsidRPr="00362517" w:rsidRDefault="00D8365A" w:rsidP="00BF6BC7">
            <w:pPr>
              <w:jc w:val="right"/>
            </w:pPr>
            <w:r w:rsidRPr="00362517">
              <w:t>38%</w:t>
            </w:r>
          </w:p>
        </w:tc>
      </w:tr>
      <w:tr w:rsidR="00D8365A" w:rsidRPr="00362517" w14:paraId="07CEF010" w14:textId="77777777" w:rsidTr="007A2164">
        <w:trPr>
          <w:trHeight w:val="312"/>
        </w:trPr>
        <w:tc>
          <w:tcPr>
            <w:tcW w:w="2984" w:type="pct"/>
            <w:tcBorders>
              <w:top w:val="nil"/>
              <w:left w:val="single" w:sz="4" w:space="0" w:color="auto"/>
              <w:bottom w:val="single" w:sz="4" w:space="0" w:color="auto"/>
              <w:right w:val="single" w:sz="4" w:space="0" w:color="auto"/>
            </w:tcBorders>
            <w:shd w:val="clear" w:color="auto" w:fill="auto"/>
            <w:noWrap/>
            <w:vAlign w:val="bottom"/>
            <w:hideMark/>
          </w:tcPr>
          <w:p w14:paraId="3D26F251" w14:textId="77777777" w:rsidR="00D8365A" w:rsidRPr="00362517" w:rsidRDefault="00D8365A" w:rsidP="00BF6BC7">
            <w:r w:rsidRPr="00362517">
              <w:t>EPA costs (Table 3.4-9)</w:t>
            </w:r>
          </w:p>
        </w:tc>
        <w:tc>
          <w:tcPr>
            <w:tcW w:w="958" w:type="pct"/>
            <w:tcBorders>
              <w:top w:val="nil"/>
              <w:left w:val="nil"/>
              <w:bottom w:val="single" w:sz="4" w:space="0" w:color="auto"/>
              <w:right w:val="single" w:sz="4" w:space="0" w:color="auto"/>
            </w:tcBorders>
            <w:shd w:val="clear" w:color="auto" w:fill="auto"/>
            <w:noWrap/>
            <w:vAlign w:val="bottom"/>
            <w:hideMark/>
          </w:tcPr>
          <w:p w14:paraId="1A2ADE80" w14:textId="77777777" w:rsidR="00D8365A" w:rsidRPr="00362517" w:rsidRDefault="00D8365A" w:rsidP="00BF6BC7">
            <w:pPr>
              <w:jc w:val="right"/>
            </w:pPr>
            <w:r w:rsidRPr="00362517">
              <w:t>25</w:t>
            </w:r>
          </w:p>
        </w:tc>
        <w:tc>
          <w:tcPr>
            <w:tcW w:w="1058" w:type="pct"/>
            <w:tcBorders>
              <w:top w:val="nil"/>
              <w:left w:val="nil"/>
              <w:bottom w:val="single" w:sz="4" w:space="0" w:color="auto"/>
              <w:right w:val="single" w:sz="4" w:space="0" w:color="auto"/>
            </w:tcBorders>
            <w:shd w:val="clear" w:color="auto" w:fill="auto"/>
            <w:noWrap/>
            <w:vAlign w:val="bottom"/>
            <w:hideMark/>
          </w:tcPr>
          <w:p w14:paraId="79A69C81" w14:textId="77777777" w:rsidR="00D8365A" w:rsidRPr="00362517" w:rsidRDefault="00D8365A" w:rsidP="00BF6BC7">
            <w:pPr>
              <w:jc w:val="right"/>
            </w:pPr>
            <w:r w:rsidRPr="00362517">
              <w:t>0.4%</w:t>
            </w:r>
          </w:p>
        </w:tc>
      </w:tr>
      <w:tr w:rsidR="00D8365A" w:rsidRPr="00362517" w14:paraId="2BC30BD1" w14:textId="77777777" w:rsidTr="007A2164">
        <w:trPr>
          <w:trHeight w:val="312"/>
        </w:trPr>
        <w:tc>
          <w:tcPr>
            <w:tcW w:w="2984" w:type="pct"/>
            <w:tcBorders>
              <w:top w:val="nil"/>
              <w:left w:val="single" w:sz="4" w:space="0" w:color="auto"/>
              <w:bottom w:val="single" w:sz="4" w:space="0" w:color="auto"/>
              <w:right w:val="single" w:sz="4" w:space="0" w:color="auto"/>
            </w:tcBorders>
            <w:shd w:val="clear" w:color="auto" w:fill="auto"/>
            <w:noWrap/>
            <w:vAlign w:val="bottom"/>
            <w:hideMark/>
          </w:tcPr>
          <w:p w14:paraId="28DC3835" w14:textId="77777777" w:rsidR="00D8365A" w:rsidRPr="00362517" w:rsidRDefault="00D8365A" w:rsidP="00BF6BC7">
            <w:r w:rsidRPr="00362517">
              <w:t>Exam/training material development (Table 3.4-9)</w:t>
            </w:r>
          </w:p>
        </w:tc>
        <w:tc>
          <w:tcPr>
            <w:tcW w:w="958" w:type="pct"/>
            <w:tcBorders>
              <w:top w:val="nil"/>
              <w:left w:val="nil"/>
              <w:bottom w:val="single" w:sz="4" w:space="0" w:color="auto"/>
              <w:right w:val="single" w:sz="4" w:space="0" w:color="auto"/>
            </w:tcBorders>
            <w:shd w:val="clear" w:color="auto" w:fill="auto"/>
            <w:noWrap/>
            <w:vAlign w:val="bottom"/>
            <w:hideMark/>
          </w:tcPr>
          <w:p w14:paraId="23650B0B" w14:textId="77777777" w:rsidR="00D8365A" w:rsidRPr="00362517" w:rsidRDefault="00D8365A" w:rsidP="00BF6BC7">
            <w:pPr>
              <w:jc w:val="right"/>
            </w:pPr>
            <w:r w:rsidRPr="00362517">
              <w:t>95</w:t>
            </w:r>
          </w:p>
        </w:tc>
        <w:tc>
          <w:tcPr>
            <w:tcW w:w="1058" w:type="pct"/>
            <w:tcBorders>
              <w:top w:val="nil"/>
              <w:left w:val="nil"/>
              <w:bottom w:val="single" w:sz="4" w:space="0" w:color="auto"/>
              <w:right w:val="single" w:sz="4" w:space="0" w:color="auto"/>
            </w:tcBorders>
            <w:shd w:val="clear" w:color="auto" w:fill="auto"/>
            <w:noWrap/>
            <w:vAlign w:val="bottom"/>
            <w:hideMark/>
          </w:tcPr>
          <w:p w14:paraId="76656AE7" w14:textId="77777777" w:rsidR="00D8365A" w:rsidRPr="00362517" w:rsidRDefault="00D8365A" w:rsidP="00BF6BC7">
            <w:pPr>
              <w:jc w:val="right"/>
            </w:pPr>
            <w:r w:rsidRPr="00362517">
              <w:t>1.4%</w:t>
            </w:r>
          </w:p>
        </w:tc>
      </w:tr>
      <w:tr w:rsidR="00D8365A" w:rsidRPr="00362517" w14:paraId="53AFC3C0" w14:textId="77777777" w:rsidTr="007A2164">
        <w:trPr>
          <w:trHeight w:val="312"/>
        </w:trPr>
        <w:tc>
          <w:tcPr>
            <w:tcW w:w="2984" w:type="pct"/>
            <w:tcBorders>
              <w:top w:val="nil"/>
              <w:left w:val="single" w:sz="4" w:space="0" w:color="auto"/>
              <w:bottom w:val="single" w:sz="4" w:space="0" w:color="auto"/>
              <w:right w:val="single" w:sz="4" w:space="0" w:color="auto"/>
            </w:tcBorders>
            <w:shd w:val="clear" w:color="auto" w:fill="auto"/>
            <w:noWrap/>
            <w:vAlign w:val="bottom"/>
            <w:hideMark/>
          </w:tcPr>
          <w:p w14:paraId="74A919FA" w14:textId="77777777" w:rsidR="00D8365A" w:rsidRPr="00362517" w:rsidRDefault="00D8365A" w:rsidP="00BF6BC7">
            <w:r w:rsidRPr="00362517">
              <w:t>Update tracking database (Table 3.4-9)</w:t>
            </w:r>
          </w:p>
        </w:tc>
        <w:tc>
          <w:tcPr>
            <w:tcW w:w="958" w:type="pct"/>
            <w:tcBorders>
              <w:top w:val="nil"/>
              <w:left w:val="nil"/>
              <w:bottom w:val="single" w:sz="4" w:space="0" w:color="auto"/>
              <w:right w:val="single" w:sz="4" w:space="0" w:color="auto"/>
            </w:tcBorders>
            <w:shd w:val="clear" w:color="auto" w:fill="auto"/>
            <w:noWrap/>
            <w:vAlign w:val="bottom"/>
            <w:hideMark/>
          </w:tcPr>
          <w:p w14:paraId="16568FD9" w14:textId="77777777" w:rsidR="00D8365A" w:rsidRPr="00362517" w:rsidRDefault="00D8365A" w:rsidP="00BF6BC7">
            <w:pPr>
              <w:jc w:val="right"/>
            </w:pPr>
            <w:r w:rsidRPr="00362517">
              <w:t>1,247</w:t>
            </w:r>
          </w:p>
        </w:tc>
        <w:tc>
          <w:tcPr>
            <w:tcW w:w="1058" w:type="pct"/>
            <w:tcBorders>
              <w:top w:val="nil"/>
              <w:left w:val="nil"/>
              <w:bottom w:val="single" w:sz="4" w:space="0" w:color="auto"/>
              <w:right w:val="single" w:sz="4" w:space="0" w:color="auto"/>
            </w:tcBorders>
            <w:shd w:val="clear" w:color="auto" w:fill="auto"/>
            <w:noWrap/>
            <w:vAlign w:val="bottom"/>
            <w:hideMark/>
          </w:tcPr>
          <w:p w14:paraId="11D92D69" w14:textId="77777777" w:rsidR="00D8365A" w:rsidRPr="00362517" w:rsidRDefault="00D8365A" w:rsidP="00BF6BC7">
            <w:pPr>
              <w:jc w:val="right"/>
            </w:pPr>
            <w:r w:rsidRPr="00362517">
              <w:t>19%</w:t>
            </w:r>
          </w:p>
        </w:tc>
      </w:tr>
      <w:tr w:rsidR="00D8365A" w:rsidRPr="00362517" w14:paraId="49186285" w14:textId="77777777" w:rsidTr="007A2164">
        <w:trPr>
          <w:trHeight w:val="312"/>
        </w:trPr>
        <w:tc>
          <w:tcPr>
            <w:tcW w:w="2984" w:type="pct"/>
            <w:tcBorders>
              <w:top w:val="nil"/>
              <w:left w:val="single" w:sz="4" w:space="0" w:color="auto"/>
              <w:bottom w:val="single" w:sz="4" w:space="0" w:color="auto"/>
              <w:right w:val="single" w:sz="4" w:space="0" w:color="auto"/>
            </w:tcBorders>
            <w:shd w:val="clear" w:color="auto" w:fill="auto"/>
            <w:noWrap/>
            <w:vAlign w:val="bottom"/>
            <w:hideMark/>
          </w:tcPr>
          <w:p w14:paraId="18F575D8" w14:textId="77777777" w:rsidR="00D8365A" w:rsidRPr="00362517" w:rsidRDefault="00D8365A" w:rsidP="00BF6BC7">
            <w:r w:rsidRPr="00362517">
              <w:t xml:space="preserve">Administer exam/training </w:t>
            </w:r>
            <w:r w:rsidRPr="00362517">
              <w:rPr>
                <w:vertAlign w:val="superscript"/>
              </w:rPr>
              <w:t>1</w:t>
            </w:r>
          </w:p>
        </w:tc>
        <w:tc>
          <w:tcPr>
            <w:tcW w:w="958" w:type="pct"/>
            <w:tcBorders>
              <w:top w:val="nil"/>
              <w:left w:val="nil"/>
              <w:bottom w:val="single" w:sz="4" w:space="0" w:color="auto"/>
              <w:right w:val="single" w:sz="4" w:space="0" w:color="auto"/>
            </w:tcBorders>
            <w:shd w:val="clear" w:color="auto" w:fill="auto"/>
            <w:noWrap/>
            <w:vAlign w:val="bottom"/>
            <w:hideMark/>
          </w:tcPr>
          <w:p w14:paraId="1BB691D3" w14:textId="77777777" w:rsidR="00D8365A" w:rsidRPr="00362517" w:rsidRDefault="00D8365A" w:rsidP="00BF6BC7">
            <w:pPr>
              <w:jc w:val="right"/>
            </w:pPr>
            <w:r w:rsidRPr="00362517">
              <w:t>2,730</w:t>
            </w:r>
          </w:p>
        </w:tc>
        <w:tc>
          <w:tcPr>
            <w:tcW w:w="1058" w:type="pct"/>
            <w:tcBorders>
              <w:top w:val="nil"/>
              <w:left w:val="nil"/>
              <w:bottom w:val="single" w:sz="4" w:space="0" w:color="auto"/>
              <w:right w:val="single" w:sz="4" w:space="0" w:color="auto"/>
            </w:tcBorders>
            <w:shd w:val="clear" w:color="auto" w:fill="auto"/>
            <w:noWrap/>
            <w:vAlign w:val="bottom"/>
            <w:hideMark/>
          </w:tcPr>
          <w:p w14:paraId="46050187" w14:textId="77777777" w:rsidR="00D8365A" w:rsidRPr="00362517" w:rsidRDefault="00D8365A" w:rsidP="00BF6BC7">
            <w:pPr>
              <w:jc w:val="right"/>
            </w:pPr>
            <w:r w:rsidRPr="00362517">
              <w:t>41%</w:t>
            </w:r>
          </w:p>
        </w:tc>
      </w:tr>
      <w:tr w:rsidR="00D8365A" w:rsidRPr="00362517" w14:paraId="318EBF90" w14:textId="77777777" w:rsidTr="007A2164">
        <w:trPr>
          <w:trHeight w:val="312"/>
        </w:trPr>
        <w:tc>
          <w:tcPr>
            <w:tcW w:w="2984" w:type="pct"/>
            <w:tcBorders>
              <w:top w:val="nil"/>
              <w:left w:val="single" w:sz="4" w:space="0" w:color="auto"/>
              <w:bottom w:val="single" w:sz="4" w:space="0" w:color="auto"/>
              <w:right w:val="single" w:sz="4" w:space="0" w:color="auto"/>
            </w:tcBorders>
            <w:shd w:val="clear" w:color="auto" w:fill="auto"/>
            <w:noWrap/>
            <w:vAlign w:val="bottom"/>
            <w:hideMark/>
          </w:tcPr>
          <w:p w14:paraId="47887749" w14:textId="77777777" w:rsidR="00D8365A" w:rsidRPr="00362517" w:rsidRDefault="00D8365A" w:rsidP="00BF6BC7">
            <w:pPr>
              <w:rPr>
                <w:b/>
                <w:bCs/>
              </w:rPr>
            </w:pPr>
            <w:r w:rsidRPr="00362517">
              <w:rPr>
                <w:b/>
                <w:bCs/>
              </w:rPr>
              <w:t>Total</w:t>
            </w:r>
          </w:p>
        </w:tc>
        <w:tc>
          <w:tcPr>
            <w:tcW w:w="958" w:type="pct"/>
            <w:tcBorders>
              <w:top w:val="nil"/>
              <w:left w:val="nil"/>
              <w:bottom w:val="single" w:sz="4" w:space="0" w:color="auto"/>
              <w:right w:val="single" w:sz="4" w:space="0" w:color="auto"/>
            </w:tcBorders>
            <w:shd w:val="clear" w:color="auto" w:fill="auto"/>
            <w:noWrap/>
            <w:vAlign w:val="bottom"/>
            <w:hideMark/>
          </w:tcPr>
          <w:p w14:paraId="595505BB" w14:textId="77777777" w:rsidR="00D8365A" w:rsidRPr="00362517" w:rsidRDefault="00D8365A" w:rsidP="00BF6BC7">
            <w:pPr>
              <w:jc w:val="right"/>
              <w:rPr>
                <w:b/>
                <w:bCs/>
              </w:rPr>
            </w:pPr>
            <w:r w:rsidRPr="00362517">
              <w:rPr>
                <w:b/>
                <w:bCs/>
              </w:rPr>
              <w:t>6,549</w:t>
            </w:r>
          </w:p>
        </w:tc>
        <w:tc>
          <w:tcPr>
            <w:tcW w:w="1058" w:type="pct"/>
            <w:tcBorders>
              <w:top w:val="nil"/>
              <w:left w:val="nil"/>
              <w:bottom w:val="single" w:sz="4" w:space="0" w:color="auto"/>
              <w:right w:val="single" w:sz="4" w:space="0" w:color="auto"/>
            </w:tcBorders>
            <w:shd w:val="clear" w:color="auto" w:fill="auto"/>
            <w:noWrap/>
            <w:vAlign w:val="bottom"/>
            <w:hideMark/>
          </w:tcPr>
          <w:p w14:paraId="2DC9CB73" w14:textId="77777777" w:rsidR="00D8365A" w:rsidRPr="00362517" w:rsidRDefault="00D8365A" w:rsidP="00BF6BC7">
            <w:pPr>
              <w:jc w:val="right"/>
              <w:rPr>
                <w:b/>
                <w:bCs/>
              </w:rPr>
            </w:pPr>
            <w:r w:rsidRPr="00362517">
              <w:rPr>
                <w:b/>
                <w:bCs/>
              </w:rPr>
              <w:t>100%</w:t>
            </w:r>
          </w:p>
        </w:tc>
      </w:tr>
    </w:tbl>
    <w:p w14:paraId="4C57C769" w14:textId="46ECD8AC" w:rsidR="00D8365A" w:rsidRPr="00362517" w:rsidRDefault="00D8365A" w:rsidP="00BF6BC7">
      <w:pPr>
        <w:rPr>
          <w:sz w:val="22"/>
          <w:szCs w:val="22"/>
        </w:rPr>
      </w:pPr>
      <w:r w:rsidRPr="00362517">
        <w:rPr>
          <w:sz w:val="22"/>
          <w:szCs w:val="22"/>
        </w:rPr>
        <w:t>Source:  EPA calculations using a three percent discount rate over a ten</w:t>
      </w:r>
      <w:r w:rsidR="00CA28EA">
        <w:rPr>
          <w:sz w:val="22"/>
          <w:szCs w:val="22"/>
        </w:rPr>
        <w:t>-</w:t>
      </w:r>
      <w:r w:rsidRPr="00362517">
        <w:rPr>
          <w:sz w:val="22"/>
          <w:szCs w:val="22"/>
        </w:rPr>
        <w:t>year period.</w:t>
      </w:r>
    </w:p>
    <w:p w14:paraId="5E89E7A7" w14:textId="77777777" w:rsidR="00D8365A" w:rsidRPr="00362517" w:rsidRDefault="00D8365A" w:rsidP="00BF6BC7">
      <w:pPr>
        <w:tabs>
          <w:tab w:val="left" w:pos="360"/>
        </w:tabs>
      </w:pPr>
      <w:r w:rsidRPr="00362517">
        <w:rPr>
          <w:sz w:val="22"/>
          <w:szCs w:val="22"/>
          <w:vertAlign w:val="superscript"/>
        </w:rPr>
        <w:t>1</w:t>
      </w:r>
      <w:r w:rsidRPr="00362517">
        <w:rPr>
          <w:sz w:val="22"/>
          <w:szCs w:val="22"/>
          <w:vertAlign w:val="superscript"/>
        </w:rPr>
        <w:tab/>
      </w:r>
      <w:r w:rsidRPr="00362517">
        <w:rPr>
          <w:sz w:val="22"/>
          <w:szCs w:val="22"/>
        </w:rPr>
        <w:t>Tables 3.4-1, 3, 5, and 8.</w:t>
      </w:r>
    </w:p>
    <w:p w14:paraId="6B88C9B5" w14:textId="77777777" w:rsidR="00D8365A" w:rsidRPr="00362517" w:rsidRDefault="00D8365A" w:rsidP="00BF6BC7"/>
    <w:p w14:paraId="79AF0F00" w14:textId="77777777" w:rsidR="00D8365A" w:rsidRPr="00362517" w:rsidRDefault="00D8365A" w:rsidP="00BF6BC7"/>
    <w:p w14:paraId="4BDF62B8" w14:textId="77777777" w:rsidR="00D8365A" w:rsidRPr="00362517" w:rsidRDefault="00D8365A" w:rsidP="00BF6BC7">
      <w:pPr>
        <w:rPr>
          <w:i/>
          <w:u w:val="single"/>
        </w:rPr>
      </w:pPr>
      <w:r w:rsidRPr="00362517">
        <w:rPr>
          <w:i/>
          <w:u w:val="single"/>
        </w:rPr>
        <w:t>State Enforcement Cost:</w:t>
      </w:r>
    </w:p>
    <w:p w14:paraId="53DB0017" w14:textId="77777777" w:rsidR="00D8365A" w:rsidRPr="00362517" w:rsidRDefault="00D8365A" w:rsidP="00BF6BC7"/>
    <w:p w14:paraId="139F44A1" w14:textId="77777777" w:rsidR="00D8365A" w:rsidRPr="00362517" w:rsidRDefault="00D8365A" w:rsidP="00BF6BC7">
      <w:r w:rsidRPr="00362517">
        <w:t>States and other certifying authorities are</w:t>
      </w:r>
      <w:r w:rsidRPr="00362517" w:rsidDel="00844C44">
        <w:t xml:space="preserve"> </w:t>
      </w:r>
      <w:r w:rsidRPr="00362517">
        <w:t>responsible for enforcing the Certification rule, which they do through a combination of outreach to employers and inspections of employers.  Typically, some inspections are done randomly while others are made as a result of complaints or as a response to incidents.  Revisions to the Certification rule should not change the total number of inspections over time although they may change the way inspections are conducted on an establishment.  Some revisions made to the rule, such as the recordkeeping requirements of noncertified applicator training, may add to the list of items an inspector will check.  However, the revisions should not substantially extend the time required for a typical inspection.</w:t>
      </w:r>
    </w:p>
    <w:p w14:paraId="601898E5" w14:textId="77777777" w:rsidR="00D8365A" w:rsidRPr="00362517" w:rsidRDefault="00D8365A" w:rsidP="00BF6BC7"/>
    <w:p w14:paraId="2AAE832D" w14:textId="77777777" w:rsidR="00D8365A" w:rsidRPr="00362517" w:rsidRDefault="00D8365A" w:rsidP="00BF6BC7">
      <w:r w:rsidRPr="00362517">
        <w:t>In the short term, EPA anticipates states and other lead agencies may need to redirect resources planned for outreach and training of inspectors as a result of revisions to the Certification rule.  That is, agencies may plan to highlight certain aspects of the rule in programs for employers and/or inspectors each year.  State agencies may choose to alter some planned programs in order to focus on changes to the Certification.  However, EPA does not anticipate that agencies will need additional resources for enforcement activities.  There will be an implementation phase for the new requirements, which will allow time for certifying authorities to prepare for the changes utilizing existing resources.</w:t>
      </w:r>
    </w:p>
    <w:p w14:paraId="03EB241A" w14:textId="77777777" w:rsidR="00D8365A" w:rsidRPr="00362517" w:rsidRDefault="00D8365A" w:rsidP="00BF6BC7"/>
    <w:p w14:paraId="6ED4A93F" w14:textId="77777777" w:rsidR="00D8365A" w:rsidRPr="00362517" w:rsidRDefault="00D8365A" w:rsidP="00BF6BC7">
      <w:pPr>
        <w:pStyle w:val="Heading2"/>
      </w:pPr>
      <w:bookmarkStart w:id="262" w:name="_Toc452020155"/>
      <w:bookmarkStart w:id="263" w:name="_Toc456270179"/>
      <w:bookmarkStart w:id="264" w:name="_Toc468872095"/>
      <w:r w:rsidRPr="00362517">
        <w:t>3.6</w:t>
      </w:r>
      <w:r w:rsidRPr="00362517">
        <w:tab/>
        <w:t>Impact on Employment</w:t>
      </w:r>
      <w:bookmarkEnd w:id="262"/>
      <w:bookmarkEnd w:id="263"/>
      <w:bookmarkEnd w:id="264"/>
    </w:p>
    <w:p w14:paraId="6F6DD1BE" w14:textId="77777777" w:rsidR="00D8365A" w:rsidRPr="00362517" w:rsidRDefault="00D8365A" w:rsidP="00BF6BC7"/>
    <w:p w14:paraId="6314499A" w14:textId="77777777" w:rsidR="00D8365A" w:rsidRPr="00362517" w:rsidRDefault="00D8365A" w:rsidP="00BF6BC7">
      <w:r w:rsidRPr="00362517">
        <w:t>Executive Order 13563 directs federal agencies to consider the effect of regulations on job creation and employment.  Labor is an important input into production and changes in the cost of labor may cause farms and firms to adjust employment levels.  If farms and commercial pesticide services bear the cost of changes in certification requirements, by, for example, paying for training or allowing employees to prepare for exams during working hours, there would be an increase in the cost of employing a certified applicator and, potentially, a reduction in the demand for certified applicators.  On the other hand, if the applicator bears the cost of changes in certification requirements, because training and exams are taken outside working hours as a means of increasing skills and employment opportunities, increased costs of obtaining and retaining certification may lead to a reduction in the supply of certified applicators.</w:t>
      </w:r>
    </w:p>
    <w:p w14:paraId="1C588239" w14:textId="77777777" w:rsidR="00D8365A" w:rsidRPr="00362517" w:rsidRDefault="00D8365A" w:rsidP="00BF6BC7"/>
    <w:p w14:paraId="0A88800E" w14:textId="77777777" w:rsidR="00D8365A" w:rsidRPr="00362517" w:rsidRDefault="00D8365A" w:rsidP="00BF6BC7">
      <w:r w:rsidRPr="00362517">
        <w:t xml:space="preserve">Thus, an important consideration is the impact the revisions to the Certification requirements will have on employment. The magnitude of the incremental per-applicator cost, relative to the cost of employment or return to employment, provides a measure by which EPA can evaluate the impact on jobs.  The average incremental cost per applicator can be calculated as simply the total annualized incremental cost of the rule, for each jurisdiction, divided by the number of applicators.  This incorporates the cost of obtaining certification, the cost of recertification, and the costs of the new categories and supervision of noncertified applicators, as well as the impacts of the minimum age provisions.  That is, the average overstates the basic costs of obtaining and maintaining certification, but underestimates the cost to an individual who obtains certification in a new category and/or who supervises noncertified applicators.  </w:t>
      </w:r>
    </w:p>
    <w:p w14:paraId="31A5472B" w14:textId="77777777" w:rsidR="00D8365A" w:rsidRPr="00362517" w:rsidRDefault="00D8365A" w:rsidP="00BF6BC7"/>
    <w:p w14:paraId="2CA80B4C" w14:textId="77777777" w:rsidR="00D8365A" w:rsidRPr="00362517" w:rsidRDefault="00D8365A" w:rsidP="00BF6BC7">
      <w:r w:rsidRPr="00362517">
        <w:t>The incremental per-applicator cost also includes potential fee increases for certification and recertification exams and training courses that may occur as a result of the final rule.  The fee increases could result from certifying authorities passing the increased costs of operating their certification programs due to the revised requirements on to the applicators.  Based on the public comments on the EPA’s proposed rule, many state certification programs are mostly financed with such fees collected from the applicators, and certifying authorities may have to increase these fees to cover the increased costs from the final rule.</w:t>
      </w:r>
    </w:p>
    <w:p w14:paraId="45C631CF" w14:textId="77777777" w:rsidR="00D8365A" w:rsidRPr="00362517" w:rsidRDefault="00D8365A" w:rsidP="00BF6BC7"/>
    <w:p w14:paraId="5F71ABD0" w14:textId="77777777" w:rsidR="00D8365A" w:rsidRPr="00362517" w:rsidRDefault="00D8365A" w:rsidP="00BF6BC7">
      <w:r w:rsidRPr="00362517">
        <w:t>The fee increase for applicators due to the final rule are estimated as follows.  EPA assumes that all jurisdictions pass the entirety of increased costs of operating the certification programs on to applicators.  The computation of fee increase is illustrated for private applicators, but it applies to commercial applicators as well.  The private applicator cost of the final rule, for example, about $1.2 million for Arkansas (Table 3.5-3), is divided by the total number (about 20,900) of private applicators in Arkansas to obtain the average per-applicator cost of about $58 for Arkansas private applicators (Table 3.6-1).  This represents the direct impact of the final rule on Arkansas private applicators.  The total incremental cost to the state of Arkansas, estimated to be $147,000 per year (Table 3.5-5), represents the increased costs of operating certification programs due to the final rule.  This total cost is assumed to be passed on to applicators as the fee increase.  Thus, dividing $147,000 by the total number of private and commercial applicators (25,043) in Arkansas yields the average fee increase per applicator of just under $6 per year.  The latter is added to the $58 per-applicator for Arkansas private applicators to obtain the average total impact of $64 per applicator (Table 3.6-1) for Arkansas private applicators due to the final rule.  The same procedure applies to other jurisdictions and to commercial applicators as well, with a range of fees from a low of just over $2 in Texas to a high of almost $119 in Alaska.  This assumes that applicators absorb the incremental costs to certifying authorities in addition to facing the incremental costs imposed directly on them from the final rule.  Because for some certifying authorities the funds for operating certification programs may come from sources (e.g., the general revenue) other than the fees collected from applicators, the fee increase estimated under the EPA’s assumption is conservative, and the per-applicator costs reported in Tables 3.6-1 and 3.6-2 are likely to be overestimates of the impacts of the final rule on applicators.</w:t>
      </w:r>
    </w:p>
    <w:p w14:paraId="26D92DB2" w14:textId="77777777" w:rsidR="00D8365A" w:rsidRPr="00362517" w:rsidRDefault="00D8365A" w:rsidP="00BF6BC7"/>
    <w:p w14:paraId="74BAC50D" w14:textId="77777777" w:rsidR="00D8365A" w:rsidRPr="00362517" w:rsidRDefault="00D8365A" w:rsidP="00BF6BC7">
      <w:pPr>
        <w:keepNext/>
        <w:rPr>
          <w:b/>
          <w:i/>
        </w:rPr>
      </w:pPr>
      <w:r w:rsidRPr="00362517">
        <w:rPr>
          <w:b/>
          <w:i/>
        </w:rPr>
        <w:t>Private Applicators</w:t>
      </w:r>
    </w:p>
    <w:p w14:paraId="3C267730" w14:textId="77777777" w:rsidR="00D8365A" w:rsidRPr="00362517" w:rsidRDefault="00D8365A" w:rsidP="00BF6BC7">
      <w:pPr>
        <w:keepNext/>
      </w:pPr>
    </w:p>
    <w:p w14:paraId="2AB742D5" w14:textId="77777777" w:rsidR="00D8365A" w:rsidRPr="00362517" w:rsidRDefault="00D8365A" w:rsidP="00BF6BC7">
      <w:pPr>
        <w:keepNext/>
      </w:pPr>
      <w:r w:rsidRPr="00362517">
        <w:t>Table 3.6-1 presents the estimated annualized cost for private applicators (from Table 3.5-3), the total number of private applicators, and the average cost per private applicator including the fee increase, by jurisdiction.</w:t>
      </w:r>
    </w:p>
    <w:p w14:paraId="538BA96A" w14:textId="77777777" w:rsidR="00D8365A" w:rsidRPr="00362517" w:rsidRDefault="00D8365A" w:rsidP="00BF6BC7"/>
    <w:p w14:paraId="2FEF1EA7" w14:textId="77777777" w:rsidR="00D8365A" w:rsidRPr="00362517" w:rsidRDefault="00D8365A" w:rsidP="00BF6BC7">
      <w:pPr>
        <w:rPr>
          <w:b/>
        </w:rPr>
      </w:pPr>
      <w:r w:rsidRPr="00362517">
        <w:rPr>
          <w:b/>
        </w:rPr>
        <w:t>Table 3.6-1.  Annualized Per-Applicator Costs, by Jurisdiction, Private Applicators.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874"/>
        <w:gridCol w:w="1795"/>
        <w:gridCol w:w="1664"/>
        <w:gridCol w:w="1748"/>
      </w:tblGrid>
      <w:tr w:rsidR="00D8365A" w:rsidRPr="00362517" w14:paraId="6E4B3F52" w14:textId="77777777" w:rsidTr="007A2164">
        <w:trPr>
          <w:trHeight w:val="1466"/>
        </w:trPr>
        <w:tc>
          <w:tcPr>
            <w:tcW w:w="1213" w:type="pct"/>
            <w:shd w:val="clear" w:color="auto" w:fill="auto"/>
            <w:vAlign w:val="center"/>
            <w:hideMark/>
          </w:tcPr>
          <w:p w14:paraId="0377A9AA" w14:textId="77777777" w:rsidR="00D8365A" w:rsidRPr="00362517" w:rsidRDefault="00D8365A" w:rsidP="00BF6BC7">
            <w:pPr>
              <w:rPr>
                <w:b/>
              </w:rPr>
            </w:pPr>
            <w:r w:rsidRPr="00362517">
              <w:rPr>
                <w:b/>
              </w:rPr>
              <w:t>Jurisdiction</w:t>
            </w:r>
          </w:p>
        </w:tc>
        <w:tc>
          <w:tcPr>
            <w:tcW w:w="1002" w:type="pct"/>
          </w:tcPr>
          <w:p w14:paraId="20B48CB1" w14:textId="77777777" w:rsidR="00D8365A" w:rsidRPr="00362517" w:rsidRDefault="00D8365A" w:rsidP="00BF6BC7">
            <w:pPr>
              <w:jc w:val="center"/>
              <w:rPr>
                <w:b/>
              </w:rPr>
            </w:pPr>
          </w:p>
          <w:p w14:paraId="4986230A" w14:textId="77777777" w:rsidR="00D8365A" w:rsidRPr="00362517" w:rsidRDefault="00D8365A" w:rsidP="00BF6BC7">
            <w:pPr>
              <w:jc w:val="center"/>
              <w:rPr>
                <w:b/>
              </w:rPr>
            </w:pPr>
          </w:p>
          <w:p w14:paraId="39FB0E13" w14:textId="77777777" w:rsidR="00D8365A" w:rsidRPr="00362517" w:rsidRDefault="00D8365A" w:rsidP="00BF6BC7">
            <w:pPr>
              <w:jc w:val="center"/>
              <w:rPr>
                <w:b/>
              </w:rPr>
            </w:pPr>
            <w:r w:rsidRPr="00362517">
              <w:rPr>
                <w:b/>
              </w:rPr>
              <w:t xml:space="preserve">Annualized RIC </w:t>
            </w:r>
          </w:p>
          <w:p w14:paraId="6F57C7C4" w14:textId="77777777" w:rsidR="00D8365A" w:rsidRPr="00362517" w:rsidRDefault="00D8365A" w:rsidP="00BF6BC7">
            <w:pPr>
              <w:jc w:val="center"/>
              <w:rPr>
                <w:b/>
              </w:rPr>
            </w:pPr>
            <w:r w:rsidRPr="00362517">
              <w:rPr>
                <w:b/>
              </w:rPr>
              <w:t>($1,000)</w:t>
            </w:r>
          </w:p>
          <w:p w14:paraId="15979461" w14:textId="77777777" w:rsidR="00D8365A" w:rsidRPr="00362517" w:rsidRDefault="00D8365A" w:rsidP="00BF6BC7">
            <w:pPr>
              <w:jc w:val="center"/>
              <w:rPr>
                <w:b/>
              </w:rPr>
            </w:pPr>
          </w:p>
        </w:tc>
        <w:tc>
          <w:tcPr>
            <w:tcW w:w="960" w:type="pct"/>
            <w:shd w:val="clear" w:color="auto" w:fill="auto"/>
            <w:vAlign w:val="center"/>
            <w:hideMark/>
          </w:tcPr>
          <w:p w14:paraId="73240F8C" w14:textId="77777777" w:rsidR="00D8365A" w:rsidRPr="00362517" w:rsidRDefault="00D8365A" w:rsidP="00BF6BC7">
            <w:pPr>
              <w:jc w:val="center"/>
              <w:rPr>
                <w:b/>
              </w:rPr>
            </w:pPr>
            <w:r w:rsidRPr="00362517">
              <w:rPr>
                <w:b/>
              </w:rPr>
              <w:t>Number of private applicators</w:t>
            </w:r>
          </w:p>
        </w:tc>
        <w:tc>
          <w:tcPr>
            <w:tcW w:w="890" w:type="pct"/>
            <w:shd w:val="clear" w:color="auto" w:fill="auto"/>
            <w:vAlign w:val="center"/>
            <w:hideMark/>
          </w:tcPr>
          <w:p w14:paraId="4975648C" w14:textId="77777777" w:rsidR="00D8365A" w:rsidRPr="00362517" w:rsidRDefault="00D8365A" w:rsidP="00BF6BC7">
            <w:pPr>
              <w:jc w:val="center"/>
              <w:rPr>
                <w:b/>
              </w:rPr>
            </w:pPr>
            <w:r w:rsidRPr="00362517">
              <w:rPr>
                <w:b/>
              </w:rPr>
              <w:t>Cost ($) per private applicator</w:t>
            </w:r>
          </w:p>
        </w:tc>
        <w:tc>
          <w:tcPr>
            <w:tcW w:w="935" w:type="pct"/>
            <w:shd w:val="clear" w:color="auto" w:fill="auto"/>
            <w:vAlign w:val="center"/>
            <w:hideMark/>
          </w:tcPr>
          <w:p w14:paraId="379F1DE9" w14:textId="77777777" w:rsidR="00D8365A" w:rsidRPr="00362517" w:rsidRDefault="00D8365A" w:rsidP="00BF6BC7">
            <w:pPr>
              <w:jc w:val="center"/>
              <w:rPr>
                <w:b/>
              </w:rPr>
            </w:pPr>
            <w:r w:rsidRPr="00362517">
              <w:rPr>
                <w:b/>
              </w:rPr>
              <w:t>Cost ($) per private applicator, including fee increase</w:t>
            </w:r>
          </w:p>
        </w:tc>
      </w:tr>
      <w:tr w:rsidR="00D8365A" w:rsidRPr="00362517" w14:paraId="59DD5388" w14:textId="77777777" w:rsidTr="007A2164">
        <w:trPr>
          <w:trHeight w:val="312"/>
        </w:trPr>
        <w:tc>
          <w:tcPr>
            <w:tcW w:w="1213" w:type="pct"/>
            <w:shd w:val="clear" w:color="auto" w:fill="auto"/>
            <w:noWrap/>
            <w:vAlign w:val="bottom"/>
            <w:hideMark/>
          </w:tcPr>
          <w:p w14:paraId="57C91829" w14:textId="77777777" w:rsidR="00D8365A" w:rsidRPr="00362517" w:rsidRDefault="00D8365A" w:rsidP="00BF6BC7">
            <w:r w:rsidRPr="00362517">
              <w:t>Alabama</w:t>
            </w:r>
          </w:p>
        </w:tc>
        <w:tc>
          <w:tcPr>
            <w:tcW w:w="1002" w:type="pct"/>
            <w:vAlign w:val="bottom"/>
          </w:tcPr>
          <w:p w14:paraId="58B0C1F9" w14:textId="77777777" w:rsidR="00D8365A" w:rsidRPr="00362517" w:rsidRDefault="00D8365A" w:rsidP="00BF6BC7">
            <w:pPr>
              <w:jc w:val="center"/>
            </w:pPr>
            <w:r w:rsidRPr="00362517">
              <w:t>19</w:t>
            </w:r>
          </w:p>
        </w:tc>
        <w:tc>
          <w:tcPr>
            <w:tcW w:w="960" w:type="pct"/>
            <w:shd w:val="clear" w:color="auto" w:fill="auto"/>
            <w:noWrap/>
            <w:vAlign w:val="bottom"/>
            <w:hideMark/>
          </w:tcPr>
          <w:p w14:paraId="100E4893" w14:textId="77777777" w:rsidR="00D8365A" w:rsidRPr="00362517" w:rsidRDefault="00D8365A" w:rsidP="00BF6BC7">
            <w:pPr>
              <w:jc w:val="center"/>
            </w:pPr>
            <w:r w:rsidRPr="00362517">
              <w:t>5,546</w:t>
            </w:r>
          </w:p>
        </w:tc>
        <w:tc>
          <w:tcPr>
            <w:tcW w:w="890" w:type="pct"/>
            <w:shd w:val="clear" w:color="auto" w:fill="auto"/>
            <w:noWrap/>
            <w:vAlign w:val="bottom"/>
            <w:hideMark/>
          </w:tcPr>
          <w:p w14:paraId="0F02DE16" w14:textId="77777777" w:rsidR="00D8365A" w:rsidRPr="00362517" w:rsidRDefault="00D8365A" w:rsidP="00BF6BC7">
            <w:pPr>
              <w:jc w:val="center"/>
            </w:pPr>
            <w:r w:rsidRPr="00362517">
              <w:t xml:space="preserve"> $          3.49 </w:t>
            </w:r>
          </w:p>
        </w:tc>
        <w:tc>
          <w:tcPr>
            <w:tcW w:w="935" w:type="pct"/>
            <w:shd w:val="clear" w:color="auto" w:fill="auto"/>
            <w:noWrap/>
            <w:vAlign w:val="bottom"/>
            <w:hideMark/>
          </w:tcPr>
          <w:p w14:paraId="7C0EABAF" w14:textId="77777777" w:rsidR="00D8365A" w:rsidRPr="00362517" w:rsidRDefault="00D8365A" w:rsidP="00BF6BC7">
            <w:pPr>
              <w:jc w:val="center"/>
            </w:pPr>
            <w:r w:rsidRPr="00362517">
              <w:t xml:space="preserve"> $          12.72 </w:t>
            </w:r>
          </w:p>
        </w:tc>
      </w:tr>
      <w:tr w:rsidR="00D8365A" w:rsidRPr="00362517" w14:paraId="1EAF1BC7" w14:textId="77777777" w:rsidTr="007A2164">
        <w:trPr>
          <w:trHeight w:val="312"/>
        </w:trPr>
        <w:tc>
          <w:tcPr>
            <w:tcW w:w="1213" w:type="pct"/>
            <w:shd w:val="clear" w:color="auto" w:fill="auto"/>
            <w:noWrap/>
            <w:vAlign w:val="bottom"/>
            <w:hideMark/>
          </w:tcPr>
          <w:p w14:paraId="1ADA6518" w14:textId="77777777" w:rsidR="00D8365A" w:rsidRPr="00362517" w:rsidRDefault="00D8365A" w:rsidP="00BF6BC7">
            <w:r w:rsidRPr="00362517">
              <w:t>Alaska</w:t>
            </w:r>
          </w:p>
        </w:tc>
        <w:tc>
          <w:tcPr>
            <w:tcW w:w="1002" w:type="pct"/>
            <w:vAlign w:val="bottom"/>
          </w:tcPr>
          <w:p w14:paraId="476517A5" w14:textId="77777777" w:rsidR="00D8365A" w:rsidRPr="00362517" w:rsidRDefault="00D8365A" w:rsidP="00BF6BC7">
            <w:pPr>
              <w:jc w:val="center"/>
            </w:pPr>
            <w:r w:rsidRPr="00362517">
              <w:t>0.63</w:t>
            </w:r>
          </w:p>
        </w:tc>
        <w:tc>
          <w:tcPr>
            <w:tcW w:w="960" w:type="pct"/>
            <w:shd w:val="clear" w:color="auto" w:fill="auto"/>
            <w:noWrap/>
            <w:vAlign w:val="bottom"/>
            <w:hideMark/>
          </w:tcPr>
          <w:p w14:paraId="0C48EB30" w14:textId="77777777" w:rsidR="00D8365A" w:rsidRPr="00362517" w:rsidRDefault="00D8365A" w:rsidP="00BF6BC7">
            <w:pPr>
              <w:jc w:val="center"/>
            </w:pPr>
            <w:r w:rsidRPr="00362517">
              <w:t>78</w:t>
            </w:r>
          </w:p>
        </w:tc>
        <w:tc>
          <w:tcPr>
            <w:tcW w:w="890" w:type="pct"/>
            <w:shd w:val="clear" w:color="auto" w:fill="auto"/>
            <w:noWrap/>
            <w:vAlign w:val="bottom"/>
            <w:hideMark/>
          </w:tcPr>
          <w:p w14:paraId="64734689" w14:textId="77777777" w:rsidR="00D8365A" w:rsidRPr="00362517" w:rsidRDefault="00D8365A" w:rsidP="00BF6BC7">
            <w:pPr>
              <w:jc w:val="center"/>
            </w:pPr>
            <w:r w:rsidRPr="00362517">
              <w:t xml:space="preserve"> $          8.16 </w:t>
            </w:r>
          </w:p>
        </w:tc>
        <w:tc>
          <w:tcPr>
            <w:tcW w:w="935" w:type="pct"/>
            <w:shd w:val="clear" w:color="auto" w:fill="auto"/>
            <w:noWrap/>
            <w:vAlign w:val="bottom"/>
            <w:hideMark/>
          </w:tcPr>
          <w:p w14:paraId="3565D527" w14:textId="77777777" w:rsidR="00D8365A" w:rsidRPr="00362517" w:rsidRDefault="00D8365A" w:rsidP="00BF6BC7">
            <w:pPr>
              <w:jc w:val="center"/>
            </w:pPr>
            <w:r w:rsidRPr="00362517">
              <w:t xml:space="preserve"> $        127.02 </w:t>
            </w:r>
          </w:p>
        </w:tc>
      </w:tr>
      <w:tr w:rsidR="00D8365A" w:rsidRPr="00362517" w14:paraId="22E35584" w14:textId="77777777" w:rsidTr="007A2164">
        <w:trPr>
          <w:trHeight w:val="312"/>
        </w:trPr>
        <w:tc>
          <w:tcPr>
            <w:tcW w:w="1213" w:type="pct"/>
            <w:shd w:val="clear" w:color="auto" w:fill="auto"/>
            <w:noWrap/>
            <w:vAlign w:val="bottom"/>
            <w:hideMark/>
          </w:tcPr>
          <w:p w14:paraId="3EC95645" w14:textId="77777777" w:rsidR="00D8365A" w:rsidRPr="00362517" w:rsidRDefault="00D8365A" w:rsidP="00BF6BC7">
            <w:r w:rsidRPr="00362517">
              <w:t>Arizona</w:t>
            </w:r>
          </w:p>
        </w:tc>
        <w:tc>
          <w:tcPr>
            <w:tcW w:w="1002" w:type="pct"/>
            <w:vAlign w:val="bottom"/>
          </w:tcPr>
          <w:p w14:paraId="4CFF58A7" w14:textId="77777777" w:rsidR="00D8365A" w:rsidRPr="00362517" w:rsidRDefault="00D8365A" w:rsidP="00BF6BC7">
            <w:pPr>
              <w:jc w:val="center"/>
            </w:pPr>
            <w:r w:rsidRPr="00362517">
              <w:t>5</w:t>
            </w:r>
          </w:p>
        </w:tc>
        <w:tc>
          <w:tcPr>
            <w:tcW w:w="960" w:type="pct"/>
            <w:shd w:val="clear" w:color="auto" w:fill="auto"/>
            <w:noWrap/>
            <w:vAlign w:val="bottom"/>
            <w:hideMark/>
          </w:tcPr>
          <w:p w14:paraId="7AF8D25C" w14:textId="77777777" w:rsidR="00D8365A" w:rsidRPr="00362517" w:rsidRDefault="00D8365A" w:rsidP="00BF6BC7">
            <w:pPr>
              <w:jc w:val="center"/>
            </w:pPr>
            <w:r w:rsidRPr="00362517">
              <w:t>447</w:t>
            </w:r>
          </w:p>
        </w:tc>
        <w:tc>
          <w:tcPr>
            <w:tcW w:w="890" w:type="pct"/>
            <w:shd w:val="clear" w:color="auto" w:fill="auto"/>
            <w:noWrap/>
            <w:vAlign w:val="bottom"/>
            <w:hideMark/>
          </w:tcPr>
          <w:p w14:paraId="36AB0F81" w14:textId="77777777" w:rsidR="00D8365A" w:rsidRPr="00362517" w:rsidRDefault="00D8365A" w:rsidP="00BF6BC7">
            <w:pPr>
              <w:jc w:val="center"/>
            </w:pPr>
            <w:r w:rsidRPr="00362517">
              <w:t xml:space="preserve"> $        11.05 </w:t>
            </w:r>
          </w:p>
        </w:tc>
        <w:tc>
          <w:tcPr>
            <w:tcW w:w="935" w:type="pct"/>
            <w:shd w:val="clear" w:color="auto" w:fill="auto"/>
            <w:noWrap/>
            <w:vAlign w:val="bottom"/>
            <w:hideMark/>
          </w:tcPr>
          <w:p w14:paraId="5B7E99E9" w14:textId="77777777" w:rsidR="00D8365A" w:rsidRPr="00362517" w:rsidRDefault="00D8365A" w:rsidP="00BF6BC7">
            <w:pPr>
              <w:jc w:val="center"/>
            </w:pPr>
            <w:r w:rsidRPr="00362517">
              <w:t xml:space="preserve"> $          22.06 </w:t>
            </w:r>
          </w:p>
        </w:tc>
      </w:tr>
      <w:tr w:rsidR="00D8365A" w:rsidRPr="00362517" w14:paraId="0D222710" w14:textId="77777777" w:rsidTr="007A2164">
        <w:trPr>
          <w:trHeight w:val="312"/>
        </w:trPr>
        <w:tc>
          <w:tcPr>
            <w:tcW w:w="1213" w:type="pct"/>
            <w:shd w:val="clear" w:color="auto" w:fill="auto"/>
            <w:noWrap/>
            <w:vAlign w:val="bottom"/>
            <w:hideMark/>
          </w:tcPr>
          <w:p w14:paraId="06546294" w14:textId="77777777" w:rsidR="00D8365A" w:rsidRPr="00362517" w:rsidRDefault="00D8365A" w:rsidP="00BF6BC7">
            <w:r w:rsidRPr="00362517">
              <w:t>Arkansas</w:t>
            </w:r>
          </w:p>
        </w:tc>
        <w:tc>
          <w:tcPr>
            <w:tcW w:w="1002" w:type="pct"/>
            <w:vAlign w:val="bottom"/>
          </w:tcPr>
          <w:p w14:paraId="6E566F07" w14:textId="77777777" w:rsidR="00D8365A" w:rsidRPr="00362517" w:rsidRDefault="00D8365A" w:rsidP="00BF6BC7">
            <w:pPr>
              <w:jc w:val="center"/>
            </w:pPr>
            <w:r w:rsidRPr="00362517">
              <w:t>1,215</w:t>
            </w:r>
          </w:p>
        </w:tc>
        <w:tc>
          <w:tcPr>
            <w:tcW w:w="960" w:type="pct"/>
            <w:shd w:val="clear" w:color="auto" w:fill="auto"/>
            <w:noWrap/>
            <w:vAlign w:val="bottom"/>
            <w:hideMark/>
          </w:tcPr>
          <w:p w14:paraId="04EE4048" w14:textId="77777777" w:rsidR="00D8365A" w:rsidRPr="00362517" w:rsidRDefault="00D8365A" w:rsidP="00BF6BC7">
            <w:pPr>
              <w:jc w:val="center"/>
            </w:pPr>
            <w:r w:rsidRPr="00362517">
              <w:t>20,879</w:t>
            </w:r>
          </w:p>
        </w:tc>
        <w:tc>
          <w:tcPr>
            <w:tcW w:w="890" w:type="pct"/>
            <w:shd w:val="clear" w:color="auto" w:fill="auto"/>
            <w:noWrap/>
            <w:vAlign w:val="bottom"/>
            <w:hideMark/>
          </w:tcPr>
          <w:p w14:paraId="4324AA73" w14:textId="77777777" w:rsidR="00D8365A" w:rsidRPr="00362517" w:rsidRDefault="00D8365A" w:rsidP="00BF6BC7">
            <w:pPr>
              <w:jc w:val="center"/>
            </w:pPr>
            <w:r w:rsidRPr="00362517">
              <w:t xml:space="preserve"> $        58.19 </w:t>
            </w:r>
          </w:p>
        </w:tc>
        <w:tc>
          <w:tcPr>
            <w:tcW w:w="935" w:type="pct"/>
            <w:shd w:val="clear" w:color="auto" w:fill="auto"/>
            <w:noWrap/>
            <w:vAlign w:val="bottom"/>
            <w:hideMark/>
          </w:tcPr>
          <w:p w14:paraId="70ABE2A1" w14:textId="77777777" w:rsidR="00D8365A" w:rsidRPr="00362517" w:rsidRDefault="00D8365A" w:rsidP="00BF6BC7">
            <w:pPr>
              <w:jc w:val="center"/>
            </w:pPr>
            <w:r w:rsidRPr="00362517">
              <w:t xml:space="preserve"> $          64.08 </w:t>
            </w:r>
          </w:p>
        </w:tc>
      </w:tr>
      <w:tr w:rsidR="00D8365A" w:rsidRPr="00362517" w14:paraId="1EF92DF9" w14:textId="77777777" w:rsidTr="007A2164">
        <w:trPr>
          <w:trHeight w:val="312"/>
        </w:trPr>
        <w:tc>
          <w:tcPr>
            <w:tcW w:w="1213" w:type="pct"/>
            <w:shd w:val="clear" w:color="auto" w:fill="auto"/>
            <w:noWrap/>
            <w:vAlign w:val="bottom"/>
            <w:hideMark/>
          </w:tcPr>
          <w:p w14:paraId="72414BEE" w14:textId="77777777" w:rsidR="00D8365A" w:rsidRPr="00362517" w:rsidRDefault="00D8365A" w:rsidP="00BF6BC7">
            <w:r w:rsidRPr="00362517">
              <w:t>California</w:t>
            </w:r>
          </w:p>
        </w:tc>
        <w:tc>
          <w:tcPr>
            <w:tcW w:w="1002" w:type="pct"/>
            <w:vAlign w:val="bottom"/>
          </w:tcPr>
          <w:p w14:paraId="4E0ACF5D" w14:textId="77777777" w:rsidR="00D8365A" w:rsidRPr="00362517" w:rsidRDefault="00D8365A" w:rsidP="00BF6BC7">
            <w:pPr>
              <w:jc w:val="center"/>
            </w:pPr>
            <w:r w:rsidRPr="00362517">
              <w:t>139</w:t>
            </w:r>
          </w:p>
        </w:tc>
        <w:tc>
          <w:tcPr>
            <w:tcW w:w="960" w:type="pct"/>
            <w:shd w:val="clear" w:color="auto" w:fill="auto"/>
            <w:noWrap/>
            <w:vAlign w:val="bottom"/>
            <w:hideMark/>
          </w:tcPr>
          <w:p w14:paraId="0FC1FDD4" w14:textId="77777777" w:rsidR="00D8365A" w:rsidRPr="00362517" w:rsidRDefault="00D8365A" w:rsidP="00BF6BC7">
            <w:pPr>
              <w:jc w:val="center"/>
            </w:pPr>
            <w:r w:rsidRPr="00362517">
              <w:t>18,516</w:t>
            </w:r>
          </w:p>
        </w:tc>
        <w:tc>
          <w:tcPr>
            <w:tcW w:w="890" w:type="pct"/>
            <w:shd w:val="clear" w:color="auto" w:fill="auto"/>
            <w:noWrap/>
            <w:vAlign w:val="bottom"/>
            <w:hideMark/>
          </w:tcPr>
          <w:p w14:paraId="203355BB" w14:textId="77777777" w:rsidR="00D8365A" w:rsidRPr="00362517" w:rsidRDefault="00D8365A" w:rsidP="00BF6BC7">
            <w:pPr>
              <w:jc w:val="center"/>
            </w:pPr>
            <w:r w:rsidRPr="00362517">
              <w:t xml:space="preserve"> $          7.49 </w:t>
            </w:r>
          </w:p>
        </w:tc>
        <w:tc>
          <w:tcPr>
            <w:tcW w:w="935" w:type="pct"/>
            <w:shd w:val="clear" w:color="auto" w:fill="auto"/>
            <w:noWrap/>
            <w:vAlign w:val="bottom"/>
            <w:hideMark/>
          </w:tcPr>
          <w:p w14:paraId="6C6CA4BF" w14:textId="77777777" w:rsidR="00D8365A" w:rsidRPr="00362517" w:rsidRDefault="00D8365A" w:rsidP="00BF6BC7">
            <w:pPr>
              <w:jc w:val="center"/>
            </w:pPr>
            <w:r w:rsidRPr="00362517">
              <w:t xml:space="preserve"> $          13.84 </w:t>
            </w:r>
          </w:p>
        </w:tc>
      </w:tr>
      <w:tr w:rsidR="00D8365A" w:rsidRPr="00362517" w14:paraId="3E727668" w14:textId="77777777" w:rsidTr="007A2164">
        <w:trPr>
          <w:trHeight w:val="312"/>
        </w:trPr>
        <w:tc>
          <w:tcPr>
            <w:tcW w:w="1213" w:type="pct"/>
            <w:shd w:val="clear" w:color="auto" w:fill="auto"/>
            <w:noWrap/>
            <w:vAlign w:val="bottom"/>
            <w:hideMark/>
          </w:tcPr>
          <w:p w14:paraId="5865633A" w14:textId="77777777" w:rsidR="00D8365A" w:rsidRPr="00362517" w:rsidRDefault="00D8365A" w:rsidP="00BF6BC7">
            <w:r w:rsidRPr="00362517">
              <w:t>Colorado</w:t>
            </w:r>
          </w:p>
        </w:tc>
        <w:tc>
          <w:tcPr>
            <w:tcW w:w="1002" w:type="pct"/>
            <w:vAlign w:val="bottom"/>
          </w:tcPr>
          <w:p w14:paraId="449C83A2" w14:textId="77777777" w:rsidR="00D8365A" w:rsidRPr="00362517" w:rsidRDefault="00D8365A" w:rsidP="00BF6BC7">
            <w:pPr>
              <w:jc w:val="center"/>
            </w:pPr>
            <w:r w:rsidRPr="00362517">
              <w:t>12</w:t>
            </w:r>
          </w:p>
        </w:tc>
        <w:tc>
          <w:tcPr>
            <w:tcW w:w="960" w:type="pct"/>
            <w:shd w:val="clear" w:color="auto" w:fill="auto"/>
            <w:noWrap/>
            <w:vAlign w:val="bottom"/>
            <w:hideMark/>
          </w:tcPr>
          <w:p w14:paraId="4372B658" w14:textId="77777777" w:rsidR="00D8365A" w:rsidRPr="00362517" w:rsidRDefault="00D8365A" w:rsidP="00BF6BC7">
            <w:pPr>
              <w:jc w:val="center"/>
            </w:pPr>
            <w:r w:rsidRPr="00362517">
              <w:t>5,329</w:t>
            </w:r>
          </w:p>
        </w:tc>
        <w:tc>
          <w:tcPr>
            <w:tcW w:w="890" w:type="pct"/>
            <w:shd w:val="clear" w:color="auto" w:fill="auto"/>
            <w:noWrap/>
            <w:vAlign w:val="bottom"/>
            <w:hideMark/>
          </w:tcPr>
          <w:p w14:paraId="22CA154D" w14:textId="77777777" w:rsidR="00D8365A" w:rsidRPr="00362517" w:rsidRDefault="00D8365A" w:rsidP="00BF6BC7">
            <w:pPr>
              <w:jc w:val="center"/>
            </w:pPr>
            <w:r w:rsidRPr="00362517">
              <w:t xml:space="preserve"> $          2.30 </w:t>
            </w:r>
          </w:p>
        </w:tc>
        <w:tc>
          <w:tcPr>
            <w:tcW w:w="935" w:type="pct"/>
            <w:shd w:val="clear" w:color="auto" w:fill="auto"/>
            <w:noWrap/>
            <w:vAlign w:val="bottom"/>
            <w:hideMark/>
          </w:tcPr>
          <w:p w14:paraId="3DA001D1" w14:textId="77777777" w:rsidR="00D8365A" w:rsidRPr="00362517" w:rsidRDefault="00D8365A" w:rsidP="00BF6BC7">
            <w:pPr>
              <w:jc w:val="center"/>
            </w:pPr>
            <w:r w:rsidRPr="00362517">
              <w:t xml:space="preserve"> $          15.43 </w:t>
            </w:r>
          </w:p>
        </w:tc>
      </w:tr>
      <w:tr w:rsidR="00D8365A" w:rsidRPr="00362517" w14:paraId="4719BD8B" w14:textId="77777777" w:rsidTr="007A2164">
        <w:trPr>
          <w:trHeight w:val="312"/>
        </w:trPr>
        <w:tc>
          <w:tcPr>
            <w:tcW w:w="1213" w:type="pct"/>
            <w:shd w:val="clear" w:color="auto" w:fill="auto"/>
            <w:noWrap/>
            <w:vAlign w:val="bottom"/>
            <w:hideMark/>
          </w:tcPr>
          <w:p w14:paraId="4835588F" w14:textId="77777777" w:rsidR="00D8365A" w:rsidRPr="00362517" w:rsidRDefault="00D8365A" w:rsidP="00BF6BC7">
            <w:r w:rsidRPr="00362517">
              <w:t>Connecticut</w:t>
            </w:r>
          </w:p>
        </w:tc>
        <w:tc>
          <w:tcPr>
            <w:tcW w:w="1002" w:type="pct"/>
            <w:vAlign w:val="bottom"/>
          </w:tcPr>
          <w:p w14:paraId="41934B8D" w14:textId="77777777" w:rsidR="00D8365A" w:rsidRPr="00362517" w:rsidRDefault="00D8365A" w:rsidP="00BF6BC7">
            <w:pPr>
              <w:jc w:val="center"/>
            </w:pPr>
            <w:r w:rsidRPr="00362517">
              <w:t>0</w:t>
            </w:r>
          </w:p>
        </w:tc>
        <w:tc>
          <w:tcPr>
            <w:tcW w:w="960" w:type="pct"/>
            <w:shd w:val="clear" w:color="auto" w:fill="auto"/>
            <w:noWrap/>
            <w:vAlign w:val="bottom"/>
            <w:hideMark/>
          </w:tcPr>
          <w:p w14:paraId="4AC645C0" w14:textId="77777777" w:rsidR="00D8365A" w:rsidRPr="00362517" w:rsidRDefault="00D8365A" w:rsidP="00BF6BC7">
            <w:pPr>
              <w:jc w:val="center"/>
            </w:pPr>
            <w:r w:rsidRPr="00362517">
              <w:t>542</w:t>
            </w:r>
          </w:p>
        </w:tc>
        <w:tc>
          <w:tcPr>
            <w:tcW w:w="890" w:type="pct"/>
            <w:shd w:val="clear" w:color="auto" w:fill="auto"/>
            <w:noWrap/>
            <w:vAlign w:val="bottom"/>
            <w:hideMark/>
          </w:tcPr>
          <w:p w14:paraId="336EB550" w14:textId="77777777" w:rsidR="00D8365A" w:rsidRPr="00362517" w:rsidRDefault="00D8365A" w:rsidP="00BF6BC7">
            <w:pPr>
              <w:jc w:val="center"/>
            </w:pPr>
            <w:r w:rsidRPr="00362517">
              <w:t xml:space="preserve"> $          0.45 </w:t>
            </w:r>
          </w:p>
        </w:tc>
        <w:tc>
          <w:tcPr>
            <w:tcW w:w="935" w:type="pct"/>
            <w:shd w:val="clear" w:color="auto" w:fill="auto"/>
            <w:noWrap/>
            <w:vAlign w:val="bottom"/>
            <w:hideMark/>
          </w:tcPr>
          <w:p w14:paraId="392E7A61" w14:textId="77777777" w:rsidR="00D8365A" w:rsidRPr="00362517" w:rsidRDefault="00D8365A" w:rsidP="00BF6BC7">
            <w:pPr>
              <w:jc w:val="center"/>
            </w:pPr>
            <w:r w:rsidRPr="00362517">
              <w:t xml:space="preserve"> $          23.36 </w:t>
            </w:r>
          </w:p>
        </w:tc>
      </w:tr>
      <w:tr w:rsidR="00D8365A" w:rsidRPr="00362517" w14:paraId="5802C8BA" w14:textId="77777777" w:rsidTr="007A2164">
        <w:trPr>
          <w:trHeight w:val="312"/>
        </w:trPr>
        <w:tc>
          <w:tcPr>
            <w:tcW w:w="1213" w:type="pct"/>
            <w:shd w:val="clear" w:color="auto" w:fill="auto"/>
            <w:noWrap/>
            <w:vAlign w:val="bottom"/>
            <w:hideMark/>
          </w:tcPr>
          <w:p w14:paraId="41896353" w14:textId="77777777" w:rsidR="00D8365A" w:rsidRPr="00362517" w:rsidRDefault="00D8365A" w:rsidP="00BF6BC7">
            <w:r w:rsidRPr="00362517">
              <w:t>Delaware</w:t>
            </w:r>
          </w:p>
        </w:tc>
        <w:tc>
          <w:tcPr>
            <w:tcW w:w="1002" w:type="pct"/>
            <w:vAlign w:val="bottom"/>
          </w:tcPr>
          <w:p w14:paraId="4EB43B39" w14:textId="77777777" w:rsidR="00D8365A" w:rsidRPr="00362517" w:rsidRDefault="00D8365A" w:rsidP="00BF6BC7">
            <w:pPr>
              <w:jc w:val="center"/>
            </w:pPr>
            <w:r w:rsidRPr="00362517">
              <w:t>7</w:t>
            </w:r>
          </w:p>
        </w:tc>
        <w:tc>
          <w:tcPr>
            <w:tcW w:w="960" w:type="pct"/>
            <w:shd w:val="clear" w:color="auto" w:fill="auto"/>
            <w:noWrap/>
            <w:vAlign w:val="bottom"/>
            <w:hideMark/>
          </w:tcPr>
          <w:p w14:paraId="7350CBE7" w14:textId="77777777" w:rsidR="00D8365A" w:rsidRPr="00362517" w:rsidRDefault="00D8365A" w:rsidP="00BF6BC7">
            <w:pPr>
              <w:jc w:val="center"/>
            </w:pPr>
            <w:r w:rsidRPr="00362517">
              <w:t>713</w:t>
            </w:r>
          </w:p>
        </w:tc>
        <w:tc>
          <w:tcPr>
            <w:tcW w:w="890" w:type="pct"/>
            <w:shd w:val="clear" w:color="auto" w:fill="auto"/>
            <w:noWrap/>
            <w:vAlign w:val="bottom"/>
            <w:hideMark/>
          </w:tcPr>
          <w:p w14:paraId="7DAB40B8" w14:textId="77777777" w:rsidR="00D8365A" w:rsidRPr="00362517" w:rsidRDefault="00D8365A" w:rsidP="00BF6BC7">
            <w:pPr>
              <w:jc w:val="center"/>
            </w:pPr>
            <w:r w:rsidRPr="00362517">
              <w:t xml:space="preserve"> $          9.35 </w:t>
            </w:r>
          </w:p>
        </w:tc>
        <w:tc>
          <w:tcPr>
            <w:tcW w:w="935" w:type="pct"/>
            <w:shd w:val="clear" w:color="auto" w:fill="auto"/>
            <w:noWrap/>
            <w:vAlign w:val="bottom"/>
            <w:hideMark/>
          </w:tcPr>
          <w:p w14:paraId="2DDED0F3" w14:textId="77777777" w:rsidR="00D8365A" w:rsidRPr="00362517" w:rsidRDefault="00D8365A" w:rsidP="00BF6BC7">
            <w:pPr>
              <w:jc w:val="center"/>
            </w:pPr>
            <w:r w:rsidRPr="00362517">
              <w:t xml:space="preserve"> $          39.84 </w:t>
            </w:r>
          </w:p>
        </w:tc>
      </w:tr>
      <w:tr w:rsidR="00D8365A" w:rsidRPr="00362517" w14:paraId="1B0257E7" w14:textId="77777777" w:rsidTr="007A2164">
        <w:trPr>
          <w:trHeight w:val="312"/>
        </w:trPr>
        <w:tc>
          <w:tcPr>
            <w:tcW w:w="1213" w:type="pct"/>
            <w:shd w:val="clear" w:color="auto" w:fill="auto"/>
            <w:noWrap/>
            <w:vAlign w:val="bottom"/>
            <w:hideMark/>
          </w:tcPr>
          <w:p w14:paraId="7DDB6839" w14:textId="77777777" w:rsidR="00D8365A" w:rsidRPr="00362517" w:rsidRDefault="00D8365A" w:rsidP="00BF6BC7">
            <w:r w:rsidRPr="00362517">
              <w:t>Florida</w:t>
            </w:r>
          </w:p>
        </w:tc>
        <w:tc>
          <w:tcPr>
            <w:tcW w:w="1002" w:type="pct"/>
            <w:vAlign w:val="bottom"/>
          </w:tcPr>
          <w:p w14:paraId="653A5F0C" w14:textId="77777777" w:rsidR="00D8365A" w:rsidRPr="00362517" w:rsidRDefault="00D8365A" w:rsidP="00BF6BC7">
            <w:pPr>
              <w:jc w:val="center"/>
            </w:pPr>
            <w:r w:rsidRPr="00362517">
              <w:t>42</w:t>
            </w:r>
          </w:p>
        </w:tc>
        <w:tc>
          <w:tcPr>
            <w:tcW w:w="960" w:type="pct"/>
            <w:shd w:val="clear" w:color="auto" w:fill="auto"/>
            <w:noWrap/>
            <w:vAlign w:val="bottom"/>
            <w:hideMark/>
          </w:tcPr>
          <w:p w14:paraId="0B5D3172" w14:textId="77777777" w:rsidR="00D8365A" w:rsidRPr="00362517" w:rsidRDefault="00D8365A" w:rsidP="00BF6BC7">
            <w:pPr>
              <w:jc w:val="center"/>
            </w:pPr>
            <w:r w:rsidRPr="00362517">
              <w:t>3,987</w:t>
            </w:r>
          </w:p>
        </w:tc>
        <w:tc>
          <w:tcPr>
            <w:tcW w:w="890" w:type="pct"/>
            <w:shd w:val="clear" w:color="auto" w:fill="auto"/>
            <w:noWrap/>
            <w:vAlign w:val="bottom"/>
            <w:hideMark/>
          </w:tcPr>
          <w:p w14:paraId="113E8CFA" w14:textId="77777777" w:rsidR="00D8365A" w:rsidRPr="00362517" w:rsidRDefault="00D8365A" w:rsidP="00BF6BC7">
            <w:pPr>
              <w:jc w:val="center"/>
            </w:pPr>
            <w:r w:rsidRPr="00362517">
              <w:t xml:space="preserve"> $        10.57 </w:t>
            </w:r>
          </w:p>
        </w:tc>
        <w:tc>
          <w:tcPr>
            <w:tcW w:w="935" w:type="pct"/>
            <w:shd w:val="clear" w:color="auto" w:fill="auto"/>
            <w:noWrap/>
            <w:vAlign w:val="bottom"/>
            <w:hideMark/>
          </w:tcPr>
          <w:p w14:paraId="27B30CE4" w14:textId="77777777" w:rsidR="00D8365A" w:rsidRPr="00362517" w:rsidRDefault="00D8365A" w:rsidP="00BF6BC7">
            <w:pPr>
              <w:jc w:val="center"/>
            </w:pPr>
            <w:r w:rsidRPr="00362517">
              <w:t xml:space="preserve"> $          28.90 </w:t>
            </w:r>
          </w:p>
        </w:tc>
      </w:tr>
      <w:tr w:rsidR="00D8365A" w:rsidRPr="00362517" w14:paraId="79F496DF" w14:textId="77777777" w:rsidTr="007A2164">
        <w:trPr>
          <w:trHeight w:val="312"/>
        </w:trPr>
        <w:tc>
          <w:tcPr>
            <w:tcW w:w="1213" w:type="pct"/>
            <w:shd w:val="clear" w:color="auto" w:fill="auto"/>
            <w:noWrap/>
            <w:vAlign w:val="bottom"/>
            <w:hideMark/>
          </w:tcPr>
          <w:p w14:paraId="43F300ED" w14:textId="77777777" w:rsidR="00D8365A" w:rsidRPr="00362517" w:rsidRDefault="00D8365A" w:rsidP="00BF6BC7">
            <w:r w:rsidRPr="00362517">
              <w:t>Georgia</w:t>
            </w:r>
          </w:p>
        </w:tc>
        <w:tc>
          <w:tcPr>
            <w:tcW w:w="1002" w:type="pct"/>
            <w:vAlign w:val="bottom"/>
          </w:tcPr>
          <w:p w14:paraId="5C774CED" w14:textId="77777777" w:rsidR="00D8365A" w:rsidRPr="00362517" w:rsidRDefault="00D8365A" w:rsidP="00BF6BC7">
            <w:pPr>
              <w:jc w:val="center"/>
            </w:pPr>
            <w:r w:rsidRPr="00362517">
              <w:t>1,389</w:t>
            </w:r>
          </w:p>
        </w:tc>
        <w:tc>
          <w:tcPr>
            <w:tcW w:w="960" w:type="pct"/>
            <w:shd w:val="clear" w:color="auto" w:fill="auto"/>
            <w:noWrap/>
            <w:vAlign w:val="bottom"/>
            <w:hideMark/>
          </w:tcPr>
          <w:p w14:paraId="67CF0F37" w14:textId="77777777" w:rsidR="00D8365A" w:rsidRPr="00362517" w:rsidRDefault="00D8365A" w:rsidP="00BF6BC7">
            <w:pPr>
              <w:jc w:val="center"/>
            </w:pPr>
            <w:r w:rsidRPr="00362517">
              <w:t>18,977</w:t>
            </w:r>
          </w:p>
        </w:tc>
        <w:tc>
          <w:tcPr>
            <w:tcW w:w="890" w:type="pct"/>
            <w:shd w:val="clear" w:color="auto" w:fill="auto"/>
            <w:noWrap/>
            <w:vAlign w:val="bottom"/>
            <w:hideMark/>
          </w:tcPr>
          <w:p w14:paraId="0D879922" w14:textId="77777777" w:rsidR="00D8365A" w:rsidRPr="00362517" w:rsidRDefault="00D8365A" w:rsidP="00BF6BC7">
            <w:pPr>
              <w:jc w:val="center"/>
            </w:pPr>
            <w:r w:rsidRPr="00362517">
              <w:t xml:space="preserve"> $        73.18 </w:t>
            </w:r>
          </w:p>
        </w:tc>
        <w:tc>
          <w:tcPr>
            <w:tcW w:w="935" w:type="pct"/>
            <w:shd w:val="clear" w:color="auto" w:fill="auto"/>
            <w:noWrap/>
            <w:vAlign w:val="bottom"/>
            <w:hideMark/>
          </w:tcPr>
          <w:p w14:paraId="260A7343" w14:textId="77777777" w:rsidR="00D8365A" w:rsidRPr="00362517" w:rsidRDefault="00D8365A" w:rsidP="00BF6BC7">
            <w:pPr>
              <w:jc w:val="center"/>
            </w:pPr>
            <w:r w:rsidRPr="00362517">
              <w:t xml:space="preserve"> $          78.35 </w:t>
            </w:r>
          </w:p>
        </w:tc>
      </w:tr>
      <w:tr w:rsidR="00D8365A" w:rsidRPr="00362517" w14:paraId="325C8D40" w14:textId="77777777" w:rsidTr="007A2164">
        <w:trPr>
          <w:trHeight w:val="312"/>
        </w:trPr>
        <w:tc>
          <w:tcPr>
            <w:tcW w:w="1213" w:type="pct"/>
            <w:shd w:val="clear" w:color="auto" w:fill="auto"/>
            <w:noWrap/>
            <w:vAlign w:val="bottom"/>
            <w:hideMark/>
          </w:tcPr>
          <w:p w14:paraId="374CD86E" w14:textId="77777777" w:rsidR="00D8365A" w:rsidRPr="00362517" w:rsidRDefault="00D8365A" w:rsidP="00BF6BC7">
            <w:r w:rsidRPr="00362517">
              <w:t>Hawaii</w:t>
            </w:r>
          </w:p>
        </w:tc>
        <w:tc>
          <w:tcPr>
            <w:tcW w:w="1002" w:type="pct"/>
            <w:vAlign w:val="bottom"/>
          </w:tcPr>
          <w:p w14:paraId="1A17D1B3" w14:textId="77777777" w:rsidR="00D8365A" w:rsidRPr="00362517" w:rsidRDefault="00D8365A" w:rsidP="00BF6BC7">
            <w:pPr>
              <w:jc w:val="center"/>
            </w:pPr>
            <w:r w:rsidRPr="00362517">
              <w:t>2</w:t>
            </w:r>
          </w:p>
        </w:tc>
        <w:tc>
          <w:tcPr>
            <w:tcW w:w="960" w:type="pct"/>
            <w:shd w:val="clear" w:color="auto" w:fill="auto"/>
            <w:noWrap/>
            <w:vAlign w:val="bottom"/>
            <w:hideMark/>
          </w:tcPr>
          <w:p w14:paraId="1ED47C6C" w14:textId="77777777" w:rsidR="00D8365A" w:rsidRPr="00362517" w:rsidRDefault="00D8365A" w:rsidP="00BF6BC7">
            <w:pPr>
              <w:jc w:val="center"/>
            </w:pPr>
            <w:r w:rsidRPr="00362517">
              <w:t>420</w:t>
            </w:r>
          </w:p>
        </w:tc>
        <w:tc>
          <w:tcPr>
            <w:tcW w:w="890" w:type="pct"/>
            <w:shd w:val="clear" w:color="auto" w:fill="auto"/>
            <w:noWrap/>
            <w:vAlign w:val="bottom"/>
            <w:hideMark/>
          </w:tcPr>
          <w:p w14:paraId="58B5FE25" w14:textId="77777777" w:rsidR="00D8365A" w:rsidRPr="00362517" w:rsidRDefault="00D8365A" w:rsidP="00BF6BC7">
            <w:pPr>
              <w:jc w:val="center"/>
            </w:pPr>
            <w:r w:rsidRPr="00362517">
              <w:t xml:space="preserve"> $          5.12 </w:t>
            </w:r>
          </w:p>
        </w:tc>
        <w:tc>
          <w:tcPr>
            <w:tcW w:w="935" w:type="pct"/>
            <w:shd w:val="clear" w:color="auto" w:fill="auto"/>
            <w:noWrap/>
            <w:vAlign w:val="bottom"/>
            <w:hideMark/>
          </w:tcPr>
          <w:p w14:paraId="58E3B326" w14:textId="77777777" w:rsidR="00D8365A" w:rsidRPr="00362517" w:rsidRDefault="00D8365A" w:rsidP="00BF6BC7">
            <w:pPr>
              <w:jc w:val="center"/>
            </w:pPr>
            <w:r w:rsidRPr="00362517">
              <w:t xml:space="preserve"> $          55.09 </w:t>
            </w:r>
          </w:p>
        </w:tc>
      </w:tr>
      <w:tr w:rsidR="00D8365A" w:rsidRPr="00362517" w14:paraId="5BE65F3D" w14:textId="77777777" w:rsidTr="007A2164">
        <w:trPr>
          <w:trHeight w:val="312"/>
        </w:trPr>
        <w:tc>
          <w:tcPr>
            <w:tcW w:w="1213" w:type="pct"/>
            <w:shd w:val="clear" w:color="auto" w:fill="auto"/>
            <w:noWrap/>
            <w:vAlign w:val="bottom"/>
            <w:hideMark/>
          </w:tcPr>
          <w:p w14:paraId="23A39EED" w14:textId="77777777" w:rsidR="00D8365A" w:rsidRPr="00362517" w:rsidRDefault="00D8365A" w:rsidP="00BF6BC7">
            <w:r w:rsidRPr="00362517">
              <w:t>Idaho</w:t>
            </w:r>
          </w:p>
        </w:tc>
        <w:tc>
          <w:tcPr>
            <w:tcW w:w="1002" w:type="pct"/>
            <w:vAlign w:val="bottom"/>
          </w:tcPr>
          <w:p w14:paraId="5714B94C" w14:textId="77777777" w:rsidR="00D8365A" w:rsidRPr="00362517" w:rsidRDefault="00D8365A" w:rsidP="00BF6BC7">
            <w:pPr>
              <w:jc w:val="center"/>
            </w:pPr>
            <w:r w:rsidRPr="00362517">
              <w:t>5</w:t>
            </w:r>
          </w:p>
        </w:tc>
        <w:tc>
          <w:tcPr>
            <w:tcW w:w="960" w:type="pct"/>
            <w:shd w:val="clear" w:color="auto" w:fill="auto"/>
            <w:noWrap/>
            <w:vAlign w:val="bottom"/>
            <w:hideMark/>
          </w:tcPr>
          <w:p w14:paraId="51157239" w14:textId="77777777" w:rsidR="00D8365A" w:rsidRPr="00362517" w:rsidRDefault="00D8365A" w:rsidP="00BF6BC7">
            <w:pPr>
              <w:jc w:val="center"/>
            </w:pPr>
            <w:r w:rsidRPr="00362517">
              <w:t>3,535</w:t>
            </w:r>
          </w:p>
        </w:tc>
        <w:tc>
          <w:tcPr>
            <w:tcW w:w="890" w:type="pct"/>
            <w:shd w:val="clear" w:color="auto" w:fill="auto"/>
            <w:noWrap/>
            <w:vAlign w:val="bottom"/>
            <w:hideMark/>
          </w:tcPr>
          <w:p w14:paraId="3ECBD7D6" w14:textId="77777777" w:rsidR="00D8365A" w:rsidRPr="00362517" w:rsidRDefault="00D8365A" w:rsidP="00BF6BC7">
            <w:pPr>
              <w:jc w:val="center"/>
            </w:pPr>
            <w:r w:rsidRPr="00362517">
              <w:t xml:space="preserve"> $          1.35 </w:t>
            </w:r>
          </w:p>
        </w:tc>
        <w:tc>
          <w:tcPr>
            <w:tcW w:w="935" w:type="pct"/>
            <w:shd w:val="clear" w:color="auto" w:fill="auto"/>
            <w:noWrap/>
            <w:vAlign w:val="bottom"/>
            <w:hideMark/>
          </w:tcPr>
          <w:p w14:paraId="2D24127F" w14:textId="77777777" w:rsidR="00D8365A" w:rsidRPr="00362517" w:rsidRDefault="00D8365A" w:rsidP="00BF6BC7">
            <w:pPr>
              <w:jc w:val="center"/>
            </w:pPr>
            <w:r w:rsidRPr="00362517">
              <w:t xml:space="preserve"> $          15.74 </w:t>
            </w:r>
          </w:p>
        </w:tc>
      </w:tr>
      <w:tr w:rsidR="00D8365A" w:rsidRPr="00362517" w14:paraId="72291966" w14:textId="77777777" w:rsidTr="007A2164">
        <w:trPr>
          <w:trHeight w:val="312"/>
        </w:trPr>
        <w:tc>
          <w:tcPr>
            <w:tcW w:w="1213" w:type="pct"/>
            <w:shd w:val="clear" w:color="auto" w:fill="auto"/>
            <w:noWrap/>
            <w:vAlign w:val="bottom"/>
            <w:hideMark/>
          </w:tcPr>
          <w:p w14:paraId="2FE07D7B" w14:textId="77777777" w:rsidR="00D8365A" w:rsidRPr="00362517" w:rsidRDefault="00D8365A" w:rsidP="00BF6BC7">
            <w:r w:rsidRPr="00362517">
              <w:t>Illinois</w:t>
            </w:r>
          </w:p>
        </w:tc>
        <w:tc>
          <w:tcPr>
            <w:tcW w:w="1002" w:type="pct"/>
            <w:vAlign w:val="bottom"/>
          </w:tcPr>
          <w:p w14:paraId="523A94C0" w14:textId="77777777" w:rsidR="00D8365A" w:rsidRPr="00362517" w:rsidRDefault="00D8365A" w:rsidP="00BF6BC7">
            <w:pPr>
              <w:jc w:val="center"/>
            </w:pPr>
            <w:r w:rsidRPr="00362517">
              <w:t>25</w:t>
            </w:r>
          </w:p>
        </w:tc>
        <w:tc>
          <w:tcPr>
            <w:tcW w:w="960" w:type="pct"/>
            <w:shd w:val="clear" w:color="auto" w:fill="auto"/>
            <w:noWrap/>
            <w:vAlign w:val="bottom"/>
            <w:hideMark/>
          </w:tcPr>
          <w:p w14:paraId="2C696504" w14:textId="77777777" w:rsidR="00D8365A" w:rsidRPr="00362517" w:rsidRDefault="00D8365A" w:rsidP="00BF6BC7">
            <w:pPr>
              <w:jc w:val="center"/>
            </w:pPr>
            <w:r w:rsidRPr="00362517">
              <w:t>16,842</w:t>
            </w:r>
          </w:p>
        </w:tc>
        <w:tc>
          <w:tcPr>
            <w:tcW w:w="890" w:type="pct"/>
            <w:shd w:val="clear" w:color="auto" w:fill="auto"/>
            <w:noWrap/>
            <w:vAlign w:val="bottom"/>
            <w:hideMark/>
          </w:tcPr>
          <w:p w14:paraId="62550711" w14:textId="77777777" w:rsidR="00D8365A" w:rsidRPr="00362517" w:rsidRDefault="00D8365A" w:rsidP="00BF6BC7">
            <w:pPr>
              <w:jc w:val="center"/>
            </w:pPr>
            <w:r w:rsidRPr="00362517">
              <w:t xml:space="preserve"> $          1.48 </w:t>
            </w:r>
          </w:p>
        </w:tc>
        <w:tc>
          <w:tcPr>
            <w:tcW w:w="935" w:type="pct"/>
            <w:shd w:val="clear" w:color="auto" w:fill="auto"/>
            <w:noWrap/>
            <w:vAlign w:val="bottom"/>
            <w:hideMark/>
          </w:tcPr>
          <w:p w14:paraId="72FD155A" w14:textId="77777777" w:rsidR="00D8365A" w:rsidRPr="00362517" w:rsidRDefault="00D8365A" w:rsidP="00BF6BC7">
            <w:pPr>
              <w:jc w:val="center"/>
            </w:pPr>
            <w:r w:rsidRPr="00362517">
              <w:t xml:space="preserve"> $            4.43 </w:t>
            </w:r>
          </w:p>
        </w:tc>
      </w:tr>
      <w:tr w:rsidR="00D8365A" w:rsidRPr="00362517" w14:paraId="00C9E4B9" w14:textId="77777777" w:rsidTr="007A2164">
        <w:trPr>
          <w:trHeight w:val="312"/>
        </w:trPr>
        <w:tc>
          <w:tcPr>
            <w:tcW w:w="1213" w:type="pct"/>
            <w:shd w:val="clear" w:color="auto" w:fill="auto"/>
            <w:noWrap/>
            <w:vAlign w:val="bottom"/>
            <w:hideMark/>
          </w:tcPr>
          <w:p w14:paraId="2DC05A10" w14:textId="77777777" w:rsidR="00D8365A" w:rsidRPr="00362517" w:rsidRDefault="00D8365A" w:rsidP="00BF6BC7">
            <w:r w:rsidRPr="00362517">
              <w:t>Indiana</w:t>
            </w:r>
          </w:p>
        </w:tc>
        <w:tc>
          <w:tcPr>
            <w:tcW w:w="1002" w:type="pct"/>
            <w:vAlign w:val="bottom"/>
          </w:tcPr>
          <w:p w14:paraId="474BE2F7" w14:textId="77777777" w:rsidR="00D8365A" w:rsidRPr="00362517" w:rsidRDefault="00D8365A" w:rsidP="00BF6BC7">
            <w:pPr>
              <w:jc w:val="center"/>
            </w:pPr>
            <w:r w:rsidRPr="00362517">
              <w:t>18</w:t>
            </w:r>
          </w:p>
        </w:tc>
        <w:tc>
          <w:tcPr>
            <w:tcW w:w="960" w:type="pct"/>
            <w:shd w:val="clear" w:color="auto" w:fill="auto"/>
            <w:noWrap/>
            <w:vAlign w:val="bottom"/>
            <w:hideMark/>
          </w:tcPr>
          <w:p w14:paraId="454EFEB0" w14:textId="77777777" w:rsidR="00D8365A" w:rsidRPr="00362517" w:rsidRDefault="00D8365A" w:rsidP="00BF6BC7">
            <w:pPr>
              <w:jc w:val="center"/>
            </w:pPr>
            <w:r w:rsidRPr="00362517">
              <w:t>12,713</w:t>
            </w:r>
          </w:p>
        </w:tc>
        <w:tc>
          <w:tcPr>
            <w:tcW w:w="890" w:type="pct"/>
            <w:shd w:val="clear" w:color="auto" w:fill="auto"/>
            <w:noWrap/>
            <w:vAlign w:val="bottom"/>
            <w:hideMark/>
          </w:tcPr>
          <w:p w14:paraId="028D816E" w14:textId="77777777" w:rsidR="00D8365A" w:rsidRPr="00362517" w:rsidRDefault="00D8365A" w:rsidP="00BF6BC7">
            <w:pPr>
              <w:jc w:val="center"/>
            </w:pPr>
            <w:r w:rsidRPr="00362517">
              <w:t xml:space="preserve"> $          1.40 </w:t>
            </w:r>
          </w:p>
        </w:tc>
        <w:tc>
          <w:tcPr>
            <w:tcW w:w="935" w:type="pct"/>
            <w:shd w:val="clear" w:color="auto" w:fill="auto"/>
            <w:noWrap/>
            <w:vAlign w:val="bottom"/>
            <w:hideMark/>
          </w:tcPr>
          <w:p w14:paraId="09AB0420" w14:textId="77777777" w:rsidR="00D8365A" w:rsidRPr="00362517" w:rsidRDefault="00D8365A" w:rsidP="00BF6BC7">
            <w:pPr>
              <w:jc w:val="center"/>
            </w:pPr>
            <w:r w:rsidRPr="00362517">
              <w:t xml:space="preserve"> $            5.92 </w:t>
            </w:r>
          </w:p>
        </w:tc>
      </w:tr>
      <w:tr w:rsidR="00D8365A" w:rsidRPr="00362517" w14:paraId="7CA374D4" w14:textId="77777777" w:rsidTr="007A2164">
        <w:trPr>
          <w:trHeight w:val="312"/>
        </w:trPr>
        <w:tc>
          <w:tcPr>
            <w:tcW w:w="1213" w:type="pct"/>
            <w:shd w:val="clear" w:color="auto" w:fill="auto"/>
            <w:noWrap/>
            <w:vAlign w:val="bottom"/>
            <w:hideMark/>
          </w:tcPr>
          <w:p w14:paraId="5C582DF1" w14:textId="77777777" w:rsidR="00D8365A" w:rsidRPr="00362517" w:rsidRDefault="00D8365A" w:rsidP="00BF6BC7">
            <w:r w:rsidRPr="00362517">
              <w:t>Iowa</w:t>
            </w:r>
          </w:p>
        </w:tc>
        <w:tc>
          <w:tcPr>
            <w:tcW w:w="1002" w:type="pct"/>
            <w:vAlign w:val="bottom"/>
          </w:tcPr>
          <w:p w14:paraId="3DE74F98" w14:textId="77777777" w:rsidR="00D8365A" w:rsidRPr="00362517" w:rsidRDefault="00D8365A" w:rsidP="00BF6BC7">
            <w:pPr>
              <w:jc w:val="center"/>
            </w:pPr>
            <w:r w:rsidRPr="00362517">
              <w:t>16</w:t>
            </w:r>
          </w:p>
        </w:tc>
        <w:tc>
          <w:tcPr>
            <w:tcW w:w="960" w:type="pct"/>
            <w:shd w:val="clear" w:color="auto" w:fill="auto"/>
            <w:noWrap/>
            <w:vAlign w:val="bottom"/>
            <w:hideMark/>
          </w:tcPr>
          <w:p w14:paraId="6DE55ED8" w14:textId="77777777" w:rsidR="00D8365A" w:rsidRPr="00362517" w:rsidRDefault="00D8365A" w:rsidP="00BF6BC7">
            <w:pPr>
              <w:jc w:val="center"/>
            </w:pPr>
            <w:r w:rsidRPr="00362517">
              <w:t>22,514</w:t>
            </w:r>
          </w:p>
        </w:tc>
        <w:tc>
          <w:tcPr>
            <w:tcW w:w="890" w:type="pct"/>
            <w:shd w:val="clear" w:color="auto" w:fill="auto"/>
            <w:noWrap/>
            <w:vAlign w:val="bottom"/>
            <w:hideMark/>
          </w:tcPr>
          <w:p w14:paraId="13748280" w14:textId="77777777" w:rsidR="00D8365A" w:rsidRPr="00362517" w:rsidRDefault="00D8365A" w:rsidP="00BF6BC7">
            <w:pPr>
              <w:jc w:val="center"/>
            </w:pPr>
            <w:r w:rsidRPr="00362517">
              <w:t xml:space="preserve"> $          0.70 </w:t>
            </w:r>
          </w:p>
        </w:tc>
        <w:tc>
          <w:tcPr>
            <w:tcW w:w="935" w:type="pct"/>
            <w:shd w:val="clear" w:color="auto" w:fill="auto"/>
            <w:noWrap/>
            <w:vAlign w:val="bottom"/>
            <w:hideMark/>
          </w:tcPr>
          <w:p w14:paraId="77BF300E" w14:textId="77777777" w:rsidR="00D8365A" w:rsidRPr="00362517" w:rsidRDefault="00D8365A" w:rsidP="00BF6BC7">
            <w:pPr>
              <w:jc w:val="center"/>
            </w:pPr>
            <w:r w:rsidRPr="00362517">
              <w:t xml:space="preserve"> $            3.90 </w:t>
            </w:r>
          </w:p>
        </w:tc>
      </w:tr>
      <w:tr w:rsidR="00D8365A" w:rsidRPr="00362517" w14:paraId="59160EF3" w14:textId="77777777" w:rsidTr="007A2164">
        <w:trPr>
          <w:trHeight w:val="312"/>
        </w:trPr>
        <w:tc>
          <w:tcPr>
            <w:tcW w:w="1213" w:type="pct"/>
            <w:shd w:val="clear" w:color="auto" w:fill="auto"/>
            <w:noWrap/>
            <w:vAlign w:val="bottom"/>
            <w:hideMark/>
          </w:tcPr>
          <w:p w14:paraId="25C5F103" w14:textId="77777777" w:rsidR="00D8365A" w:rsidRPr="00362517" w:rsidRDefault="00D8365A" w:rsidP="00BF6BC7">
            <w:r w:rsidRPr="00362517">
              <w:t>Kansas</w:t>
            </w:r>
          </w:p>
        </w:tc>
        <w:tc>
          <w:tcPr>
            <w:tcW w:w="1002" w:type="pct"/>
            <w:vAlign w:val="bottom"/>
          </w:tcPr>
          <w:p w14:paraId="35BBCDA4" w14:textId="77777777" w:rsidR="00D8365A" w:rsidRPr="00362517" w:rsidRDefault="00D8365A" w:rsidP="00BF6BC7">
            <w:pPr>
              <w:jc w:val="center"/>
            </w:pPr>
            <w:r w:rsidRPr="00362517">
              <w:t>25</w:t>
            </w:r>
          </w:p>
        </w:tc>
        <w:tc>
          <w:tcPr>
            <w:tcW w:w="960" w:type="pct"/>
            <w:shd w:val="clear" w:color="auto" w:fill="auto"/>
            <w:noWrap/>
            <w:vAlign w:val="bottom"/>
            <w:hideMark/>
          </w:tcPr>
          <w:p w14:paraId="00CCE659" w14:textId="77777777" w:rsidR="00D8365A" w:rsidRPr="00362517" w:rsidRDefault="00D8365A" w:rsidP="00BF6BC7">
            <w:pPr>
              <w:jc w:val="center"/>
            </w:pPr>
            <w:r w:rsidRPr="00362517">
              <w:t>14,773</w:t>
            </w:r>
          </w:p>
        </w:tc>
        <w:tc>
          <w:tcPr>
            <w:tcW w:w="890" w:type="pct"/>
            <w:shd w:val="clear" w:color="auto" w:fill="auto"/>
            <w:noWrap/>
            <w:vAlign w:val="bottom"/>
            <w:hideMark/>
          </w:tcPr>
          <w:p w14:paraId="4FAD88AC" w14:textId="77777777" w:rsidR="00D8365A" w:rsidRPr="00362517" w:rsidRDefault="00D8365A" w:rsidP="00BF6BC7">
            <w:pPr>
              <w:jc w:val="center"/>
            </w:pPr>
            <w:r w:rsidRPr="00362517">
              <w:t xml:space="preserve"> $          1.67 </w:t>
            </w:r>
          </w:p>
        </w:tc>
        <w:tc>
          <w:tcPr>
            <w:tcW w:w="935" w:type="pct"/>
            <w:shd w:val="clear" w:color="auto" w:fill="auto"/>
            <w:noWrap/>
            <w:vAlign w:val="bottom"/>
            <w:hideMark/>
          </w:tcPr>
          <w:p w14:paraId="4F610BFF" w14:textId="77777777" w:rsidR="00D8365A" w:rsidRPr="00362517" w:rsidRDefault="00D8365A" w:rsidP="00BF6BC7">
            <w:pPr>
              <w:jc w:val="center"/>
            </w:pPr>
            <w:r w:rsidRPr="00362517">
              <w:t xml:space="preserve"> $            9.72 </w:t>
            </w:r>
          </w:p>
        </w:tc>
      </w:tr>
      <w:tr w:rsidR="00D8365A" w:rsidRPr="00362517" w14:paraId="1EA4D3F9" w14:textId="77777777" w:rsidTr="007A2164">
        <w:trPr>
          <w:trHeight w:val="312"/>
        </w:trPr>
        <w:tc>
          <w:tcPr>
            <w:tcW w:w="1213" w:type="pct"/>
            <w:shd w:val="clear" w:color="auto" w:fill="auto"/>
            <w:noWrap/>
            <w:vAlign w:val="bottom"/>
            <w:hideMark/>
          </w:tcPr>
          <w:p w14:paraId="3E486DE6" w14:textId="77777777" w:rsidR="00D8365A" w:rsidRPr="00362517" w:rsidRDefault="00D8365A" w:rsidP="00BF6BC7">
            <w:r w:rsidRPr="00362517">
              <w:t>Kentucky</w:t>
            </w:r>
          </w:p>
        </w:tc>
        <w:tc>
          <w:tcPr>
            <w:tcW w:w="1002" w:type="pct"/>
            <w:vAlign w:val="bottom"/>
          </w:tcPr>
          <w:p w14:paraId="7BACE06D" w14:textId="77777777" w:rsidR="00D8365A" w:rsidRPr="00362517" w:rsidRDefault="00D8365A" w:rsidP="00BF6BC7">
            <w:pPr>
              <w:jc w:val="center"/>
            </w:pPr>
            <w:r w:rsidRPr="00362517">
              <w:t>1,340</w:t>
            </w:r>
          </w:p>
        </w:tc>
        <w:tc>
          <w:tcPr>
            <w:tcW w:w="960" w:type="pct"/>
            <w:shd w:val="clear" w:color="auto" w:fill="auto"/>
            <w:noWrap/>
            <w:vAlign w:val="bottom"/>
            <w:hideMark/>
          </w:tcPr>
          <w:p w14:paraId="322AA791" w14:textId="77777777" w:rsidR="00D8365A" w:rsidRPr="00362517" w:rsidRDefault="00D8365A" w:rsidP="00BF6BC7">
            <w:pPr>
              <w:jc w:val="center"/>
            </w:pPr>
            <w:r w:rsidRPr="00362517">
              <w:t>13,221</w:t>
            </w:r>
          </w:p>
        </w:tc>
        <w:tc>
          <w:tcPr>
            <w:tcW w:w="890" w:type="pct"/>
            <w:shd w:val="clear" w:color="auto" w:fill="auto"/>
            <w:noWrap/>
            <w:vAlign w:val="bottom"/>
            <w:hideMark/>
          </w:tcPr>
          <w:p w14:paraId="296B23CB" w14:textId="77777777" w:rsidR="00D8365A" w:rsidRPr="00362517" w:rsidRDefault="00D8365A" w:rsidP="00BF6BC7">
            <w:pPr>
              <w:jc w:val="center"/>
            </w:pPr>
            <w:r w:rsidRPr="00362517">
              <w:t xml:space="preserve"> $      101.34 </w:t>
            </w:r>
          </w:p>
        </w:tc>
        <w:tc>
          <w:tcPr>
            <w:tcW w:w="935" w:type="pct"/>
            <w:shd w:val="clear" w:color="auto" w:fill="auto"/>
            <w:noWrap/>
            <w:vAlign w:val="bottom"/>
            <w:hideMark/>
          </w:tcPr>
          <w:p w14:paraId="0E48EC7B" w14:textId="77777777" w:rsidR="00D8365A" w:rsidRPr="00362517" w:rsidRDefault="00D8365A" w:rsidP="00BF6BC7">
            <w:pPr>
              <w:jc w:val="center"/>
            </w:pPr>
            <w:r w:rsidRPr="00362517">
              <w:t xml:space="preserve"> $             107 </w:t>
            </w:r>
          </w:p>
        </w:tc>
      </w:tr>
      <w:tr w:rsidR="00D8365A" w:rsidRPr="00362517" w14:paraId="52B4F53E" w14:textId="77777777" w:rsidTr="007A2164">
        <w:trPr>
          <w:trHeight w:val="312"/>
        </w:trPr>
        <w:tc>
          <w:tcPr>
            <w:tcW w:w="1213" w:type="pct"/>
            <w:shd w:val="clear" w:color="auto" w:fill="auto"/>
            <w:noWrap/>
            <w:vAlign w:val="bottom"/>
            <w:hideMark/>
          </w:tcPr>
          <w:p w14:paraId="3464AE28" w14:textId="77777777" w:rsidR="00D8365A" w:rsidRPr="00362517" w:rsidRDefault="00D8365A" w:rsidP="00BF6BC7">
            <w:r w:rsidRPr="00362517">
              <w:t>Louisiana</w:t>
            </w:r>
          </w:p>
        </w:tc>
        <w:tc>
          <w:tcPr>
            <w:tcW w:w="1002" w:type="pct"/>
            <w:vAlign w:val="bottom"/>
          </w:tcPr>
          <w:p w14:paraId="1579FEF0" w14:textId="77777777" w:rsidR="00D8365A" w:rsidRPr="00362517" w:rsidRDefault="00D8365A" w:rsidP="00BF6BC7">
            <w:pPr>
              <w:jc w:val="center"/>
            </w:pPr>
            <w:r w:rsidRPr="00362517">
              <w:t>179</w:t>
            </w:r>
          </w:p>
        </w:tc>
        <w:tc>
          <w:tcPr>
            <w:tcW w:w="960" w:type="pct"/>
            <w:shd w:val="clear" w:color="auto" w:fill="auto"/>
            <w:noWrap/>
            <w:vAlign w:val="bottom"/>
            <w:hideMark/>
          </w:tcPr>
          <w:p w14:paraId="0435FED4" w14:textId="77777777" w:rsidR="00D8365A" w:rsidRPr="00362517" w:rsidRDefault="00D8365A" w:rsidP="00BF6BC7">
            <w:pPr>
              <w:jc w:val="center"/>
            </w:pPr>
            <w:r w:rsidRPr="00362517">
              <w:t>7,606</w:t>
            </w:r>
          </w:p>
        </w:tc>
        <w:tc>
          <w:tcPr>
            <w:tcW w:w="890" w:type="pct"/>
            <w:shd w:val="clear" w:color="auto" w:fill="auto"/>
            <w:noWrap/>
            <w:vAlign w:val="bottom"/>
            <w:hideMark/>
          </w:tcPr>
          <w:p w14:paraId="267DC2FD" w14:textId="77777777" w:rsidR="00D8365A" w:rsidRPr="00362517" w:rsidRDefault="00D8365A" w:rsidP="00BF6BC7">
            <w:pPr>
              <w:jc w:val="center"/>
            </w:pPr>
            <w:r w:rsidRPr="00362517">
              <w:t xml:space="preserve"> $        23.55 </w:t>
            </w:r>
          </w:p>
        </w:tc>
        <w:tc>
          <w:tcPr>
            <w:tcW w:w="935" w:type="pct"/>
            <w:shd w:val="clear" w:color="auto" w:fill="auto"/>
            <w:noWrap/>
            <w:vAlign w:val="bottom"/>
            <w:hideMark/>
          </w:tcPr>
          <w:p w14:paraId="41AE31B0" w14:textId="77777777" w:rsidR="00D8365A" w:rsidRPr="00362517" w:rsidRDefault="00D8365A" w:rsidP="00BF6BC7">
            <w:pPr>
              <w:jc w:val="center"/>
            </w:pPr>
            <w:r w:rsidRPr="00362517">
              <w:t xml:space="preserve"> $          35.43 </w:t>
            </w:r>
          </w:p>
        </w:tc>
      </w:tr>
      <w:tr w:rsidR="00D8365A" w:rsidRPr="00362517" w14:paraId="2BDEB9F9" w14:textId="77777777" w:rsidTr="007A2164">
        <w:trPr>
          <w:trHeight w:val="312"/>
        </w:trPr>
        <w:tc>
          <w:tcPr>
            <w:tcW w:w="1213" w:type="pct"/>
            <w:shd w:val="clear" w:color="auto" w:fill="auto"/>
            <w:noWrap/>
            <w:vAlign w:val="bottom"/>
            <w:hideMark/>
          </w:tcPr>
          <w:p w14:paraId="0331303B" w14:textId="77777777" w:rsidR="00D8365A" w:rsidRPr="00362517" w:rsidRDefault="00D8365A" w:rsidP="00BF6BC7">
            <w:r w:rsidRPr="00362517">
              <w:t>Maine</w:t>
            </w:r>
          </w:p>
        </w:tc>
        <w:tc>
          <w:tcPr>
            <w:tcW w:w="1002" w:type="pct"/>
            <w:vAlign w:val="bottom"/>
          </w:tcPr>
          <w:p w14:paraId="1113FFB5" w14:textId="77777777" w:rsidR="00D8365A" w:rsidRPr="00362517" w:rsidRDefault="00D8365A" w:rsidP="00BF6BC7">
            <w:pPr>
              <w:jc w:val="center"/>
            </w:pPr>
            <w:r w:rsidRPr="00362517">
              <w:t>4</w:t>
            </w:r>
          </w:p>
        </w:tc>
        <w:tc>
          <w:tcPr>
            <w:tcW w:w="960" w:type="pct"/>
            <w:shd w:val="clear" w:color="auto" w:fill="auto"/>
            <w:noWrap/>
            <w:vAlign w:val="bottom"/>
            <w:hideMark/>
          </w:tcPr>
          <w:p w14:paraId="4745860B" w14:textId="77777777" w:rsidR="00D8365A" w:rsidRPr="00362517" w:rsidRDefault="00D8365A" w:rsidP="00BF6BC7">
            <w:pPr>
              <w:jc w:val="center"/>
            </w:pPr>
            <w:r w:rsidRPr="00362517">
              <w:t>1,163</w:t>
            </w:r>
          </w:p>
        </w:tc>
        <w:tc>
          <w:tcPr>
            <w:tcW w:w="890" w:type="pct"/>
            <w:shd w:val="clear" w:color="auto" w:fill="auto"/>
            <w:noWrap/>
            <w:vAlign w:val="bottom"/>
            <w:hideMark/>
          </w:tcPr>
          <w:p w14:paraId="513422D2" w14:textId="77777777" w:rsidR="00D8365A" w:rsidRPr="00362517" w:rsidRDefault="00D8365A" w:rsidP="00BF6BC7">
            <w:pPr>
              <w:jc w:val="center"/>
            </w:pPr>
            <w:r w:rsidRPr="00362517">
              <w:t xml:space="preserve"> $          3.53 </w:t>
            </w:r>
          </w:p>
        </w:tc>
        <w:tc>
          <w:tcPr>
            <w:tcW w:w="935" w:type="pct"/>
            <w:shd w:val="clear" w:color="auto" w:fill="auto"/>
            <w:noWrap/>
            <w:vAlign w:val="bottom"/>
            <w:hideMark/>
          </w:tcPr>
          <w:p w14:paraId="5828AF6C" w14:textId="77777777" w:rsidR="00D8365A" w:rsidRPr="00362517" w:rsidRDefault="00D8365A" w:rsidP="00BF6BC7">
            <w:pPr>
              <w:jc w:val="center"/>
            </w:pPr>
            <w:r w:rsidRPr="00362517">
              <w:t xml:space="preserve"> $          31.99 </w:t>
            </w:r>
          </w:p>
        </w:tc>
      </w:tr>
      <w:tr w:rsidR="00D8365A" w:rsidRPr="00362517" w14:paraId="629633BA" w14:textId="77777777" w:rsidTr="007A2164">
        <w:trPr>
          <w:trHeight w:val="312"/>
        </w:trPr>
        <w:tc>
          <w:tcPr>
            <w:tcW w:w="1213" w:type="pct"/>
            <w:shd w:val="clear" w:color="auto" w:fill="auto"/>
            <w:noWrap/>
            <w:vAlign w:val="bottom"/>
            <w:hideMark/>
          </w:tcPr>
          <w:p w14:paraId="1A9142FA" w14:textId="77777777" w:rsidR="00D8365A" w:rsidRPr="00362517" w:rsidRDefault="00D8365A" w:rsidP="00BF6BC7">
            <w:r w:rsidRPr="00362517">
              <w:t>Maryland</w:t>
            </w:r>
          </w:p>
        </w:tc>
        <w:tc>
          <w:tcPr>
            <w:tcW w:w="1002" w:type="pct"/>
            <w:vAlign w:val="bottom"/>
          </w:tcPr>
          <w:p w14:paraId="51C3292A" w14:textId="77777777" w:rsidR="00D8365A" w:rsidRPr="00362517" w:rsidRDefault="00D8365A" w:rsidP="00BF6BC7">
            <w:pPr>
              <w:jc w:val="center"/>
            </w:pPr>
            <w:r w:rsidRPr="00362517">
              <w:t>64</w:t>
            </w:r>
          </w:p>
        </w:tc>
        <w:tc>
          <w:tcPr>
            <w:tcW w:w="960" w:type="pct"/>
            <w:shd w:val="clear" w:color="auto" w:fill="auto"/>
            <w:noWrap/>
            <w:vAlign w:val="bottom"/>
            <w:hideMark/>
          </w:tcPr>
          <w:p w14:paraId="470F20E0" w14:textId="77777777" w:rsidR="00D8365A" w:rsidRPr="00362517" w:rsidRDefault="00D8365A" w:rsidP="00BF6BC7">
            <w:pPr>
              <w:jc w:val="center"/>
            </w:pPr>
            <w:r w:rsidRPr="00362517">
              <w:t>3,290</w:t>
            </w:r>
          </w:p>
        </w:tc>
        <w:tc>
          <w:tcPr>
            <w:tcW w:w="890" w:type="pct"/>
            <w:shd w:val="clear" w:color="auto" w:fill="auto"/>
            <w:noWrap/>
            <w:vAlign w:val="bottom"/>
            <w:hideMark/>
          </w:tcPr>
          <w:p w14:paraId="2A6D0B71" w14:textId="77777777" w:rsidR="00D8365A" w:rsidRPr="00362517" w:rsidRDefault="00D8365A" w:rsidP="00BF6BC7">
            <w:pPr>
              <w:jc w:val="center"/>
            </w:pPr>
            <w:r w:rsidRPr="00362517">
              <w:t xml:space="preserve"> $        19.32 </w:t>
            </w:r>
          </w:p>
        </w:tc>
        <w:tc>
          <w:tcPr>
            <w:tcW w:w="935" w:type="pct"/>
            <w:shd w:val="clear" w:color="auto" w:fill="auto"/>
            <w:noWrap/>
            <w:vAlign w:val="bottom"/>
            <w:hideMark/>
          </w:tcPr>
          <w:p w14:paraId="345CAE44" w14:textId="77777777" w:rsidR="00D8365A" w:rsidRPr="00362517" w:rsidRDefault="00D8365A" w:rsidP="00BF6BC7">
            <w:pPr>
              <w:jc w:val="center"/>
            </w:pPr>
            <w:r w:rsidRPr="00362517">
              <w:t xml:space="preserve"> $          37.32 </w:t>
            </w:r>
          </w:p>
        </w:tc>
      </w:tr>
      <w:tr w:rsidR="00D8365A" w:rsidRPr="00362517" w14:paraId="764AEB68" w14:textId="77777777" w:rsidTr="007A2164">
        <w:trPr>
          <w:trHeight w:val="312"/>
        </w:trPr>
        <w:tc>
          <w:tcPr>
            <w:tcW w:w="1213" w:type="pct"/>
            <w:shd w:val="clear" w:color="auto" w:fill="auto"/>
            <w:noWrap/>
            <w:vAlign w:val="bottom"/>
            <w:hideMark/>
          </w:tcPr>
          <w:p w14:paraId="374B5C49" w14:textId="77777777" w:rsidR="00D8365A" w:rsidRPr="00362517" w:rsidRDefault="00D8365A" w:rsidP="00BF6BC7">
            <w:r w:rsidRPr="00362517">
              <w:t>Massachusetts</w:t>
            </w:r>
          </w:p>
        </w:tc>
        <w:tc>
          <w:tcPr>
            <w:tcW w:w="1002" w:type="pct"/>
            <w:vAlign w:val="bottom"/>
          </w:tcPr>
          <w:p w14:paraId="61201DB5" w14:textId="77777777" w:rsidR="00D8365A" w:rsidRPr="00362517" w:rsidRDefault="00D8365A" w:rsidP="00BF6BC7">
            <w:pPr>
              <w:jc w:val="center"/>
            </w:pPr>
            <w:r w:rsidRPr="00362517">
              <w:t>1</w:t>
            </w:r>
          </w:p>
        </w:tc>
        <w:tc>
          <w:tcPr>
            <w:tcW w:w="960" w:type="pct"/>
            <w:shd w:val="clear" w:color="auto" w:fill="auto"/>
            <w:noWrap/>
            <w:vAlign w:val="bottom"/>
            <w:hideMark/>
          </w:tcPr>
          <w:p w14:paraId="282083A5" w14:textId="77777777" w:rsidR="00D8365A" w:rsidRPr="00362517" w:rsidRDefault="00D8365A" w:rsidP="00BF6BC7">
            <w:pPr>
              <w:jc w:val="center"/>
            </w:pPr>
            <w:r w:rsidRPr="00362517">
              <w:t>1,104</w:t>
            </w:r>
          </w:p>
        </w:tc>
        <w:tc>
          <w:tcPr>
            <w:tcW w:w="890" w:type="pct"/>
            <w:shd w:val="clear" w:color="auto" w:fill="auto"/>
            <w:noWrap/>
            <w:vAlign w:val="bottom"/>
            <w:hideMark/>
          </w:tcPr>
          <w:p w14:paraId="02671116" w14:textId="77777777" w:rsidR="00D8365A" w:rsidRPr="00362517" w:rsidRDefault="00D8365A" w:rsidP="00BF6BC7">
            <w:pPr>
              <w:jc w:val="center"/>
            </w:pPr>
            <w:r w:rsidRPr="00362517">
              <w:t xml:space="preserve"> $          0.74 </w:t>
            </w:r>
          </w:p>
        </w:tc>
        <w:tc>
          <w:tcPr>
            <w:tcW w:w="935" w:type="pct"/>
            <w:shd w:val="clear" w:color="auto" w:fill="auto"/>
            <w:noWrap/>
            <w:vAlign w:val="bottom"/>
            <w:hideMark/>
          </w:tcPr>
          <w:p w14:paraId="470718B0" w14:textId="77777777" w:rsidR="00D8365A" w:rsidRPr="00362517" w:rsidRDefault="00D8365A" w:rsidP="00BF6BC7">
            <w:pPr>
              <w:jc w:val="center"/>
            </w:pPr>
            <w:r w:rsidRPr="00362517">
              <w:t xml:space="preserve"> $          23.38 </w:t>
            </w:r>
          </w:p>
        </w:tc>
      </w:tr>
      <w:tr w:rsidR="00D8365A" w:rsidRPr="00362517" w14:paraId="42BAA3B3" w14:textId="77777777" w:rsidTr="007A2164">
        <w:trPr>
          <w:trHeight w:val="312"/>
        </w:trPr>
        <w:tc>
          <w:tcPr>
            <w:tcW w:w="1213" w:type="pct"/>
            <w:shd w:val="clear" w:color="auto" w:fill="auto"/>
            <w:noWrap/>
            <w:vAlign w:val="bottom"/>
            <w:hideMark/>
          </w:tcPr>
          <w:p w14:paraId="3335F2F6" w14:textId="77777777" w:rsidR="00D8365A" w:rsidRPr="00362517" w:rsidRDefault="00D8365A" w:rsidP="00BF6BC7">
            <w:r w:rsidRPr="00362517">
              <w:t>Michigan</w:t>
            </w:r>
          </w:p>
        </w:tc>
        <w:tc>
          <w:tcPr>
            <w:tcW w:w="1002" w:type="pct"/>
            <w:vAlign w:val="bottom"/>
          </w:tcPr>
          <w:p w14:paraId="37B69CB6" w14:textId="77777777" w:rsidR="00D8365A" w:rsidRPr="00362517" w:rsidRDefault="00D8365A" w:rsidP="00BF6BC7">
            <w:pPr>
              <w:jc w:val="center"/>
            </w:pPr>
            <w:r w:rsidRPr="00362517">
              <w:t>10</w:t>
            </w:r>
          </w:p>
        </w:tc>
        <w:tc>
          <w:tcPr>
            <w:tcW w:w="960" w:type="pct"/>
            <w:shd w:val="clear" w:color="auto" w:fill="auto"/>
            <w:noWrap/>
            <w:vAlign w:val="bottom"/>
            <w:hideMark/>
          </w:tcPr>
          <w:p w14:paraId="73A6C7AF" w14:textId="77777777" w:rsidR="00D8365A" w:rsidRPr="00362517" w:rsidRDefault="00D8365A" w:rsidP="00BF6BC7">
            <w:pPr>
              <w:jc w:val="center"/>
            </w:pPr>
            <w:r w:rsidRPr="00362517">
              <w:t>7,499</w:t>
            </w:r>
          </w:p>
        </w:tc>
        <w:tc>
          <w:tcPr>
            <w:tcW w:w="890" w:type="pct"/>
            <w:shd w:val="clear" w:color="auto" w:fill="auto"/>
            <w:noWrap/>
            <w:vAlign w:val="bottom"/>
            <w:hideMark/>
          </w:tcPr>
          <w:p w14:paraId="60476F0C" w14:textId="77777777" w:rsidR="00D8365A" w:rsidRPr="00362517" w:rsidRDefault="00D8365A" w:rsidP="00BF6BC7">
            <w:pPr>
              <w:jc w:val="center"/>
            </w:pPr>
            <w:r w:rsidRPr="00362517">
              <w:t xml:space="preserve"> $          1.30 </w:t>
            </w:r>
          </w:p>
        </w:tc>
        <w:tc>
          <w:tcPr>
            <w:tcW w:w="935" w:type="pct"/>
            <w:shd w:val="clear" w:color="auto" w:fill="auto"/>
            <w:noWrap/>
            <w:vAlign w:val="bottom"/>
            <w:hideMark/>
          </w:tcPr>
          <w:p w14:paraId="2F7BFD8C" w14:textId="77777777" w:rsidR="00D8365A" w:rsidRPr="00362517" w:rsidRDefault="00D8365A" w:rsidP="00BF6BC7">
            <w:pPr>
              <w:jc w:val="center"/>
            </w:pPr>
            <w:r w:rsidRPr="00362517">
              <w:t xml:space="preserve"> $            6.49 </w:t>
            </w:r>
          </w:p>
        </w:tc>
      </w:tr>
      <w:tr w:rsidR="00D8365A" w:rsidRPr="00362517" w14:paraId="470F8921" w14:textId="77777777" w:rsidTr="007A2164">
        <w:trPr>
          <w:trHeight w:val="312"/>
        </w:trPr>
        <w:tc>
          <w:tcPr>
            <w:tcW w:w="1213" w:type="pct"/>
            <w:shd w:val="clear" w:color="auto" w:fill="auto"/>
            <w:noWrap/>
            <w:vAlign w:val="bottom"/>
            <w:hideMark/>
          </w:tcPr>
          <w:p w14:paraId="0D26DA94" w14:textId="77777777" w:rsidR="00D8365A" w:rsidRPr="00362517" w:rsidRDefault="00D8365A" w:rsidP="00BF6BC7">
            <w:r w:rsidRPr="00362517">
              <w:t>Minnesota</w:t>
            </w:r>
          </w:p>
        </w:tc>
        <w:tc>
          <w:tcPr>
            <w:tcW w:w="1002" w:type="pct"/>
            <w:vAlign w:val="bottom"/>
          </w:tcPr>
          <w:p w14:paraId="269C1D5C" w14:textId="77777777" w:rsidR="00D8365A" w:rsidRPr="00362517" w:rsidRDefault="00D8365A" w:rsidP="00BF6BC7">
            <w:pPr>
              <w:jc w:val="center"/>
            </w:pPr>
            <w:r w:rsidRPr="00362517">
              <w:t>11</w:t>
            </w:r>
          </w:p>
        </w:tc>
        <w:tc>
          <w:tcPr>
            <w:tcW w:w="960" w:type="pct"/>
            <w:shd w:val="clear" w:color="auto" w:fill="auto"/>
            <w:noWrap/>
            <w:vAlign w:val="bottom"/>
            <w:hideMark/>
          </w:tcPr>
          <w:p w14:paraId="4E1F11BC" w14:textId="77777777" w:rsidR="00D8365A" w:rsidRPr="00362517" w:rsidRDefault="00D8365A" w:rsidP="00BF6BC7">
            <w:pPr>
              <w:jc w:val="center"/>
            </w:pPr>
            <w:r w:rsidRPr="00362517">
              <w:t>17,225</w:t>
            </w:r>
          </w:p>
        </w:tc>
        <w:tc>
          <w:tcPr>
            <w:tcW w:w="890" w:type="pct"/>
            <w:shd w:val="clear" w:color="auto" w:fill="auto"/>
            <w:noWrap/>
            <w:vAlign w:val="bottom"/>
            <w:hideMark/>
          </w:tcPr>
          <w:p w14:paraId="18F845CC" w14:textId="77777777" w:rsidR="00D8365A" w:rsidRPr="00362517" w:rsidRDefault="00D8365A" w:rsidP="00BF6BC7">
            <w:pPr>
              <w:jc w:val="center"/>
            </w:pPr>
            <w:r w:rsidRPr="00362517">
              <w:t xml:space="preserve"> $          0.63 </w:t>
            </w:r>
          </w:p>
        </w:tc>
        <w:tc>
          <w:tcPr>
            <w:tcW w:w="935" w:type="pct"/>
            <w:shd w:val="clear" w:color="auto" w:fill="auto"/>
            <w:noWrap/>
            <w:vAlign w:val="bottom"/>
            <w:hideMark/>
          </w:tcPr>
          <w:p w14:paraId="079A5730" w14:textId="77777777" w:rsidR="00D8365A" w:rsidRPr="00362517" w:rsidRDefault="00D8365A" w:rsidP="00BF6BC7">
            <w:pPr>
              <w:jc w:val="center"/>
            </w:pPr>
            <w:r w:rsidRPr="00362517">
              <w:t xml:space="preserve"> $            4.54 </w:t>
            </w:r>
          </w:p>
        </w:tc>
      </w:tr>
      <w:tr w:rsidR="00D8365A" w:rsidRPr="00362517" w14:paraId="43CEF92C" w14:textId="77777777" w:rsidTr="007A2164">
        <w:trPr>
          <w:trHeight w:val="312"/>
        </w:trPr>
        <w:tc>
          <w:tcPr>
            <w:tcW w:w="1213" w:type="pct"/>
            <w:shd w:val="clear" w:color="auto" w:fill="auto"/>
            <w:noWrap/>
            <w:vAlign w:val="bottom"/>
            <w:hideMark/>
          </w:tcPr>
          <w:p w14:paraId="3A0C95C6" w14:textId="77777777" w:rsidR="00D8365A" w:rsidRPr="00362517" w:rsidRDefault="00D8365A" w:rsidP="00BF6BC7">
            <w:r w:rsidRPr="00362517">
              <w:t>Mississippi</w:t>
            </w:r>
          </w:p>
        </w:tc>
        <w:tc>
          <w:tcPr>
            <w:tcW w:w="1002" w:type="pct"/>
            <w:vAlign w:val="bottom"/>
          </w:tcPr>
          <w:p w14:paraId="0FDA9E28" w14:textId="77777777" w:rsidR="00D8365A" w:rsidRPr="00362517" w:rsidRDefault="00D8365A" w:rsidP="00BF6BC7">
            <w:pPr>
              <w:jc w:val="center"/>
            </w:pPr>
            <w:r w:rsidRPr="00362517">
              <w:t>287</w:t>
            </w:r>
          </w:p>
        </w:tc>
        <w:tc>
          <w:tcPr>
            <w:tcW w:w="960" w:type="pct"/>
            <w:shd w:val="clear" w:color="auto" w:fill="auto"/>
            <w:noWrap/>
            <w:vAlign w:val="bottom"/>
            <w:hideMark/>
          </w:tcPr>
          <w:p w14:paraId="50F2141C" w14:textId="77777777" w:rsidR="00D8365A" w:rsidRPr="00362517" w:rsidRDefault="00D8365A" w:rsidP="00BF6BC7">
            <w:pPr>
              <w:jc w:val="center"/>
            </w:pPr>
            <w:r w:rsidRPr="00362517">
              <w:t>10,496</w:t>
            </w:r>
          </w:p>
        </w:tc>
        <w:tc>
          <w:tcPr>
            <w:tcW w:w="890" w:type="pct"/>
            <w:shd w:val="clear" w:color="auto" w:fill="auto"/>
            <w:noWrap/>
            <w:vAlign w:val="bottom"/>
            <w:hideMark/>
          </w:tcPr>
          <w:p w14:paraId="71FA5D1F" w14:textId="77777777" w:rsidR="00D8365A" w:rsidRPr="00362517" w:rsidRDefault="00D8365A" w:rsidP="00BF6BC7">
            <w:pPr>
              <w:jc w:val="center"/>
            </w:pPr>
            <w:r w:rsidRPr="00362517">
              <w:t xml:space="preserve"> $        27.32 </w:t>
            </w:r>
          </w:p>
        </w:tc>
        <w:tc>
          <w:tcPr>
            <w:tcW w:w="935" w:type="pct"/>
            <w:shd w:val="clear" w:color="auto" w:fill="auto"/>
            <w:noWrap/>
            <w:vAlign w:val="bottom"/>
            <w:hideMark/>
          </w:tcPr>
          <w:p w14:paraId="2CD35E22" w14:textId="77777777" w:rsidR="00D8365A" w:rsidRPr="00362517" w:rsidRDefault="00D8365A" w:rsidP="00BF6BC7">
            <w:pPr>
              <w:jc w:val="center"/>
            </w:pPr>
            <w:r w:rsidRPr="00362517">
              <w:t xml:space="preserve"> $          36.24 </w:t>
            </w:r>
          </w:p>
        </w:tc>
      </w:tr>
      <w:tr w:rsidR="00D8365A" w:rsidRPr="00362517" w14:paraId="23E6C54A" w14:textId="77777777" w:rsidTr="007A2164">
        <w:trPr>
          <w:trHeight w:val="312"/>
        </w:trPr>
        <w:tc>
          <w:tcPr>
            <w:tcW w:w="1213" w:type="pct"/>
            <w:shd w:val="clear" w:color="auto" w:fill="auto"/>
            <w:noWrap/>
            <w:vAlign w:val="bottom"/>
            <w:hideMark/>
          </w:tcPr>
          <w:p w14:paraId="7639D703" w14:textId="77777777" w:rsidR="00D8365A" w:rsidRPr="00362517" w:rsidRDefault="00D8365A" w:rsidP="00BF6BC7">
            <w:r w:rsidRPr="00362517">
              <w:t>Missouri</w:t>
            </w:r>
          </w:p>
        </w:tc>
        <w:tc>
          <w:tcPr>
            <w:tcW w:w="1002" w:type="pct"/>
            <w:vAlign w:val="bottom"/>
          </w:tcPr>
          <w:p w14:paraId="23FA799D" w14:textId="77777777" w:rsidR="00D8365A" w:rsidRPr="00362517" w:rsidRDefault="00D8365A" w:rsidP="00BF6BC7">
            <w:pPr>
              <w:jc w:val="center"/>
            </w:pPr>
            <w:r w:rsidRPr="00362517">
              <w:t>1,264</w:t>
            </w:r>
          </w:p>
        </w:tc>
        <w:tc>
          <w:tcPr>
            <w:tcW w:w="960" w:type="pct"/>
            <w:shd w:val="clear" w:color="auto" w:fill="auto"/>
            <w:noWrap/>
            <w:vAlign w:val="bottom"/>
            <w:hideMark/>
          </w:tcPr>
          <w:p w14:paraId="5B1848AF" w14:textId="77777777" w:rsidR="00D8365A" w:rsidRPr="00362517" w:rsidRDefault="00D8365A" w:rsidP="00BF6BC7">
            <w:pPr>
              <w:jc w:val="center"/>
            </w:pPr>
            <w:r w:rsidRPr="00362517">
              <w:t>21,293</w:t>
            </w:r>
          </w:p>
        </w:tc>
        <w:tc>
          <w:tcPr>
            <w:tcW w:w="890" w:type="pct"/>
            <w:shd w:val="clear" w:color="auto" w:fill="auto"/>
            <w:noWrap/>
            <w:vAlign w:val="bottom"/>
            <w:hideMark/>
          </w:tcPr>
          <w:p w14:paraId="4DA95ACF" w14:textId="77777777" w:rsidR="00D8365A" w:rsidRPr="00362517" w:rsidRDefault="00D8365A" w:rsidP="00BF6BC7">
            <w:pPr>
              <w:jc w:val="center"/>
            </w:pPr>
            <w:r w:rsidRPr="00362517">
              <w:t xml:space="preserve"> $        59.38 </w:t>
            </w:r>
          </w:p>
        </w:tc>
        <w:tc>
          <w:tcPr>
            <w:tcW w:w="935" w:type="pct"/>
            <w:shd w:val="clear" w:color="auto" w:fill="auto"/>
            <w:noWrap/>
            <w:vAlign w:val="bottom"/>
            <w:hideMark/>
          </w:tcPr>
          <w:p w14:paraId="750D8CFD" w14:textId="77777777" w:rsidR="00D8365A" w:rsidRPr="00362517" w:rsidRDefault="00D8365A" w:rsidP="00BF6BC7">
            <w:pPr>
              <w:jc w:val="center"/>
            </w:pPr>
            <w:r w:rsidRPr="00362517">
              <w:t xml:space="preserve"> $          65.49 </w:t>
            </w:r>
          </w:p>
        </w:tc>
      </w:tr>
      <w:tr w:rsidR="00D8365A" w:rsidRPr="00362517" w14:paraId="6D80AF60" w14:textId="77777777" w:rsidTr="007A2164">
        <w:trPr>
          <w:trHeight w:val="312"/>
        </w:trPr>
        <w:tc>
          <w:tcPr>
            <w:tcW w:w="1213" w:type="pct"/>
            <w:shd w:val="clear" w:color="auto" w:fill="auto"/>
            <w:noWrap/>
            <w:vAlign w:val="bottom"/>
            <w:hideMark/>
          </w:tcPr>
          <w:p w14:paraId="672B79A1" w14:textId="77777777" w:rsidR="00D8365A" w:rsidRPr="00362517" w:rsidRDefault="00D8365A" w:rsidP="00BF6BC7">
            <w:r w:rsidRPr="00362517">
              <w:t>Montana</w:t>
            </w:r>
          </w:p>
        </w:tc>
        <w:tc>
          <w:tcPr>
            <w:tcW w:w="1002" w:type="pct"/>
            <w:vAlign w:val="bottom"/>
          </w:tcPr>
          <w:p w14:paraId="09E5F5DA" w14:textId="77777777" w:rsidR="00D8365A" w:rsidRPr="00362517" w:rsidRDefault="00D8365A" w:rsidP="00BF6BC7">
            <w:pPr>
              <w:jc w:val="center"/>
            </w:pPr>
            <w:r w:rsidRPr="00362517">
              <w:t>70</w:t>
            </w:r>
          </w:p>
        </w:tc>
        <w:tc>
          <w:tcPr>
            <w:tcW w:w="960" w:type="pct"/>
            <w:shd w:val="clear" w:color="auto" w:fill="auto"/>
            <w:noWrap/>
            <w:vAlign w:val="bottom"/>
            <w:hideMark/>
          </w:tcPr>
          <w:p w14:paraId="56154FEF" w14:textId="77777777" w:rsidR="00D8365A" w:rsidRPr="00362517" w:rsidRDefault="00D8365A" w:rsidP="00BF6BC7">
            <w:pPr>
              <w:jc w:val="center"/>
            </w:pPr>
            <w:r w:rsidRPr="00362517">
              <w:t>6,133</w:t>
            </w:r>
          </w:p>
        </w:tc>
        <w:tc>
          <w:tcPr>
            <w:tcW w:w="890" w:type="pct"/>
            <w:shd w:val="clear" w:color="auto" w:fill="auto"/>
            <w:noWrap/>
            <w:vAlign w:val="bottom"/>
            <w:hideMark/>
          </w:tcPr>
          <w:p w14:paraId="0AA87651" w14:textId="77777777" w:rsidR="00D8365A" w:rsidRPr="00362517" w:rsidRDefault="00D8365A" w:rsidP="00BF6BC7">
            <w:pPr>
              <w:jc w:val="center"/>
            </w:pPr>
            <w:r w:rsidRPr="00362517">
              <w:t xml:space="preserve"> $        11.42 </w:t>
            </w:r>
          </w:p>
        </w:tc>
        <w:tc>
          <w:tcPr>
            <w:tcW w:w="935" w:type="pct"/>
            <w:shd w:val="clear" w:color="auto" w:fill="auto"/>
            <w:noWrap/>
            <w:vAlign w:val="bottom"/>
            <w:hideMark/>
          </w:tcPr>
          <w:p w14:paraId="7BCFC9E1" w14:textId="77777777" w:rsidR="00D8365A" w:rsidRPr="00362517" w:rsidRDefault="00D8365A" w:rsidP="00BF6BC7">
            <w:pPr>
              <w:jc w:val="center"/>
            </w:pPr>
            <w:r w:rsidRPr="00362517">
              <w:t xml:space="preserve"> $          20.79 </w:t>
            </w:r>
          </w:p>
        </w:tc>
      </w:tr>
      <w:tr w:rsidR="00D8365A" w:rsidRPr="00362517" w14:paraId="412C1D35" w14:textId="77777777" w:rsidTr="007A2164">
        <w:trPr>
          <w:trHeight w:val="312"/>
        </w:trPr>
        <w:tc>
          <w:tcPr>
            <w:tcW w:w="1213" w:type="pct"/>
            <w:shd w:val="clear" w:color="auto" w:fill="auto"/>
            <w:noWrap/>
            <w:vAlign w:val="bottom"/>
            <w:hideMark/>
          </w:tcPr>
          <w:p w14:paraId="7CD4F2C7" w14:textId="77777777" w:rsidR="00D8365A" w:rsidRPr="00362517" w:rsidRDefault="00D8365A" w:rsidP="00BF6BC7">
            <w:r w:rsidRPr="00362517">
              <w:t>Nebraska</w:t>
            </w:r>
          </w:p>
        </w:tc>
        <w:tc>
          <w:tcPr>
            <w:tcW w:w="1002" w:type="pct"/>
            <w:vAlign w:val="bottom"/>
          </w:tcPr>
          <w:p w14:paraId="1072B4B5" w14:textId="77777777" w:rsidR="00D8365A" w:rsidRPr="00362517" w:rsidRDefault="00D8365A" w:rsidP="00BF6BC7">
            <w:pPr>
              <w:jc w:val="center"/>
            </w:pPr>
            <w:r w:rsidRPr="00362517">
              <w:t>35</w:t>
            </w:r>
          </w:p>
        </w:tc>
        <w:tc>
          <w:tcPr>
            <w:tcW w:w="960" w:type="pct"/>
            <w:shd w:val="clear" w:color="auto" w:fill="auto"/>
            <w:noWrap/>
            <w:vAlign w:val="bottom"/>
            <w:hideMark/>
          </w:tcPr>
          <w:p w14:paraId="1B8B3356" w14:textId="77777777" w:rsidR="00D8365A" w:rsidRPr="00362517" w:rsidRDefault="00D8365A" w:rsidP="00BF6BC7">
            <w:pPr>
              <w:jc w:val="center"/>
            </w:pPr>
            <w:r w:rsidRPr="00362517">
              <w:t>21,597</w:t>
            </w:r>
          </w:p>
        </w:tc>
        <w:tc>
          <w:tcPr>
            <w:tcW w:w="890" w:type="pct"/>
            <w:shd w:val="clear" w:color="auto" w:fill="auto"/>
            <w:noWrap/>
            <w:vAlign w:val="bottom"/>
            <w:hideMark/>
          </w:tcPr>
          <w:p w14:paraId="463D2AD5" w14:textId="77777777" w:rsidR="00D8365A" w:rsidRPr="00362517" w:rsidRDefault="00D8365A" w:rsidP="00BF6BC7">
            <w:pPr>
              <w:jc w:val="center"/>
            </w:pPr>
            <w:r w:rsidRPr="00362517">
              <w:t xml:space="preserve"> $          1.61 </w:t>
            </w:r>
          </w:p>
        </w:tc>
        <w:tc>
          <w:tcPr>
            <w:tcW w:w="935" w:type="pct"/>
            <w:shd w:val="clear" w:color="auto" w:fill="auto"/>
            <w:noWrap/>
            <w:vAlign w:val="bottom"/>
            <w:hideMark/>
          </w:tcPr>
          <w:p w14:paraId="33A0F6E2" w14:textId="77777777" w:rsidR="00D8365A" w:rsidRPr="00362517" w:rsidRDefault="00D8365A" w:rsidP="00BF6BC7">
            <w:pPr>
              <w:jc w:val="center"/>
            </w:pPr>
            <w:r w:rsidRPr="00362517">
              <w:t xml:space="preserve"> $            7.74 </w:t>
            </w:r>
          </w:p>
        </w:tc>
      </w:tr>
      <w:tr w:rsidR="00D8365A" w:rsidRPr="00362517" w14:paraId="7006CBC3" w14:textId="77777777" w:rsidTr="007A2164">
        <w:trPr>
          <w:trHeight w:val="312"/>
        </w:trPr>
        <w:tc>
          <w:tcPr>
            <w:tcW w:w="1213" w:type="pct"/>
            <w:shd w:val="clear" w:color="auto" w:fill="auto"/>
            <w:noWrap/>
            <w:vAlign w:val="bottom"/>
            <w:hideMark/>
          </w:tcPr>
          <w:p w14:paraId="546963AD" w14:textId="77777777" w:rsidR="00D8365A" w:rsidRPr="00362517" w:rsidRDefault="00D8365A" w:rsidP="00BF6BC7">
            <w:r w:rsidRPr="00362517">
              <w:t>Nevada</w:t>
            </w:r>
          </w:p>
        </w:tc>
        <w:tc>
          <w:tcPr>
            <w:tcW w:w="1002" w:type="pct"/>
            <w:vAlign w:val="bottom"/>
          </w:tcPr>
          <w:p w14:paraId="6A21D37D" w14:textId="77777777" w:rsidR="00D8365A" w:rsidRPr="00362517" w:rsidRDefault="00D8365A" w:rsidP="00BF6BC7">
            <w:pPr>
              <w:jc w:val="center"/>
            </w:pPr>
            <w:r w:rsidRPr="00362517">
              <w:t>0</w:t>
            </w:r>
          </w:p>
        </w:tc>
        <w:tc>
          <w:tcPr>
            <w:tcW w:w="960" w:type="pct"/>
            <w:shd w:val="clear" w:color="auto" w:fill="auto"/>
            <w:noWrap/>
            <w:vAlign w:val="bottom"/>
            <w:hideMark/>
          </w:tcPr>
          <w:p w14:paraId="2EBB54FA" w14:textId="77777777" w:rsidR="00D8365A" w:rsidRPr="00362517" w:rsidRDefault="00D8365A" w:rsidP="00BF6BC7">
            <w:pPr>
              <w:jc w:val="center"/>
            </w:pPr>
            <w:r w:rsidRPr="00362517">
              <w:t>305</w:t>
            </w:r>
          </w:p>
        </w:tc>
        <w:tc>
          <w:tcPr>
            <w:tcW w:w="890" w:type="pct"/>
            <w:shd w:val="clear" w:color="auto" w:fill="auto"/>
            <w:noWrap/>
            <w:vAlign w:val="bottom"/>
            <w:hideMark/>
          </w:tcPr>
          <w:p w14:paraId="63B7CA3E" w14:textId="77777777" w:rsidR="00D8365A" w:rsidRPr="00362517" w:rsidRDefault="00D8365A" w:rsidP="00BF6BC7">
            <w:pPr>
              <w:jc w:val="center"/>
            </w:pPr>
            <w:r w:rsidRPr="00362517">
              <w:t xml:space="preserve"> $          1.53 </w:t>
            </w:r>
          </w:p>
        </w:tc>
        <w:tc>
          <w:tcPr>
            <w:tcW w:w="935" w:type="pct"/>
            <w:shd w:val="clear" w:color="auto" w:fill="auto"/>
            <w:noWrap/>
            <w:vAlign w:val="bottom"/>
            <w:hideMark/>
          </w:tcPr>
          <w:p w14:paraId="1CD69B0C" w14:textId="77777777" w:rsidR="00D8365A" w:rsidRPr="00362517" w:rsidRDefault="00D8365A" w:rsidP="00BF6BC7">
            <w:pPr>
              <w:jc w:val="center"/>
            </w:pPr>
            <w:r w:rsidRPr="00362517">
              <w:t xml:space="preserve"> $          40.45 </w:t>
            </w:r>
          </w:p>
        </w:tc>
      </w:tr>
      <w:tr w:rsidR="00D8365A" w:rsidRPr="00362517" w14:paraId="72072C2D" w14:textId="77777777" w:rsidTr="007A2164">
        <w:trPr>
          <w:trHeight w:val="312"/>
        </w:trPr>
        <w:tc>
          <w:tcPr>
            <w:tcW w:w="1213" w:type="pct"/>
            <w:shd w:val="clear" w:color="auto" w:fill="auto"/>
            <w:noWrap/>
            <w:vAlign w:val="bottom"/>
            <w:hideMark/>
          </w:tcPr>
          <w:p w14:paraId="4FC3DEB7" w14:textId="77777777" w:rsidR="00D8365A" w:rsidRPr="00362517" w:rsidRDefault="00D8365A" w:rsidP="00BF6BC7">
            <w:r w:rsidRPr="00362517">
              <w:t>New Hampshire</w:t>
            </w:r>
          </w:p>
        </w:tc>
        <w:tc>
          <w:tcPr>
            <w:tcW w:w="1002" w:type="pct"/>
            <w:vAlign w:val="bottom"/>
          </w:tcPr>
          <w:p w14:paraId="2843FB75" w14:textId="77777777" w:rsidR="00D8365A" w:rsidRPr="00362517" w:rsidRDefault="00D8365A" w:rsidP="00BF6BC7">
            <w:pPr>
              <w:jc w:val="center"/>
            </w:pPr>
            <w:r w:rsidRPr="00362517">
              <w:t>0</w:t>
            </w:r>
          </w:p>
        </w:tc>
        <w:tc>
          <w:tcPr>
            <w:tcW w:w="960" w:type="pct"/>
            <w:shd w:val="clear" w:color="auto" w:fill="auto"/>
            <w:noWrap/>
            <w:vAlign w:val="bottom"/>
            <w:hideMark/>
          </w:tcPr>
          <w:p w14:paraId="53127D56" w14:textId="77777777" w:rsidR="00D8365A" w:rsidRPr="00362517" w:rsidRDefault="00D8365A" w:rsidP="00BF6BC7">
            <w:pPr>
              <w:jc w:val="center"/>
            </w:pPr>
            <w:r w:rsidRPr="00362517">
              <w:t>502</w:t>
            </w:r>
          </w:p>
        </w:tc>
        <w:tc>
          <w:tcPr>
            <w:tcW w:w="890" w:type="pct"/>
            <w:shd w:val="clear" w:color="auto" w:fill="auto"/>
            <w:noWrap/>
            <w:vAlign w:val="bottom"/>
            <w:hideMark/>
          </w:tcPr>
          <w:p w14:paraId="075F312D" w14:textId="77777777" w:rsidR="00D8365A" w:rsidRPr="00362517" w:rsidRDefault="00D8365A" w:rsidP="00BF6BC7">
            <w:pPr>
              <w:jc w:val="center"/>
            </w:pPr>
            <w:r w:rsidRPr="00362517">
              <w:t xml:space="preserve"> $          0.66 </w:t>
            </w:r>
          </w:p>
        </w:tc>
        <w:tc>
          <w:tcPr>
            <w:tcW w:w="935" w:type="pct"/>
            <w:shd w:val="clear" w:color="auto" w:fill="auto"/>
            <w:noWrap/>
            <w:vAlign w:val="bottom"/>
            <w:hideMark/>
          </w:tcPr>
          <w:p w14:paraId="69EE3229" w14:textId="77777777" w:rsidR="00D8365A" w:rsidRPr="00362517" w:rsidRDefault="00D8365A" w:rsidP="00BF6BC7">
            <w:pPr>
              <w:jc w:val="center"/>
            </w:pPr>
            <w:r w:rsidRPr="00362517">
              <w:t xml:space="preserve"> $          41.71 </w:t>
            </w:r>
          </w:p>
        </w:tc>
      </w:tr>
      <w:tr w:rsidR="00D8365A" w:rsidRPr="00362517" w14:paraId="370549B6" w14:textId="77777777" w:rsidTr="007A2164">
        <w:trPr>
          <w:trHeight w:val="312"/>
        </w:trPr>
        <w:tc>
          <w:tcPr>
            <w:tcW w:w="1213" w:type="pct"/>
            <w:shd w:val="clear" w:color="auto" w:fill="auto"/>
            <w:noWrap/>
            <w:vAlign w:val="bottom"/>
            <w:hideMark/>
          </w:tcPr>
          <w:p w14:paraId="1836C006" w14:textId="77777777" w:rsidR="00D8365A" w:rsidRPr="00362517" w:rsidRDefault="00D8365A" w:rsidP="00BF6BC7">
            <w:r w:rsidRPr="00362517">
              <w:t>New Jersey</w:t>
            </w:r>
          </w:p>
        </w:tc>
        <w:tc>
          <w:tcPr>
            <w:tcW w:w="1002" w:type="pct"/>
            <w:vAlign w:val="bottom"/>
          </w:tcPr>
          <w:p w14:paraId="07715B75" w14:textId="77777777" w:rsidR="00D8365A" w:rsidRPr="00362517" w:rsidRDefault="00D8365A" w:rsidP="00BF6BC7">
            <w:pPr>
              <w:jc w:val="center"/>
            </w:pPr>
            <w:r w:rsidRPr="00362517">
              <w:t>4</w:t>
            </w:r>
          </w:p>
        </w:tc>
        <w:tc>
          <w:tcPr>
            <w:tcW w:w="960" w:type="pct"/>
            <w:shd w:val="clear" w:color="auto" w:fill="auto"/>
            <w:noWrap/>
            <w:vAlign w:val="bottom"/>
            <w:hideMark/>
          </w:tcPr>
          <w:p w14:paraId="22CE509A" w14:textId="77777777" w:rsidR="00D8365A" w:rsidRPr="00362517" w:rsidRDefault="00D8365A" w:rsidP="00BF6BC7">
            <w:pPr>
              <w:jc w:val="center"/>
            </w:pPr>
            <w:r w:rsidRPr="00362517">
              <w:t>1,761</w:t>
            </w:r>
          </w:p>
        </w:tc>
        <w:tc>
          <w:tcPr>
            <w:tcW w:w="890" w:type="pct"/>
            <w:shd w:val="clear" w:color="auto" w:fill="auto"/>
            <w:noWrap/>
            <w:vAlign w:val="bottom"/>
            <w:hideMark/>
          </w:tcPr>
          <w:p w14:paraId="5FF6E728" w14:textId="77777777" w:rsidR="00D8365A" w:rsidRPr="00362517" w:rsidRDefault="00D8365A" w:rsidP="00BF6BC7">
            <w:pPr>
              <w:jc w:val="center"/>
            </w:pPr>
            <w:r w:rsidRPr="00362517">
              <w:t xml:space="preserve"> $          2.32 </w:t>
            </w:r>
          </w:p>
        </w:tc>
        <w:tc>
          <w:tcPr>
            <w:tcW w:w="935" w:type="pct"/>
            <w:shd w:val="clear" w:color="auto" w:fill="auto"/>
            <w:noWrap/>
            <w:vAlign w:val="bottom"/>
            <w:hideMark/>
          </w:tcPr>
          <w:p w14:paraId="1E0EC0C0" w14:textId="77777777" w:rsidR="00D8365A" w:rsidRPr="00362517" w:rsidRDefault="00D8365A" w:rsidP="00BF6BC7">
            <w:pPr>
              <w:jc w:val="center"/>
            </w:pPr>
            <w:r w:rsidRPr="00362517">
              <w:t xml:space="preserve"> $          11.34 </w:t>
            </w:r>
          </w:p>
        </w:tc>
      </w:tr>
      <w:tr w:rsidR="00D8365A" w:rsidRPr="00362517" w14:paraId="02CBE0E5" w14:textId="77777777" w:rsidTr="007A2164">
        <w:trPr>
          <w:trHeight w:val="312"/>
        </w:trPr>
        <w:tc>
          <w:tcPr>
            <w:tcW w:w="1213" w:type="pct"/>
            <w:shd w:val="clear" w:color="auto" w:fill="auto"/>
            <w:noWrap/>
            <w:vAlign w:val="bottom"/>
            <w:hideMark/>
          </w:tcPr>
          <w:p w14:paraId="60E99B4A" w14:textId="77777777" w:rsidR="00D8365A" w:rsidRPr="00362517" w:rsidRDefault="00D8365A" w:rsidP="00BF6BC7">
            <w:r w:rsidRPr="00362517">
              <w:t>New Mexico</w:t>
            </w:r>
          </w:p>
        </w:tc>
        <w:tc>
          <w:tcPr>
            <w:tcW w:w="1002" w:type="pct"/>
            <w:vAlign w:val="bottom"/>
          </w:tcPr>
          <w:p w14:paraId="7CF74D5B" w14:textId="77777777" w:rsidR="00D8365A" w:rsidRPr="00362517" w:rsidRDefault="00D8365A" w:rsidP="00BF6BC7">
            <w:pPr>
              <w:jc w:val="center"/>
            </w:pPr>
            <w:r w:rsidRPr="00362517">
              <w:t>16</w:t>
            </w:r>
          </w:p>
        </w:tc>
        <w:tc>
          <w:tcPr>
            <w:tcW w:w="960" w:type="pct"/>
            <w:shd w:val="clear" w:color="auto" w:fill="auto"/>
            <w:noWrap/>
            <w:vAlign w:val="bottom"/>
            <w:hideMark/>
          </w:tcPr>
          <w:p w14:paraId="365F9658" w14:textId="77777777" w:rsidR="00D8365A" w:rsidRPr="00362517" w:rsidRDefault="00D8365A" w:rsidP="00BF6BC7">
            <w:pPr>
              <w:jc w:val="center"/>
            </w:pPr>
            <w:r w:rsidRPr="00362517">
              <w:t>2,633</w:t>
            </w:r>
          </w:p>
        </w:tc>
        <w:tc>
          <w:tcPr>
            <w:tcW w:w="890" w:type="pct"/>
            <w:shd w:val="clear" w:color="auto" w:fill="auto"/>
            <w:noWrap/>
            <w:vAlign w:val="bottom"/>
            <w:hideMark/>
          </w:tcPr>
          <w:p w14:paraId="0C17723B" w14:textId="77777777" w:rsidR="00D8365A" w:rsidRPr="00362517" w:rsidRDefault="00D8365A" w:rsidP="00BF6BC7">
            <w:pPr>
              <w:jc w:val="center"/>
            </w:pPr>
            <w:r w:rsidRPr="00362517">
              <w:t xml:space="preserve"> $          6.25 </w:t>
            </w:r>
          </w:p>
        </w:tc>
        <w:tc>
          <w:tcPr>
            <w:tcW w:w="935" w:type="pct"/>
            <w:shd w:val="clear" w:color="auto" w:fill="auto"/>
            <w:noWrap/>
            <w:vAlign w:val="bottom"/>
            <w:hideMark/>
          </w:tcPr>
          <w:p w14:paraId="7A86071D" w14:textId="77777777" w:rsidR="00D8365A" w:rsidRPr="00362517" w:rsidRDefault="00D8365A" w:rsidP="00BF6BC7">
            <w:pPr>
              <w:jc w:val="center"/>
            </w:pPr>
            <w:r w:rsidRPr="00362517">
              <w:t xml:space="preserve"> $          23.04 </w:t>
            </w:r>
          </w:p>
        </w:tc>
      </w:tr>
      <w:tr w:rsidR="00D8365A" w:rsidRPr="00362517" w14:paraId="7FCCC0FC" w14:textId="77777777" w:rsidTr="007A2164">
        <w:trPr>
          <w:trHeight w:val="312"/>
        </w:trPr>
        <w:tc>
          <w:tcPr>
            <w:tcW w:w="1213" w:type="pct"/>
            <w:shd w:val="clear" w:color="auto" w:fill="auto"/>
            <w:noWrap/>
            <w:vAlign w:val="bottom"/>
            <w:hideMark/>
          </w:tcPr>
          <w:p w14:paraId="627F6052" w14:textId="77777777" w:rsidR="00D8365A" w:rsidRPr="00362517" w:rsidRDefault="00D8365A" w:rsidP="00BF6BC7">
            <w:r w:rsidRPr="00362517">
              <w:t>New York</w:t>
            </w:r>
          </w:p>
        </w:tc>
        <w:tc>
          <w:tcPr>
            <w:tcW w:w="1002" w:type="pct"/>
            <w:vAlign w:val="bottom"/>
          </w:tcPr>
          <w:p w14:paraId="4B9F0D4C" w14:textId="77777777" w:rsidR="00D8365A" w:rsidRPr="00362517" w:rsidRDefault="00D8365A" w:rsidP="00BF6BC7">
            <w:pPr>
              <w:jc w:val="center"/>
            </w:pPr>
            <w:r w:rsidRPr="00362517">
              <w:t>12</w:t>
            </w:r>
          </w:p>
        </w:tc>
        <w:tc>
          <w:tcPr>
            <w:tcW w:w="960" w:type="pct"/>
            <w:shd w:val="clear" w:color="auto" w:fill="auto"/>
            <w:noWrap/>
            <w:vAlign w:val="bottom"/>
            <w:hideMark/>
          </w:tcPr>
          <w:p w14:paraId="2FCDEF7B" w14:textId="77777777" w:rsidR="00D8365A" w:rsidRPr="00362517" w:rsidRDefault="00D8365A" w:rsidP="00BF6BC7">
            <w:pPr>
              <w:jc w:val="center"/>
            </w:pPr>
            <w:r w:rsidRPr="00362517">
              <w:t>6,871</w:t>
            </w:r>
          </w:p>
        </w:tc>
        <w:tc>
          <w:tcPr>
            <w:tcW w:w="890" w:type="pct"/>
            <w:shd w:val="clear" w:color="auto" w:fill="auto"/>
            <w:noWrap/>
            <w:vAlign w:val="bottom"/>
            <w:hideMark/>
          </w:tcPr>
          <w:p w14:paraId="0A69177B" w14:textId="77777777" w:rsidR="00D8365A" w:rsidRPr="00362517" w:rsidRDefault="00D8365A" w:rsidP="00BF6BC7">
            <w:pPr>
              <w:jc w:val="center"/>
            </w:pPr>
            <w:r w:rsidRPr="00362517">
              <w:t xml:space="preserve"> $          1.74 </w:t>
            </w:r>
          </w:p>
        </w:tc>
        <w:tc>
          <w:tcPr>
            <w:tcW w:w="935" w:type="pct"/>
            <w:shd w:val="clear" w:color="auto" w:fill="auto"/>
            <w:noWrap/>
            <w:vAlign w:val="bottom"/>
            <w:hideMark/>
          </w:tcPr>
          <w:p w14:paraId="7CB67C55" w14:textId="77777777" w:rsidR="00D8365A" w:rsidRPr="00362517" w:rsidRDefault="00D8365A" w:rsidP="00BF6BC7">
            <w:pPr>
              <w:jc w:val="center"/>
            </w:pPr>
            <w:r w:rsidRPr="00362517">
              <w:t xml:space="preserve"> $            5.57 </w:t>
            </w:r>
          </w:p>
        </w:tc>
      </w:tr>
      <w:tr w:rsidR="00D8365A" w:rsidRPr="00362517" w14:paraId="23AF1518" w14:textId="77777777" w:rsidTr="007A2164">
        <w:trPr>
          <w:trHeight w:val="312"/>
        </w:trPr>
        <w:tc>
          <w:tcPr>
            <w:tcW w:w="1213" w:type="pct"/>
            <w:shd w:val="clear" w:color="auto" w:fill="auto"/>
            <w:noWrap/>
            <w:vAlign w:val="bottom"/>
            <w:hideMark/>
          </w:tcPr>
          <w:p w14:paraId="6D148A57" w14:textId="77777777" w:rsidR="00D8365A" w:rsidRPr="00362517" w:rsidRDefault="00D8365A" w:rsidP="00BF6BC7">
            <w:r w:rsidRPr="00362517">
              <w:t>North Carolina</w:t>
            </w:r>
          </w:p>
        </w:tc>
        <w:tc>
          <w:tcPr>
            <w:tcW w:w="1002" w:type="pct"/>
            <w:vAlign w:val="bottom"/>
          </w:tcPr>
          <w:p w14:paraId="480C231E" w14:textId="77777777" w:rsidR="00D8365A" w:rsidRPr="00362517" w:rsidRDefault="00D8365A" w:rsidP="00BF6BC7">
            <w:pPr>
              <w:jc w:val="center"/>
            </w:pPr>
            <w:r w:rsidRPr="00362517">
              <w:t>26</w:t>
            </w:r>
          </w:p>
        </w:tc>
        <w:tc>
          <w:tcPr>
            <w:tcW w:w="960" w:type="pct"/>
            <w:shd w:val="clear" w:color="auto" w:fill="auto"/>
            <w:noWrap/>
            <w:vAlign w:val="bottom"/>
            <w:hideMark/>
          </w:tcPr>
          <w:p w14:paraId="14AC04F3" w14:textId="77777777" w:rsidR="00D8365A" w:rsidRPr="00362517" w:rsidRDefault="00D8365A" w:rsidP="00BF6BC7">
            <w:pPr>
              <w:jc w:val="center"/>
            </w:pPr>
            <w:r w:rsidRPr="00362517">
              <w:t>15,878</w:t>
            </w:r>
          </w:p>
        </w:tc>
        <w:tc>
          <w:tcPr>
            <w:tcW w:w="890" w:type="pct"/>
            <w:shd w:val="clear" w:color="auto" w:fill="auto"/>
            <w:noWrap/>
            <w:vAlign w:val="bottom"/>
            <w:hideMark/>
          </w:tcPr>
          <w:p w14:paraId="2646A9F5" w14:textId="77777777" w:rsidR="00D8365A" w:rsidRPr="00362517" w:rsidRDefault="00D8365A" w:rsidP="00BF6BC7">
            <w:pPr>
              <w:jc w:val="center"/>
            </w:pPr>
            <w:r w:rsidRPr="00362517">
              <w:t xml:space="preserve"> $          1.65 </w:t>
            </w:r>
          </w:p>
        </w:tc>
        <w:tc>
          <w:tcPr>
            <w:tcW w:w="935" w:type="pct"/>
            <w:shd w:val="clear" w:color="auto" w:fill="auto"/>
            <w:noWrap/>
            <w:vAlign w:val="bottom"/>
            <w:hideMark/>
          </w:tcPr>
          <w:p w14:paraId="7FF2E102" w14:textId="77777777" w:rsidR="00D8365A" w:rsidRPr="00362517" w:rsidRDefault="00D8365A" w:rsidP="00BF6BC7">
            <w:pPr>
              <w:jc w:val="center"/>
            </w:pPr>
            <w:r w:rsidRPr="00362517">
              <w:t xml:space="preserve"> $            6.17 </w:t>
            </w:r>
          </w:p>
        </w:tc>
      </w:tr>
      <w:tr w:rsidR="00D8365A" w:rsidRPr="00362517" w14:paraId="53B63780" w14:textId="77777777" w:rsidTr="007A2164">
        <w:trPr>
          <w:trHeight w:val="312"/>
        </w:trPr>
        <w:tc>
          <w:tcPr>
            <w:tcW w:w="1213" w:type="pct"/>
            <w:shd w:val="clear" w:color="auto" w:fill="auto"/>
            <w:noWrap/>
            <w:vAlign w:val="bottom"/>
            <w:hideMark/>
          </w:tcPr>
          <w:p w14:paraId="0EC90DDE" w14:textId="77777777" w:rsidR="00D8365A" w:rsidRPr="00362517" w:rsidRDefault="00D8365A" w:rsidP="00BF6BC7">
            <w:r w:rsidRPr="00362517">
              <w:t>North Dakota</w:t>
            </w:r>
          </w:p>
        </w:tc>
        <w:tc>
          <w:tcPr>
            <w:tcW w:w="1002" w:type="pct"/>
            <w:vAlign w:val="bottom"/>
          </w:tcPr>
          <w:p w14:paraId="5225B073" w14:textId="77777777" w:rsidR="00D8365A" w:rsidRPr="00362517" w:rsidRDefault="00D8365A" w:rsidP="00BF6BC7">
            <w:pPr>
              <w:jc w:val="center"/>
            </w:pPr>
            <w:r w:rsidRPr="00362517">
              <w:t>81</w:t>
            </w:r>
          </w:p>
        </w:tc>
        <w:tc>
          <w:tcPr>
            <w:tcW w:w="960" w:type="pct"/>
            <w:shd w:val="clear" w:color="auto" w:fill="auto"/>
            <w:noWrap/>
            <w:vAlign w:val="bottom"/>
            <w:hideMark/>
          </w:tcPr>
          <w:p w14:paraId="0AEF0B77" w14:textId="77777777" w:rsidR="00D8365A" w:rsidRPr="00362517" w:rsidRDefault="00D8365A" w:rsidP="00BF6BC7">
            <w:pPr>
              <w:jc w:val="center"/>
            </w:pPr>
            <w:r w:rsidRPr="00362517">
              <w:t>11,622</w:t>
            </w:r>
          </w:p>
        </w:tc>
        <w:tc>
          <w:tcPr>
            <w:tcW w:w="890" w:type="pct"/>
            <w:shd w:val="clear" w:color="auto" w:fill="auto"/>
            <w:noWrap/>
            <w:vAlign w:val="bottom"/>
            <w:hideMark/>
          </w:tcPr>
          <w:p w14:paraId="0F9785FC" w14:textId="77777777" w:rsidR="00D8365A" w:rsidRPr="00362517" w:rsidRDefault="00D8365A" w:rsidP="00BF6BC7">
            <w:pPr>
              <w:jc w:val="center"/>
            </w:pPr>
            <w:r w:rsidRPr="00362517">
              <w:t xml:space="preserve"> $          6.99 </w:t>
            </w:r>
          </w:p>
        </w:tc>
        <w:tc>
          <w:tcPr>
            <w:tcW w:w="935" w:type="pct"/>
            <w:shd w:val="clear" w:color="auto" w:fill="auto"/>
            <w:noWrap/>
            <w:vAlign w:val="bottom"/>
            <w:hideMark/>
          </w:tcPr>
          <w:p w14:paraId="42FBDF66" w14:textId="77777777" w:rsidR="00D8365A" w:rsidRPr="00362517" w:rsidRDefault="00D8365A" w:rsidP="00BF6BC7">
            <w:pPr>
              <w:jc w:val="center"/>
            </w:pPr>
            <w:r w:rsidRPr="00362517">
              <w:t xml:space="preserve"> $          15.60 </w:t>
            </w:r>
          </w:p>
        </w:tc>
      </w:tr>
      <w:tr w:rsidR="00D8365A" w:rsidRPr="00362517" w14:paraId="02DEA835" w14:textId="77777777" w:rsidTr="007A2164">
        <w:trPr>
          <w:trHeight w:val="312"/>
        </w:trPr>
        <w:tc>
          <w:tcPr>
            <w:tcW w:w="1213" w:type="pct"/>
            <w:shd w:val="clear" w:color="auto" w:fill="auto"/>
            <w:noWrap/>
            <w:vAlign w:val="bottom"/>
            <w:hideMark/>
          </w:tcPr>
          <w:p w14:paraId="107C157A" w14:textId="77777777" w:rsidR="00D8365A" w:rsidRPr="00362517" w:rsidRDefault="00D8365A" w:rsidP="00BF6BC7">
            <w:r w:rsidRPr="00362517">
              <w:t>Ohio</w:t>
            </w:r>
          </w:p>
        </w:tc>
        <w:tc>
          <w:tcPr>
            <w:tcW w:w="1002" w:type="pct"/>
            <w:vAlign w:val="bottom"/>
          </w:tcPr>
          <w:p w14:paraId="035092FC" w14:textId="77777777" w:rsidR="00D8365A" w:rsidRPr="00362517" w:rsidRDefault="00D8365A" w:rsidP="00BF6BC7">
            <w:pPr>
              <w:jc w:val="center"/>
            </w:pPr>
            <w:r w:rsidRPr="00362517">
              <w:t>23</w:t>
            </w:r>
          </w:p>
        </w:tc>
        <w:tc>
          <w:tcPr>
            <w:tcW w:w="960" w:type="pct"/>
            <w:shd w:val="clear" w:color="auto" w:fill="auto"/>
            <w:noWrap/>
            <w:vAlign w:val="bottom"/>
            <w:hideMark/>
          </w:tcPr>
          <w:p w14:paraId="452380B9" w14:textId="77777777" w:rsidR="00D8365A" w:rsidRPr="00362517" w:rsidRDefault="00D8365A" w:rsidP="00BF6BC7">
            <w:pPr>
              <w:jc w:val="center"/>
            </w:pPr>
            <w:r w:rsidRPr="00362517">
              <w:t>14,574</w:t>
            </w:r>
          </w:p>
        </w:tc>
        <w:tc>
          <w:tcPr>
            <w:tcW w:w="890" w:type="pct"/>
            <w:shd w:val="clear" w:color="auto" w:fill="auto"/>
            <w:noWrap/>
            <w:vAlign w:val="bottom"/>
            <w:hideMark/>
          </w:tcPr>
          <w:p w14:paraId="7E0E155E" w14:textId="77777777" w:rsidR="00D8365A" w:rsidRPr="00362517" w:rsidRDefault="00D8365A" w:rsidP="00BF6BC7">
            <w:pPr>
              <w:jc w:val="center"/>
            </w:pPr>
            <w:r w:rsidRPr="00362517">
              <w:t xml:space="preserve"> $          1.60 </w:t>
            </w:r>
          </w:p>
        </w:tc>
        <w:tc>
          <w:tcPr>
            <w:tcW w:w="935" w:type="pct"/>
            <w:shd w:val="clear" w:color="auto" w:fill="auto"/>
            <w:noWrap/>
            <w:vAlign w:val="bottom"/>
            <w:hideMark/>
          </w:tcPr>
          <w:p w14:paraId="7D56B806" w14:textId="77777777" w:rsidR="00D8365A" w:rsidRPr="00362517" w:rsidRDefault="00D8365A" w:rsidP="00BF6BC7">
            <w:pPr>
              <w:jc w:val="center"/>
            </w:pPr>
            <w:r w:rsidRPr="00362517">
              <w:t xml:space="preserve"> $            7.66 </w:t>
            </w:r>
          </w:p>
        </w:tc>
      </w:tr>
      <w:tr w:rsidR="00D8365A" w:rsidRPr="00362517" w14:paraId="5C198340" w14:textId="77777777" w:rsidTr="007A2164">
        <w:trPr>
          <w:trHeight w:val="312"/>
        </w:trPr>
        <w:tc>
          <w:tcPr>
            <w:tcW w:w="1213" w:type="pct"/>
            <w:shd w:val="clear" w:color="auto" w:fill="auto"/>
            <w:noWrap/>
            <w:vAlign w:val="bottom"/>
            <w:hideMark/>
          </w:tcPr>
          <w:p w14:paraId="32E7ADA1" w14:textId="77777777" w:rsidR="00D8365A" w:rsidRPr="00362517" w:rsidRDefault="00D8365A" w:rsidP="00BF6BC7">
            <w:r w:rsidRPr="00362517">
              <w:t>Oklahoma</w:t>
            </w:r>
          </w:p>
        </w:tc>
        <w:tc>
          <w:tcPr>
            <w:tcW w:w="1002" w:type="pct"/>
            <w:vAlign w:val="bottom"/>
          </w:tcPr>
          <w:p w14:paraId="7CFCD20D" w14:textId="77777777" w:rsidR="00D8365A" w:rsidRPr="00362517" w:rsidRDefault="00D8365A" w:rsidP="00BF6BC7">
            <w:pPr>
              <w:jc w:val="center"/>
            </w:pPr>
            <w:r w:rsidRPr="00362517">
              <w:t>52</w:t>
            </w:r>
          </w:p>
        </w:tc>
        <w:tc>
          <w:tcPr>
            <w:tcW w:w="960" w:type="pct"/>
            <w:shd w:val="clear" w:color="auto" w:fill="auto"/>
            <w:noWrap/>
            <w:vAlign w:val="bottom"/>
            <w:hideMark/>
          </w:tcPr>
          <w:p w14:paraId="0A134865" w14:textId="77777777" w:rsidR="00D8365A" w:rsidRPr="00362517" w:rsidRDefault="00D8365A" w:rsidP="00BF6BC7">
            <w:pPr>
              <w:jc w:val="center"/>
            </w:pPr>
            <w:r w:rsidRPr="00362517">
              <w:t>12,863</w:t>
            </w:r>
          </w:p>
        </w:tc>
        <w:tc>
          <w:tcPr>
            <w:tcW w:w="890" w:type="pct"/>
            <w:shd w:val="clear" w:color="auto" w:fill="auto"/>
            <w:noWrap/>
            <w:vAlign w:val="bottom"/>
            <w:hideMark/>
          </w:tcPr>
          <w:p w14:paraId="20CCEDFC" w14:textId="77777777" w:rsidR="00D8365A" w:rsidRPr="00362517" w:rsidRDefault="00D8365A" w:rsidP="00BF6BC7">
            <w:pPr>
              <w:jc w:val="center"/>
            </w:pPr>
            <w:r w:rsidRPr="00362517">
              <w:t xml:space="preserve"> $          4.04 </w:t>
            </w:r>
          </w:p>
        </w:tc>
        <w:tc>
          <w:tcPr>
            <w:tcW w:w="935" w:type="pct"/>
            <w:shd w:val="clear" w:color="auto" w:fill="auto"/>
            <w:noWrap/>
            <w:vAlign w:val="bottom"/>
            <w:hideMark/>
          </w:tcPr>
          <w:p w14:paraId="70D2A53A" w14:textId="77777777" w:rsidR="00D8365A" w:rsidRPr="00362517" w:rsidRDefault="00D8365A" w:rsidP="00BF6BC7">
            <w:pPr>
              <w:jc w:val="center"/>
            </w:pPr>
            <w:r w:rsidRPr="00362517">
              <w:t xml:space="preserve"> $          10.27 </w:t>
            </w:r>
          </w:p>
        </w:tc>
      </w:tr>
      <w:tr w:rsidR="00D8365A" w:rsidRPr="00362517" w14:paraId="5162440B" w14:textId="77777777" w:rsidTr="007A2164">
        <w:trPr>
          <w:trHeight w:val="312"/>
        </w:trPr>
        <w:tc>
          <w:tcPr>
            <w:tcW w:w="1213" w:type="pct"/>
            <w:shd w:val="clear" w:color="auto" w:fill="auto"/>
            <w:noWrap/>
            <w:vAlign w:val="bottom"/>
            <w:hideMark/>
          </w:tcPr>
          <w:p w14:paraId="59CD1EB7" w14:textId="77777777" w:rsidR="00D8365A" w:rsidRPr="00362517" w:rsidRDefault="00D8365A" w:rsidP="00BF6BC7">
            <w:r w:rsidRPr="00362517">
              <w:t>Oregon</w:t>
            </w:r>
          </w:p>
        </w:tc>
        <w:tc>
          <w:tcPr>
            <w:tcW w:w="1002" w:type="pct"/>
            <w:vAlign w:val="bottom"/>
          </w:tcPr>
          <w:p w14:paraId="2D2044F9" w14:textId="77777777" w:rsidR="00D8365A" w:rsidRPr="00362517" w:rsidRDefault="00D8365A" w:rsidP="00BF6BC7">
            <w:pPr>
              <w:jc w:val="center"/>
            </w:pPr>
            <w:r w:rsidRPr="00362517">
              <w:t>7</w:t>
            </w:r>
          </w:p>
        </w:tc>
        <w:tc>
          <w:tcPr>
            <w:tcW w:w="960" w:type="pct"/>
            <w:shd w:val="clear" w:color="auto" w:fill="auto"/>
            <w:noWrap/>
            <w:vAlign w:val="bottom"/>
            <w:hideMark/>
          </w:tcPr>
          <w:p w14:paraId="4A02CCEA" w14:textId="77777777" w:rsidR="00D8365A" w:rsidRPr="00362517" w:rsidRDefault="00D8365A" w:rsidP="00BF6BC7">
            <w:pPr>
              <w:jc w:val="center"/>
            </w:pPr>
            <w:r w:rsidRPr="00362517">
              <w:t>4,189</w:t>
            </w:r>
          </w:p>
        </w:tc>
        <w:tc>
          <w:tcPr>
            <w:tcW w:w="890" w:type="pct"/>
            <w:shd w:val="clear" w:color="auto" w:fill="auto"/>
            <w:noWrap/>
            <w:vAlign w:val="bottom"/>
            <w:hideMark/>
          </w:tcPr>
          <w:p w14:paraId="687BF948" w14:textId="77777777" w:rsidR="00D8365A" w:rsidRPr="00362517" w:rsidRDefault="00D8365A" w:rsidP="00BF6BC7">
            <w:pPr>
              <w:jc w:val="center"/>
            </w:pPr>
            <w:r w:rsidRPr="00362517">
              <w:t xml:space="preserve"> $          1.78 </w:t>
            </w:r>
          </w:p>
        </w:tc>
        <w:tc>
          <w:tcPr>
            <w:tcW w:w="935" w:type="pct"/>
            <w:shd w:val="clear" w:color="auto" w:fill="auto"/>
            <w:noWrap/>
            <w:vAlign w:val="bottom"/>
            <w:hideMark/>
          </w:tcPr>
          <w:p w14:paraId="77173BE9" w14:textId="77777777" w:rsidR="00D8365A" w:rsidRPr="00362517" w:rsidRDefault="00D8365A" w:rsidP="00BF6BC7">
            <w:pPr>
              <w:jc w:val="center"/>
            </w:pPr>
            <w:r w:rsidRPr="00362517">
              <w:t xml:space="preserve"> $          13.03 </w:t>
            </w:r>
          </w:p>
        </w:tc>
      </w:tr>
      <w:tr w:rsidR="00D8365A" w:rsidRPr="00362517" w14:paraId="3894B17E" w14:textId="77777777" w:rsidTr="007A2164">
        <w:trPr>
          <w:trHeight w:val="312"/>
        </w:trPr>
        <w:tc>
          <w:tcPr>
            <w:tcW w:w="1213" w:type="pct"/>
            <w:shd w:val="clear" w:color="auto" w:fill="auto"/>
            <w:noWrap/>
            <w:vAlign w:val="bottom"/>
            <w:hideMark/>
          </w:tcPr>
          <w:p w14:paraId="41D93123" w14:textId="77777777" w:rsidR="00D8365A" w:rsidRPr="00362517" w:rsidRDefault="00D8365A" w:rsidP="00BF6BC7">
            <w:r w:rsidRPr="00362517">
              <w:t>Pennsylvania</w:t>
            </w:r>
          </w:p>
        </w:tc>
        <w:tc>
          <w:tcPr>
            <w:tcW w:w="1002" w:type="pct"/>
            <w:vAlign w:val="bottom"/>
          </w:tcPr>
          <w:p w14:paraId="443EEF12" w14:textId="77777777" w:rsidR="00D8365A" w:rsidRPr="00362517" w:rsidRDefault="00D8365A" w:rsidP="00BF6BC7">
            <w:pPr>
              <w:jc w:val="center"/>
            </w:pPr>
            <w:r w:rsidRPr="00362517">
              <w:t>20</w:t>
            </w:r>
          </w:p>
        </w:tc>
        <w:tc>
          <w:tcPr>
            <w:tcW w:w="960" w:type="pct"/>
            <w:shd w:val="clear" w:color="auto" w:fill="auto"/>
            <w:noWrap/>
            <w:vAlign w:val="bottom"/>
            <w:hideMark/>
          </w:tcPr>
          <w:p w14:paraId="3D6659D5" w14:textId="77777777" w:rsidR="00D8365A" w:rsidRPr="00362517" w:rsidRDefault="00D8365A" w:rsidP="00BF6BC7">
            <w:pPr>
              <w:jc w:val="center"/>
            </w:pPr>
            <w:r w:rsidRPr="00362517">
              <w:t>18,019</w:t>
            </w:r>
          </w:p>
        </w:tc>
        <w:tc>
          <w:tcPr>
            <w:tcW w:w="890" w:type="pct"/>
            <w:shd w:val="clear" w:color="auto" w:fill="auto"/>
            <w:noWrap/>
            <w:vAlign w:val="bottom"/>
            <w:hideMark/>
          </w:tcPr>
          <w:p w14:paraId="1A91277C" w14:textId="77777777" w:rsidR="00D8365A" w:rsidRPr="00362517" w:rsidRDefault="00D8365A" w:rsidP="00BF6BC7">
            <w:pPr>
              <w:jc w:val="center"/>
            </w:pPr>
            <w:r w:rsidRPr="00362517">
              <w:t xml:space="preserve"> $          1.13 </w:t>
            </w:r>
          </w:p>
        </w:tc>
        <w:tc>
          <w:tcPr>
            <w:tcW w:w="935" w:type="pct"/>
            <w:shd w:val="clear" w:color="auto" w:fill="auto"/>
            <w:noWrap/>
            <w:vAlign w:val="bottom"/>
            <w:hideMark/>
          </w:tcPr>
          <w:p w14:paraId="4DA47120" w14:textId="77777777" w:rsidR="00D8365A" w:rsidRPr="00362517" w:rsidRDefault="00D8365A" w:rsidP="00BF6BC7">
            <w:pPr>
              <w:jc w:val="center"/>
            </w:pPr>
            <w:r w:rsidRPr="00362517">
              <w:t xml:space="preserve"> $            5.59 </w:t>
            </w:r>
          </w:p>
        </w:tc>
      </w:tr>
      <w:tr w:rsidR="00D8365A" w:rsidRPr="00362517" w14:paraId="4F1E63DC" w14:textId="77777777" w:rsidTr="007A2164">
        <w:trPr>
          <w:trHeight w:val="312"/>
        </w:trPr>
        <w:tc>
          <w:tcPr>
            <w:tcW w:w="1213" w:type="pct"/>
            <w:shd w:val="clear" w:color="auto" w:fill="auto"/>
            <w:noWrap/>
            <w:vAlign w:val="bottom"/>
            <w:hideMark/>
          </w:tcPr>
          <w:p w14:paraId="3B69F296" w14:textId="77777777" w:rsidR="00D8365A" w:rsidRPr="00362517" w:rsidRDefault="00D8365A" w:rsidP="00BF6BC7">
            <w:r w:rsidRPr="00362517">
              <w:t>Rhode Island</w:t>
            </w:r>
          </w:p>
        </w:tc>
        <w:tc>
          <w:tcPr>
            <w:tcW w:w="1002" w:type="pct"/>
            <w:vAlign w:val="bottom"/>
          </w:tcPr>
          <w:p w14:paraId="6A8C26BA" w14:textId="77777777" w:rsidR="00D8365A" w:rsidRPr="00362517" w:rsidRDefault="00D8365A" w:rsidP="00BF6BC7">
            <w:pPr>
              <w:jc w:val="center"/>
            </w:pPr>
            <w:r w:rsidRPr="00362517">
              <w:t>0.61</w:t>
            </w:r>
          </w:p>
        </w:tc>
        <w:tc>
          <w:tcPr>
            <w:tcW w:w="960" w:type="pct"/>
            <w:shd w:val="clear" w:color="auto" w:fill="auto"/>
            <w:noWrap/>
            <w:vAlign w:val="bottom"/>
            <w:hideMark/>
          </w:tcPr>
          <w:p w14:paraId="1DB69D4A" w14:textId="77777777" w:rsidR="00D8365A" w:rsidRPr="00362517" w:rsidRDefault="00D8365A" w:rsidP="00BF6BC7">
            <w:pPr>
              <w:jc w:val="center"/>
            </w:pPr>
            <w:r w:rsidRPr="00362517">
              <w:t>182</w:t>
            </w:r>
          </w:p>
        </w:tc>
        <w:tc>
          <w:tcPr>
            <w:tcW w:w="890" w:type="pct"/>
            <w:shd w:val="clear" w:color="auto" w:fill="auto"/>
            <w:noWrap/>
            <w:vAlign w:val="bottom"/>
            <w:hideMark/>
          </w:tcPr>
          <w:p w14:paraId="01BCF30F" w14:textId="77777777" w:rsidR="00D8365A" w:rsidRPr="00362517" w:rsidRDefault="00D8365A" w:rsidP="00BF6BC7">
            <w:pPr>
              <w:jc w:val="center"/>
            </w:pPr>
            <w:r w:rsidRPr="00362517">
              <w:t xml:space="preserve"> $          3.34 </w:t>
            </w:r>
          </w:p>
        </w:tc>
        <w:tc>
          <w:tcPr>
            <w:tcW w:w="935" w:type="pct"/>
            <w:shd w:val="clear" w:color="auto" w:fill="auto"/>
            <w:noWrap/>
            <w:vAlign w:val="bottom"/>
            <w:hideMark/>
          </w:tcPr>
          <w:p w14:paraId="48C52B63" w14:textId="77777777" w:rsidR="00D8365A" w:rsidRPr="00362517" w:rsidRDefault="00D8365A" w:rsidP="00BF6BC7">
            <w:pPr>
              <w:jc w:val="center"/>
            </w:pPr>
            <w:r w:rsidRPr="00362517">
              <w:t xml:space="preserve"> $          94.46 </w:t>
            </w:r>
          </w:p>
        </w:tc>
      </w:tr>
      <w:tr w:rsidR="00D8365A" w:rsidRPr="00362517" w14:paraId="0B3F420C" w14:textId="77777777" w:rsidTr="007A2164">
        <w:trPr>
          <w:trHeight w:val="312"/>
        </w:trPr>
        <w:tc>
          <w:tcPr>
            <w:tcW w:w="1213" w:type="pct"/>
            <w:shd w:val="clear" w:color="auto" w:fill="auto"/>
            <w:noWrap/>
            <w:vAlign w:val="bottom"/>
            <w:hideMark/>
          </w:tcPr>
          <w:p w14:paraId="5BE9D92B" w14:textId="77777777" w:rsidR="00D8365A" w:rsidRPr="00362517" w:rsidRDefault="00D8365A" w:rsidP="00BF6BC7">
            <w:r w:rsidRPr="00362517">
              <w:t>South Carolina</w:t>
            </w:r>
          </w:p>
        </w:tc>
        <w:tc>
          <w:tcPr>
            <w:tcW w:w="1002" w:type="pct"/>
            <w:vAlign w:val="bottom"/>
          </w:tcPr>
          <w:p w14:paraId="353D3631" w14:textId="77777777" w:rsidR="00D8365A" w:rsidRPr="00362517" w:rsidRDefault="00D8365A" w:rsidP="00BF6BC7">
            <w:pPr>
              <w:jc w:val="center"/>
            </w:pPr>
            <w:r w:rsidRPr="00362517">
              <w:t>26</w:t>
            </w:r>
          </w:p>
        </w:tc>
        <w:tc>
          <w:tcPr>
            <w:tcW w:w="960" w:type="pct"/>
            <w:shd w:val="clear" w:color="auto" w:fill="auto"/>
            <w:noWrap/>
            <w:vAlign w:val="bottom"/>
            <w:hideMark/>
          </w:tcPr>
          <w:p w14:paraId="0854BB0A" w14:textId="77777777" w:rsidR="00D8365A" w:rsidRPr="00362517" w:rsidRDefault="00D8365A" w:rsidP="00BF6BC7">
            <w:pPr>
              <w:jc w:val="center"/>
            </w:pPr>
            <w:r w:rsidRPr="00362517">
              <w:t>6,468</w:t>
            </w:r>
          </w:p>
        </w:tc>
        <w:tc>
          <w:tcPr>
            <w:tcW w:w="890" w:type="pct"/>
            <w:shd w:val="clear" w:color="auto" w:fill="auto"/>
            <w:noWrap/>
            <w:vAlign w:val="bottom"/>
            <w:hideMark/>
          </w:tcPr>
          <w:p w14:paraId="35981BD1" w14:textId="77777777" w:rsidR="00D8365A" w:rsidRPr="00362517" w:rsidRDefault="00D8365A" w:rsidP="00BF6BC7">
            <w:pPr>
              <w:jc w:val="center"/>
            </w:pPr>
            <w:r w:rsidRPr="00362517">
              <w:t xml:space="preserve"> $          3.98 </w:t>
            </w:r>
          </w:p>
        </w:tc>
        <w:tc>
          <w:tcPr>
            <w:tcW w:w="935" w:type="pct"/>
            <w:shd w:val="clear" w:color="auto" w:fill="auto"/>
            <w:noWrap/>
            <w:vAlign w:val="bottom"/>
            <w:hideMark/>
          </w:tcPr>
          <w:p w14:paraId="276FE8B5" w14:textId="77777777" w:rsidR="00D8365A" w:rsidRPr="00362517" w:rsidRDefault="00D8365A" w:rsidP="00BF6BC7">
            <w:pPr>
              <w:jc w:val="center"/>
            </w:pPr>
            <w:r w:rsidRPr="00362517">
              <w:t xml:space="preserve"> $          13.52 </w:t>
            </w:r>
          </w:p>
        </w:tc>
      </w:tr>
      <w:tr w:rsidR="00D8365A" w:rsidRPr="00362517" w14:paraId="40C07104" w14:textId="77777777" w:rsidTr="007A2164">
        <w:trPr>
          <w:trHeight w:val="312"/>
        </w:trPr>
        <w:tc>
          <w:tcPr>
            <w:tcW w:w="1213" w:type="pct"/>
            <w:shd w:val="clear" w:color="auto" w:fill="auto"/>
            <w:noWrap/>
            <w:vAlign w:val="bottom"/>
            <w:hideMark/>
          </w:tcPr>
          <w:p w14:paraId="14D5751E" w14:textId="77777777" w:rsidR="00D8365A" w:rsidRPr="00362517" w:rsidRDefault="00D8365A" w:rsidP="00BF6BC7">
            <w:r w:rsidRPr="00362517">
              <w:t>South Dakota</w:t>
            </w:r>
          </w:p>
        </w:tc>
        <w:tc>
          <w:tcPr>
            <w:tcW w:w="1002" w:type="pct"/>
            <w:vAlign w:val="bottom"/>
          </w:tcPr>
          <w:p w14:paraId="5BFAC08F" w14:textId="77777777" w:rsidR="00D8365A" w:rsidRPr="00362517" w:rsidRDefault="00D8365A" w:rsidP="00BF6BC7">
            <w:pPr>
              <w:jc w:val="center"/>
            </w:pPr>
            <w:r w:rsidRPr="00362517">
              <w:t>1,235</w:t>
            </w:r>
          </w:p>
        </w:tc>
        <w:tc>
          <w:tcPr>
            <w:tcW w:w="960" w:type="pct"/>
            <w:shd w:val="clear" w:color="auto" w:fill="auto"/>
            <w:noWrap/>
            <w:vAlign w:val="bottom"/>
            <w:hideMark/>
          </w:tcPr>
          <w:p w14:paraId="3DBA24C9" w14:textId="77777777" w:rsidR="00D8365A" w:rsidRPr="00362517" w:rsidRDefault="00D8365A" w:rsidP="00BF6BC7">
            <w:pPr>
              <w:jc w:val="center"/>
            </w:pPr>
            <w:r w:rsidRPr="00362517">
              <w:t>16,448</w:t>
            </w:r>
          </w:p>
        </w:tc>
        <w:tc>
          <w:tcPr>
            <w:tcW w:w="890" w:type="pct"/>
            <w:shd w:val="clear" w:color="auto" w:fill="auto"/>
            <w:noWrap/>
            <w:vAlign w:val="bottom"/>
            <w:hideMark/>
          </w:tcPr>
          <w:p w14:paraId="29221002" w14:textId="77777777" w:rsidR="00D8365A" w:rsidRPr="00362517" w:rsidRDefault="00D8365A" w:rsidP="00BF6BC7">
            <w:pPr>
              <w:jc w:val="center"/>
            </w:pPr>
            <w:r w:rsidRPr="00362517">
              <w:t xml:space="preserve"> $        75.11 </w:t>
            </w:r>
          </w:p>
        </w:tc>
        <w:tc>
          <w:tcPr>
            <w:tcW w:w="935" w:type="pct"/>
            <w:shd w:val="clear" w:color="auto" w:fill="auto"/>
            <w:noWrap/>
            <w:vAlign w:val="bottom"/>
            <w:hideMark/>
          </w:tcPr>
          <w:p w14:paraId="1ACCE02A" w14:textId="77777777" w:rsidR="00D8365A" w:rsidRPr="00362517" w:rsidRDefault="00D8365A" w:rsidP="00BF6BC7">
            <w:pPr>
              <w:jc w:val="center"/>
            </w:pPr>
            <w:r w:rsidRPr="00362517">
              <w:t xml:space="preserve"> $          81.67 </w:t>
            </w:r>
          </w:p>
        </w:tc>
      </w:tr>
      <w:tr w:rsidR="00D8365A" w:rsidRPr="00362517" w14:paraId="230B0E2A" w14:textId="77777777" w:rsidTr="007A2164">
        <w:trPr>
          <w:trHeight w:val="312"/>
        </w:trPr>
        <w:tc>
          <w:tcPr>
            <w:tcW w:w="1213" w:type="pct"/>
            <w:shd w:val="clear" w:color="auto" w:fill="auto"/>
            <w:noWrap/>
            <w:vAlign w:val="bottom"/>
            <w:hideMark/>
          </w:tcPr>
          <w:p w14:paraId="31BC846A" w14:textId="77777777" w:rsidR="00D8365A" w:rsidRPr="00362517" w:rsidRDefault="00D8365A" w:rsidP="00BF6BC7">
            <w:r w:rsidRPr="00362517">
              <w:t>Tennessee</w:t>
            </w:r>
          </w:p>
        </w:tc>
        <w:tc>
          <w:tcPr>
            <w:tcW w:w="1002" w:type="pct"/>
            <w:vAlign w:val="bottom"/>
          </w:tcPr>
          <w:p w14:paraId="2830A7CF" w14:textId="77777777" w:rsidR="00D8365A" w:rsidRPr="00362517" w:rsidRDefault="00D8365A" w:rsidP="00BF6BC7">
            <w:pPr>
              <w:jc w:val="center"/>
            </w:pPr>
            <w:r w:rsidRPr="00362517">
              <w:t>378</w:t>
            </w:r>
          </w:p>
        </w:tc>
        <w:tc>
          <w:tcPr>
            <w:tcW w:w="960" w:type="pct"/>
            <w:shd w:val="clear" w:color="auto" w:fill="auto"/>
            <w:noWrap/>
            <w:vAlign w:val="bottom"/>
            <w:hideMark/>
          </w:tcPr>
          <w:p w14:paraId="6DA266BF" w14:textId="77777777" w:rsidR="00D8365A" w:rsidRPr="00362517" w:rsidRDefault="00D8365A" w:rsidP="00BF6BC7">
            <w:pPr>
              <w:jc w:val="center"/>
            </w:pPr>
            <w:r w:rsidRPr="00362517">
              <w:t>10,633</w:t>
            </w:r>
          </w:p>
        </w:tc>
        <w:tc>
          <w:tcPr>
            <w:tcW w:w="890" w:type="pct"/>
            <w:shd w:val="clear" w:color="auto" w:fill="auto"/>
            <w:noWrap/>
            <w:vAlign w:val="bottom"/>
            <w:hideMark/>
          </w:tcPr>
          <w:p w14:paraId="0A4C9039" w14:textId="77777777" w:rsidR="00D8365A" w:rsidRPr="00362517" w:rsidRDefault="00D8365A" w:rsidP="00BF6BC7">
            <w:pPr>
              <w:jc w:val="center"/>
            </w:pPr>
            <w:r w:rsidRPr="00362517">
              <w:t xml:space="preserve"> $        35.59 </w:t>
            </w:r>
          </w:p>
        </w:tc>
        <w:tc>
          <w:tcPr>
            <w:tcW w:w="935" w:type="pct"/>
            <w:shd w:val="clear" w:color="auto" w:fill="auto"/>
            <w:noWrap/>
            <w:vAlign w:val="bottom"/>
            <w:hideMark/>
          </w:tcPr>
          <w:p w14:paraId="36457E4D" w14:textId="77777777" w:rsidR="00D8365A" w:rsidRPr="00362517" w:rsidRDefault="00D8365A" w:rsidP="00BF6BC7">
            <w:pPr>
              <w:jc w:val="center"/>
            </w:pPr>
            <w:r w:rsidRPr="00362517">
              <w:t xml:space="preserve"> $          40.96 </w:t>
            </w:r>
          </w:p>
        </w:tc>
      </w:tr>
      <w:tr w:rsidR="00D8365A" w:rsidRPr="00362517" w14:paraId="3A0A2490" w14:textId="77777777" w:rsidTr="007A2164">
        <w:trPr>
          <w:trHeight w:val="312"/>
        </w:trPr>
        <w:tc>
          <w:tcPr>
            <w:tcW w:w="1213" w:type="pct"/>
            <w:shd w:val="clear" w:color="auto" w:fill="auto"/>
            <w:noWrap/>
            <w:vAlign w:val="bottom"/>
            <w:hideMark/>
          </w:tcPr>
          <w:p w14:paraId="7A2B31F4" w14:textId="77777777" w:rsidR="00D8365A" w:rsidRPr="00362517" w:rsidRDefault="00D8365A" w:rsidP="00BF6BC7">
            <w:r w:rsidRPr="00362517">
              <w:t>Texas</w:t>
            </w:r>
          </w:p>
        </w:tc>
        <w:tc>
          <w:tcPr>
            <w:tcW w:w="1002" w:type="pct"/>
            <w:vAlign w:val="bottom"/>
          </w:tcPr>
          <w:p w14:paraId="66284F88" w14:textId="77777777" w:rsidR="00D8365A" w:rsidRPr="00362517" w:rsidRDefault="00D8365A" w:rsidP="00BF6BC7">
            <w:pPr>
              <w:jc w:val="center"/>
            </w:pPr>
            <w:r w:rsidRPr="00362517">
              <w:t>47</w:t>
            </w:r>
          </w:p>
        </w:tc>
        <w:tc>
          <w:tcPr>
            <w:tcW w:w="960" w:type="pct"/>
            <w:shd w:val="clear" w:color="auto" w:fill="auto"/>
            <w:noWrap/>
            <w:vAlign w:val="bottom"/>
            <w:hideMark/>
          </w:tcPr>
          <w:p w14:paraId="337FF1D8" w14:textId="77777777" w:rsidR="00D8365A" w:rsidRPr="00362517" w:rsidRDefault="00D8365A" w:rsidP="00BF6BC7">
            <w:pPr>
              <w:jc w:val="center"/>
            </w:pPr>
            <w:r w:rsidRPr="00362517">
              <w:t>43,392</w:t>
            </w:r>
          </w:p>
        </w:tc>
        <w:tc>
          <w:tcPr>
            <w:tcW w:w="890" w:type="pct"/>
            <w:shd w:val="clear" w:color="auto" w:fill="auto"/>
            <w:noWrap/>
            <w:vAlign w:val="bottom"/>
            <w:hideMark/>
          </w:tcPr>
          <w:p w14:paraId="4E6DB25A" w14:textId="77777777" w:rsidR="00D8365A" w:rsidRPr="00362517" w:rsidRDefault="00D8365A" w:rsidP="00BF6BC7">
            <w:pPr>
              <w:jc w:val="center"/>
            </w:pPr>
            <w:r w:rsidRPr="00362517">
              <w:t xml:space="preserve"> $          1.08 </w:t>
            </w:r>
          </w:p>
        </w:tc>
        <w:tc>
          <w:tcPr>
            <w:tcW w:w="935" w:type="pct"/>
            <w:shd w:val="clear" w:color="auto" w:fill="auto"/>
            <w:noWrap/>
            <w:vAlign w:val="bottom"/>
            <w:hideMark/>
          </w:tcPr>
          <w:p w14:paraId="615FFA17" w14:textId="77777777" w:rsidR="00D8365A" w:rsidRPr="00362517" w:rsidRDefault="00D8365A" w:rsidP="00BF6BC7">
            <w:pPr>
              <w:jc w:val="center"/>
            </w:pPr>
            <w:r w:rsidRPr="00362517">
              <w:t xml:space="preserve"> $            3.11 </w:t>
            </w:r>
          </w:p>
        </w:tc>
      </w:tr>
      <w:tr w:rsidR="00D8365A" w:rsidRPr="00362517" w14:paraId="637CD225" w14:textId="77777777" w:rsidTr="007A2164">
        <w:trPr>
          <w:trHeight w:val="312"/>
        </w:trPr>
        <w:tc>
          <w:tcPr>
            <w:tcW w:w="1213" w:type="pct"/>
            <w:shd w:val="clear" w:color="auto" w:fill="auto"/>
            <w:noWrap/>
            <w:vAlign w:val="bottom"/>
            <w:hideMark/>
          </w:tcPr>
          <w:p w14:paraId="32298AD8" w14:textId="77777777" w:rsidR="00D8365A" w:rsidRPr="00362517" w:rsidRDefault="00D8365A" w:rsidP="00BF6BC7">
            <w:r w:rsidRPr="00362517">
              <w:t>Utah</w:t>
            </w:r>
          </w:p>
        </w:tc>
        <w:tc>
          <w:tcPr>
            <w:tcW w:w="1002" w:type="pct"/>
            <w:vAlign w:val="bottom"/>
          </w:tcPr>
          <w:p w14:paraId="7EC054D6" w14:textId="77777777" w:rsidR="00D8365A" w:rsidRPr="00362517" w:rsidRDefault="00D8365A" w:rsidP="00BF6BC7">
            <w:pPr>
              <w:jc w:val="center"/>
            </w:pPr>
            <w:r w:rsidRPr="00362517">
              <w:t>5</w:t>
            </w:r>
          </w:p>
        </w:tc>
        <w:tc>
          <w:tcPr>
            <w:tcW w:w="960" w:type="pct"/>
            <w:shd w:val="clear" w:color="auto" w:fill="auto"/>
            <w:noWrap/>
            <w:vAlign w:val="bottom"/>
            <w:hideMark/>
          </w:tcPr>
          <w:p w14:paraId="338383D0" w14:textId="77777777" w:rsidR="00D8365A" w:rsidRPr="00362517" w:rsidRDefault="00D8365A" w:rsidP="00BF6BC7">
            <w:pPr>
              <w:jc w:val="center"/>
            </w:pPr>
            <w:r w:rsidRPr="00362517">
              <w:t>1,855</w:t>
            </w:r>
          </w:p>
        </w:tc>
        <w:tc>
          <w:tcPr>
            <w:tcW w:w="890" w:type="pct"/>
            <w:shd w:val="clear" w:color="auto" w:fill="auto"/>
            <w:noWrap/>
            <w:vAlign w:val="bottom"/>
            <w:hideMark/>
          </w:tcPr>
          <w:p w14:paraId="576495F5" w14:textId="77777777" w:rsidR="00D8365A" w:rsidRPr="00362517" w:rsidRDefault="00D8365A" w:rsidP="00BF6BC7">
            <w:pPr>
              <w:jc w:val="center"/>
            </w:pPr>
            <w:r w:rsidRPr="00362517">
              <w:t xml:space="preserve"> $          2.67 </w:t>
            </w:r>
          </w:p>
        </w:tc>
        <w:tc>
          <w:tcPr>
            <w:tcW w:w="935" w:type="pct"/>
            <w:shd w:val="clear" w:color="auto" w:fill="auto"/>
            <w:noWrap/>
            <w:vAlign w:val="bottom"/>
            <w:hideMark/>
          </w:tcPr>
          <w:p w14:paraId="48D9B836" w14:textId="77777777" w:rsidR="00D8365A" w:rsidRPr="00362517" w:rsidRDefault="00D8365A" w:rsidP="00BF6BC7">
            <w:pPr>
              <w:jc w:val="center"/>
            </w:pPr>
            <w:r w:rsidRPr="00362517">
              <w:t xml:space="preserve"> $          15.18 </w:t>
            </w:r>
          </w:p>
        </w:tc>
      </w:tr>
      <w:tr w:rsidR="00D8365A" w:rsidRPr="00362517" w14:paraId="71E1D6BC" w14:textId="77777777" w:rsidTr="007A2164">
        <w:trPr>
          <w:trHeight w:val="312"/>
        </w:trPr>
        <w:tc>
          <w:tcPr>
            <w:tcW w:w="1213" w:type="pct"/>
            <w:shd w:val="clear" w:color="auto" w:fill="auto"/>
            <w:noWrap/>
            <w:vAlign w:val="bottom"/>
            <w:hideMark/>
          </w:tcPr>
          <w:p w14:paraId="4696D02D" w14:textId="77777777" w:rsidR="00D8365A" w:rsidRPr="00362517" w:rsidRDefault="00D8365A" w:rsidP="00BF6BC7">
            <w:r w:rsidRPr="00362517">
              <w:t>Vermont</w:t>
            </w:r>
          </w:p>
        </w:tc>
        <w:tc>
          <w:tcPr>
            <w:tcW w:w="1002" w:type="pct"/>
            <w:vAlign w:val="bottom"/>
          </w:tcPr>
          <w:p w14:paraId="22BD160E" w14:textId="77777777" w:rsidR="00D8365A" w:rsidRPr="00362517" w:rsidRDefault="00D8365A" w:rsidP="00BF6BC7">
            <w:pPr>
              <w:jc w:val="center"/>
            </w:pPr>
            <w:r w:rsidRPr="00362517">
              <w:t>2</w:t>
            </w:r>
          </w:p>
        </w:tc>
        <w:tc>
          <w:tcPr>
            <w:tcW w:w="960" w:type="pct"/>
            <w:shd w:val="clear" w:color="auto" w:fill="auto"/>
            <w:noWrap/>
            <w:vAlign w:val="bottom"/>
            <w:hideMark/>
          </w:tcPr>
          <w:p w14:paraId="4B03EA68" w14:textId="77777777" w:rsidR="00D8365A" w:rsidRPr="00362517" w:rsidRDefault="00D8365A" w:rsidP="00BF6BC7">
            <w:pPr>
              <w:jc w:val="center"/>
            </w:pPr>
            <w:r w:rsidRPr="00362517">
              <w:t>572</w:t>
            </w:r>
          </w:p>
        </w:tc>
        <w:tc>
          <w:tcPr>
            <w:tcW w:w="890" w:type="pct"/>
            <w:shd w:val="clear" w:color="auto" w:fill="auto"/>
            <w:noWrap/>
            <w:vAlign w:val="bottom"/>
            <w:hideMark/>
          </w:tcPr>
          <w:p w14:paraId="70447105" w14:textId="77777777" w:rsidR="00D8365A" w:rsidRPr="00362517" w:rsidRDefault="00D8365A" w:rsidP="00BF6BC7">
            <w:pPr>
              <w:jc w:val="center"/>
            </w:pPr>
            <w:r w:rsidRPr="00362517">
              <w:t xml:space="preserve"> $          3.88 </w:t>
            </w:r>
          </w:p>
        </w:tc>
        <w:tc>
          <w:tcPr>
            <w:tcW w:w="935" w:type="pct"/>
            <w:shd w:val="clear" w:color="auto" w:fill="auto"/>
            <w:noWrap/>
            <w:vAlign w:val="bottom"/>
            <w:hideMark/>
          </w:tcPr>
          <w:p w14:paraId="0CB0B379" w14:textId="77777777" w:rsidR="00D8365A" w:rsidRPr="00362517" w:rsidRDefault="00D8365A" w:rsidP="00BF6BC7">
            <w:pPr>
              <w:jc w:val="center"/>
            </w:pPr>
            <w:r w:rsidRPr="00362517">
              <w:t xml:space="preserve"> $          49.54 </w:t>
            </w:r>
          </w:p>
        </w:tc>
      </w:tr>
      <w:tr w:rsidR="00D8365A" w:rsidRPr="00362517" w14:paraId="4E117207" w14:textId="77777777" w:rsidTr="007A2164">
        <w:trPr>
          <w:trHeight w:val="312"/>
        </w:trPr>
        <w:tc>
          <w:tcPr>
            <w:tcW w:w="1213" w:type="pct"/>
            <w:shd w:val="clear" w:color="auto" w:fill="auto"/>
            <w:noWrap/>
            <w:vAlign w:val="bottom"/>
            <w:hideMark/>
          </w:tcPr>
          <w:p w14:paraId="7FF7E9D2" w14:textId="77777777" w:rsidR="00D8365A" w:rsidRPr="00362517" w:rsidRDefault="00D8365A" w:rsidP="00BF6BC7">
            <w:r w:rsidRPr="00362517">
              <w:t>Virginia</w:t>
            </w:r>
          </w:p>
        </w:tc>
        <w:tc>
          <w:tcPr>
            <w:tcW w:w="1002" w:type="pct"/>
            <w:vAlign w:val="bottom"/>
          </w:tcPr>
          <w:p w14:paraId="64D2237C" w14:textId="77777777" w:rsidR="00D8365A" w:rsidRPr="00362517" w:rsidRDefault="00D8365A" w:rsidP="00BF6BC7">
            <w:pPr>
              <w:jc w:val="center"/>
            </w:pPr>
            <w:r w:rsidRPr="00362517">
              <w:t>14</w:t>
            </w:r>
          </w:p>
        </w:tc>
        <w:tc>
          <w:tcPr>
            <w:tcW w:w="960" w:type="pct"/>
            <w:shd w:val="clear" w:color="auto" w:fill="auto"/>
            <w:noWrap/>
            <w:vAlign w:val="bottom"/>
            <w:hideMark/>
          </w:tcPr>
          <w:p w14:paraId="6CA8322C" w14:textId="77777777" w:rsidR="00D8365A" w:rsidRPr="00362517" w:rsidRDefault="00D8365A" w:rsidP="00BF6BC7">
            <w:pPr>
              <w:jc w:val="center"/>
            </w:pPr>
            <w:r w:rsidRPr="00362517">
              <w:t>6,505</w:t>
            </w:r>
          </w:p>
        </w:tc>
        <w:tc>
          <w:tcPr>
            <w:tcW w:w="890" w:type="pct"/>
            <w:shd w:val="clear" w:color="auto" w:fill="auto"/>
            <w:noWrap/>
            <w:vAlign w:val="bottom"/>
            <w:hideMark/>
          </w:tcPr>
          <w:p w14:paraId="0B99B1EE" w14:textId="77777777" w:rsidR="00D8365A" w:rsidRPr="00362517" w:rsidRDefault="00D8365A" w:rsidP="00BF6BC7">
            <w:pPr>
              <w:jc w:val="center"/>
            </w:pPr>
            <w:r w:rsidRPr="00362517">
              <w:t xml:space="preserve"> $          2.19 </w:t>
            </w:r>
          </w:p>
        </w:tc>
        <w:tc>
          <w:tcPr>
            <w:tcW w:w="935" w:type="pct"/>
            <w:shd w:val="clear" w:color="auto" w:fill="auto"/>
            <w:noWrap/>
            <w:vAlign w:val="bottom"/>
            <w:hideMark/>
          </w:tcPr>
          <w:p w14:paraId="224BB953" w14:textId="77777777" w:rsidR="00D8365A" w:rsidRPr="00362517" w:rsidRDefault="00D8365A" w:rsidP="00BF6BC7">
            <w:pPr>
              <w:jc w:val="center"/>
            </w:pPr>
            <w:r w:rsidRPr="00362517">
              <w:t xml:space="preserve"> $            9.89 </w:t>
            </w:r>
          </w:p>
        </w:tc>
      </w:tr>
      <w:tr w:rsidR="00D8365A" w:rsidRPr="00362517" w14:paraId="37A6F454" w14:textId="77777777" w:rsidTr="007A2164">
        <w:trPr>
          <w:trHeight w:val="312"/>
        </w:trPr>
        <w:tc>
          <w:tcPr>
            <w:tcW w:w="1213" w:type="pct"/>
            <w:shd w:val="clear" w:color="auto" w:fill="auto"/>
            <w:noWrap/>
            <w:vAlign w:val="bottom"/>
            <w:hideMark/>
          </w:tcPr>
          <w:p w14:paraId="0E505E52" w14:textId="77777777" w:rsidR="00D8365A" w:rsidRPr="00362517" w:rsidRDefault="00D8365A" w:rsidP="00BF6BC7">
            <w:r w:rsidRPr="00362517">
              <w:t>Washington</w:t>
            </w:r>
          </w:p>
        </w:tc>
        <w:tc>
          <w:tcPr>
            <w:tcW w:w="1002" w:type="pct"/>
            <w:vAlign w:val="bottom"/>
          </w:tcPr>
          <w:p w14:paraId="3C3F3938" w14:textId="77777777" w:rsidR="00D8365A" w:rsidRPr="00362517" w:rsidRDefault="00D8365A" w:rsidP="00BF6BC7">
            <w:pPr>
              <w:jc w:val="center"/>
            </w:pPr>
            <w:r w:rsidRPr="00362517">
              <w:t>71</w:t>
            </w:r>
          </w:p>
        </w:tc>
        <w:tc>
          <w:tcPr>
            <w:tcW w:w="960" w:type="pct"/>
            <w:shd w:val="clear" w:color="auto" w:fill="auto"/>
            <w:noWrap/>
            <w:vAlign w:val="bottom"/>
            <w:hideMark/>
          </w:tcPr>
          <w:p w14:paraId="6082F37B" w14:textId="77777777" w:rsidR="00D8365A" w:rsidRPr="00362517" w:rsidRDefault="00D8365A" w:rsidP="00BF6BC7">
            <w:pPr>
              <w:jc w:val="center"/>
            </w:pPr>
            <w:r w:rsidRPr="00362517">
              <w:t>13,846</w:t>
            </w:r>
          </w:p>
        </w:tc>
        <w:tc>
          <w:tcPr>
            <w:tcW w:w="890" w:type="pct"/>
            <w:shd w:val="clear" w:color="auto" w:fill="auto"/>
            <w:noWrap/>
            <w:vAlign w:val="bottom"/>
            <w:hideMark/>
          </w:tcPr>
          <w:p w14:paraId="1AC3A33B" w14:textId="77777777" w:rsidR="00D8365A" w:rsidRPr="00362517" w:rsidRDefault="00D8365A" w:rsidP="00BF6BC7">
            <w:pPr>
              <w:jc w:val="center"/>
            </w:pPr>
            <w:r w:rsidRPr="00362517">
              <w:t xml:space="preserve"> $          5.14 </w:t>
            </w:r>
          </w:p>
        </w:tc>
        <w:tc>
          <w:tcPr>
            <w:tcW w:w="935" w:type="pct"/>
            <w:shd w:val="clear" w:color="auto" w:fill="auto"/>
            <w:noWrap/>
            <w:vAlign w:val="bottom"/>
            <w:hideMark/>
          </w:tcPr>
          <w:p w14:paraId="5E59D756" w14:textId="77777777" w:rsidR="00D8365A" w:rsidRPr="00362517" w:rsidRDefault="00D8365A" w:rsidP="00BF6BC7">
            <w:pPr>
              <w:jc w:val="center"/>
            </w:pPr>
            <w:r w:rsidRPr="00362517">
              <w:t xml:space="preserve"> $          13.18 </w:t>
            </w:r>
          </w:p>
        </w:tc>
      </w:tr>
      <w:tr w:rsidR="00D8365A" w:rsidRPr="00362517" w14:paraId="6B272C99" w14:textId="77777777" w:rsidTr="007A2164">
        <w:trPr>
          <w:trHeight w:val="312"/>
        </w:trPr>
        <w:tc>
          <w:tcPr>
            <w:tcW w:w="1213" w:type="pct"/>
            <w:shd w:val="clear" w:color="auto" w:fill="auto"/>
            <w:noWrap/>
            <w:vAlign w:val="bottom"/>
            <w:hideMark/>
          </w:tcPr>
          <w:p w14:paraId="1AF81E8C" w14:textId="77777777" w:rsidR="00D8365A" w:rsidRPr="00362517" w:rsidRDefault="00D8365A" w:rsidP="00BF6BC7">
            <w:r w:rsidRPr="00362517">
              <w:t>West Virginia</w:t>
            </w:r>
          </w:p>
        </w:tc>
        <w:tc>
          <w:tcPr>
            <w:tcW w:w="1002" w:type="pct"/>
            <w:vAlign w:val="bottom"/>
          </w:tcPr>
          <w:p w14:paraId="3BB8A725" w14:textId="77777777" w:rsidR="00D8365A" w:rsidRPr="00362517" w:rsidRDefault="00D8365A" w:rsidP="00BF6BC7">
            <w:pPr>
              <w:jc w:val="center"/>
            </w:pPr>
            <w:r w:rsidRPr="00362517">
              <w:t>4</w:t>
            </w:r>
          </w:p>
        </w:tc>
        <w:tc>
          <w:tcPr>
            <w:tcW w:w="960" w:type="pct"/>
            <w:shd w:val="clear" w:color="auto" w:fill="auto"/>
            <w:noWrap/>
            <w:vAlign w:val="bottom"/>
            <w:hideMark/>
          </w:tcPr>
          <w:p w14:paraId="35F0F874" w14:textId="77777777" w:rsidR="00D8365A" w:rsidRPr="00362517" w:rsidRDefault="00D8365A" w:rsidP="00BF6BC7">
            <w:pPr>
              <w:jc w:val="center"/>
            </w:pPr>
            <w:r w:rsidRPr="00362517">
              <w:t>1,224</w:t>
            </w:r>
          </w:p>
        </w:tc>
        <w:tc>
          <w:tcPr>
            <w:tcW w:w="890" w:type="pct"/>
            <w:shd w:val="clear" w:color="auto" w:fill="auto"/>
            <w:noWrap/>
            <w:vAlign w:val="bottom"/>
            <w:hideMark/>
          </w:tcPr>
          <w:p w14:paraId="787854F3" w14:textId="77777777" w:rsidR="00D8365A" w:rsidRPr="00362517" w:rsidRDefault="00D8365A" w:rsidP="00BF6BC7">
            <w:pPr>
              <w:jc w:val="center"/>
            </w:pPr>
            <w:r w:rsidRPr="00362517">
              <w:t xml:space="preserve"> $          3.32 </w:t>
            </w:r>
          </w:p>
        </w:tc>
        <w:tc>
          <w:tcPr>
            <w:tcW w:w="935" w:type="pct"/>
            <w:shd w:val="clear" w:color="auto" w:fill="auto"/>
            <w:noWrap/>
            <w:vAlign w:val="bottom"/>
            <w:hideMark/>
          </w:tcPr>
          <w:p w14:paraId="3B5FF42D" w14:textId="77777777" w:rsidR="00D8365A" w:rsidRPr="00362517" w:rsidRDefault="00D8365A" w:rsidP="00BF6BC7">
            <w:pPr>
              <w:jc w:val="center"/>
            </w:pPr>
            <w:r w:rsidRPr="00362517">
              <w:t xml:space="preserve"> $          29.06 </w:t>
            </w:r>
          </w:p>
        </w:tc>
      </w:tr>
      <w:tr w:rsidR="00D8365A" w:rsidRPr="00362517" w14:paraId="14E4778C" w14:textId="77777777" w:rsidTr="007A2164">
        <w:trPr>
          <w:trHeight w:val="312"/>
        </w:trPr>
        <w:tc>
          <w:tcPr>
            <w:tcW w:w="1213" w:type="pct"/>
            <w:shd w:val="clear" w:color="auto" w:fill="auto"/>
            <w:noWrap/>
            <w:vAlign w:val="bottom"/>
            <w:hideMark/>
          </w:tcPr>
          <w:p w14:paraId="58E6EA02" w14:textId="77777777" w:rsidR="00D8365A" w:rsidRPr="00362517" w:rsidRDefault="00D8365A" w:rsidP="00BF6BC7">
            <w:r w:rsidRPr="00362517">
              <w:t>Wisconsin</w:t>
            </w:r>
          </w:p>
        </w:tc>
        <w:tc>
          <w:tcPr>
            <w:tcW w:w="1002" w:type="pct"/>
            <w:vAlign w:val="bottom"/>
          </w:tcPr>
          <w:p w14:paraId="2DAC3574" w14:textId="77777777" w:rsidR="00D8365A" w:rsidRPr="00362517" w:rsidRDefault="00D8365A" w:rsidP="00BF6BC7">
            <w:pPr>
              <w:jc w:val="center"/>
            </w:pPr>
            <w:r w:rsidRPr="00362517">
              <w:t>73</w:t>
            </w:r>
          </w:p>
        </w:tc>
        <w:tc>
          <w:tcPr>
            <w:tcW w:w="960" w:type="pct"/>
            <w:shd w:val="clear" w:color="auto" w:fill="auto"/>
            <w:noWrap/>
            <w:vAlign w:val="bottom"/>
            <w:hideMark/>
          </w:tcPr>
          <w:p w14:paraId="428B7E1B" w14:textId="77777777" w:rsidR="00D8365A" w:rsidRPr="00362517" w:rsidRDefault="00D8365A" w:rsidP="00BF6BC7">
            <w:pPr>
              <w:jc w:val="center"/>
            </w:pPr>
            <w:r w:rsidRPr="00362517">
              <w:t>13,740</w:t>
            </w:r>
          </w:p>
        </w:tc>
        <w:tc>
          <w:tcPr>
            <w:tcW w:w="890" w:type="pct"/>
            <w:shd w:val="clear" w:color="auto" w:fill="auto"/>
            <w:noWrap/>
            <w:vAlign w:val="bottom"/>
            <w:hideMark/>
          </w:tcPr>
          <w:p w14:paraId="7C7198EA" w14:textId="77777777" w:rsidR="00D8365A" w:rsidRPr="00362517" w:rsidRDefault="00D8365A" w:rsidP="00BF6BC7">
            <w:pPr>
              <w:jc w:val="center"/>
            </w:pPr>
            <w:r w:rsidRPr="00362517">
              <w:t xml:space="preserve"> $          5.35 </w:t>
            </w:r>
          </w:p>
        </w:tc>
        <w:tc>
          <w:tcPr>
            <w:tcW w:w="935" w:type="pct"/>
            <w:shd w:val="clear" w:color="auto" w:fill="auto"/>
            <w:noWrap/>
            <w:vAlign w:val="bottom"/>
            <w:hideMark/>
          </w:tcPr>
          <w:p w14:paraId="2D04314F" w14:textId="77777777" w:rsidR="00D8365A" w:rsidRPr="00362517" w:rsidRDefault="00D8365A" w:rsidP="00BF6BC7">
            <w:pPr>
              <w:jc w:val="center"/>
            </w:pPr>
            <w:r w:rsidRPr="00362517">
              <w:t xml:space="preserve"> $            9.84 </w:t>
            </w:r>
          </w:p>
        </w:tc>
      </w:tr>
      <w:tr w:rsidR="00D8365A" w:rsidRPr="00362517" w14:paraId="16595E85" w14:textId="77777777" w:rsidTr="007A2164">
        <w:trPr>
          <w:trHeight w:val="312"/>
        </w:trPr>
        <w:tc>
          <w:tcPr>
            <w:tcW w:w="1213" w:type="pct"/>
            <w:shd w:val="clear" w:color="auto" w:fill="auto"/>
            <w:noWrap/>
            <w:vAlign w:val="bottom"/>
            <w:hideMark/>
          </w:tcPr>
          <w:p w14:paraId="1BCAF327" w14:textId="77777777" w:rsidR="00D8365A" w:rsidRPr="00362517" w:rsidRDefault="00D8365A" w:rsidP="00BF6BC7">
            <w:r w:rsidRPr="00362517">
              <w:t>Wyoming</w:t>
            </w:r>
          </w:p>
        </w:tc>
        <w:tc>
          <w:tcPr>
            <w:tcW w:w="1002" w:type="pct"/>
            <w:vAlign w:val="bottom"/>
          </w:tcPr>
          <w:p w14:paraId="53DEE8F9" w14:textId="77777777" w:rsidR="00D8365A" w:rsidRPr="00362517" w:rsidRDefault="00D8365A" w:rsidP="00BF6BC7">
            <w:pPr>
              <w:jc w:val="center"/>
            </w:pPr>
            <w:r w:rsidRPr="00362517">
              <w:t>150</w:t>
            </w:r>
          </w:p>
        </w:tc>
        <w:tc>
          <w:tcPr>
            <w:tcW w:w="960" w:type="pct"/>
            <w:shd w:val="clear" w:color="auto" w:fill="auto"/>
            <w:noWrap/>
            <w:vAlign w:val="bottom"/>
            <w:hideMark/>
          </w:tcPr>
          <w:p w14:paraId="299C6F13" w14:textId="77777777" w:rsidR="00D8365A" w:rsidRPr="00362517" w:rsidRDefault="00D8365A" w:rsidP="00BF6BC7">
            <w:pPr>
              <w:jc w:val="center"/>
            </w:pPr>
            <w:r w:rsidRPr="00362517">
              <w:t>4,591</w:t>
            </w:r>
          </w:p>
        </w:tc>
        <w:tc>
          <w:tcPr>
            <w:tcW w:w="890" w:type="pct"/>
            <w:shd w:val="clear" w:color="auto" w:fill="auto"/>
            <w:noWrap/>
            <w:vAlign w:val="bottom"/>
            <w:hideMark/>
          </w:tcPr>
          <w:p w14:paraId="715E04D7" w14:textId="77777777" w:rsidR="00D8365A" w:rsidRPr="00362517" w:rsidRDefault="00D8365A" w:rsidP="00BF6BC7">
            <w:pPr>
              <w:jc w:val="center"/>
            </w:pPr>
            <w:r w:rsidRPr="00362517">
              <w:t xml:space="preserve"> $        32.69 </w:t>
            </w:r>
          </w:p>
        </w:tc>
        <w:tc>
          <w:tcPr>
            <w:tcW w:w="935" w:type="pct"/>
            <w:shd w:val="clear" w:color="auto" w:fill="auto"/>
            <w:noWrap/>
            <w:vAlign w:val="bottom"/>
            <w:hideMark/>
          </w:tcPr>
          <w:p w14:paraId="3EEC9D3F" w14:textId="77777777" w:rsidR="00D8365A" w:rsidRPr="00362517" w:rsidRDefault="00D8365A" w:rsidP="00BF6BC7">
            <w:pPr>
              <w:jc w:val="center"/>
            </w:pPr>
            <w:r w:rsidRPr="00362517">
              <w:t xml:space="preserve"> $          44.66 </w:t>
            </w:r>
          </w:p>
        </w:tc>
      </w:tr>
      <w:tr w:rsidR="00D8365A" w:rsidRPr="00362517" w14:paraId="537425BE" w14:textId="77777777" w:rsidTr="007A2164">
        <w:trPr>
          <w:trHeight w:val="312"/>
        </w:trPr>
        <w:tc>
          <w:tcPr>
            <w:tcW w:w="1213" w:type="pct"/>
            <w:shd w:val="clear" w:color="auto" w:fill="auto"/>
            <w:noWrap/>
            <w:vAlign w:val="bottom"/>
            <w:hideMark/>
          </w:tcPr>
          <w:p w14:paraId="7D8BC59E" w14:textId="77777777" w:rsidR="00D8365A" w:rsidRPr="00362517" w:rsidRDefault="00D8365A" w:rsidP="00BF6BC7">
            <w:r w:rsidRPr="00362517">
              <w:t>Puerto Rico</w:t>
            </w:r>
          </w:p>
        </w:tc>
        <w:tc>
          <w:tcPr>
            <w:tcW w:w="1002" w:type="pct"/>
            <w:vAlign w:val="bottom"/>
          </w:tcPr>
          <w:p w14:paraId="76292C2A" w14:textId="77777777" w:rsidR="00D8365A" w:rsidRPr="00362517" w:rsidRDefault="00D8365A" w:rsidP="00BF6BC7">
            <w:pPr>
              <w:jc w:val="center"/>
            </w:pPr>
            <w:r w:rsidRPr="00362517">
              <w:t>152</w:t>
            </w:r>
          </w:p>
        </w:tc>
        <w:tc>
          <w:tcPr>
            <w:tcW w:w="960" w:type="pct"/>
            <w:shd w:val="clear" w:color="auto" w:fill="auto"/>
            <w:noWrap/>
            <w:vAlign w:val="bottom"/>
            <w:hideMark/>
          </w:tcPr>
          <w:p w14:paraId="24904B82" w14:textId="77777777" w:rsidR="00D8365A" w:rsidRPr="00362517" w:rsidRDefault="00D8365A" w:rsidP="00BF6BC7">
            <w:pPr>
              <w:jc w:val="center"/>
            </w:pPr>
            <w:r w:rsidRPr="00362517">
              <w:t>17,498</w:t>
            </w:r>
          </w:p>
        </w:tc>
        <w:tc>
          <w:tcPr>
            <w:tcW w:w="890" w:type="pct"/>
            <w:shd w:val="clear" w:color="auto" w:fill="auto"/>
            <w:noWrap/>
            <w:vAlign w:val="bottom"/>
            <w:hideMark/>
          </w:tcPr>
          <w:p w14:paraId="4EAD84A1" w14:textId="77777777" w:rsidR="00D8365A" w:rsidRPr="00362517" w:rsidRDefault="00D8365A" w:rsidP="00BF6BC7">
            <w:pPr>
              <w:jc w:val="center"/>
            </w:pPr>
            <w:r w:rsidRPr="00362517">
              <w:t xml:space="preserve"> $          8.70 </w:t>
            </w:r>
          </w:p>
        </w:tc>
        <w:tc>
          <w:tcPr>
            <w:tcW w:w="935" w:type="pct"/>
            <w:shd w:val="clear" w:color="auto" w:fill="auto"/>
            <w:noWrap/>
            <w:vAlign w:val="bottom"/>
            <w:hideMark/>
          </w:tcPr>
          <w:p w14:paraId="71C5FC7C" w14:textId="77777777" w:rsidR="00D8365A" w:rsidRPr="00362517" w:rsidRDefault="00D8365A" w:rsidP="00BF6BC7">
            <w:pPr>
              <w:jc w:val="center"/>
            </w:pPr>
            <w:r w:rsidRPr="00362517">
              <w:t xml:space="preserve"> $          13.66 </w:t>
            </w:r>
          </w:p>
        </w:tc>
      </w:tr>
      <w:tr w:rsidR="00D8365A" w:rsidRPr="00362517" w14:paraId="02F7FD90" w14:textId="77777777" w:rsidTr="007A2164">
        <w:trPr>
          <w:trHeight w:val="312"/>
        </w:trPr>
        <w:tc>
          <w:tcPr>
            <w:tcW w:w="1213" w:type="pct"/>
            <w:shd w:val="clear" w:color="auto" w:fill="auto"/>
            <w:noWrap/>
            <w:vAlign w:val="bottom"/>
            <w:hideMark/>
          </w:tcPr>
          <w:p w14:paraId="29D8DE3D" w14:textId="77777777" w:rsidR="00D8365A" w:rsidRPr="00362517" w:rsidRDefault="00D8365A" w:rsidP="00BF6BC7">
            <w:r w:rsidRPr="00362517">
              <w:t xml:space="preserve">Other </w:t>
            </w:r>
          </w:p>
        </w:tc>
        <w:tc>
          <w:tcPr>
            <w:tcW w:w="1002" w:type="pct"/>
            <w:vAlign w:val="bottom"/>
          </w:tcPr>
          <w:p w14:paraId="7FD2996E" w14:textId="77777777" w:rsidR="00D8365A" w:rsidRPr="00362517" w:rsidRDefault="00D8365A" w:rsidP="00BF6BC7">
            <w:pPr>
              <w:jc w:val="center"/>
            </w:pPr>
            <w:r w:rsidRPr="00362517">
              <w:t>13</w:t>
            </w:r>
          </w:p>
        </w:tc>
        <w:tc>
          <w:tcPr>
            <w:tcW w:w="960" w:type="pct"/>
            <w:shd w:val="clear" w:color="auto" w:fill="auto"/>
            <w:noWrap/>
            <w:vAlign w:val="bottom"/>
            <w:hideMark/>
          </w:tcPr>
          <w:p w14:paraId="4D5517E8" w14:textId="77777777" w:rsidR="00D8365A" w:rsidRPr="00362517" w:rsidRDefault="00D8365A" w:rsidP="00BF6BC7">
            <w:pPr>
              <w:jc w:val="center"/>
            </w:pPr>
            <w:r w:rsidRPr="00362517">
              <w:t>320</w:t>
            </w:r>
          </w:p>
        </w:tc>
        <w:tc>
          <w:tcPr>
            <w:tcW w:w="890" w:type="pct"/>
            <w:shd w:val="clear" w:color="auto" w:fill="auto"/>
            <w:noWrap/>
            <w:vAlign w:val="bottom"/>
            <w:hideMark/>
          </w:tcPr>
          <w:p w14:paraId="5482FE5D" w14:textId="77777777" w:rsidR="00D8365A" w:rsidRPr="00362517" w:rsidRDefault="00D8365A" w:rsidP="00BF6BC7">
            <w:pPr>
              <w:jc w:val="center"/>
            </w:pPr>
            <w:r w:rsidRPr="00362517">
              <w:t xml:space="preserve"> $        41.40 </w:t>
            </w:r>
          </w:p>
        </w:tc>
        <w:tc>
          <w:tcPr>
            <w:tcW w:w="935" w:type="pct"/>
            <w:shd w:val="clear" w:color="auto" w:fill="auto"/>
            <w:noWrap/>
            <w:vAlign w:val="bottom"/>
            <w:hideMark/>
          </w:tcPr>
          <w:p w14:paraId="406522E2" w14:textId="77777777" w:rsidR="00D8365A" w:rsidRPr="00362517" w:rsidRDefault="00D8365A" w:rsidP="00BF6BC7">
            <w:pPr>
              <w:jc w:val="center"/>
            </w:pPr>
            <w:r w:rsidRPr="00362517">
              <w:t xml:space="preserve"> $          66.64 </w:t>
            </w:r>
          </w:p>
        </w:tc>
      </w:tr>
      <w:tr w:rsidR="00D8365A" w:rsidRPr="00362517" w14:paraId="114D9D05" w14:textId="77777777" w:rsidTr="007A2164">
        <w:trPr>
          <w:trHeight w:val="324"/>
        </w:trPr>
        <w:tc>
          <w:tcPr>
            <w:tcW w:w="1213" w:type="pct"/>
            <w:shd w:val="clear" w:color="auto" w:fill="auto"/>
            <w:noWrap/>
            <w:vAlign w:val="bottom"/>
            <w:hideMark/>
          </w:tcPr>
          <w:p w14:paraId="7EC73F65" w14:textId="77777777" w:rsidR="00D8365A" w:rsidRPr="00362517" w:rsidRDefault="00D8365A" w:rsidP="00BF6BC7">
            <w:pPr>
              <w:rPr>
                <w:b/>
                <w:bCs/>
              </w:rPr>
            </w:pPr>
            <w:r w:rsidRPr="00362517">
              <w:rPr>
                <w:b/>
                <w:bCs/>
              </w:rPr>
              <w:t>U.S. Total</w:t>
            </w:r>
          </w:p>
        </w:tc>
        <w:tc>
          <w:tcPr>
            <w:tcW w:w="1002" w:type="pct"/>
            <w:vAlign w:val="bottom"/>
          </w:tcPr>
          <w:p w14:paraId="3CD80DD7" w14:textId="77777777" w:rsidR="00D8365A" w:rsidRPr="00362517" w:rsidRDefault="00D8365A" w:rsidP="00BF6BC7">
            <w:pPr>
              <w:jc w:val="center"/>
              <w:rPr>
                <w:b/>
                <w:bCs/>
              </w:rPr>
            </w:pPr>
            <w:r w:rsidRPr="00362517">
              <w:rPr>
                <w:b/>
                <w:bCs/>
              </w:rPr>
              <w:t>8,600</w:t>
            </w:r>
          </w:p>
        </w:tc>
        <w:tc>
          <w:tcPr>
            <w:tcW w:w="960" w:type="pct"/>
            <w:shd w:val="clear" w:color="auto" w:fill="auto"/>
            <w:noWrap/>
            <w:vAlign w:val="bottom"/>
            <w:hideMark/>
          </w:tcPr>
          <w:p w14:paraId="4797BD28" w14:textId="77777777" w:rsidR="00D8365A" w:rsidRPr="00362517" w:rsidRDefault="00D8365A" w:rsidP="00BF6BC7">
            <w:pPr>
              <w:jc w:val="center"/>
              <w:rPr>
                <w:b/>
                <w:bCs/>
              </w:rPr>
            </w:pPr>
            <w:r w:rsidRPr="00362517">
              <w:rPr>
                <w:b/>
                <w:bCs/>
              </w:rPr>
              <w:t>482,925</w:t>
            </w:r>
          </w:p>
        </w:tc>
        <w:tc>
          <w:tcPr>
            <w:tcW w:w="890" w:type="pct"/>
            <w:shd w:val="clear" w:color="auto" w:fill="auto"/>
            <w:noWrap/>
            <w:vAlign w:val="bottom"/>
            <w:hideMark/>
          </w:tcPr>
          <w:p w14:paraId="23408F62" w14:textId="77777777" w:rsidR="00D8365A" w:rsidRPr="00362517" w:rsidRDefault="00D8365A" w:rsidP="00BF6BC7">
            <w:pPr>
              <w:jc w:val="center"/>
              <w:rPr>
                <w:b/>
                <w:bCs/>
              </w:rPr>
            </w:pPr>
            <w:r w:rsidRPr="00362517">
              <w:rPr>
                <w:b/>
                <w:bCs/>
              </w:rPr>
              <w:t xml:space="preserve"> $        17.81 </w:t>
            </w:r>
          </w:p>
        </w:tc>
        <w:tc>
          <w:tcPr>
            <w:tcW w:w="935" w:type="pct"/>
            <w:shd w:val="clear" w:color="auto" w:fill="auto"/>
            <w:noWrap/>
            <w:vAlign w:val="bottom"/>
            <w:hideMark/>
          </w:tcPr>
          <w:p w14:paraId="7EC972FF" w14:textId="77777777" w:rsidR="00D8365A" w:rsidRPr="00362517" w:rsidRDefault="00D8365A" w:rsidP="00BF6BC7">
            <w:pPr>
              <w:jc w:val="center"/>
              <w:rPr>
                <w:b/>
                <w:bCs/>
              </w:rPr>
            </w:pPr>
            <w:r w:rsidRPr="00362517">
              <w:rPr>
                <w:b/>
                <w:bCs/>
              </w:rPr>
              <w:t xml:space="preserve"> $          25.05 </w:t>
            </w:r>
          </w:p>
        </w:tc>
      </w:tr>
    </w:tbl>
    <w:p w14:paraId="698D905F" w14:textId="0741060B" w:rsidR="00D8365A" w:rsidRPr="00362517" w:rsidRDefault="00D8365A" w:rsidP="00BF6BC7">
      <w:pPr>
        <w:rPr>
          <w:sz w:val="22"/>
          <w:szCs w:val="22"/>
        </w:rPr>
      </w:pPr>
      <w:r w:rsidRPr="00362517">
        <w:rPr>
          <w:sz w:val="22"/>
          <w:szCs w:val="22"/>
        </w:rPr>
        <w:t>Source:  EPA calculations using a three percent discount rate over a ten</w:t>
      </w:r>
      <w:r w:rsidR="00CA28EA">
        <w:rPr>
          <w:sz w:val="22"/>
          <w:szCs w:val="22"/>
        </w:rPr>
        <w:t>-</w:t>
      </w:r>
      <w:r w:rsidRPr="00362517">
        <w:rPr>
          <w:sz w:val="22"/>
          <w:szCs w:val="22"/>
        </w:rPr>
        <w:t>year period.  Columns may not sum due to rounding.</w:t>
      </w:r>
    </w:p>
    <w:p w14:paraId="76E87841" w14:textId="77777777" w:rsidR="00D8365A" w:rsidRPr="00362517" w:rsidRDefault="00D8365A" w:rsidP="00BF6BC7">
      <w:pPr>
        <w:rPr>
          <w:sz w:val="22"/>
          <w:szCs w:val="22"/>
        </w:rPr>
      </w:pPr>
    </w:p>
    <w:p w14:paraId="4F5A5D75" w14:textId="77777777" w:rsidR="00D8365A" w:rsidRPr="00362517" w:rsidRDefault="00D8365A" w:rsidP="00BF6BC7"/>
    <w:p w14:paraId="58C0377B" w14:textId="77777777" w:rsidR="00D8365A" w:rsidRPr="00362517" w:rsidRDefault="00D8365A" w:rsidP="00BF6BC7">
      <w:r w:rsidRPr="00362517">
        <w:t xml:space="preserve">In the following discussions, the cost per applicator refers to the average incremental cost per applicator, </w:t>
      </w:r>
      <w:r w:rsidRPr="00362517">
        <w:rPr>
          <w:i/>
        </w:rPr>
        <w:t>including</w:t>
      </w:r>
      <w:r w:rsidRPr="00362517">
        <w:t xml:space="preserve"> the fee increase, unless otherwise noted.  The average cost per private applicator across the United States is estimated to be about $25.05 per year (Table 3.6-1).  There is substantial variation across states, however.  Average incremental cost per private applicator is estimated to be less than $10 per year in 14 states while applicators in five states – Arkansas, Georgia, Kentucky, Missouri, and South Dakota – are expected to bear incremental cost of over $64 to $107 per year.  High costs for Rhode Island ($94 per year) and Alaska ($127 per year) are because the total increase in state costs is divided by a small number of certified applicators to find the per applicator cost.</w:t>
      </w:r>
    </w:p>
    <w:p w14:paraId="611D4BB0" w14:textId="77777777" w:rsidR="00D8365A" w:rsidRPr="00362517" w:rsidRDefault="00D8365A" w:rsidP="00BF6BC7"/>
    <w:p w14:paraId="3BED8F41" w14:textId="77777777" w:rsidR="00D8365A" w:rsidRPr="00362517" w:rsidRDefault="00D8365A" w:rsidP="00BF6BC7">
      <w:r w:rsidRPr="00362517">
        <w:t>The average cost per applicator can be influenced by the turnover in applicators.  For example, Georgia, Kentucky, and Tennessee have very similar requirements for certification and recertification, but the average per-applicator cost in Kentucky is higher because they have a higher proportion of first-time applicators obtaining certification, who face much higher incremental costs than do applicators obtaining recertification.  Compared to current state requirements, the revised certification requirements will increase the cost of initial certification in those states by about $620 per applicator.  Two things should be noted.  Initial certification is a one-time cost, not an annual cost, and this increase in cost largely brings the cost of certification in these states in line with the cost to applicators in other certifying authorities.</w:t>
      </w:r>
    </w:p>
    <w:p w14:paraId="239D952B" w14:textId="77777777" w:rsidR="00D8365A" w:rsidRPr="00362517" w:rsidRDefault="00D8365A" w:rsidP="00BF6BC7"/>
    <w:p w14:paraId="6F706351" w14:textId="77777777" w:rsidR="00D8365A" w:rsidRPr="00362517" w:rsidRDefault="00D8365A" w:rsidP="00BF6BC7">
      <w:r w:rsidRPr="00362517">
        <w:t xml:space="preserve">As to the impact on jobs, it is important to note that most private applicators are self-employed as the owner or operator of a farm or livestock operation.  Some operations, however, would employ a pesticide applicator and he or she may need to be certified.  A closer examination of the incremental costs to applicators may be revealing; we use Kentucky as an example.  Kentucky has the second highest per-applicator costs and is therefore the place most likely to see an impact.  Alaska is actually the state with the highest average per-applicator cost, but Alaska private applicators may not represent a typical private applicator (usually a farmer) for the U.S.  Consider a farm in Kentucky that may need to use an RUP and therefore employs a private applicator.  Let us assume that there is a 20 percent chance over a ten-year time horizon that an initial certification is needed while 80 percent of the time the holder may need recertification.  This represents the likelihood of turnover in employees, where newly certified applicators in Kentucky make up nearly 20 percent of the total number of applicators.  </w:t>
      </w:r>
    </w:p>
    <w:p w14:paraId="459F0C51" w14:textId="77777777" w:rsidR="00D8365A" w:rsidRPr="00362517" w:rsidRDefault="00D8365A" w:rsidP="00BF6BC7"/>
    <w:p w14:paraId="01A85CDE" w14:textId="77777777" w:rsidR="00D8365A" w:rsidRPr="00362517" w:rsidRDefault="00D8365A" w:rsidP="00BF6BC7">
      <w:r w:rsidRPr="00362517">
        <w:t>According to wage data from BLS (2016a), a private applicator earns about $35.17 per hour and costs the employer about $51.45 per hour, including non-monetary benefits.  Employing an applicator 40 hours per week for a six-month growing season would therefore cost about $53,500.  Kentucky is the place most likely to see an impact, with the second highest per-applicator cost of $107 per year (Table 3.6-1).  This represents 0.2 percent of the cost of employing the applicator.  For the applicator, a 40-hour week for six months implies a take-home pay of just over $36,600.  A per-applicator cost of $107 per year represents about 0.3 percent of the typical salary for a certified applicator.  Given this analysis, EPA concludes that the revisions to the Certification requirements will not negatively impact employment for private applicators in Kentucky.  Because Kentucky is a state with one of the highest incremental costs, employment effects are unlikely in other states, also.</w:t>
      </w:r>
    </w:p>
    <w:p w14:paraId="32FF512B" w14:textId="77777777" w:rsidR="00D8365A" w:rsidRPr="00362517" w:rsidRDefault="00D8365A" w:rsidP="00BF6BC7"/>
    <w:p w14:paraId="07D9B205" w14:textId="77777777" w:rsidR="00D8365A" w:rsidRPr="00362517" w:rsidRDefault="00D8365A" w:rsidP="00BF6BC7">
      <w:pPr>
        <w:rPr>
          <w:b/>
          <w:i/>
        </w:rPr>
      </w:pPr>
      <w:r w:rsidRPr="00362517">
        <w:rPr>
          <w:b/>
          <w:i/>
        </w:rPr>
        <w:t>Commercial Applicators</w:t>
      </w:r>
    </w:p>
    <w:p w14:paraId="458F2F2A" w14:textId="77777777" w:rsidR="00D8365A" w:rsidRPr="00362517" w:rsidRDefault="00D8365A" w:rsidP="00BF6BC7"/>
    <w:p w14:paraId="21112913" w14:textId="77777777" w:rsidR="00D8365A" w:rsidRPr="00362517" w:rsidRDefault="00D8365A" w:rsidP="00BF6BC7">
      <w:r w:rsidRPr="00362517">
        <w:t>For commercial applicators, we estimate the average incremental cost per applicator to be about $46 per year, ranging from $6 in Iowa to about $234 per year in Rhode Island (Table 3.6-2).  The average fee increase per commercial applicator is identical to that for private applicators.</w:t>
      </w:r>
    </w:p>
    <w:p w14:paraId="2A6192B9" w14:textId="77777777" w:rsidR="00D8365A" w:rsidRPr="00362517" w:rsidRDefault="00D8365A" w:rsidP="00BF6BC7"/>
    <w:p w14:paraId="7C468E5B" w14:textId="77777777" w:rsidR="00D8365A" w:rsidRPr="00362517" w:rsidRDefault="00D8365A" w:rsidP="00BF6BC7"/>
    <w:p w14:paraId="39D04061" w14:textId="77777777" w:rsidR="00D8365A" w:rsidRPr="00362517" w:rsidRDefault="00D8365A" w:rsidP="00BF6BC7">
      <w:pPr>
        <w:keepNext/>
        <w:rPr>
          <w:b/>
        </w:rPr>
      </w:pPr>
      <w:r w:rsidRPr="00362517">
        <w:rPr>
          <w:b/>
        </w:rPr>
        <w:t>Table 3.6-2.  Annualized Per-Applicator Costs, by Jurisdiction, Commercial Applicators.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803"/>
        <w:gridCol w:w="1803"/>
        <w:gridCol w:w="1803"/>
        <w:gridCol w:w="1801"/>
      </w:tblGrid>
      <w:tr w:rsidR="00D8365A" w:rsidRPr="00362517" w14:paraId="71F300D9" w14:textId="77777777" w:rsidTr="007A2164">
        <w:trPr>
          <w:trHeight w:val="1592"/>
        </w:trPr>
        <w:tc>
          <w:tcPr>
            <w:tcW w:w="1144" w:type="pct"/>
            <w:shd w:val="clear" w:color="auto" w:fill="auto"/>
            <w:vAlign w:val="center"/>
            <w:hideMark/>
          </w:tcPr>
          <w:p w14:paraId="0542A4E1" w14:textId="77777777" w:rsidR="00D8365A" w:rsidRPr="00362517" w:rsidRDefault="00D8365A" w:rsidP="00BF6BC7">
            <w:pPr>
              <w:rPr>
                <w:b/>
              </w:rPr>
            </w:pPr>
            <w:r w:rsidRPr="00362517">
              <w:rPr>
                <w:b/>
              </w:rPr>
              <w:t>Jurisdiction</w:t>
            </w:r>
          </w:p>
        </w:tc>
        <w:tc>
          <w:tcPr>
            <w:tcW w:w="964" w:type="pct"/>
          </w:tcPr>
          <w:p w14:paraId="68BC04D5" w14:textId="77777777" w:rsidR="00D8365A" w:rsidRPr="00362517" w:rsidRDefault="00D8365A" w:rsidP="00BF6BC7">
            <w:pPr>
              <w:jc w:val="center"/>
              <w:rPr>
                <w:b/>
              </w:rPr>
            </w:pPr>
          </w:p>
          <w:p w14:paraId="101248F5" w14:textId="77777777" w:rsidR="00D8365A" w:rsidRPr="00362517" w:rsidRDefault="00D8365A" w:rsidP="00BF6BC7">
            <w:pPr>
              <w:jc w:val="center"/>
              <w:rPr>
                <w:b/>
              </w:rPr>
            </w:pPr>
          </w:p>
          <w:p w14:paraId="28858FDC" w14:textId="77777777" w:rsidR="00D8365A" w:rsidRPr="00362517" w:rsidRDefault="00D8365A" w:rsidP="00BF6BC7">
            <w:pPr>
              <w:jc w:val="center"/>
              <w:rPr>
                <w:b/>
              </w:rPr>
            </w:pPr>
            <w:r w:rsidRPr="00362517">
              <w:rPr>
                <w:b/>
              </w:rPr>
              <w:t>Annualized RIC</w:t>
            </w:r>
          </w:p>
          <w:p w14:paraId="26ECAEE2" w14:textId="77777777" w:rsidR="00D8365A" w:rsidRPr="00362517" w:rsidRDefault="00D8365A" w:rsidP="00BF6BC7">
            <w:pPr>
              <w:jc w:val="center"/>
              <w:rPr>
                <w:b/>
              </w:rPr>
            </w:pPr>
            <w:r w:rsidRPr="00362517">
              <w:rPr>
                <w:b/>
              </w:rPr>
              <w:t>($1,000)</w:t>
            </w:r>
          </w:p>
          <w:p w14:paraId="60FDE446" w14:textId="77777777" w:rsidR="00D8365A" w:rsidRPr="00362517" w:rsidRDefault="00D8365A" w:rsidP="00BF6BC7">
            <w:pPr>
              <w:jc w:val="center"/>
              <w:rPr>
                <w:b/>
              </w:rPr>
            </w:pPr>
          </w:p>
        </w:tc>
        <w:tc>
          <w:tcPr>
            <w:tcW w:w="964" w:type="pct"/>
            <w:shd w:val="clear" w:color="auto" w:fill="auto"/>
            <w:vAlign w:val="center"/>
            <w:hideMark/>
          </w:tcPr>
          <w:p w14:paraId="072B38E9" w14:textId="77777777" w:rsidR="00D8365A" w:rsidRPr="00362517" w:rsidRDefault="00D8365A" w:rsidP="00BF6BC7">
            <w:pPr>
              <w:jc w:val="center"/>
              <w:rPr>
                <w:b/>
              </w:rPr>
            </w:pPr>
            <w:r w:rsidRPr="00362517">
              <w:rPr>
                <w:b/>
              </w:rPr>
              <w:t>Number of commercial applicators</w:t>
            </w:r>
          </w:p>
        </w:tc>
        <w:tc>
          <w:tcPr>
            <w:tcW w:w="964" w:type="pct"/>
            <w:shd w:val="clear" w:color="auto" w:fill="auto"/>
            <w:vAlign w:val="center"/>
            <w:hideMark/>
          </w:tcPr>
          <w:p w14:paraId="2032F034" w14:textId="77777777" w:rsidR="00D8365A" w:rsidRPr="00362517" w:rsidRDefault="00D8365A" w:rsidP="00BF6BC7">
            <w:pPr>
              <w:jc w:val="center"/>
              <w:rPr>
                <w:b/>
              </w:rPr>
            </w:pPr>
            <w:r w:rsidRPr="00362517">
              <w:rPr>
                <w:b/>
              </w:rPr>
              <w:t>Cost ($) per commercial applicator</w:t>
            </w:r>
          </w:p>
        </w:tc>
        <w:tc>
          <w:tcPr>
            <w:tcW w:w="963" w:type="pct"/>
            <w:shd w:val="clear" w:color="auto" w:fill="auto"/>
            <w:vAlign w:val="center"/>
            <w:hideMark/>
          </w:tcPr>
          <w:p w14:paraId="5D35BF26" w14:textId="77777777" w:rsidR="00D8365A" w:rsidRPr="00362517" w:rsidRDefault="00D8365A" w:rsidP="00BF6BC7">
            <w:pPr>
              <w:jc w:val="center"/>
              <w:rPr>
                <w:b/>
              </w:rPr>
            </w:pPr>
            <w:r w:rsidRPr="00362517">
              <w:rPr>
                <w:b/>
              </w:rPr>
              <w:t>Cost ($) per commercial applicator, including fee increase</w:t>
            </w:r>
          </w:p>
        </w:tc>
      </w:tr>
      <w:tr w:rsidR="00D8365A" w:rsidRPr="00362517" w14:paraId="017EA344" w14:textId="77777777" w:rsidTr="007A2164">
        <w:trPr>
          <w:trHeight w:val="312"/>
        </w:trPr>
        <w:tc>
          <w:tcPr>
            <w:tcW w:w="1144" w:type="pct"/>
            <w:shd w:val="clear" w:color="auto" w:fill="auto"/>
            <w:noWrap/>
            <w:vAlign w:val="bottom"/>
            <w:hideMark/>
          </w:tcPr>
          <w:p w14:paraId="12748231" w14:textId="77777777" w:rsidR="00D8365A" w:rsidRPr="00362517" w:rsidRDefault="00D8365A" w:rsidP="00BF6BC7">
            <w:r w:rsidRPr="00362517">
              <w:t>Alabama</w:t>
            </w:r>
          </w:p>
        </w:tc>
        <w:tc>
          <w:tcPr>
            <w:tcW w:w="964" w:type="pct"/>
            <w:vAlign w:val="bottom"/>
          </w:tcPr>
          <w:p w14:paraId="1AB340EF" w14:textId="77777777" w:rsidR="00D8365A" w:rsidRPr="00362517" w:rsidRDefault="00D8365A" w:rsidP="00BF6BC7">
            <w:pPr>
              <w:jc w:val="center"/>
            </w:pPr>
            <w:r w:rsidRPr="00362517">
              <w:t>281</w:t>
            </w:r>
          </w:p>
        </w:tc>
        <w:tc>
          <w:tcPr>
            <w:tcW w:w="964" w:type="pct"/>
            <w:shd w:val="clear" w:color="auto" w:fill="auto"/>
            <w:noWrap/>
            <w:vAlign w:val="bottom"/>
            <w:hideMark/>
          </w:tcPr>
          <w:p w14:paraId="69CECDF7" w14:textId="77777777" w:rsidR="00D8365A" w:rsidRPr="00362517" w:rsidRDefault="00D8365A" w:rsidP="00BF6BC7">
            <w:pPr>
              <w:jc w:val="center"/>
            </w:pPr>
            <w:r w:rsidRPr="00362517">
              <w:t xml:space="preserve">        4,104 </w:t>
            </w:r>
          </w:p>
        </w:tc>
        <w:tc>
          <w:tcPr>
            <w:tcW w:w="964" w:type="pct"/>
            <w:shd w:val="clear" w:color="auto" w:fill="auto"/>
            <w:noWrap/>
            <w:vAlign w:val="bottom"/>
            <w:hideMark/>
          </w:tcPr>
          <w:p w14:paraId="3DC05EF6" w14:textId="77777777" w:rsidR="00D8365A" w:rsidRPr="00362517" w:rsidRDefault="00D8365A" w:rsidP="00BF6BC7">
            <w:pPr>
              <w:jc w:val="center"/>
            </w:pPr>
            <w:r w:rsidRPr="00362517">
              <w:t>68.38</w:t>
            </w:r>
          </w:p>
        </w:tc>
        <w:tc>
          <w:tcPr>
            <w:tcW w:w="963" w:type="pct"/>
            <w:shd w:val="clear" w:color="auto" w:fill="auto"/>
            <w:noWrap/>
            <w:vAlign w:val="bottom"/>
            <w:hideMark/>
          </w:tcPr>
          <w:p w14:paraId="1807E23B" w14:textId="77777777" w:rsidR="00D8365A" w:rsidRPr="00362517" w:rsidRDefault="00D8365A" w:rsidP="00BF6BC7">
            <w:pPr>
              <w:jc w:val="center"/>
            </w:pPr>
            <w:r w:rsidRPr="00362517">
              <w:t xml:space="preserve"> $      77.60 </w:t>
            </w:r>
          </w:p>
        </w:tc>
      </w:tr>
      <w:tr w:rsidR="00D8365A" w:rsidRPr="00362517" w14:paraId="7BA77F07" w14:textId="77777777" w:rsidTr="007A2164">
        <w:trPr>
          <w:trHeight w:val="312"/>
        </w:trPr>
        <w:tc>
          <w:tcPr>
            <w:tcW w:w="1144" w:type="pct"/>
            <w:shd w:val="clear" w:color="auto" w:fill="auto"/>
            <w:noWrap/>
            <w:vAlign w:val="bottom"/>
            <w:hideMark/>
          </w:tcPr>
          <w:p w14:paraId="724A1329" w14:textId="77777777" w:rsidR="00D8365A" w:rsidRPr="00362517" w:rsidRDefault="00D8365A" w:rsidP="00BF6BC7">
            <w:r w:rsidRPr="00362517">
              <w:t>Alaska</w:t>
            </w:r>
          </w:p>
        </w:tc>
        <w:tc>
          <w:tcPr>
            <w:tcW w:w="964" w:type="pct"/>
            <w:vAlign w:val="bottom"/>
          </w:tcPr>
          <w:p w14:paraId="1ECDF339" w14:textId="77777777" w:rsidR="00D8365A" w:rsidRPr="00362517" w:rsidRDefault="00D8365A" w:rsidP="00BF6BC7">
            <w:pPr>
              <w:jc w:val="center"/>
            </w:pPr>
            <w:r w:rsidRPr="00362517">
              <w:t>17</w:t>
            </w:r>
          </w:p>
        </w:tc>
        <w:tc>
          <w:tcPr>
            <w:tcW w:w="964" w:type="pct"/>
            <w:shd w:val="clear" w:color="auto" w:fill="auto"/>
            <w:noWrap/>
            <w:vAlign w:val="bottom"/>
            <w:hideMark/>
          </w:tcPr>
          <w:p w14:paraId="5DF8A34D" w14:textId="77777777" w:rsidR="00D8365A" w:rsidRPr="00362517" w:rsidRDefault="00D8365A" w:rsidP="00BF6BC7">
            <w:pPr>
              <w:jc w:val="center"/>
            </w:pPr>
            <w:r w:rsidRPr="00362517">
              <w:t xml:space="preserve">           511 </w:t>
            </w:r>
          </w:p>
        </w:tc>
        <w:tc>
          <w:tcPr>
            <w:tcW w:w="964" w:type="pct"/>
            <w:shd w:val="clear" w:color="auto" w:fill="auto"/>
            <w:noWrap/>
            <w:vAlign w:val="bottom"/>
            <w:hideMark/>
          </w:tcPr>
          <w:p w14:paraId="269DB9C2" w14:textId="77777777" w:rsidR="00D8365A" w:rsidRPr="00362517" w:rsidRDefault="00D8365A" w:rsidP="00BF6BC7">
            <w:pPr>
              <w:jc w:val="center"/>
            </w:pPr>
            <w:r w:rsidRPr="00362517">
              <w:t>34.15</w:t>
            </w:r>
          </w:p>
        </w:tc>
        <w:tc>
          <w:tcPr>
            <w:tcW w:w="963" w:type="pct"/>
            <w:shd w:val="clear" w:color="auto" w:fill="auto"/>
            <w:noWrap/>
            <w:vAlign w:val="bottom"/>
            <w:hideMark/>
          </w:tcPr>
          <w:p w14:paraId="0BEC19D4" w14:textId="77777777" w:rsidR="00D8365A" w:rsidRPr="00362517" w:rsidRDefault="00D8365A" w:rsidP="00BF6BC7">
            <w:pPr>
              <w:jc w:val="center"/>
            </w:pPr>
            <w:r w:rsidRPr="00362517">
              <w:t xml:space="preserve"> $    153.01 </w:t>
            </w:r>
          </w:p>
        </w:tc>
      </w:tr>
      <w:tr w:rsidR="00D8365A" w:rsidRPr="00362517" w14:paraId="0898331D" w14:textId="77777777" w:rsidTr="007A2164">
        <w:trPr>
          <w:trHeight w:val="312"/>
        </w:trPr>
        <w:tc>
          <w:tcPr>
            <w:tcW w:w="1144" w:type="pct"/>
            <w:shd w:val="clear" w:color="auto" w:fill="auto"/>
            <w:noWrap/>
            <w:vAlign w:val="bottom"/>
            <w:hideMark/>
          </w:tcPr>
          <w:p w14:paraId="63C12567" w14:textId="77777777" w:rsidR="00D8365A" w:rsidRPr="00362517" w:rsidRDefault="00D8365A" w:rsidP="00BF6BC7">
            <w:r w:rsidRPr="00362517">
              <w:t>Arizona</w:t>
            </w:r>
          </w:p>
        </w:tc>
        <w:tc>
          <w:tcPr>
            <w:tcW w:w="964" w:type="pct"/>
            <w:vAlign w:val="bottom"/>
          </w:tcPr>
          <w:p w14:paraId="03C4D5FC" w14:textId="77777777" w:rsidR="00D8365A" w:rsidRPr="00362517" w:rsidRDefault="00D8365A" w:rsidP="00BF6BC7">
            <w:pPr>
              <w:jc w:val="center"/>
            </w:pPr>
            <w:r w:rsidRPr="00362517">
              <w:t>393</w:t>
            </w:r>
          </w:p>
        </w:tc>
        <w:tc>
          <w:tcPr>
            <w:tcW w:w="964" w:type="pct"/>
            <w:shd w:val="clear" w:color="auto" w:fill="auto"/>
            <w:noWrap/>
            <w:vAlign w:val="bottom"/>
            <w:hideMark/>
          </w:tcPr>
          <w:p w14:paraId="3151D7CD" w14:textId="77777777" w:rsidR="00D8365A" w:rsidRPr="00362517" w:rsidRDefault="00D8365A" w:rsidP="00BF6BC7">
            <w:pPr>
              <w:jc w:val="center"/>
            </w:pPr>
            <w:r w:rsidRPr="00362517">
              <w:t xml:space="preserve">        7,531 </w:t>
            </w:r>
          </w:p>
        </w:tc>
        <w:tc>
          <w:tcPr>
            <w:tcW w:w="964" w:type="pct"/>
            <w:shd w:val="clear" w:color="auto" w:fill="auto"/>
            <w:noWrap/>
            <w:vAlign w:val="bottom"/>
            <w:hideMark/>
          </w:tcPr>
          <w:p w14:paraId="2BD0903E" w14:textId="77777777" w:rsidR="00D8365A" w:rsidRPr="00362517" w:rsidRDefault="00D8365A" w:rsidP="00BF6BC7">
            <w:pPr>
              <w:jc w:val="center"/>
            </w:pPr>
            <w:r w:rsidRPr="00362517">
              <w:t>52.19</w:t>
            </w:r>
          </w:p>
        </w:tc>
        <w:tc>
          <w:tcPr>
            <w:tcW w:w="963" w:type="pct"/>
            <w:shd w:val="clear" w:color="auto" w:fill="auto"/>
            <w:noWrap/>
            <w:vAlign w:val="bottom"/>
            <w:hideMark/>
          </w:tcPr>
          <w:p w14:paraId="7B3A59E9" w14:textId="77777777" w:rsidR="00D8365A" w:rsidRPr="00362517" w:rsidRDefault="00D8365A" w:rsidP="00BF6BC7">
            <w:pPr>
              <w:jc w:val="center"/>
            </w:pPr>
            <w:r w:rsidRPr="00362517">
              <w:t xml:space="preserve"> $      63.19 </w:t>
            </w:r>
          </w:p>
        </w:tc>
      </w:tr>
      <w:tr w:rsidR="00D8365A" w:rsidRPr="00362517" w14:paraId="5AF2FCD3" w14:textId="77777777" w:rsidTr="007A2164">
        <w:trPr>
          <w:trHeight w:val="312"/>
        </w:trPr>
        <w:tc>
          <w:tcPr>
            <w:tcW w:w="1144" w:type="pct"/>
            <w:shd w:val="clear" w:color="auto" w:fill="auto"/>
            <w:noWrap/>
            <w:vAlign w:val="bottom"/>
            <w:hideMark/>
          </w:tcPr>
          <w:p w14:paraId="51ED8F90" w14:textId="77777777" w:rsidR="00D8365A" w:rsidRPr="00362517" w:rsidRDefault="00D8365A" w:rsidP="00BF6BC7">
            <w:r w:rsidRPr="00362517">
              <w:t>Arkansas</w:t>
            </w:r>
          </w:p>
        </w:tc>
        <w:tc>
          <w:tcPr>
            <w:tcW w:w="964" w:type="pct"/>
            <w:vAlign w:val="bottom"/>
          </w:tcPr>
          <w:p w14:paraId="21A971B6" w14:textId="77777777" w:rsidR="00D8365A" w:rsidRPr="00362517" w:rsidRDefault="00D8365A" w:rsidP="00BF6BC7">
            <w:pPr>
              <w:jc w:val="center"/>
            </w:pPr>
            <w:r w:rsidRPr="00362517">
              <w:t>301</w:t>
            </w:r>
          </w:p>
        </w:tc>
        <w:tc>
          <w:tcPr>
            <w:tcW w:w="964" w:type="pct"/>
            <w:shd w:val="clear" w:color="auto" w:fill="auto"/>
            <w:noWrap/>
            <w:vAlign w:val="bottom"/>
            <w:hideMark/>
          </w:tcPr>
          <w:p w14:paraId="7C7C2A41" w14:textId="77777777" w:rsidR="00D8365A" w:rsidRPr="00362517" w:rsidRDefault="00D8365A" w:rsidP="00BF6BC7">
            <w:pPr>
              <w:jc w:val="center"/>
            </w:pPr>
            <w:r w:rsidRPr="00362517">
              <w:t xml:space="preserve">        4,164 </w:t>
            </w:r>
          </w:p>
        </w:tc>
        <w:tc>
          <w:tcPr>
            <w:tcW w:w="964" w:type="pct"/>
            <w:shd w:val="clear" w:color="auto" w:fill="auto"/>
            <w:noWrap/>
            <w:vAlign w:val="bottom"/>
            <w:hideMark/>
          </w:tcPr>
          <w:p w14:paraId="426E0955" w14:textId="77777777" w:rsidR="00D8365A" w:rsidRPr="00362517" w:rsidRDefault="00D8365A" w:rsidP="00BF6BC7">
            <w:pPr>
              <w:jc w:val="center"/>
            </w:pPr>
            <w:r w:rsidRPr="00362517">
              <w:t>72.26</w:t>
            </w:r>
          </w:p>
        </w:tc>
        <w:tc>
          <w:tcPr>
            <w:tcW w:w="963" w:type="pct"/>
            <w:shd w:val="clear" w:color="auto" w:fill="auto"/>
            <w:noWrap/>
            <w:vAlign w:val="bottom"/>
            <w:hideMark/>
          </w:tcPr>
          <w:p w14:paraId="1268D654" w14:textId="77777777" w:rsidR="00D8365A" w:rsidRPr="00362517" w:rsidRDefault="00D8365A" w:rsidP="00BF6BC7">
            <w:pPr>
              <w:jc w:val="center"/>
            </w:pPr>
            <w:r w:rsidRPr="00362517">
              <w:t xml:space="preserve"> $      78.15 </w:t>
            </w:r>
          </w:p>
        </w:tc>
      </w:tr>
      <w:tr w:rsidR="00D8365A" w:rsidRPr="00362517" w14:paraId="6FEF5909" w14:textId="77777777" w:rsidTr="007A2164">
        <w:trPr>
          <w:trHeight w:val="312"/>
        </w:trPr>
        <w:tc>
          <w:tcPr>
            <w:tcW w:w="1144" w:type="pct"/>
            <w:shd w:val="clear" w:color="auto" w:fill="auto"/>
            <w:noWrap/>
            <w:vAlign w:val="bottom"/>
            <w:hideMark/>
          </w:tcPr>
          <w:p w14:paraId="36DA2037" w14:textId="77777777" w:rsidR="00D8365A" w:rsidRPr="00362517" w:rsidRDefault="00D8365A" w:rsidP="00BF6BC7">
            <w:r w:rsidRPr="00362517">
              <w:t>California</w:t>
            </w:r>
          </w:p>
        </w:tc>
        <w:tc>
          <w:tcPr>
            <w:tcW w:w="964" w:type="pct"/>
            <w:vAlign w:val="bottom"/>
          </w:tcPr>
          <w:p w14:paraId="6912B798" w14:textId="77777777" w:rsidR="00D8365A" w:rsidRPr="00362517" w:rsidRDefault="00D8365A" w:rsidP="00BF6BC7">
            <w:pPr>
              <w:jc w:val="center"/>
            </w:pPr>
            <w:r w:rsidRPr="00362517">
              <w:t>2,293</w:t>
            </w:r>
          </w:p>
        </w:tc>
        <w:tc>
          <w:tcPr>
            <w:tcW w:w="964" w:type="pct"/>
            <w:shd w:val="clear" w:color="auto" w:fill="auto"/>
            <w:noWrap/>
            <w:vAlign w:val="bottom"/>
            <w:hideMark/>
          </w:tcPr>
          <w:p w14:paraId="0E1A255A" w14:textId="77777777" w:rsidR="00D8365A" w:rsidRPr="00362517" w:rsidRDefault="00D8365A" w:rsidP="00BF6BC7">
            <w:pPr>
              <w:jc w:val="center"/>
            </w:pPr>
            <w:r w:rsidRPr="00362517">
              <w:t xml:space="preserve">      36,730 </w:t>
            </w:r>
          </w:p>
        </w:tc>
        <w:tc>
          <w:tcPr>
            <w:tcW w:w="964" w:type="pct"/>
            <w:shd w:val="clear" w:color="auto" w:fill="auto"/>
            <w:noWrap/>
            <w:vAlign w:val="bottom"/>
            <w:hideMark/>
          </w:tcPr>
          <w:p w14:paraId="1C17AD16" w14:textId="77777777" w:rsidR="00D8365A" w:rsidRPr="00362517" w:rsidRDefault="00D8365A" w:rsidP="00BF6BC7">
            <w:pPr>
              <w:jc w:val="center"/>
            </w:pPr>
            <w:r w:rsidRPr="00362517">
              <w:t>62.44</w:t>
            </w:r>
          </w:p>
        </w:tc>
        <w:tc>
          <w:tcPr>
            <w:tcW w:w="963" w:type="pct"/>
            <w:shd w:val="clear" w:color="auto" w:fill="auto"/>
            <w:noWrap/>
            <w:vAlign w:val="bottom"/>
            <w:hideMark/>
          </w:tcPr>
          <w:p w14:paraId="5357F218" w14:textId="77777777" w:rsidR="00D8365A" w:rsidRPr="00362517" w:rsidRDefault="00D8365A" w:rsidP="00BF6BC7">
            <w:pPr>
              <w:jc w:val="center"/>
            </w:pPr>
            <w:r w:rsidRPr="00362517">
              <w:t xml:space="preserve"> $      68.79 </w:t>
            </w:r>
          </w:p>
        </w:tc>
      </w:tr>
      <w:tr w:rsidR="00D8365A" w:rsidRPr="00362517" w14:paraId="0D83D253" w14:textId="77777777" w:rsidTr="007A2164">
        <w:trPr>
          <w:trHeight w:val="312"/>
        </w:trPr>
        <w:tc>
          <w:tcPr>
            <w:tcW w:w="1144" w:type="pct"/>
            <w:shd w:val="clear" w:color="auto" w:fill="auto"/>
            <w:noWrap/>
            <w:vAlign w:val="bottom"/>
            <w:hideMark/>
          </w:tcPr>
          <w:p w14:paraId="4C3791B3" w14:textId="77777777" w:rsidR="00D8365A" w:rsidRPr="00362517" w:rsidRDefault="00D8365A" w:rsidP="00BF6BC7">
            <w:r w:rsidRPr="00362517">
              <w:t>Colorado</w:t>
            </w:r>
          </w:p>
        </w:tc>
        <w:tc>
          <w:tcPr>
            <w:tcW w:w="964" w:type="pct"/>
            <w:vAlign w:val="bottom"/>
          </w:tcPr>
          <w:p w14:paraId="0ADD5B5E" w14:textId="77777777" w:rsidR="00D8365A" w:rsidRPr="00362517" w:rsidRDefault="00D8365A" w:rsidP="00BF6BC7">
            <w:pPr>
              <w:jc w:val="center"/>
            </w:pPr>
            <w:r w:rsidRPr="00362517">
              <w:t>391</w:t>
            </w:r>
          </w:p>
        </w:tc>
        <w:tc>
          <w:tcPr>
            <w:tcW w:w="964" w:type="pct"/>
            <w:shd w:val="clear" w:color="auto" w:fill="auto"/>
            <w:noWrap/>
            <w:vAlign w:val="bottom"/>
            <w:hideMark/>
          </w:tcPr>
          <w:p w14:paraId="6906E8BB" w14:textId="77777777" w:rsidR="00D8365A" w:rsidRPr="00362517" w:rsidRDefault="00D8365A" w:rsidP="00BF6BC7">
            <w:pPr>
              <w:jc w:val="center"/>
            </w:pPr>
            <w:r w:rsidRPr="00362517">
              <w:t xml:space="preserve">        4,043 </w:t>
            </w:r>
          </w:p>
        </w:tc>
        <w:tc>
          <w:tcPr>
            <w:tcW w:w="964" w:type="pct"/>
            <w:shd w:val="clear" w:color="auto" w:fill="auto"/>
            <w:noWrap/>
            <w:vAlign w:val="bottom"/>
            <w:hideMark/>
          </w:tcPr>
          <w:p w14:paraId="491B47FE" w14:textId="77777777" w:rsidR="00D8365A" w:rsidRPr="00362517" w:rsidRDefault="00D8365A" w:rsidP="00BF6BC7">
            <w:pPr>
              <w:jc w:val="center"/>
            </w:pPr>
            <w:r w:rsidRPr="00362517">
              <w:t>96.65</w:t>
            </w:r>
          </w:p>
        </w:tc>
        <w:tc>
          <w:tcPr>
            <w:tcW w:w="963" w:type="pct"/>
            <w:shd w:val="clear" w:color="auto" w:fill="auto"/>
            <w:noWrap/>
            <w:vAlign w:val="bottom"/>
            <w:hideMark/>
          </w:tcPr>
          <w:p w14:paraId="36A5B0FE" w14:textId="77777777" w:rsidR="00D8365A" w:rsidRPr="00362517" w:rsidRDefault="00D8365A" w:rsidP="00BF6BC7">
            <w:pPr>
              <w:jc w:val="center"/>
            </w:pPr>
            <w:r w:rsidRPr="00362517">
              <w:t xml:space="preserve"> $    109.77 </w:t>
            </w:r>
          </w:p>
        </w:tc>
      </w:tr>
      <w:tr w:rsidR="00D8365A" w:rsidRPr="00362517" w14:paraId="0B8DD505" w14:textId="77777777" w:rsidTr="007A2164">
        <w:trPr>
          <w:trHeight w:val="312"/>
        </w:trPr>
        <w:tc>
          <w:tcPr>
            <w:tcW w:w="1144" w:type="pct"/>
            <w:shd w:val="clear" w:color="auto" w:fill="auto"/>
            <w:noWrap/>
            <w:vAlign w:val="bottom"/>
            <w:hideMark/>
          </w:tcPr>
          <w:p w14:paraId="152869A9" w14:textId="77777777" w:rsidR="00D8365A" w:rsidRPr="00362517" w:rsidRDefault="00D8365A" w:rsidP="00BF6BC7">
            <w:r w:rsidRPr="00362517">
              <w:t>Connecticut</w:t>
            </w:r>
          </w:p>
        </w:tc>
        <w:tc>
          <w:tcPr>
            <w:tcW w:w="964" w:type="pct"/>
            <w:vAlign w:val="bottom"/>
          </w:tcPr>
          <w:p w14:paraId="4A6A3204" w14:textId="77777777" w:rsidR="00D8365A" w:rsidRPr="00362517" w:rsidRDefault="00D8365A" w:rsidP="00BF6BC7">
            <w:pPr>
              <w:jc w:val="center"/>
            </w:pPr>
            <w:r w:rsidRPr="00362517">
              <w:t>76</w:t>
            </w:r>
          </w:p>
        </w:tc>
        <w:tc>
          <w:tcPr>
            <w:tcW w:w="964" w:type="pct"/>
            <w:shd w:val="clear" w:color="auto" w:fill="auto"/>
            <w:noWrap/>
            <w:vAlign w:val="bottom"/>
            <w:hideMark/>
          </w:tcPr>
          <w:p w14:paraId="670D9114" w14:textId="77777777" w:rsidR="00D8365A" w:rsidRPr="00362517" w:rsidRDefault="00D8365A" w:rsidP="00BF6BC7">
            <w:pPr>
              <w:jc w:val="center"/>
            </w:pPr>
            <w:r w:rsidRPr="00362517">
              <w:t xml:space="preserve">        2,819 </w:t>
            </w:r>
          </w:p>
        </w:tc>
        <w:tc>
          <w:tcPr>
            <w:tcW w:w="964" w:type="pct"/>
            <w:shd w:val="clear" w:color="auto" w:fill="auto"/>
            <w:noWrap/>
            <w:vAlign w:val="bottom"/>
            <w:hideMark/>
          </w:tcPr>
          <w:p w14:paraId="0E838D00" w14:textId="77777777" w:rsidR="00D8365A" w:rsidRPr="00362517" w:rsidRDefault="00D8365A" w:rsidP="00BF6BC7">
            <w:pPr>
              <w:jc w:val="center"/>
            </w:pPr>
            <w:r w:rsidRPr="00362517">
              <w:t>27.01</w:t>
            </w:r>
          </w:p>
        </w:tc>
        <w:tc>
          <w:tcPr>
            <w:tcW w:w="963" w:type="pct"/>
            <w:shd w:val="clear" w:color="auto" w:fill="auto"/>
            <w:noWrap/>
            <w:vAlign w:val="bottom"/>
            <w:hideMark/>
          </w:tcPr>
          <w:p w14:paraId="67C4FF95" w14:textId="77777777" w:rsidR="00D8365A" w:rsidRPr="00362517" w:rsidRDefault="00D8365A" w:rsidP="00BF6BC7">
            <w:pPr>
              <w:jc w:val="center"/>
            </w:pPr>
            <w:r w:rsidRPr="00362517">
              <w:t xml:space="preserve"> $      49.92 </w:t>
            </w:r>
          </w:p>
        </w:tc>
      </w:tr>
      <w:tr w:rsidR="00D8365A" w:rsidRPr="00362517" w14:paraId="2DAE78CE" w14:textId="77777777" w:rsidTr="007A2164">
        <w:trPr>
          <w:trHeight w:val="312"/>
        </w:trPr>
        <w:tc>
          <w:tcPr>
            <w:tcW w:w="1144" w:type="pct"/>
            <w:shd w:val="clear" w:color="auto" w:fill="auto"/>
            <w:noWrap/>
            <w:vAlign w:val="bottom"/>
            <w:hideMark/>
          </w:tcPr>
          <w:p w14:paraId="5B31C4C8" w14:textId="77777777" w:rsidR="00D8365A" w:rsidRPr="00362517" w:rsidRDefault="00D8365A" w:rsidP="00BF6BC7">
            <w:r w:rsidRPr="00362517">
              <w:t>Delaware</w:t>
            </w:r>
          </w:p>
        </w:tc>
        <w:tc>
          <w:tcPr>
            <w:tcW w:w="964" w:type="pct"/>
            <w:vAlign w:val="bottom"/>
          </w:tcPr>
          <w:p w14:paraId="1F570DB1" w14:textId="77777777" w:rsidR="00D8365A" w:rsidRPr="00362517" w:rsidRDefault="00D8365A" w:rsidP="00BF6BC7">
            <w:pPr>
              <w:jc w:val="center"/>
            </w:pPr>
            <w:r w:rsidRPr="00362517">
              <w:t>158</w:t>
            </w:r>
          </w:p>
        </w:tc>
        <w:tc>
          <w:tcPr>
            <w:tcW w:w="964" w:type="pct"/>
            <w:shd w:val="clear" w:color="auto" w:fill="auto"/>
            <w:noWrap/>
            <w:vAlign w:val="bottom"/>
            <w:hideMark/>
          </w:tcPr>
          <w:p w14:paraId="69B4FB64" w14:textId="77777777" w:rsidR="00D8365A" w:rsidRPr="00362517" w:rsidRDefault="00D8365A" w:rsidP="00BF6BC7">
            <w:pPr>
              <w:jc w:val="center"/>
            </w:pPr>
            <w:r w:rsidRPr="00362517">
              <w:t xml:space="preserve">        1,935 </w:t>
            </w:r>
          </w:p>
        </w:tc>
        <w:tc>
          <w:tcPr>
            <w:tcW w:w="964" w:type="pct"/>
            <w:shd w:val="clear" w:color="auto" w:fill="auto"/>
            <w:noWrap/>
            <w:vAlign w:val="bottom"/>
            <w:hideMark/>
          </w:tcPr>
          <w:p w14:paraId="5F1D1F17" w14:textId="77777777" w:rsidR="00D8365A" w:rsidRPr="00362517" w:rsidRDefault="00D8365A" w:rsidP="00BF6BC7">
            <w:pPr>
              <w:jc w:val="center"/>
            </w:pPr>
            <w:r w:rsidRPr="00362517">
              <w:t>81.63</w:t>
            </w:r>
          </w:p>
        </w:tc>
        <w:tc>
          <w:tcPr>
            <w:tcW w:w="963" w:type="pct"/>
            <w:shd w:val="clear" w:color="auto" w:fill="auto"/>
            <w:noWrap/>
            <w:vAlign w:val="bottom"/>
            <w:hideMark/>
          </w:tcPr>
          <w:p w14:paraId="7B3EA78B" w14:textId="77777777" w:rsidR="00D8365A" w:rsidRPr="00362517" w:rsidRDefault="00D8365A" w:rsidP="00BF6BC7">
            <w:pPr>
              <w:jc w:val="center"/>
            </w:pPr>
            <w:r w:rsidRPr="00362517">
              <w:t xml:space="preserve"> $    112.11 </w:t>
            </w:r>
          </w:p>
        </w:tc>
      </w:tr>
      <w:tr w:rsidR="00D8365A" w:rsidRPr="00362517" w14:paraId="728F256B" w14:textId="77777777" w:rsidTr="007A2164">
        <w:trPr>
          <w:trHeight w:val="312"/>
        </w:trPr>
        <w:tc>
          <w:tcPr>
            <w:tcW w:w="1144" w:type="pct"/>
            <w:shd w:val="clear" w:color="auto" w:fill="auto"/>
            <w:noWrap/>
            <w:vAlign w:val="bottom"/>
            <w:hideMark/>
          </w:tcPr>
          <w:p w14:paraId="195D53AD" w14:textId="77777777" w:rsidR="00D8365A" w:rsidRPr="00362517" w:rsidRDefault="00D8365A" w:rsidP="00BF6BC7">
            <w:r w:rsidRPr="00362517">
              <w:t>Florida</w:t>
            </w:r>
          </w:p>
        </w:tc>
        <w:tc>
          <w:tcPr>
            <w:tcW w:w="964" w:type="pct"/>
            <w:vAlign w:val="bottom"/>
          </w:tcPr>
          <w:p w14:paraId="2C5FC959" w14:textId="77777777" w:rsidR="00D8365A" w:rsidRPr="00362517" w:rsidRDefault="00D8365A" w:rsidP="00BF6BC7">
            <w:pPr>
              <w:jc w:val="center"/>
            </w:pPr>
            <w:r w:rsidRPr="00362517">
              <w:t>510</w:t>
            </w:r>
          </w:p>
        </w:tc>
        <w:tc>
          <w:tcPr>
            <w:tcW w:w="964" w:type="pct"/>
            <w:shd w:val="clear" w:color="auto" w:fill="auto"/>
            <w:noWrap/>
            <w:vAlign w:val="bottom"/>
            <w:hideMark/>
          </w:tcPr>
          <w:p w14:paraId="71BC2954" w14:textId="77777777" w:rsidR="00D8365A" w:rsidRPr="00362517" w:rsidRDefault="00D8365A" w:rsidP="00BF6BC7">
            <w:pPr>
              <w:jc w:val="center"/>
            </w:pPr>
            <w:r w:rsidRPr="00362517">
              <w:t xml:space="preserve">      16,329 </w:t>
            </w:r>
          </w:p>
        </w:tc>
        <w:tc>
          <w:tcPr>
            <w:tcW w:w="964" w:type="pct"/>
            <w:shd w:val="clear" w:color="auto" w:fill="auto"/>
            <w:noWrap/>
            <w:vAlign w:val="bottom"/>
            <w:hideMark/>
          </w:tcPr>
          <w:p w14:paraId="5A8A7F17" w14:textId="77777777" w:rsidR="00D8365A" w:rsidRPr="00362517" w:rsidRDefault="00D8365A" w:rsidP="00BF6BC7">
            <w:pPr>
              <w:jc w:val="center"/>
            </w:pPr>
            <w:r w:rsidRPr="00362517">
              <w:t>31.23</w:t>
            </w:r>
          </w:p>
        </w:tc>
        <w:tc>
          <w:tcPr>
            <w:tcW w:w="963" w:type="pct"/>
            <w:shd w:val="clear" w:color="auto" w:fill="auto"/>
            <w:noWrap/>
            <w:vAlign w:val="bottom"/>
            <w:hideMark/>
          </w:tcPr>
          <w:p w14:paraId="0E3A6DB3" w14:textId="77777777" w:rsidR="00D8365A" w:rsidRPr="00362517" w:rsidRDefault="00D8365A" w:rsidP="00BF6BC7">
            <w:pPr>
              <w:jc w:val="center"/>
            </w:pPr>
            <w:r w:rsidRPr="00362517">
              <w:t xml:space="preserve"> $      49.55 </w:t>
            </w:r>
          </w:p>
        </w:tc>
      </w:tr>
      <w:tr w:rsidR="00D8365A" w:rsidRPr="00362517" w14:paraId="567A0BC6" w14:textId="77777777" w:rsidTr="007A2164">
        <w:trPr>
          <w:trHeight w:val="312"/>
        </w:trPr>
        <w:tc>
          <w:tcPr>
            <w:tcW w:w="1144" w:type="pct"/>
            <w:shd w:val="clear" w:color="auto" w:fill="auto"/>
            <w:noWrap/>
            <w:vAlign w:val="bottom"/>
            <w:hideMark/>
          </w:tcPr>
          <w:p w14:paraId="789B7F51" w14:textId="77777777" w:rsidR="00D8365A" w:rsidRPr="00362517" w:rsidRDefault="00D8365A" w:rsidP="00BF6BC7">
            <w:r w:rsidRPr="00362517">
              <w:t>Georgia</w:t>
            </w:r>
          </w:p>
        </w:tc>
        <w:tc>
          <w:tcPr>
            <w:tcW w:w="964" w:type="pct"/>
            <w:vAlign w:val="bottom"/>
          </w:tcPr>
          <w:p w14:paraId="0070339A" w14:textId="77777777" w:rsidR="00D8365A" w:rsidRPr="00362517" w:rsidRDefault="00D8365A" w:rsidP="00BF6BC7">
            <w:pPr>
              <w:jc w:val="center"/>
            </w:pPr>
            <w:r w:rsidRPr="00362517">
              <w:t>606</w:t>
            </w:r>
          </w:p>
        </w:tc>
        <w:tc>
          <w:tcPr>
            <w:tcW w:w="964" w:type="pct"/>
            <w:shd w:val="clear" w:color="auto" w:fill="auto"/>
            <w:noWrap/>
            <w:vAlign w:val="bottom"/>
            <w:hideMark/>
          </w:tcPr>
          <w:p w14:paraId="6B784115" w14:textId="77777777" w:rsidR="00D8365A" w:rsidRPr="00362517" w:rsidRDefault="00D8365A" w:rsidP="00BF6BC7">
            <w:pPr>
              <w:jc w:val="center"/>
            </w:pPr>
            <w:r w:rsidRPr="00362517">
              <w:t xml:space="preserve">      11,073 </w:t>
            </w:r>
          </w:p>
        </w:tc>
        <w:tc>
          <w:tcPr>
            <w:tcW w:w="964" w:type="pct"/>
            <w:shd w:val="clear" w:color="auto" w:fill="auto"/>
            <w:noWrap/>
            <w:vAlign w:val="bottom"/>
            <w:hideMark/>
          </w:tcPr>
          <w:p w14:paraId="7F65ADED" w14:textId="77777777" w:rsidR="00D8365A" w:rsidRPr="00362517" w:rsidRDefault="00D8365A" w:rsidP="00BF6BC7">
            <w:pPr>
              <w:jc w:val="center"/>
            </w:pPr>
            <w:r w:rsidRPr="00362517">
              <w:t>54.75</w:t>
            </w:r>
          </w:p>
        </w:tc>
        <w:tc>
          <w:tcPr>
            <w:tcW w:w="963" w:type="pct"/>
            <w:shd w:val="clear" w:color="auto" w:fill="auto"/>
            <w:noWrap/>
            <w:vAlign w:val="bottom"/>
            <w:hideMark/>
          </w:tcPr>
          <w:p w14:paraId="7ACE46AB" w14:textId="77777777" w:rsidR="00D8365A" w:rsidRPr="00362517" w:rsidRDefault="00D8365A" w:rsidP="00BF6BC7">
            <w:pPr>
              <w:jc w:val="center"/>
            </w:pPr>
            <w:r w:rsidRPr="00362517">
              <w:t xml:space="preserve"> $      59.91 </w:t>
            </w:r>
          </w:p>
        </w:tc>
      </w:tr>
      <w:tr w:rsidR="00D8365A" w:rsidRPr="00362517" w14:paraId="5198144D" w14:textId="77777777" w:rsidTr="007A2164">
        <w:trPr>
          <w:trHeight w:val="312"/>
        </w:trPr>
        <w:tc>
          <w:tcPr>
            <w:tcW w:w="1144" w:type="pct"/>
            <w:shd w:val="clear" w:color="auto" w:fill="auto"/>
            <w:noWrap/>
            <w:vAlign w:val="bottom"/>
            <w:hideMark/>
          </w:tcPr>
          <w:p w14:paraId="23229C4C" w14:textId="77777777" w:rsidR="00D8365A" w:rsidRPr="00362517" w:rsidRDefault="00D8365A" w:rsidP="00BF6BC7">
            <w:r w:rsidRPr="00362517">
              <w:t>Hawaii</w:t>
            </w:r>
          </w:p>
        </w:tc>
        <w:tc>
          <w:tcPr>
            <w:tcW w:w="964" w:type="pct"/>
            <w:vAlign w:val="bottom"/>
          </w:tcPr>
          <w:p w14:paraId="01D2E2A2" w14:textId="77777777" w:rsidR="00D8365A" w:rsidRPr="00362517" w:rsidRDefault="00D8365A" w:rsidP="00BF6BC7">
            <w:pPr>
              <w:jc w:val="center"/>
            </w:pPr>
            <w:r w:rsidRPr="00362517">
              <w:t>109</w:t>
            </w:r>
          </w:p>
        </w:tc>
        <w:tc>
          <w:tcPr>
            <w:tcW w:w="964" w:type="pct"/>
            <w:shd w:val="clear" w:color="auto" w:fill="auto"/>
            <w:noWrap/>
            <w:vAlign w:val="bottom"/>
            <w:hideMark/>
          </w:tcPr>
          <w:p w14:paraId="124D1E39" w14:textId="77777777" w:rsidR="00D8365A" w:rsidRPr="00362517" w:rsidRDefault="00D8365A" w:rsidP="00BF6BC7">
            <w:pPr>
              <w:jc w:val="center"/>
            </w:pPr>
            <w:r w:rsidRPr="00362517">
              <w:t xml:space="preserve">        1,203 </w:t>
            </w:r>
          </w:p>
        </w:tc>
        <w:tc>
          <w:tcPr>
            <w:tcW w:w="964" w:type="pct"/>
            <w:shd w:val="clear" w:color="auto" w:fill="auto"/>
            <w:noWrap/>
            <w:vAlign w:val="bottom"/>
            <w:hideMark/>
          </w:tcPr>
          <w:p w14:paraId="338D1B1F" w14:textId="77777777" w:rsidR="00D8365A" w:rsidRPr="00362517" w:rsidRDefault="00D8365A" w:rsidP="00BF6BC7">
            <w:pPr>
              <w:jc w:val="center"/>
            </w:pPr>
            <w:r w:rsidRPr="00362517">
              <w:t>91.04</w:t>
            </w:r>
          </w:p>
        </w:tc>
        <w:tc>
          <w:tcPr>
            <w:tcW w:w="963" w:type="pct"/>
            <w:shd w:val="clear" w:color="auto" w:fill="auto"/>
            <w:noWrap/>
            <w:vAlign w:val="bottom"/>
            <w:hideMark/>
          </w:tcPr>
          <w:p w14:paraId="47563766" w14:textId="77777777" w:rsidR="00D8365A" w:rsidRPr="00362517" w:rsidRDefault="00D8365A" w:rsidP="00BF6BC7">
            <w:pPr>
              <w:jc w:val="center"/>
            </w:pPr>
            <w:r w:rsidRPr="00362517">
              <w:t xml:space="preserve"> $    141.00 </w:t>
            </w:r>
          </w:p>
        </w:tc>
      </w:tr>
      <w:tr w:rsidR="00D8365A" w:rsidRPr="00362517" w14:paraId="3593CFB6" w14:textId="77777777" w:rsidTr="007A2164">
        <w:trPr>
          <w:trHeight w:val="312"/>
        </w:trPr>
        <w:tc>
          <w:tcPr>
            <w:tcW w:w="1144" w:type="pct"/>
            <w:shd w:val="clear" w:color="auto" w:fill="auto"/>
            <w:noWrap/>
            <w:vAlign w:val="bottom"/>
            <w:hideMark/>
          </w:tcPr>
          <w:p w14:paraId="524FBC6B" w14:textId="77777777" w:rsidR="00D8365A" w:rsidRPr="00362517" w:rsidRDefault="00D8365A" w:rsidP="00BF6BC7">
            <w:r w:rsidRPr="00362517">
              <w:t>Idaho</w:t>
            </w:r>
          </w:p>
        </w:tc>
        <w:tc>
          <w:tcPr>
            <w:tcW w:w="964" w:type="pct"/>
            <w:vAlign w:val="bottom"/>
          </w:tcPr>
          <w:p w14:paraId="57FC24AB" w14:textId="77777777" w:rsidR="00D8365A" w:rsidRPr="00362517" w:rsidRDefault="00D8365A" w:rsidP="00BF6BC7">
            <w:pPr>
              <w:jc w:val="center"/>
            </w:pPr>
            <w:r w:rsidRPr="00362517">
              <w:t>141</w:t>
            </w:r>
          </w:p>
        </w:tc>
        <w:tc>
          <w:tcPr>
            <w:tcW w:w="964" w:type="pct"/>
            <w:shd w:val="clear" w:color="auto" w:fill="auto"/>
            <w:noWrap/>
            <w:vAlign w:val="bottom"/>
            <w:hideMark/>
          </w:tcPr>
          <w:p w14:paraId="7F179F1D" w14:textId="77777777" w:rsidR="00D8365A" w:rsidRPr="00362517" w:rsidRDefault="00D8365A" w:rsidP="00BF6BC7">
            <w:pPr>
              <w:jc w:val="center"/>
            </w:pPr>
            <w:r w:rsidRPr="00362517">
              <w:t xml:space="preserve">        4,148 </w:t>
            </w:r>
          </w:p>
        </w:tc>
        <w:tc>
          <w:tcPr>
            <w:tcW w:w="964" w:type="pct"/>
            <w:shd w:val="clear" w:color="auto" w:fill="auto"/>
            <w:noWrap/>
            <w:vAlign w:val="bottom"/>
            <w:hideMark/>
          </w:tcPr>
          <w:p w14:paraId="48402A6C" w14:textId="77777777" w:rsidR="00D8365A" w:rsidRPr="00362517" w:rsidRDefault="00D8365A" w:rsidP="00BF6BC7">
            <w:pPr>
              <w:jc w:val="center"/>
            </w:pPr>
            <w:r w:rsidRPr="00362517">
              <w:t>34.04</w:t>
            </w:r>
          </w:p>
        </w:tc>
        <w:tc>
          <w:tcPr>
            <w:tcW w:w="963" w:type="pct"/>
            <w:shd w:val="clear" w:color="auto" w:fill="auto"/>
            <w:noWrap/>
            <w:vAlign w:val="bottom"/>
            <w:hideMark/>
          </w:tcPr>
          <w:p w14:paraId="60A85A0F" w14:textId="77777777" w:rsidR="00D8365A" w:rsidRPr="00362517" w:rsidRDefault="00D8365A" w:rsidP="00BF6BC7">
            <w:pPr>
              <w:jc w:val="center"/>
            </w:pPr>
            <w:r w:rsidRPr="00362517">
              <w:t xml:space="preserve"> $      48.43 </w:t>
            </w:r>
          </w:p>
        </w:tc>
      </w:tr>
      <w:tr w:rsidR="00D8365A" w:rsidRPr="00362517" w14:paraId="2050D6CE" w14:textId="77777777" w:rsidTr="007A2164">
        <w:trPr>
          <w:trHeight w:val="312"/>
        </w:trPr>
        <w:tc>
          <w:tcPr>
            <w:tcW w:w="1144" w:type="pct"/>
            <w:shd w:val="clear" w:color="auto" w:fill="auto"/>
            <w:noWrap/>
            <w:vAlign w:val="bottom"/>
            <w:hideMark/>
          </w:tcPr>
          <w:p w14:paraId="02943FEE" w14:textId="77777777" w:rsidR="00D8365A" w:rsidRPr="00362517" w:rsidRDefault="00D8365A" w:rsidP="00BF6BC7">
            <w:r w:rsidRPr="00362517">
              <w:t>Illinois</w:t>
            </w:r>
          </w:p>
        </w:tc>
        <w:tc>
          <w:tcPr>
            <w:tcW w:w="964" w:type="pct"/>
            <w:vAlign w:val="bottom"/>
          </w:tcPr>
          <w:p w14:paraId="0C653387" w14:textId="77777777" w:rsidR="00D8365A" w:rsidRPr="00362517" w:rsidRDefault="00D8365A" w:rsidP="00BF6BC7">
            <w:pPr>
              <w:jc w:val="center"/>
            </w:pPr>
            <w:r w:rsidRPr="00362517">
              <w:t>210</w:t>
            </w:r>
          </w:p>
        </w:tc>
        <w:tc>
          <w:tcPr>
            <w:tcW w:w="964" w:type="pct"/>
            <w:shd w:val="clear" w:color="auto" w:fill="auto"/>
            <w:noWrap/>
            <w:vAlign w:val="bottom"/>
            <w:hideMark/>
          </w:tcPr>
          <w:p w14:paraId="21768003" w14:textId="77777777" w:rsidR="00D8365A" w:rsidRPr="00362517" w:rsidRDefault="00D8365A" w:rsidP="00BF6BC7">
            <w:pPr>
              <w:jc w:val="center"/>
            </w:pPr>
            <w:r w:rsidRPr="00362517">
              <w:t xml:space="preserve">      15,325 </w:t>
            </w:r>
          </w:p>
        </w:tc>
        <w:tc>
          <w:tcPr>
            <w:tcW w:w="964" w:type="pct"/>
            <w:shd w:val="clear" w:color="auto" w:fill="auto"/>
            <w:noWrap/>
            <w:vAlign w:val="bottom"/>
            <w:hideMark/>
          </w:tcPr>
          <w:p w14:paraId="5A19C5E0" w14:textId="77777777" w:rsidR="00D8365A" w:rsidRPr="00362517" w:rsidRDefault="00D8365A" w:rsidP="00BF6BC7">
            <w:pPr>
              <w:jc w:val="center"/>
            </w:pPr>
            <w:r w:rsidRPr="00362517">
              <w:t>13.73</w:t>
            </w:r>
          </w:p>
        </w:tc>
        <w:tc>
          <w:tcPr>
            <w:tcW w:w="963" w:type="pct"/>
            <w:shd w:val="clear" w:color="auto" w:fill="auto"/>
            <w:noWrap/>
            <w:vAlign w:val="bottom"/>
            <w:hideMark/>
          </w:tcPr>
          <w:p w14:paraId="29C90851" w14:textId="77777777" w:rsidR="00D8365A" w:rsidRPr="00362517" w:rsidRDefault="00D8365A" w:rsidP="00BF6BC7">
            <w:pPr>
              <w:jc w:val="center"/>
            </w:pPr>
            <w:r w:rsidRPr="00362517">
              <w:t xml:space="preserve"> $      16.68 </w:t>
            </w:r>
          </w:p>
        </w:tc>
      </w:tr>
      <w:tr w:rsidR="00D8365A" w:rsidRPr="00362517" w14:paraId="0FAFCE14" w14:textId="77777777" w:rsidTr="007A2164">
        <w:trPr>
          <w:trHeight w:val="312"/>
        </w:trPr>
        <w:tc>
          <w:tcPr>
            <w:tcW w:w="1144" w:type="pct"/>
            <w:shd w:val="clear" w:color="auto" w:fill="auto"/>
            <w:noWrap/>
            <w:vAlign w:val="bottom"/>
            <w:hideMark/>
          </w:tcPr>
          <w:p w14:paraId="584D6C55" w14:textId="77777777" w:rsidR="00D8365A" w:rsidRPr="00362517" w:rsidRDefault="00D8365A" w:rsidP="00BF6BC7">
            <w:r w:rsidRPr="00362517">
              <w:t>Indiana</w:t>
            </w:r>
          </w:p>
        </w:tc>
        <w:tc>
          <w:tcPr>
            <w:tcW w:w="964" w:type="pct"/>
            <w:vAlign w:val="bottom"/>
          </w:tcPr>
          <w:p w14:paraId="2D41EE5E" w14:textId="77777777" w:rsidR="00D8365A" w:rsidRPr="00362517" w:rsidRDefault="00D8365A" w:rsidP="00BF6BC7">
            <w:pPr>
              <w:jc w:val="center"/>
            </w:pPr>
            <w:r w:rsidRPr="00362517">
              <w:t>215</w:t>
            </w:r>
          </w:p>
        </w:tc>
        <w:tc>
          <w:tcPr>
            <w:tcW w:w="964" w:type="pct"/>
            <w:shd w:val="clear" w:color="auto" w:fill="auto"/>
            <w:noWrap/>
            <w:vAlign w:val="bottom"/>
            <w:hideMark/>
          </w:tcPr>
          <w:p w14:paraId="55625ECB" w14:textId="77777777" w:rsidR="00D8365A" w:rsidRPr="00362517" w:rsidRDefault="00D8365A" w:rsidP="00BF6BC7">
            <w:pPr>
              <w:jc w:val="center"/>
            </w:pPr>
            <w:r w:rsidRPr="00362517">
              <w:t xml:space="preserve">        9,866 </w:t>
            </w:r>
          </w:p>
        </w:tc>
        <w:tc>
          <w:tcPr>
            <w:tcW w:w="964" w:type="pct"/>
            <w:shd w:val="clear" w:color="auto" w:fill="auto"/>
            <w:noWrap/>
            <w:vAlign w:val="bottom"/>
            <w:hideMark/>
          </w:tcPr>
          <w:p w14:paraId="39DB78FF" w14:textId="77777777" w:rsidR="00D8365A" w:rsidRPr="00362517" w:rsidRDefault="00D8365A" w:rsidP="00BF6BC7">
            <w:pPr>
              <w:jc w:val="center"/>
            </w:pPr>
            <w:r w:rsidRPr="00362517">
              <w:t>21.75</w:t>
            </w:r>
          </w:p>
        </w:tc>
        <w:tc>
          <w:tcPr>
            <w:tcW w:w="963" w:type="pct"/>
            <w:shd w:val="clear" w:color="auto" w:fill="auto"/>
            <w:noWrap/>
            <w:vAlign w:val="bottom"/>
            <w:hideMark/>
          </w:tcPr>
          <w:p w14:paraId="33BDB404" w14:textId="77777777" w:rsidR="00D8365A" w:rsidRPr="00362517" w:rsidRDefault="00D8365A" w:rsidP="00BF6BC7">
            <w:pPr>
              <w:jc w:val="center"/>
            </w:pPr>
            <w:r w:rsidRPr="00362517">
              <w:t xml:space="preserve"> $      26.27 </w:t>
            </w:r>
          </w:p>
        </w:tc>
      </w:tr>
      <w:tr w:rsidR="00D8365A" w:rsidRPr="00362517" w14:paraId="0DEAAB93" w14:textId="77777777" w:rsidTr="007A2164">
        <w:trPr>
          <w:trHeight w:val="312"/>
        </w:trPr>
        <w:tc>
          <w:tcPr>
            <w:tcW w:w="1144" w:type="pct"/>
            <w:shd w:val="clear" w:color="auto" w:fill="auto"/>
            <w:noWrap/>
            <w:vAlign w:val="bottom"/>
            <w:hideMark/>
          </w:tcPr>
          <w:p w14:paraId="668199D3" w14:textId="77777777" w:rsidR="00D8365A" w:rsidRPr="00362517" w:rsidRDefault="00D8365A" w:rsidP="00BF6BC7">
            <w:r w:rsidRPr="00362517">
              <w:t>Iowa</w:t>
            </w:r>
          </w:p>
        </w:tc>
        <w:tc>
          <w:tcPr>
            <w:tcW w:w="964" w:type="pct"/>
            <w:vAlign w:val="bottom"/>
          </w:tcPr>
          <w:p w14:paraId="14F71536" w14:textId="77777777" w:rsidR="00D8365A" w:rsidRPr="00362517" w:rsidRDefault="00D8365A" w:rsidP="00BF6BC7">
            <w:pPr>
              <w:jc w:val="center"/>
            </w:pPr>
            <w:r w:rsidRPr="00362517">
              <w:t>37</w:t>
            </w:r>
          </w:p>
        </w:tc>
        <w:tc>
          <w:tcPr>
            <w:tcW w:w="964" w:type="pct"/>
            <w:shd w:val="clear" w:color="auto" w:fill="auto"/>
            <w:noWrap/>
            <w:vAlign w:val="bottom"/>
            <w:hideMark/>
          </w:tcPr>
          <w:p w14:paraId="65F57F1F" w14:textId="77777777" w:rsidR="00D8365A" w:rsidRPr="00362517" w:rsidRDefault="00D8365A" w:rsidP="00BF6BC7">
            <w:pPr>
              <w:jc w:val="center"/>
            </w:pPr>
            <w:r w:rsidRPr="00362517">
              <w:t xml:space="preserve">      13,773 </w:t>
            </w:r>
          </w:p>
        </w:tc>
        <w:tc>
          <w:tcPr>
            <w:tcW w:w="964" w:type="pct"/>
            <w:shd w:val="clear" w:color="auto" w:fill="auto"/>
            <w:noWrap/>
            <w:vAlign w:val="bottom"/>
            <w:hideMark/>
          </w:tcPr>
          <w:p w14:paraId="161AC58B" w14:textId="77777777" w:rsidR="00D8365A" w:rsidRPr="00362517" w:rsidRDefault="00D8365A" w:rsidP="00BF6BC7">
            <w:pPr>
              <w:jc w:val="center"/>
            </w:pPr>
            <w:r w:rsidRPr="00362517">
              <w:t>2.68</w:t>
            </w:r>
          </w:p>
        </w:tc>
        <w:tc>
          <w:tcPr>
            <w:tcW w:w="963" w:type="pct"/>
            <w:shd w:val="clear" w:color="auto" w:fill="auto"/>
            <w:noWrap/>
            <w:vAlign w:val="bottom"/>
            <w:hideMark/>
          </w:tcPr>
          <w:p w14:paraId="1C1933F3" w14:textId="77777777" w:rsidR="00D8365A" w:rsidRPr="00362517" w:rsidRDefault="00D8365A" w:rsidP="00BF6BC7">
            <w:pPr>
              <w:jc w:val="center"/>
            </w:pPr>
            <w:r w:rsidRPr="00362517">
              <w:t xml:space="preserve"> $        5.89 </w:t>
            </w:r>
          </w:p>
        </w:tc>
      </w:tr>
      <w:tr w:rsidR="00D8365A" w:rsidRPr="00362517" w14:paraId="5244FCE4" w14:textId="77777777" w:rsidTr="007A2164">
        <w:trPr>
          <w:trHeight w:val="312"/>
        </w:trPr>
        <w:tc>
          <w:tcPr>
            <w:tcW w:w="1144" w:type="pct"/>
            <w:shd w:val="clear" w:color="auto" w:fill="auto"/>
            <w:noWrap/>
            <w:vAlign w:val="bottom"/>
            <w:hideMark/>
          </w:tcPr>
          <w:p w14:paraId="7EC4E603" w14:textId="77777777" w:rsidR="00D8365A" w:rsidRPr="00362517" w:rsidRDefault="00D8365A" w:rsidP="00BF6BC7">
            <w:r w:rsidRPr="00362517">
              <w:t>Kansas</w:t>
            </w:r>
          </w:p>
        </w:tc>
        <w:tc>
          <w:tcPr>
            <w:tcW w:w="964" w:type="pct"/>
            <w:vAlign w:val="bottom"/>
          </w:tcPr>
          <w:p w14:paraId="62B90975" w14:textId="77777777" w:rsidR="00D8365A" w:rsidRPr="00362517" w:rsidRDefault="00D8365A" w:rsidP="00BF6BC7">
            <w:pPr>
              <w:jc w:val="center"/>
            </w:pPr>
            <w:r w:rsidRPr="00362517">
              <w:t>227</w:t>
            </w:r>
          </w:p>
        </w:tc>
        <w:tc>
          <w:tcPr>
            <w:tcW w:w="964" w:type="pct"/>
            <w:shd w:val="clear" w:color="auto" w:fill="auto"/>
            <w:noWrap/>
            <w:vAlign w:val="bottom"/>
            <w:hideMark/>
          </w:tcPr>
          <w:p w14:paraId="6FACBDD2" w14:textId="77777777" w:rsidR="00D8365A" w:rsidRPr="00362517" w:rsidRDefault="00D8365A" w:rsidP="00BF6BC7">
            <w:pPr>
              <w:jc w:val="center"/>
            </w:pPr>
            <w:r w:rsidRPr="00362517">
              <w:t xml:space="preserve">        6,128 </w:t>
            </w:r>
          </w:p>
        </w:tc>
        <w:tc>
          <w:tcPr>
            <w:tcW w:w="964" w:type="pct"/>
            <w:shd w:val="clear" w:color="auto" w:fill="auto"/>
            <w:noWrap/>
            <w:vAlign w:val="bottom"/>
            <w:hideMark/>
          </w:tcPr>
          <w:p w14:paraId="50FB05D8" w14:textId="77777777" w:rsidR="00D8365A" w:rsidRPr="00362517" w:rsidRDefault="00D8365A" w:rsidP="00BF6BC7">
            <w:pPr>
              <w:jc w:val="center"/>
            </w:pPr>
            <w:r w:rsidRPr="00362517">
              <w:t>37.06</w:t>
            </w:r>
          </w:p>
        </w:tc>
        <w:tc>
          <w:tcPr>
            <w:tcW w:w="963" w:type="pct"/>
            <w:shd w:val="clear" w:color="auto" w:fill="auto"/>
            <w:noWrap/>
            <w:vAlign w:val="bottom"/>
            <w:hideMark/>
          </w:tcPr>
          <w:p w14:paraId="491C0051" w14:textId="77777777" w:rsidR="00D8365A" w:rsidRPr="00362517" w:rsidRDefault="00D8365A" w:rsidP="00BF6BC7">
            <w:pPr>
              <w:jc w:val="center"/>
            </w:pPr>
            <w:r w:rsidRPr="00362517">
              <w:t xml:space="preserve"> $      45.11 </w:t>
            </w:r>
          </w:p>
        </w:tc>
      </w:tr>
      <w:tr w:rsidR="00D8365A" w:rsidRPr="00362517" w14:paraId="0D89AD02" w14:textId="77777777" w:rsidTr="007A2164">
        <w:trPr>
          <w:trHeight w:val="312"/>
        </w:trPr>
        <w:tc>
          <w:tcPr>
            <w:tcW w:w="1144" w:type="pct"/>
            <w:shd w:val="clear" w:color="auto" w:fill="auto"/>
            <w:noWrap/>
            <w:vAlign w:val="bottom"/>
            <w:hideMark/>
          </w:tcPr>
          <w:p w14:paraId="3BA68C06" w14:textId="77777777" w:rsidR="00D8365A" w:rsidRPr="00362517" w:rsidRDefault="00D8365A" w:rsidP="00BF6BC7">
            <w:r w:rsidRPr="00362517">
              <w:t>Kentucky</w:t>
            </w:r>
          </w:p>
        </w:tc>
        <w:tc>
          <w:tcPr>
            <w:tcW w:w="964" w:type="pct"/>
            <w:vAlign w:val="bottom"/>
          </w:tcPr>
          <w:p w14:paraId="7F5689CF" w14:textId="77777777" w:rsidR="00D8365A" w:rsidRPr="00362517" w:rsidRDefault="00D8365A" w:rsidP="00BF6BC7">
            <w:pPr>
              <w:jc w:val="center"/>
            </w:pPr>
            <w:r w:rsidRPr="00362517">
              <w:t>256</w:t>
            </w:r>
          </w:p>
        </w:tc>
        <w:tc>
          <w:tcPr>
            <w:tcW w:w="964" w:type="pct"/>
            <w:shd w:val="clear" w:color="auto" w:fill="auto"/>
            <w:noWrap/>
            <w:vAlign w:val="bottom"/>
            <w:hideMark/>
          </w:tcPr>
          <w:p w14:paraId="35F1BCEA" w14:textId="77777777" w:rsidR="00D8365A" w:rsidRPr="00362517" w:rsidRDefault="00D8365A" w:rsidP="00BF6BC7">
            <w:pPr>
              <w:jc w:val="center"/>
            </w:pPr>
            <w:r w:rsidRPr="00362517">
              <w:t xml:space="preserve">      14,289 </w:t>
            </w:r>
          </w:p>
        </w:tc>
        <w:tc>
          <w:tcPr>
            <w:tcW w:w="964" w:type="pct"/>
            <w:shd w:val="clear" w:color="auto" w:fill="auto"/>
            <w:noWrap/>
            <w:vAlign w:val="bottom"/>
            <w:hideMark/>
          </w:tcPr>
          <w:p w14:paraId="15E93A72" w14:textId="77777777" w:rsidR="00D8365A" w:rsidRPr="00362517" w:rsidRDefault="00D8365A" w:rsidP="00BF6BC7">
            <w:pPr>
              <w:jc w:val="center"/>
            </w:pPr>
            <w:r w:rsidRPr="00362517">
              <w:t>17.92</w:t>
            </w:r>
          </w:p>
        </w:tc>
        <w:tc>
          <w:tcPr>
            <w:tcW w:w="963" w:type="pct"/>
            <w:shd w:val="clear" w:color="auto" w:fill="auto"/>
            <w:noWrap/>
            <w:vAlign w:val="bottom"/>
            <w:hideMark/>
          </w:tcPr>
          <w:p w14:paraId="2F73EE4C" w14:textId="77777777" w:rsidR="00D8365A" w:rsidRPr="00362517" w:rsidRDefault="00D8365A" w:rsidP="00BF6BC7">
            <w:pPr>
              <w:jc w:val="center"/>
            </w:pPr>
            <w:r w:rsidRPr="00362517">
              <w:t xml:space="preserve"> $      23.78 </w:t>
            </w:r>
          </w:p>
        </w:tc>
      </w:tr>
      <w:tr w:rsidR="00D8365A" w:rsidRPr="00362517" w14:paraId="6925C165" w14:textId="77777777" w:rsidTr="007A2164">
        <w:trPr>
          <w:trHeight w:val="312"/>
        </w:trPr>
        <w:tc>
          <w:tcPr>
            <w:tcW w:w="1144" w:type="pct"/>
            <w:shd w:val="clear" w:color="auto" w:fill="auto"/>
            <w:noWrap/>
            <w:vAlign w:val="bottom"/>
            <w:hideMark/>
          </w:tcPr>
          <w:p w14:paraId="75BEDF91" w14:textId="77777777" w:rsidR="00D8365A" w:rsidRPr="00362517" w:rsidRDefault="00D8365A" w:rsidP="00BF6BC7">
            <w:r w:rsidRPr="00362517">
              <w:t>Louisiana</w:t>
            </w:r>
          </w:p>
        </w:tc>
        <w:tc>
          <w:tcPr>
            <w:tcW w:w="964" w:type="pct"/>
            <w:vAlign w:val="bottom"/>
          </w:tcPr>
          <w:p w14:paraId="3693C692" w14:textId="77777777" w:rsidR="00D8365A" w:rsidRPr="00362517" w:rsidRDefault="00D8365A" w:rsidP="00BF6BC7">
            <w:pPr>
              <w:jc w:val="center"/>
            </w:pPr>
            <w:r w:rsidRPr="00362517">
              <w:t>85</w:t>
            </w:r>
          </w:p>
        </w:tc>
        <w:tc>
          <w:tcPr>
            <w:tcW w:w="964" w:type="pct"/>
            <w:shd w:val="clear" w:color="auto" w:fill="auto"/>
            <w:noWrap/>
            <w:vAlign w:val="bottom"/>
            <w:hideMark/>
          </w:tcPr>
          <w:p w14:paraId="5E35A37B" w14:textId="77777777" w:rsidR="00D8365A" w:rsidRPr="00362517" w:rsidRDefault="00D8365A" w:rsidP="00BF6BC7">
            <w:pPr>
              <w:jc w:val="center"/>
            </w:pPr>
            <w:r w:rsidRPr="00362517">
              <w:t xml:space="preserve">        4,737 </w:t>
            </w:r>
          </w:p>
        </w:tc>
        <w:tc>
          <w:tcPr>
            <w:tcW w:w="964" w:type="pct"/>
            <w:shd w:val="clear" w:color="auto" w:fill="auto"/>
            <w:noWrap/>
            <w:vAlign w:val="bottom"/>
            <w:hideMark/>
          </w:tcPr>
          <w:p w14:paraId="4ACD9AB9" w14:textId="77777777" w:rsidR="00D8365A" w:rsidRPr="00362517" w:rsidRDefault="00D8365A" w:rsidP="00BF6BC7">
            <w:pPr>
              <w:jc w:val="center"/>
            </w:pPr>
            <w:r w:rsidRPr="00362517">
              <w:t>17.90</w:t>
            </w:r>
          </w:p>
        </w:tc>
        <w:tc>
          <w:tcPr>
            <w:tcW w:w="963" w:type="pct"/>
            <w:shd w:val="clear" w:color="auto" w:fill="auto"/>
            <w:noWrap/>
            <w:vAlign w:val="bottom"/>
            <w:hideMark/>
          </w:tcPr>
          <w:p w14:paraId="4CB57A68" w14:textId="77777777" w:rsidR="00D8365A" w:rsidRPr="00362517" w:rsidRDefault="00D8365A" w:rsidP="00BF6BC7">
            <w:pPr>
              <w:jc w:val="center"/>
            </w:pPr>
            <w:r w:rsidRPr="00362517">
              <w:t xml:space="preserve"> $      29.78 </w:t>
            </w:r>
          </w:p>
        </w:tc>
      </w:tr>
      <w:tr w:rsidR="00D8365A" w:rsidRPr="00362517" w14:paraId="7830E04F" w14:textId="77777777" w:rsidTr="007A2164">
        <w:trPr>
          <w:trHeight w:val="312"/>
        </w:trPr>
        <w:tc>
          <w:tcPr>
            <w:tcW w:w="1144" w:type="pct"/>
            <w:shd w:val="clear" w:color="auto" w:fill="auto"/>
            <w:noWrap/>
            <w:vAlign w:val="bottom"/>
            <w:hideMark/>
          </w:tcPr>
          <w:p w14:paraId="687922D2" w14:textId="77777777" w:rsidR="00D8365A" w:rsidRPr="00362517" w:rsidRDefault="00D8365A" w:rsidP="00BF6BC7">
            <w:r w:rsidRPr="00362517">
              <w:t>Maine</w:t>
            </w:r>
          </w:p>
        </w:tc>
        <w:tc>
          <w:tcPr>
            <w:tcW w:w="964" w:type="pct"/>
            <w:vAlign w:val="bottom"/>
          </w:tcPr>
          <w:p w14:paraId="0A39B80C" w14:textId="77777777" w:rsidR="00D8365A" w:rsidRPr="00362517" w:rsidRDefault="00D8365A" w:rsidP="00BF6BC7">
            <w:pPr>
              <w:jc w:val="center"/>
            </w:pPr>
            <w:r w:rsidRPr="00362517">
              <w:t>121</w:t>
            </w:r>
          </w:p>
        </w:tc>
        <w:tc>
          <w:tcPr>
            <w:tcW w:w="964" w:type="pct"/>
            <w:shd w:val="clear" w:color="auto" w:fill="auto"/>
            <w:noWrap/>
            <w:vAlign w:val="bottom"/>
            <w:hideMark/>
          </w:tcPr>
          <w:p w14:paraId="63564B18" w14:textId="77777777" w:rsidR="00D8365A" w:rsidRPr="00362517" w:rsidRDefault="00D8365A" w:rsidP="00BF6BC7">
            <w:pPr>
              <w:jc w:val="center"/>
            </w:pPr>
            <w:r w:rsidRPr="00362517">
              <w:t xml:space="preserve">        1,653 </w:t>
            </w:r>
          </w:p>
        </w:tc>
        <w:tc>
          <w:tcPr>
            <w:tcW w:w="964" w:type="pct"/>
            <w:shd w:val="clear" w:color="auto" w:fill="auto"/>
            <w:noWrap/>
            <w:vAlign w:val="bottom"/>
            <w:hideMark/>
          </w:tcPr>
          <w:p w14:paraId="008BD467" w14:textId="77777777" w:rsidR="00D8365A" w:rsidRPr="00362517" w:rsidRDefault="00D8365A" w:rsidP="00BF6BC7">
            <w:pPr>
              <w:jc w:val="center"/>
            </w:pPr>
            <w:r w:rsidRPr="00362517">
              <w:t>73.23</w:t>
            </w:r>
          </w:p>
        </w:tc>
        <w:tc>
          <w:tcPr>
            <w:tcW w:w="963" w:type="pct"/>
            <w:shd w:val="clear" w:color="auto" w:fill="auto"/>
            <w:noWrap/>
            <w:vAlign w:val="bottom"/>
            <w:hideMark/>
          </w:tcPr>
          <w:p w14:paraId="0F60307D" w14:textId="77777777" w:rsidR="00D8365A" w:rsidRPr="00362517" w:rsidRDefault="00D8365A" w:rsidP="00BF6BC7">
            <w:pPr>
              <w:jc w:val="center"/>
            </w:pPr>
            <w:r w:rsidRPr="00362517">
              <w:t xml:space="preserve"> $    101.70 </w:t>
            </w:r>
          </w:p>
        </w:tc>
      </w:tr>
      <w:tr w:rsidR="00D8365A" w:rsidRPr="00362517" w14:paraId="636CE08A" w14:textId="77777777" w:rsidTr="007A2164">
        <w:trPr>
          <w:trHeight w:val="312"/>
        </w:trPr>
        <w:tc>
          <w:tcPr>
            <w:tcW w:w="1144" w:type="pct"/>
            <w:shd w:val="clear" w:color="auto" w:fill="auto"/>
            <w:noWrap/>
            <w:vAlign w:val="bottom"/>
            <w:hideMark/>
          </w:tcPr>
          <w:p w14:paraId="061A252F" w14:textId="77777777" w:rsidR="00D8365A" w:rsidRPr="00362517" w:rsidRDefault="00D8365A" w:rsidP="00BF6BC7">
            <w:r w:rsidRPr="00362517">
              <w:t>Maryland</w:t>
            </w:r>
          </w:p>
        </w:tc>
        <w:tc>
          <w:tcPr>
            <w:tcW w:w="964" w:type="pct"/>
            <w:vAlign w:val="bottom"/>
          </w:tcPr>
          <w:p w14:paraId="34113C4A" w14:textId="77777777" w:rsidR="00D8365A" w:rsidRPr="00362517" w:rsidRDefault="00D8365A" w:rsidP="00BF6BC7">
            <w:pPr>
              <w:jc w:val="center"/>
            </w:pPr>
            <w:r w:rsidRPr="00362517">
              <w:t>6</w:t>
            </w:r>
          </w:p>
        </w:tc>
        <w:tc>
          <w:tcPr>
            <w:tcW w:w="964" w:type="pct"/>
            <w:shd w:val="clear" w:color="auto" w:fill="auto"/>
            <w:noWrap/>
            <w:vAlign w:val="bottom"/>
            <w:hideMark/>
          </w:tcPr>
          <w:p w14:paraId="1442AFE9" w14:textId="77777777" w:rsidR="00D8365A" w:rsidRPr="00362517" w:rsidRDefault="00D8365A" w:rsidP="00BF6BC7">
            <w:pPr>
              <w:jc w:val="center"/>
            </w:pPr>
            <w:r w:rsidRPr="00362517">
              <w:t xml:space="preserve">        4,643 </w:t>
            </w:r>
          </w:p>
        </w:tc>
        <w:tc>
          <w:tcPr>
            <w:tcW w:w="964" w:type="pct"/>
            <w:shd w:val="clear" w:color="auto" w:fill="auto"/>
            <w:noWrap/>
            <w:vAlign w:val="bottom"/>
            <w:hideMark/>
          </w:tcPr>
          <w:p w14:paraId="5D634CFE" w14:textId="77777777" w:rsidR="00D8365A" w:rsidRPr="00362517" w:rsidRDefault="00D8365A" w:rsidP="00BF6BC7">
            <w:pPr>
              <w:jc w:val="center"/>
            </w:pPr>
            <w:r w:rsidRPr="00362517">
              <w:t>1.27</w:t>
            </w:r>
          </w:p>
        </w:tc>
        <w:tc>
          <w:tcPr>
            <w:tcW w:w="963" w:type="pct"/>
            <w:shd w:val="clear" w:color="auto" w:fill="auto"/>
            <w:noWrap/>
            <w:vAlign w:val="bottom"/>
            <w:hideMark/>
          </w:tcPr>
          <w:p w14:paraId="458D93D3" w14:textId="77777777" w:rsidR="00D8365A" w:rsidRPr="00362517" w:rsidRDefault="00D8365A" w:rsidP="00BF6BC7">
            <w:pPr>
              <w:jc w:val="center"/>
            </w:pPr>
            <w:r w:rsidRPr="00362517">
              <w:t xml:space="preserve"> $      19.27 </w:t>
            </w:r>
          </w:p>
        </w:tc>
      </w:tr>
      <w:tr w:rsidR="00D8365A" w:rsidRPr="00362517" w14:paraId="16A3BDB7" w14:textId="77777777" w:rsidTr="007A2164">
        <w:trPr>
          <w:trHeight w:val="312"/>
        </w:trPr>
        <w:tc>
          <w:tcPr>
            <w:tcW w:w="1144" w:type="pct"/>
            <w:shd w:val="clear" w:color="auto" w:fill="auto"/>
            <w:noWrap/>
            <w:vAlign w:val="bottom"/>
            <w:hideMark/>
          </w:tcPr>
          <w:p w14:paraId="62EEF4A2" w14:textId="77777777" w:rsidR="00D8365A" w:rsidRPr="00362517" w:rsidRDefault="00D8365A" w:rsidP="00BF6BC7">
            <w:r w:rsidRPr="00362517">
              <w:t>Massachusetts</w:t>
            </w:r>
          </w:p>
        </w:tc>
        <w:tc>
          <w:tcPr>
            <w:tcW w:w="964" w:type="pct"/>
            <w:vAlign w:val="bottom"/>
          </w:tcPr>
          <w:p w14:paraId="042BD747" w14:textId="77777777" w:rsidR="00D8365A" w:rsidRPr="00362517" w:rsidRDefault="00D8365A" w:rsidP="00BF6BC7">
            <w:pPr>
              <w:jc w:val="center"/>
            </w:pPr>
            <w:r w:rsidRPr="00362517">
              <w:t>3</w:t>
            </w:r>
          </w:p>
        </w:tc>
        <w:tc>
          <w:tcPr>
            <w:tcW w:w="964" w:type="pct"/>
            <w:shd w:val="clear" w:color="auto" w:fill="auto"/>
            <w:noWrap/>
            <w:vAlign w:val="bottom"/>
            <w:hideMark/>
          </w:tcPr>
          <w:p w14:paraId="20EE6BE7" w14:textId="77777777" w:rsidR="00D8365A" w:rsidRPr="00362517" w:rsidRDefault="00D8365A" w:rsidP="00BF6BC7">
            <w:pPr>
              <w:jc w:val="center"/>
            </w:pPr>
            <w:r w:rsidRPr="00362517">
              <w:t xml:space="preserve">        2,207 </w:t>
            </w:r>
          </w:p>
        </w:tc>
        <w:tc>
          <w:tcPr>
            <w:tcW w:w="964" w:type="pct"/>
            <w:shd w:val="clear" w:color="auto" w:fill="auto"/>
            <w:noWrap/>
            <w:vAlign w:val="bottom"/>
            <w:hideMark/>
          </w:tcPr>
          <w:p w14:paraId="75AE3DBA" w14:textId="77777777" w:rsidR="00D8365A" w:rsidRPr="00362517" w:rsidRDefault="00D8365A" w:rsidP="00BF6BC7">
            <w:pPr>
              <w:jc w:val="center"/>
            </w:pPr>
            <w:r w:rsidRPr="00362517">
              <w:t>1.27</w:t>
            </w:r>
          </w:p>
        </w:tc>
        <w:tc>
          <w:tcPr>
            <w:tcW w:w="963" w:type="pct"/>
            <w:shd w:val="clear" w:color="auto" w:fill="auto"/>
            <w:noWrap/>
            <w:vAlign w:val="bottom"/>
            <w:hideMark/>
          </w:tcPr>
          <w:p w14:paraId="38830D58" w14:textId="77777777" w:rsidR="00D8365A" w:rsidRPr="00362517" w:rsidRDefault="00D8365A" w:rsidP="00BF6BC7">
            <w:pPr>
              <w:jc w:val="center"/>
            </w:pPr>
            <w:r w:rsidRPr="00362517">
              <w:t xml:space="preserve"> $      23.91 </w:t>
            </w:r>
          </w:p>
        </w:tc>
      </w:tr>
      <w:tr w:rsidR="00D8365A" w:rsidRPr="00362517" w14:paraId="682133F5" w14:textId="77777777" w:rsidTr="007A2164">
        <w:trPr>
          <w:trHeight w:val="312"/>
        </w:trPr>
        <w:tc>
          <w:tcPr>
            <w:tcW w:w="1144" w:type="pct"/>
            <w:shd w:val="clear" w:color="auto" w:fill="auto"/>
            <w:noWrap/>
            <w:vAlign w:val="bottom"/>
            <w:hideMark/>
          </w:tcPr>
          <w:p w14:paraId="22B1D9AB" w14:textId="77777777" w:rsidR="00D8365A" w:rsidRPr="00362517" w:rsidRDefault="00D8365A" w:rsidP="00BF6BC7">
            <w:r w:rsidRPr="00362517">
              <w:t>Michigan</w:t>
            </w:r>
          </w:p>
        </w:tc>
        <w:tc>
          <w:tcPr>
            <w:tcW w:w="964" w:type="pct"/>
            <w:vAlign w:val="bottom"/>
          </w:tcPr>
          <w:p w14:paraId="1BF833D7" w14:textId="77777777" w:rsidR="00D8365A" w:rsidRPr="00362517" w:rsidRDefault="00D8365A" w:rsidP="00BF6BC7">
            <w:pPr>
              <w:jc w:val="center"/>
            </w:pPr>
            <w:r w:rsidRPr="00362517">
              <w:t>294</w:t>
            </w:r>
          </w:p>
        </w:tc>
        <w:tc>
          <w:tcPr>
            <w:tcW w:w="964" w:type="pct"/>
            <w:shd w:val="clear" w:color="auto" w:fill="auto"/>
            <w:noWrap/>
            <w:vAlign w:val="bottom"/>
            <w:hideMark/>
          </w:tcPr>
          <w:p w14:paraId="1BE973DC" w14:textId="77777777" w:rsidR="00D8365A" w:rsidRPr="00362517" w:rsidRDefault="00D8365A" w:rsidP="00BF6BC7">
            <w:pPr>
              <w:jc w:val="center"/>
            </w:pPr>
            <w:r w:rsidRPr="00362517">
              <w:t xml:space="preserve">      14,415 </w:t>
            </w:r>
          </w:p>
        </w:tc>
        <w:tc>
          <w:tcPr>
            <w:tcW w:w="964" w:type="pct"/>
            <w:shd w:val="clear" w:color="auto" w:fill="auto"/>
            <w:noWrap/>
            <w:vAlign w:val="bottom"/>
            <w:hideMark/>
          </w:tcPr>
          <w:p w14:paraId="660E6D9A" w14:textId="77777777" w:rsidR="00D8365A" w:rsidRPr="00362517" w:rsidRDefault="00D8365A" w:rsidP="00BF6BC7">
            <w:pPr>
              <w:jc w:val="center"/>
            </w:pPr>
            <w:r w:rsidRPr="00362517">
              <w:t>20.42</w:t>
            </w:r>
          </w:p>
        </w:tc>
        <w:tc>
          <w:tcPr>
            <w:tcW w:w="963" w:type="pct"/>
            <w:shd w:val="clear" w:color="auto" w:fill="auto"/>
            <w:noWrap/>
            <w:vAlign w:val="bottom"/>
            <w:hideMark/>
          </w:tcPr>
          <w:p w14:paraId="528F8D01" w14:textId="77777777" w:rsidR="00D8365A" w:rsidRPr="00362517" w:rsidRDefault="00D8365A" w:rsidP="00BF6BC7">
            <w:pPr>
              <w:jc w:val="center"/>
            </w:pPr>
            <w:r w:rsidRPr="00362517">
              <w:t xml:space="preserve"> $      25.61 </w:t>
            </w:r>
          </w:p>
        </w:tc>
      </w:tr>
      <w:tr w:rsidR="00D8365A" w:rsidRPr="00362517" w14:paraId="55E36A84" w14:textId="77777777" w:rsidTr="007A2164">
        <w:trPr>
          <w:trHeight w:val="312"/>
        </w:trPr>
        <w:tc>
          <w:tcPr>
            <w:tcW w:w="1144" w:type="pct"/>
            <w:shd w:val="clear" w:color="auto" w:fill="auto"/>
            <w:noWrap/>
            <w:vAlign w:val="bottom"/>
            <w:hideMark/>
          </w:tcPr>
          <w:p w14:paraId="5CD31A9D" w14:textId="77777777" w:rsidR="00D8365A" w:rsidRPr="00362517" w:rsidRDefault="00D8365A" w:rsidP="00BF6BC7">
            <w:r w:rsidRPr="00362517">
              <w:t>Minnesota</w:t>
            </w:r>
          </w:p>
        </w:tc>
        <w:tc>
          <w:tcPr>
            <w:tcW w:w="964" w:type="pct"/>
            <w:vAlign w:val="bottom"/>
          </w:tcPr>
          <w:p w14:paraId="29B0E65B" w14:textId="77777777" w:rsidR="00D8365A" w:rsidRPr="00362517" w:rsidRDefault="00D8365A" w:rsidP="00BF6BC7">
            <w:pPr>
              <w:jc w:val="center"/>
            </w:pPr>
            <w:r w:rsidRPr="00362517">
              <w:t>37</w:t>
            </w:r>
          </w:p>
        </w:tc>
        <w:tc>
          <w:tcPr>
            <w:tcW w:w="964" w:type="pct"/>
            <w:shd w:val="clear" w:color="auto" w:fill="auto"/>
            <w:noWrap/>
            <w:vAlign w:val="bottom"/>
            <w:hideMark/>
          </w:tcPr>
          <w:p w14:paraId="02820B6D" w14:textId="77777777" w:rsidR="00D8365A" w:rsidRPr="00362517" w:rsidRDefault="00D8365A" w:rsidP="00BF6BC7">
            <w:pPr>
              <w:jc w:val="center"/>
            </w:pPr>
            <w:r w:rsidRPr="00362517">
              <w:t xml:space="preserve">      10,576 </w:t>
            </w:r>
          </w:p>
        </w:tc>
        <w:tc>
          <w:tcPr>
            <w:tcW w:w="964" w:type="pct"/>
            <w:shd w:val="clear" w:color="auto" w:fill="auto"/>
            <w:noWrap/>
            <w:vAlign w:val="bottom"/>
            <w:hideMark/>
          </w:tcPr>
          <w:p w14:paraId="51FD0A52" w14:textId="77777777" w:rsidR="00D8365A" w:rsidRPr="00362517" w:rsidRDefault="00D8365A" w:rsidP="00BF6BC7">
            <w:pPr>
              <w:jc w:val="center"/>
            </w:pPr>
            <w:r w:rsidRPr="00362517">
              <w:t>3.54</w:t>
            </w:r>
          </w:p>
        </w:tc>
        <w:tc>
          <w:tcPr>
            <w:tcW w:w="963" w:type="pct"/>
            <w:shd w:val="clear" w:color="auto" w:fill="auto"/>
            <w:noWrap/>
            <w:vAlign w:val="bottom"/>
            <w:hideMark/>
          </w:tcPr>
          <w:p w14:paraId="7381CEB2" w14:textId="77777777" w:rsidR="00D8365A" w:rsidRPr="00362517" w:rsidRDefault="00D8365A" w:rsidP="00BF6BC7">
            <w:pPr>
              <w:jc w:val="center"/>
            </w:pPr>
            <w:r w:rsidRPr="00362517">
              <w:t xml:space="preserve"> $        7.45 </w:t>
            </w:r>
          </w:p>
        </w:tc>
      </w:tr>
      <w:tr w:rsidR="00D8365A" w:rsidRPr="00362517" w14:paraId="1E29C39E" w14:textId="77777777" w:rsidTr="007A2164">
        <w:trPr>
          <w:trHeight w:val="312"/>
        </w:trPr>
        <w:tc>
          <w:tcPr>
            <w:tcW w:w="1144" w:type="pct"/>
            <w:shd w:val="clear" w:color="auto" w:fill="auto"/>
            <w:noWrap/>
            <w:vAlign w:val="bottom"/>
            <w:hideMark/>
          </w:tcPr>
          <w:p w14:paraId="107A1A81" w14:textId="77777777" w:rsidR="00D8365A" w:rsidRPr="00362517" w:rsidRDefault="00D8365A" w:rsidP="00BF6BC7">
            <w:r w:rsidRPr="00362517">
              <w:t>Mississippi</w:t>
            </w:r>
          </w:p>
        </w:tc>
        <w:tc>
          <w:tcPr>
            <w:tcW w:w="964" w:type="pct"/>
            <w:vAlign w:val="bottom"/>
          </w:tcPr>
          <w:p w14:paraId="37578475" w14:textId="77777777" w:rsidR="00D8365A" w:rsidRPr="00362517" w:rsidRDefault="00D8365A" w:rsidP="00BF6BC7">
            <w:pPr>
              <w:jc w:val="center"/>
            </w:pPr>
            <w:r w:rsidRPr="00362517">
              <w:t>82</w:t>
            </w:r>
          </w:p>
        </w:tc>
        <w:tc>
          <w:tcPr>
            <w:tcW w:w="964" w:type="pct"/>
            <w:shd w:val="clear" w:color="auto" w:fill="auto"/>
            <w:noWrap/>
            <w:vAlign w:val="bottom"/>
            <w:hideMark/>
          </w:tcPr>
          <w:p w14:paraId="33813BD2" w14:textId="77777777" w:rsidR="00D8365A" w:rsidRPr="00362517" w:rsidRDefault="00D8365A" w:rsidP="00BF6BC7">
            <w:pPr>
              <w:jc w:val="center"/>
            </w:pPr>
            <w:r w:rsidRPr="00362517">
              <w:t xml:space="preserve">        2,990 </w:t>
            </w:r>
          </w:p>
        </w:tc>
        <w:tc>
          <w:tcPr>
            <w:tcW w:w="964" w:type="pct"/>
            <w:shd w:val="clear" w:color="auto" w:fill="auto"/>
            <w:noWrap/>
            <w:vAlign w:val="bottom"/>
            <w:hideMark/>
          </w:tcPr>
          <w:p w14:paraId="7FE0AD6B" w14:textId="77777777" w:rsidR="00D8365A" w:rsidRPr="00362517" w:rsidRDefault="00D8365A" w:rsidP="00BF6BC7">
            <w:pPr>
              <w:jc w:val="center"/>
            </w:pPr>
            <w:r w:rsidRPr="00362517">
              <w:t>27.47</w:t>
            </w:r>
          </w:p>
        </w:tc>
        <w:tc>
          <w:tcPr>
            <w:tcW w:w="963" w:type="pct"/>
            <w:shd w:val="clear" w:color="auto" w:fill="auto"/>
            <w:noWrap/>
            <w:vAlign w:val="bottom"/>
            <w:hideMark/>
          </w:tcPr>
          <w:p w14:paraId="6969E2AC" w14:textId="77777777" w:rsidR="00D8365A" w:rsidRPr="00362517" w:rsidRDefault="00D8365A" w:rsidP="00BF6BC7">
            <w:pPr>
              <w:jc w:val="center"/>
            </w:pPr>
            <w:r w:rsidRPr="00362517">
              <w:t xml:space="preserve"> $      36.40 </w:t>
            </w:r>
          </w:p>
        </w:tc>
      </w:tr>
      <w:tr w:rsidR="00D8365A" w:rsidRPr="00362517" w14:paraId="1475BDA8" w14:textId="77777777" w:rsidTr="007A2164">
        <w:trPr>
          <w:trHeight w:val="312"/>
        </w:trPr>
        <w:tc>
          <w:tcPr>
            <w:tcW w:w="1144" w:type="pct"/>
            <w:shd w:val="clear" w:color="auto" w:fill="auto"/>
            <w:noWrap/>
            <w:vAlign w:val="bottom"/>
            <w:hideMark/>
          </w:tcPr>
          <w:p w14:paraId="434243CA" w14:textId="77777777" w:rsidR="00D8365A" w:rsidRPr="00362517" w:rsidRDefault="00D8365A" w:rsidP="00BF6BC7">
            <w:r w:rsidRPr="00362517">
              <w:t>Missouri</w:t>
            </w:r>
          </w:p>
        </w:tc>
        <w:tc>
          <w:tcPr>
            <w:tcW w:w="964" w:type="pct"/>
            <w:vAlign w:val="bottom"/>
          </w:tcPr>
          <w:p w14:paraId="602F697B" w14:textId="77777777" w:rsidR="00D8365A" w:rsidRPr="00362517" w:rsidRDefault="00D8365A" w:rsidP="00BF6BC7">
            <w:pPr>
              <w:jc w:val="center"/>
            </w:pPr>
            <w:r w:rsidRPr="00362517">
              <w:t>354</w:t>
            </w:r>
          </w:p>
        </w:tc>
        <w:tc>
          <w:tcPr>
            <w:tcW w:w="964" w:type="pct"/>
            <w:shd w:val="clear" w:color="auto" w:fill="auto"/>
            <w:noWrap/>
            <w:vAlign w:val="bottom"/>
            <w:hideMark/>
          </w:tcPr>
          <w:p w14:paraId="15EE905E" w14:textId="77777777" w:rsidR="00D8365A" w:rsidRPr="00362517" w:rsidRDefault="00D8365A" w:rsidP="00BF6BC7">
            <w:pPr>
              <w:jc w:val="center"/>
            </w:pPr>
            <w:r w:rsidRPr="00362517">
              <w:t xml:space="preserve">        7,931 </w:t>
            </w:r>
          </w:p>
        </w:tc>
        <w:tc>
          <w:tcPr>
            <w:tcW w:w="964" w:type="pct"/>
            <w:shd w:val="clear" w:color="auto" w:fill="auto"/>
            <w:noWrap/>
            <w:vAlign w:val="bottom"/>
            <w:hideMark/>
          </w:tcPr>
          <w:p w14:paraId="7C252336" w14:textId="77777777" w:rsidR="00D8365A" w:rsidRPr="00362517" w:rsidRDefault="00D8365A" w:rsidP="00BF6BC7">
            <w:pPr>
              <w:jc w:val="center"/>
            </w:pPr>
            <w:r w:rsidRPr="00362517">
              <w:t>44.58</w:t>
            </w:r>
          </w:p>
        </w:tc>
        <w:tc>
          <w:tcPr>
            <w:tcW w:w="963" w:type="pct"/>
            <w:shd w:val="clear" w:color="auto" w:fill="auto"/>
            <w:noWrap/>
            <w:vAlign w:val="bottom"/>
            <w:hideMark/>
          </w:tcPr>
          <w:p w14:paraId="37C4D03E" w14:textId="77777777" w:rsidR="00D8365A" w:rsidRPr="00362517" w:rsidRDefault="00D8365A" w:rsidP="00BF6BC7">
            <w:pPr>
              <w:jc w:val="center"/>
            </w:pPr>
            <w:r w:rsidRPr="00362517">
              <w:t xml:space="preserve"> $      50.69 </w:t>
            </w:r>
          </w:p>
        </w:tc>
      </w:tr>
      <w:tr w:rsidR="00D8365A" w:rsidRPr="00362517" w14:paraId="3C3B487B" w14:textId="77777777" w:rsidTr="007A2164">
        <w:trPr>
          <w:trHeight w:val="312"/>
        </w:trPr>
        <w:tc>
          <w:tcPr>
            <w:tcW w:w="1144" w:type="pct"/>
            <w:shd w:val="clear" w:color="auto" w:fill="auto"/>
            <w:noWrap/>
            <w:vAlign w:val="bottom"/>
            <w:hideMark/>
          </w:tcPr>
          <w:p w14:paraId="03F9956D" w14:textId="77777777" w:rsidR="00D8365A" w:rsidRPr="00362517" w:rsidRDefault="00D8365A" w:rsidP="00BF6BC7">
            <w:r w:rsidRPr="00362517">
              <w:t>Montana</w:t>
            </w:r>
          </w:p>
        </w:tc>
        <w:tc>
          <w:tcPr>
            <w:tcW w:w="964" w:type="pct"/>
            <w:vAlign w:val="bottom"/>
          </w:tcPr>
          <w:p w14:paraId="18E61D57" w14:textId="77777777" w:rsidR="00D8365A" w:rsidRPr="00362517" w:rsidRDefault="00D8365A" w:rsidP="00BF6BC7">
            <w:pPr>
              <w:jc w:val="center"/>
            </w:pPr>
            <w:r w:rsidRPr="00362517">
              <w:t>34</w:t>
            </w:r>
          </w:p>
        </w:tc>
        <w:tc>
          <w:tcPr>
            <w:tcW w:w="964" w:type="pct"/>
            <w:shd w:val="clear" w:color="auto" w:fill="auto"/>
            <w:noWrap/>
            <w:vAlign w:val="bottom"/>
            <w:hideMark/>
          </w:tcPr>
          <w:p w14:paraId="4F00428F" w14:textId="77777777" w:rsidR="00D8365A" w:rsidRPr="00362517" w:rsidRDefault="00D8365A" w:rsidP="00BF6BC7">
            <w:pPr>
              <w:jc w:val="center"/>
            </w:pPr>
            <w:r w:rsidRPr="00362517">
              <w:t xml:space="preserve">        2,469 </w:t>
            </w:r>
          </w:p>
        </w:tc>
        <w:tc>
          <w:tcPr>
            <w:tcW w:w="964" w:type="pct"/>
            <w:shd w:val="clear" w:color="auto" w:fill="auto"/>
            <w:noWrap/>
            <w:vAlign w:val="bottom"/>
            <w:hideMark/>
          </w:tcPr>
          <w:p w14:paraId="58064B61" w14:textId="77777777" w:rsidR="00D8365A" w:rsidRPr="00362517" w:rsidRDefault="00D8365A" w:rsidP="00BF6BC7">
            <w:pPr>
              <w:jc w:val="center"/>
            </w:pPr>
            <w:r w:rsidRPr="00362517">
              <w:t>13.87</w:t>
            </w:r>
          </w:p>
        </w:tc>
        <w:tc>
          <w:tcPr>
            <w:tcW w:w="963" w:type="pct"/>
            <w:shd w:val="clear" w:color="auto" w:fill="auto"/>
            <w:noWrap/>
            <w:vAlign w:val="bottom"/>
            <w:hideMark/>
          </w:tcPr>
          <w:p w14:paraId="0486A381" w14:textId="77777777" w:rsidR="00D8365A" w:rsidRPr="00362517" w:rsidRDefault="00D8365A" w:rsidP="00BF6BC7">
            <w:pPr>
              <w:jc w:val="center"/>
            </w:pPr>
            <w:r w:rsidRPr="00362517">
              <w:t xml:space="preserve"> $      23.23 </w:t>
            </w:r>
          </w:p>
        </w:tc>
      </w:tr>
      <w:tr w:rsidR="00D8365A" w:rsidRPr="00362517" w14:paraId="15297A97" w14:textId="77777777" w:rsidTr="007A2164">
        <w:trPr>
          <w:trHeight w:val="312"/>
        </w:trPr>
        <w:tc>
          <w:tcPr>
            <w:tcW w:w="1144" w:type="pct"/>
            <w:shd w:val="clear" w:color="auto" w:fill="auto"/>
            <w:noWrap/>
            <w:vAlign w:val="bottom"/>
            <w:hideMark/>
          </w:tcPr>
          <w:p w14:paraId="49586E80" w14:textId="77777777" w:rsidR="00D8365A" w:rsidRPr="00362517" w:rsidRDefault="00D8365A" w:rsidP="00BF6BC7">
            <w:r w:rsidRPr="00362517">
              <w:t>Nebraska</w:t>
            </w:r>
          </w:p>
        </w:tc>
        <w:tc>
          <w:tcPr>
            <w:tcW w:w="964" w:type="pct"/>
            <w:vAlign w:val="bottom"/>
          </w:tcPr>
          <w:p w14:paraId="6093F9D7" w14:textId="77777777" w:rsidR="00D8365A" w:rsidRPr="00362517" w:rsidRDefault="00D8365A" w:rsidP="00BF6BC7">
            <w:pPr>
              <w:jc w:val="center"/>
            </w:pPr>
            <w:r w:rsidRPr="00362517">
              <w:t>330</w:t>
            </w:r>
          </w:p>
        </w:tc>
        <w:tc>
          <w:tcPr>
            <w:tcW w:w="964" w:type="pct"/>
            <w:shd w:val="clear" w:color="auto" w:fill="auto"/>
            <w:noWrap/>
            <w:vAlign w:val="bottom"/>
            <w:hideMark/>
          </w:tcPr>
          <w:p w14:paraId="27E4A90A" w14:textId="77777777" w:rsidR="00D8365A" w:rsidRPr="00362517" w:rsidRDefault="00D8365A" w:rsidP="00BF6BC7">
            <w:pPr>
              <w:jc w:val="center"/>
            </w:pPr>
            <w:r w:rsidRPr="00362517">
              <w:t xml:space="preserve">        9,920 </w:t>
            </w:r>
          </w:p>
        </w:tc>
        <w:tc>
          <w:tcPr>
            <w:tcW w:w="964" w:type="pct"/>
            <w:shd w:val="clear" w:color="auto" w:fill="auto"/>
            <w:noWrap/>
            <w:vAlign w:val="bottom"/>
            <w:hideMark/>
          </w:tcPr>
          <w:p w14:paraId="0A35A8BF" w14:textId="77777777" w:rsidR="00D8365A" w:rsidRPr="00362517" w:rsidRDefault="00D8365A" w:rsidP="00BF6BC7">
            <w:pPr>
              <w:jc w:val="center"/>
            </w:pPr>
            <w:r w:rsidRPr="00362517">
              <w:t>33.31</w:t>
            </w:r>
          </w:p>
        </w:tc>
        <w:tc>
          <w:tcPr>
            <w:tcW w:w="963" w:type="pct"/>
            <w:shd w:val="clear" w:color="auto" w:fill="auto"/>
            <w:noWrap/>
            <w:vAlign w:val="bottom"/>
            <w:hideMark/>
          </w:tcPr>
          <w:p w14:paraId="47975F22" w14:textId="77777777" w:rsidR="00D8365A" w:rsidRPr="00362517" w:rsidRDefault="00D8365A" w:rsidP="00BF6BC7">
            <w:pPr>
              <w:jc w:val="center"/>
            </w:pPr>
            <w:r w:rsidRPr="00362517">
              <w:t xml:space="preserve"> $      39.44 </w:t>
            </w:r>
          </w:p>
        </w:tc>
      </w:tr>
      <w:tr w:rsidR="00D8365A" w:rsidRPr="00362517" w14:paraId="69F7EF1D" w14:textId="77777777" w:rsidTr="007A2164">
        <w:trPr>
          <w:trHeight w:val="312"/>
        </w:trPr>
        <w:tc>
          <w:tcPr>
            <w:tcW w:w="1144" w:type="pct"/>
            <w:shd w:val="clear" w:color="auto" w:fill="auto"/>
            <w:noWrap/>
            <w:vAlign w:val="bottom"/>
            <w:hideMark/>
          </w:tcPr>
          <w:p w14:paraId="7350A129" w14:textId="77777777" w:rsidR="00D8365A" w:rsidRPr="00362517" w:rsidRDefault="00D8365A" w:rsidP="00BF6BC7">
            <w:r w:rsidRPr="00362517">
              <w:t>Nevada</w:t>
            </w:r>
          </w:p>
        </w:tc>
        <w:tc>
          <w:tcPr>
            <w:tcW w:w="964" w:type="pct"/>
            <w:vAlign w:val="bottom"/>
          </w:tcPr>
          <w:p w14:paraId="77438579" w14:textId="77777777" w:rsidR="00D8365A" w:rsidRPr="00362517" w:rsidRDefault="00D8365A" w:rsidP="00BF6BC7">
            <w:pPr>
              <w:jc w:val="center"/>
            </w:pPr>
            <w:r w:rsidRPr="00362517">
              <w:t>87</w:t>
            </w:r>
          </w:p>
        </w:tc>
        <w:tc>
          <w:tcPr>
            <w:tcW w:w="964" w:type="pct"/>
            <w:shd w:val="clear" w:color="auto" w:fill="auto"/>
            <w:noWrap/>
            <w:vAlign w:val="bottom"/>
            <w:hideMark/>
          </w:tcPr>
          <w:p w14:paraId="74645C3A" w14:textId="77777777" w:rsidR="00D8365A" w:rsidRPr="00362517" w:rsidRDefault="00D8365A" w:rsidP="00BF6BC7">
            <w:pPr>
              <w:jc w:val="center"/>
            </w:pPr>
            <w:r w:rsidRPr="00362517">
              <w:t xml:space="preserve">        1,718 </w:t>
            </w:r>
          </w:p>
        </w:tc>
        <w:tc>
          <w:tcPr>
            <w:tcW w:w="964" w:type="pct"/>
            <w:shd w:val="clear" w:color="auto" w:fill="auto"/>
            <w:noWrap/>
            <w:vAlign w:val="bottom"/>
            <w:hideMark/>
          </w:tcPr>
          <w:p w14:paraId="49332537" w14:textId="77777777" w:rsidR="00D8365A" w:rsidRPr="00362517" w:rsidRDefault="00D8365A" w:rsidP="00BF6BC7">
            <w:pPr>
              <w:jc w:val="center"/>
            </w:pPr>
            <w:r w:rsidRPr="00362517">
              <w:t>50.76</w:t>
            </w:r>
          </w:p>
        </w:tc>
        <w:tc>
          <w:tcPr>
            <w:tcW w:w="963" w:type="pct"/>
            <w:shd w:val="clear" w:color="auto" w:fill="auto"/>
            <w:noWrap/>
            <w:vAlign w:val="bottom"/>
            <w:hideMark/>
          </w:tcPr>
          <w:p w14:paraId="4A278A78" w14:textId="77777777" w:rsidR="00D8365A" w:rsidRPr="00362517" w:rsidRDefault="00D8365A" w:rsidP="00BF6BC7">
            <w:pPr>
              <w:jc w:val="center"/>
            </w:pPr>
            <w:r w:rsidRPr="00362517">
              <w:t xml:space="preserve"> $      89.68 </w:t>
            </w:r>
          </w:p>
        </w:tc>
      </w:tr>
      <w:tr w:rsidR="00D8365A" w:rsidRPr="00362517" w14:paraId="20C010F1" w14:textId="77777777" w:rsidTr="007A2164">
        <w:trPr>
          <w:trHeight w:val="312"/>
        </w:trPr>
        <w:tc>
          <w:tcPr>
            <w:tcW w:w="1144" w:type="pct"/>
            <w:shd w:val="clear" w:color="auto" w:fill="auto"/>
            <w:noWrap/>
            <w:vAlign w:val="bottom"/>
            <w:hideMark/>
          </w:tcPr>
          <w:p w14:paraId="679D1D59" w14:textId="77777777" w:rsidR="00D8365A" w:rsidRPr="00362517" w:rsidRDefault="00D8365A" w:rsidP="00BF6BC7">
            <w:r w:rsidRPr="00362517">
              <w:t>New Hampshire</w:t>
            </w:r>
          </w:p>
        </w:tc>
        <w:tc>
          <w:tcPr>
            <w:tcW w:w="964" w:type="pct"/>
            <w:vAlign w:val="bottom"/>
          </w:tcPr>
          <w:p w14:paraId="117BDC2A" w14:textId="77777777" w:rsidR="00D8365A" w:rsidRPr="00362517" w:rsidRDefault="00D8365A" w:rsidP="00BF6BC7">
            <w:pPr>
              <w:jc w:val="center"/>
            </w:pPr>
            <w:r w:rsidRPr="00362517">
              <w:t>0</w:t>
            </w:r>
          </w:p>
        </w:tc>
        <w:tc>
          <w:tcPr>
            <w:tcW w:w="964" w:type="pct"/>
            <w:shd w:val="clear" w:color="auto" w:fill="auto"/>
            <w:noWrap/>
            <w:vAlign w:val="bottom"/>
            <w:hideMark/>
          </w:tcPr>
          <w:p w14:paraId="57BA0243" w14:textId="77777777" w:rsidR="00D8365A" w:rsidRPr="00362517" w:rsidRDefault="00D8365A" w:rsidP="00BF6BC7">
            <w:pPr>
              <w:jc w:val="center"/>
            </w:pPr>
            <w:r w:rsidRPr="00362517">
              <w:t xml:space="preserve">        1,297 </w:t>
            </w:r>
          </w:p>
        </w:tc>
        <w:tc>
          <w:tcPr>
            <w:tcW w:w="964" w:type="pct"/>
            <w:shd w:val="clear" w:color="auto" w:fill="auto"/>
            <w:noWrap/>
            <w:vAlign w:val="bottom"/>
            <w:hideMark/>
          </w:tcPr>
          <w:p w14:paraId="15F5975D" w14:textId="77777777" w:rsidR="00D8365A" w:rsidRPr="00362517" w:rsidRDefault="00D8365A" w:rsidP="00BF6BC7">
            <w:pPr>
              <w:jc w:val="center"/>
            </w:pPr>
            <w:r w:rsidRPr="00362517">
              <w:t>0</w:t>
            </w:r>
          </w:p>
        </w:tc>
        <w:tc>
          <w:tcPr>
            <w:tcW w:w="963" w:type="pct"/>
            <w:shd w:val="clear" w:color="auto" w:fill="auto"/>
            <w:noWrap/>
            <w:vAlign w:val="bottom"/>
            <w:hideMark/>
          </w:tcPr>
          <w:p w14:paraId="09BC8828" w14:textId="77777777" w:rsidR="00D8365A" w:rsidRPr="00362517" w:rsidRDefault="00D8365A" w:rsidP="00BF6BC7">
            <w:pPr>
              <w:jc w:val="center"/>
            </w:pPr>
            <w:r w:rsidRPr="00362517">
              <w:t xml:space="preserve"> $      41.05 </w:t>
            </w:r>
          </w:p>
        </w:tc>
      </w:tr>
      <w:tr w:rsidR="00D8365A" w:rsidRPr="00362517" w14:paraId="61F25FD3" w14:textId="77777777" w:rsidTr="007A2164">
        <w:trPr>
          <w:trHeight w:val="312"/>
        </w:trPr>
        <w:tc>
          <w:tcPr>
            <w:tcW w:w="1144" w:type="pct"/>
            <w:shd w:val="clear" w:color="auto" w:fill="auto"/>
            <w:noWrap/>
            <w:vAlign w:val="bottom"/>
            <w:hideMark/>
          </w:tcPr>
          <w:p w14:paraId="0356C00D" w14:textId="77777777" w:rsidR="00D8365A" w:rsidRPr="00362517" w:rsidRDefault="00D8365A" w:rsidP="00BF6BC7">
            <w:r w:rsidRPr="00362517">
              <w:t>New Jersey</w:t>
            </w:r>
          </w:p>
        </w:tc>
        <w:tc>
          <w:tcPr>
            <w:tcW w:w="964" w:type="pct"/>
            <w:vAlign w:val="bottom"/>
          </w:tcPr>
          <w:p w14:paraId="321265AD" w14:textId="77777777" w:rsidR="00D8365A" w:rsidRPr="00362517" w:rsidRDefault="00D8365A" w:rsidP="00BF6BC7">
            <w:pPr>
              <w:jc w:val="center"/>
            </w:pPr>
            <w:r w:rsidRPr="00362517">
              <w:t>0</w:t>
            </w:r>
          </w:p>
        </w:tc>
        <w:tc>
          <w:tcPr>
            <w:tcW w:w="964" w:type="pct"/>
            <w:shd w:val="clear" w:color="auto" w:fill="auto"/>
            <w:noWrap/>
            <w:vAlign w:val="bottom"/>
            <w:hideMark/>
          </w:tcPr>
          <w:p w14:paraId="06D3651C" w14:textId="77777777" w:rsidR="00D8365A" w:rsidRPr="00362517" w:rsidRDefault="00D8365A" w:rsidP="00BF6BC7">
            <w:pPr>
              <w:jc w:val="center"/>
            </w:pPr>
            <w:r w:rsidRPr="00362517">
              <w:t xml:space="preserve">        8,906 </w:t>
            </w:r>
          </w:p>
        </w:tc>
        <w:tc>
          <w:tcPr>
            <w:tcW w:w="964" w:type="pct"/>
            <w:shd w:val="clear" w:color="auto" w:fill="auto"/>
            <w:noWrap/>
            <w:vAlign w:val="bottom"/>
            <w:hideMark/>
          </w:tcPr>
          <w:p w14:paraId="76DA8CAE" w14:textId="77777777" w:rsidR="00D8365A" w:rsidRPr="00362517" w:rsidRDefault="00D8365A" w:rsidP="00BF6BC7">
            <w:pPr>
              <w:jc w:val="center"/>
            </w:pPr>
            <w:r w:rsidRPr="00362517">
              <w:t>0</w:t>
            </w:r>
          </w:p>
        </w:tc>
        <w:tc>
          <w:tcPr>
            <w:tcW w:w="963" w:type="pct"/>
            <w:shd w:val="clear" w:color="auto" w:fill="auto"/>
            <w:noWrap/>
            <w:vAlign w:val="bottom"/>
            <w:hideMark/>
          </w:tcPr>
          <w:p w14:paraId="3953E12D" w14:textId="77777777" w:rsidR="00D8365A" w:rsidRPr="00362517" w:rsidRDefault="00D8365A" w:rsidP="00BF6BC7">
            <w:pPr>
              <w:jc w:val="center"/>
            </w:pPr>
            <w:r w:rsidRPr="00362517">
              <w:t xml:space="preserve"> $        9.01 </w:t>
            </w:r>
          </w:p>
        </w:tc>
      </w:tr>
      <w:tr w:rsidR="00D8365A" w:rsidRPr="00362517" w14:paraId="6926EFDE" w14:textId="77777777" w:rsidTr="007A2164">
        <w:trPr>
          <w:trHeight w:val="312"/>
        </w:trPr>
        <w:tc>
          <w:tcPr>
            <w:tcW w:w="1144" w:type="pct"/>
            <w:shd w:val="clear" w:color="auto" w:fill="auto"/>
            <w:noWrap/>
            <w:vAlign w:val="bottom"/>
            <w:hideMark/>
          </w:tcPr>
          <w:p w14:paraId="2A5311BF" w14:textId="77777777" w:rsidR="00D8365A" w:rsidRPr="00362517" w:rsidRDefault="00D8365A" w:rsidP="00BF6BC7">
            <w:r w:rsidRPr="00362517">
              <w:t>New Mexico</w:t>
            </w:r>
          </w:p>
        </w:tc>
        <w:tc>
          <w:tcPr>
            <w:tcW w:w="964" w:type="pct"/>
            <w:vAlign w:val="bottom"/>
          </w:tcPr>
          <w:p w14:paraId="4FDC9C09" w14:textId="77777777" w:rsidR="00D8365A" w:rsidRPr="00362517" w:rsidRDefault="00D8365A" w:rsidP="00BF6BC7">
            <w:pPr>
              <w:jc w:val="center"/>
            </w:pPr>
            <w:r w:rsidRPr="00362517">
              <w:t>35</w:t>
            </w:r>
          </w:p>
        </w:tc>
        <w:tc>
          <w:tcPr>
            <w:tcW w:w="964" w:type="pct"/>
            <w:shd w:val="clear" w:color="auto" w:fill="auto"/>
            <w:noWrap/>
            <w:vAlign w:val="bottom"/>
            <w:hideMark/>
          </w:tcPr>
          <w:p w14:paraId="5D5AE254" w14:textId="77777777" w:rsidR="00D8365A" w:rsidRPr="00362517" w:rsidRDefault="00D8365A" w:rsidP="00BF6BC7">
            <w:pPr>
              <w:jc w:val="center"/>
            </w:pPr>
            <w:r w:rsidRPr="00362517">
              <w:t xml:space="preserve">        2,430 </w:t>
            </w:r>
          </w:p>
        </w:tc>
        <w:tc>
          <w:tcPr>
            <w:tcW w:w="964" w:type="pct"/>
            <w:shd w:val="clear" w:color="auto" w:fill="auto"/>
            <w:noWrap/>
            <w:vAlign w:val="bottom"/>
            <w:hideMark/>
          </w:tcPr>
          <w:p w14:paraId="02A9A149" w14:textId="77777777" w:rsidR="00D8365A" w:rsidRPr="00362517" w:rsidRDefault="00D8365A" w:rsidP="00BF6BC7">
            <w:pPr>
              <w:jc w:val="center"/>
            </w:pPr>
            <w:r w:rsidRPr="00362517">
              <w:t>14.24</w:t>
            </w:r>
          </w:p>
        </w:tc>
        <w:tc>
          <w:tcPr>
            <w:tcW w:w="963" w:type="pct"/>
            <w:shd w:val="clear" w:color="auto" w:fill="auto"/>
            <w:noWrap/>
            <w:vAlign w:val="bottom"/>
            <w:hideMark/>
          </w:tcPr>
          <w:p w14:paraId="409D2F28" w14:textId="77777777" w:rsidR="00D8365A" w:rsidRPr="00362517" w:rsidRDefault="00D8365A" w:rsidP="00BF6BC7">
            <w:pPr>
              <w:jc w:val="center"/>
            </w:pPr>
            <w:r w:rsidRPr="00362517">
              <w:t xml:space="preserve"> $      31.03 </w:t>
            </w:r>
          </w:p>
        </w:tc>
      </w:tr>
      <w:tr w:rsidR="00D8365A" w:rsidRPr="00362517" w14:paraId="25FDE3F6" w14:textId="77777777" w:rsidTr="007A2164">
        <w:trPr>
          <w:trHeight w:val="312"/>
        </w:trPr>
        <w:tc>
          <w:tcPr>
            <w:tcW w:w="1144" w:type="pct"/>
            <w:shd w:val="clear" w:color="auto" w:fill="auto"/>
            <w:noWrap/>
            <w:vAlign w:val="bottom"/>
            <w:hideMark/>
          </w:tcPr>
          <w:p w14:paraId="15CCFC6E" w14:textId="77777777" w:rsidR="00D8365A" w:rsidRPr="00362517" w:rsidRDefault="00D8365A" w:rsidP="00BF6BC7">
            <w:r w:rsidRPr="00362517">
              <w:t>New York</w:t>
            </w:r>
          </w:p>
        </w:tc>
        <w:tc>
          <w:tcPr>
            <w:tcW w:w="964" w:type="pct"/>
            <w:vAlign w:val="bottom"/>
          </w:tcPr>
          <w:p w14:paraId="73FCC733" w14:textId="77777777" w:rsidR="00D8365A" w:rsidRPr="00362517" w:rsidRDefault="00D8365A" w:rsidP="00BF6BC7">
            <w:pPr>
              <w:jc w:val="center"/>
            </w:pPr>
            <w:r w:rsidRPr="00362517">
              <w:t>373</w:t>
            </w:r>
          </w:p>
        </w:tc>
        <w:tc>
          <w:tcPr>
            <w:tcW w:w="964" w:type="pct"/>
            <w:shd w:val="clear" w:color="auto" w:fill="auto"/>
            <w:noWrap/>
            <w:vAlign w:val="bottom"/>
            <w:hideMark/>
          </w:tcPr>
          <w:p w14:paraId="4372D50E" w14:textId="77777777" w:rsidR="00D8365A" w:rsidRPr="00362517" w:rsidRDefault="00D8365A" w:rsidP="00BF6BC7">
            <w:pPr>
              <w:jc w:val="center"/>
            </w:pPr>
            <w:r w:rsidRPr="00362517">
              <w:t xml:space="preserve">      18,740 </w:t>
            </w:r>
          </w:p>
        </w:tc>
        <w:tc>
          <w:tcPr>
            <w:tcW w:w="964" w:type="pct"/>
            <w:shd w:val="clear" w:color="auto" w:fill="auto"/>
            <w:noWrap/>
            <w:vAlign w:val="bottom"/>
            <w:hideMark/>
          </w:tcPr>
          <w:p w14:paraId="276458B9" w14:textId="77777777" w:rsidR="00D8365A" w:rsidRPr="00362517" w:rsidRDefault="00D8365A" w:rsidP="00BF6BC7">
            <w:pPr>
              <w:jc w:val="center"/>
            </w:pPr>
            <w:r w:rsidRPr="00362517">
              <w:t>19.89</w:t>
            </w:r>
          </w:p>
        </w:tc>
        <w:tc>
          <w:tcPr>
            <w:tcW w:w="963" w:type="pct"/>
            <w:shd w:val="clear" w:color="auto" w:fill="auto"/>
            <w:noWrap/>
            <w:vAlign w:val="bottom"/>
            <w:hideMark/>
          </w:tcPr>
          <w:p w14:paraId="4FAC747E" w14:textId="77777777" w:rsidR="00D8365A" w:rsidRPr="00362517" w:rsidRDefault="00D8365A" w:rsidP="00BF6BC7">
            <w:pPr>
              <w:jc w:val="center"/>
            </w:pPr>
            <w:r w:rsidRPr="00362517">
              <w:t xml:space="preserve"> $      23.71 </w:t>
            </w:r>
          </w:p>
        </w:tc>
      </w:tr>
      <w:tr w:rsidR="00D8365A" w:rsidRPr="00362517" w14:paraId="2F1ECB52" w14:textId="77777777" w:rsidTr="007A2164">
        <w:trPr>
          <w:trHeight w:val="312"/>
        </w:trPr>
        <w:tc>
          <w:tcPr>
            <w:tcW w:w="1144" w:type="pct"/>
            <w:shd w:val="clear" w:color="auto" w:fill="auto"/>
            <w:noWrap/>
            <w:vAlign w:val="bottom"/>
            <w:hideMark/>
          </w:tcPr>
          <w:p w14:paraId="181F1435" w14:textId="77777777" w:rsidR="00D8365A" w:rsidRPr="00362517" w:rsidRDefault="00D8365A" w:rsidP="00BF6BC7">
            <w:r w:rsidRPr="00362517">
              <w:t>North Carolina</w:t>
            </w:r>
          </w:p>
        </w:tc>
        <w:tc>
          <w:tcPr>
            <w:tcW w:w="964" w:type="pct"/>
            <w:vAlign w:val="bottom"/>
          </w:tcPr>
          <w:p w14:paraId="7B5705CC" w14:textId="77777777" w:rsidR="00D8365A" w:rsidRPr="00362517" w:rsidRDefault="00D8365A" w:rsidP="00BF6BC7">
            <w:pPr>
              <w:jc w:val="center"/>
            </w:pPr>
            <w:r w:rsidRPr="00362517">
              <w:t>414</w:t>
            </w:r>
          </w:p>
        </w:tc>
        <w:tc>
          <w:tcPr>
            <w:tcW w:w="964" w:type="pct"/>
            <w:shd w:val="clear" w:color="auto" w:fill="auto"/>
            <w:noWrap/>
            <w:vAlign w:val="bottom"/>
            <w:hideMark/>
          </w:tcPr>
          <w:p w14:paraId="54866D6D" w14:textId="77777777" w:rsidR="00D8365A" w:rsidRPr="00362517" w:rsidRDefault="00D8365A" w:rsidP="00BF6BC7">
            <w:pPr>
              <w:jc w:val="center"/>
            </w:pPr>
            <w:r w:rsidRPr="00362517">
              <w:t xml:space="preserve">      19,066 </w:t>
            </w:r>
          </w:p>
        </w:tc>
        <w:tc>
          <w:tcPr>
            <w:tcW w:w="964" w:type="pct"/>
            <w:shd w:val="clear" w:color="auto" w:fill="auto"/>
            <w:noWrap/>
            <w:vAlign w:val="bottom"/>
            <w:hideMark/>
          </w:tcPr>
          <w:p w14:paraId="4420D46D" w14:textId="77777777" w:rsidR="00D8365A" w:rsidRPr="00362517" w:rsidRDefault="00D8365A" w:rsidP="00BF6BC7">
            <w:pPr>
              <w:jc w:val="center"/>
            </w:pPr>
            <w:r w:rsidRPr="00362517">
              <w:t>21.70</w:t>
            </w:r>
          </w:p>
        </w:tc>
        <w:tc>
          <w:tcPr>
            <w:tcW w:w="963" w:type="pct"/>
            <w:shd w:val="clear" w:color="auto" w:fill="auto"/>
            <w:noWrap/>
            <w:vAlign w:val="bottom"/>
            <w:hideMark/>
          </w:tcPr>
          <w:p w14:paraId="3A822DAB" w14:textId="77777777" w:rsidR="00D8365A" w:rsidRPr="00362517" w:rsidRDefault="00D8365A" w:rsidP="00BF6BC7">
            <w:pPr>
              <w:jc w:val="center"/>
            </w:pPr>
            <w:r w:rsidRPr="00362517">
              <w:t xml:space="preserve"> $      26.22 </w:t>
            </w:r>
          </w:p>
        </w:tc>
      </w:tr>
      <w:tr w:rsidR="00D8365A" w:rsidRPr="00362517" w14:paraId="68C9D262" w14:textId="77777777" w:rsidTr="007A2164">
        <w:trPr>
          <w:trHeight w:val="312"/>
        </w:trPr>
        <w:tc>
          <w:tcPr>
            <w:tcW w:w="1144" w:type="pct"/>
            <w:shd w:val="clear" w:color="auto" w:fill="auto"/>
            <w:noWrap/>
            <w:vAlign w:val="bottom"/>
            <w:hideMark/>
          </w:tcPr>
          <w:p w14:paraId="4B6AC63B" w14:textId="77777777" w:rsidR="00D8365A" w:rsidRPr="00362517" w:rsidRDefault="00D8365A" w:rsidP="00BF6BC7">
            <w:r w:rsidRPr="00362517">
              <w:t>North Dakota</w:t>
            </w:r>
          </w:p>
        </w:tc>
        <w:tc>
          <w:tcPr>
            <w:tcW w:w="964" w:type="pct"/>
            <w:vAlign w:val="bottom"/>
          </w:tcPr>
          <w:p w14:paraId="5A439D2C" w14:textId="77777777" w:rsidR="00D8365A" w:rsidRPr="00362517" w:rsidRDefault="00D8365A" w:rsidP="00BF6BC7">
            <w:pPr>
              <w:jc w:val="center"/>
            </w:pPr>
            <w:r w:rsidRPr="00362517">
              <w:t>379</w:t>
            </w:r>
          </w:p>
        </w:tc>
        <w:tc>
          <w:tcPr>
            <w:tcW w:w="964" w:type="pct"/>
            <w:shd w:val="clear" w:color="auto" w:fill="auto"/>
            <w:noWrap/>
            <w:vAlign w:val="bottom"/>
            <w:hideMark/>
          </w:tcPr>
          <w:p w14:paraId="6EF195B8" w14:textId="77777777" w:rsidR="00D8365A" w:rsidRPr="00362517" w:rsidRDefault="00D8365A" w:rsidP="00BF6BC7">
            <w:pPr>
              <w:jc w:val="center"/>
            </w:pPr>
            <w:r w:rsidRPr="00362517">
              <w:t xml:space="preserve">        5,465 </w:t>
            </w:r>
          </w:p>
        </w:tc>
        <w:tc>
          <w:tcPr>
            <w:tcW w:w="964" w:type="pct"/>
            <w:shd w:val="clear" w:color="auto" w:fill="auto"/>
            <w:noWrap/>
            <w:vAlign w:val="bottom"/>
            <w:hideMark/>
          </w:tcPr>
          <w:p w14:paraId="4509B3E5" w14:textId="77777777" w:rsidR="00D8365A" w:rsidRPr="00362517" w:rsidRDefault="00D8365A" w:rsidP="00BF6BC7">
            <w:pPr>
              <w:jc w:val="center"/>
            </w:pPr>
            <w:r w:rsidRPr="00362517">
              <w:t>69.33</w:t>
            </w:r>
          </w:p>
        </w:tc>
        <w:tc>
          <w:tcPr>
            <w:tcW w:w="963" w:type="pct"/>
            <w:shd w:val="clear" w:color="auto" w:fill="auto"/>
            <w:noWrap/>
            <w:vAlign w:val="bottom"/>
            <w:hideMark/>
          </w:tcPr>
          <w:p w14:paraId="2047425E" w14:textId="77777777" w:rsidR="00D8365A" w:rsidRPr="00362517" w:rsidRDefault="00D8365A" w:rsidP="00BF6BC7">
            <w:pPr>
              <w:jc w:val="center"/>
            </w:pPr>
            <w:r w:rsidRPr="00362517">
              <w:t xml:space="preserve"> $      77.94 </w:t>
            </w:r>
          </w:p>
        </w:tc>
      </w:tr>
      <w:tr w:rsidR="00D8365A" w:rsidRPr="00362517" w14:paraId="33037999" w14:textId="77777777" w:rsidTr="007A2164">
        <w:trPr>
          <w:trHeight w:val="312"/>
        </w:trPr>
        <w:tc>
          <w:tcPr>
            <w:tcW w:w="1144" w:type="pct"/>
            <w:shd w:val="clear" w:color="auto" w:fill="auto"/>
            <w:noWrap/>
            <w:vAlign w:val="bottom"/>
            <w:hideMark/>
          </w:tcPr>
          <w:p w14:paraId="2198E952" w14:textId="77777777" w:rsidR="00D8365A" w:rsidRPr="00362517" w:rsidRDefault="00D8365A" w:rsidP="00BF6BC7">
            <w:r w:rsidRPr="00362517">
              <w:t>Ohio</w:t>
            </w:r>
          </w:p>
        </w:tc>
        <w:tc>
          <w:tcPr>
            <w:tcW w:w="964" w:type="pct"/>
            <w:vAlign w:val="bottom"/>
          </w:tcPr>
          <w:p w14:paraId="023BC1F7" w14:textId="77777777" w:rsidR="00D8365A" w:rsidRPr="00362517" w:rsidRDefault="00D8365A" w:rsidP="00BF6BC7">
            <w:pPr>
              <w:jc w:val="center"/>
            </w:pPr>
            <w:r w:rsidRPr="00362517">
              <w:t>803</w:t>
            </w:r>
          </w:p>
        </w:tc>
        <w:tc>
          <w:tcPr>
            <w:tcW w:w="964" w:type="pct"/>
            <w:shd w:val="clear" w:color="auto" w:fill="auto"/>
            <w:noWrap/>
            <w:vAlign w:val="bottom"/>
            <w:hideMark/>
          </w:tcPr>
          <w:p w14:paraId="498CC5AB" w14:textId="77777777" w:rsidR="00D8365A" w:rsidRPr="00362517" w:rsidRDefault="00D8365A" w:rsidP="00BF6BC7">
            <w:pPr>
              <w:jc w:val="center"/>
            </w:pPr>
            <w:r w:rsidRPr="00362517">
              <w:t xml:space="preserve">      13,198 </w:t>
            </w:r>
          </w:p>
        </w:tc>
        <w:tc>
          <w:tcPr>
            <w:tcW w:w="964" w:type="pct"/>
            <w:shd w:val="clear" w:color="auto" w:fill="auto"/>
            <w:noWrap/>
            <w:vAlign w:val="bottom"/>
            <w:hideMark/>
          </w:tcPr>
          <w:p w14:paraId="38882005" w14:textId="77777777" w:rsidR="00D8365A" w:rsidRPr="00362517" w:rsidRDefault="00D8365A" w:rsidP="00BF6BC7">
            <w:pPr>
              <w:jc w:val="center"/>
            </w:pPr>
            <w:r w:rsidRPr="00362517">
              <w:t>60.87</w:t>
            </w:r>
          </w:p>
        </w:tc>
        <w:tc>
          <w:tcPr>
            <w:tcW w:w="963" w:type="pct"/>
            <w:shd w:val="clear" w:color="auto" w:fill="auto"/>
            <w:noWrap/>
            <w:vAlign w:val="bottom"/>
            <w:hideMark/>
          </w:tcPr>
          <w:p w14:paraId="594123B3" w14:textId="77777777" w:rsidR="00D8365A" w:rsidRPr="00362517" w:rsidRDefault="00D8365A" w:rsidP="00BF6BC7">
            <w:pPr>
              <w:jc w:val="center"/>
            </w:pPr>
            <w:r w:rsidRPr="00362517">
              <w:t xml:space="preserve"> $      66.93 </w:t>
            </w:r>
          </w:p>
        </w:tc>
      </w:tr>
      <w:tr w:rsidR="00D8365A" w:rsidRPr="00362517" w14:paraId="2026B597" w14:textId="77777777" w:rsidTr="007A2164">
        <w:trPr>
          <w:trHeight w:val="312"/>
        </w:trPr>
        <w:tc>
          <w:tcPr>
            <w:tcW w:w="1144" w:type="pct"/>
            <w:shd w:val="clear" w:color="auto" w:fill="auto"/>
            <w:noWrap/>
            <w:vAlign w:val="bottom"/>
            <w:hideMark/>
          </w:tcPr>
          <w:p w14:paraId="275CA7D1" w14:textId="77777777" w:rsidR="00D8365A" w:rsidRPr="00362517" w:rsidRDefault="00D8365A" w:rsidP="00BF6BC7">
            <w:r w:rsidRPr="00362517">
              <w:t>Oklahoma</w:t>
            </w:r>
          </w:p>
        </w:tc>
        <w:tc>
          <w:tcPr>
            <w:tcW w:w="964" w:type="pct"/>
            <w:vAlign w:val="bottom"/>
          </w:tcPr>
          <w:p w14:paraId="289ED079" w14:textId="77777777" w:rsidR="00D8365A" w:rsidRPr="00362517" w:rsidRDefault="00D8365A" w:rsidP="00BF6BC7">
            <w:pPr>
              <w:jc w:val="center"/>
            </w:pPr>
            <w:r w:rsidRPr="00362517">
              <w:t>882</w:t>
            </w:r>
          </w:p>
        </w:tc>
        <w:tc>
          <w:tcPr>
            <w:tcW w:w="964" w:type="pct"/>
            <w:shd w:val="clear" w:color="auto" w:fill="auto"/>
            <w:noWrap/>
            <w:vAlign w:val="bottom"/>
            <w:hideMark/>
          </w:tcPr>
          <w:p w14:paraId="6FB079BC" w14:textId="77777777" w:rsidR="00D8365A" w:rsidRPr="00362517" w:rsidRDefault="00D8365A" w:rsidP="00BF6BC7">
            <w:pPr>
              <w:jc w:val="center"/>
            </w:pPr>
            <w:r w:rsidRPr="00362517">
              <w:t xml:space="preserve">      11,059 </w:t>
            </w:r>
          </w:p>
        </w:tc>
        <w:tc>
          <w:tcPr>
            <w:tcW w:w="964" w:type="pct"/>
            <w:shd w:val="clear" w:color="auto" w:fill="auto"/>
            <w:noWrap/>
            <w:vAlign w:val="bottom"/>
            <w:hideMark/>
          </w:tcPr>
          <w:p w14:paraId="603B21F2" w14:textId="77777777" w:rsidR="00D8365A" w:rsidRPr="00362517" w:rsidRDefault="00D8365A" w:rsidP="00BF6BC7">
            <w:pPr>
              <w:jc w:val="center"/>
            </w:pPr>
            <w:r w:rsidRPr="00362517">
              <w:t>79.73</w:t>
            </w:r>
          </w:p>
        </w:tc>
        <w:tc>
          <w:tcPr>
            <w:tcW w:w="963" w:type="pct"/>
            <w:shd w:val="clear" w:color="auto" w:fill="auto"/>
            <w:noWrap/>
            <w:vAlign w:val="bottom"/>
            <w:hideMark/>
          </w:tcPr>
          <w:p w14:paraId="57923C78" w14:textId="77777777" w:rsidR="00D8365A" w:rsidRPr="00362517" w:rsidRDefault="00D8365A" w:rsidP="00BF6BC7">
            <w:pPr>
              <w:jc w:val="center"/>
            </w:pPr>
            <w:r w:rsidRPr="00362517">
              <w:t xml:space="preserve"> $      85.96 </w:t>
            </w:r>
          </w:p>
        </w:tc>
      </w:tr>
      <w:tr w:rsidR="00D8365A" w:rsidRPr="00362517" w14:paraId="5A3BE5A2" w14:textId="77777777" w:rsidTr="007A2164">
        <w:trPr>
          <w:trHeight w:val="312"/>
        </w:trPr>
        <w:tc>
          <w:tcPr>
            <w:tcW w:w="1144" w:type="pct"/>
            <w:shd w:val="clear" w:color="auto" w:fill="auto"/>
            <w:noWrap/>
            <w:vAlign w:val="bottom"/>
            <w:hideMark/>
          </w:tcPr>
          <w:p w14:paraId="08112E36" w14:textId="77777777" w:rsidR="00D8365A" w:rsidRPr="00362517" w:rsidRDefault="00D8365A" w:rsidP="00BF6BC7">
            <w:r w:rsidRPr="00362517">
              <w:t>Oregon</w:t>
            </w:r>
          </w:p>
        </w:tc>
        <w:tc>
          <w:tcPr>
            <w:tcW w:w="964" w:type="pct"/>
            <w:vAlign w:val="bottom"/>
          </w:tcPr>
          <w:p w14:paraId="1626849E" w14:textId="77777777" w:rsidR="00D8365A" w:rsidRPr="00362517" w:rsidRDefault="00D8365A" w:rsidP="00BF6BC7">
            <w:pPr>
              <w:jc w:val="center"/>
            </w:pPr>
            <w:r w:rsidRPr="00362517">
              <w:t>141</w:t>
            </w:r>
          </w:p>
        </w:tc>
        <w:tc>
          <w:tcPr>
            <w:tcW w:w="964" w:type="pct"/>
            <w:shd w:val="clear" w:color="auto" w:fill="auto"/>
            <w:noWrap/>
            <w:vAlign w:val="bottom"/>
            <w:hideMark/>
          </w:tcPr>
          <w:p w14:paraId="5EBA6150" w14:textId="77777777" w:rsidR="00D8365A" w:rsidRPr="00362517" w:rsidRDefault="00D8365A" w:rsidP="00BF6BC7">
            <w:pPr>
              <w:jc w:val="center"/>
            </w:pPr>
            <w:r w:rsidRPr="00362517">
              <w:t xml:space="preserve">        4,911 </w:t>
            </w:r>
          </w:p>
        </w:tc>
        <w:tc>
          <w:tcPr>
            <w:tcW w:w="964" w:type="pct"/>
            <w:shd w:val="clear" w:color="auto" w:fill="auto"/>
            <w:noWrap/>
            <w:vAlign w:val="bottom"/>
            <w:hideMark/>
          </w:tcPr>
          <w:p w14:paraId="2F341195" w14:textId="77777777" w:rsidR="00D8365A" w:rsidRPr="00362517" w:rsidRDefault="00D8365A" w:rsidP="00BF6BC7">
            <w:pPr>
              <w:jc w:val="center"/>
            </w:pPr>
            <w:r w:rsidRPr="00362517">
              <w:t>28.79</w:t>
            </w:r>
          </w:p>
        </w:tc>
        <w:tc>
          <w:tcPr>
            <w:tcW w:w="963" w:type="pct"/>
            <w:shd w:val="clear" w:color="auto" w:fill="auto"/>
            <w:noWrap/>
            <w:vAlign w:val="bottom"/>
            <w:hideMark/>
          </w:tcPr>
          <w:p w14:paraId="7B933A98" w14:textId="77777777" w:rsidR="00D8365A" w:rsidRPr="00362517" w:rsidRDefault="00D8365A" w:rsidP="00BF6BC7">
            <w:pPr>
              <w:jc w:val="center"/>
            </w:pPr>
            <w:r w:rsidRPr="00362517">
              <w:t xml:space="preserve"> $      40.04 </w:t>
            </w:r>
          </w:p>
        </w:tc>
      </w:tr>
      <w:tr w:rsidR="00D8365A" w:rsidRPr="00362517" w14:paraId="1071E2C9" w14:textId="77777777" w:rsidTr="007A2164">
        <w:trPr>
          <w:trHeight w:val="312"/>
        </w:trPr>
        <w:tc>
          <w:tcPr>
            <w:tcW w:w="1144" w:type="pct"/>
            <w:shd w:val="clear" w:color="auto" w:fill="auto"/>
            <w:noWrap/>
            <w:vAlign w:val="bottom"/>
            <w:hideMark/>
          </w:tcPr>
          <w:p w14:paraId="46E560FA" w14:textId="77777777" w:rsidR="00D8365A" w:rsidRPr="00362517" w:rsidRDefault="00D8365A" w:rsidP="00BF6BC7">
            <w:r w:rsidRPr="00362517">
              <w:t>Pennsylvania</w:t>
            </w:r>
          </w:p>
        </w:tc>
        <w:tc>
          <w:tcPr>
            <w:tcW w:w="964" w:type="pct"/>
            <w:vAlign w:val="bottom"/>
          </w:tcPr>
          <w:p w14:paraId="68C62A97" w14:textId="77777777" w:rsidR="00D8365A" w:rsidRPr="00362517" w:rsidRDefault="00D8365A" w:rsidP="00BF6BC7">
            <w:pPr>
              <w:jc w:val="center"/>
            </w:pPr>
            <w:r w:rsidRPr="00362517">
              <w:t>301</w:t>
            </w:r>
          </w:p>
        </w:tc>
        <w:tc>
          <w:tcPr>
            <w:tcW w:w="964" w:type="pct"/>
            <w:shd w:val="clear" w:color="auto" w:fill="auto"/>
            <w:noWrap/>
            <w:vAlign w:val="bottom"/>
            <w:hideMark/>
          </w:tcPr>
          <w:p w14:paraId="155CBF8B" w14:textId="77777777" w:rsidR="00D8365A" w:rsidRPr="00362517" w:rsidRDefault="00D8365A" w:rsidP="00BF6BC7">
            <w:pPr>
              <w:jc w:val="center"/>
            </w:pPr>
            <w:r w:rsidRPr="00362517">
              <w:t xml:space="preserve">      16,277 </w:t>
            </w:r>
          </w:p>
        </w:tc>
        <w:tc>
          <w:tcPr>
            <w:tcW w:w="964" w:type="pct"/>
            <w:shd w:val="clear" w:color="auto" w:fill="auto"/>
            <w:noWrap/>
            <w:vAlign w:val="bottom"/>
            <w:hideMark/>
          </w:tcPr>
          <w:p w14:paraId="222D056C" w14:textId="77777777" w:rsidR="00D8365A" w:rsidRPr="00362517" w:rsidRDefault="00D8365A" w:rsidP="00BF6BC7">
            <w:pPr>
              <w:jc w:val="center"/>
            </w:pPr>
            <w:r w:rsidRPr="00362517">
              <w:t>18.51</w:t>
            </w:r>
          </w:p>
        </w:tc>
        <w:tc>
          <w:tcPr>
            <w:tcW w:w="963" w:type="pct"/>
            <w:shd w:val="clear" w:color="auto" w:fill="auto"/>
            <w:noWrap/>
            <w:vAlign w:val="bottom"/>
            <w:hideMark/>
          </w:tcPr>
          <w:p w14:paraId="3435D67A" w14:textId="77777777" w:rsidR="00D8365A" w:rsidRPr="00362517" w:rsidRDefault="00D8365A" w:rsidP="00BF6BC7">
            <w:pPr>
              <w:jc w:val="center"/>
            </w:pPr>
            <w:r w:rsidRPr="00362517">
              <w:t xml:space="preserve"> $      22.96 </w:t>
            </w:r>
          </w:p>
        </w:tc>
      </w:tr>
      <w:tr w:rsidR="00D8365A" w:rsidRPr="00362517" w14:paraId="307CEB8C" w14:textId="77777777" w:rsidTr="007A2164">
        <w:trPr>
          <w:trHeight w:val="312"/>
        </w:trPr>
        <w:tc>
          <w:tcPr>
            <w:tcW w:w="1144" w:type="pct"/>
            <w:shd w:val="clear" w:color="auto" w:fill="auto"/>
            <w:noWrap/>
            <w:vAlign w:val="bottom"/>
            <w:hideMark/>
          </w:tcPr>
          <w:p w14:paraId="7C15F209" w14:textId="77777777" w:rsidR="00D8365A" w:rsidRPr="00362517" w:rsidRDefault="00D8365A" w:rsidP="00BF6BC7">
            <w:r w:rsidRPr="00362517">
              <w:t>Rhode Island</w:t>
            </w:r>
          </w:p>
        </w:tc>
        <w:tc>
          <w:tcPr>
            <w:tcW w:w="964" w:type="pct"/>
            <w:vAlign w:val="bottom"/>
          </w:tcPr>
          <w:p w14:paraId="70F34C3C" w14:textId="77777777" w:rsidR="00D8365A" w:rsidRPr="00362517" w:rsidRDefault="00D8365A" w:rsidP="00BF6BC7">
            <w:pPr>
              <w:jc w:val="center"/>
            </w:pPr>
            <w:r w:rsidRPr="00362517">
              <w:t>93</w:t>
            </w:r>
          </w:p>
        </w:tc>
        <w:tc>
          <w:tcPr>
            <w:tcW w:w="964" w:type="pct"/>
            <w:shd w:val="clear" w:color="auto" w:fill="auto"/>
            <w:noWrap/>
            <w:vAlign w:val="bottom"/>
            <w:hideMark/>
          </w:tcPr>
          <w:p w14:paraId="40C09B7F" w14:textId="77777777" w:rsidR="00D8365A" w:rsidRPr="00362517" w:rsidRDefault="00D8365A" w:rsidP="00BF6BC7">
            <w:pPr>
              <w:jc w:val="center"/>
            </w:pPr>
            <w:r w:rsidRPr="00362517">
              <w:t xml:space="preserve">           654 </w:t>
            </w:r>
          </w:p>
        </w:tc>
        <w:tc>
          <w:tcPr>
            <w:tcW w:w="964" w:type="pct"/>
            <w:shd w:val="clear" w:color="auto" w:fill="auto"/>
            <w:noWrap/>
            <w:vAlign w:val="bottom"/>
            <w:hideMark/>
          </w:tcPr>
          <w:p w14:paraId="381A4129" w14:textId="77777777" w:rsidR="00D8365A" w:rsidRPr="00362517" w:rsidRDefault="00D8365A" w:rsidP="00BF6BC7">
            <w:pPr>
              <w:jc w:val="center"/>
            </w:pPr>
            <w:r w:rsidRPr="00362517">
              <w:t>142.57</w:t>
            </w:r>
          </w:p>
        </w:tc>
        <w:tc>
          <w:tcPr>
            <w:tcW w:w="963" w:type="pct"/>
            <w:shd w:val="clear" w:color="auto" w:fill="auto"/>
            <w:noWrap/>
            <w:vAlign w:val="bottom"/>
            <w:hideMark/>
          </w:tcPr>
          <w:p w14:paraId="62429C8E" w14:textId="77777777" w:rsidR="00D8365A" w:rsidRPr="00362517" w:rsidRDefault="00D8365A" w:rsidP="00BF6BC7">
            <w:pPr>
              <w:jc w:val="center"/>
            </w:pPr>
            <w:r w:rsidRPr="00362517">
              <w:t xml:space="preserve"> $    233.69 </w:t>
            </w:r>
          </w:p>
        </w:tc>
      </w:tr>
      <w:tr w:rsidR="00D8365A" w:rsidRPr="00362517" w14:paraId="2B2265FC" w14:textId="77777777" w:rsidTr="007A2164">
        <w:trPr>
          <w:trHeight w:val="312"/>
        </w:trPr>
        <w:tc>
          <w:tcPr>
            <w:tcW w:w="1144" w:type="pct"/>
            <w:shd w:val="clear" w:color="auto" w:fill="auto"/>
            <w:noWrap/>
            <w:vAlign w:val="bottom"/>
            <w:hideMark/>
          </w:tcPr>
          <w:p w14:paraId="43652C48" w14:textId="77777777" w:rsidR="00D8365A" w:rsidRPr="00362517" w:rsidRDefault="00D8365A" w:rsidP="00BF6BC7">
            <w:r w:rsidRPr="00362517">
              <w:t>South Carolina</w:t>
            </w:r>
          </w:p>
        </w:tc>
        <w:tc>
          <w:tcPr>
            <w:tcW w:w="964" w:type="pct"/>
            <w:vAlign w:val="bottom"/>
          </w:tcPr>
          <w:p w14:paraId="1B609881" w14:textId="77777777" w:rsidR="00D8365A" w:rsidRPr="00362517" w:rsidRDefault="00D8365A" w:rsidP="00BF6BC7">
            <w:pPr>
              <w:jc w:val="center"/>
            </w:pPr>
            <w:r w:rsidRPr="00362517">
              <w:t>357</w:t>
            </w:r>
          </w:p>
        </w:tc>
        <w:tc>
          <w:tcPr>
            <w:tcW w:w="964" w:type="pct"/>
            <w:shd w:val="clear" w:color="auto" w:fill="auto"/>
            <w:noWrap/>
            <w:vAlign w:val="bottom"/>
            <w:hideMark/>
          </w:tcPr>
          <w:p w14:paraId="63C7583D" w14:textId="77777777" w:rsidR="00D8365A" w:rsidRPr="00362517" w:rsidRDefault="00D8365A" w:rsidP="00BF6BC7">
            <w:pPr>
              <w:jc w:val="center"/>
            </w:pPr>
            <w:r w:rsidRPr="00362517">
              <w:t xml:space="preserve">        5,764 </w:t>
            </w:r>
          </w:p>
        </w:tc>
        <w:tc>
          <w:tcPr>
            <w:tcW w:w="964" w:type="pct"/>
            <w:shd w:val="clear" w:color="auto" w:fill="auto"/>
            <w:noWrap/>
            <w:vAlign w:val="bottom"/>
            <w:hideMark/>
          </w:tcPr>
          <w:p w14:paraId="71911205" w14:textId="77777777" w:rsidR="00D8365A" w:rsidRPr="00362517" w:rsidRDefault="00D8365A" w:rsidP="00BF6BC7">
            <w:pPr>
              <w:jc w:val="center"/>
            </w:pPr>
            <w:r w:rsidRPr="00362517">
              <w:t>61.86</w:t>
            </w:r>
          </w:p>
        </w:tc>
        <w:tc>
          <w:tcPr>
            <w:tcW w:w="963" w:type="pct"/>
            <w:shd w:val="clear" w:color="auto" w:fill="auto"/>
            <w:noWrap/>
            <w:vAlign w:val="bottom"/>
            <w:hideMark/>
          </w:tcPr>
          <w:p w14:paraId="656D3F4D" w14:textId="77777777" w:rsidR="00D8365A" w:rsidRPr="00362517" w:rsidRDefault="00D8365A" w:rsidP="00BF6BC7">
            <w:pPr>
              <w:jc w:val="center"/>
            </w:pPr>
            <w:r w:rsidRPr="00362517">
              <w:t xml:space="preserve"> $      71.40 </w:t>
            </w:r>
          </w:p>
        </w:tc>
      </w:tr>
      <w:tr w:rsidR="00D8365A" w:rsidRPr="00362517" w14:paraId="478012AF" w14:textId="77777777" w:rsidTr="007A2164">
        <w:trPr>
          <w:trHeight w:val="312"/>
        </w:trPr>
        <w:tc>
          <w:tcPr>
            <w:tcW w:w="1144" w:type="pct"/>
            <w:shd w:val="clear" w:color="auto" w:fill="auto"/>
            <w:noWrap/>
            <w:vAlign w:val="bottom"/>
            <w:hideMark/>
          </w:tcPr>
          <w:p w14:paraId="61AF356F" w14:textId="77777777" w:rsidR="00D8365A" w:rsidRPr="00362517" w:rsidRDefault="00D8365A" w:rsidP="00BF6BC7">
            <w:r w:rsidRPr="00362517">
              <w:t>South Dakota</w:t>
            </w:r>
          </w:p>
        </w:tc>
        <w:tc>
          <w:tcPr>
            <w:tcW w:w="964" w:type="pct"/>
            <w:vAlign w:val="bottom"/>
          </w:tcPr>
          <w:p w14:paraId="19A1C8B4" w14:textId="77777777" w:rsidR="00D8365A" w:rsidRPr="00362517" w:rsidRDefault="00D8365A" w:rsidP="00BF6BC7">
            <w:pPr>
              <w:jc w:val="center"/>
            </w:pPr>
            <w:r w:rsidRPr="00362517">
              <w:t>82</w:t>
            </w:r>
          </w:p>
        </w:tc>
        <w:tc>
          <w:tcPr>
            <w:tcW w:w="964" w:type="pct"/>
            <w:shd w:val="clear" w:color="auto" w:fill="auto"/>
            <w:noWrap/>
            <w:vAlign w:val="bottom"/>
            <w:hideMark/>
          </w:tcPr>
          <w:p w14:paraId="6E9D7203" w14:textId="77777777" w:rsidR="00D8365A" w:rsidRPr="00362517" w:rsidRDefault="00D8365A" w:rsidP="00BF6BC7">
            <w:pPr>
              <w:jc w:val="center"/>
            </w:pPr>
            <w:r w:rsidRPr="00362517">
              <w:t xml:space="preserve">        5,873 </w:t>
            </w:r>
          </w:p>
        </w:tc>
        <w:tc>
          <w:tcPr>
            <w:tcW w:w="964" w:type="pct"/>
            <w:shd w:val="clear" w:color="auto" w:fill="auto"/>
            <w:noWrap/>
            <w:vAlign w:val="bottom"/>
            <w:hideMark/>
          </w:tcPr>
          <w:p w14:paraId="292BC804" w14:textId="77777777" w:rsidR="00D8365A" w:rsidRPr="00362517" w:rsidRDefault="00D8365A" w:rsidP="00BF6BC7">
            <w:pPr>
              <w:jc w:val="center"/>
            </w:pPr>
            <w:r w:rsidRPr="00362517">
              <w:t>13.96</w:t>
            </w:r>
          </w:p>
        </w:tc>
        <w:tc>
          <w:tcPr>
            <w:tcW w:w="963" w:type="pct"/>
            <w:shd w:val="clear" w:color="auto" w:fill="auto"/>
            <w:noWrap/>
            <w:vAlign w:val="bottom"/>
            <w:hideMark/>
          </w:tcPr>
          <w:p w14:paraId="0FA4FCBA" w14:textId="77777777" w:rsidR="00D8365A" w:rsidRPr="00362517" w:rsidRDefault="00D8365A" w:rsidP="00BF6BC7">
            <w:pPr>
              <w:jc w:val="center"/>
            </w:pPr>
            <w:r w:rsidRPr="00362517">
              <w:t xml:space="preserve"> $      20.51 </w:t>
            </w:r>
          </w:p>
        </w:tc>
      </w:tr>
      <w:tr w:rsidR="00D8365A" w:rsidRPr="00362517" w14:paraId="1D6BF6EF" w14:textId="77777777" w:rsidTr="007A2164">
        <w:trPr>
          <w:trHeight w:val="312"/>
        </w:trPr>
        <w:tc>
          <w:tcPr>
            <w:tcW w:w="1144" w:type="pct"/>
            <w:shd w:val="clear" w:color="auto" w:fill="auto"/>
            <w:noWrap/>
            <w:vAlign w:val="bottom"/>
            <w:hideMark/>
          </w:tcPr>
          <w:p w14:paraId="1759965F" w14:textId="77777777" w:rsidR="00D8365A" w:rsidRPr="00362517" w:rsidRDefault="00D8365A" w:rsidP="00BF6BC7">
            <w:r w:rsidRPr="00362517">
              <w:t>Tennessee</w:t>
            </w:r>
          </w:p>
        </w:tc>
        <w:tc>
          <w:tcPr>
            <w:tcW w:w="964" w:type="pct"/>
            <w:vAlign w:val="bottom"/>
          </w:tcPr>
          <w:p w14:paraId="62EA8956" w14:textId="77777777" w:rsidR="00D8365A" w:rsidRPr="00362517" w:rsidRDefault="00D8365A" w:rsidP="00BF6BC7">
            <w:pPr>
              <w:jc w:val="center"/>
            </w:pPr>
            <w:r w:rsidRPr="00362517">
              <w:t>714</w:t>
            </w:r>
          </w:p>
        </w:tc>
        <w:tc>
          <w:tcPr>
            <w:tcW w:w="964" w:type="pct"/>
            <w:shd w:val="clear" w:color="auto" w:fill="auto"/>
            <w:noWrap/>
            <w:vAlign w:val="bottom"/>
            <w:hideMark/>
          </w:tcPr>
          <w:p w14:paraId="5AA38560" w14:textId="77777777" w:rsidR="00D8365A" w:rsidRPr="00362517" w:rsidRDefault="00D8365A" w:rsidP="00BF6BC7">
            <w:pPr>
              <w:jc w:val="center"/>
            </w:pPr>
            <w:r w:rsidRPr="00362517">
              <w:t xml:space="preserve">      13,144 </w:t>
            </w:r>
          </w:p>
        </w:tc>
        <w:tc>
          <w:tcPr>
            <w:tcW w:w="964" w:type="pct"/>
            <w:shd w:val="clear" w:color="auto" w:fill="auto"/>
            <w:noWrap/>
            <w:vAlign w:val="bottom"/>
            <w:hideMark/>
          </w:tcPr>
          <w:p w14:paraId="4E40AB9C" w14:textId="77777777" w:rsidR="00D8365A" w:rsidRPr="00362517" w:rsidRDefault="00D8365A" w:rsidP="00BF6BC7">
            <w:pPr>
              <w:jc w:val="center"/>
            </w:pPr>
            <w:r w:rsidRPr="00362517">
              <w:t>54.31</w:t>
            </w:r>
          </w:p>
        </w:tc>
        <w:tc>
          <w:tcPr>
            <w:tcW w:w="963" w:type="pct"/>
            <w:shd w:val="clear" w:color="auto" w:fill="auto"/>
            <w:noWrap/>
            <w:vAlign w:val="bottom"/>
            <w:hideMark/>
          </w:tcPr>
          <w:p w14:paraId="2204638E" w14:textId="77777777" w:rsidR="00D8365A" w:rsidRPr="00362517" w:rsidRDefault="00D8365A" w:rsidP="00BF6BC7">
            <w:pPr>
              <w:jc w:val="center"/>
            </w:pPr>
            <w:r w:rsidRPr="00362517">
              <w:t xml:space="preserve"> $      59.68 </w:t>
            </w:r>
          </w:p>
        </w:tc>
      </w:tr>
      <w:tr w:rsidR="00D8365A" w:rsidRPr="00362517" w14:paraId="029F75DA" w14:textId="77777777" w:rsidTr="007A2164">
        <w:trPr>
          <w:trHeight w:val="312"/>
        </w:trPr>
        <w:tc>
          <w:tcPr>
            <w:tcW w:w="1144" w:type="pct"/>
            <w:shd w:val="clear" w:color="auto" w:fill="auto"/>
            <w:noWrap/>
            <w:vAlign w:val="bottom"/>
            <w:hideMark/>
          </w:tcPr>
          <w:p w14:paraId="51ECF914" w14:textId="77777777" w:rsidR="00D8365A" w:rsidRPr="00362517" w:rsidRDefault="00D8365A" w:rsidP="00BF6BC7">
            <w:r w:rsidRPr="00362517">
              <w:t>Texas</w:t>
            </w:r>
          </w:p>
        </w:tc>
        <w:tc>
          <w:tcPr>
            <w:tcW w:w="964" w:type="pct"/>
            <w:vAlign w:val="bottom"/>
          </w:tcPr>
          <w:p w14:paraId="0B1C4E55" w14:textId="77777777" w:rsidR="00D8365A" w:rsidRPr="00362517" w:rsidRDefault="00D8365A" w:rsidP="00BF6BC7">
            <w:pPr>
              <w:jc w:val="center"/>
            </w:pPr>
            <w:r w:rsidRPr="00362517">
              <w:t>424</w:t>
            </w:r>
          </w:p>
        </w:tc>
        <w:tc>
          <w:tcPr>
            <w:tcW w:w="964" w:type="pct"/>
            <w:shd w:val="clear" w:color="auto" w:fill="auto"/>
            <w:noWrap/>
            <w:vAlign w:val="bottom"/>
            <w:hideMark/>
          </w:tcPr>
          <w:p w14:paraId="57F5D317" w14:textId="77777777" w:rsidR="00D8365A" w:rsidRPr="00362517" w:rsidRDefault="00D8365A" w:rsidP="00BF6BC7">
            <w:pPr>
              <w:jc w:val="center"/>
            </w:pPr>
            <w:r w:rsidRPr="00362517">
              <w:t xml:space="preserve">      19,713 </w:t>
            </w:r>
          </w:p>
        </w:tc>
        <w:tc>
          <w:tcPr>
            <w:tcW w:w="964" w:type="pct"/>
            <w:shd w:val="clear" w:color="auto" w:fill="auto"/>
            <w:noWrap/>
            <w:vAlign w:val="bottom"/>
            <w:hideMark/>
          </w:tcPr>
          <w:p w14:paraId="0CB00CC0" w14:textId="77777777" w:rsidR="00D8365A" w:rsidRPr="00362517" w:rsidRDefault="00D8365A" w:rsidP="00BF6BC7">
            <w:pPr>
              <w:jc w:val="center"/>
            </w:pPr>
            <w:r w:rsidRPr="00362517">
              <w:t>21.52</w:t>
            </w:r>
          </w:p>
        </w:tc>
        <w:tc>
          <w:tcPr>
            <w:tcW w:w="963" w:type="pct"/>
            <w:shd w:val="clear" w:color="auto" w:fill="auto"/>
            <w:noWrap/>
            <w:vAlign w:val="bottom"/>
            <w:hideMark/>
          </w:tcPr>
          <w:p w14:paraId="58E5CABC" w14:textId="77777777" w:rsidR="00D8365A" w:rsidRPr="00362517" w:rsidRDefault="00D8365A" w:rsidP="00BF6BC7">
            <w:pPr>
              <w:jc w:val="center"/>
            </w:pPr>
            <w:r w:rsidRPr="00362517">
              <w:t xml:space="preserve"> $      23.55 </w:t>
            </w:r>
          </w:p>
        </w:tc>
      </w:tr>
      <w:tr w:rsidR="00D8365A" w:rsidRPr="00362517" w14:paraId="60892E2D" w14:textId="77777777" w:rsidTr="007A2164">
        <w:trPr>
          <w:trHeight w:val="312"/>
        </w:trPr>
        <w:tc>
          <w:tcPr>
            <w:tcW w:w="1144" w:type="pct"/>
            <w:shd w:val="clear" w:color="auto" w:fill="auto"/>
            <w:noWrap/>
            <w:vAlign w:val="bottom"/>
            <w:hideMark/>
          </w:tcPr>
          <w:p w14:paraId="3A78E0B9" w14:textId="77777777" w:rsidR="00D8365A" w:rsidRPr="00362517" w:rsidRDefault="00D8365A" w:rsidP="00BF6BC7">
            <w:r w:rsidRPr="00362517">
              <w:t>Utah</w:t>
            </w:r>
          </w:p>
        </w:tc>
        <w:tc>
          <w:tcPr>
            <w:tcW w:w="964" w:type="pct"/>
            <w:vAlign w:val="bottom"/>
          </w:tcPr>
          <w:p w14:paraId="4A51D959" w14:textId="77777777" w:rsidR="00D8365A" w:rsidRPr="00362517" w:rsidRDefault="00D8365A" w:rsidP="00BF6BC7">
            <w:pPr>
              <w:jc w:val="center"/>
            </w:pPr>
            <w:r w:rsidRPr="00362517">
              <w:t>165</w:t>
            </w:r>
          </w:p>
        </w:tc>
        <w:tc>
          <w:tcPr>
            <w:tcW w:w="964" w:type="pct"/>
            <w:shd w:val="clear" w:color="auto" w:fill="auto"/>
            <w:noWrap/>
            <w:vAlign w:val="bottom"/>
            <w:hideMark/>
          </w:tcPr>
          <w:p w14:paraId="410C0865" w14:textId="77777777" w:rsidR="00D8365A" w:rsidRPr="00362517" w:rsidRDefault="00D8365A" w:rsidP="00BF6BC7">
            <w:pPr>
              <w:jc w:val="center"/>
            </w:pPr>
            <w:r w:rsidRPr="00362517">
              <w:t xml:space="preserve">        4,592 </w:t>
            </w:r>
          </w:p>
        </w:tc>
        <w:tc>
          <w:tcPr>
            <w:tcW w:w="964" w:type="pct"/>
            <w:shd w:val="clear" w:color="auto" w:fill="auto"/>
            <w:noWrap/>
            <w:vAlign w:val="bottom"/>
            <w:hideMark/>
          </w:tcPr>
          <w:p w14:paraId="05AAD519" w14:textId="77777777" w:rsidR="00D8365A" w:rsidRPr="00362517" w:rsidRDefault="00D8365A" w:rsidP="00BF6BC7">
            <w:pPr>
              <w:jc w:val="center"/>
            </w:pPr>
            <w:r w:rsidRPr="00362517">
              <w:t>36.02</w:t>
            </w:r>
          </w:p>
        </w:tc>
        <w:tc>
          <w:tcPr>
            <w:tcW w:w="963" w:type="pct"/>
            <w:shd w:val="clear" w:color="auto" w:fill="auto"/>
            <w:noWrap/>
            <w:vAlign w:val="bottom"/>
            <w:hideMark/>
          </w:tcPr>
          <w:p w14:paraId="05BDE1B9" w14:textId="77777777" w:rsidR="00D8365A" w:rsidRPr="00362517" w:rsidRDefault="00D8365A" w:rsidP="00BF6BC7">
            <w:pPr>
              <w:jc w:val="center"/>
            </w:pPr>
            <w:r w:rsidRPr="00362517">
              <w:t xml:space="preserve"> $      48.53 </w:t>
            </w:r>
          </w:p>
        </w:tc>
      </w:tr>
      <w:tr w:rsidR="00D8365A" w:rsidRPr="00362517" w14:paraId="7FDE5399" w14:textId="77777777" w:rsidTr="007A2164">
        <w:trPr>
          <w:trHeight w:val="312"/>
        </w:trPr>
        <w:tc>
          <w:tcPr>
            <w:tcW w:w="1144" w:type="pct"/>
            <w:shd w:val="clear" w:color="auto" w:fill="auto"/>
            <w:noWrap/>
            <w:vAlign w:val="bottom"/>
            <w:hideMark/>
          </w:tcPr>
          <w:p w14:paraId="09BD687D" w14:textId="77777777" w:rsidR="00D8365A" w:rsidRPr="00362517" w:rsidRDefault="00D8365A" w:rsidP="00BF6BC7">
            <w:r w:rsidRPr="00362517">
              <w:t>Vermont</w:t>
            </w:r>
          </w:p>
        </w:tc>
        <w:tc>
          <w:tcPr>
            <w:tcW w:w="964" w:type="pct"/>
            <w:vAlign w:val="bottom"/>
          </w:tcPr>
          <w:p w14:paraId="425E4BB7" w14:textId="77777777" w:rsidR="00D8365A" w:rsidRPr="00362517" w:rsidRDefault="00D8365A" w:rsidP="00BF6BC7">
            <w:pPr>
              <w:jc w:val="center"/>
            </w:pPr>
            <w:r w:rsidRPr="00362517">
              <w:t>54</w:t>
            </w:r>
          </w:p>
        </w:tc>
        <w:tc>
          <w:tcPr>
            <w:tcW w:w="964" w:type="pct"/>
            <w:shd w:val="clear" w:color="auto" w:fill="auto"/>
            <w:noWrap/>
            <w:vAlign w:val="bottom"/>
            <w:hideMark/>
          </w:tcPr>
          <w:p w14:paraId="368B902F" w14:textId="77777777" w:rsidR="00D8365A" w:rsidRPr="00362517" w:rsidRDefault="00D8365A" w:rsidP="00BF6BC7">
            <w:pPr>
              <w:jc w:val="center"/>
            </w:pPr>
            <w:r w:rsidRPr="00362517">
              <w:t xml:space="preserve">        1,015 </w:t>
            </w:r>
          </w:p>
        </w:tc>
        <w:tc>
          <w:tcPr>
            <w:tcW w:w="964" w:type="pct"/>
            <w:shd w:val="clear" w:color="auto" w:fill="auto"/>
            <w:noWrap/>
            <w:vAlign w:val="bottom"/>
            <w:hideMark/>
          </w:tcPr>
          <w:p w14:paraId="232739B6" w14:textId="77777777" w:rsidR="00D8365A" w:rsidRPr="00362517" w:rsidRDefault="00D8365A" w:rsidP="00BF6BC7">
            <w:pPr>
              <w:jc w:val="center"/>
            </w:pPr>
            <w:r w:rsidRPr="00362517">
              <w:t>53.48</w:t>
            </w:r>
          </w:p>
        </w:tc>
        <w:tc>
          <w:tcPr>
            <w:tcW w:w="963" w:type="pct"/>
            <w:shd w:val="clear" w:color="auto" w:fill="auto"/>
            <w:noWrap/>
            <w:vAlign w:val="bottom"/>
            <w:hideMark/>
          </w:tcPr>
          <w:p w14:paraId="32DDBE67" w14:textId="77777777" w:rsidR="00D8365A" w:rsidRPr="00362517" w:rsidRDefault="00D8365A" w:rsidP="00BF6BC7">
            <w:pPr>
              <w:jc w:val="center"/>
            </w:pPr>
            <w:r w:rsidRPr="00362517">
              <w:t xml:space="preserve"> $      99.15 </w:t>
            </w:r>
          </w:p>
        </w:tc>
      </w:tr>
      <w:tr w:rsidR="00D8365A" w:rsidRPr="00362517" w14:paraId="70EBEEA6" w14:textId="77777777" w:rsidTr="007A2164">
        <w:trPr>
          <w:trHeight w:val="312"/>
        </w:trPr>
        <w:tc>
          <w:tcPr>
            <w:tcW w:w="1144" w:type="pct"/>
            <w:shd w:val="clear" w:color="auto" w:fill="auto"/>
            <w:noWrap/>
            <w:vAlign w:val="bottom"/>
            <w:hideMark/>
          </w:tcPr>
          <w:p w14:paraId="0F3A2127" w14:textId="77777777" w:rsidR="00D8365A" w:rsidRPr="00362517" w:rsidRDefault="00D8365A" w:rsidP="00BF6BC7">
            <w:r w:rsidRPr="00362517">
              <w:t>Virginia</w:t>
            </w:r>
          </w:p>
        </w:tc>
        <w:tc>
          <w:tcPr>
            <w:tcW w:w="964" w:type="pct"/>
            <w:vAlign w:val="bottom"/>
          </w:tcPr>
          <w:p w14:paraId="44167F5A" w14:textId="77777777" w:rsidR="00D8365A" w:rsidRPr="00362517" w:rsidRDefault="00D8365A" w:rsidP="00BF6BC7">
            <w:pPr>
              <w:jc w:val="center"/>
            </w:pPr>
            <w:r w:rsidRPr="00362517">
              <w:t>0</w:t>
            </w:r>
          </w:p>
        </w:tc>
        <w:tc>
          <w:tcPr>
            <w:tcW w:w="964" w:type="pct"/>
            <w:shd w:val="clear" w:color="auto" w:fill="auto"/>
            <w:noWrap/>
            <w:vAlign w:val="bottom"/>
            <w:hideMark/>
          </w:tcPr>
          <w:p w14:paraId="2E2083A7" w14:textId="77777777" w:rsidR="00D8365A" w:rsidRPr="00362517" w:rsidRDefault="00D8365A" w:rsidP="00BF6BC7">
            <w:pPr>
              <w:jc w:val="center"/>
            </w:pPr>
            <w:r w:rsidRPr="00362517">
              <w:t xml:space="preserve">        7,575 </w:t>
            </w:r>
          </w:p>
        </w:tc>
        <w:tc>
          <w:tcPr>
            <w:tcW w:w="964" w:type="pct"/>
            <w:shd w:val="clear" w:color="auto" w:fill="auto"/>
            <w:noWrap/>
            <w:vAlign w:val="bottom"/>
            <w:hideMark/>
          </w:tcPr>
          <w:p w14:paraId="30675CFC" w14:textId="77777777" w:rsidR="00D8365A" w:rsidRPr="00362517" w:rsidRDefault="00D8365A" w:rsidP="00BF6BC7">
            <w:pPr>
              <w:jc w:val="center"/>
            </w:pPr>
            <w:r w:rsidRPr="00362517">
              <w:t>0.00</w:t>
            </w:r>
          </w:p>
        </w:tc>
        <w:tc>
          <w:tcPr>
            <w:tcW w:w="963" w:type="pct"/>
            <w:shd w:val="clear" w:color="auto" w:fill="auto"/>
            <w:noWrap/>
            <w:vAlign w:val="bottom"/>
            <w:hideMark/>
          </w:tcPr>
          <w:p w14:paraId="0866F5AF" w14:textId="77777777" w:rsidR="00D8365A" w:rsidRPr="00362517" w:rsidRDefault="00D8365A" w:rsidP="00BF6BC7">
            <w:pPr>
              <w:jc w:val="center"/>
            </w:pPr>
            <w:r w:rsidRPr="00362517">
              <w:t xml:space="preserve"> $        7.70 </w:t>
            </w:r>
          </w:p>
        </w:tc>
      </w:tr>
      <w:tr w:rsidR="00D8365A" w:rsidRPr="00362517" w14:paraId="2F7D5B45" w14:textId="77777777" w:rsidTr="007A2164">
        <w:trPr>
          <w:trHeight w:val="312"/>
        </w:trPr>
        <w:tc>
          <w:tcPr>
            <w:tcW w:w="1144" w:type="pct"/>
            <w:shd w:val="clear" w:color="auto" w:fill="auto"/>
            <w:noWrap/>
            <w:vAlign w:val="bottom"/>
            <w:hideMark/>
          </w:tcPr>
          <w:p w14:paraId="262F395D" w14:textId="77777777" w:rsidR="00D8365A" w:rsidRPr="00362517" w:rsidRDefault="00D8365A" w:rsidP="00BF6BC7">
            <w:r w:rsidRPr="00362517">
              <w:t>Washington</w:t>
            </w:r>
          </w:p>
        </w:tc>
        <w:tc>
          <w:tcPr>
            <w:tcW w:w="964" w:type="pct"/>
            <w:vAlign w:val="bottom"/>
          </w:tcPr>
          <w:p w14:paraId="7CB85D5A" w14:textId="77777777" w:rsidR="00D8365A" w:rsidRPr="00362517" w:rsidRDefault="00D8365A" w:rsidP="00BF6BC7">
            <w:pPr>
              <w:jc w:val="center"/>
            </w:pPr>
            <w:r w:rsidRPr="00362517">
              <w:t>1,305</w:t>
            </w:r>
          </w:p>
        </w:tc>
        <w:tc>
          <w:tcPr>
            <w:tcW w:w="964" w:type="pct"/>
            <w:shd w:val="clear" w:color="auto" w:fill="auto"/>
            <w:noWrap/>
            <w:vAlign w:val="bottom"/>
            <w:hideMark/>
          </w:tcPr>
          <w:p w14:paraId="47E24B38" w14:textId="77777777" w:rsidR="00D8365A" w:rsidRPr="00362517" w:rsidRDefault="00D8365A" w:rsidP="00BF6BC7">
            <w:pPr>
              <w:jc w:val="center"/>
            </w:pPr>
            <w:r w:rsidRPr="00362517">
              <w:t xml:space="preserve">      15,937 </w:t>
            </w:r>
          </w:p>
        </w:tc>
        <w:tc>
          <w:tcPr>
            <w:tcW w:w="964" w:type="pct"/>
            <w:shd w:val="clear" w:color="auto" w:fill="auto"/>
            <w:noWrap/>
            <w:vAlign w:val="bottom"/>
            <w:hideMark/>
          </w:tcPr>
          <w:p w14:paraId="4F6C7132" w14:textId="77777777" w:rsidR="00D8365A" w:rsidRPr="00362517" w:rsidRDefault="00D8365A" w:rsidP="00BF6BC7">
            <w:pPr>
              <w:jc w:val="center"/>
            </w:pPr>
            <w:r w:rsidRPr="00362517">
              <w:t>81.88</w:t>
            </w:r>
          </w:p>
        </w:tc>
        <w:tc>
          <w:tcPr>
            <w:tcW w:w="963" w:type="pct"/>
            <w:shd w:val="clear" w:color="auto" w:fill="auto"/>
            <w:noWrap/>
            <w:vAlign w:val="bottom"/>
            <w:hideMark/>
          </w:tcPr>
          <w:p w14:paraId="0E3F5A71" w14:textId="77777777" w:rsidR="00D8365A" w:rsidRPr="00362517" w:rsidRDefault="00D8365A" w:rsidP="00BF6BC7">
            <w:pPr>
              <w:jc w:val="center"/>
            </w:pPr>
            <w:r w:rsidRPr="00362517">
              <w:t xml:space="preserve"> $      89.91 </w:t>
            </w:r>
          </w:p>
        </w:tc>
      </w:tr>
      <w:tr w:rsidR="00D8365A" w:rsidRPr="00362517" w14:paraId="6A78D788" w14:textId="77777777" w:rsidTr="007A2164">
        <w:trPr>
          <w:trHeight w:val="312"/>
        </w:trPr>
        <w:tc>
          <w:tcPr>
            <w:tcW w:w="1144" w:type="pct"/>
            <w:shd w:val="clear" w:color="auto" w:fill="auto"/>
            <w:noWrap/>
            <w:vAlign w:val="bottom"/>
            <w:hideMark/>
          </w:tcPr>
          <w:p w14:paraId="77234513" w14:textId="77777777" w:rsidR="00D8365A" w:rsidRPr="00362517" w:rsidRDefault="00D8365A" w:rsidP="00BF6BC7">
            <w:r w:rsidRPr="00362517">
              <w:t>West Virginia</w:t>
            </w:r>
          </w:p>
        </w:tc>
        <w:tc>
          <w:tcPr>
            <w:tcW w:w="964" w:type="pct"/>
            <w:vAlign w:val="bottom"/>
          </w:tcPr>
          <w:p w14:paraId="1F1DD008" w14:textId="77777777" w:rsidR="00D8365A" w:rsidRPr="00362517" w:rsidRDefault="00D8365A" w:rsidP="00BF6BC7">
            <w:pPr>
              <w:jc w:val="center"/>
            </w:pPr>
            <w:r w:rsidRPr="00362517">
              <w:t>19</w:t>
            </w:r>
          </w:p>
        </w:tc>
        <w:tc>
          <w:tcPr>
            <w:tcW w:w="964" w:type="pct"/>
            <w:shd w:val="clear" w:color="auto" w:fill="auto"/>
            <w:noWrap/>
            <w:vAlign w:val="bottom"/>
            <w:hideMark/>
          </w:tcPr>
          <w:p w14:paraId="55C28C8F" w14:textId="77777777" w:rsidR="00D8365A" w:rsidRPr="00362517" w:rsidRDefault="00D8365A" w:rsidP="00BF6BC7">
            <w:pPr>
              <w:jc w:val="center"/>
            </w:pPr>
            <w:r w:rsidRPr="00362517">
              <w:t xml:space="preserve">        2,076 </w:t>
            </w:r>
          </w:p>
        </w:tc>
        <w:tc>
          <w:tcPr>
            <w:tcW w:w="964" w:type="pct"/>
            <w:shd w:val="clear" w:color="auto" w:fill="auto"/>
            <w:noWrap/>
            <w:vAlign w:val="bottom"/>
            <w:hideMark/>
          </w:tcPr>
          <w:p w14:paraId="239738FF" w14:textId="77777777" w:rsidR="00D8365A" w:rsidRPr="00362517" w:rsidRDefault="00D8365A" w:rsidP="00BF6BC7">
            <w:pPr>
              <w:jc w:val="center"/>
            </w:pPr>
            <w:r w:rsidRPr="00362517">
              <w:t>9.26</w:t>
            </w:r>
          </w:p>
        </w:tc>
        <w:tc>
          <w:tcPr>
            <w:tcW w:w="963" w:type="pct"/>
            <w:shd w:val="clear" w:color="auto" w:fill="auto"/>
            <w:noWrap/>
            <w:vAlign w:val="bottom"/>
            <w:hideMark/>
          </w:tcPr>
          <w:p w14:paraId="7B724974" w14:textId="77777777" w:rsidR="00D8365A" w:rsidRPr="00362517" w:rsidRDefault="00D8365A" w:rsidP="00BF6BC7">
            <w:pPr>
              <w:jc w:val="center"/>
            </w:pPr>
            <w:r w:rsidRPr="00362517">
              <w:t xml:space="preserve"> $      35.00 </w:t>
            </w:r>
          </w:p>
        </w:tc>
      </w:tr>
      <w:tr w:rsidR="00D8365A" w:rsidRPr="00362517" w14:paraId="2C36BF40" w14:textId="77777777" w:rsidTr="007A2164">
        <w:trPr>
          <w:trHeight w:val="312"/>
        </w:trPr>
        <w:tc>
          <w:tcPr>
            <w:tcW w:w="1144" w:type="pct"/>
            <w:shd w:val="clear" w:color="auto" w:fill="auto"/>
            <w:noWrap/>
            <w:vAlign w:val="bottom"/>
            <w:hideMark/>
          </w:tcPr>
          <w:p w14:paraId="38F167EE" w14:textId="77777777" w:rsidR="00D8365A" w:rsidRPr="00362517" w:rsidRDefault="00D8365A" w:rsidP="00BF6BC7">
            <w:r w:rsidRPr="00362517">
              <w:t>Wisconsin</w:t>
            </w:r>
          </w:p>
        </w:tc>
        <w:tc>
          <w:tcPr>
            <w:tcW w:w="964" w:type="pct"/>
            <w:vAlign w:val="bottom"/>
          </w:tcPr>
          <w:p w14:paraId="202CE20A" w14:textId="77777777" w:rsidR="00D8365A" w:rsidRPr="00362517" w:rsidRDefault="00D8365A" w:rsidP="00BF6BC7">
            <w:pPr>
              <w:jc w:val="center"/>
            </w:pPr>
            <w:r w:rsidRPr="00362517">
              <w:t>1,041</w:t>
            </w:r>
          </w:p>
        </w:tc>
        <w:tc>
          <w:tcPr>
            <w:tcW w:w="964" w:type="pct"/>
            <w:shd w:val="clear" w:color="auto" w:fill="auto"/>
            <w:noWrap/>
            <w:vAlign w:val="bottom"/>
            <w:hideMark/>
          </w:tcPr>
          <w:p w14:paraId="74E86588" w14:textId="77777777" w:rsidR="00D8365A" w:rsidRPr="00362517" w:rsidRDefault="00D8365A" w:rsidP="00BF6BC7">
            <w:pPr>
              <w:jc w:val="center"/>
            </w:pPr>
            <w:r w:rsidRPr="00362517">
              <w:t xml:space="preserve">      13,742 </w:t>
            </w:r>
          </w:p>
        </w:tc>
        <w:tc>
          <w:tcPr>
            <w:tcW w:w="964" w:type="pct"/>
            <w:shd w:val="clear" w:color="auto" w:fill="auto"/>
            <w:noWrap/>
            <w:vAlign w:val="bottom"/>
            <w:hideMark/>
          </w:tcPr>
          <w:p w14:paraId="128C12B0" w14:textId="77777777" w:rsidR="00D8365A" w:rsidRPr="00362517" w:rsidRDefault="00D8365A" w:rsidP="00BF6BC7">
            <w:pPr>
              <w:jc w:val="center"/>
            </w:pPr>
            <w:r w:rsidRPr="00362517">
              <w:t>75.76</w:t>
            </w:r>
          </w:p>
        </w:tc>
        <w:tc>
          <w:tcPr>
            <w:tcW w:w="963" w:type="pct"/>
            <w:shd w:val="clear" w:color="auto" w:fill="auto"/>
            <w:noWrap/>
            <w:vAlign w:val="bottom"/>
            <w:hideMark/>
          </w:tcPr>
          <w:p w14:paraId="22B59C37" w14:textId="77777777" w:rsidR="00D8365A" w:rsidRPr="00362517" w:rsidRDefault="00D8365A" w:rsidP="00BF6BC7">
            <w:pPr>
              <w:jc w:val="center"/>
            </w:pPr>
            <w:r w:rsidRPr="00362517">
              <w:t xml:space="preserve"> $      80.25 </w:t>
            </w:r>
          </w:p>
        </w:tc>
      </w:tr>
      <w:tr w:rsidR="00D8365A" w:rsidRPr="00362517" w14:paraId="3C74BE13" w14:textId="77777777" w:rsidTr="007A2164">
        <w:trPr>
          <w:trHeight w:val="312"/>
        </w:trPr>
        <w:tc>
          <w:tcPr>
            <w:tcW w:w="1144" w:type="pct"/>
            <w:shd w:val="clear" w:color="auto" w:fill="auto"/>
            <w:noWrap/>
            <w:vAlign w:val="bottom"/>
            <w:hideMark/>
          </w:tcPr>
          <w:p w14:paraId="4B53C8D9" w14:textId="77777777" w:rsidR="00D8365A" w:rsidRPr="00362517" w:rsidRDefault="00D8365A" w:rsidP="00BF6BC7">
            <w:r w:rsidRPr="00362517">
              <w:t>Wyoming</w:t>
            </w:r>
          </w:p>
        </w:tc>
        <w:tc>
          <w:tcPr>
            <w:tcW w:w="964" w:type="pct"/>
            <w:vAlign w:val="bottom"/>
          </w:tcPr>
          <w:p w14:paraId="684D1B6D" w14:textId="77777777" w:rsidR="00D8365A" w:rsidRPr="00362517" w:rsidRDefault="00D8365A" w:rsidP="00BF6BC7">
            <w:pPr>
              <w:jc w:val="center"/>
            </w:pPr>
            <w:r w:rsidRPr="00362517">
              <w:t>131</w:t>
            </w:r>
          </w:p>
        </w:tc>
        <w:tc>
          <w:tcPr>
            <w:tcW w:w="964" w:type="pct"/>
            <w:shd w:val="clear" w:color="auto" w:fill="auto"/>
            <w:noWrap/>
            <w:vAlign w:val="bottom"/>
            <w:hideMark/>
          </w:tcPr>
          <w:p w14:paraId="71220255" w14:textId="77777777" w:rsidR="00D8365A" w:rsidRPr="00362517" w:rsidRDefault="00D8365A" w:rsidP="00BF6BC7">
            <w:pPr>
              <w:jc w:val="center"/>
            </w:pPr>
            <w:r w:rsidRPr="00362517">
              <w:t xml:space="preserve">        1,911 </w:t>
            </w:r>
          </w:p>
        </w:tc>
        <w:tc>
          <w:tcPr>
            <w:tcW w:w="964" w:type="pct"/>
            <w:shd w:val="clear" w:color="auto" w:fill="auto"/>
            <w:noWrap/>
            <w:vAlign w:val="bottom"/>
            <w:hideMark/>
          </w:tcPr>
          <w:p w14:paraId="40C059A2" w14:textId="77777777" w:rsidR="00D8365A" w:rsidRPr="00362517" w:rsidRDefault="00D8365A" w:rsidP="00BF6BC7">
            <w:pPr>
              <w:jc w:val="center"/>
            </w:pPr>
            <w:r w:rsidRPr="00362517">
              <w:t>68.61</w:t>
            </w:r>
          </w:p>
        </w:tc>
        <w:tc>
          <w:tcPr>
            <w:tcW w:w="963" w:type="pct"/>
            <w:shd w:val="clear" w:color="auto" w:fill="auto"/>
            <w:noWrap/>
            <w:vAlign w:val="bottom"/>
            <w:hideMark/>
          </w:tcPr>
          <w:p w14:paraId="2E3B8547" w14:textId="77777777" w:rsidR="00D8365A" w:rsidRPr="00362517" w:rsidRDefault="00D8365A" w:rsidP="00BF6BC7">
            <w:pPr>
              <w:jc w:val="center"/>
            </w:pPr>
            <w:r w:rsidRPr="00362517">
              <w:t xml:space="preserve"> $      80.57 </w:t>
            </w:r>
          </w:p>
        </w:tc>
      </w:tr>
      <w:tr w:rsidR="00D8365A" w:rsidRPr="00362517" w14:paraId="2C5EF3EF" w14:textId="77777777" w:rsidTr="007A2164">
        <w:trPr>
          <w:trHeight w:val="312"/>
        </w:trPr>
        <w:tc>
          <w:tcPr>
            <w:tcW w:w="1144" w:type="pct"/>
            <w:shd w:val="clear" w:color="auto" w:fill="auto"/>
            <w:noWrap/>
            <w:vAlign w:val="bottom"/>
            <w:hideMark/>
          </w:tcPr>
          <w:p w14:paraId="65ACAB1A" w14:textId="77777777" w:rsidR="00D8365A" w:rsidRPr="00362517" w:rsidRDefault="00D8365A" w:rsidP="00BF6BC7">
            <w:r w:rsidRPr="00362517">
              <w:t>Puerto Rico</w:t>
            </w:r>
          </w:p>
        </w:tc>
        <w:tc>
          <w:tcPr>
            <w:tcW w:w="964" w:type="pct"/>
            <w:vAlign w:val="bottom"/>
          </w:tcPr>
          <w:p w14:paraId="2C2CFA3C" w14:textId="77777777" w:rsidR="00D8365A" w:rsidRPr="00362517" w:rsidRDefault="00D8365A" w:rsidP="00BF6BC7">
            <w:pPr>
              <w:jc w:val="center"/>
            </w:pPr>
            <w:r w:rsidRPr="00362517">
              <w:t>614</w:t>
            </w:r>
          </w:p>
        </w:tc>
        <w:tc>
          <w:tcPr>
            <w:tcW w:w="964" w:type="pct"/>
            <w:shd w:val="clear" w:color="auto" w:fill="auto"/>
            <w:noWrap/>
            <w:vAlign w:val="bottom"/>
            <w:hideMark/>
          </w:tcPr>
          <w:p w14:paraId="548897F4" w14:textId="77777777" w:rsidR="00D8365A" w:rsidRPr="00362517" w:rsidRDefault="00D8365A" w:rsidP="00BF6BC7">
            <w:pPr>
              <w:jc w:val="center"/>
            </w:pPr>
            <w:r w:rsidRPr="00362517">
              <w:t xml:space="preserve">        6,240 </w:t>
            </w:r>
          </w:p>
        </w:tc>
        <w:tc>
          <w:tcPr>
            <w:tcW w:w="964" w:type="pct"/>
            <w:shd w:val="clear" w:color="auto" w:fill="auto"/>
            <w:noWrap/>
            <w:vAlign w:val="bottom"/>
            <w:hideMark/>
          </w:tcPr>
          <w:p w14:paraId="173A4269" w14:textId="77777777" w:rsidR="00D8365A" w:rsidRPr="00362517" w:rsidRDefault="00D8365A" w:rsidP="00BF6BC7">
            <w:pPr>
              <w:jc w:val="center"/>
            </w:pPr>
            <w:r w:rsidRPr="00362517">
              <w:t>98.35</w:t>
            </w:r>
          </w:p>
        </w:tc>
        <w:tc>
          <w:tcPr>
            <w:tcW w:w="963" w:type="pct"/>
            <w:shd w:val="clear" w:color="auto" w:fill="auto"/>
            <w:noWrap/>
            <w:vAlign w:val="bottom"/>
            <w:hideMark/>
          </w:tcPr>
          <w:p w14:paraId="311276A9" w14:textId="77777777" w:rsidR="00D8365A" w:rsidRPr="00362517" w:rsidRDefault="00D8365A" w:rsidP="00BF6BC7">
            <w:pPr>
              <w:jc w:val="center"/>
            </w:pPr>
            <w:r w:rsidRPr="00362517">
              <w:t xml:space="preserve"> $    103.31 </w:t>
            </w:r>
          </w:p>
        </w:tc>
      </w:tr>
      <w:tr w:rsidR="00D8365A" w:rsidRPr="00362517" w14:paraId="4878DAF6" w14:textId="77777777" w:rsidTr="007A2164">
        <w:trPr>
          <w:trHeight w:val="312"/>
        </w:trPr>
        <w:tc>
          <w:tcPr>
            <w:tcW w:w="1144" w:type="pct"/>
            <w:shd w:val="clear" w:color="auto" w:fill="auto"/>
            <w:noWrap/>
            <w:vAlign w:val="bottom"/>
            <w:hideMark/>
          </w:tcPr>
          <w:p w14:paraId="51C0D6B0" w14:textId="77777777" w:rsidR="00D8365A" w:rsidRPr="00362517" w:rsidRDefault="00D8365A" w:rsidP="00BF6BC7">
            <w:r w:rsidRPr="00362517">
              <w:t xml:space="preserve">Other </w:t>
            </w:r>
          </w:p>
        </w:tc>
        <w:tc>
          <w:tcPr>
            <w:tcW w:w="964" w:type="pct"/>
            <w:vAlign w:val="bottom"/>
          </w:tcPr>
          <w:p w14:paraId="6DF906FC" w14:textId="77777777" w:rsidR="00D8365A" w:rsidRPr="00362517" w:rsidRDefault="00D8365A" w:rsidP="00BF6BC7">
            <w:pPr>
              <w:jc w:val="center"/>
            </w:pPr>
            <w:r w:rsidRPr="00362517">
              <w:t>177</w:t>
            </w:r>
          </w:p>
        </w:tc>
        <w:tc>
          <w:tcPr>
            <w:tcW w:w="964" w:type="pct"/>
            <w:shd w:val="clear" w:color="auto" w:fill="auto"/>
            <w:noWrap/>
            <w:vAlign w:val="bottom"/>
            <w:hideMark/>
          </w:tcPr>
          <w:p w14:paraId="058DE4B7" w14:textId="77777777" w:rsidR="00D8365A" w:rsidRPr="00362517" w:rsidRDefault="00D8365A" w:rsidP="00BF6BC7">
            <w:pPr>
              <w:jc w:val="center"/>
            </w:pPr>
            <w:r w:rsidRPr="00362517">
              <w:t xml:space="preserve">        4,187 </w:t>
            </w:r>
          </w:p>
        </w:tc>
        <w:tc>
          <w:tcPr>
            <w:tcW w:w="964" w:type="pct"/>
            <w:shd w:val="clear" w:color="auto" w:fill="auto"/>
            <w:noWrap/>
            <w:vAlign w:val="bottom"/>
            <w:hideMark/>
          </w:tcPr>
          <w:p w14:paraId="2F8BFB00" w14:textId="77777777" w:rsidR="00D8365A" w:rsidRPr="00362517" w:rsidRDefault="00D8365A" w:rsidP="00BF6BC7">
            <w:pPr>
              <w:jc w:val="center"/>
            </w:pPr>
            <w:r w:rsidRPr="00362517">
              <w:t>42.36</w:t>
            </w:r>
          </w:p>
        </w:tc>
        <w:tc>
          <w:tcPr>
            <w:tcW w:w="963" w:type="pct"/>
            <w:shd w:val="clear" w:color="auto" w:fill="auto"/>
            <w:noWrap/>
            <w:vAlign w:val="bottom"/>
            <w:hideMark/>
          </w:tcPr>
          <w:p w14:paraId="28290385" w14:textId="77777777" w:rsidR="00D8365A" w:rsidRPr="00362517" w:rsidRDefault="00D8365A" w:rsidP="00BF6BC7">
            <w:pPr>
              <w:jc w:val="center"/>
            </w:pPr>
            <w:r w:rsidRPr="00362517">
              <w:t xml:space="preserve"> $      67.60 </w:t>
            </w:r>
          </w:p>
        </w:tc>
      </w:tr>
      <w:tr w:rsidR="00D8365A" w:rsidRPr="00362517" w14:paraId="582F4A80" w14:textId="77777777" w:rsidTr="007A2164">
        <w:trPr>
          <w:trHeight w:val="324"/>
        </w:trPr>
        <w:tc>
          <w:tcPr>
            <w:tcW w:w="1144" w:type="pct"/>
            <w:shd w:val="clear" w:color="auto" w:fill="auto"/>
            <w:noWrap/>
            <w:vAlign w:val="bottom"/>
            <w:hideMark/>
          </w:tcPr>
          <w:p w14:paraId="5F74DA72" w14:textId="77777777" w:rsidR="00D8365A" w:rsidRPr="00362517" w:rsidRDefault="00D8365A" w:rsidP="00BF6BC7">
            <w:pPr>
              <w:rPr>
                <w:b/>
                <w:bCs/>
              </w:rPr>
            </w:pPr>
            <w:r w:rsidRPr="00362517">
              <w:rPr>
                <w:b/>
                <w:bCs/>
              </w:rPr>
              <w:t>U.S. Total</w:t>
            </w:r>
          </w:p>
        </w:tc>
        <w:tc>
          <w:tcPr>
            <w:tcW w:w="964" w:type="pct"/>
            <w:vAlign w:val="bottom"/>
          </w:tcPr>
          <w:p w14:paraId="20ED2168" w14:textId="77777777" w:rsidR="00D8365A" w:rsidRPr="00362517" w:rsidRDefault="00D8365A" w:rsidP="00BF6BC7">
            <w:pPr>
              <w:jc w:val="center"/>
              <w:rPr>
                <w:b/>
                <w:bCs/>
              </w:rPr>
            </w:pPr>
            <w:r w:rsidRPr="00362517">
              <w:rPr>
                <w:b/>
                <w:bCs/>
              </w:rPr>
              <w:t>16,161</w:t>
            </w:r>
          </w:p>
        </w:tc>
        <w:tc>
          <w:tcPr>
            <w:tcW w:w="964" w:type="pct"/>
            <w:shd w:val="clear" w:color="auto" w:fill="auto"/>
            <w:noWrap/>
            <w:vAlign w:val="bottom"/>
            <w:hideMark/>
          </w:tcPr>
          <w:p w14:paraId="44274C07" w14:textId="77777777" w:rsidR="00D8365A" w:rsidRPr="00362517" w:rsidRDefault="00D8365A" w:rsidP="00BF6BC7">
            <w:pPr>
              <w:jc w:val="center"/>
              <w:rPr>
                <w:b/>
                <w:bCs/>
              </w:rPr>
            </w:pPr>
            <w:r w:rsidRPr="00362517">
              <w:rPr>
                <w:b/>
                <w:bCs/>
              </w:rPr>
              <w:t>420,999</w:t>
            </w:r>
          </w:p>
        </w:tc>
        <w:tc>
          <w:tcPr>
            <w:tcW w:w="964" w:type="pct"/>
            <w:shd w:val="clear" w:color="auto" w:fill="auto"/>
            <w:noWrap/>
            <w:vAlign w:val="bottom"/>
            <w:hideMark/>
          </w:tcPr>
          <w:p w14:paraId="329C79B1" w14:textId="77777777" w:rsidR="00D8365A" w:rsidRPr="00362517" w:rsidRDefault="00D8365A" w:rsidP="00BF6BC7">
            <w:pPr>
              <w:jc w:val="center"/>
              <w:rPr>
                <w:b/>
                <w:bCs/>
              </w:rPr>
            </w:pPr>
            <w:r w:rsidRPr="00362517">
              <w:rPr>
                <w:b/>
                <w:bCs/>
              </w:rPr>
              <w:t>38.39</w:t>
            </w:r>
          </w:p>
        </w:tc>
        <w:tc>
          <w:tcPr>
            <w:tcW w:w="963" w:type="pct"/>
            <w:shd w:val="clear" w:color="auto" w:fill="auto"/>
            <w:noWrap/>
            <w:vAlign w:val="bottom"/>
            <w:hideMark/>
          </w:tcPr>
          <w:p w14:paraId="37F54A47" w14:textId="77777777" w:rsidR="00D8365A" w:rsidRPr="00362517" w:rsidRDefault="00D8365A" w:rsidP="00BF6BC7">
            <w:pPr>
              <w:jc w:val="center"/>
              <w:rPr>
                <w:b/>
                <w:bCs/>
              </w:rPr>
            </w:pPr>
            <w:r w:rsidRPr="00362517">
              <w:rPr>
                <w:b/>
                <w:bCs/>
              </w:rPr>
              <w:t xml:space="preserve"> $      45.63 </w:t>
            </w:r>
          </w:p>
        </w:tc>
      </w:tr>
    </w:tbl>
    <w:p w14:paraId="2949FFFF" w14:textId="64919961" w:rsidR="00D8365A" w:rsidRPr="00362517" w:rsidRDefault="00D8365A" w:rsidP="00BF6BC7">
      <w:pPr>
        <w:rPr>
          <w:sz w:val="22"/>
          <w:szCs w:val="22"/>
        </w:rPr>
      </w:pPr>
      <w:r w:rsidRPr="00362517">
        <w:rPr>
          <w:sz w:val="22"/>
          <w:szCs w:val="22"/>
        </w:rPr>
        <w:t>Source:  EPA calculations using a three percent discount rate over a ten</w:t>
      </w:r>
      <w:r w:rsidR="00CA28EA">
        <w:rPr>
          <w:sz w:val="22"/>
          <w:szCs w:val="22"/>
        </w:rPr>
        <w:t>-</w:t>
      </w:r>
      <w:r w:rsidRPr="00362517">
        <w:rPr>
          <w:sz w:val="22"/>
          <w:szCs w:val="22"/>
        </w:rPr>
        <w:t>year horizon.  Columns may not sum due to rounding.</w:t>
      </w:r>
    </w:p>
    <w:p w14:paraId="16EE97E8" w14:textId="77777777" w:rsidR="00D8365A" w:rsidRPr="00362517" w:rsidRDefault="00D8365A" w:rsidP="00BF6BC7">
      <w:pPr>
        <w:rPr>
          <w:sz w:val="22"/>
          <w:szCs w:val="22"/>
        </w:rPr>
      </w:pPr>
    </w:p>
    <w:p w14:paraId="568E51E6" w14:textId="77777777" w:rsidR="00D8365A" w:rsidRPr="00362517" w:rsidRDefault="00D8365A" w:rsidP="00BF6BC7">
      <w:r w:rsidRPr="00362517">
        <w:t xml:space="preserve">Seven states are expected to see incremental costs of over $100 per year.  Note, however, that this cost includes the costs of training noncertified applicators and additional labor costs associated with age requirements for noncertified applicators, which would not be considerations in an employer’s decision to hire a certified applicator.  Without these costs, the national average cost per commercial applicator would be about $15 per year.  Absent these costs, the incremental cost per applicator is $119 (that of Alaska) or less in all jurisdictions, even accounting for the possibility of obtaining certification in one of the new, application method-specific categories.    </w:t>
      </w:r>
    </w:p>
    <w:p w14:paraId="2CE8C25E" w14:textId="77777777" w:rsidR="00D8365A" w:rsidRPr="00362517" w:rsidRDefault="00D8365A" w:rsidP="00BF6BC7"/>
    <w:p w14:paraId="78755381" w14:textId="77777777" w:rsidR="00D8365A" w:rsidRPr="00362517" w:rsidRDefault="00D8365A" w:rsidP="00BF6BC7">
      <w:r w:rsidRPr="00362517">
        <w:t xml:space="preserve">The unloaded wage rate for commercial applicators is $14.74 per hour while the loaded wage rate is $21.56 per hour, according to BLS data (2016a).  Even assuming part-time employment of about six to eight months, a commercial applicator would cost an employer around $22,400 to $29,900 per year.  An incremental cost of $119 per year due to the rule would be 0.4 to 0.5 percent of employment costs.  The applicator’s take-home pay would range from $15,300 to $20,400 for six to eight months and an incremental cost of $119 per year would represent 0.6 to 0.8 percent of his or her salary.  It is unlikely that such modest changes will impact employment. </w:t>
      </w:r>
    </w:p>
    <w:p w14:paraId="48118761" w14:textId="77777777" w:rsidR="00D8365A" w:rsidRPr="00362517" w:rsidRDefault="00D8365A" w:rsidP="00BF6BC7"/>
    <w:p w14:paraId="63837678" w14:textId="77777777" w:rsidR="00D8365A" w:rsidRPr="00362517" w:rsidRDefault="00D8365A" w:rsidP="00BF6BC7"/>
    <w:p w14:paraId="4564B874" w14:textId="77777777" w:rsidR="00D8365A" w:rsidRPr="00362517" w:rsidRDefault="00D8365A" w:rsidP="00BF6BC7">
      <w:pPr>
        <w:pStyle w:val="Heading2"/>
        <w:rPr>
          <w:szCs w:val="28"/>
        </w:rPr>
      </w:pPr>
      <w:bookmarkStart w:id="265" w:name="_Toc452020156"/>
      <w:bookmarkStart w:id="266" w:name="_Toc456270180"/>
      <w:bookmarkStart w:id="267" w:name="_Toc468872096"/>
      <w:r w:rsidRPr="00362517">
        <w:rPr>
          <w:szCs w:val="28"/>
        </w:rPr>
        <w:t>3.7</w:t>
      </w:r>
      <w:r w:rsidRPr="00362517">
        <w:rPr>
          <w:szCs w:val="28"/>
        </w:rPr>
        <w:tab/>
      </w:r>
      <w:r w:rsidRPr="00362517">
        <w:t>Potential Impacts on Small Businesses</w:t>
      </w:r>
      <w:bookmarkEnd w:id="265"/>
      <w:bookmarkEnd w:id="266"/>
      <w:bookmarkEnd w:id="267"/>
    </w:p>
    <w:p w14:paraId="44051255" w14:textId="77777777" w:rsidR="00D8365A" w:rsidRPr="00362517" w:rsidRDefault="00D8365A" w:rsidP="00BF6BC7">
      <w:pPr>
        <w:rPr>
          <w:b/>
        </w:rPr>
      </w:pPr>
    </w:p>
    <w:p w14:paraId="119D18B4" w14:textId="77777777" w:rsidR="00D8365A" w:rsidRPr="00362517" w:rsidRDefault="00D8365A" w:rsidP="00BF6BC7">
      <w:r w:rsidRPr="00362517">
        <w:t xml:space="preserve">This section presents estimates of the impact the final revisions to the requirements for the certification of pesticide applicators may have on small entities.  The Regulatory Flexibility Act (RFA) of 1980, as amended by the Small Business Regulatory Enforcement Fairness Act (SBREFA) of 1996, requires regulators to assess the effects of regulations on small entities, including businesses, nonprofit organizations, and governments.  In some instances, </w:t>
      </w:r>
      <w:r w:rsidRPr="00362517">
        <w:rPr>
          <w:lang w:val="en-CA"/>
        </w:rPr>
        <w:t xml:space="preserve">when significant economic impacts on a substantial number of small entities are expected, </w:t>
      </w:r>
      <w:r w:rsidRPr="00362517">
        <w:t>agencies are also required to examine regulatory alternatives that may reduce adverse economic effects on significantly impacted small entities.</w:t>
      </w:r>
    </w:p>
    <w:p w14:paraId="52C9725A" w14:textId="77777777" w:rsidR="00D8365A" w:rsidRPr="00362517" w:rsidRDefault="00D8365A" w:rsidP="00BF6BC7">
      <w:pPr>
        <w:rPr>
          <w:b/>
        </w:rPr>
      </w:pPr>
    </w:p>
    <w:p w14:paraId="1534D30B" w14:textId="77777777" w:rsidR="00D8365A" w:rsidRPr="00362517" w:rsidRDefault="00D8365A" w:rsidP="00BF6BC7">
      <w:pPr>
        <w:rPr>
          <w:lang w:val="en-CA"/>
        </w:rPr>
      </w:pPr>
      <w:r w:rsidRPr="00362517">
        <w:rPr>
          <w:lang w:val="en-CA"/>
        </w:rPr>
        <w:t>The RFA does not define the terms “significant” or “substantial” with regard to the extent of the economic impact and number of small entities affected.  EPA has often characterized annual incremental compliance costs of three percent or more of annual revenue as significant, costs less than one percent of annual revenue as not significant, and costs between one and three percent of revenue as inconclusive.  If costs are likely to be greater than one percent of annual revenue, EPA considers both the number of significantly affected small firms and their proportion of all affected small firms to determine if a substantial number of small firms would be impacted.</w:t>
      </w:r>
    </w:p>
    <w:p w14:paraId="26911980" w14:textId="77777777" w:rsidR="00D8365A" w:rsidRPr="00362517" w:rsidRDefault="00D8365A" w:rsidP="00BF6BC7">
      <w:pPr>
        <w:rPr>
          <w:lang w:val="en-CA"/>
        </w:rPr>
      </w:pPr>
    </w:p>
    <w:p w14:paraId="278C0870" w14:textId="77777777" w:rsidR="00D8365A" w:rsidRPr="00362517" w:rsidRDefault="00D8365A" w:rsidP="00BF6BC7">
      <w:r w:rsidRPr="00362517">
        <w:t xml:space="preserve">Consistent with previous analyses on the farm sector </w:t>
      </w:r>
      <w:r w:rsidRPr="00362517">
        <w:rPr>
          <w:lang w:val="en-CA"/>
        </w:rPr>
        <w:t xml:space="preserve">(Atwood et al., 2015; Wyatt, 2008, EPA, 2015c), we </w:t>
      </w:r>
      <w:r w:rsidRPr="00362517">
        <w:t>set the following thresholds at which the number of impacted entities is not considered “substantial” for impacts greater than one percent of annual sales:</w:t>
      </w:r>
    </w:p>
    <w:p w14:paraId="422C685C" w14:textId="77777777" w:rsidR="00D8365A" w:rsidRPr="00362517" w:rsidRDefault="00D8365A" w:rsidP="00BF6BC7">
      <w:pPr>
        <w:numPr>
          <w:ilvl w:val="0"/>
          <w:numId w:val="26"/>
        </w:numPr>
      </w:pPr>
      <w:r w:rsidRPr="00362517">
        <w:t>Fewer than 100 small entities may be affected, provided the number represents less than 30 percent of all small entities;</w:t>
      </w:r>
    </w:p>
    <w:p w14:paraId="3CAC69B0" w14:textId="77777777" w:rsidR="00D8365A" w:rsidRPr="00362517" w:rsidRDefault="00D8365A" w:rsidP="00BF6BC7">
      <w:pPr>
        <w:numPr>
          <w:ilvl w:val="0"/>
          <w:numId w:val="26"/>
        </w:numPr>
      </w:pPr>
      <w:r w:rsidRPr="00362517">
        <w:t>Between 100 and 1,000 small entities may be affected, provided the number represents less than 20 percent of all small entities; or</w:t>
      </w:r>
    </w:p>
    <w:p w14:paraId="3D5F5DBA" w14:textId="77777777" w:rsidR="00D8365A" w:rsidRPr="00362517" w:rsidRDefault="00D8365A" w:rsidP="00BF6BC7">
      <w:pPr>
        <w:numPr>
          <w:ilvl w:val="0"/>
          <w:numId w:val="26"/>
        </w:numPr>
      </w:pPr>
      <w:r w:rsidRPr="00362517">
        <w:t>More than 1000 small entities may be affected, but the number represents less than ten percent of all small entities.</w:t>
      </w:r>
    </w:p>
    <w:p w14:paraId="0E9B8BC7" w14:textId="77777777" w:rsidR="00D8365A" w:rsidRPr="00362517" w:rsidRDefault="00D8365A" w:rsidP="00BF6BC7"/>
    <w:p w14:paraId="004E17A8" w14:textId="77777777" w:rsidR="00D8365A" w:rsidRPr="00362517" w:rsidRDefault="00D8365A" w:rsidP="00BF6BC7">
      <w:r w:rsidRPr="00362517">
        <w:t>If the estimated impacts exceed three percent, or if impacts cannot be quantified, the thresholds at which EPA concludes a substantial number of small entities would not be affected are as follows:</w:t>
      </w:r>
    </w:p>
    <w:p w14:paraId="4EEE2AA6" w14:textId="77777777" w:rsidR="00D8365A" w:rsidRPr="00362517" w:rsidRDefault="00D8365A" w:rsidP="00BF6BC7">
      <w:pPr>
        <w:numPr>
          <w:ilvl w:val="0"/>
          <w:numId w:val="27"/>
        </w:numPr>
      </w:pPr>
      <w:r w:rsidRPr="00362517">
        <w:t>Fewer than 100 small entities may be affected, provided the number represents less than 20 percent of all small entities;</w:t>
      </w:r>
    </w:p>
    <w:p w14:paraId="21E6F900" w14:textId="77777777" w:rsidR="00D8365A" w:rsidRPr="00362517" w:rsidRDefault="00D8365A" w:rsidP="00BF6BC7">
      <w:pPr>
        <w:numPr>
          <w:ilvl w:val="0"/>
          <w:numId w:val="27"/>
        </w:numPr>
      </w:pPr>
      <w:r w:rsidRPr="00362517">
        <w:t>Between 100 and 1,000 may be affected, but account for less than ten percent of all small entities; or</w:t>
      </w:r>
    </w:p>
    <w:p w14:paraId="34EB3CEF" w14:textId="77777777" w:rsidR="00D8365A" w:rsidRPr="00362517" w:rsidRDefault="00D8365A" w:rsidP="00BF6BC7">
      <w:pPr>
        <w:numPr>
          <w:ilvl w:val="0"/>
          <w:numId w:val="27"/>
        </w:numPr>
      </w:pPr>
      <w:r w:rsidRPr="00362517">
        <w:t>More than 1000 small entities may be affected, but the number represents less than five percent of all small entities.</w:t>
      </w:r>
    </w:p>
    <w:p w14:paraId="3F8D5EB0" w14:textId="77777777" w:rsidR="00D8365A" w:rsidRPr="00362517" w:rsidRDefault="00D8365A" w:rsidP="00BF6BC7">
      <w:pPr>
        <w:rPr>
          <w:lang w:val="en-CA"/>
        </w:rPr>
      </w:pPr>
    </w:p>
    <w:p w14:paraId="2D7652D1" w14:textId="77777777" w:rsidR="00D8365A" w:rsidRPr="00362517" w:rsidRDefault="00D8365A" w:rsidP="00BF6BC7">
      <w:pPr>
        <w:rPr>
          <w:lang w:val="en-CA"/>
        </w:rPr>
      </w:pPr>
      <w:r w:rsidRPr="00362517">
        <w:rPr>
          <w:lang w:val="en-CA"/>
        </w:rPr>
        <w:t>For firms employing commercial applicators, we utilize lower thresholds for the number of impacted small entities considered substantial because there are fewer firms than there are farms.  For impacts greater than one percent of gross revenues, the number of impacted entities is not considered substantial if:</w:t>
      </w:r>
    </w:p>
    <w:p w14:paraId="2F53DD57" w14:textId="77777777" w:rsidR="00D8365A" w:rsidRPr="00362517" w:rsidRDefault="00D8365A" w:rsidP="00BF6BC7">
      <w:pPr>
        <w:numPr>
          <w:ilvl w:val="0"/>
          <w:numId w:val="26"/>
        </w:numPr>
      </w:pPr>
      <w:r w:rsidRPr="00362517">
        <w:t>Fewer than 20 small entities may be affected, provided the number represents less than 30 percent of all small entities;</w:t>
      </w:r>
    </w:p>
    <w:p w14:paraId="3F5F1C09" w14:textId="77777777" w:rsidR="00D8365A" w:rsidRPr="00362517" w:rsidRDefault="00D8365A" w:rsidP="00BF6BC7">
      <w:pPr>
        <w:numPr>
          <w:ilvl w:val="0"/>
          <w:numId w:val="26"/>
        </w:numPr>
      </w:pPr>
      <w:r w:rsidRPr="00362517">
        <w:t>Between 20 and 200 small entities may be affected, provided the number represents less than 20 percent of all small entities; or</w:t>
      </w:r>
    </w:p>
    <w:p w14:paraId="3EC35F69" w14:textId="77777777" w:rsidR="00D8365A" w:rsidRPr="00362517" w:rsidRDefault="00D8365A" w:rsidP="00BF6BC7">
      <w:pPr>
        <w:numPr>
          <w:ilvl w:val="0"/>
          <w:numId w:val="26"/>
        </w:numPr>
      </w:pPr>
      <w:r w:rsidRPr="00362517">
        <w:t>Between 200 and 1000 small entities may be affected, provided the number represents less than ten percent of all small entities.</w:t>
      </w:r>
    </w:p>
    <w:p w14:paraId="68300653" w14:textId="77777777" w:rsidR="00D8365A" w:rsidRPr="00362517" w:rsidRDefault="00D8365A" w:rsidP="00BF6BC7">
      <w:pPr>
        <w:rPr>
          <w:lang w:val="en-CA"/>
        </w:rPr>
      </w:pPr>
    </w:p>
    <w:p w14:paraId="156F8D6C" w14:textId="77777777" w:rsidR="00D8365A" w:rsidRPr="00362517" w:rsidRDefault="00D8365A" w:rsidP="00BF6BC7">
      <w:pPr>
        <w:rPr>
          <w:lang w:val="en-CA"/>
        </w:rPr>
      </w:pPr>
      <w:r w:rsidRPr="00362517">
        <w:rPr>
          <w:lang w:val="en-CA"/>
        </w:rPr>
        <w:t xml:space="preserve">To determine the magnitude of any potential adverse impact, the annualized incremental costs on a per-company basis is compared to the annual revenue for small businesses to develop cost-to-sales ratios. </w:t>
      </w:r>
    </w:p>
    <w:p w14:paraId="739137F5" w14:textId="77777777" w:rsidR="00D8365A" w:rsidRPr="00362517" w:rsidRDefault="00D8365A" w:rsidP="00BF6BC7"/>
    <w:p w14:paraId="251C9609" w14:textId="77777777" w:rsidR="00D8365A" w:rsidRPr="00362517" w:rsidRDefault="00D8365A" w:rsidP="00BF6BC7">
      <w:r w:rsidRPr="00362517">
        <w:t>In the next section, we explain the methodology for estimating the average cost per entity of the final rule.  Section 3.7.2 estimates the per-entity cost for small businesses (farm) employing or operated by private applicators.  We also present a profile of the affected industry, including estimates of per-entity revenues and calculate the impacts.  In Section 3.7.3, we present the same information for small business employing commercial applicators.</w:t>
      </w:r>
    </w:p>
    <w:p w14:paraId="54B49DA0" w14:textId="77777777" w:rsidR="00D8365A" w:rsidRPr="00362517" w:rsidRDefault="00D8365A" w:rsidP="00BF6BC7"/>
    <w:p w14:paraId="300FF278" w14:textId="77777777" w:rsidR="00D8365A" w:rsidRPr="00362517" w:rsidRDefault="00D8365A" w:rsidP="00BF6BC7">
      <w:r w:rsidRPr="00362517">
        <w:t>Based on this analysis, EPA certifies that there will not be a significant impact to a substantial number of small businesses.  Agricultural establishments may be owned or operated by private applicators or may employ private applicators.  Average impacts to small crop producing enterprises, those making less than $750,000 in annual sales of agricultural products, are estimated to be less than 0.1 percent of annual sales.  Even in the most heavily impacted regions, the estimated impacts on most small agricultural operations are less than one percent of average annual sales.  Small entities with commercial applicators, including agricultural pesticide services, extermination services, and landscaping services, are estimated to face impacts of 0.3 percent or less of annual revenue.</w:t>
      </w:r>
    </w:p>
    <w:p w14:paraId="6ED5BC49" w14:textId="77777777" w:rsidR="00D8365A" w:rsidRPr="00362517" w:rsidRDefault="00D8365A" w:rsidP="00BF6BC7"/>
    <w:p w14:paraId="18A51C6E" w14:textId="77777777" w:rsidR="00D8365A" w:rsidRPr="00362517" w:rsidRDefault="00D8365A" w:rsidP="00BF6BC7"/>
    <w:p w14:paraId="11406E9F" w14:textId="77777777" w:rsidR="00D8365A" w:rsidRPr="00362517" w:rsidRDefault="00D8365A" w:rsidP="00BF6BC7">
      <w:pPr>
        <w:pStyle w:val="Heading3"/>
      </w:pPr>
      <w:bookmarkStart w:id="268" w:name="_Toc310953816"/>
      <w:bookmarkStart w:id="269" w:name="_Toc395177730"/>
      <w:bookmarkStart w:id="270" w:name="_Toc395788133"/>
      <w:bookmarkStart w:id="271" w:name="_Toc396808982"/>
      <w:bookmarkStart w:id="272" w:name="_Toc441650061"/>
      <w:bookmarkStart w:id="273" w:name="_Toc452020157"/>
      <w:bookmarkStart w:id="274" w:name="_Toc456270181"/>
      <w:bookmarkStart w:id="275" w:name="_Toc468872097"/>
      <w:r w:rsidRPr="00362517">
        <w:t>3.7.1</w:t>
      </w:r>
      <w:r w:rsidRPr="00362517">
        <w:tab/>
        <w:t>Methodology</w:t>
      </w:r>
      <w:bookmarkEnd w:id="268"/>
      <w:bookmarkEnd w:id="269"/>
      <w:bookmarkEnd w:id="270"/>
      <w:bookmarkEnd w:id="271"/>
      <w:bookmarkEnd w:id="272"/>
      <w:bookmarkEnd w:id="273"/>
      <w:bookmarkEnd w:id="274"/>
      <w:bookmarkEnd w:id="275"/>
    </w:p>
    <w:p w14:paraId="6FE08840" w14:textId="77777777" w:rsidR="00D8365A" w:rsidRPr="00362517" w:rsidRDefault="00D8365A" w:rsidP="00BF6BC7"/>
    <w:p w14:paraId="13D7EBD3" w14:textId="77777777" w:rsidR="00D8365A" w:rsidRPr="00362517" w:rsidRDefault="00D8365A" w:rsidP="00BF6BC7">
      <w:pPr>
        <w:keepNext/>
      </w:pPr>
      <w:r w:rsidRPr="00362517">
        <w:t>The basis for this analysis is the results from Section 3.6, cost per applicator.  The methodology requires the determination of the number of applicators (certified and noncertified applicators under the direct supervision of a certified applicator) for representative entities, and the impacts are measured in terms of the incremental cost to small entities relative to their sales revenues.</w:t>
      </w:r>
    </w:p>
    <w:p w14:paraId="5D7EB8C5" w14:textId="77777777" w:rsidR="00D8365A" w:rsidRPr="00362517" w:rsidRDefault="00D8365A" w:rsidP="00BF6BC7"/>
    <w:p w14:paraId="61834378" w14:textId="77777777" w:rsidR="00D8365A" w:rsidRPr="00362517" w:rsidRDefault="00D8365A" w:rsidP="00BF6BC7">
      <w:pPr>
        <w:pStyle w:val="Heading3"/>
      </w:pPr>
      <w:bookmarkStart w:id="276" w:name="_Toc310953817"/>
      <w:bookmarkStart w:id="277" w:name="_Toc395177731"/>
      <w:bookmarkStart w:id="278" w:name="_Toc395788134"/>
      <w:bookmarkStart w:id="279" w:name="_Toc396808983"/>
      <w:bookmarkStart w:id="280" w:name="_Toc441650062"/>
      <w:bookmarkStart w:id="281" w:name="_Toc452020158"/>
      <w:bookmarkStart w:id="282" w:name="_Toc456270182"/>
      <w:bookmarkStart w:id="283" w:name="_Toc468872098"/>
      <w:r w:rsidRPr="00362517">
        <w:t>3.7.2</w:t>
      </w:r>
      <w:r w:rsidRPr="00362517">
        <w:tab/>
        <w:t>Private Applicator Establishments</w:t>
      </w:r>
      <w:bookmarkEnd w:id="276"/>
      <w:bookmarkEnd w:id="277"/>
      <w:bookmarkEnd w:id="278"/>
      <w:bookmarkEnd w:id="279"/>
      <w:bookmarkEnd w:id="280"/>
      <w:bookmarkEnd w:id="281"/>
      <w:bookmarkEnd w:id="282"/>
      <w:bookmarkEnd w:id="283"/>
    </w:p>
    <w:p w14:paraId="03C02DA3" w14:textId="77777777" w:rsidR="00D8365A" w:rsidRPr="00362517" w:rsidRDefault="00D8365A" w:rsidP="00BF6BC7"/>
    <w:p w14:paraId="7EA36DEC" w14:textId="77777777" w:rsidR="00D8365A" w:rsidRPr="00362517" w:rsidRDefault="00D8365A" w:rsidP="00BF6BC7">
      <w:r w:rsidRPr="00362517">
        <w:t>Private applicators are largely employed by or operate establishments in agricultural production.  EPA has identified a number of specific types of establishments.  The SBA specifies a revenue threshold to distinguish small entities, as shown in Table 3.7-1.</w:t>
      </w:r>
    </w:p>
    <w:p w14:paraId="5EBD0146" w14:textId="77777777" w:rsidR="00D8365A" w:rsidRPr="00362517" w:rsidRDefault="00D8365A" w:rsidP="00BF6BC7"/>
    <w:p w14:paraId="13E6D517" w14:textId="77777777" w:rsidR="00D8365A" w:rsidRPr="00362517" w:rsidRDefault="00D8365A" w:rsidP="00BF6BC7">
      <w:pPr>
        <w:rPr>
          <w:b/>
        </w:rPr>
      </w:pPr>
      <w:r w:rsidRPr="00362517">
        <w:rPr>
          <w:b/>
        </w:rPr>
        <w:t>Table 3.7-1.  Private Applicator Establishment NAICS Codes with Small Business Thresholds (Annual Revenue)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1840"/>
        <w:gridCol w:w="2539"/>
      </w:tblGrid>
      <w:tr w:rsidR="00D8365A" w:rsidRPr="00362517" w14:paraId="2C85B9A7" w14:textId="77777777" w:rsidTr="007A2164">
        <w:trPr>
          <w:cantSplit/>
          <w:trHeight w:val="304"/>
        </w:trPr>
        <w:tc>
          <w:tcPr>
            <w:tcW w:w="4981" w:type="dxa"/>
            <w:tcBorders>
              <w:top w:val="single" w:sz="4" w:space="0" w:color="auto"/>
              <w:left w:val="single" w:sz="4" w:space="0" w:color="auto"/>
              <w:bottom w:val="double" w:sz="4" w:space="0" w:color="auto"/>
              <w:right w:val="single" w:sz="4" w:space="0" w:color="auto"/>
            </w:tcBorders>
            <w:noWrap/>
            <w:vAlign w:val="center"/>
            <w:hideMark/>
          </w:tcPr>
          <w:p w14:paraId="19899419" w14:textId="77777777" w:rsidR="00D8365A" w:rsidRPr="00362517" w:rsidRDefault="00D8365A" w:rsidP="00BF6BC7">
            <w:pPr>
              <w:rPr>
                <w:b/>
              </w:rPr>
            </w:pPr>
            <w:r w:rsidRPr="00362517">
              <w:rPr>
                <w:b/>
              </w:rPr>
              <w:t>Farming Sector</w:t>
            </w:r>
            <w:r w:rsidRPr="00362517">
              <w:rPr>
                <w:b/>
                <w:vertAlign w:val="superscript"/>
              </w:rPr>
              <w:t>1</w:t>
            </w:r>
          </w:p>
        </w:tc>
        <w:tc>
          <w:tcPr>
            <w:tcW w:w="1840" w:type="dxa"/>
            <w:tcBorders>
              <w:top w:val="single" w:sz="4" w:space="0" w:color="auto"/>
              <w:left w:val="single" w:sz="4" w:space="0" w:color="auto"/>
              <w:bottom w:val="double" w:sz="4" w:space="0" w:color="auto"/>
              <w:right w:val="single" w:sz="4" w:space="0" w:color="auto"/>
            </w:tcBorders>
            <w:vAlign w:val="center"/>
            <w:hideMark/>
          </w:tcPr>
          <w:p w14:paraId="4E033429" w14:textId="77777777" w:rsidR="00D8365A" w:rsidRPr="00362517" w:rsidRDefault="00D8365A" w:rsidP="00BF6BC7">
            <w:pPr>
              <w:jc w:val="center"/>
              <w:rPr>
                <w:b/>
              </w:rPr>
            </w:pPr>
            <w:r w:rsidRPr="00362517">
              <w:rPr>
                <w:b/>
              </w:rPr>
              <w:t>NAICS Code</w:t>
            </w:r>
          </w:p>
        </w:tc>
        <w:tc>
          <w:tcPr>
            <w:tcW w:w="2539" w:type="dxa"/>
            <w:tcBorders>
              <w:top w:val="single" w:sz="4" w:space="0" w:color="auto"/>
              <w:left w:val="single" w:sz="4" w:space="0" w:color="auto"/>
              <w:bottom w:val="double" w:sz="4" w:space="0" w:color="auto"/>
              <w:right w:val="single" w:sz="4" w:space="0" w:color="auto"/>
            </w:tcBorders>
            <w:noWrap/>
            <w:vAlign w:val="center"/>
            <w:hideMark/>
          </w:tcPr>
          <w:p w14:paraId="6BF4E1C2" w14:textId="77777777" w:rsidR="00D8365A" w:rsidRPr="00362517" w:rsidRDefault="00D8365A" w:rsidP="00BF6BC7">
            <w:pPr>
              <w:jc w:val="center"/>
              <w:rPr>
                <w:b/>
                <w:bCs/>
              </w:rPr>
            </w:pPr>
            <w:r w:rsidRPr="00362517">
              <w:rPr>
                <w:b/>
                <w:bCs/>
              </w:rPr>
              <w:t>Large Business Threshold</w:t>
            </w:r>
          </w:p>
        </w:tc>
      </w:tr>
      <w:tr w:rsidR="00D8365A" w:rsidRPr="00362517" w14:paraId="5376D778" w14:textId="77777777" w:rsidTr="007A2164">
        <w:trPr>
          <w:cantSplit/>
          <w:trHeight w:val="315"/>
        </w:trPr>
        <w:tc>
          <w:tcPr>
            <w:tcW w:w="4981" w:type="dxa"/>
            <w:tcBorders>
              <w:top w:val="double" w:sz="4" w:space="0" w:color="auto"/>
              <w:left w:val="single" w:sz="4" w:space="0" w:color="auto"/>
              <w:bottom w:val="single" w:sz="4" w:space="0" w:color="auto"/>
              <w:right w:val="single" w:sz="4" w:space="0" w:color="auto"/>
            </w:tcBorders>
            <w:noWrap/>
            <w:vAlign w:val="center"/>
            <w:hideMark/>
          </w:tcPr>
          <w:p w14:paraId="212FFDFB" w14:textId="77777777" w:rsidR="00D8365A" w:rsidRPr="00362517" w:rsidRDefault="00D8365A" w:rsidP="00BF6BC7">
            <w:pPr>
              <w:rPr>
                <w:bCs/>
              </w:rPr>
            </w:pPr>
            <w:r w:rsidRPr="00362517">
              <w:rPr>
                <w:bCs/>
              </w:rPr>
              <w:t>Crop Farming</w:t>
            </w:r>
          </w:p>
        </w:tc>
        <w:tc>
          <w:tcPr>
            <w:tcW w:w="1840" w:type="dxa"/>
            <w:tcBorders>
              <w:top w:val="double" w:sz="4" w:space="0" w:color="auto"/>
              <w:left w:val="single" w:sz="4" w:space="0" w:color="auto"/>
              <w:bottom w:val="single" w:sz="4" w:space="0" w:color="auto"/>
              <w:right w:val="single" w:sz="4" w:space="0" w:color="auto"/>
            </w:tcBorders>
            <w:vAlign w:val="center"/>
            <w:hideMark/>
          </w:tcPr>
          <w:p w14:paraId="492F5682" w14:textId="77777777" w:rsidR="00D8365A" w:rsidRPr="00362517" w:rsidRDefault="00D8365A" w:rsidP="00BF6BC7">
            <w:pPr>
              <w:jc w:val="center"/>
              <w:rPr>
                <w:bCs/>
              </w:rPr>
            </w:pPr>
            <w:r w:rsidRPr="00362517">
              <w:rPr>
                <w:bCs/>
              </w:rPr>
              <w:t>111</w:t>
            </w:r>
          </w:p>
        </w:tc>
        <w:tc>
          <w:tcPr>
            <w:tcW w:w="2539" w:type="dxa"/>
            <w:tcBorders>
              <w:top w:val="double" w:sz="4" w:space="0" w:color="auto"/>
              <w:left w:val="single" w:sz="4" w:space="0" w:color="auto"/>
              <w:bottom w:val="single" w:sz="4" w:space="0" w:color="auto"/>
              <w:right w:val="single" w:sz="4" w:space="0" w:color="auto"/>
            </w:tcBorders>
            <w:noWrap/>
            <w:vAlign w:val="center"/>
            <w:hideMark/>
          </w:tcPr>
          <w:p w14:paraId="38168847" w14:textId="77777777" w:rsidR="00D8365A" w:rsidRPr="00362517" w:rsidRDefault="00D8365A" w:rsidP="00BF6BC7">
            <w:pPr>
              <w:jc w:val="center"/>
            </w:pPr>
            <w:r w:rsidRPr="00362517">
              <w:t>$750,000</w:t>
            </w:r>
          </w:p>
        </w:tc>
      </w:tr>
      <w:tr w:rsidR="00D8365A" w:rsidRPr="00362517" w14:paraId="6B4AF537" w14:textId="77777777" w:rsidTr="007A2164">
        <w:trPr>
          <w:cantSplit/>
          <w:trHeight w:val="315"/>
        </w:trPr>
        <w:tc>
          <w:tcPr>
            <w:tcW w:w="4981" w:type="dxa"/>
            <w:tcBorders>
              <w:top w:val="single" w:sz="4" w:space="0" w:color="auto"/>
              <w:left w:val="single" w:sz="4" w:space="0" w:color="auto"/>
              <w:bottom w:val="single" w:sz="4" w:space="0" w:color="auto"/>
              <w:right w:val="single" w:sz="4" w:space="0" w:color="auto"/>
            </w:tcBorders>
            <w:noWrap/>
            <w:vAlign w:val="center"/>
            <w:hideMark/>
          </w:tcPr>
          <w:p w14:paraId="113501F8" w14:textId="77777777" w:rsidR="00D8365A" w:rsidRPr="00362517" w:rsidRDefault="00D8365A" w:rsidP="00BF6BC7">
            <w:pPr>
              <w:rPr>
                <w:bCs/>
              </w:rPr>
            </w:pPr>
            <w:r w:rsidRPr="00362517">
              <w:rPr>
                <w:bCs/>
              </w:rPr>
              <w:t>Animal Farming</w:t>
            </w:r>
          </w:p>
        </w:tc>
        <w:tc>
          <w:tcPr>
            <w:tcW w:w="1840" w:type="dxa"/>
            <w:tcBorders>
              <w:top w:val="single" w:sz="4" w:space="0" w:color="auto"/>
              <w:left w:val="single" w:sz="4" w:space="0" w:color="auto"/>
              <w:bottom w:val="single" w:sz="4" w:space="0" w:color="auto"/>
              <w:right w:val="single" w:sz="4" w:space="0" w:color="auto"/>
            </w:tcBorders>
            <w:vAlign w:val="center"/>
            <w:hideMark/>
          </w:tcPr>
          <w:p w14:paraId="399945BC" w14:textId="77777777" w:rsidR="00D8365A" w:rsidRPr="00362517" w:rsidRDefault="00D8365A" w:rsidP="00BF6BC7">
            <w:pPr>
              <w:jc w:val="center"/>
              <w:rPr>
                <w:bCs/>
              </w:rPr>
            </w:pPr>
            <w:r w:rsidRPr="00362517">
              <w:rPr>
                <w:bCs/>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48151171" w14:textId="77777777" w:rsidR="00D8365A" w:rsidRPr="00362517" w:rsidRDefault="00D8365A" w:rsidP="00BF6BC7">
            <w:pPr>
              <w:jc w:val="center"/>
            </w:pPr>
            <w:r w:rsidRPr="00362517">
              <w:t>$750,000</w:t>
            </w:r>
          </w:p>
        </w:tc>
      </w:tr>
      <w:tr w:rsidR="00D8365A" w:rsidRPr="00362517" w14:paraId="2294A169" w14:textId="77777777" w:rsidTr="007A2164">
        <w:trPr>
          <w:cantSplit/>
          <w:trHeight w:val="315"/>
        </w:trPr>
        <w:tc>
          <w:tcPr>
            <w:tcW w:w="4981" w:type="dxa"/>
            <w:tcBorders>
              <w:top w:val="single" w:sz="4" w:space="0" w:color="auto"/>
              <w:left w:val="single" w:sz="4" w:space="0" w:color="auto"/>
              <w:bottom w:val="single" w:sz="4" w:space="0" w:color="auto"/>
              <w:right w:val="single" w:sz="4" w:space="0" w:color="auto"/>
            </w:tcBorders>
            <w:noWrap/>
            <w:vAlign w:val="center"/>
            <w:hideMark/>
          </w:tcPr>
          <w:p w14:paraId="35AE1EAA" w14:textId="77777777" w:rsidR="00D8365A" w:rsidRPr="00362517" w:rsidRDefault="00D8365A" w:rsidP="00BF6BC7">
            <w:r w:rsidRPr="00362517">
              <w:t>Feedlots</w:t>
            </w:r>
          </w:p>
        </w:tc>
        <w:tc>
          <w:tcPr>
            <w:tcW w:w="1840" w:type="dxa"/>
            <w:tcBorders>
              <w:top w:val="single" w:sz="4" w:space="0" w:color="auto"/>
              <w:left w:val="single" w:sz="4" w:space="0" w:color="auto"/>
              <w:bottom w:val="single" w:sz="4" w:space="0" w:color="auto"/>
              <w:right w:val="single" w:sz="4" w:space="0" w:color="auto"/>
            </w:tcBorders>
            <w:vAlign w:val="center"/>
            <w:hideMark/>
          </w:tcPr>
          <w:p w14:paraId="73DB37F2" w14:textId="77777777" w:rsidR="00D8365A" w:rsidRPr="00362517" w:rsidRDefault="00D8365A" w:rsidP="00BF6BC7">
            <w:pPr>
              <w:jc w:val="center"/>
            </w:pPr>
            <w:r w:rsidRPr="00362517">
              <w:t>112112</w:t>
            </w:r>
          </w:p>
        </w:tc>
        <w:tc>
          <w:tcPr>
            <w:tcW w:w="2539" w:type="dxa"/>
            <w:tcBorders>
              <w:top w:val="single" w:sz="4" w:space="0" w:color="auto"/>
              <w:left w:val="single" w:sz="4" w:space="0" w:color="auto"/>
              <w:bottom w:val="single" w:sz="4" w:space="0" w:color="auto"/>
              <w:right w:val="single" w:sz="4" w:space="0" w:color="auto"/>
            </w:tcBorders>
            <w:noWrap/>
            <w:vAlign w:val="center"/>
            <w:hideMark/>
          </w:tcPr>
          <w:p w14:paraId="3BFE371A" w14:textId="77777777" w:rsidR="00D8365A" w:rsidRPr="00362517" w:rsidRDefault="00D8365A" w:rsidP="00BF6BC7">
            <w:pPr>
              <w:jc w:val="center"/>
            </w:pPr>
            <w:r w:rsidRPr="00362517">
              <w:t>$7,500,000</w:t>
            </w:r>
          </w:p>
        </w:tc>
      </w:tr>
    </w:tbl>
    <w:p w14:paraId="3B00FF21" w14:textId="77777777" w:rsidR="00D8365A" w:rsidRPr="00362517" w:rsidRDefault="00D8365A" w:rsidP="00BF6BC7">
      <w:pPr>
        <w:rPr>
          <w:sz w:val="22"/>
          <w:szCs w:val="22"/>
        </w:rPr>
      </w:pPr>
      <w:r w:rsidRPr="00362517">
        <w:rPr>
          <w:sz w:val="22"/>
          <w:szCs w:val="22"/>
        </w:rPr>
        <w:t>Source:</w:t>
      </w:r>
      <w:r w:rsidRPr="00362517">
        <w:rPr>
          <w:sz w:val="22"/>
          <w:szCs w:val="22"/>
        </w:rPr>
        <w:tab/>
        <w:t>SBA, 2014</w:t>
      </w:r>
    </w:p>
    <w:p w14:paraId="3048617E" w14:textId="77777777" w:rsidR="00D8365A" w:rsidRPr="00362517" w:rsidRDefault="00D8365A" w:rsidP="00BF6BC7">
      <w:pPr>
        <w:rPr>
          <w:sz w:val="22"/>
          <w:szCs w:val="22"/>
        </w:rPr>
      </w:pPr>
      <w:r w:rsidRPr="00362517">
        <w:rPr>
          <w:sz w:val="22"/>
          <w:szCs w:val="22"/>
          <w:vertAlign w:val="superscript"/>
        </w:rPr>
        <w:t>1</w:t>
      </w:r>
      <w:r w:rsidRPr="00362517">
        <w:rPr>
          <w:sz w:val="22"/>
          <w:szCs w:val="22"/>
        </w:rPr>
        <w:t>See the first line of Table 3.7-3 for the magnitudes of impacts for these farm types.</w:t>
      </w:r>
    </w:p>
    <w:p w14:paraId="63D0E3B5" w14:textId="77777777" w:rsidR="00D8365A" w:rsidRPr="00362517" w:rsidRDefault="00D8365A" w:rsidP="00BF6BC7"/>
    <w:p w14:paraId="5FBC74CA" w14:textId="77777777" w:rsidR="00D8365A" w:rsidRPr="00362517" w:rsidRDefault="00D8365A" w:rsidP="00BF6BC7">
      <w:r w:rsidRPr="00362517">
        <w:t>While farms may be allocated to different NAICS based on their primary source of revenue, most are mixed crop and livestock operations.  For example, over 40 percent of livestock operations also produce crops (NASS, 2014c).  Thus, the impacts of changes to certification requirements are unlikely to differ substantially across the two sectors.  Certification needs could differ, however, across specialties within farming, given different pest problems and agricultural practices.  Producers of field crops such as soybean and grain farmers, for example, may require aerial certification and/or a certification for commodity (non-soil) fumigation.  Nut, fruit, and vegetable farms may need soil fumigation certification.  Livestock operations are less likely to need application-specific certifications, but might produce field crops.  While many farms produce multiple types of crops, generally speaking, a small farm would be unlikely to need more than one application-specific certification.  Moreover, the rule imposes similar training or exam requirements for each category certification.  Impacts on individuals and individual entities are more likely to be a function of the state or region, given the variability in current certification requirements, than to vary by farm type.</w:t>
      </w:r>
    </w:p>
    <w:p w14:paraId="5BD941A6" w14:textId="77777777" w:rsidR="00D8365A" w:rsidRPr="00362517" w:rsidRDefault="00D8365A" w:rsidP="00BF6BC7">
      <w:pPr>
        <w:rPr>
          <w:bCs/>
        </w:rPr>
      </w:pPr>
    </w:p>
    <w:p w14:paraId="38B85618" w14:textId="77777777" w:rsidR="00D8365A" w:rsidRPr="00362517" w:rsidRDefault="00D8365A" w:rsidP="00BF6BC7">
      <w:pPr>
        <w:pStyle w:val="Heading4"/>
      </w:pPr>
      <w:r w:rsidRPr="00362517">
        <w:t>Profile of Private Applicator Establishments</w:t>
      </w:r>
    </w:p>
    <w:p w14:paraId="12CBB9ED" w14:textId="77777777" w:rsidR="00D8365A" w:rsidRPr="00362517" w:rsidRDefault="00D8365A" w:rsidP="00BF6BC7">
      <w:pPr>
        <w:rPr>
          <w:bCs/>
        </w:rPr>
      </w:pPr>
      <w:r w:rsidRPr="00362517">
        <w:rPr>
          <w:bCs/>
        </w:rPr>
        <w:t>The National Agricultural Statistics Service (NASS) of the Department of Agriculture conducts a census of agriculture every five years.  A farm is defined as “any place from which $1,000 or more of agricultural product were produced or sold, or normally would have been sold, during the year of the census (NASS, 2014c).”  According to the 2012 Census of Agriculture (NASS, 2014c), there are over 2.1 million farms in the United States, roughly half of which are classified as livestock operations (NAICS 112), including about 430,000 farms with less than $1,000 in total sales of agricultural products.  Excluding the latter farms, which do not strictly meet the definition of ‘farm’ and, moreover, are extremely unlikely to utilize RUPs, there are between 1.5 and 1.6 million farms classified as “small” by the SBA criterion.  The publicly available Census data reports that about 76,000 farms have annual revenue between $500,000 and $999,999, whereas the SBA criterion for a small farm is sales less than $750,000.  We therefore have a range for farms and average revenue.  Revenue includes sales of agricultural products and government payments, but does not include farm-related income, such as crop and livestock insurance payments, rental income, and income from agricultural services.</w:t>
      </w:r>
    </w:p>
    <w:p w14:paraId="2CA87F75" w14:textId="77777777" w:rsidR="00D8365A" w:rsidRPr="00362517" w:rsidRDefault="00D8365A" w:rsidP="00BF6BC7">
      <w:pPr>
        <w:rPr>
          <w:bCs/>
        </w:rPr>
      </w:pPr>
    </w:p>
    <w:p w14:paraId="572E747C" w14:textId="77777777" w:rsidR="00D8365A" w:rsidRPr="00362517" w:rsidRDefault="00D8365A" w:rsidP="00BF6BC7">
      <w:pPr>
        <w:rPr>
          <w:bCs/>
        </w:rPr>
      </w:pPr>
      <w:r w:rsidRPr="00362517">
        <w:rPr>
          <w:bCs/>
        </w:rPr>
        <w:t>To better understand the impacts and the distribution of impacts on small farms, EPA identifies three categories of small farms.  We define ‘small-small’ farms as those with annual sales between $1,000 and $10,000, medium-small farms as those with annual sales between $10,000 and $100,000, and large-small farms as those with annual sales between $100,000 and $750,000.  Table 3.7-2 provides the distribution of small crop and animal farms across these various categories.  The table also provides similar data from the 2007 Census of Agriculture (NASS, 2008b), for which a special tabulation distinguished farms with annual revenue of $750,000 or less.  The number of small farms and average revenues for each category are consistent over time.</w:t>
      </w:r>
    </w:p>
    <w:p w14:paraId="2C378FBE" w14:textId="77777777" w:rsidR="00D8365A" w:rsidRPr="00362517" w:rsidRDefault="00D8365A" w:rsidP="00BF6BC7">
      <w:pPr>
        <w:rPr>
          <w:bCs/>
        </w:rPr>
      </w:pPr>
    </w:p>
    <w:p w14:paraId="6A922591" w14:textId="77777777" w:rsidR="00D8365A" w:rsidRPr="00362517" w:rsidRDefault="00D8365A" w:rsidP="00BF6BC7">
      <w:pPr>
        <w:rPr>
          <w:b/>
          <w:bCs/>
        </w:rPr>
      </w:pPr>
      <w:r w:rsidRPr="00362517">
        <w:rPr>
          <w:b/>
          <w:bCs/>
        </w:rPr>
        <w:t>Table 3.7-2.  Number and Average Revenue of Small Farms.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413"/>
        <w:gridCol w:w="1581"/>
        <w:gridCol w:w="1685"/>
        <w:gridCol w:w="1493"/>
      </w:tblGrid>
      <w:tr w:rsidR="00D8365A" w:rsidRPr="00362517" w14:paraId="4D3768AF" w14:textId="77777777" w:rsidTr="007A2164">
        <w:trPr>
          <w:cantSplit/>
          <w:trHeight w:val="576"/>
        </w:trPr>
        <w:tc>
          <w:tcPr>
            <w:tcW w:w="3188" w:type="dxa"/>
            <w:tcBorders>
              <w:top w:val="single" w:sz="4" w:space="0" w:color="auto"/>
              <w:left w:val="single" w:sz="4" w:space="0" w:color="auto"/>
              <w:bottom w:val="double" w:sz="4" w:space="0" w:color="auto"/>
              <w:right w:val="single" w:sz="4" w:space="0" w:color="auto"/>
            </w:tcBorders>
            <w:vAlign w:val="center"/>
            <w:hideMark/>
          </w:tcPr>
          <w:p w14:paraId="03B818B3" w14:textId="77777777" w:rsidR="00D8365A" w:rsidRPr="00362517" w:rsidRDefault="00D8365A" w:rsidP="00BF6BC7">
            <w:pPr>
              <w:rPr>
                <w:b/>
                <w:bCs/>
                <w:sz w:val="20"/>
                <w:szCs w:val="20"/>
              </w:rPr>
            </w:pPr>
          </w:p>
        </w:tc>
        <w:tc>
          <w:tcPr>
            <w:tcW w:w="1413" w:type="dxa"/>
            <w:tcBorders>
              <w:top w:val="single" w:sz="4" w:space="0" w:color="auto"/>
              <w:left w:val="single" w:sz="4" w:space="0" w:color="auto"/>
              <w:bottom w:val="double" w:sz="4" w:space="0" w:color="auto"/>
              <w:right w:val="single" w:sz="4" w:space="0" w:color="auto"/>
            </w:tcBorders>
            <w:vAlign w:val="center"/>
          </w:tcPr>
          <w:p w14:paraId="48984984" w14:textId="77777777" w:rsidR="00D8365A" w:rsidRPr="00362517" w:rsidRDefault="00D8365A" w:rsidP="00BF6BC7">
            <w:pPr>
              <w:jc w:val="center"/>
              <w:rPr>
                <w:b/>
                <w:bCs/>
              </w:rPr>
            </w:pPr>
            <w:r w:rsidRPr="00362517">
              <w:rPr>
                <w:b/>
                <w:bCs/>
              </w:rPr>
              <w:t>All Small Farms</w:t>
            </w:r>
            <w:r w:rsidRPr="00362517">
              <w:rPr>
                <w:rFonts w:ascii="Times New Roman Bold" w:hAnsi="Times New Roman Bold"/>
                <w:b/>
                <w:bCs/>
                <w:vertAlign w:val="superscript"/>
              </w:rPr>
              <w:t xml:space="preserve"> 1</w:t>
            </w:r>
          </w:p>
        </w:tc>
        <w:tc>
          <w:tcPr>
            <w:tcW w:w="1581" w:type="dxa"/>
            <w:tcBorders>
              <w:top w:val="single" w:sz="4" w:space="0" w:color="auto"/>
              <w:left w:val="single" w:sz="4" w:space="0" w:color="auto"/>
              <w:bottom w:val="double" w:sz="4" w:space="0" w:color="auto"/>
              <w:right w:val="single" w:sz="4" w:space="0" w:color="auto"/>
            </w:tcBorders>
            <w:noWrap/>
            <w:vAlign w:val="center"/>
            <w:hideMark/>
          </w:tcPr>
          <w:p w14:paraId="15493987" w14:textId="77777777" w:rsidR="00D8365A" w:rsidRPr="00362517" w:rsidRDefault="00D8365A" w:rsidP="00BF6BC7">
            <w:pPr>
              <w:jc w:val="center"/>
              <w:rPr>
                <w:b/>
                <w:bCs/>
              </w:rPr>
            </w:pPr>
            <w:r w:rsidRPr="00362517">
              <w:rPr>
                <w:b/>
                <w:bCs/>
              </w:rPr>
              <w:t>Small-Small</w:t>
            </w:r>
          </w:p>
          <w:p w14:paraId="3530AB16" w14:textId="77777777" w:rsidR="00D8365A" w:rsidRPr="00362517" w:rsidRDefault="00D8365A" w:rsidP="00BF6BC7">
            <w:pPr>
              <w:jc w:val="center"/>
              <w:rPr>
                <w:bCs/>
                <w:sz w:val="20"/>
                <w:szCs w:val="20"/>
              </w:rPr>
            </w:pPr>
            <w:r w:rsidRPr="00362517">
              <w:rPr>
                <w:bCs/>
                <w:sz w:val="20"/>
                <w:szCs w:val="20"/>
              </w:rPr>
              <w:t>($1,000 - $10,000/year)</w:t>
            </w:r>
          </w:p>
        </w:tc>
        <w:tc>
          <w:tcPr>
            <w:tcW w:w="1685" w:type="dxa"/>
            <w:tcBorders>
              <w:top w:val="single" w:sz="4" w:space="0" w:color="auto"/>
              <w:left w:val="single" w:sz="4" w:space="0" w:color="auto"/>
              <w:bottom w:val="double" w:sz="4" w:space="0" w:color="auto"/>
              <w:right w:val="single" w:sz="4" w:space="0" w:color="auto"/>
            </w:tcBorders>
            <w:noWrap/>
            <w:vAlign w:val="center"/>
            <w:hideMark/>
          </w:tcPr>
          <w:p w14:paraId="272049EE" w14:textId="77777777" w:rsidR="00D8365A" w:rsidRPr="00362517" w:rsidRDefault="00D8365A" w:rsidP="00BF6BC7">
            <w:pPr>
              <w:jc w:val="center"/>
              <w:rPr>
                <w:b/>
                <w:bCs/>
              </w:rPr>
            </w:pPr>
            <w:r w:rsidRPr="00362517">
              <w:rPr>
                <w:b/>
                <w:bCs/>
              </w:rPr>
              <w:t>Medium-Small</w:t>
            </w:r>
          </w:p>
          <w:p w14:paraId="1CC0E842" w14:textId="77777777" w:rsidR="00D8365A" w:rsidRPr="00362517" w:rsidRDefault="00D8365A" w:rsidP="00BF6BC7">
            <w:pPr>
              <w:jc w:val="center"/>
              <w:rPr>
                <w:b/>
                <w:bCs/>
              </w:rPr>
            </w:pPr>
            <w:r w:rsidRPr="00362517">
              <w:rPr>
                <w:bCs/>
                <w:sz w:val="20"/>
                <w:szCs w:val="20"/>
              </w:rPr>
              <w:t>($10,000 - $100,000/year)</w:t>
            </w:r>
          </w:p>
        </w:tc>
        <w:tc>
          <w:tcPr>
            <w:tcW w:w="1493" w:type="dxa"/>
            <w:tcBorders>
              <w:top w:val="single" w:sz="4" w:space="0" w:color="auto"/>
              <w:left w:val="single" w:sz="4" w:space="0" w:color="auto"/>
              <w:bottom w:val="double" w:sz="4" w:space="0" w:color="auto"/>
              <w:right w:val="single" w:sz="4" w:space="0" w:color="auto"/>
            </w:tcBorders>
            <w:noWrap/>
            <w:vAlign w:val="center"/>
            <w:hideMark/>
          </w:tcPr>
          <w:p w14:paraId="2F9AF9AE" w14:textId="77777777" w:rsidR="00D8365A" w:rsidRPr="00362517" w:rsidRDefault="00D8365A" w:rsidP="00BF6BC7">
            <w:pPr>
              <w:jc w:val="center"/>
              <w:rPr>
                <w:b/>
                <w:bCs/>
              </w:rPr>
            </w:pPr>
            <w:r w:rsidRPr="00362517">
              <w:rPr>
                <w:b/>
                <w:bCs/>
              </w:rPr>
              <w:t>Large-Small</w:t>
            </w:r>
          </w:p>
          <w:p w14:paraId="6769498C" w14:textId="77777777" w:rsidR="00D8365A" w:rsidRPr="00362517" w:rsidRDefault="00D8365A" w:rsidP="00BF6BC7">
            <w:pPr>
              <w:jc w:val="center"/>
              <w:rPr>
                <w:b/>
                <w:bCs/>
              </w:rPr>
            </w:pPr>
            <w:r w:rsidRPr="00362517">
              <w:rPr>
                <w:bCs/>
                <w:sz w:val="20"/>
                <w:szCs w:val="20"/>
              </w:rPr>
              <w:t>($100,000 - $750,000/year)</w:t>
            </w:r>
          </w:p>
        </w:tc>
      </w:tr>
      <w:tr w:rsidR="00D8365A" w:rsidRPr="00362517" w14:paraId="15543991" w14:textId="77777777" w:rsidTr="007A2164">
        <w:trPr>
          <w:cantSplit/>
          <w:trHeight w:val="255"/>
        </w:trPr>
        <w:tc>
          <w:tcPr>
            <w:tcW w:w="3188" w:type="dxa"/>
            <w:tcBorders>
              <w:top w:val="single" w:sz="12" w:space="0" w:color="auto"/>
              <w:left w:val="single" w:sz="4" w:space="0" w:color="auto"/>
              <w:bottom w:val="single" w:sz="4" w:space="0" w:color="auto"/>
              <w:right w:val="single" w:sz="4" w:space="0" w:color="auto"/>
            </w:tcBorders>
            <w:noWrap/>
            <w:vAlign w:val="center"/>
            <w:hideMark/>
          </w:tcPr>
          <w:p w14:paraId="61B7DFD5" w14:textId="77777777" w:rsidR="00D8365A" w:rsidRPr="00362517" w:rsidRDefault="00D8365A" w:rsidP="00BF6BC7">
            <w:pPr>
              <w:rPr>
                <w:bCs/>
              </w:rPr>
            </w:pPr>
            <w:r w:rsidRPr="00362517">
              <w:rPr>
                <w:bCs/>
              </w:rPr>
              <w:t>2012, Number of Farms</w:t>
            </w:r>
          </w:p>
        </w:tc>
        <w:tc>
          <w:tcPr>
            <w:tcW w:w="1413" w:type="dxa"/>
            <w:tcBorders>
              <w:top w:val="single" w:sz="12" w:space="0" w:color="auto"/>
              <w:left w:val="single" w:sz="4" w:space="0" w:color="auto"/>
              <w:bottom w:val="single" w:sz="4" w:space="0" w:color="auto"/>
              <w:right w:val="single" w:sz="4" w:space="0" w:color="auto"/>
            </w:tcBorders>
            <w:vAlign w:val="center"/>
          </w:tcPr>
          <w:p w14:paraId="6612DB8C" w14:textId="77777777" w:rsidR="00D8365A" w:rsidRPr="00362517" w:rsidRDefault="00D8365A" w:rsidP="00BF6BC7">
            <w:pPr>
              <w:jc w:val="center"/>
              <w:rPr>
                <w:bCs/>
              </w:rPr>
            </w:pPr>
            <w:r w:rsidRPr="00362517">
              <w:rPr>
                <w:bCs/>
              </w:rPr>
              <w:t>1,521,271-1,598,833</w:t>
            </w:r>
          </w:p>
        </w:tc>
        <w:tc>
          <w:tcPr>
            <w:tcW w:w="1581" w:type="dxa"/>
            <w:tcBorders>
              <w:top w:val="single" w:sz="12" w:space="0" w:color="auto"/>
              <w:left w:val="single" w:sz="4" w:space="0" w:color="auto"/>
              <w:bottom w:val="single" w:sz="4" w:space="0" w:color="auto"/>
              <w:right w:val="single" w:sz="4" w:space="0" w:color="auto"/>
            </w:tcBorders>
            <w:noWrap/>
            <w:vAlign w:val="center"/>
            <w:hideMark/>
          </w:tcPr>
          <w:p w14:paraId="7C7D7CA5" w14:textId="77777777" w:rsidR="00D8365A" w:rsidRPr="00362517" w:rsidRDefault="00D8365A" w:rsidP="00BF6BC7">
            <w:pPr>
              <w:jc w:val="center"/>
              <w:rPr>
                <w:bCs/>
              </w:rPr>
            </w:pPr>
            <w:r w:rsidRPr="00362517">
              <w:rPr>
                <w:bCs/>
              </w:rPr>
              <w:t>716,505</w:t>
            </w:r>
          </w:p>
        </w:tc>
        <w:tc>
          <w:tcPr>
            <w:tcW w:w="1685" w:type="dxa"/>
            <w:tcBorders>
              <w:top w:val="single" w:sz="12" w:space="0" w:color="auto"/>
              <w:left w:val="single" w:sz="4" w:space="0" w:color="auto"/>
              <w:bottom w:val="single" w:sz="4" w:space="0" w:color="auto"/>
              <w:right w:val="single" w:sz="4" w:space="0" w:color="auto"/>
            </w:tcBorders>
            <w:noWrap/>
            <w:vAlign w:val="center"/>
            <w:hideMark/>
          </w:tcPr>
          <w:p w14:paraId="7523D0A1" w14:textId="77777777" w:rsidR="00D8365A" w:rsidRPr="00362517" w:rsidRDefault="00D8365A" w:rsidP="00BF6BC7">
            <w:pPr>
              <w:jc w:val="center"/>
              <w:rPr>
                <w:bCs/>
              </w:rPr>
            </w:pPr>
            <w:r w:rsidRPr="00362517">
              <w:rPr>
                <w:bCs/>
              </w:rPr>
              <w:t>567,438</w:t>
            </w:r>
          </w:p>
        </w:tc>
        <w:tc>
          <w:tcPr>
            <w:tcW w:w="1493" w:type="dxa"/>
            <w:tcBorders>
              <w:top w:val="single" w:sz="12" w:space="0" w:color="auto"/>
              <w:left w:val="single" w:sz="4" w:space="0" w:color="auto"/>
              <w:bottom w:val="single" w:sz="4" w:space="0" w:color="auto"/>
              <w:right w:val="single" w:sz="4" w:space="0" w:color="auto"/>
            </w:tcBorders>
            <w:noWrap/>
            <w:vAlign w:val="center"/>
            <w:hideMark/>
          </w:tcPr>
          <w:p w14:paraId="7A07B914" w14:textId="77777777" w:rsidR="00D8365A" w:rsidRPr="00362517" w:rsidRDefault="00D8365A" w:rsidP="00BF6BC7">
            <w:pPr>
              <w:jc w:val="center"/>
              <w:rPr>
                <w:bCs/>
              </w:rPr>
            </w:pPr>
            <w:r w:rsidRPr="00362517">
              <w:rPr>
                <w:bCs/>
              </w:rPr>
              <w:t>237,328-314,890</w:t>
            </w:r>
          </w:p>
        </w:tc>
      </w:tr>
      <w:tr w:rsidR="00D8365A" w:rsidRPr="00362517" w14:paraId="07EEF561" w14:textId="77777777" w:rsidTr="007A2164">
        <w:trPr>
          <w:cantSplit/>
          <w:trHeight w:val="255"/>
        </w:trPr>
        <w:tc>
          <w:tcPr>
            <w:tcW w:w="3188" w:type="dxa"/>
            <w:tcBorders>
              <w:top w:val="single" w:sz="4" w:space="0" w:color="auto"/>
              <w:left w:val="single" w:sz="4" w:space="0" w:color="auto"/>
              <w:bottom w:val="single" w:sz="4" w:space="0" w:color="auto"/>
              <w:right w:val="single" w:sz="4" w:space="0" w:color="auto"/>
            </w:tcBorders>
            <w:noWrap/>
            <w:vAlign w:val="center"/>
            <w:hideMark/>
          </w:tcPr>
          <w:p w14:paraId="5B31288C" w14:textId="77777777" w:rsidR="00D8365A" w:rsidRPr="00362517" w:rsidRDefault="00D8365A" w:rsidP="00BF6BC7">
            <w:pPr>
              <w:rPr>
                <w:bCs/>
              </w:rPr>
            </w:pPr>
            <w:r w:rsidRPr="00362517">
              <w:rPr>
                <w:bCs/>
              </w:rPr>
              <w:t xml:space="preserve">     Average Revenue</w:t>
            </w:r>
          </w:p>
        </w:tc>
        <w:tc>
          <w:tcPr>
            <w:tcW w:w="1413" w:type="dxa"/>
            <w:tcBorders>
              <w:top w:val="single" w:sz="4" w:space="0" w:color="auto"/>
              <w:left w:val="single" w:sz="4" w:space="0" w:color="auto"/>
              <w:bottom w:val="single" w:sz="4" w:space="0" w:color="auto"/>
              <w:right w:val="single" w:sz="4" w:space="0" w:color="auto"/>
            </w:tcBorders>
            <w:vAlign w:val="center"/>
          </w:tcPr>
          <w:p w14:paraId="07ED5788" w14:textId="77777777" w:rsidR="00D8365A" w:rsidRPr="00362517" w:rsidRDefault="00D8365A" w:rsidP="00BF6BC7">
            <w:pPr>
              <w:jc w:val="center"/>
              <w:rPr>
                <w:bCs/>
              </w:rPr>
            </w:pPr>
            <w:r w:rsidRPr="00362517">
              <w:rPr>
                <w:bCs/>
              </w:rPr>
              <w:t>$52,775-$85,030</w:t>
            </w:r>
          </w:p>
        </w:tc>
        <w:tc>
          <w:tcPr>
            <w:tcW w:w="1581" w:type="dxa"/>
            <w:tcBorders>
              <w:top w:val="single" w:sz="4" w:space="0" w:color="auto"/>
              <w:left w:val="single" w:sz="4" w:space="0" w:color="auto"/>
              <w:bottom w:val="single" w:sz="4" w:space="0" w:color="auto"/>
              <w:right w:val="single" w:sz="4" w:space="0" w:color="auto"/>
            </w:tcBorders>
            <w:noWrap/>
            <w:vAlign w:val="center"/>
            <w:hideMark/>
          </w:tcPr>
          <w:p w14:paraId="3743B9A0" w14:textId="77777777" w:rsidR="00D8365A" w:rsidRPr="00362517" w:rsidRDefault="00D8365A" w:rsidP="00BF6BC7">
            <w:pPr>
              <w:jc w:val="center"/>
              <w:rPr>
                <w:bCs/>
              </w:rPr>
            </w:pPr>
            <w:r w:rsidRPr="00362517">
              <w:rPr>
                <w:bCs/>
              </w:rPr>
              <w:t>$4,178</w:t>
            </w:r>
          </w:p>
        </w:tc>
        <w:tc>
          <w:tcPr>
            <w:tcW w:w="1685" w:type="dxa"/>
            <w:tcBorders>
              <w:top w:val="single" w:sz="4" w:space="0" w:color="auto"/>
              <w:left w:val="single" w:sz="4" w:space="0" w:color="auto"/>
              <w:bottom w:val="single" w:sz="4" w:space="0" w:color="auto"/>
              <w:right w:val="single" w:sz="4" w:space="0" w:color="auto"/>
            </w:tcBorders>
            <w:noWrap/>
            <w:vAlign w:val="center"/>
            <w:hideMark/>
          </w:tcPr>
          <w:p w14:paraId="3C34F1F6" w14:textId="77777777" w:rsidR="00D8365A" w:rsidRPr="00362517" w:rsidRDefault="00D8365A" w:rsidP="00BF6BC7">
            <w:pPr>
              <w:jc w:val="center"/>
              <w:rPr>
                <w:bCs/>
              </w:rPr>
            </w:pPr>
            <w:r w:rsidRPr="00362517">
              <w:rPr>
                <w:bCs/>
              </w:rPr>
              <w:t>$34,600</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5633451B" w14:textId="77777777" w:rsidR="00D8365A" w:rsidRPr="00362517" w:rsidRDefault="00D8365A" w:rsidP="00BF6BC7">
            <w:pPr>
              <w:jc w:val="center"/>
              <w:rPr>
                <w:bCs/>
              </w:rPr>
            </w:pPr>
            <w:r w:rsidRPr="00362517">
              <w:rPr>
                <w:bCs/>
              </w:rPr>
              <w:t>$242,948-$359,877</w:t>
            </w:r>
          </w:p>
        </w:tc>
      </w:tr>
      <w:tr w:rsidR="00D8365A" w:rsidRPr="00362517" w14:paraId="48B3A5B9" w14:textId="77777777" w:rsidTr="007A2164">
        <w:trPr>
          <w:cantSplit/>
          <w:trHeight w:val="255"/>
        </w:trPr>
        <w:tc>
          <w:tcPr>
            <w:tcW w:w="3188" w:type="dxa"/>
            <w:tcBorders>
              <w:top w:val="single" w:sz="4" w:space="0" w:color="auto"/>
              <w:left w:val="single" w:sz="4" w:space="0" w:color="auto"/>
              <w:bottom w:val="single" w:sz="4" w:space="0" w:color="auto"/>
              <w:right w:val="single" w:sz="4" w:space="0" w:color="auto"/>
            </w:tcBorders>
            <w:noWrap/>
            <w:vAlign w:val="center"/>
          </w:tcPr>
          <w:p w14:paraId="7548322C" w14:textId="77777777" w:rsidR="00D8365A" w:rsidRPr="00362517" w:rsidRDefault="00D8365A" w:rsidP="00BF6BC7">
            <w:pPr>
              <w:rPr>
                <w:bCs/>
              </w:rPr>
            </w:pPr>
            <w:r w:rsidRPr="00362517">
              <w:rPr>
                <w:bCs/>
              </w:rPr>
              <w:t>2007, Number of Farms</w:t>
            </w:r>
          </w:p>
        </w:tc>
        <w:tc>
          <w:tcPr>
            <w:tcW w:w="1413" w:type="dxa"/>
            <w:tcBorders>
              <w:top w:val="single" w:sz="4" w:space="0" w:color="auto"/>
              <w:left w:val="single" w:sz="4" w:space="0" w:color="auto"/>
              <w:bottom w:val="single" w:sz="4" w:space="0" w:color="auto"/>
              <w:right w:val="single" w:sz="4" w:space="0" w:color="auto"/>
            </w:tcBorders>
            <w:vAlign w:val="center"/>
          </w:tcPr>
          <w:p w14:paraId="6DB9BB11" w14:textId="77777777" w:rsidR="00D8365A" w:rsidRPr="00362517" w:rsidRDefault="00D8365A" w:rsidP="00BF6BC7">
            <w:pPr>
              <w:jc w:val="center"/>
              <w:rPr>
                <w:bCs/>
              </w:rPr>
            </w:pPr>
            <w:r w:rsidRPr="00362517">
              <w:rPr>
                <w:bCs/>
              </w:rPr>
              <w:t>1,622,838</w:t>
            </w:r>
          </w:p>
        </w:tc>
        <w:tc>
          <w:tcPr>
            <w:tcW w:w="1581" w:type="dxa"/>
            <w:tcBorders>
              <w:top w:val="single" w:sz="4" w:space="0" w:color="auto"/>
              <w:left w:val="single" w:sz="4" w:space="0" w:color="auto"/>
              <w:bottom w:val="single" w:sz="4" w:space="0" w:color="auto"/>
              <w:right w:val="single" w:sz="4" w:space="0" w:color="auto"/>
            </w:tcBorders>
            <w:noWrap/>
            <w:vAlign w:val="center"/>
          </w:tcPr>
          <w:p w14:paraId="094A6966" w14:textId="77777777" w:rsidR="00D8365A" w:rsidRPr="00362517" w:rsidRDefault="00D8365A" w:rsidP="00BF6BC7">
            <w:pPr>
              <w:jc w:val="center"/>
              <w:rPr>
                <w:bCs/>
              </w:rPr>
            </w:pPr>
            <w:r w:rsidRPr="00362517">
              <w:rPr>
                <w:bCs/>
              </w:rPr>
              <w:t>771,855</w:t>
            </w:r>
          </w:p>
        </w:tc>
        <w:tc>
          <w:tcPr>
            <w:tcW w:w="1685" w:type="dxa"/>
            <w:tcBorders>
              <w:top w:val="single" w:sz="4" w:space="0" w:color="auto"/>
              <w:left w:val="single" w:sz="4" w:space="0" w:color="auto"/>
              <w:bottom w:val="single" w:sz="4" w:space="0" w:color="auto"/>
              <w:right w:val="single" w:sz="4" w:space="0" w:color="auto"/>
            </w:tcBorders>
            <w:noWrap/>
            <w:vAlign w:val="center"/>
          </w:tcPr>
          <w:p w14:paraId="06BA2907" w14:textId="77777777" w:rsidR="00D8365A" w:rsidRPr="00362517" w:rsidRDefault="00D8365A" w:rsidP="00BF6BC7">
            <w:pPr>
              <w:jc w:val="center"/>
              <w:rPr>
                <w:bCs/>
              </w:rPr>
            </w:pPr>
            <w:r w:rsidRPr="00362517">
              <w:rPr>
                <w:bCs/>
              </w:rPr>
              <w:t>566,898</w:t>
            </w:r>
          </w:p>
        </w:tc>
        <w:tc>
          <w:tcPr>
            <w:tcW w:w="1493" w:type="dxa"/>
            <w:tcBorders>
              <w:top w:val="single" w:sz="4" w:space="0" w:color="auto"/>
              <w:left w:val="single" w:sz="4" w:space="0" w:color="auto"/>
              <w:bottom w:val="single" w:sz="4" w:space="0" w:color="auto"/>
              <w:right w:val="single" w:sz="4" w:space="0" w:color="auto"/>
            </w:tcBorders>
            <w:noWrap/>
            <w:vAlign w:val="center"/>
          </w:tcPr>
          <w:p w14:paraId="2EC4A326" w14:textId="77777777" w:rsidR="00D8365A" w:rsidRPr="00362517" w:rsidRDefault="00D8365A" w:rsidP="00BF6BC7">
            <w:pPr>
              <w:jc w:val="center"/>
              <w:rPr>
                <w:bCs/>
              </w:rPr>
            </w:pPr>
            <w:r w:rsidRPr="00362517">
              <w:rPr>
                <w:bCs/>
              </w:rPr>
              <w:t>284,085</w:t>
            </w:r>
          </w:p>
        </w:tc>
      </w:tr>
      <w:tr w:rsidR="00D8365A" w:rsidRPr="00362517" w14:paraId="59F65EBD" w14:textId="77777777" w:rsidTr="007A2164">
        <w:trPr>
          <w:cantSplit/>
          <w:trHeight w:val="255"/>
        </w:trPr>
        <w:tc>
          <w:tcPr>
            <w:tcW w:w="3188" w:type="dxa"/>
            <w:tcBorders>
              <w:top w:val="single" w:sz="4" w:space="0" w:color="auto"/>
              <w:left w:val="single" w:sz="4" w:space="0" w:color="auto"/>
              <w:bottom w:val="single" w:sz="12" w:space="0" w:color="auto"/>
              <w:right w:val="single" w:sz="4" w:space="0" w:color="auto"/>
            </w:tcBorders>
            <w:noWrap/>
            <w:vAlign w:val="center"/>
          </w:tcPr>
          <w:p w14:paraId="2EE97789" w14:textId="77777777" w:rsidR="00D8365A" w:rsidRPr="00362517" w:rsidRDefault="00D8365A" w:rsidP="00BF6BC7">
            <w:pPr>
              <w:rPr>
                <w:bCs/>
              </w:rPr>
            </w:pPr>
            <w:r w:rsidRPr="00362517">
              <w:rPr>
                <w:bCs/>
              </w:rPr>
              <w:t xml:space="preserve">     Average Revenue</w:t>
            </w:r>
          </w:p>
        </w:tc>
        <w:tc>
          <w:tcPr>
            <w:tcW w:w="1413" w:type="dxa"/>
            <w:tcBorders>
              <w:top w:val="single" w:sz="4" w:space="0" w:color="auto"/>
              <w:left w:val="single" w:sz="4" w:space="0" w:color="auto"/>
              <w:bottom w:val="single" w:sz="12" w:space="0" w:color="auto"/>
              <w:right w:val="single" w:sz="4" w:space="0" w:color="auto"/>
            </w:tcBorders>
            <w:vAlign w:val="center"/>
          </w:tcPr>
          <w:p w14:paraId="4D9B87A1" w14:textId="77777777" w:rsidR="00D8365A" w:rsidRPr="00362517" w:rsidRDefault="00D8365A" w:rsidP="00BF6BC7">
            <w:pPr>
              <w:jc w:val="center"/>
              <w:rPr>
                <w:bCs/>
              </w:rPr>
            </w:pPr>
            <w:r w:rsidRPr="00362517">
              <w:rPr>
                <w:bCs/>
              </w:rPr>
              <w:t>$67,093</w:t>
            </w:r>
          </w:p>
        </w:tc>
        <w:tc>
          <w:tcPr>
            <w:tcW w:w="1581" w:type="dxa"/>
            <w:tcBorders>
              <w:top w:val="single" w:sz="4" w:space="0" w:color="auto"/>
              <w:left w:val="single" w:sz="4" w:space="0" w:color="auto"/>
              <w:bottom w:val="single" w:sz="12" w:space="0" w:color="auto"/>
              <w:right w:val="single" w:sz="4" w:space="0" w:color="auto"/>
            </w:tcBorders>
            <w:noWrap/>
            <w:vAlign w:val="center"/>
          </w:tcPr>
          <w:p w14:paraId="62AF028E" w14:textId="77777777" w:rsidR="00D8365A" w:rsidRPr="00362517" w:rsidRDefault="00D8365A" w:rsidP="00BF6BC7">
            <w:pPr>
              <w:jc w:val="center"/>
              <w:rPr>
                <w:bCs/>
              </w:rPr>
            </w:pPr>
            <w:r w:rsidRPr="00362517">
              <w:rPr>
                <w:bCs/>
              </w:rPr>
              <w:t>$4,072</w:t>
            </w:r>
          </w:p>
        </w:tc>
        <w:tc>
          <w:tcPr>
            <w:tcW w:w="1685" w:type="dxa"/>
            <w:tcBorders>
              <w:top w:val="single" w:sz="4" w:space="0" w:color="auto"/>
              <w:left w:val="single" w:sz="4" w:space="0" w:color="auto"/>
              <w:bottom w:val="single" w:sz="12" w:space="0" w:color="auto"/>
              <w:right w:val="single" w:sz="4" w:space="0" w:color="auto"/>
            </w:tcBorders>
            <w:noWrap/>
            <w:vAlign w:val="center"/>
          </w:tcPr>
          <w:p w14:paraId="6F01DDF8" w14:textId="77777777" w:rsidR="00D8365A" w:rsidRPr="00362517" w:rsidRDefault="00D8365A" w:rsidP="00BF6BC7">
            <w:pPr>
              <w:jc w:val="center"/>
              <w:rPr>
                <w:bCs/>
              </w:rPr>
            </w:pPr>
            <w:r w:rsidRPr="00362517">
              <w:rPr>
                <w:bCs/>
              </w:rPr>
              <w:t>$34,182</w:t>
            </w:r>
          </w:p>
        </w:tc>
        <w:tc>
          <w:tcPr>
            <w:tcW w:w="1493" w:type="dxa"/>
            <w:tcBorders>
              <w:top w:val="single" w:sz="4" w:space="0" w:color="auto"/>
              <w:left w:val="single" w:sz="4" w:space="0" w:color="auto"/>
              <w:bottom w:val="single" w:sz="12" w:space="0" w:color="auto"/>
              <w:right w:val="single" w:sz="4" w:space="0" w:color="auto"/>
            </w:tcBorders>
            <w:noWrap/>
            <w:vAlign w:val="center"/>
          </w:tcPr>
          <w:p w14:paraId="35AD71E0" w14:textId="77777777" w:rsidR="00D8365A" w:rsidRPr="00362517" w:rsidRDefault="00D8365A" w:rsidP="00BF6BC7">
            <w:pPr>
              <w:jc w:val="center"/>
              <w:rPr>
                <w:bCs/>
              </w:rPr>
            </w:pPr>
            <w:r w:rsidRPr="00362517">
              <w:rPr>
                <w:bCs/>
              </w:rPr>
              <w:t>$301,182</w:t>
            </w:r>
          </w:p>
        </w:tc>
      </w:tr>
    </w:tbl>
    <w:p w14:paraId="5B9D539F" w14:textId="77777777" w:rsidR="00D8365A" w:rsidRPr="00362517" w:rsidRDefault="00D8365A" w:rsidP="00BF6BC7">
      <w:pPr>
        <w:rPr>
          <w:bCs/>
          <w:sz w:val="22"/>
          <w:szCs w:val="22"/>
        </w:rPr>
      </w:pPr>
      <w:r w:rsidRPr="00362517">
        <w:rPr>
          <w:bCs/>
          <w:sz w:val="22"/>
          <w:szCs w:val="22"/>
        </w:rPr>
        <w:t>Source: USDA NASS, 2008b and 2014c.</w:t>
      </w:r>
    </w:p>
    <w:p w14:paraId="3D9DE83C" w14:textId="77777777" w:rsidR="00D8365A" w:rsidRPr="00362517" w:rsidRDefault="00D8365A" w:rsidP="00BF6BC7">
      <w:pPr>
        <w:ind w:left="360" w:hanging="360"/>
        <w:rPr>
          <w:bCs/>
          <w:sz w:val="22"/>
          <w:szCs w:val="22"/>
        </w:rPr>
      </w:pPr>
      <w:r w:rsidRPr="00362517">
        <w:rPr>
          <w:bCs/>
          <w:szCs w:val="22"/>
          <w:vertAlign w:val="superscript"/>
        </w:rPr>
        <w:t>1</w:t>
      </w:r>
      <w:r w:rsidRPr="00362517">
        <w:rPr>
          <w:bCs/>
          <w:sz w:val="22"/>
          <w:szCs w:val="22"/>
        </w:rPr>
        <w:tab/>
        <w:t>The criterion for small farm is that sales are less than $750,000 per year.  The lower bound is for farms with sales less than $500,000 and the upper bound includes farms with sales less than $1,000,000.  Does not include operations with less than $1,000 in total sales.</w:t>
      </w:r>
    </w:p>
    <w:p w14:paraId="6DE307BB" w14:textId="77777777" w:rsidR="00D8365A" w:rsidRPr="00362517" w:rsidRDefault="00D8365A" w:rsidP="00BF6BC7">
      <w:pPr>
        <w:rPr>
          <w:bCs/>
        </w:rPr>
      </w:pPr>
    </w:p>
    <w:p w14:paraId="39AC8B24" w14:textId="02661218" w:rsidR="00D8365A" w:rsidRPr="00362517" w:rsidRDefault="00D8365A" w:rsidP="00BF6BC7">
      <w:pPr>
        <w:rPr>
          <w:bCs/>
        </w:rPr>
      </w:pPr>
      <w:r w:rsidRPr="00362517">
        <w:rPr>
          <w:bCs/>
        </w:rPr>
        <w:t>Not all farms utilize pesticides every year, however; thus some farms may not need a private applicator.  EPA obtained a special tabulation of data from the 2007 Census of Agriculture to identify those farms that use pesticides (NASS, 2008b).  The likelihood that a farm will use pesticides is inversely related to size; around eighty percent of large and large-small farms use pesticides while only about 25 percent of small-small farms use pesticides.  Overall, about 53 percent of small farms used pesticides in 2007.  Assuming a similar proportion used pesticides in 2012, about 820,000 small farms might be affected by this rule.  The number of small farms that use of RUPs will be even lower.  According to proprietary pesticide market research data (2008 – 2013), RUPs account for less than 20 percent of agricultural pesticide treatments, by acreage.  Data of use by farm is not available, however.  Many farms, even small farms, use pesticides occasionally and may, therefore, obtain and maintain certification in order to have the capacity to use a</w:t>
      </w:r>
      <w:r w:rsidR="00CA28EA">
        <w:rPr>
          <w:bCs/>
        </w:rPr>
        <w:t>n</w:t>
      </w:r>
      <w:r w:rsidRPr="00362517">
        <w:rPr>
          <w:bCs/>
        </w:rPr>
        <w:t xml:space="preserve"> RUP if needed.  Thus, EPA assumes that most small farms would be affected by changes to the certification requirements at some point.</w:t>
      </w:r>
    </w:p>
    <w:p w14:paraId="2B62C7CF" w14:textId="77777777" w:rsidR="00D8365A" w:rsidRPr="00362517" w:rsidRDefault="00D8365A" w:rsidP="00BF6BC7"/>
    <w:p w14:paraId="079820FA" w14:textId="77777777" w:rsidR="00D8365A" w:rsidRPr="00362517" w:rsidRDefault="00D8365A" w:rsidP="00BF6BC7">
      <w:pPr>
        <w:pStyle w:val="Heading4"/>
      </w:pPr>
      <w:r w:rsidRPr="00362517">
        <w:t>Costs per Small Entity, Private Applicators</w:t>
      </w:r>
    </w:p>
    <w:p w14:paraId="7235C2F3" w14:textId="77777777" w:rsidR="00D8365A" w:rsidRPr="00362517" w:rsidRDefault="00D8365A" w:rsidP="00BF6BC7">
      <w:r w:rsidRPr="00362517">
        <w:t xml:space="preserve">In Section 3.6, EPA estimated the total incremental cost to private applicators of changes in the Certification requirements will average $25.05 per private applicator per year (Table 3.6-1).  This includes the costs associated with requirements for certification, recertification, noncertified applicators under the direct supervision of a private applicator, and the fee increase explained in Section 3.6.  This cost per private applicator is also a reasonable estimate of the cost per small entity, as it will represent the owner/operator of a small farm or animal operation who may, at least occasionally, employ or use a family member to apply a pesticide under his or her supervision.  Note that since the majority of the U.S. farms are small, the average per-applicator cost of $25.05 represents the average impact on all small farms (see Table 3.7-3 below).  </w:t>
      </w:r>
    </w:p>
    <w:p w14:paraId="1384E3F5" w14:textId="77777777" w:rsidR="00D8365A" w:rsidRPr="00362517" w:rsidRDefault="00D8365A" w:rsidP="00BF6BC7"/>
    <w:p w14:paraId="6C29F542" w14:textId="77777777" w:rsidR="00D8365A" w:rsidRPr="00362517" w:rsidRDefault="00D8365A" w:rsidP="00BF6BC7">
      <w:r w:rsidRPr="00362517">
        <w:t>All farms will bear the incremental costs associated with changes to the requirements for initial certification, recertification and the labor costs associated with the minimum age provision for private applicators, which make up about $7.5 million of the total costs of the rule (see Table 3.5-1).  Across 483,000 private applicators, the average cost is about $15.80 per applicator per year, or about $23.10 per applicator per year including fee increases to offset the additional costs to certifying authorities.  Costs associated with noncertified applicators total about $930,000 per year including supervision costs and labor costs associated with the minimum age requirement for noncertified applicators.  EPA estimates there are about 80,600 noncertified applicators (Table 3.3-8).  Assuming there is one noncertified applicator under the supervision of a private applicator on a small farm, there would be an additional cost of $11.50 per applicator per year, for a total impact of $34.60 per farm per year.  However, most noncertified applicators applying RUPs under the supervision of a private applicator would be employed on relatively larger farms.  Application specific certifications for private applicators are associated with $197,000 per year, including both certification and recertification requirements (Table 3.5-1).  EPA estimates that about 4,200 private applicators will need either a certification in aerial application or in non-soil fumigation (Table 3.3-7), for an average cost per applicator of $46.90.  Therefore, if a small farm were to need an application specific category certification, it would bear costs of about $70.00 per year.  It would be highly unlikely that these applicators would be found on the small-small farms.  If a small farm were to also have a noncertified applicator under the supervision of the private applicator, the total incremental cost increase would be about $81.50 per year.  It is unlikely that a small-small or medium-small farm would have both a new category certification and a noncertified applicator.</w:t>
      </w:r>
    </w:p>
    <w:p w14:paraId="20B2DB37" w14:textId="77777777" w:rsidR="00D8365A" w:rsidRPr="00362517" w:rsidRDefault="00D8365A" w:rsidP="00BF6BC7"/>
    <w:p w14:paraId="089098BD" w14:textId="4D84F691" w:rsidR="00D8365A" w:rsidRPr="00362517" w:rsidRDefault="00D8365A" w:rsidP="00BF6BC7">
      <w:r w:rsidRPr="00362517">
        <w:t>We previously considered, in more detail, a farm in Kentucky, which has one of the highest average estimated costs per private applicator, that may need to use a</w:t>
      </w:r>
      <w:r w:rsidR="00CA28EA">
        <w:t>n</w:t>
      </w:r>
      <w:r w:rsidRPr="00362517">
        <w:t xml:space="preserve"> RUP and therefore needs to employ a private applicator.  A similar scenario could describe a small farm where the owner or operator is the private applicator.  Incremental costs in Kentucky are driven almost totally by changes in the requirements for certification and recertification; costs for new categories, supervision, and minimum age provisions are low (see Appendix B).  Thus, the average cost per applicator of $107 per year (Table 3.6-1) represents the impact to most small farms in the state.</w:t>
      </w:r>
    </w:p>
    <w:p w14:paraId="2E403047" w14:textId="77777777" w:rsidR="00D8365A" w:rsidRPr="00362517" w:rsidRDefault="00D8365A" w:rsidP="00BF6BC7"/>
    <w:p w14:paraId="6F88CE4F" w14:textId="77777777" w:rsidR="00D8365A" w:rsidRPr="00362517" w:rsidRDefault="00D8365A" w:rsidP="00BF6BC7">
      <w:pPr>
        <w:pStyle w:val="Heading4"/>
      </w:pPr>
      <w:r w:rsidRPr="00362517">
        <w:t>Impacts per Small Entity, Private Applicators</w:t>
      </w:r>
    </w:p>
    <w:p w14:paraId="6E5FA794" w14:textId="77777777" w:rsidR="00D8365A" w:rsidRPr="00362517" w:rsidRDefault="00D8365A" w:rsidP="00BF6BC7">
      <w:r w:rsidRPr="00362517">
        <w:t xml:space="preserve">Given the range of costs estimated to be imposed on small farms and the revenues of these farms, EPA calculates the impacts as a percentage of annual sales revenue.  Results are shown for the average impact and the high impact state Kentucky in Table 3.7-3.  </w:t>
      </w:r>
    </w:p>
    <w:p w14:paraId="66ACD4C5" w14:textId="77777777" w:rsidR="00D8365A" w:rsidRPr="00362517" w:rsidRDefault="00D8365A" w:rsidP="00BF6BC7"/>
    <w:p w14:paraId="0F6B7B16" w14:textId="77777777" w:rsidR="00D8365A" w:rsidRPr="00362517" w:rsidRDefault="00D8365A" w:rsidP="00BF6BC7">
      <w:pPr>
        <w:keepNext/>
        <w:rPr>
          <w:b/>
        </w:rPr>
      </w:pPr>
      <w:r w:rsidRPr="00362517">
        <w:rPr>
          <w:b/>
        </w:rPr>
        <w:t>Table 3.7-3.  Impact per Small Entity, Private Applicator.</w:t>
      </w:r>
    </w:p>
    <w:tbl>
      <w:tblPr>
        <w:tblW w:w="5000" w:type="pct"/>
        <w:tblLook w:val="04A0" w:firstRow="1" w:lastRow="0" w:firstColumn="1" w:lastColumn="0" w:noHBand="0" w:noVBand="1"/>
      </w:tblPr>
      <w:tblGrid>
        <w:gridCol w:w="1830"/>
        <w:gridCol w:w="1940"/>
        <w:gridCol w:w="1628"/>
        <w:gridCol w:w="1846"/>
        <w:gridCol w:w="2096"/>
      </w:tblGrid>
      <w:tr w:rsidR="00D8365A" w:rsidRPr="00362517" w14:paraId="60B96E5C" w14:textId="77777777" w:rsidTr="007A2164">
        <w:trPr>
          <w:cantSplit/>
          <w:trHeight w:val="312"/>
        </w:trPr>
        <w:tc>
          <w:tcPr>
            <w:tcW w:w="980" w:type="pct"/>
            <w:tcBorders>
              <w:top w:val="single" w:sz="8" w:space="0" w:color="auto"/>
              <w:left w:val="single" w:sz="8" w:space="0" w:color="auto"/>
              <w:bottom w:val="nil"/>
              <w:right w:val="single" w:sz="8" w:space="0" w:color="auto"/>
            </w:tcBorders>
            <w:shd w:val="clear" w:color="auto" w:fill="auto"/>
            <w:vAlign w:val="center"/>
            <w:hideMark/>
          </w:tcPr>
          <w:p w14:paraId="295DB596" w14:textId="77777777" w:rsidR="00D8365A" w:rsidRPr="00362517" w:rsidRDefault="00D8365A" w:rsidP="00BF6BC7">
            <w:pPr>
              <w:rPr>
                <w:b/>
                <w:bCs/>
              </w:rPr>
            </w:pPr>
            <w:r w:rsidRPr="00362517">
              <w:rPr>
                <w:b/>
                <w:bCs/>
              </w:rPr>
              <w:t> </w:t>
            </w:r>
          </w:p>
        </w:tc>
        <w:tc>
          <w:tcPr>
            <w:tcW w:w="1039" w:type="pct"/>
            <w:tcBorders>
              <w:top w:val="single" w:sz="8" w:space="0" w:color="auto"/>
              <w:left w:val="nil"/>
              <w:bottom w:val="nil"/>
              <w:right w:val="single" w:sz="8" w:space="0" w:color="auto"/>
            </w:tcBorders>
            <w:shd w:val="clear" w:color="auto" w:fill="auto"/>
            <w:vAlign w:val="center"/>
            <w:hideMark/>
          </w:tcPr>
          <w:p w14:paraId="0B0C16FC" w14:textId="77777777" w:rsidR="00D8365A" w:rsidRPr="00362517" w:rsidRDefault="00D8365A" w:rsidP="00BF6BC7">
            <w:pPr>
              <w:jc w:val="center"/>
              <w:rPr>
                <w:b/>
                <w:bCs/>
              </w:rPr>
            </w:pPr>
            <w:r w:rsidRPr="00362517">
              <w:rPr>
                <w:b/>
                <w:bCs/>
              </w:rPr>
              <w:t>All Small Farms</w:t>
            </w:r>
          </w:p>
        </w:tc>
        <w:tc>
          <w:tcPr>
            <w:tcW w:w="872" w:type="pct"/>
            <w:tcBorders>
              <w:top w:val="single" w:sz="8" w:space="0" w:color="auto"/>
              <w:left w:val="nil"/>
              <w:bottom w:val="nil"/>
              <w:right w:val="single" w:sz="8" w:space="0" w:color="auto"/>
            </w:tcBorders>
            <w:shd w:val="clear" w:color="auto" w:fill="auto"/>
            <w:noWrap/>
            <w:vAlign w:val="center"/>
            <w:hideMark/>
          </w:tcPr>
          <w:p w14:paraId="69DA6CB4" w14:textId="77777777" w:rsidR="00D8365A" w:rsidRPr="00362517" w:rsidRDefault="00D8365A" w:rsidP="00BF6BC7">
            <w:pPr>
              <w:jc w:val="center"/>
              <w:rPr>
                <w:b/>
                <w:bCs/>
              </w:rPr>
            </w:pPr>
            <w:r w:rsidRPr="00362517">
              <w:rPr>
                <w:b/>
                <w:bCs/>
              </w:rPr>
              <w:t>Small-Small</w:t>
            </w:r>
          </w:p>
        </w:tc>
        <w:tc>
          <w:tcPr>
            <w:tcW w:w="988" w:type="pct"/>
            <w:tcBorders>
              <w:top w:val="single" w:sz="8" w:space="0" w:color="auto"/>
              <w:left w:val="nil"/>
              <w:bottom w:val="nil"/>
              <w:right w:val="single" w:sz="8" w:space="0" w:color="auto"/>
            </w:tcBorders>
            <w:shd w:val="clear" w:color="auto" w:fill="auto"/>
            <w:noWrap/>
            <w:vAlign w:val="center"/>
            <w:hideMark/>
          </w:tcPr>
          <w:p w14:paraId="7B892734" w14:textId="77777777" w:rsidR="00D8365A" w:rsidRPr="00362517" w:rsidRDefault="00D8365A" w:rsidP="00BF6BC7">
            <w:pPr>
              <w:jc w:val="center"/>
              <w:rPr>
                <w:b/>
                <w:bCs/>
              </w:rPr>
            </w:pPr>
            <w:r w:rsidRPr="00362517">
              <w:rPr>
                <w:b/>
                <w:bCs/>
              </w:rPr>
              <w:t>Medium-Small</w:t>
            </w:r>
          </w:p>
        </w:tc>
        <w:tc>
          <w:tcPr>
            <w:tcW w:w="1122" w:type="pct"/>
            <w:tcBorders>
              <w:top w:val="single" w:sz="8" w:space="0" w:color="auto"/>
              <w:left w:val="nil"/>
              <w:bottom w:val="nil"/>
              <w:right w:val="single" w:sz="8" w:space="0" w:color="auto"/>
            </w:tcBorders>
            <w:shd w:val="clear" w:color="auto" w:fill="auto"/>
            <w:noWrap/>
            <w:vAlign w:val="center"/>
            <w:hideMark/>
          </w:tcPr>
          <w:p w14:paraId="57B1F2B8" w14:textId="77777777" w:rsidR="00D8365A" w:rsidRPr="00362517" w:rsidRDefault="00D8365A" w:rsidP="00BF6BC7">
            <w:pPr>
              <w:jc w:val="center"/>
              <w:rPr>
                <w:b/>
                <w:bCs/>
              </w:rPr>
            </w:pPr>
            <w:r w:rsidRPr="00362517">
              <w:rPr>
                <w:b/>
                <w:bCs/>
              </w:rPr>
              <w:t>Large-Small</w:t>
            </w:r>
          </w:p>
        </w:tc>
      </w:tr>
      <w:tr w:rsidR="00D8365A" w:rsidRPr="00362517" w14:paraId="1EE2E04C" w14:textId="77777777" w:rsidTr="007A2164">
        <w:trPr>
          <w:cantSplit/>
          <w:trHeight w:val="324"/>
        </w:trPr>
        <w:tc>
          <w:tcPr>
            <w:tcW w:w="980" w:type="pct"/>
            <w:tcBorders>
              <w:top w:val="nil"/>
              <w:left w:val="single" w:sz="8" w:space="0" w:color="auto"/>
              <w:bottom w:val="double" w:sz="6" w:space="0" w:color="auto"/>
              <w:right w:val="single" w:sz="8" w:space="0" w:color="auto"/>
            </w:tcBorders>
            <w:shd w:val="clear" w:color="auto" w:fill="auto"/>
            <w:vAlign w:val="center"/>
            <w:hideMark/>
          </w:tcPr>
          <w:p w14:paraId="44CBA061" w14:textId="77777777" w:rsidR="00D8365A" w:rsidRPr="00362517" w:rsidRDefault="00D8365A" w:rsidP="00BF6BC7">
            <w:pPr>
              <w:rPr>
                <w:b/>
                <w:bCs/>
              </w:rPr>
            </w:pPr>
            <w:r w:rsidRPr="00362517">
              <w:rPr>
                <w:b/>
                <w:bCs/>
              </w:rPr>
              <w:t xml:space="preserve">Type, Level of Impact </w:t>
            </w:r>
            <w:r w:rsidRPr="00362517">
              <w:rPr>
                <w:vertAlign w:val="superscript"/>
              </w:rPr>
              <w:t>1</w:t>
            </w:r>
          </w:p>
        </w:tc>
        <w:tc>
          <w:tcPr>
            <w:tcW w:w="1039" w:type="pct"/>
            <w:tcBorders>
              <w:top w:val="nil"/>
              <w:left w:val="nil"/>
              <w:bottom w:val="double" w:sz="6" w:space="0" w:color="auto"/>
              <w:right w:val="single" w:sz="8" w:space="0" w:color="auto"/>
            </w:tcBorders>
            <w:shd w:val="clear" w:color="auto" w:fill="auto"/>
            <w:vAlign w:val="center"/>
            <w:hideMark/>
          </w:tcPr>
          <w:p w14:paraId="52D484BA" w14:textId="77777777" w:rsidR="00D8365A" w:rsidRPr="00362517" w:rsidRDefault="00D8365A" w:rsidP="00BF6BC7">
            <w:pPr>
              <w:jc w:val="center"/>
            </w:pPr>
            <w:r w:rsidRPr="00362517">
              <w:rPr>
                <w:bCs/>
              </w:rPr>
              <w:t>$52,775-$85,030</w:t>
            </w:r>
          </w:p>
        </w:tc>
        <w:tc>
          <w:tcPr>
            <w:tcW w:w="872" w:type="pct"/>
            <w:tcBorders>
              <w:top w:val="nil"/>
              <w:left w:val="nil"/>
              <w:bottom w:val="double" w:sz="6" w:space="0" w:color="auto"/>
              <w:right w:val="single" w:sz="8" w:space="0" w:color="auto"/>
            </w:tcBorders>
            <w:shd w:val="clear" w:color="auto" w:fill="auto"/>
            <w:noWrap/>
            <w:vAlign w:val="center"/>
            <w:hideMark/>
          </w:tcPr>
          <w:p w14:paraId="3DF4A518" w14:textId="77777777" w:rsidR="00D8365A" w:rsidRPr="00362517" w:rsidRDefault="00D8365A" w:rsidP="00BF6BC7">
            <w:pPr>
              <w:jc w:val="center"/>
            </w:pPr>
            <w:r w:rsidRPr="00362517">
              <w:rPr>
                <w:bCs/>
              </w:rPr>
              <w:t xml:space="preserve">$4,178 </w:t>
            </w:r>
          </w:p>
        </w:tc>
        <w:tc>
          <w:tcPr>
            <w:tcW w:w="988" w:type="pct"/>
            <w:tcBorders>
              <w:top w:val="nil"/>
              <w:left w:val="nil"/>
              <w:bottom w:val="double" w:sz="6" w:space="0" w:color="auto"/>
              <w:right w:val="single" w:sz="8" w:space="0" w:color="auto"/>
            </w:tcBorders>
            <w:shd w:val="clear" w:color="auto" w:fill="auto"/>
            <w:noWrap/>
            <w:vAlign w:val="center"/>
            <w:hideMark/>
          </w:tcPr>
          <w:p w14:paraId="6D6E552B" w14:textId="77777777" w:rsidR="00D8365A" w:rsidRPr="00362517" w:rsidRDefault="00D8365A" w:rsidP="00BF6BC7">
            <w:pPr>
              <w:jc w:val="center"/>
            </w:pPr>
            <w:r w:rsidRPr="00362517">
              <w:rPr>
                <w:bCs/>
              </w:rPr>
              <w:t xml:space="preserve">$34,600 </w:t>
            </w:r>
          </w:p>
        </w:tc>
        <w:tc>
          <w:tcPr>
            <w:tcW w:w="1122" w:type="pct"/>
            <w:tcBorders>
              <w:top w:val="nil"/>
              <w:left w:val="nil"/>
              <w:bottom w:val="double" w:sz="6" w:space="0" w:color="auto"/>
              <w:right w:val="single" w:sz="8" w:space="0" w:color="auto"/>
            </w:tcBorders>
            <w:shd w:val="clear" w:color="auto" w:fill="auto"/>
            <w:noWrap/>
            <w:vAlign w:val="center"/>
            <w:hideMark/>
          </w:tcPr>
          <w:p w14:paraId="3CC64F74" w14:textId="77777777" w:rsidR="00D8365A" w:rsidRPr="00362517" w:rsidRDefault="00D8365A" w:rsidP="00BF6BC7">
            <w:pPr>
              <w:jc w:val="center"/>
            </w:pPr>
            <w:r w:rsidRPr="00362517">
              <w:rPr>
                <w:bCs/>
              </w:rPr>
              <w:t>$242,948-$359,877</w:t>
            </w:r>
          </w:p>
        </w:tc>
      </w:tr>
      <w:tr w:rsidR="00D8365A" w:rsidRPr="00362517" w14:paraId="6AC179D4" w14:textId="77777777" w:rsidTr="007A2164">
        <w:trPr>
          <w:cantSplit/>
          <w:trHeight w:val="840"/>
        </w:trPr>
        <w:tc>
          <w:tcPr>
            <w:tcW w:w="980" w:type="pct"/>
            <w:tcBorders>
              <w:top w:val="nil"/>
              <w:left w:val="single" w:sz="8" w:space="0" w:color="auto"/>
              <w:bottom w:val="single" w:sz="8" w:space="0" w:color="auto"/>
              <w:right w:val="single" w:sz="8" w:space="0" w:color="auto"/>
            </w:tcBorders>
            <w:shd w:val="clear" w:color="auto" w:fill="auto"/>
            <w:vAlign w:val="center"/>
            <w:hideMark/>
          </w:tcPr>
          <w:p w14:paraId="00C37E35" w14:textId="77777777" w:rsidR="00D8365A" w:rsidRPr="00362517" w:rsidRDefault="00D8365A" w:rsidP="00BF6BC7">
            <w:r w:rsidRPr="00362517">
              <w:rPr>
                <w:bCs/>
              </w:rPr>
              <w:t>Average impact; $25/year</w:t>
            </w:r>
          </w:p>
        </w:tc>
        <w:tc>
          <w:tcPr>
            <w:tcW w:w="1039" w:type="pct"/>
            <w:tcBorders>
              <w:top w:val="nil"/>
              <w:left w:val="nil"/>
              <w:bottom w:val="single" w:sz="8" w:space="0" w:color="auto"/>
              <w:right w:val="single" w:sz="8" w:space="0" w:color="auto"/>
            </w:tcBorders>
            <w:shd w:val="clear" w:color="auto" w:fill="auto"/>
            <w:vAlign w:val="center"/>
            <w:hideMark/>
          </w:tcPr>
          <w:p w14:paraId="66CD6C60" w14:textId="77777777" w:rsidR="00D8365A" w:rsidRPr="00362517" w:rsidRDefault="00D8365A" w:rsidP="00BF6BC7">
            <w:pPr>
              <w:jc w:val="center"/>
            </w:pPr>
            <w:r w:rsidRPr="00362517">
              <w:rPr>
                <w:bCs/>
              </w:rPr>
              <w:t>0.03-0.05%</w:t>
            </w:r>
          </w:p>
        </w:tc>
        <w:tc>
          <w:tcPr>
            <w:tcW w:w="872" w:type="pct"/>
            <w:tcBorders>
              <w:top w:val="nil"/>
              <w:left w:val="nil"/>
              <w:bottom w:val="single" w:sz="8" w:space="0" w:color="auto"/>
              <w:right w:val="single" w:sz="8" w:space="0" w:color="auto"/>
            </w:tcBorders>
            <w:shd w:val="clear" w:color="auto" w:fill="auto"/>
            <w:noWrap/>
            <w:vAlign w:val="center"/>
            <w:hideMark/>
          </w:tcPr>
          <w:p w14:paraId="71C396C2" w14:textId="77777777" w:rsidR="00D8365A" w:rsidRPr="00362517" w:rsidRDefault="00D8365A" w:rsidP="00BF6BC7">
            <w:pPr>
              <w:jc w:val="center"/>
            </w:pPr>
            <w:r w:rsidRPr="00362517">
              <w:rPr>
                <w:bCs/>
              </w:rPr>
              <w:t>0.60%</w:t>
            </w:r>
          </w:p>
        </w:tc>
        <w:tc>
          <w:tcPr>
            <w:tcW w:w="988" w:type="pct"/>
            <w:tcBorders>
              <w:top w:val="nil"/>
              <w:left w:val="nil"/>
              <w:bottom w:val="single" w:sz="8" w:space="0" w:color="auto"/>
              <w:right w:val="single" w:sz="8" w:space="0" w:color="auto"/>
            </w:tcBorders>
            <w:shd w:val="clear" w:color="auto" w:fill="auto"/>
            <w:noWrap/>
            <w:vAlign w:val="center"/>
            <w:hideMark/>
          </w:tcPr>
          <w:p w14:paraId="777B8DC1" w14:textId="77777777" w:rsidR="00D8365A" w:rsidRPr="00362517" w:rsidRDefault="00D8365A" w:rsidP="00BF6BC7">
            <w:pPr>
              <w:jc w:val="center"/>
            </w:pPr>
            <w:r w:rsidRPr="00362517">
              <w:rPr>
                <w:bCs/>
              </w:rPr>
              <w:t>0.07%</w:t>
            </w:r>
          </w:p>
        </w:tc>
        <w:tc>
          <w:tcPr>
            <w:tcW w:w="1122" w:type="pct"/>
            <w:tcBorders>
              <w:top w:val="nil"/>
              <w:left w:val="nil"/>
              <w:bottom w:val="single" w:sz="8" w:space="0" w:color="auto"/>
              <w:right w:val="single" w:sz="8" w:space="0" w:color="auto"/>
            </w:tcBorders>
            <w:shd w:val="clear" w:color="auto" w:fill="auto"/>
            <w:noWrap/>
            <w:vAlign w:val="center"/>
            <w:hideMark/>
          </w:tcPr>
          <w:p w14:paraId="59FA19ED" w14:textId="77777777" w:rsidR="00D8365A" w:rsidRPr="00362517" w:rsidRDefault="00D8365A" w:rsidP="00BF6BC7">
            <w:pPr>
              <w:jc w:val="center"/>
            </w:pPr>
            <w:r w:rsidRPr="00362517">
              <w:rPr>
                <w:bCs/>
              </w:rPr>
              <w:t>0.007-0.01%</w:t>
            </w:r>
          </w:p>
        </w:tc>
      </w:tr>
      <w:tr w:rsidR="00D8365A" w:rsidRPr="00362517" w14:paraId="783F4FE4" w14:textId="77777777" w:rsidTr="007A2164">
        <w:trPr>
          <w:cantSplit/>
          <w:trHeight w:val="871"/>
        </w:trPr>
        <w:tc>
          <w:tcPr>
            <w:tcW w:w="980" w:type="pct"/>
            <w:tcBorders>
              <w:top w:val="nil"/>
              <w:left w:val="single" w:sz="8" w:space="0" w:color="auto"/>
              <w:bottom w:val="single" w:sz="8" w:space="0" w:color="auto"/>
              <w:right w:val="single" w:sz="8" w:space="0" w:color="auto"/>
            </w:tcBorders>
            <w:shd w:val="clear" w:color="auto" w:fill="auto"/>
            <w:vAlign w:val="center"/>
            <w:hideMark/>
          </w:tcPr>
          <w:p w14:paraId="1B6BA6F7" w14:textId="77777777" w:rsidR="00D8365A" w:rsidRPr="00362517" w:rsidRDefault="00D8365A" w:rsidP="00BF6BC7">
            <w:r w:rsidRPr="00362517">
              <w:rPr>
                <w:bCs/>
              </w:rPr>
              <w:t>Kentucky; $107/year</w:t>
            </w:r>
          </w:p>
        </w:tc>
        <w:tc>
          <w:tcPr>
            <w:tcW w:w="1039" w:type="pct"/>
            <w:tcBorders>
              <w:top w:val="nil"/>
              <w:left w:val="nil"/>
              <w:bottom w:val="single" w:sz="8" w:space="0" w:color="auto"/>
              <w:right w:val="single" w:sz="8" w:space="0" w:color="auto"/>
            </w:tcBorders>
            <w:shd w:val="clear" w:color="auto" w:fill="auto"/>
            <w:vAlign w:val="center"/>
            <w:hideMark/>
          </w:tcPr>
          <w:p w14:paraId="0BF10941" w14:textId="77777777" w:rsidR="00D8365A" w:rsidRPr="00362517" w:rsidRDefault="00D8365A" w:rsidP="00BF6BC7">
            <w:pPr>
              <w:jc w:val="center"/>
            </w:pPr>
            <w:r w:rsidRPr="00362517">
              <w:rPr>
                <w:bCs/>
              </w:rPr>
              <w:t>0.13-0.20%</w:t>
            </w:r>
          </w:p>
        </w:tc>
        <w:tc>
          <w:tcPr>
            <w:tcW w:w="872" w:type="pct"/>
            <w:tcBorders>
              <w:top w:val="nil"/>
              <w:left w:val="nil"/>
              <w:bottom w:val="single" w:sz="8" w:space="0" w:color="auto"/>
              <w:right w:val="single" w:sz="8" w:space="0" w:color="auto"/>
            </w:tcBorders>
            <w:shd w:val="clear" w:color="auto" w:fill="auto"/>
            <w:noWrap/>
            <w:vAlign w:val="center"/>
            <w:hideMark/>
          </w:tcPr>
          <w:p w14:paraId="38FCCCF1" w14:textId="77777777" w:rsidR="00D8365A" w:rsidRPr="00362517" w:rsidRDefault="00D8365A" w:rsidP="00BF6BC7">
            <w:pPr>
              <w:jc w:val="center"/>
            </w:pPr>
            <w:r w:rsidRPr="00362517">
              <w:rPr>
                <w:bCs/>
              </w:rPr>
              <w:t>2.57%</w:t>
            </w:r>
          </w:p>
        </w:tc>
        <w:tc>
          <w:tcPr>
            <w:tcW w:w="988" w:type="pct"/>
            <w:tcBorders>
              <w:top w:val="nil"/>
              <w:left w:val="nil"/>
              <w:bottom w:val="single" w:sz="8" w:space="0" w:color="auto"/>
              <w:right w:val="single" w:sz="8" w:space="0" w:color="auto"/>
            </w:tcBorders>
            <w:shd w:val="clear" w:color="auto" w:fill="auto"/>
            <w:noWrap/>
            <w:vAlign w:val="center"/>
            <w:hideMark/>
          </w:tcPr>
          <w:p w14:paraId="554F1A95" w14:textId="77777777" w:rsidR="00D8365A" w:rsidRPr="00362517" w:rsidRDefault="00D8365A" w:rsidP="00BF6BC7">
            <w:pPr>
              <w:jc w:val="center"/>
            </w:pPr>
            <w:r w:rsidRPr="00362517">
              <w:rPr>
                <w:bCs/>
              </w:rPr>
              <w:t>0.31%</w:t>
            </w:r>
          </w:p>
        </w:tc>
        <w:tc>
          <w:tcPr>
            <w:tcW w:w="1122" w:type="pct"/>
            <w:tcBorders>
              <w:top w:val="nil"/>
              <w:left w:val="nil"/>
              <w:bottom w:val="single" w:sz="8" w:space="0" w:color="auto"/>
              <w:right w:val="single" w:sz="8" w:space="0" w:color="auto"/>
            </w:tcBorders>
            <w:shd w:val="clear" w:color="auto" w:fill="auto"/>
            <w:noWrap/>
            <w:vAlign w:val="center"/>
            <w:hideMark/>
          </w:tcPr>
          <w:p w14:paraId="56BBA895" w14:textId="77777777" w:rsidR="00D8365A" w:rsidRPr="00362517" w:rsidRDefault="00D8365A" w:rsidP="00BF6BC7">
            <w:pPr>
              <w:jc w:val="center"/>
            </w:pPr>
            <w:r w:rsidRPr="00362517">
              <w:rPr>
                <w:bCs/>
              </w:rPr>
              <w:t>0.03-0.04%</w:t>
            </w:r>
          </w:p>
        </w:tc>
      </w:tr>
    </w:tbl>
    <w:p w14:paraId="2FE8D005" w14:textId="77777777" w:rsidR="00D8365A" w:rsidRPr="00362517" w:rsidRDefault="00D8365A" w:rsidP="00BF6BC7">
      <w:pPr>
        <w:rPr>
          <w:sz w:val="22"/>
          <w:szCs w:val="22"/>
        </w:rPr>
      </w:pPr>
      <w:r w:rsidRPr="00362517">
        <w:rPr>
          <w:sz w:val="22"/>
          <w:szCs w:val="22"/>
        </w:rPr>
        <w:t>Source:  EPA calculations.</w:t>
      </w:r>
    </w:p>
    <w:p w14:paraId="118122C4" w14:textId="77777777" w:rsidR="00D8365A" w:rsidRPr="00362517" w:rsidRDefault="00D8365A" w:rsidP="00BF6BC7">
      <w:pPr>
        <w:rPr>
          <w:sz w:val="22"/>
          <w:szCs w:val="22"/>
        </w:rPr>
      </w:pPr>
      <w:r w:rsidRPr="00362517">
        <w:rPr>
          <w:sz w:val="22"/>
          <w:szCs w:val="22"/>
          <w:vertAlign w:val="superscript"/>
        </w:rPr>
        <w:t>1</w:t>
      </w:r>
      <w:r w:rsidRPr="00362517">
        <w:rPr>
          <w:sz w:val="22"/>
          <w:szCs w:val="22"/>
        </w:rPr>
        <w:t>These represent the magnitudes of impacts for the three farm types in Table 3.7-1 (crop farming, animal farming, and feedlots).</w:t>
      </w:r>
    </w:p>
    <w:p w14:paraId="221F6F9A" w14:textId="77777777" w:rsidR="00D8365A" w:rsidRPr="00362517" w:rsidRDefault="00D8365A" w:rsidP="00BF6BC7"/>
    <w:p w14:paraId="2B093BD7" w14:textId="77777777" w:rsidR="00D8365A" w:rsidRPr="00362517" w:rsidRDefault="00D8365A" w:rsidP="00BF6BC7">
      <w:r w:rsidRPr="00362517">
        <w:t xml:space="preserve">As shown in Table 3.7-3, the impact on the average small crop farm would range from 0.03 to 0.2 percent of average revenue, even for very high impacts.  However, an average impact of $25 per year would be about one percent or more for a farm making about $2,500 per year or less.  High impacts, as in states which currently require only two hours of training for initial certification of private applicators, would be greater than one percent of sales revenue for small-small farms, </w:t>
      </w:r>
      <w:r w:rsidRPr="00362517">
        <w:rPr>
          <w:i/>
        </w:rPr>
        <w:t>i.e.</w:t>
      </w:r>
      <w:r w:rsidRPr="00362517">
        <w:t>, those with revenues averaging less than $10,000 per year.  Impacts might exceed three percent of revenue for farms making less than $3,600 per year.</w:t>
      </w:r>
    </w:p>
    <w:p w14:paraId="1C49793B" w14:textId="77777777" w:rsidR="00D8365A" w:rsidRPr="00362517" w:rsidRDefault="00D8365A" w:rsidP="00BF6BC7"/>
    <w:p w14:paraId="49BC82E8" w14:textId="77777777" w:rsidR="00D8365A" w:rsidRPr="00362517" w:rsidRDefault="00D8365A" w:rsidP="00BF6BC7">
      <w:r w:rsidRPr="00362517">
        <w:t xml:space="preserve">EPA considers the number of small farms that may face impacts greater than one percent of annual revenues.  According to the 2012 Census of Agriculture (NASS, 2014c), there are 236,500 farms with revenues of $1,000 to $2,500 per year or less, averaging about $1,660 annually.  A conservative estimate for the proportion of farms using pesticides, based on farms with revenue up to $10,000 per year, would be 25 percent (NASS, 2008b), or fewer than 60,000 farms.  Of those, perhaps 20 percent would use RUPs, based on the percent of acres treated, or about 12,000 farms.  In one high-impact state, Kentucky, there are another 21,100 farms with annual revenue of $2,500 to $10,000, a range where impacts could be over one percent of annual revenue.  Of those, an estimated 1,000 might use RUPs.  In total, therefore, around 13,000 farms may face impacts of one percent or more of annual revenue.  These farms comprise less than one percent of all small farms and less than two percent of all small farms that use pesticides, which may be affected by the rule.  </w:t>
      </w:r>
    </w:p>
    <w:p w14:paraId="5FF6DA24" w14:textId="77777777" w:rsidR="00D8365A" w:rsidRPr="00362517" w:rsidRDefault="00D8365A" w:rsidP="00BF6BC7"/>
    <w:p w14:paraId="1C1B8B72" w14:textId="77777777" w:rsidR="00D8365A" w:rsidRPr="00362517" w:rsidRDefault="00D8365A" w:rsidP="00BF6BC7">
      <w:r w:rsidRPr="00362517">
        <w:t>As for farms that may face impacts greater than three percent of annual revenue, there are less than 20,000 farms in Kentucky earning less than $5,000 of which EPA estimates less than 1,000 use RUPs.  Including roughly 200 applicators in Alaska and Rhode Island, the other relatively high-cost jurisdictions, implies only around 1,200 small entities might face impacts in excess of three percent of annual revenue.</w:t>
      </w:r>
    </w:p>
    <w:p w14:paraId="67C14B42" w14:textId="77777777" w:rsidR="00D8365A" w:rsidRPr="00362517" w:rsidRDefault="00D8365A" w:rsidP="00BF6BC7"/>
    <w:p w14:paraId="7D7121AD" w14:textId="77777777" w:rsidR="00D8365A" w:rsidRPr="00362517" w:rsidRDefault="00D8365A" w:rsidP="00BF6BC7">
      <w:r w:rsidRPr="00362517">
        <w:t>Most of the impact of the final revisions on states that only meet the current requirements is a result of increased requirements for initial certification and recertification.  Kentucky already requires noncertified applicators to be trained and EPA anticipates only about 40 private applicators to obtain certification in non-soil fumigation.  It should be noted that private applicators in other states are currently obtaining and maintaining certifications under requirements very similar to the requirements in the final rule, and this is why impacts are smaller in most states (Table 3.6-1).</w:t>
      </w:r>
    </w:p>
    <w:p w14:paraId="7825EFF7" w14:textId="77777777" w:rsidR="00D8365A" w:rsidRPr="00362517" w:rsidRDefault="00D8365A" w:rsidP="00BF6BC7"/>
    <w:p w14:paraId="6273DC53" w14:textId="77777777" w:rsidR="00D8365A" w:rsidRPr="00362517" w:rsidRDefault="00D8365A" w:rsidP="00BF6BC7">
      <w:r w:rsidRPr="00362517">
        <w:t>An additional factor to consider is the final Worker Protection Standard (WPS) rule that recently published, which updates requirements for agricultural establishments hiring labor which perform certain agricultural tasks must meet when pesticides are used on the establishment.  Under the WPS, “hired labor” covers workers outside the immediate family who receive compensation for their work.  The WPS requirements include providing pesticide safety training for workers that will be entering treated fields and notifying employees when applications have been made so that they can take proper precautions.  A subset of the farms using RUPs, who are impacted by revisions to the certification requirements, will also employ workers and will also be impacted by the revised WPS.</w:t>
      </w:r>
    </w:p>
    <w:p w14:paraId="11D85743" w14:textId="77777777" w:rsidR="00D8365A" w:rsidRPr="00362517" w:rsidRDefault="00D8365A" w:rsidP="00BF6BC7"/>
    <w:p w14:paraId="33986987" w14:textId="77777777" w:rsidR="00D8365A" w:rsidRPr="00362517" w:rsidRDefault="00D8365A" w:rsidP="00BF6BC7">
      <w:r w:rsidRPr="00362517">
        <w:t>EPA estimated that, on average, small farms would face costs of about $130 per year from the final changes to the WPS.  These costs would essentially be additive to the estimated costs of changes to the certification requirements for farms that have a certified applicator and hire labor to work in the field or handle pesticides.  The average establishment in Kentucky would have combined costs of around $240 per year with impacts of less than one half of one percent of average gross revenues of small farms.</w:t>
      </w:r>
    </w:p>
    <w:p w14:paraId="79151EC1" w14:textId="77777777" w:rsidR="00D8365A" w:rsidRPr="00362517" w:rsidRDefault="00D8365A" w:rsidP="00BF6BC7"/>
    <w:p w14:paraId="3A49D397" w14:textId="77777777" w:rsidR="00D8365A" w:rsidRPr="00362517" w:rsidRDefault="00D8365A" w:rsidP="00BF6BC7">
      <w:r w:rsidRPr="00362517">
        <w:t>The number of small-small farms affected by both rules is likely to be small.  According to data from the 2007 Census of Agriculture (NASS, 2008b), there were about 316,000 small-small farms that used any kind of pesticide.  Of those, fewer than 60,000 farms also employed labor, or less than 20 percent, and might bear some impacts from the final changes to the WPS.  If, as above, about 20 percent of farms using pesticides use RUPs and rely on a certified applicator, then perhaps around 12,000 small-small farms in the U.S. might face impacts from changes to both the WPS and to the certification requirements.  This is around 0.8 percent of all small farms in the U.S. and less than four percent of small-small farms that use pesticides.</w:t>
      </w:r>
    </w:p>
    <w:p w14:paraId="3D471CE6" w14:textId="77777777" w:rsidR="00D8365A" w:rsidRPr="00362517" w:rsidRDefault="00D8365A" w:rsidP="00BF6BC7"/>
    <w:p w14:paraId="6C2C839C" w14:textId="77777777" w:rsidR="00D8365A" w:rsidRPr="00362517" w:rsidRDefault="00D8365A" w:rsidP="00BF6BC7">
      <w:pPr>
        <w:pStyle w:val="Heading3"/>
      </w:pPr>
      <w:bookmarkStart w:id="284" w:name="_Toc310953818"/>
      <w:bookmarkStart w:id="285" w:name="_Toc395177732"/>
      <w:bookmarkStart w:id="286" w:name="_Toc395788135"/>
      <w:bookmarkStart w:id="287" w:name="_Toc396808984"/>
      <w:bookmarkStart w:id="288" w:name="_Toc441650063"/>
      <w:bookmarkStart w:id="289" w:name="_Toc452020159"/>
      <w:bookmarkStart w:id="290" w:name="_Toc456270183"/>
      <w:bookmarkStart w:id="291" w:name="_Toc468872099"/>
      <w:r w:rsidRPr="00362517">
        <w:t>3.7.3</w:t>
      </w:r>
      <w:r w:rsidRPr="00362517">
        <w:tab/>
        <w:t>Commercial Applicator Establishments</w:t>
      </w:r>
      <w:bookmarkEnd w:id="284"/>
      <w:bookmarkEnd w:id="285"/>
      <w:bookmarkEnd w:id="286"/>
      <w:bookmarkEnd w:id="287"/>
      <w:bookmarkEnd w:id="288"/>
      <w:bookmarkEnd w:id="289"/>
      <w:bookmarkEnd w:id="290"/>
      <w:bookmarkEnd w:id="291"/>
    </w:p>
    <w:p w14:paraId="02C1F2A2" w14:textId="77777777" w:rsidR="00D8365A" w:rsidRPr="00362517" w:rsidRDefault="00D8365A" w:rsidP="00BF6BC7"/>
    <w:p w14:paraId="6585E72C" w14:textId="77777777" w:rsidR="00D8365A" w:rsidRPr="00362517" w:rsidRDefault="00D8365A" w:rsidP="00BF6BC7">
      <w:r w:rsidRPr="00362517">
        <w:t>Commercial pesticide applicators are employed by businesses that provide pest control services to a broad array of activities, including agricultural sites, urban and residential sites, and industrial sites.  The Small Business Administration (SBA) uses a variety of criteria in sizing commercial applicator establishments depending on a firm’s primary industry (as classified by its NAICS code).  The relevant criterion for small business designation may include revenue or the number of employees.</w:t>
      </w:r>
    </w:p>
    <w:p w14:paraId="5D027746" w14:textId="77777777" w:rsidR="00D8365A" w:rsidRPr="00362517" w:rsidRDefault="00D8365A" w:rsidP="00BF6BC7"/>
    <w:p w14:paraId="42A6A5AD" w14:textId="40B5FFB8" w:rsidR="00D8365A" w:rsidRPr="00362517" w:rsidRDefault="00D8365A" w:rsidP="00BF6BC7">
      <w:r w:rsidRPr="00362517">
        <w:t xml:space="preserve">Table 3.7-4 presents the SBA small-business thresholds, by NAICS code, used to determine the size of each firm in the commercial applicator establishments for small business impact analysis.  EPA expects these industries to be most heavily impacted by the final revisions to the certification rule.  There are other sectors such as </w:t>
      </w:r>
      <w:r w:rsidRPr="00362517">
        <w:rPr>
          <w:bCs/>
        </w:rPr>
        <w:t>water supply and irrigation systems </w:t>
      </w:r>
      <w:r w:rsidRPr="00362517">
        <w:t xml:space="preserve">and </w:t>
      </w:r>
      <w:r w:rsidRPr="00362517">
        <w:rPr>
          <w:bCs/>
        </w:rPr>
        <w:t>wood preservation</w:t>
      </w:r>
      <w:r w:rsidRPr="00362517">
        <w:t xml:space="preserve"> that will be impacted by the rule, but many firms in these sectors will hire applicators employed by firms in the four we discuss so the impacts would be indirect.     </w:t>
      </w:r>
    </w:p>
    <w:p w14:paraId="0E2EB13F" w14:textId="77777777" w:rsidR="00D8365A" w:rsidRPr="00362517" w:rsidRDefault="00D8365A" w:rsidP="00BF6BC7"/>
    <w:p w14:paraId="305277BC" w14:textId="77777777" w:rsidR="00D8365A" w:rsidRPr="00362517" w:rsidRDefault="00D8365A" w:rsidP="00BF6BC7">
      <w:pPr>
        <w:keepNext/>
        <w:rPr>
          <w:b/>
        </w:rPr>
      </w:pPr>
      <w:r w:rsidRPr="00362517">
        <w:rPr>
          <w:b/>
        </w:rPr>
        <w:t>Table 3.7-4.</w:t>
      </w:r>
      <w:r w:rsidRPr="00362517">
        <w:t xml:space="preserve">  </w:t>
      </w:r>
      <w:r w:rsidRPr="00362517">
        <w:rPr>
          <w:b/>
        </w:rPr>
        <w:t>Commercial Applicator Establishment Small Business Thresholds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3465"/>
        <w:gridCol w:w="2243"/>
        <w:gridCol w:w="2051"/>
      </w:tblGrid>
      <w:tr w:rsidR="00D8365A" w:rsidRPr="00362517" w14:paraId="59196B26" w14:textId="77777777" w:rsidTr="007A2164">
        <w:trPr>
          <w:cantSplit/>
          <w:trHeight w:val="304"/>
        </w:trPr>
        <w:tc>
          <w:tcPr>
            <w:tcW w:w="1601" w:type="dxa"/>
            <w:tcBorders>
              <w:top w:val="single" w:sz="4" w:space="0" w:color="auto"/>
              <w:left w:val="single" w:sz="4" w:space="0" w:color="auto"/>
              <w:bottom w:val="double" w:sz="4" w:space="0" w:color="auto"/>
              <w:right w:val="single" w:sz="4" w:space="0" w:color="auto"/>
            </w:tcBorders>
            <w:noWrap/>
            <w:vAlign w:val="center"/>
            <w:hideMark/>
          </w:tcPr>
          <w:p w14:paraId="66C82376" w14:textId="77777777" w:rsidR="00D8365A" w:rsidRPr="00362517" w:rsidRDefault="00D8365A" w:rsidP="00BF6BC7">
            <w:pPr>
              <w:keepNext/>
              <w:rPr>
                <w:b/>
              </w:rPr>
            </w:pPr>
            <w:r w:rsidRPr="00362517">
              <w:rPr>
                <w:b/>
              </w:rPr>
              <w:t>NAICS Code</w:t>
            </w:r>
          </w:p>
        </w:tc>
        <w:tc>
          <w:tcPr>
            <w:tcW w:w="3465" w:type="dxa"/>
            <w:tcBorders>
              <w:top w:val="single" w:sz="4" w:space="0" w:color="auto"/>
              <w:left w:val="single" w:sz="4" w:space="0" w:color="auto"/>
              <w:bottom w:val="double" w:sz="4" w:space="0" w:color="auto"/>
              <w:right w:val="single" w:sz="4" w:space="0" w:color="auto"/>
            </w:tcBorders>
            <w:vAlign w:val="center"/>
            <w:hideMark/>
          </w:tcPr>
          <w:p w14:paraId="2705609A" w14:textId="77777777" w:rsidR="00D8365A" w:rsidRPr="00362517" w:rsidRDefault="00D8365A" w:rsidP="00BF6BC7">
            <w:pPr>
              <w:keepNext/>
              <w:jc w:val="center"/>
              <w:rPr>
                <w:b/>
              </w:rPr>
            </w:pPr>
            <w:r w:rsidRPr="00362517">
              <w:rPr>
                <w:b/>
              </w:rPr>
              <w:t>NAICS Sector Description</w:t>
            </w:r>
          </w:p>
        </w:tc>
        <w:tc>
          <w:tcPr>
            <w:tcW w:w="2243" w:type="dxa"/>
            <w:tcBorders>
              <w:top w:val="single" w:sz="4" w:space="0" w:color="auto"/>
              <w:left w:val="single" w:sz="4" w:space="0" w:color="auto"/>
              <w:bottom w:val="double" w:sz="4" w:space="0" w:color="auto"/>
              <w:right w:val="single" w:sz="4" w:space="0" w:color="auto"/>
            </w:tcBorders>
            <w:noWrap/>
            <w:vAlign w:val="center"/>
            <w:hideMark/>
          </w:tcPr>
          <w:p w14:paraId="1457BBA8" w14:textId="77777777" w:rsidR="00D8365A" w:rsidRPr="00362517" w:rsidRDefault="00D8365A" w:rsidP="00BF6BC7">
            <w:pPr>
              <w:keepNext/>
              <w:jc w:val="center"/>
              <w:rPr>
                <w:b/>
              </w:rPr>
            </w:pPr>
            <w:r w:rsidRPr="00362517">
              <w:rPr>
                <w:b/>
              </w:rPr>
              <w:t>Sizing Criterion</w:t>
            </w:r>
          </w:p>
        </w:tc>
        <w:tc>
          <w:tcPr>
            <w:tcW w:w="2051" w:type="dxa"/>
            <w:tcBorders>
              <w:top w:val="single" w:sz="4" w:space="0" w:color="auto"/>
              <w:left w:val="single" w:sz="4" w:space="0" w:color="auto"/>
              <w:bottom w:val="double" w:sz="4" w:space="0" w:color="auto"/>
              <w:right w:val="single" w:sz="4" w:space="0" w:color="auto"/>
            </w:tcBorders>
            <w:noWrap/>
            <w:vAlign w:val="center"/>
            <w:hideMark/>
          </w:tcPr>
          <w:p w14:paraId="04C6C8FE" w14:textId="77777777" w:rsidR="00D8365A" w:rsidRPr="00362517" w:rsidRDefault="00D8365A" w:rsidP="00BF6BC7">
            <w:pPr>
              <w:keepNext/>
              <w:jc w:val="center"/>
              <w:rPr>
                <w:b/>
                <w:bCs/>
              </w:rPr>
            </w:pPr>
            <w:r w:rsidRPr="00362517">
              <w:rPr>
                <w:b/>
                <w:bCs/>
              </w:rPr>
              <w:t>Small Business Threshold</w:t>
            </w:r>
          </w:p>
        </w:tc>
      </w:tr>
      <w:tr w:rsidR="00D8365A" w:rsidRPr="00362517" w14:paraId="3E539E81" w14:textId="77777777" w:rsidTr="007A2164">
        <w:trPr>
          <w:cantSplit/>
          <w:trHeight w:val="315"/>
        </w:trPr>
        <w:tc>
          <w:tcPr>
            <w:tcW w:w="1601" w:type="dxa"/>
            <w:tcBorders>
              <w:top w:val="double" w:sz="4" w:space="0" w:color="auto"/>
              <w:left w:val="single" w:sz="4" w:space="0" w:color="auto"/>
              <w:bottom w:val="single" w:sz="4" w:space="0" w:color="auto"/>
              <w:right w:val="single" w:sz="4" w:space="0" w:color="auto"/>
            </w:tcBorders>
            <w:noWrap/>
            <w:vAlign w:val="center"/>
            <w:hideMark/>
          </w:tcPr>
          <w:p w14:paraId="3F307775" w14:textId="77777777" w:rsidR="00D8365A" w:rsidRPr="00362517" w:rsidRDefault="00D8365A" w:rsidP="00BF6BC7">
            <w:pPr>
              <w:keepNext/>
            </w:pPr>
            <w:r w:rsidRPr="00362517">
              <w:t>115112</w:t>
            </w:r>
          </w:p>
        </w:tc>
        <w:tc>
          <w:tcPr>
            <w:tcW w:w="3465" w:type="dxa"/>
            <w:tcBorders>
              <w:top w:val="double" w:sz="4" w:space="0" w:color="auto"/>
              <w:left w:val="single" w:sz="4" w:space="0" w:color="auto"/>
              <w:bottom w:val="single" w:sz="4" w:space="0" w:color="auto"/>
              <w:right w:val="single" w:sz="4" w:space="0" w:color="auto"/>
            </w:tcBorders>
            <w:vAlign w:val="center"/>
            <w:hideMark/>
          </w:tcPr>
          <w:p w14:paraId="41639780" w14:textId="77777777" w:rsidR="00D8365A" w:rsidRPr="00362517" w:rsidRDefault="00D8365A" w:rsidP="00BF6BC7">
            <w:pPr>
              <w:keepNext/>
            </w:pPr>
            <w:r w:rsidRPr="00362517">
              <w:rPr>
                <w:bCs/>
              </w:rPr>
              <w:t>Soil Preparation, Planting, and Cultivating </w:t>
            </w:r>
          </w:p>
        </w:tc>
        <w:tc>
          <w:tcPr>
            <w:tcW w:w="2243" w:type="dxa"/>
            <w:tcBorders>
              <w:top w:val="double" w:sz="4" w:space="0" w:color="auto"/>
              <w:left w:val="single" w:sz="4" w:space="0" w:color="auto"/>
              <w:bottom w:val="single" w:sz="4" w:space="0" w:color="auto"/>
              <w:right w:val="single" w:sz="4" w:space="0" w:color="auto"/>
            </w:tcBorders>
            <w:noWrap/>
            <w:vAlign w:val="center"/>
            <w:hideMark/>
          </w:tcPr>
          <w:p w14:paraId="24B7D4BB" w14:textId="77777777" w:rsidR="00D8365A" w:rsidRPr="00362517" w:rsidRDefault="00D8365A" w:rsidP="00BF6BC7">
            <w:pPr>
              <w:keepNext/>
              <w:jc w:val="center"/>
            </w:pPr>
            <w:r w:rsidRPr="00362517">
              <w:t>Revenue</w:t>
            </w:r>
          </w:p>
        </w:tc>
        <w:tc>
          <w:tcPr>
            <w:tcW w:w="2051" w:type="dxa"/>
            <w:tcBorders>
              <w:top w:val="double" w:sz="4" w:space="0" w:color="auto"/>
              <w:left w:val="single" w:sz="4" w:space="0" w:color="auto"/>
              <w:bottom w:val="single" w:sz="4" w:space="0" w:color="auto"/>
              <w:right w:val="single" w:sz="4" w:space="0" w:color="auto"/>
            </w:tcBorders>
            <w:noWrap/>
            <w:vAlign w:val="center"/>
            <w:hideMark/>
          </w:tcPr>
          <w:p w14:paraId="3B68CB7F" w14:textId="77777777" w:rsidR="00D8365A" w:rsidRPr="00362517" w:rsidRDefault="00D8365A" w:rsidP="00BF6BC7">
            <w:pPr>
              <w:keepNext/>
              <w:jc w:val="center"/>
              <w:rPr>
                <w:bCs/>
              </w:rPr>
            </w:pPr>
            <w:r w:rsidRPr="00362517">
              <w:rPr>
                <w:bCs/>
              </w:rPr>
              <w:t>$7,500,000</w:t>
            </w:r>
          </w:p>
        </w:tc>
      </w:tr>
      <w:tr w:rsidR="00D8365A" w:rsidRPr="00362517" w14:paraId="09BCF48B" w14:textId="77777777" w:rsidTr="007A2164">
        <w:trPr>
          <w:cantSplit/>
          <w:trHeight w:val="315"/>
        </w:trPr>
        <w:tc>
          <w:tcPr>
            <w:tcW w:w="1601" w:type="dxa"/>
            <w:tcBorders>
              <w:top w:val="single" w:sz="4" w:space="0" w:color="auto"/>
              <w:left w:val="single" w:sz="4" w:space="0" w:color="auto"/>
              <w:bottom w:val="single" w:sz="4" w:space="0" w:color="auto"/>
              <w:right w:val="single" w:sz="4" w:space="0" w:color="auto"/>
            </w:tcBorders>
            <w:noWrap/>
            <w:vAlign w:val="center"/>
            <w:hideMark/>
          </w:tcPr>
          <w:p w14:paraId="28F48CC3" w14:textId="77777777" w:rsidR="00D8365A" w:rsidRPr="00362517" w:rsidRDefault="00D8365A" w:rsidP="00BF6BC7">
            <w:r w:rsidRPr="00362517">
              <w:t>115210</w:t>
            </w:r>
          </w:p>
        </w:tc>
        <w:tc>
          <w:tcPr>
            <w:tcW w:w="3465" w:type="dxa"/>
            <w:tcBorders>
              <w:top w:val="single" w:sz="4" w:space="0" w:color="auto"/>
              <w:left w:val="single" w:sz="4" w:space="0" w:color="auto"/>
              <w:bottom w:val="single" w:sz="4" w:space="0" w:color="auto"/>
              <w:right w:val="single" w:sz="4" w:space="0" w:color="auto"/>
            </w:tcBorders>
            <w:vAlign w:val="center"/>
            <w:hideMark/>
          </w:tcPr>
          <w:p w14:paraId="48C8DCC5" w14:textId="77777777" w:rsidR="00D8365A" w:rsidRPr="00362517" w:rsidRDefault="00D8365A" w:rsidP="00BF6BC7">
            <w:r w:rsidRPr="00362517">
              <w:rPr>
                <w:bCs/>
              </w:rPr>
              <w:t>Support Activities for Animal Production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14:paraId="5CCA59CA" w14:textId="77777777" w:rsidR="00D8365A" w:rsidRPr="00362517" w:rsidRDefault="00D8365A" w:rsidP="00BF6BC7">
            <w:pPr>
              <w:jc w:val="center"/>
            </w:pPr>
            <w:r w:rsidRPr="00362517">
              <w:t>Revenue</w:t>
            </w:r>
          </w:p>
        </w:tc>
        <w:tc>
          <w:tcPr>
            <w:tcW w:w="2051" w:type="dxa"/>
            <w:tcBorders>
              <w:top w:val="single" w:sz="4" w:space="0" w:color="auto"/>
              <w:left w:val="single" w:sz="4" w:space="0" w:color="auto"/>
              <w:bottom w:val="single" w:sz="4" w:space="0" w:color="auto"/>
              <w:right w:val="single" w:sz="4" w:space="0" w:color="auto"/>
            </w:tcBorders>
            <w:noWrap/>
            <w:vAlign w:val="center"/>
            <w:hideMark/>
          </w:tcPr>
          <w:p w14:paraId="59E38D9F" w14:textId="77777777" w:rsidR="00D8365A" w:rsidRPr="00362517" w:rsidRDefault="00D8365A" w:rsidP="00BF6BC7">
            <w:pPr>
              <w:jc w:val="center"/>
              <w:rPr>
                <w:bCs/>
              </w:rPr>
            </w:pPr>
            <w:r w:rsidRPr="00362517">
              <w:rPr>
                <w:bCs/>
              </w:rPr>
              <w:t>$7,500,000</w:t>
            </w:r>
          </w:p>
        </w:tc>
      </w:tr>
      <w:tr w:rsidR="00D8365A" w:rsidRPr="00362517" w14:paraId="0B8F262D" w14:textId="77777777" w:rsidTr="007A2164">
        <w:trPr>
          <w:cantSplit/>
          <w:trHeight w:val="575"/>
        </w:trPr>
        <w:tc>
          <w:tcPr>
            <w:tcW w:w="1601" w:type="dxa"/>
            <w:tcBorders>
              <w:top w:val="single" w:sz="4" w:space="0" w:color="auto"/>
              <w:left w:val="single" w:sz="4" w:space="0" w:color="auto"/>
              <w:bottom w:val="single" w:sz="4" w:space="0" w:color="auto"/>
              <w:right w:val="single" w:sz="4" w:space="0" w:color="auto"/>
            </w:tcBorders>
            <w:noWrap/>
            <w:vAlign w:val="center"/>
            <w:hideMark/>
          </w:tcPr>
          <w:p w14:paraId="30FE1B90" w14:textId="77777777" w:rsidR="00D8365A" w:rsidRPr="00362517" w:rsidRDefault="00D8365A" w:rsidP="00BF6BC7">
            <w:r w:rsidRPr="00362517">
              <w:t>561710</w:t>
            </w:r>
          </w:p>
        </w:tc>
        <w:tc>
          <w:tcPr>
            <w:tcW w:w="3465" w:type="dxa"/>
            <w:tcBorders>
              <w:top w:val="single" w:sz="4" w:space="0" w:color="auto"/>
              <w:left w:val="single" w:sz="4" w:space="0" w:color="auto"/>
              <w:bottom w:val="single" w:sz="4" w:space="0" w:color="auto"/>
              <w:right w:val="single" w:sz="4" w:space="0" w:color="auto"/>
            </w:tcBorders>
            <w:vAlign w:val="center"/>
            <w:hideMark/>
          </w:tcPr>
          <w:p w14:paraId="1F743D74" w14:textId="77777777" w:rsidR="00D8365A" w:rsidRPr="00362517" w:rsidRDefault="00D8365A" w:rsidP="00BF6BC7">
            <w:r w:rsidRPr="00362517">
              <w:rPr>
                <w:bCs/>
              </w:rPr>
              <w:t>Exterminating and Pest Control Services</w:t>
            </w:r>
          </w:p>
        </w:tc>
        <w:tc>
          <w:tcPr>
            <w:tcW w:w="2243" w:type="dxa"/>
            <w:tcBorders>
              <w:top w:val="single" w:sz="4" w:space="0" w:color="auto"/>
              <w:left w:val="single" w:sz="4" w:space="0" w:color="auto"/>
              <w:bottom w:val="single" w:sz="4" w:space="0" w:color="auto"/>
              <w:right w:val="single" w:sz="4" w:space="0" w:color="auto"/>
            </w:tcBorders>
            <w:noWrap/>
            <w:vAlign w:val="center"/>
            <w:hideMark/>
          </w:tcPr>
          <w:p w14:paraId="49665252" w14:textId="77777777" w:rsidR="00D8365A" w:rsidRPr="00362517" w:rsidRDefault="00D8365A" w:rsidP="00BF6BC7">
            <w:pPr>
              <w:jc w:val="center"/>
            </w:pPr>
            <w:r w:rsidRPr="00362517">
              <w:t>Revenue</w:t>
            </w:r>
          </w:p>
        </w:tc>
        <w:tc>
          <w:tcPr>
            <w:tcW w:w="2051" w:type="dxa"/>
            <w:tcBorders>
              <w:top w:val="single" w:sz="4" w:space="0" w:color="auto"/>
              <w:left w:val="single" w:sz="4" w:space="0" w:color="auto"/>
              <w:bottom w:val="single" w:sz="4" w:space="0" w:color="auto"/>
              <w:right w:val="single" w:sz="4" w:space="0" w:color="auto"/>
            </w:tcBorders>
            <w:noWrap/>
            <w:vAlign w:val="center"/>
            <w:hideMark/>
          </w:tcPr>
          <w:p w14:paraId="7571030E" w14:textId="77777777" w:rsidR="00D8365A" w:rsidRPr="00362517" w:rsidRDefault="00D8365A" w:rsidP="00BF6BC7">
            <w:pPr>
              <w:jc w:val="center"/>
              <w:rPr>
                <w:bCs/>
              </w:rPr>
            </w:pPr>
            <w:r w:rsidRPr="00362517">
              <w:rPr>
                <w:bCs/>
              </w:rPr>
              <w:t>$11,000,000</w:t>
            </w:r>
          </w:p>
        </w:tc>
      </w:tr>
      <w:tr w:rsidR="00D8365A" w:rsidRPr="00362517" w14:paraId="26C39917" w14:textId="77777777" w:rsidTr="007A2164">
        <w:trPr>
          <w:cantSplit/>
          <w:trHeight w:val="521"/>
        </w:trPr>
        <w:tc>
          <w:tcPr>
            <w:tcW w:w="1601" w:type="dxa"/>
            <w:tcBorders>
              <w:top w:val="single" w:sz="4" w:space="0" w:color="auto"/>
              <w:left w:val="single" w:sz="4" w:space="0" w:color="auto"/>
              <w:bottom w:val="single" w:sz="12" w:space="0" w:color="auto"/>
              <w:right w:val="single" w:sz="4" w:space="0" w:color="auto"/>
            </w:tcBorders>
            <w:noWrap/>
            <w:vAlign w:val="center"/>
            <w:hideMark/>
          </w:tcPr>
          <w:p w14:paraId="0DB84A04" w14:textId="77777777" w:rsidR="00D8365A" w:rsidRPr="00362517" w:rsidRDefault="00D8365A" w:rsidP="00BF6BC7">
            <w:pPr>
              <w:rPr>
                <w:bCs/>
              </w:rPr>
            </w:pPr>
            <w:r w:rsidRPr="00362517">
              <w:rPr>
                <w:bCs/>
              </w:rPr>
              <w:t>561730</w:t>
            </w:r>
          </w:p>
        </w:tc>
        <w:tc>
          <w:tcPr>
            <w:tcW w:w="3465" w:type="dxa"/>
            <w:tcBorders>
              <w:top w:val="single" w:sz="4" w:space="0" w:color="auto"/>
              <w:left w:val="single" w:sz="4" w:space="0" w:color="auto"/>
              <w:bottom w:val="single" w:sz="12" w:space="0" w:color="auto"/>
              <w:right w:val="single" w:sz="4" w:space="0" w:color="auto"/>
            </w:tcBorders>
            <w:vAlign w:val="center"/>
            <w:hideMark/>
          </w:tcPr>
          <w:p w14:paraId="71FC41BC" w14:textId="77777777" w:rsidR="00D8365A" w:rsidRPr="00362517" w:rsidRDefault="00D8365A" w:rsidP="00BF6BC7">
            <w:pPr>
              <w:rPr>
                <w:bCs/>
              </w:rPr>
            </w:pPr>
            <w:r w:rsidRPr="00362517">
              <w:rPr>
                <w:bCs/>
              </w:rPr>
              <w:t>Landscaping Services</w:t>
            </w:r>
          </w:p>
        </w:tc>
        <w:tc>
          <w:tcPr>
            <w:tcW w:w="2243" w:type="dxa"/>
            <w:tcBorders>
              <w:top w:val="single" w:sz="4" w:space="0" w:color="auto"/>
              <w:left w:val="single" w:sz="4" w:space="0" w:color="auto"/>
              <w:bottom w:val="single" w:sz="12" w:space="0" w:color="auto"/>
              <w:right w:val="single" w:sz="4" w:space="0" w:color="auto"/>
            </w:tcBorders>
            <w:noWrap/>
            <w:vAlign w:val="center"/>
            <w:hideMark/>
          </w:tcPr>
          <w:p w14:paraId="7572B1AB" w14:textId="77777777" w:rsidR="00D8365A" w:rsidRPr="00362517" w:rsidRDefault="00D8365A" w:rsidP="00BF6BC7">
            <w:pPr>
              <w:jc w:val="center"/>
              <w:rPr>
                <w:bCs/>
              </w:rPr>
            </w:pPr>
            <w:r w:rsidRPr="00362517">
              <w:rPr>
                <w:bCs/>
              </w:rPr>
              <w:t>Revenue</w:t>
            </w:r>
          </w:p>
        </w:tc>
        <w:tc>
          <w:tcPr>
            <w:tcW w:w="2051" w:type="dxa"/>
            <w:tcBorders>
              <w:top w:val="single" w:sz="4" w:space="0" w:color="auto"/>
              <w:left w:val="single" w:sz="4" w:space="0" w:color="auto"/>
              <w:bottom w:val="single" w:sz="12" w:space="0" w:color="auto"/>
              <w:right w:val="single" w:sz="4" w:space="0" w:color="auto"/>
            </w:tcBorders>
            <w:noWrap/>
            <w:vAlign w:val="center"/>
            <w:hideMark/>
          </w:tcPr>
          <w:p w14:paraId="4C16EE5F" w14:textId="77777777" w:rsidR="00D8365A" w:rsidRPr="00362517" w:rsidRDefault="00D8365A" w:rsidP="00BF6BC7">
            <w:pPr>
              <w:jc w:val="center"/>
              <w:rPr>
                <w:bCs/>
              </w:rPr>
            </w:pPr>
            <w:r w:rsidRPr="00362517">
              <w:rPr>
                <w:bCs/>
              </w:rPr>
              <w:t>$7,500,000</w:t>
            </w:r>
          </w:p>
        </w:tc>
      </w:tr>
    </w:tbl>
    <w:p w14:paraId="38D4D462" w14:textId="77777777" w:rsidR="00D8365A" w:rsidRPr="00362517" w:rsidRDefault="00D8365A" w:rsidP="00BF6BC7">
      <w:pPr>
        <w:rPr>
          <w:sz w:val="22"/>
          <w:szCs w:val="22"/>
        </w:rPr>
      </w:pPr>
      <w:r w:rsidRPr="00362517">
        <w:rPr>
          <w:sz w:val="22"/>
          <w:szCs w:val="22"/>
        </w:rPr>
        <w:t>Source:</w:t>
      </w:r>
      <w:r w:rsidRPr="00362517">
        <w:rPr>
          <w:sz w:val="22"/>
          <w:szCs w:val="22"/>
        </w:rPr>
        <w:tab/>
        <w:t>SBA, 2014.</w:t>
      </w:r>
    </w:p>
    <w:p w14:paraId="57E482F3" w14:textId="77777777" w:rsidR="00D8365A" w:rsidRPr="00362517" w:rsidRDefault="00D8365A" w:rsidP="00BF6BC7"/>
    <w:p w14:paraId="74808BD3" w14:textId="77777777" w:rsidR="00D8365A" w:rsidRPr="00362517" w:rsidRDefault="00D8365A" w:rsidP="00BF6BC7">
      <w:r w:rsidRPr="00362517">
        <w:t>Existing category certifications cover different sites.  In addition to agricultural certifications, there are categories, such as rights-of-way, which is relevant to utility companies; aquatic sites, which is relevant to water supply and irrigation systems and other activities; and ornamental/turf sites, which would be required for landscaping services.  The new certification categories are application type focused and will be required by different types of services.  For example, power transmission systems may need to hire applicators with aerial certification to reach some of their rights-of-way and some exterminators would likely need certification in structural fumigation.</w:t>
      </w:r>
    </w:p>
    <w:p w14:paraId="02811EE8" w14:textId="77777777" w:rsidR="00D8365A" w:rsidRPr="00362517" w:rsidRDefault="00D8365A" w:rsidP="00BF6BC7"/>
    <w:p w14:paraId="2E8B6A7F" w14:textId="77777777" w:rsidR="00D8365A" w:rsidRPr="00362517" w:rsidRDefault="00D8365A" w:rsidP="00BF6BC7">
      <w:pPr>
        <w:rPr>
          <w:bCs/>
        </w:rPr>
      </w:pPr>
    </w:p>
    <w:p w14:paraId="3581572B" w14:textId="77777777" w:rsidR="00D8365A" w:rsidRPr="00362517" w:rsidRDefault="00D8365A" w:rsidP="00BF6BC7">
      <w:pPr>
        <w:pStyle w:val="Heading4"/>
      </w:pPr>
      <w:r w:rsidRPr="00362517">
        <w:t>Profile of Commercial Applicator Establishments</w:t>
      </w:r>
    </w:p>
    <w:p w14:paraId="3DF9CC9C" w14:textId="77777777" w:rsidR="00D8365A" w:rsidRPr="00362517" w:rsidRDefault="00D8365A" w:rsidP="00BF6BC7">
      <w:r w:rsidRPr="00362517">
        <w:t>For this analysis, EPA focuses on entities providing pest control services, rather than the broader array of entities that may require pest control services.  In particular, we narrow the analysis to Agricultural Pesticide Services, within NAICS codes 115112 and 115210, Exterminating and Pest Control Services (561710), and Landscaping Services (561730).  Table 3.7-5 presents the number of small establishments and financial and employee information, based on information obtained from the Dunn and Bradstreet (D&amp;B, 2014) database of U.S. commercial establishments.  The small firms account for over 99 percent of the firms in these sectors.  Compared to the small business size thresholds of the Small Business Administration, which range from $7.5 million to $11 million annually, the average annual revenues shown here would seem to represent some of the smallest firms.</w:t>
      </w:r>
    </w:p>
    <w:p w14:paraId="332B5B28" w14:textId="77777777" w:rsidR="00D8365A" w:rsidRPr="00362517" w:rsidRDefault="00D8365A" w:rsidP="00BF6BC7">
      <w:pPr>
        <w:rPr>
          <w:b/>
        </w:rPr>
      </w:pPr>
    </w:p>
    <w:p w14:paraId="2154E93F" w14:textId="77777777" w:rsidR="00D8365A" w:rsidRPr="00362517" w:rsidRDefault="00D8365A" w:rsidP="00BF6BC7">
      <w:pPr>
        <w:rPr>
          <w:b/>
        </w:rPr>
      </w:pPr>
      <w:r w:rsidRPr="00362517">
        <w:rPr>
          <w:b/>
        </w:rPr>
        <w:t>Table 3.7-5.</w:t>
      </w:r>
      <w:r w:rsidRPr="00362517">
        <w:t xml:space="preserve">  </w:t>
      </w:r>
      <w:r w:rsidRPr="00362517">
        <w:rPr>
          <w:b/>
        </w:rPr>
        <w:t>Size Distribution of Establishments that Employ Commercial Applicators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2376"/>
        <w:gridCol w:w="2376"/>
        <w:gridCol w:w="2376"/>
      </w:tblGrid>
      <w:tr w:rsidR="00D8365A" w:rsidRPr="00362517" w14:paraId="0671547D" w14:textId="77777777" w:rsidTr="007A2164">
        <w:trPr>
          <w:cantSplit/>
          <w:trHeight w:val="819"/>
        </w:trPr>
        <w:tc>
          <w:tcPr>
            <w:tcW w:w="2988" w:type="dxa"/>
            <w:tcBorders>
              <w:top w:val="single" w:sz="4" w:space="0" w:color="auto"/>
              <w:left w:val="single" w:sz="4" w:space="0" w:color="auto"/>
              <w:bottom w:val="double" w:sz="4" w:space="0" w:color="auto"/>
              <w:right w:val="single" w:sz="4" w:space="0" w:color="auto"/>
            </w:tcBorders>
            <w:noWrap/>
            <w:vAlign w:val="center"/>
            <w:hideMark/>
          </w:tcPr>
          <w:p w14:paraId="5184D5F3" w14:textId="77777777" w:rsidR="00D8365A" w:rsidRPr="00362517" w:rsidRDefault="00D8365A" w:rsidP="00BF6BC7">
            <w:pPr>
              <w:rPr>
                <w:b/>
              </w:rPr>
            </w:pPr>
            <w:r w:rsidRPr="00362517">
              <w:rPr>
                <w:b/>
              </w:rPr>
              <w:t>Entity</w:t>
            </w:r>
          </w:p>
        </w:tc>
        <w:tc>
          <w:tcPr>
            <w:tcW w:w="3186" w:type="dxa"/>
            <w:tcBorders>
              <w:top w:val="single" w:sz="4" w:space="0" w:color="auto"/>
              <w:left w:val="single" w:sz="4" w:space="0" w:color="auto"/>
              <w:bottom w:val="double" w:sz="4" w:space="0" w:color="auto"/>
              <w:right w:val="single" w:sz="4" w:space="0" w:color="auto"/>
            </w:tcBorders>
            <w:vAlign w:val="center"/>
            <w:hideMark/>
          </w:tcPr>
          <w:p w14:paraId="7010B0BA" w14:textId="77777777" w:rsidR="00D8365A" w:rsidRPr="00362517" w:rsidRDefault="00D8365A" w:rsidP="00BF6BC7">
            <w:pPr>
              <w:jc w:val="center"/>
              <w:rPr>
                <w:b/>
              </w:rPr>
            </w:pPr>
            <w:r w:rsidRPr="00362517">
              <w:rPr>
                <w:b/>
              </w:rPr>
              <w:t>Number of small establishments</w:t>
            </w:r>
          </w:p>
        </w:tc>
        <w:tc>
          <w:tcPr>
            <w:tcW w:w="3186" w:type="dxa"/>
            <w:tcBorders>
              <w:top w:val="single" w:sz="4" w:space="0" w:color="auto"/>
              <w:left w:val="single" w:sz="4" w:space="0" w:color="auto"/>
              <w:bottom w:val="double" w:sz="4" w:space="0" w:color="auto"/>
              <w:right w:val="single" w:sz="4" w:space="0" w:color="auto"/>
            </w:tcBorders>
            <w:vAlign w:val="center"/>
            <w:hideMark/>
          </w:tcPr>
          <w:p w14:paraId="4B58CD86" w14:textId="77777777" w:rsidR="00D8365A" w:rsidRPr="00362517" w:rsidRDefault="00D8365A" w:rsidP="00BF6BC7">
            <w:pPr>
              <w:jc w:val="center"/>
              <w:rPr>
                <w:b/>
              </w:rPr>
            </w:pPr>
            <w:r w:rsidRPr="00362517">
              <w:rPr>
                <w:b/>
              </w:rPr>
              <w:t>Average Revenue</w:t>
            </w:r>
          </w:p>
        </w:tc>
        <w:tc>
          <w:tcPr>
            <w:tcW w:w="3186" w:type="dxa"/>
            <w:tcBorders>
              <w:top w:val="single" w:sz="4" w:space="0" w:color="auto"/>
              <w:left w:val="single" w:sz="4" w:space="0" w:color="auto"/>
              <w:bottom w:val="double" w:sz="4" w:space="0" w:color="auto"/>
              <w:right w:val="single" w:sz="4" w:space="0" w:color="auto"/>
            </w:tcBorders>
            <w:vAlign w:val="center"/>
            <w:hideMark/>
          </w:tcPr>
          <w:p w14:paraId="28D1748F" w14:textId="77777777" w:rsidR="00D8365A" w:rsidRPr="00362517" w:rsidRDefault="00D8365A" w:rsidP="00BF6BC7">
            <w:pPr>
              <w:jc w:val="center"/>
              <w:rPr>
                <w:b/>
              </w:rPr>
            </w:pPr>
            <w:r w:rsidRPr="00362517">
              <w:rPr>
                <w:b/>
              </w:rPr>
              <w:t>Average Number of Employees</w:t>
            </w:r>
          </w:p>
        </w:tc>
      </w:tr>
      <w:tr w:rsidR="00D8365A" w:rsidRPr="00362517" w14:paraId="3895CF1C" w14:textId="77777777" w:rsidTr="007A2164">
        <w:trPr>
          <w:cantSplit/>
          <w:trHeight w:val="205"/>
        </w:trPr>
        <w:tc>
          <w:tcPr>
            <w:tcW w:w="2988" w:type="dxa"/>
            <w:tcBorders>
              <w:top w:val="double" w:sz="4" w:space="0" w:color="auto"/>
              <w:left w:val="single" w:sz="4" w:space="0" w:color="auto"/>
              <w:bottom w:val="single" w:sz="4" w:space="0" w:color="auto"/>
              <w:right w:val="single" w:sz="4" w:space="0" w:color="auto"/>
            </w:tcBorders>
            <w:noWrap/>
            <w:vAlign w:val="center"/>
            <w:hideMark/>
          </w:tcPr>
          <w:p w14:paraId="44C2FE46" w14:textId="77777777" w:rsidR="00D8365A" w:rsidRPr="00362517" w:rsidRDefault="00D8365A" w:rsidP="00BF6BC7">
            <w:r w:rsidRPr="00362517">
              <w:t>Agricultural Pesticide Services</w:t>
            </w:r>
          </w:p>
        </w:tc>
        <w:tc>
          <w:tcPr>
            <w:tcW w:w="3186" w:type="dxa"/>
            <w:tcBorders>
              <w:top w:val="double" w:sz="4" w:space="0" w:color="auto"/>
              <w:left w:val="single" w:sz="4" w:space="0" w:color="auto"/>
              <w:bottom w:val="single" w:sz="4" w:space="0" w:color="auto"/>
              <w:right w:val="single" w:sz="4" w:space="0" w:color="auto"/>
            </w:tcBorders>
            <w:noWrap/>
            <w:vAlign w:val="center"/>
            <w:hideMark/>
          </w:tcPr>
          <w:p w14:paraId="07A1AC7C" w14:textId="77777777" w:rsidR="00D8365A" w:rsidRPr="00362517" w:rsidRDefault="00D8365A" w:rsidP="00BF6BC7">
            <w:pPr>
              <w:tabs>
                <w:tab w:val="decimal" w:pos="1527"/>
              </w:tabs>
            </w:pPr>
            <w:r w:rsidRPr="00362517">
              <w:t>22,760</w:t>
            </w:r>
          </w:p>
        </w:tc>
        <w:tc>
          <w:tcPr>
            <w:tcW w:w="3186" w:type="dxa"/>
            <w:tcBorders>
              <w:top w:val="double" w:sz="4" w:space="0" w:color="auto"/>
              <w:left w:val="single" w:sz="4" w:space="0" w:color="auto"/>
              <w:bottom w:val="single" w:sz="4" w:space="0" w:color="auto"/>
              <w:right w:val="single" w:sz="4" w:space="0" w:color="auto"/>
            </w:tcBorders>
            <w:noWrap/>
            <w:vAlign w:val="center"/>
            <w:hideMark/>
          </w:tcPr>
          <w:p w14:paraId="6062B77C" w14:textId="77777777" w:rsidR="00D8365A" w:rsidRPr="00362517" w:rsidRDefault="00D8365A" w:rsidP="00BF6BC7">
            <w:pPr>
              <w:tabs>
                <w:tab w:val="decimal" w:pos="1487"/>
              </w:tabs>
            </w:pPr>
            <w:r w:rsidRPr="00362517">
              <w:t>$160,700</w:t>
            </w:r>
          </w:p>
        </w:tc>
        <w:tc>
          <w:tcPr>
            <w:tcW w:w="3186" w:type="dxa"/>
            <w:tcBorders>
              <w:top w:val="double" w:sz="4" w:space="0" w:color="auto"/>
              <w:left w:val="single" w:sz="4" w:space="0" w:color="auto"/>
              <w:bottom w:val="single" w:sz="4" w:space="0" w:color="auto"/>
              <w:right w:val="single" w:sz="4" w:space="0" w:color="auto"/>
            </w:tcBorders>
            <w:vAlign w:val="center"/>
            <w:hideMark/>
          </w:tcPr>
          <w:p w14:paraId="4625F0DB" w14:textId="77777777" w:rsidR="00D8365A" w:rsidRPr="00362517" w:rsidRDefault="00D8365A" w:rsidP="00BF6BC7">
            <w:pPr>
              <w:jc w:val="center"/>
            </w:pPr>
            <w:r w:rsidRPr="00362517">
              <w:t>3</w:t>
            </w:r>
          </w:p>
        </w:tc>
      </w:tr>
      <w:tr w:rsidR="00D8365A" w:rsidRPr="00362517" w14:paraId="71081DC6" w14:textId="77777777" w:rsidTr="007A2164">
        <w:trPr>
          <w:cantSplit/>
          <w:trHeight w:val="205"/>
        </w:trPr>
        <w:tc>
          <w:tcPr>
            <w:tcW w:w="2988" w:type="dxa"/>
            <w:tcBorders>
              <w:top w:val="single" w:sz="4" w:space="0" w:color="auto"/>
              <w:left w:val="single" w:sz="4" w:space="0" w:color="auto"/>
              <w:bottom w:val="single" w:sz="4" w:space="0" w:color="auto"/>
              <w:right w:val="single" w:sz="4" w:space="0" w:color="auto"/>
            </w:tcBorders>
            <w:noWrap/>
            <w:vAlign w:val="center"/>
            <w:hideMark/>
          </w:tcPr>
          <w:p w14:paraId="66373EEF" w14:textId="77777777" w:rsidR="00D8365A" w:rsidRPr="00362517" w:rsidRDefault="00D8365A" w:rsidP="00BF6BC7">
            <w:r w:rsidRPr="00362517">
              <w:t>Exterminating and Pest Control Services</w:t>
            </w:r>
          </w:p>
        </w:tc>
        <w:tc>
          <w:tcPr>
            <w:tcW w:w="3186" w:type="dxa"/>
            <w:tcBorders>
              <w:top w:val="single" w:sz="4" w:space="0" w:color="auto"/>
              <w:left w:val="single" w:sz="4" w:space="0" w:color="auto"/>
              <w:bottom w:val="single" w:sz="4" w:space="0" w:color="auto"/>
              <w:right w:val="single" w:sz="4" w:space="0" w:color="auto"/>
            </w:tcBorders>
            <w:noWrap/>
            <w:vAlign w:val="center"/>
            <w:hideMark/>
          </w:tcPr>
          <w:p w14:paraId="707647E3" w14:textId="77777777" w:rsidR="00D8365A" w:rsidRPr="00362517" w:rsidRDefault="00D8365A" w:rsidP="00BF6BC7">
            <w:pPr>
              <w:tabs>
                <w:tab w:val="decimal" w:pos="1527"/>
              </w:tabs>
            </w:pPr>
            <w:r w:rsidRPr="00362517">
              <w:t>23,807</w:t>
            </w:r>
          </w:p>
        </w:tc>
        <w:tc>
          <w:tcPr>
            <w:tcW w:w="3186" w:type="dxa"/>
            <w:tcBorders>
              <w:top w:val="single" w:sz="4" w:space="0" w:color="auto"/>
              <w:left w:val="single" w:sz="4" w:space="0" w:color="auto"/>
              <w:bottom w:val="single" w:sz="4" w:space="0" w:color="auto"/>
              <w:right w:val="single" w:sz="4" w:space="0" w:color="auto"/>
            </w:tcBorders>
            <w:noWrap/>
            <w:vAlign w:val="center"/>
            <w:hideMark/>
          </w:tcPr>
          <w:p w14:paraId="04B0D358" w14:textId="77777777" w:rsidR="00D8365A" w:rsidRPr="00362517" w:rsidRDefault="00D8365A" w:rsidP="00BF6BC7">
            <w:pPr>
              <w:tabs>
                <w:tab w:val="decimal" w:pos="1487"/>
              </w:tabs>
            </w:pPr>
            <w:r w:rsidRPr="00362517">
              <w:t>$256,100</w:t>
            </w:r>
          </w:p>
        </w:tc>
        <w:tc>
          <w:tcPr>
            <w:tcW w:w="3186" w:type="dxa"/>
            <w:tcBorders>
              <w:top w:val="single" w:sz="4" w:space="0" w:color="auto"/>
              <w:left w:val="single" w:sz="4" w:space="0" w:color="auto"/>
              <w:bottom w:val="single" w:sz="4" w:space="0" w:color="auto"/>
              <w:right w:val="single" w:sz="4" w:space="0" w:color="auto"/>
            </w:tcBorders>
            <w:vAlign w:val="center"/>
            <w:hideMark/>
          </w:tcPr>
          <w:p w14:paraId="0EA87E76" w14:textId="77777777" w:rsidR="00D8365A" w:rsidRPr="00362517" w:rsidRDefault="00D8365A" w:rsidP="00BF6BC7">
            <w:pPr>
              <w:jc w:val="center"/>
            </w:pPr>
            <w:r w:rsidRPr="00362517">
              <w:t>4</w:t>
            </w:r>
          </w:p>
        </w:tc>
      </w:tr>
      <w:tr w:rsidR="00D8365A" w:rsidRPr="00362517" w14:paraId="665364F1" w14:textId="77777777" w:rsidTr="007A2164">
        <w:trPr>
          <w:cantSplit/>
          <w:trHeight w:val="205"/>
        </w:trPr>
        <w:tc>
          <w:tcPr>
            <w:tcW w:w="2988" w:type="dxa"/>
            <w:tcBorders>
              <w:top w:val="single" w:sz="4" w:space="0" w:color="auto"/>
              <w:left w:val="single" w:sz="4" w:space="0" w:color="auto"/>
              <w:bottom w:val="single" w:sz="12" w:space="0" w:color="auto"/>
              <w:right w:val="single" w:sz="4" w:space="0" w:color="auto"/>
            </w:tcBorders>
            <w:noWrap/>
            <w:vAlign w:val="center"/>
            <w:hideMark/>
          </w:tcPr>
          <w:p w14:paraId="5F6B3BE0" w14:textId="77777777" w:rsidR="00D8365A" w:rsidRPr="00362517" w:rsidRDefault="00D8365A" w:rsidP="00BF6BC7">
            <w:r w:rsidRPr="00362517">
              <w:t>Landscaping Services</w:t>
            </w:r>
          </w:p>
        </w:tc>
        <w:tc>
          <w:tcPr>
            <w:tcW w:w="3186" w:type="dxa"/>
            <w:tcBorders>
              <w:top w:val="single" w:sz="4" w:space="0" w:color="auto"/>
              <w:left w:val="single" w:sz="4" w:space="0" w:color="auto"/>
              <w:bottom w:val="single" w:sz="12" w:space="0" w:color="auto"/>
              <w:right w:val="single" w:sz="4" w:space="0" w:color="auto"/>
            </w:tcBorders>
            <w:noWrap/>
            <w:vAlign w:val="center"/>
            <w:hideMark/>
          </w:tcPr>
          <w:p w14:paraId="2FE4DF76" w14:textId="77777777" w:rsidR="00D8365A" w:rsidRPr="00362517" w:rsidRDefault="00D8365A" w:rsidP="00BF6BC7">
            <w:pPr>
              <w:tabs>
                <w:tab w:val="decimal" w:pos="1527"/>
              </w:tabs>
            </w:pPr>
            <w:r w:rsidRPr="00362517">
              <w:t>120,213</w:t>
            </w:r>
          </w:p>
        </w:tc>
        <w:tc>
          <w:tcPr>
            <w:tcW w:w="3186" w:type="dxa"/>
            <w:tcBorders>
              <w:top w:val="single" w:sz="4" w:space="0" w:color="auto"/>
              <w:left w:val="single" w:sz="4" w:space="0" w:color="auto"/>
              <w:bottom w:val="single" w:sz="12" w:space="0" w:color="auto"/>
              <w:right w:val="single" w:sz="4" w:space="0" w:color="auto"/>
            </w:tcBorders>
            <w:noWrap/>
            <w:vAlign w:val="center"/>
            <w:hideMark/>
          </w:tcPr>
          <w:p w14:paraId="7A5D7899" w14:textId="77777777" w:rsidR="00D8365A" w:rsidRPr="00362517" w:rsidRDefault="00D8365A" w:rsidP="00BF6BC7">
            <w:pPr>
              <w:tabs>
                <w:tab w:val="decimal" w:pos="1487"/>
              </w:tabs>
            </w:pPr>
            <w:r w:rsidRPr="00362517">
              <w:t>$205,800</w:t>
            </w:r>
          </w:p>
        </w:tc>
        <w:tc>
          <w:tcPr>
            <w:tcW w:w="3186" w:type="dxa"/>
            <w:tcBorders>
              <w:top w:val="single" w:sz="4" w:space="0" w:color="auto"/>
              <w:left w:val="single" w:sz="4" w:space="0" w:color="auto"/>
              <w:bottom w:val="single" w:sz="12" w:space="0" w:color="auto"/>
              <w:right w:val="single" w:sz="4" w:space="0" w:color="auto"/>
            </w:tcBorders>
            <w:vAlign w:val="center"/>
            <w:hideMark/>
          </w:tcPr>
          <w:p w14:paraId="6EE87167" w14:textId="77777777" w:rsidR="00D8365A" w:rsidRPr="00362517" w:rsidRDefault="00D8365A" w:rsidP="00BF6BC7">
            <w:pPr>
              <w:jc w:val="center"/>
            </w:pPr>
            <w:r w:rsidRPr="00362517">
              <w:t>4</w:t>
            </w:r>
          </w:p>
        </w:tc>
      </w:tr>
      <w:tr w:rsidR="00D8365A" w:rsidRPr="00362517" w14:paraId="23A35924" w14:textId="77777777" w:rsidTr="007A2164">
        <w:trPr>
          <w:cantSplit/>
          <w:trHeight w:val="205"/>
        </w:trPr>
        <w:tc>
          <w:tcPr>
            <w:tcW w:w="2988" w:type="dxa"/>
            <w:tcBorders>
              <w:top w:val="single" w:sz="12" w:space="0" w:color="auto"/>
              <w:left w:val="single" w:sz="4" w:space="0" w:color="auto"/>
              <w:bottom w:val="single" w:sz="12" w:space="0" w:color="auto"/>
              <w:right w:val="single" w:sz="4" w:space="0" w:color="auto"/>
            </w:tcBorders>
            <w:noWrap/>
            <w:vAlign w:val="center"/>
            <w:hideMark/>
          </w:tcPr>
          <w:p w14:paraId="28545A61" w14:textId="77777777" w:rsidR="00D8365A" w:rsidRPr="00362517" w:rsidRDefault="00D8365A" w:rsidP="00BF6BC7">
            <w:pPr>
              <w:rPr>
                <w:b/>
                <w:bCs/>
              </w:rPr>
            </w:pPr>
            <w:r w:rsidRPr="00362517">
              <w:rPr>
                <w:b/>
                <w:bCs/>
              </w:rPr>
              <w:t>Total</w:t>
            </w:r>
          </w:p>
        </w:tc>
        <w:tc>
          <w:tcPr>
            <w:tcW w:w="3186" w:type="dxa"/>
            <w:tcBorders>
              <w:top w:val="single" w:sz="12" w:space="0" w:color="auto"/>
              <w:left w:val="single" w:sz="4" w:space="0" w:color="auto"/>
              <w:bottom w:val="single" w:sz="12" w:space="0" w:color="auto"/>
              <w:right w:val="single" w:sz="4" w:space="0" w:color="auto"/>
            </w:tcBorders>
            <w:noWrap/>
            <w:vAlign w:val="center"/>
          </w:tcPr>
          <w:p w14:paraId="471BF322" w14:textId="77777777" w:rsidR="00D8365A" w:rsidRPr="00362517" w:rsidRDefault="00D8365A" w:rsidP="00BF6BC7">
            <w:pPr>
              <w:tabs>
                <w:tab w:val="decimal" w:pos="1527"/>
              </w:tabs>
              <w:rPr>
                <w:b/>
                <w:bCs/>
              </w:rPr>
            </w:pPr>
          </w:p>
        </w:tc>
        <w:tc>
          <w:tcPr>
            <w:tcW w:w="3186" w:type="dxa"/>
            <w:tcBorders>
              <w:top w:val="single" w:sz="12" w:space="0" w:color="auto"/>
              <w:left w:val="single" w:sz="4" w:space="0" w:color="auto"/>
              <w:bottom w:val="single" w:sz="12" w:space="0" w:color="auto"/>
              <w:right w:val="single" w:sz="4" w:space="0" w:color="auto"/>
            </w:tcBorders>
            <w:noWrap/>
            <w:vAlign w:val="center"/>
          </w:tcPr>
          <w:p w14:paraId="164B4C86" w14:textId="77777777" w:rsidR="00D8365A" w:rsidRPr="00362517" w:rsidRDefault="00D8365A" w:rsidP="00BF6BC7">
            <w:pPr>
              <w:tabs>
                <w:tab w:val="decimal" w:pos="1487"/>
              </w:tabs>
              <w:rPr>
                <w:b/>
                <w:bCs/>
              </w:rPr>
            </w:pPr>
          </w:p>
        </w:tc>
        <w:tc>
          <w:tcPr>
            <w:tcW w:w="3186" w:type="dxa"/>
            <w:tcBorders>
              <w:top w:val="single" w:sz="12" w:space="0" w:color="auto"/>
              <w:left w:val="single" w:sz="4" w:space="0" w:color="auto"/>
              <w:bottom w:val="single" w:sz="12" w:space="0" w:color="auto"/>
              <w:right w:val="single" w:sz="4" w:space="0" w:color="auto"/>
            </w:tcBorders>
            <w:vAlign w:val="center"/>
          </w:tcPr>
          <w:p w14:paraId="61C37D1B" w14:textId="77777777" w:rsidR="00D8365A" w:rsidRPr="00362517" w:rsidRDefault="00D8365A" w:rsidP="00BF6BC7">
            <w:pPr>
              <w:jc w:val="center"/>
              <w:rPr>
                <w:b/>
                <w:bCs/>
              </w:rPr>
            </w:pPr>
          </w:p>
        </w:tc>
      </w:tr>
    </w:tbl>
    <w:p w14:paraId="4C9F75DF" w14:textId="77777777" w:rsidR="00D8365A" w:rsidRPr="00362517" w:rsidRDefault="00D8365A" w:rsidP="00BF6BC7">
      <w:pPr>
        <w:rPr>
          <w:sz w:val="22"/>
          <w:szCs w:val="22"/>
        </w:rPr>
      </w:pPr>
      <w:r w:rsidRPr="00362517">
        <w:rPr>
          <w:sz w:val="22"/>
          <w:szCs w:val="22"/>
        </w:rPr>
        <w:t xml:space="preserve">Source: D&amp;B, 2014 </w:t>
      </w:r>
    </w:p>
    <w:p w14:paraId="1C79C3E8" w14:textId="77777777" w:rsidR="00D8365A" w:rsidRPr="00362517" w:rsidRDefault="00D8365A" w:rsidP="00BF6BC7"/>
    <w:p w14:paraId="065D513C" w14:textId="77777777" w:rsidR="00D8365A" w:rsidRPr="00362517" w:rsidRDefault="00D8365A" w:rsidP="00BF6BC7">
      <w:pPr>
        <w:pStyle w:val="Heading4"/>
      </w:pPr>
      <w:r w:rsidRPr="00362517">
        <w:t>Costs per Small Entity, Commercial Applicators</w:t>
      </w:r>
    </w:p>
    <w:p w14:paraId="450215E1" w14:textId="77777777" w:rsidR="00D8365A" w:rsidRPr="00362517" w:rsidRDefault="00D8365A" w:rsidP="00BF6BC7">
      <w:r w:rsidRPr="00362517">
        <w:t>In Section 3.5, EPA estimated the total incremental cost of the final rule to commercial applicators to be $16.4 million annually.  The rule will impact an estimated 419,400 commercial applicators for a per-applicator cost of $46.38 per year.  This includes the costs associated with requirements on noncertified applicators under the direct supervision of a commercial applicator, assuming that most commercial applicators supervise two or three noncertified applicators.</w:t>
      </w:r>
    </w:p>
    <w:p w14:paraId="7C0E4395" w14:textId="77777777" w:rsidR="00D8365A" w:rsidRPr="00362517" w:rsidRDefault="00D8365A" w:rsidP="00BF6BC7"/>
    <w:p w14:paraId="212D6C56" w14:textId="77777777" w:rsidR="00D8365A" w:rsidRPr="00362517" w:rsidRDefault="00D8365A" w:rsidP="00BF6BC7">
      <w:r w:rsidRPr="00362517">
        <w:t>Per-applicator incremental costs vary across the different jurisdictions of the country, depending on the baseline certification and recertification requirements of the jurisdiction, including category certifications.  See Table 3.6-2 for estimates of the total incremental cost, number of commercial applicators, and average per-applicator cost, by jurisdiction.  Costs range from about $6 per year in Iowa, where the current state requirements are similar to the requirements of the final rule and noncertified applicators are not allowed to apply RUPs, to $234 per year in Rhode Island, which does not currently have an aerial certification category and where EPA estimates that there are about five noncertified applicators for every commercial applicator.  As explained in Section 3.3, the number of noncertified applicators is subject to considerable uncertainty.  In the case of Rhode Island, the number of noncertified applicators is estimated by taking BLS employment figures for those involved in ‘pest control’ and subtracting the number of commercial applicators.</w:t>
      </w:r>
    </w:p>
    <w:p w14:paraId="66A1D663" w14:textId="77777777" w:rsidR="00D8365A" w:rsidRPr="00362517" w:rsidRDefault="00D8365A" w:rsidP="00BF6BC7"/>
    <w:p w14:paraId="69AA882D" w14:textId="77777777" w:rsidR="00D8365A" w:rsidRPr="00362517" w:rsidRDefault="00D8365A" w:rsidP="00BF6BC7">
      <w:r w:rsidRPr="00362517">
        <w:t>Given the average number of employees shown in Table 3.7-5, small entities providing pesticide application services could have one to two certified applicators, including the owner of the service, with two to three noncertified applicators working under their direct supervision.  The per-applicator cost estimates in Table 3.6-2 represent the costs for one commercial applicator supervising up to five noncertified applicators.  On average, there are 2.2 noncertified applicators for every commercial applicator, leading to the national average incremental cost of $45.63 per applicator.  Thus, EPA anticipates the cost to be $45.63 to $91.27 per year for the average small entity, which would be one to two commercial applicators and up to four noncertified applicators implying three to six employees.  For a small entity in a state such as Rhode Island, we estimate costs from $234 to $467, representing one or two commercial applicators and five or ten noncertified applicators under their direct supervision in Rhode Island, which would be larger than the average small entity.</w:t>
      </w:r>
    </w:p>
    <w:p w14:paraId="4E371BFC" w14:textId="77777777" w:rsidR="00D8365A" w:rsidRPr="00362517" w:rsidRDefault="00D8365A" w:rsidP="00BF6BC7"/>
    <w:p w14:paraId="33397321" w14:textId="77777777" w:rsidR="00D8365A" w:rsidRPr="00362517" w:rsidRDefault="00D8365A" w:rsidP="00BF6BC7">
      <w:pPr>
        <w:pStyle w:val="Heading4"/>
      </w:pPr>
      <w:r w:rsidRPr="00362517">
        <w:t>Impacts per Small Entity, Commercial Applicators</w:t>
      </w:r>
    </w:p>
    <w:p w14:paraId="3E0297FF" w14:textId="77777777" w:rsidR="00D8365A" w:rsidRPr="00362517" w:rsidRDefault="00D8365A" w:rsidP="00BF6BC7">
      <w:r w:rsidRPr="00362517">
        <w:t>Given the range of costs estimated to be imposed on small firms and the revenues of these firms, EPA calculates the impacts as a percentage of annual revenue.  Results are shown in Table 3.7-6.</w:t>
      </w:r>
    </w:p>
    <w:p w14:paraId="048DF7C5" w14:textId="77777777" w:rsidR="00D8365A" w:rsidRPr="00362517" w:rsidRDefault="00D8365A" w:rsidP="00BF6BC7"/>
    <w:p w14:paraId="5566E3C8" w14:textId="77777777" w:rsidR="00D8365A" w:rsidRPr="00362517" w:rsidRDefault="00D8365A" w:rsidP="00BF6BC7">
      <w:pPr>
        <w:rPr>
          <w:b/>
        </w:rPr>
      </w:pPr>
      <w:r w:rsidRPr="00362517">
        <w:rPr>
          <w:b/>
        </w:rPr>
        <w:t>Table 3.7-6.  Impact per Small Entity, Commercial Applicator.</w:t>
      </w:r>
    </w:p>
    <w:tbl>
      <w:tblPr>
        <w:tblStyle w:val="TableGrid"/>
        <w:tblW w:w="0" w:type="auto"/>
        <w:tblLook w:val="04A0" w:firstRow="1" w:lastRow="0" w:firstColumn="1" w:lastColumn="0" w:noHBand="0" w:noVBand="1"/>
      </w:tblPr>
      <w:tblGrid>
        <w:gridCol w:w="2574"/>
        <w:gridCol w:w="2105"/>
        <w:gridCol w:w="2330"/>
        <w:gridCol w:w="2341"/>
      </w:tblGrid>
      <w:tr w:rsidR="00D8365A" w:rsidRPr="00362517" w14:paraId="48E802FF" w14:textId="77777777" w:rsidTr="007A2164">
        <w:tc>
          <w:tcPr>
            <w:tcW w:w="2574" w:type="dxa"/>
            <w:tcBorders>
              <w:top w:val="single" w:sz="4" w:space="0" w:color="auto"/>
              <w:left w:val="single" w:sz="4" w:space="0" w:color="auto"/>
              <w:bottom w:val="double" w:sz="4" w:space="0" w:color="auto"/>
              <w:right w:val="single" w:sz="4" w:space="0" w:color="auto"/>
            </w:tcBorders>
            <w:vAlign w:val="center"/>
            <w:hideMark/>
          </w:tcPr>
          <w:p w14:paraId="673D57BB" w14:textId="77777777" w:rsidR="00D8365A" w:rsidRPr="00362517" w:rsidRDefault="00D8365A" w:rsidP="00BF6BC7">
            <w:pPr>
              <w:rPr>
                <w:b/>
              </w:rPr>
            </w:pPr>
            <w:r w:rsidRPr="00362517">
              <w:rPr>
                <w:b/>
              </w:rPr>
              <w:t>Entity</w:t>
            </w:r>
          </w:p>
        </w:tc>
        <w:tc>
          <w:tcPr>
            <w:tcW w:w="2105" w:type="dxa"/>
            <w:tcBorders>
              <w:top w:val="single" w:sz="4" w:space="0" w:color="auto"/>
              <w:left w:val="single" w:sz="4" w:space="0" w:color="auto"/>
              <w:bottom w:val="double" w:sz="4" w:space="0" w:color="auto"/>
              <w:right w:val="single" w:sz="4" w:space="0" w:color="auto"/>
            </w:tcBorders>
            <w:vAlign w:val="center"/>
            <w:hideMark/>
          </w:tcPr>
          <w:p w14:paraId="375B863D" w14:textId="77777777" w:rsidR="00D8365A" w:rsidRPr="00362517" w:rsidRDefault="00D8365A" w:rsidP="00BF6BC7">
            <w:pPr>
              <w:jc w:val="center"/>
              <w:rPr>
                <w:b/>
              </w:rPr>
            </w:pPr>
            <w:r w:rsidRPr="00362517">
              <w:rPr>
                <w:b/>
              </w:rPr>
              <w:t>Average Revenue</w:t>
            </w:r>
          </w:p>
        </w:tc>
        <w:tc>
          <w:tcPr>
            <w:tcW w:w="2330" w:type="dxa"/>
            <w:tcBorders>
              <w:top w:val="single" w:sz="4" w:space="0" w:color="auto"/>
              <w:left w:val="single" w:sz="4" w:space="0" w:color="auto"/>
              <w:bottom w:val="double" w:sz="4" w:space="0" w:color="auto"/>
              <w:right w:val="single" w:sz="4" w:space="0" w:color="auto"/>
            </w:tcBorders>
            <w:vAlign w:val="center"/>
            <w:hideMark/>
          </w:tcPr>
          <w:p w14:paraId="4D399BD0" w14:textId="77777777" w:rsidR="00D8365A" w:rsidRPr="00362517" w:rsidRDefault="00D8365A" w:rsidP="00BF6BC7">
            <w:pPr>
              <w:jc w:val="center"/>
              <w:rPr>
                <w:b/>
              </w:rPr>
            </w:pPr>
            <w:r w:rsidRPr="00362517">
              <w:rPr>
                <w:b/>
              </w:rPr>
              <w:t>Average Impact</w:t>
            </w:r>
          </w:p>
          <w:p w14:paraId="361B699B" w14:textId="77777777" w:rsidR="00D8365A" w:rsidRPr="00362517" w:rsidRDefault="00D8365A" w:rsidP="00BF6BC7">
            <w:pPr>
              <w:jc w:val="center"/>
              <w:rPr>
                <w:b/>
              </w:rPr>
            </w:pPr>
            <w:r w:rsidRPr="00362517">
              <w:rPr>
                <w:b/>
              </w:rPr>
              <w:t>($46-93/year)</w:t>
            </w:r>
          </w:p>
        </w:tc>
        <w:tc>
          <w:tcPr>
            <w:tcW w:w="2341" w:type="dxa"/>
            <w:tcBorders>
              <w:top w:val="single" w:sz="4" w:space="0" w:color="auto"/>
              <w:left w:val="single" w:sz="4" w:space="0" w:color="auto"/>
              <w:bottom w:val="double" w:sz="4" w:space="0" w:color="auto"/>
              <w:right w:val="single" w:sz="4" w:space="0" w:color="auto"/>
            </w:tcBorders>
            <w:vAlign w:val="center"/>
            <w:hideMark/>
          </w:tcPr>
          <w:p w14:paraId="54AF407D" w14:textId="77777777" w:rsidR="00D8365A" w:rsidRPr="00362517" w:rsidRDefault="00D8365A" w:rsidP="00BF6BC7">
            <w:pPr>
              <w:jc w:val="center"/>
              <w:rPr>
                <w:b/>
              </w:rPr>
            </w:pPr>
            <w:r w:rsidRPr="00362517">
              <w:rPr>
                <w:b/>
              </w:rPr>
              <w:t>High Impact</w:t>
            </w:r>
          </w:p>
          <w:p w14:paraId="6249EBCD" w14:textId="77777777" w:rsidR="00D8365A" w:rsidRPr="00362517" w:rsidRDefault="00D8365A" w:rsidP="00BF6BC7">
            <w:pPr>
              <w:jc w:val="center"/>
              <w:rPr>
                <w:b/>
                <w:vertAlign w:val="superscript"/>
              </w:rPr>
            </w:pPr>
            <w:r w:rsidRPr="00362517">
              <w:rPr>
                <w:b/>
              </w:rPr>
              <w:t>($474/year)</w:t>
            </w:r>
          </w:p>
        </w:tc>
      </w:tr>
      <w:tr w:rsidR="00D8365A" w:rsidRPr="00362517" w14:paraId="43F2C9FD" w14:textId="77777777" w:rsidTr="007A2164">
        <w:tc>
          <w:tcPr>
            <w:tcW w:w="2574" w:type="dxa"/>
            <w:tcBorders>
              <w:top w:val="double" w:sz="4" w:space="0" w:color="auto"/>
              <w:left w:val="single" w:sz="4" w:space="0" w:color="auto"/>
              <w:bottom w:val="single" w:sz="4" w:space="0" w:color="auto"/>
              <w:right w:val="single" w:sz="4" w:space="0" w:color="auto"/>
            </w:tcBorders>
            <w:vAlign w:val="center"/>
            <w:hideMark/>
          </w:tcPr>
          <w:p w14:paraId="07C7BD38" w14:textId="77777777" w:rsidR="00D8365A" w:rsidRPr="00362517" w:rsidRDefault="00D8365A" w:rsidP="00BF6BC7">
            <w:pPr>
              <w:ind w:left="247" w:hanging="247"/>
            </w:pPr>
            <w:r w:rsidRPr="00362517">
              <w:t>Agricultural Pesticide Services</w:t>
            </w:r>
          </w:p>
        </w:tc>
        <w:tc>
          <w:tcPr>
            <w:tcW w:w="2105" w:type="dxa"/>
            <w:tcBorders>
              <w:top w:val="double" w:sz="4" w:space="0" w:color="auto"/>
              <w:left w:val="single" w:sz="4" w:space="0" w:color="auto"/>
              <w:bottom w:val="single" w:sz="4" w:space="0" w:color="auto"/>
              <w:right w:val="single" w:sz="4" w:space="0" w:color="auto"/>
            </w:tcBorders>
            <w:vAlign w:val="center"/>
            <w:hideMark/>
          </w:tcPr>
          <w:p w14:paraId="14B2B2E3" w14:textId="77777777" w:rsidR="00D8365A" w:rsidRPr="00362517" w:rsidRDefault="00D8365A" w:rsidP="00BF6BC7">
            <w:pPr>
              <w:jc w:val="center"/>
            </w:pPr>
            <w:r w:rsidRPr="00362517">
              <w:t>$160,700</w:t>
            </w:r>
          </w:p>
        </w:tc>
        <w:tc>
          <w:tcPr>
            <w:tcW w:w="2330" w:type="dxa"/>
            <w:tcBorders>
              <w:top w:val="double" w:sz="4" w:space="0" w:color="auto"/>
              <w:left w:val="single" w:sz="4" w:space="0" w:color="auto"/>
              <w:bottom w:val="single" w:sz="4" w:space="0" w:color="auto"/>
              <w:right w:val="single" w:sz="4" w:space="0" w:color="auto"/>
            </w:tcBorders>
            <w:vAlign w:val="center"/>
            <w:hideMark/>
          </w:tcPr>
          <w:p w14:paraId="26856204" w14:textId="77777777" w:rsidR="00D8365A" w:rsidRPr="00362517" w:rsidRDefault="00D8365A" w:rsidP="00BF6BC7">
            <w:pPr>
              <w:jc w:val="center"/>
            </w:pPr>
            <w:r w:rsidRPr="00362517">
              <w:t>0.03-0.06%</w:t>
            </w:r>
          </w:p>
        </w:tc>
        <w:tc>
          <w:tcPr>
            <w:tcW w:w="2341" w:type="dxa"/>
            <w:tcBorders>
              <w:top w:val="double" w:sz="4" w:space="0" w:color="auto"/>
              <w:left w:val="single" w:sz="4" w:space="0" w:color="auto"/>
              <w:bottom w:val="single" w:sz="4" w:space="0" w:color="auto"/>
              <w:right w:val="single" w:sz="4" w:space="0" w:color="auto"/>
            </w:tcBorders>
            <w:vAlign w:val="center"/>
            <w:hideMark/>
          </w:tcPr>
          <w:p w14:paraId="660E0C17" w14:textId="77777777" w:rsidR="00D8365A" w:rsidRPr="00362517" w:rsidRDefault="00D8365A" w:rsidP="00BF6BC7">
            <w:pPr>
              <w:jc w:val="center"/>
            </w:pPr>
            <w:r w:rsidRPr="00362517">
              <w:t>0.29%</w:t>
            </w:r>
          </w:p>
        </w:tc>
      </w:tr>
      <w:tr w:rsidR="00D8365A" w:rsidRPr="00362517" w14:paraId="08AA421A" w14:textId="77777777" w:rsidTr="007A2164">
        <w:tc>
          <w:tcPr>
            <w:tcW w:w="2574" w:type="dxa"/>
            <w:tcBorders>
              <w:top w:val="single" w:sz="4" w:space="0" w:color="auto"/>
              <w:left w:val="single" w:sz="4" w:space="0" w:color="auto"/>
              <w:bottom w:val="single" w:sz="4" w:space="0" w:color="auto"/>
              <w:right w:val="single" w:sz="4" w:space="0" w:color="auto"/>
            </w:tcBorders>
            <w:vAlign w:val="center"/>
            <w:hideMark/>
          </w:tcPr>
          <w:p w14:paraId="543BBD82" w14:textId="77777777" w:rsidR="00D8365A" w:rsidRPr="00362517" w:rsidRDefault="00D8365A" w:rsidP="00BF6BC7">
            <w:pPr>
              <w:ind w:left="247" w:hanging="247"/>
            </w:pPr>
            <w:r w:rsidRPr="00362517">
              <w:t>Exterminating and Pest Control Services</w:t>
            </w:r>
          </w:p>
        </w:tc>
        <w:tc>
          <w:tcPr>
            <w:tcW w:w="2105" w:type="dxa"/>
            <w:tcBorders>
              <w:top w:val="single" w:sz="4" w:space="0" w:color="auto"/>
              <w:left w:val="single" w:sz="4" w:space="0" w:color="auto"/>
              <w:bottom w:val="single" w:sz="4" w:space="0" w:color="auto"/>
              <w:right w:val="single" w:sz="4" w:space="0" w:color="auto"/>
            </w:tcBorders>
            <w:vAlign w:val="center"/>
            <w:hideMark/>
          </w:tcPr>
          <w:p w14:paraId="12E212D3" w14:textId="77777777" w:rsidR="00D8365A" w:rsidRPr="00362517" w:rsidRDefault="00D8365A" w:rsidP="00BF6BC7">
            <w:pPr>
              <w:jc w:val="center"/>
            </w:pPr>
            <w:r w:rsidRPr="00362517">
              <w:t>$256,100</w:t>
            </w:r>
          </w:p>
        </w:tc>
        <w:tc>
          <w:tcPr>
            <w:tcW w:w="2330" w:type="dxa"/>
            <w:tcBorders>
              <w:top w:val="single" w:sz="4" w:space="0" w:color="auto"/>
              <w:left w:val="single" w:sz="4" w:space="0" w:color="auto"/>
              <w:bottom w:val="single" w:sz="4" w:space="0" w:color="auto"/>
              <w:right w:val="single" w:sz="4" w:space="0" w:color="auto"/>
            </w:tcBorders>
            <w:vAlign w:val="center"/>
            <w:hideMark/>
          </w:tcPr>
          <w:p w14:paraId="05F8E007" w14:textId="77777777" w:rsidR="00D8365A" w:rsidRPr="00362517" w:rsidRDefault="00D8365A" w:rsidP="00BF6BC7">
            <w:pPr>
              <w:jc w:val="center"/>
            </w:pPr>
            <w:r w:rsidRPr="00362517">
              <w:t>0.02-0.04%</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7B728F0" w14:textId="77777777" w:rsidR="00D8365A" w:rsidRPr="00362517" w:rsidRDefault="00D8365A" w:rsidP="00BF6BC7">
            <w:pPr>
              <w:jc w:val="center"/>
            </w:pPr>
            <w:r w:rsidRPr="00362517">
              <w:t>0.18%</w:t>
            </w:r>
          </w:p>
        </w:tc>
      </w:tr>
      <w:tr w:rsidR="00D8365A" w:rsidRPr="00362517" w14:paraId="3BF78B1D" w14:textId="77777777" w:rsidTr="007A2164">
        <w:tc>
          <w:tcPr>
            <w:tcW w:w="2574" w:type="dxa"/>
            <w:tcBorders>
              <w:top w:val="single" w:sz="4" w:space="0" w:color="auto"/>
              <w:left w:val="single" w:sz="4" w:space="0" w:color="auto"/>
              <w:bottom w:val="single" w:sz="12" w:space="0" w:color="auto"/>
              <w:right w:val="single" w:sz="4" w:space="0" w:color="auto"/>
            </w:tcBorders>
            <w:vAlign w:val="center"/>
            <w:hideMark/>
          </w:tcPr>
          <w:p w14:paraId="06B69ACB" w14:textId="77777777" w:rsidR="00D8365A" w:rsidRPr="00362517" w:rsidRDefault="00D8365A" w:rsidP="00BF6BC7">
            <w:pPr>
              <w:ind w:left="247" w:hanging="247"/>
            </w:pPr>
            <w:r w:rsidRPr="00362517">
              <w:t>Landscaping Services</w:t>
            </w:r>
          </w:p>
        </w:tc>
        <w:tc>
          <w:tcPr>
            <w:tcW w:w="2105" w:type="dxa"/>
            <w:tcBorders>
              <w:top w:val="single" w:sz="4" w:space="0" w:color="auto"/>
              <w:left w:val="single" w:sz="4" w:space="0" w:color="auto"/>
              <w:bottom w:val="single" w:sz="12" w:space="0" w:color="auto"/>
              <w:right w:val="single" w:sz="4" w:space="0" w:color="auto"/>
            </w:tcBorders>
            <w:vAlign w:val="center"/>
            <w:hideMark/>
          </w:tcPr>
          <w:p w14:paraId="265D0BD4" w14:textId="77777777" w:rsidR="00D8365A" w:rsidRPr="00362517" w:rsidRDefault="00D8365A" w:rsidP="00BF6BC7">
            <w:pPr>
              <w:jc w:val="center"/>
            </w:pPr>
            <w:r w:rsidRPr="00362517">
              <w:t>$205,800</w:t>
            </w:r>
          </w:p>
        </w:tc>
        <w:tc>
          <w:tcPr>
            <w:tcW w:w="2330" w:type="dxa"/>
            <w:tcBorders>
              <w:top w:val="single" w:sz="4" w:space="0" w:color="auto"/>
              <w:left w:val="single" w:sz="4" w:space="0" w:color="auto"/>
              <w:bottom w:val="single" w:sz="12" w:space="0" w:color="auto"/>
              <w:right w:val="single" w:sz="4" w:space="0" w:color="auto"/>
            </w:tcBorders>
            <w:vAlign w:val="center"/>
            <w:hideMark/>
          </w:tcPr>
          <w:p w14:paraId="5A9B92B0" w14:textId="77777777" w:rsidR="00D8365A" w:rsidRPr="00362517" w:rsidRDefault="00D8365A" w:rsidP="00BF6BC7">
            <w:pPr>
              <w:jc w:val="center"/>
            </w:pPr>
            <w:r w:rsidRPr="00362517">
              <w:t>0.02-0.04%</w:t>
            </w:r>
          </w:p>
        </w:tc>
        <w:tc>
          <w:tcPr>
            <w:tcW w:w="2341" w:type="dxa"/>
            <w:tcBorders>
              <w:top w:val="single" w:sz="4" w:space="0" w:color="auto"/>
              <w:left w:val="single" w:sz="4" w:space="0" w:color="auto"/>
              <w:bottom w:val="single" w:sz="12" w:space="0" w:color="auto"/>
              <w:right w:val="single" w:sz="4" w:space="0" w:color="auto"/>
            </w:tcBorders>
            <w:vAlign w:val="center"/>
            <w:hideMark/>
          </w:tcPr>
          <w:p w14:paraId="1D575F81" w14:textId="77777777" w:rsidR="00D8365A" w:rsidRPr="00362517" w:rsidRDefault="00D8365A" w:rsidP="00BF6BC7">
            <w:pPr>
              <w:jc w:val="center"/>
            </w:pPr>
            <w:r w:rsidRPr="00362517">
              <w:t>0.23%</w:t>
            </w:r>
          </w:p>
        </w:tc>
      </w:tr>
    </w:tbl>
    <w:p w14:paraId="22A0BAAB" w14:textId="77777777" w:rsidR="00D8365A" w:rsidRPr="00362517" w:rsidRDefault="00D8365A" w:rsidP="00BF6BC7">
      <w:pPr>
        <w:rPr>
          <w:sz w:val="22"/>
          <w:szCs w:val="22"/>
        </w:rPr>
      </w:pPr>
      <w:r w:rsidRPr="00362517">
        <w:rPr>
          <w:sz w:val="22"/>
          <w:szCs w:val="22"/>
        </w:rPr>
        <w:t>Source: EPA calculations.</w:t>
      </w:r>
    </w:p>
    <w:p w14:paraId="0B25F184" w14:textId="77777777" w:rsidR="00D8365A" w:rsidRPr="00362517" w:rsidRDefault="00D8365A" w:rsidP="00BF6BC7"/>
    <w:p w14:paraId="49AEFBB1" w14:textId="77777777" w:rsidR="00D8365A" w:rsidRPr="00362517" w:rsidRDefault="00D8365A" w:rsidP="00BF6BC7">
      <w:r w:rsidRPr="00362517">
        <w:t xml:space="preserve">The impacts to commercial pesticide application services are estimated to be less than one percent of average revenues for both the average and high cost scenarios.  </w:t>
      </w:r>
    </w:p>
    <w:p w14:paraId="58FA8B9E" w14:textId="77777777" w:rsidR="00D8365A" w:rsidRPr="00362517" w:rsidRDefault="00D8365A" w:rsidP="00BF6BC7"/>
    <w:p w14:paraId="1ECB0FD5" w14:textId="77777777" w:rsidR="00D8365A" w:rsidRPr="00362517" w:rsidRDefault="00D8365A" w:rsidP="00BF6BC7">
      <w:pPr>
        <w:pStyle w:val="Heading3"/>
      </w:pPr>
      <w:bookmarkStart w:id="292" w:name="_Toc395788136"/>
      <w:bookmarkStart w:id="293" w:name="_Toc396808985"/>
      <w:bookmarkStart w:id="294" w:name="_Toc441650064"/>
      <w:bookmarkStart w:id="295" w:name="_Toc452020160"/>
      <w:bookmarkStart w:id="296" w:name="_Toc456270184"/>
      <w:bookmarkStart w:id="297" w:name="_Toc468872100"/>
      <w:r w:rsidRPr="00362517">
        <w:t>3.7.4</w:t>
      </w:r>
      <w:r w:rsidRPr="00362517">
        <w:tab/>
        <w:t>Conclusion</w:t>
      </w:r>
      <w:bookmarkEnd w:id="292"/>
      <w:bookmarkEnd w:id="293"/>
      <w:bookmarkEnd w:id="294"/>
      <w:bookmarkEnd w:id="295"/>
      <w:bookmarkEnd w:id="296"/>
      <w:bookmarkEnd w:id="297"/>
    </w:p>
    <w:p w14:paraId="6F2B1347" w14:textId="77777777" w:rsidR="00D8365A" w:rsidRPr="00362517" w:rsidRDefault="00D8365A" w:rsidP="00BF6BC7"/>
    <w:p w14:paraId="628F6DC5" w14:textId="77777777" w:rsidR="00D8365A" w:rsidRPr="00362517" w:rsidRDefault="00D8365A" w:rsidP="00BF6BC7">
      <w:r w:rsidRPr="00362517">
        <w:t xml:space="preserve">On the basis of this analysis, EPA concludes that there will not be a significant impact to a substantial number of small entities.  </w:t>
      </w:r>
    </w:p>
    <w:p w14:paraId="33731CD2" w14:textId="77777777" w:rsidR="00D8365A" w:rsidRPr="00362517" w:rsidRDefault="00D8365A" w:rsidP="00BF6BC7"/>
    <w:p w14:paraId="62258099" w14:textId="77777777" w:rsidR="00D8365A" w:rsidRPr="00362517" w:rsidRDefault="00D8365A" w:rsidP="00BF6BC7">
      <w:r w:rsidRPr="00362517">
        <w:t xml:space="preserve">For private applicators, average impacts of the rule represent less than one percent of annual sales revenue for the average small farm and even to small-small farms with sales of less than $10,000.  Impacts to the smallest farms, especially in high-impact states, could exceed one percent of annual sales revenue but the number of farms facing such impacts is small relative to the number of small farms affected by the rule.  </w:t>
      </w:r>
    </w:p>
    <w:p w14:paraId="53C36564" w14:textId="77777777" w:rsidR="00D8365A" w:rsidRPr="00362517" w:rsidRDefault="00D8365A" w:rsidP="00BF6BC7"/>
    <w:p w14:paraId="0A15982E" w14:textId="77777777" w:rsidR="00D8365A" w:rsidRPr="00362517" w:rsidRDefault="00D8365A" w:rsidP="00BF6BC7">
      <w:r w:rsidRPr="00362517">
        <w:t xml:space="preserve">For commercial applicators, average impacts of the rule represent less than 0.1 percent of annual revenue for the average small firm.  The impacts are expected to be around 0.3 percent of annual revenue even for the high cost scenarios.  This is well below the one percent threshold that EPA set for significant impact.   </w:t>
      </w:r>
    </w:p>
    <w:p w14:paraId="5AB19BA6" w14:textId="0CCB4771" w:rsidR="00682BDE" w:rsidRDefault="00682BDE" w:rsidP="00BF6BC7">
      <w:pPr>
        <w:spacing w:after="160" w:line="259" w:lineRule="auto"/>
      </w:pPr>
    </w:p>
    <w:p w14:paraId="6D807FBB" w14:textId="77777777" w:rsidR="00B453FE" w:rsidRPr="00362517" w:rsidRDefault="00B453FE" w:rsidP="00BF6BC7">
      <w:pPr>
        <w:spacing w:after="160" w:line="259" w:lineRule="auto"/>
      </w:pPr>
    </w:p>
    <w:p w14:paraId="5AB19BA7" w14:textId="77777777" w:rsidR="00682BDE" w:rsidRPr="00362517" w:rsidRDefault="00682BDE" w:rsidP="00BF6BC7">
      <w:pPr>
        <w:spacing w:after="160" w:line="259" w:lineRule="auto"/>
      </w:pPr>
    </w:p>
    <w:p w14:paraId="5AB19BA8" w14:textId="77777777" w:rsidR="000532F4" w:rsidRPr="00362517" w:rsidRDefault="000532F4" w:rsidP="00BF6BC7">
      <w:pPr>
        <w:spacing w:after="160" w:line="259" w:lineRule="auto"/>
        <w:rPr>
          <w:b/>
          <w:bCs/>
          <w:kern w:val="32"/>
          <w:sz w:val="32"/>
          <w:szCs w:val="32"/>
        </w:rPr>
      </w:pPr>
      <w:r w:rsidRPr="00362517">
        <w:br w:type="page"/>
      </w:r>
    </w:p>
    <w:p w14:paraId="5AB19BA9" w14:textId="77777777" w:rsidR="00F848A1" w:rsidRPr="00362517" w:rsidRDefault="00F848A1" w:rsidP="00BF6BC7">
      <w:pPr>
        <w:pStyle w:val="Heading1"/>
      </w:pPr>
      <w:bookmarkStart w:id="298" w:name="_Toc468872101"/>
      <w:r w:rsidRPr="00362517">
        <w:t>Chapter 4.  Benefits of the Rule</w:t>
      </w:r>
      <w:bookmarkEnd w:id="82"/>
      <w:bookmarkEnd w:id="83"/>
      <w:bookmarkEnd w:id="84"/>
      <w:bookmarkEnd w:id="298"/>
    </w:p>
    <w:p w14:paraId="5AB19BAA" w14:textId="77777777" w:rsidR="00F848A1" w:rsidRPr="00362517" w:rsidRDefault="00F848A1" w:rsidP="00BF6BC7"/>
    <w:p w14:paraId="5AB19BAB" w14:textId="77777777" w:rsidR="00F848A1" w:rsidRPr="00362517" w:rsidRDefault="00F848A1" w:rsidP="00BF6BC7">
      <w:pPr>
        <w:tabs>
          <w:tab w:val="left" w:pos="540"/>
          <w:tab w:val="left" w:pos="1080"/>
          <w:tab w:val="left" w:pos="1620"/>
          <w:tab w:val="left" w:pos="2160"/>
        </w:tabs>
      </w:pPr>
      <w:r w:rsidRPr="00362517">
        <w:t xml:space="preserve">Certification standards for applicators ensure that certified applicators are competent in the use of </w:t>
      </w:r>
      <w:r w:rsidR="00820887" w:rsidRPr="00362517">
        <w:t>RUPs</w:t>
      </w:r>
      <w:r w:rsidRPr="00362517">
        <w:t>.  The key goals of the rule changes are to: i</w:t>
      </w:r>
      <w:r w:rsidRPr="00362517">
        <w:rPr>
          <w:bCs/>
        </w:rPr>
        <w:t xml:space="preserve">mprove the competency of certified applicators of </w:t>
      </w:r>
      <w:r w:rsidR="00820887" w:rsidRPr="00362517">
        <w:t>RUPs</w:t>
      </w:r>
      <w:r w:rsidRPr="00362517">
        <w:rPr>
          <w:bCs/>
        </w:rPr>
        <w:t xml:space="preserve">; implement better protections for noncertified applicators who apply </w:t>
      </w:r>
      <w:r w:rsidR="00820887" w:rsidRPr="00362517">
        <w:t>RUPs</w:t>
      </w:r>
      <w:r w:rsidRPr="00362517">
        <w:rPr>
          <w:bCs/>
        </w:rPr>
        <w:t xml:space="preserve"> under the direct supervision of a certified applicator; and reduce the potential risk to human health and the environment from the use of </w:t>
      </w:r>
      <w:r w:rsidR="00820887" w:rsidRPr="00362517">
        <w:t>RUPs</w:t>
      </w:r>
      <w:r w:rsidRPr="00362517">
        <w:rPr>
          <w:bCs/>
        </w:rPr>
        <w:t xml:space="preserve">.  </w:t>
      </w:r>
      <w:r w:rsidRPr="00362517">
        <w:t>Competent applicators possess the skills and knowledge necessary to apply pesticides properly to avoid unintended exposures to people and the environment.</w:t>
      </w:r>
    </w:p>
    <w:p w14:paraId="5AB19BAC" w14:textId="77777777" w:rsidR="00F848A1" w:rsidRPr="00362517" w:rsidRDefault="00F848A1" w:rsidP="00BF6BC7">
      <w:pPr>
        <w:tabs>
          <w:tab w:val="left" w:pos="540"/>
          <w:tab w:val="left" w:pos="1080"/>
          <w:tab w:val="left" w:pos="1620"/>
          <w:tab w:val="left" w:pos="2160"/>
        </w:tabs>
      </w:pPr>
    </w:p>
    <w:p w14:paraId="5AB19BAD" w14:textId="58894482" w:rsidR="00F848A1" w:rsidRPr="00362517" w:rsidRDefault="00F848A1" w:rsidP="00BF6BC7">
      <w:pPr>
        <w:tabs>
          <w:tab w:val="left" w:pos="540"/>
          <w:tab w:val="left" w:pos="1080"/>
          <w:tab w:val="left" w:pos="1620"/>
          <w:tab w:val="left" w:pos="2160"/>
        </w:tabs>
      </w:pPr>
      <w:r w:rsidRPr="00362517">
        <w:t>EPA anticipates that the rule changes will produce benefits to</w:t>
      </w:r>
      <w:r w:rsidR="0091569B" w:rsidRPr="00362517">
        <w:t xml:space="preserve"> </w:t>
      </w:r>
      <w:r w:rsidRPr="00362517">
        <w:t>applicator</w:t>
      </w:r>
      <w:r w:rsidR="0091569B" w:rsidRPr="00362517">
        <w:t>s</w:t>
      </w:r>
      <w:r w:rsidRPr="00362517">
        <w:t xml:space="preserve">, the public, and the environment.  The rule changes will ensure that certified applicators are competent in the application of </w:t>
      </w:r>
      <w:r w:rsidR="00820887" w:rsidRPr="00362517">
        <w:t>RUPs</w:t>
      </w:r>
      <w:r w:rsidRPr="00362517">
        <w:t xml:space="preserve">, and that noncertified applicators working under the direct supervision of certified applicators are well supervised and protected.  When used in accordance with label restrictions, RUPs can be safely applied; however, if the applicators are not competent, then RUPs have the potential to pose unreasonable risks of damage to </w:t>
      </w:r>
      <w:r w:rsidRPr="00B85820">
        <w:t>humans, terrestrial and aquatic ecosystems, non-target animal</w:t>
      </w:r>
      <w:r w:rsidRPr="00C83F77">
        <w:t xml:space="preserve">s, plants, and surface water.  Ensuring that applicators are competent </w:t>
      </w:r>
      <w:r w:rsidR="004C5176" w:rsidRPr="00B85820">
        <w:t>will</w:t>
      </w:r>
      <w:r w:rsidRPr="00B85820">
        <w:t xml:space="preserve"> prevent these unwarranted exposures.  The </w:t>
      </w:r>
      <w:r w:rsidR="004F6C67" w:rsidRPr="00B85820">
        <w:t>quantified estimate of benefits from reduced RUP poisonings that can be quantified are estimated to be between $13.2 and $</w:t>
      </w:r>
      <w:r w:rsidR="00B85820" w:rsidRPr="0085552F">
        <w:t>2</w:t>
      </w:r>
      <w:r w:rsidR="00B85820" w:rsidRPr="006D69F9">
        <w:t>4</w:t>
      </w:r>
      <w:r w:rsidR="004F6C67" w:rsidRPr="00B85820">
        <w:t>.3</w:t>
      </w:r>
      <w:r w:rsidR="004F6C67" w:rsidRPr="00C83F77">
        <w:t xml:space="preserve"> million dollars through reduced acute illnesses from RUPs.  </w:t>
      </w:r>
      <w:r w:rsidR="001A21D7" w:rsidRPr="0085552F">
        <w:t>Underreporting would affect this estimate.  If only 20% of incidents were reported</w:t>
      </w:r>
      <w:r w:rsidR="004F6C67" w:rsidRPr="0085552F">
        <w:t>, the estimated benefits are between $65.9 million and $</w:t>
      </w:r>
      <w:r w:rsidR="00B85820" w:rsidRPr="0085552F">
        <w:t>1</w:t>
      </w:r>
      <w:r w:rsidR="00B85820" w:rsidRPr="006D69F9">
        <w:t>2</w:t>
      </w:r>
      <w:r w:rsidR="00B85820" w:rsidRPr="00B85820">
        <w:t>1</w:t>
      </w:r>
      <w:r w:rsidR="004F6C67" w:rsidRPr="00C83F77">
        <w:t>.</w:t>
      </w:r>
      <w:r w:rsidR="00B85820" w:rsidRPr="00C83F77">
        <w:t xml:space="preserve">7 </w:t>
      </w:r>
      <w:r w:rsidR="004F6C67" w:rsidRPr="00C83F77">
        <w:t>million, (see Section 4.5).</w:t>
      </w:r>
      <w:r w:rsidR="00B2607A" w:rsidRPr="00B2607A">
        <w:t xml:space="preserve"> If 50% of </w:t>
      </w:r>
      <w:r w:rsidR="00B2607A">
        <w:t xml:space="preserve">incidents </w:t>
      </w:r>
      <w:r w:rsidR="00B2607A" w:rsidRPr="00B2607A">
        <w:t>are reported, then the quantified estimates of the rule would be between $26.3 and $48.7 million annually</w:t>
      </w:r>
      <w:r w:rsidR="00B2607A">
        <w:t xml:space="preserve">.  </w:t>
      </w:r>
      <w:r w:rsidRPr="00C83F77">
        <w:t>There are benefits to the rule that cannot be quantified, as well.  These include reduced health effects to certified applicators</w:t>
      </w:r>
      <w:r w:rsidRPr="00362517">
        <w:t xml:space="preserve"> and their families from long-term low-level RUP exposure and reduced environmental impacts from the rule changes.</w:t>
      </w:r>
    </w:p>
    <w:p w14:paraId="5AB19BAE" w14:textId="77777777" w:rsidR="00F848A1" w:rsidRPr="00362517" w:rsidRDefault="00F848A1" w:rsidP="00BF6BC7">
      <w:pPr>
        <w:tabs>
          <w:tab w:val="left" w:pos="2160"/>
        </w:tabs>
      </w:pPr>
      <w:r w:rsidRPr="00362517">
        <w:tab/>
      </w:r>
    </w:p>
    <w:p w14:paraId="5AB19BAF" w14:textId="473D9564" w:rsidR="00F848A1" w:rsidRPr="00362517" w:rsidRDefault="00F848A1" w:rsidP="00BF6BC7">
      <w:pPr>
        <w:tabs>
          <w:tab w:val="left" w:pos="540"/>
          <w:tab w:val="left" w:pos="1080"/>
          <w:tab w:val="left" w:pos="1620"/>
          <w:tab w:val="left" w:pos="2160"/>
        </w:tabs>
      </w:pPr>
      <w:r w:rsidRPr="00362517">
        <w:t>The remainder of this chapter will discuss the benefits of the rule to certified applicators, their families and employees, and the public at large</w:t>
      </w:r>
      <w:r w:rsidR="00C17E99" w:rsidRPr="00362517">
        <w:t xml:space="preserve"> and the environment</w:t>
      </w:r>
      <w:r w:rsidRPr="00362517">
        <w:t xml:space="preserve">.  </w:t>
      </w:r>
    </w:p>
    <w:p w14:paraId="5AB19BB0" w14:textId="77777777" w:rsidR="00F848A1" w:rsidRPr="00362517" w:rsidRDefault="00F848A1" w:rsidP="00BF6BC7">
      <w:pPr>
        <w:tabs>
          <w:tab w:val="left" w:pos="540"/>
          <w:tab w:val="left" w:pos="1080"/>
          <w:tab w:val="left" w:pos="1620"/>
          <w:tab w:val="left" w:pos="2160"/>
        </w:tabs>
      </w:pPr>
    </w:p>
    <w:p w14:paraId="5AB19BB1" w14:textId="77777777" w:rsidR="00F848A1" w:rsidRPr="00362517" w:rsidDel="00ED496B" w:rsidRDefault="00F848A1" w:rsidP="00BF6BC7">
      <w:pPr>
        <w:tabs>
          <w:tab w:val="left" w:pos="540"/>
          <w:tab w:val="left" w:pos="1080"/>
          <w:tab w:val="left" w:pos="1620"/>
          <w:tab w:val="left" w:pos="2160"/>
        </w:tabs>
      </w:pPr>
      <w:r w:rsidRPr="00362517" w:rsidDel="00ED496B">
        <w:t xml:space="preserve">The next section discusses who is at risk from RUP exposure, followed by a discussion of the possible effects of acute exposure and chronic exposures to certified applicators and to their families.  Section 4.4 provides information on the benefits from reduced ecological damage from RUPs, Section 4.5 estimates the benefits of reduced pesticide exposure to the extent these benefits can be quantified.  Section 4.6 discusses the potential long-term effects that may result from chronic pesticide exposure which, by their very nature, are unlikely to be reported to surveillance databases, but are potentially important to human health, and may be reduced by the rule.  </w:t>
      </w:r>
    </w:p>
    <w:p w14:paraId="5AB19BB2" w14:textId="77777777" w:rsidR="00F848A1" w:rsidRPr="00362517" w:rsidDel="00ED496B" w:rsidRDefault="00F848A1" w:rsidP="00BF6BC7">
      <w:pPr>
        <w:tabs>
          <w:tab w:val="left" w:pos="540"/>
          <w:tab w:val="left" w:pos="1080"/>
          <w:tab w:val="left" w:pos="1620"/>
          <w:tab w:val="left" w:pos="2160"/>
        </w:tabs>
      </w:pPr>
    </w:p>
    <w:p w14:paraId="5AB19BB3" w14:textId="77777777" w:rsidR="00F848A1" w:rsidRPr="00362517" w:rsidRDefault="00F848A1" w:rsidP="00BF6BC7">
      <w:pPr>
        <w:pStyle w:val="Heading2"/>
        <w:keepLines w:val="0"/>
        <w:numPr>
          <w:ilvl w:val="1"/>
          <w:numId w:val="23"/>
        </w:numPr>
        <w:spacing w:before="120"/>
      </w:pPr>
      <w:r w:rsidRPr="00362517">
        <w:t xml:space="preserve">  </w:t>
      </w:r>
      <w:bookmarkStart w:id="299" w:name="_Toc468872102"/>
      <w:r w:rsidRPr="00362517">
        <w:t>Who is at Risk?</w:t>
      </w:r>
      <w:bookmarkEnd w:id="299"/>
      <w:r w:rsidRPr="00362517">
        <w:t xml:space="preserve"> </w:t>
      </w:r>
    </w:p>
    <w:p w14:paraId="5AB19BB4" w14:textId="77777777" w:rsidR="00F848A1" w:rsidRPr="00362517" w:rsidRDefault="00F848A1" w:rsidP="00BF6BC7"/>
    <w:p w14:paraId="5AB19BB5" w14:textId="77777777" w:rsidR="00F848A1" w:rsidRPr="00362517" w:rsidRDefault="00F848A1" w:rsidP="00BF6BC7">
      <w:pPr>
        <w:pStyle w:val="Heading3"/>
        <w:keepNext w:val="0"/>
        <w:keepLines w:val="0"/>
        <w:numPr>
          <w:ilvl w:val="2"/>
          <w:numId w:val="23"/>
        </w:numPr>
        <w:spacing w:before="120"/>
      </w:pPr>
      <w:bookmarkStart w:id="300" w:name="_Toc347502733"/>
      <w:bookmarkStart w:id="301" w:name="_Toc393400039"/>
      <w:bookmarkStart w:id="302" w:name="_Toc395177736"/>
      <w:bookmarkStart w:id="303" w:name="_Toc410807815"/>
      <w:bookmarkStart w:id="304" w:name="_Toc468872103"/>
      <w:r w:rsidRPr="00362517">
        <w:t>Occupational Exposure</w:t>
      </w:r>
      <w:bookmarkEnd w:id="300"/>
      <w:bookmarkEnd w:id="301"/>
      <w:bookmarkEnd w:id="302"/>
      <w:bookmarkEnd w:id="303"/>
      <w:bookmarkEnd w:id="304"/>
      <w:r w:rsidRPr="00362517">
        <w:t xml:space="preserve"> </w:t>
      </w:r>
    </w:p>
    <w:p w14:paraId="5AB19BB6" w14:textId="77777777" w:rsidR="00F848A1" w:rsidRPr="00362517" w:rsidRDefault="00F848A1" w:rsidP="00BF6BC7">
      <w:pPr>
        <w:tabs>
          <w:tab w:val="left" w:pos="540"/>
          <w:tab w:val="left" w:pos="1080"/>
          <w:tab w:val="left" w:pos="1620"/>
          <w:tab w:val="left" w:pos="2160"/>
        </w:tabs>
      </w:pPr>
    </w:p>
    <w:p w14:paraId="5AB19BB7" w14:textId="09F72FFC" w:rsidR="00F848A1" w:rsidRPr="00362517" w:rsidRDefault="00F848A1" w:rsidP="00BF6BC7">
      <w:pPr>
        <w:tabs>
          <w:tab w:val="left" w:pos="540"/>
          <w:tab w:val="left" w:pos="1080"/>
          <w:tab w:val="left" w:pos="1620"/>
          <w:tab w:val="left" w:pos="2160"/>
        </w:tabs>
      </w:pPr>
      <w:r w:rsidRPr="00362517">
        <w:t>Certified pesticide applicators, noncertified applicators working under the direct supervision of certified applicators, agricultural workers, and pesticide handlers may be occupationally exposed to pesticides and pesticide residues.  EPA estimates that there are about 900,000 certified applicators in the United States (see Chapter 3), and about 1 million noncertified applicators working under the direct supervision of a certified applicator.  A small number of adolescents are certified applicators, and there are about 6,700 adolescents under 18 estimated to be working under the direct supervision of a certified applicator (see Chapter 3.3).  All of these people face</w:t>
      </w:r>
      <w:r w:rsidR="00C17E99" w:rsidRPr="00362517">
        <w:t xml:space="preserve"> potential</w:t>
      </w:r>
      <w:r w:rsidRPr="00362517">
        <w:t xml:space="preserve"> harm from occupational exposure to RUPs.  </w:t>
      </w:r>
    </w:p>
    <w:p w14:paraId="5AB19BB8" w14:textId="77777777" w:rsidR="00F848A1" w:rsidRPr="00362517" w:rsidRDefault="00F848A1" w:rsidP="00BF6BC7">
      <w:pPr>
        <w:tabs>
          <w:tab w:val="left" w:pos="540"/>
          <w:tab w:val="left" w:pos="1080"/>
          <w:tab w:val="left" w:pos="1620"/>
          <w:tab w:val="left" w:pos="2160"/>
        </w:tabs>
      </w:pPr>
    </w:p>
    <w:p w14:paraId="5AB19BB9" w14:textId="09A67C4A" w:rsidR="00F848A1" w:rsidRPr="00362517" w:rsidRDefault="00F848A1" w:rsidP="00BF6BC7">
      <w:pPr>
        <w:tabs>
          <w:tab w:val="left" w:pos="540"/>
          <w:tab w:val="left" w:pos="1080"/>
          <w:tab w:val="left" w:pos="1620"/>
          <w:tab w:val="left" w:pos="2160"/>
        </w:tabs>
      </w:pPr>
      <w:r w:rsidRPr="00362517">
        <w:t xml:space="preserve">RUPs are commonly used in agriculture, so a large portion of the agricultural workforce is potentially exposed.  This includes the approximately 1.8 million workers that are hired by agricultural establishments, who are potentially exposed to the risks of adverse health effects from pesticide exposure (EPA, </w:t>
      </w:r>
      <w:r w:rsidR="0003067E" w:rsidRPr="00362517">
        <w:t>2015c</w:t>
      </w:r>
      <w:r w:rsidR="0000039E" w:rsidRPr="00362517">
        <w:t>)</w:t>
      </w:r>
      <w:r w:rsidRPr="00362517">
        <w:t xml:space="preserve"> if they work on farms that use RUPs.  Agricultural workers do not handle RUPs directly, but they may be exposed to agricultural-plant pesticides either through contact with residues on treated plants, soil, or water or through accidental contact from drift or misdirected application.  The agricultural workforce </w:t>
      </w:r>
      <w:r w:rsidR="00820887" w:rsidRPr="00362517">
        <w:t xml:space="preserve">is </w:t>
      </w:r>
      <w:r w:rsidRPr="00362517">
        <w:t xml:space="preserve">occupationally exposed to </w:t>
      </w:r>
      <w:r w:rsidR="00820887" w:rsidRPr="00362517">
        <w:t>RUPs</w:t>
      </w:r>
      <w:r w:rsidRPr="00362517">
        <w:t xml:space="preserve"> and pesticide residues can potentially face significant long and short term health risks.  EPA conducted an extensive review of the data from incident reporting systems and epidemiologic evidence published in the peer-reviewed literature and found strong evidence that pesticide exposure contributes to adverse human health outcomes. This evidence is discussed and referenced in detail in the sections that follow. </w:t>
      </w:r>
    </w:p>
    <w:p w14:paraId="5AB19BBA" w14:textId="77777777" w:rsidR="00F848A1" w:rsidRPr="00362517" w:rsidRDefault="00F848A1" w:rsidP="00BF6BC7"/>
    <w:p w14:paraId="5AB19BBB" w14:textId="77777777" w:rsidR="00F848A1" w:rsidRPr="00362517" w:rsidRDefault="00F848A1" w:rsidP="00BF6BC7">
      <w:pPr>
        <w:pStyle w:val="Heading3"/>
        <w:keepNext w:val="0"/>
        <w:keepLines w:val="0"/>
        <w:numPr>
          <w:ilvl w:val="2"/>
          <w:numId w:val="23"/>
        </w:numPr>
        <w:spacing w:before="120"/>
      </w:pPr>
      <w:bookmarkStart w:id="305" w:name="_Toc347502734"/>
      <w:bookmarkStart w:id="306" w:name="_Toc393400040"/>
      <w:bookmarkStart w:id="307" w:name="_Toc395177737"/>
      <w:bookmarkStart w:id="308" w:name="_Toc410807816"/>
      <w:r w:rsidRPr="00362517" w:rsidDel="004362CF">
        <w:t xml:space="preserve"> </w:t>
      </w:r>
      <w:bookmarkStart w:id="309" w:name="_Toc468872104"/>
      <w:r w:rsidRPr="00362517">
        <w:t>Children and Families</w:t>
      </w:r>
      <w:bookmarkEnd w:id="305"/>
      <w:bookmarkEnd w:id="306"/>
      <w:bookmarkEnd w:id="307"/>
      <w:bookmarkEnd w:id="308"/>
      <w:bookmarkEnd w:id="309"/>
      <w:r w:rsidRPr="00362517">
        <w:t xml:space="preserve"> </w:t>
      </w:r>
    </w:p>
    <w:p w14:paraId="5AB19BBC" w14:textId="77777777" w:rsidR="00F848A1" w:rsidRPr="00362517" w:rsidRDefault="00F848A1" w:rsidP="00BF6BC7">
      <w:pPr>
        <w:tabs>
          <w:tab w:val="left" w:pos="540"/>
          <w:tab w:val="left" w:pos="1080"/>
          <w:tab w:val="left" w:pos="1620"/>
          <w:tab w:val="left" w:pos="2160"/>
        </w:tabs>
      </w:pPr>
    </w:p>
    <w:p w14:paraId="5AB19BBD" w14:textId="77777777" w:rsidR="00F848A1" w:rsidRPr="00362517" w:rsidRDefault="00F848A1" w:rsidP="00BF6BC7">
      <w:pPr>
        <w:tabs>
          <w:tab w:val="left" w:pos="540"/>
          <w:tab w:val="left" w:pos="1080"/>
          <w:tab w:val="left" w:pos="1620"/>
          <w:tab w:val="left" w:pos="2160"/>
        </w:tabs>
      </w:pPr>
      <w:r w:rsidRPr="00362517">
        <w:t xml:space="preserve">Young and unborn children may be particularly sensitive to pesticide exposure.  Children may experience different exposures than adults due to behavioral differences like crawling on the floor and putting objects into their mouths (EPA, 2008b), and they can be more sensitive to these exposures because their organ systems are still developing, and they have relatively low body weights (Curwin </w:t>
      </w:r>
      <w:r w:rsidRPr="00362517">
        <w:rPr>
          <w:i/>
        </w:rPr>
        <w:t xml:space="preserve">et al., </w:t>
      </w:r>
      <w:r w:rsidRPr="00362517">
        <w:t xml:space="preserve">2007, Beamer </w:t>
      </w:r>
      <w:r w:rsidRPr="00362517">
        <w:rPr>
          <w:i/>
        </w:rPr>
        <w:t xml:space="preserve">et al., </w:t>
      </w:r>
      <w:r w:rsidRPr="00362517">
        <w:t xml:space="preserve">2009, Vida and Moretto, 2007).  Children in the families of certified applicators may be incidentally exposed to pesticides and there is the potential for negative health effects from this pesticide exposure.  Prenatal exposures (discussed below) may be particularly important for long-term development.  </w:t>
      </w:r>
    </w:p>
    <w:p w14:paraId="5AB19BBE" w14:textId="77777777" w:rsidR="00F848A1" w:rsidRPr="00362517" w:rsidRDefault="00F848A1" w:rsidP="00BF6BC7"/>
    <w:p w14:paraId="5AB19BBF" w14:textId="5DF5AE57" w:rsidR="00F848A1" w:rsidRPr="00362517" w:rsidRDefault="004C5263" w:rsidP="00BF6BC7">
      <w:pPr>
        <w:tabs>
          <w:tab w:val="left" w:pos="540"/>
          <w:tab w:val="left" w:pos="1080"/>
          <w:tab w:val="left" w:pos="1620"/>
          <w:tab w:val="left" w:pos="2160"/>
        </w:tabs>
      </w:pPr>
      <w:r w:rsidRPr="004C5263">
        <w:t>Children and adolescents are at various stages of growth and development, leading to “windows of susceptibility” where certain chemical exposures may have different toxicological consequences compared to</w:t>
      </w:r>
      <w:r>
        <w:t xml:space="preserve"> adults</w:t>
      </w:r>
      <w:r w:rsidRPr="004C5263">
        <w:t>. The same chemical exposure in different developmental stages may result in different health impacts.</w:t>
      </w:r>
      <w:r>
        <w:t xml:space="preserve">  </w:t>
      </w:r>
      <w:r w:rsidR="00F848A1" w:rsidRPr="00362517">
        <w:t>Because children’s metabolic systems are not fully developed at birth, continue to develop through childhood and adolescence, and are not uniform across developmental stages, children metabolize pesticides and chemicals differently than adults metabolize pesticides and other chemicals (EPA, 2008b).  The changes to the certification rule include enhanced training to reduce incidental, take-home exposures to families</w:t>
      </w:r>
      <w:r w:rsidR="00C17E99" w:rsidRPr="00362517">
        <w:t xml:space="preserve"> and to reduce bystander exposures resulting from improperly applied RUPs</w:t>
      </w:r>
      <w:r w:rsidR="00F848A1" w:rsidRPr="00362517">
        <w:t>. The changes to the certification rule also cover direct exposures by including restrictions on allowing adolescents to work with RUPs.  These changes are important because adolescents are more apt to make poor decisions about pesticide risks, which is also discussed below.</w:t>
      </w:r>
    </w:p>
    <w:p w14:paraId="5AB19BC0" w14:textId="77777777" w:rsidR="00F848A1" w:rsidRPr="00362517" w:rsidRDefault="00F848A1" w:rsidP="00BF6BC7">
      <w:pPr>
        <w:tabs>
          <w:tab w:val="left" w:pos="540"/>
          <w:tab w:val="left" w:pos="1080"/>
          <w:tab w:val="left" w:pos="1620"/>
          <w:tab w:val="left" w:pos="2160"/>
        </w:tabs>
      </w:pPr>
    </w:p>
    <w:p w14:paraId="5AB19BC1" w14:textId="1E9AAC15" w:rsidR="00F848A1" w:rsidRPr="00362517" w:rsidRDefault="00F848A1" w:rsidP="00BF6BC7">
      <w:pPr>
        <w:tabs>
          <w:tab w:val="left" w:pos="540"/>
          <w:tab w:val="left" w:pos="1080"/>
          <w:tab w:val="left" w:pos="1620"/>
          <w:tab w:val="left" w:pos="2160"/>
        </w:tabs>
      </w:pPr>
      <w:r w:rsidRPr="00362517">
        <w:t xml:space="preserve">Non-occupational exposure </w:t>
      </w:r>
      <w:r w:rsidR="007B7038" w:rsidRPr="00362517">
        <w:t xml:space="preserve">pathways </w:t>
      </w:r>
      <w:r w:rsidRPr="00362517">
        <w:t xml:space="preserve">for pregnant women and children may include spray drift from nearby agricultural areas, </w:t>
      </w:r>
      <w:r w:rsidR="00C17E99" w:rsidRPr="00362517">
        <w:t xml:space="preserve">misapplication of non-agricultural RUPs, </w:t>
      </w:r>
      <w:r w:rsidRPr="00362517">
        <w:t xml:space="preserve">or from pesticide residues taken home on the clothing or in the cars and trucks of certified and noncertified applicators.  Curwin </w:t>
      </w:r>
      <w:r w:rsidRPr="00362517">
        <w:rPr>
          <w:i/>
        </w:rPr>
        <w:t>et al</w:t>
      </w:r>
      <w:r w:rsidRPr="00362517">
        <w:t xml:space="preserve">. (2005) compared 25 farm and 25 non-farm households in Iowa, testing for pesticide contamination inside the homes.  Although not a study strictly of certified applicators, the pesticides for which they tested included RUPs.  When compared with non-farm households, they found significantly higher levels of atrazine and metolachlor (which only have agricultural uses) in farm households.  The distribution of the samples in the various rooms of the house (higher levels in the agricultural worker changing area and the laundry area) suggest that the pesticides are being transported home on farmers’ clothing and shoes.  There were also higher levels of agricultural pesticides in home vehicles for farm families.  Lozier et al. (2012) concludes the take-home pathway is an important route of exposure for commercial pesticide applicators, based on higher levels of atrazine contamination in the parts of homes where applicators entered the home and where they removed their clothing.  Atrazine levels were three times higher for applicators that changed shoes inside compared to those who removed shoes outside, and bedroom levels were six times higher for those who changed clothes in the bedroom compared to those who did not.  Lu </w:t>
      </w:r>
      <w:r w:rsidRPr="00362517">
        <w:rPr>
          <w:i/>
        </w:rPr>
        <w:t>et al.</w:t>
      </w:r>
      <w:r w:rsidRPr="00362517">
        <w:t xml:space="preserve"> (2000) collected samples from steering wheels and boots of agricultural families, the floors of their houses, as well as wipe and urine samples from the family members.  Farm families had higher exposure to the pesticides tested than the non-farm controls, and the positive samples in vehicles, on clothing and in the home in families not in proximity to farm fields indicated the take-home pathway was responsible for exposure to these families.  These studies are consistent with studies based on farmworker family exposure that identify take-home exposure as a problem (Thompson </w:t>
      </w:r>
      <w:r w:rsidRPr="00362517">
        <w:rPr>
          <w:i/>
        </w:rPr>
        <w:t>et al.</w:t>
      </w:r>
      <w:r w:rsidRPr="00362517">
        <w:t xml:space="preserve">, 2014; Coronado </w:t>
      </w:r>
      <w:r w:rsidRPr="00362517">
        <w:rPr>
          <w:i/>
        </w:rPr>
        <w:t>et al.</w:t>
      </w:r>
      <w:r w:rsidRPr="00362517">
        <w:t xml:space="preserve">, 2006; Curl </w:t>
      </w:r>
      <w:r w:rsidRPr="00362517">
        <w:rPr>
          <w:i/>
        </w:rPr>
        <w:t>et al.</w:t>
      </w:r>
      <w:r w:rsidRPr="00362517">
        <w:t xml:space="preserve">, 2002; McCauley </w:t>
      </w:r>
      <w:r w:rsidRPr="00362517">
        <w:rPr>
          <w:i/>
        </w:rPr>
        <w:t>et al.</w:t>
      </w:r>
      <w:r w:rsidRPr="00362517">
        <w:t xml:space="preserve">, 2003; Rao </w:t>
      </w:r>
      <w:r w:rsidRPr="00362517">
        <w:rPr>
          <w:i/>
        </w:rPr>
        <w:t>et al.</w:t>
      </w:r>
      <w:r w:rsidRPr="00362517">
        <w:t xml:space="preserve">, 2006). </w:t>
      </w:r>
    </w:p>
    <w:p w14:paraId="5AB19BC2" w14:textId="77777777" w:rsidR="00F848A1" w:rsidRPr="00362517" w:rsidRDefault="00F848A1" w:rsidP="00BF6BC7"/>
    <w:p w14:paraId="5AB19BC3" w14:textId="77777777" w:rsidR="00F848A1" w:rsidRPr="00362517" w:rsidRDefault="00F848A1" w:rsidP="00BF6BC7">
      <w:pPr>
        <w:keepNext/>
        <w:spacing w:before="120"/>
        <w:rPr>
          <w:i/>
        </w:rPr>
      </w:pPr>
      <w:r w:rsidRPr="00362517">
        <w:rPr>
          <w:i/>
        </w:rPr>
        <w:t>Occupational Exposure to Adolescents</w:t>
      </w:r>
    </w:p>
    <w:p w14:paraId="5AB19BC4" w14:textId="77777777" w:rsidR="00F848A1" w:rsidRPr="00362517" w:rsidRDefault="00F848A1" w:rsidP="00BF6BC7">
      <w:pPr>
        <w:keepNext/>
      </w:pPr>
    </w:p>
    <w:p w14:paraId="5AB19BC5" w14:textId="2E26F1C2" w:rsidR="00F848A1" w:rsidRPr="00362517" w:rsidRDefault="004C5263" w:rsidP="00BF6BC7">
      <w:pPr>
        <w:keepNext/>
        <w:tabs>
          <w:tab w:val="left" w:pos="540"/>
          <w:tab w:val="left" w:pos="1080"/>
          <w:tab w:val="left" w:pos="1620"/>
          <w:tab w:val="left" w:pos="2160"/>
        </w:tabs>
      </w:pPr>
      <w:r w:rsidRPr="004C5263">
        <w:t xml:space="preserve">EPA </w:t>
      </w:r>
      <w:r>
        <w:t>is</w:t>
      </w:r>
      <w:r w:rsidRPr="004C5263">
        <w:t xml:space="preserve"> establishing a minimum age for certified applicators and noncertified applicators working under the direct supervision of a certified applicator to reduce the risk of exposure to adolescents.  There is evidence that adolescents and children do not make risk management decisions with the same judgment, maturity, and reason as adults</w:t>
      </w:r>
      <w:r>
        <w:t xml:space="preserve">.  </w:t>
      </w:r>
      <w:r w:rsidR="00F848A1" w:rsidRPr="00362517">
        <w:t xml:space="preserve"> Adolescents are more prone to accidents than the population at large.  For example, the fatality rate for drivers between 16 and 19 is four times the rate for all adults (Institute for Highway Safety, 2008).  In an agricultural context, adolescents working on farms have shown awareness of safety issues, rules, and the risks of injury on farms, but they behave according to their own perception of risk, and take more risks while playing on the farm; the play often uses farming equipment and occurs during work time (Rowntree </w:t>
      </w:r>
      <w:r w:rsidR="00F848A1" w:rsidRPr="00362517">
        <w:rPr>
          <w:i/>
        </w:rPr>
        <w:t>et al.</w:t>
      </w:r>
      <w:r w:rsidR="00F848A1" w:rsidRPr="00362517">
        <w:t xml:space="preserve">, 1998).  In a study of adolescents engaged in high-risk tasks on farms in Kentucky, Iowa, and Mississippi, teens were surveyed on their use of protective equipment, work exposures, and symptoms related to farm work that included injuries (Reed </w:t>
      </w:r>
      <w:r w:rsidR="00F848A1" w:rsidRPr="00362517">
        <w:rPr>
          <w:i/>
        </w:rPr>
        <w:t>et al</w:t>
      </w:r>
      <w:r w:rsidR="00F848A1" w:rsidRPr="00362517">
        <w:t xml:space="preserve">., 2006). When teens were asked whether they used personal protective equipment when it was required, the median self-reported frequency for use of respirators and hearing protection was only four times out of the last ten occasions when its use was required. According to the authors, protective devices may be used less frequently when the teens did not perceive a high degree of risk or if they did not have an observed health problem attributed to that exposure. The authors also suggest that PPE may not properly fit female teens, leading to a decreased incidence of use (Reed </w:t>
      </w:r>
      <w:r w:rsidR="00F848A1" w:rsidRPr="00362517">
        <w:rPr>
          <w:i/>
        </w:rPr>
        <w:t>et al.</w:t>
      </w:r>
      <w:r w:rsidR="00F848A1" w:rsidRPr="00362517">
        <w:t>, 2006).</w:t>
      </w:r>
    </w:p>
    <w:p w14:paraId="5AB19BC6" w14:textId="77777777" w:rsidR="00F848A1" w:rsidRPr="00362517" w:rsidRDefault="00F848A1" w:rsidP="00BF6BC7">
      <w:pPr>
        <w:tabs>
          <w:tab w:val="left" w:pos="540"/>
          <w:tab w:val="left" w:pos="1080"/>
          <w:tab w:val="left" w:pos="1620"/>
          <w:tab w:val="left" w:pos="2160"/>
        </w:tabs>
      </w:pPr>
    </w:p>
    <w:p w14:paraId="5AB19BC7" w14:textId="77777777" w:rsidR="00F848A1" w:rsidRPr="00362517" w:rsidRDefault="00F848A1" w:rsidP="00BF6BC7">
      <w:pPr>
        <w:tabs>
          <w:tab w:val="left" w:pos="540"/>
          <w:tab w:val="left" w:pos="1080"/>
          <w:tab w:val="left" w:pos="1620"/>
          <w:tab w:val="left" w:pos="2160"/>
        </w:tabs>
        <w:rPr>
          <w:rStyle w:val="CommentReference"/>
          <w:szCs w:val="20"/>
        </w:rPr>
      </w:pPr>
      <w:r w:rsidRPr="00362517">
        <w:t xml:space="preserve">The cognitive development of adolescents affects behavior, particularly in the areas of judgment, risk-taking and decision making ability (Steinberg, 2005).  The parts of the brain going through these maturation processes in adolescents are important for the perception of risk, evaluation of risk and reward, and regulation of emotion and behavior (Dayan </w:t>
      </w:r>
      <w:r w:rsidRPr="00362517">
        <w:rPr>
          <w:i/>
        </w:rPr>
        <w:t>et al.</w:t>
      </w:r>
      <w:r w:rsidRPr="00362517">
        <w:t xml:space="preserve">, 2010).  In an international setting, Abdel-Rasoul </w:t>
      </w:r>
      <w:r w:rsidRPr="00362517">
        <w:rPr>
          <w:i/>
        </w:rPr>
        <w:t>et al.</w:t>
      </w:r>
      <w:r w:rsidRPr="00362517">
        <w:t xml:space="preserve"> (2008) reported an association between cognitive deficits, neurological symptoms and pesticide exposure among child and adolescent agricultural pesticide applicators.  This study cohort is from Egypt, which does not reflect use patterns or regulations in this country, but it does suggest risks when children and adolescents are exposed at high levels of pesticides.</w:t>
      </w:r>
      <w:r w:rsidRPr="00362517">
        <w:rPr>
          <w:rStyle w:val="CommentReference"/>
          <w:szCs w:val="20"/>
        </w:rPr>
        <w:t xml:space="preserve"> </w:t>
      </w:r>
    </w:p>
    <w:p w14:paraId="5AB19BC8" w14:textId="77777777" w:rsidR="00F848A1" w:rsidRPr="00362517" w:rsidRDefault="00F848A1" w:rsidP="00BF6BC7">
      <w:pPr>
        <w:tabs>
          <w:tab w:val="left" w:pos="540"/>
          <w:tab w:val="left" w:pos="1080"/>
          <w:tab w:val="left" w:pos="1620"/>
          <w:tab w:val="left" w:pos="2160"/>
        </w:tabs>
        <w:rPr>
          <w:rStyle w:val="CommentReference"/>
          <w:szCs w:val="20"/>
        </w:rPr>
      </w:pPr>
    </w:p>
    <w:p w14:paraId="5AB19BC9" w14:textId="77777777" w:rsidR="00F848A1" w:rsidRPr="00362517" w:rsidRDefault="00F848A1" w:rsidP="00BF6BC7">
      <w:pPr>
        <w:tabs>
          <w:tab w:val="left" w:pos="540"/>
          <w:tab w:val="left" w:pos="1080"/>
          <w:tab w:val="left" w:pos="1620"/>
          <w:tab w:val="left" w:pos="2160"/>
        </w:tabs>
      </w:pPr>
      <w:r w:rsidRPr="00362517">
        <w:t xml:space="preserve">According to Calvert </w:t>
      </w:r>
      <w:r w:rsidRPr="00362517">
        <w:rPr>
          <w:i/>
        </w:rPr>
        <w:t xml:space="preserve">et al. </w:t>
      </w:r>
      <w:r w:rsidRPr="00362517">
        <w:t xml:space="preserve">(2003), pesticide poisoning surveillance data shows that working youths were more likely than adults to suffer an occupationally related pesticide illness, attributed to lower levels of experience with pesticides, and greater sensitivity to pesticide toxicity.  The literature shows that adolescents are more likely to engage in risky behavior than adults.  Therefore, it is more difficult to be certain that they will make prudent risk management decisions.  It is not certain why higher risk taking behavior is more common among adolescents, but it is a consistent finding.  It seems that adolescents are aware of risks and tradeoffs between behaviors and consequences, and process the information available to them in ways very similar to adults, but take greater risks anyway (Steinberg and Cauffman, 1996; Dayan </w:t>
      </w:r>
      <w:r w:rsidRPr="00362517">
        <w:rPr>
          <w:i/>
        </w:rPr>
        <w:t>et al</w:t>
      </w:r>
      <w:r w:rsidRPr="00362517">
        <w:t xml:space="preserve">., 2010).  The cognitive changes that occur during adolescence do not fully explain this phenomenon, which indicates that emotional development and surroundings are important parts of the risk taking process for adolescents.  This picture of the adolescent development and behavior implies that more rigorous and frequent training, which are features of the </w:t>
      </w:r>
      <w:r w:rsidR="004C5176" w:rsidRPr="00362517">
        <w:t>final rule</w:t>
      </w:r>
      <w:r w:rsidRPr="00362517">
        <w:t>, would not protect adolescents to the degree they will protect adults. These potentially at risk adolescents do not respond to information in the same way that adults do, so special protections, such as the establishment of minimum age for certain activities are warranted to ensure their safety.</w:t>
      </w:r>
    </w:p>
    <w:p w14:paraId="5AB19BCA" w14:textId="77777777" w:rsidR="00F848A1" w:rsidRPr="00362517" w:rsidRDefault="00F848A1" w:rsidP="00BF6BC7">
      <w:pPr>
        <w:tabs>
          <w:tab w:val="left" w:pos="540"/>
          <w:tab w:val="left" w:pos="1080"/>
          <w:tab w:val="left" w:pos="1620"/>
          <w:tab w:val="left" w:pos="2160"/>
        </w:tabs>
      </w:pPr>
    </w:p>
    <w:p w14:paraId="5AB19BCB" w14:textId="77777777" w:rsidR="00F848A1" w:rsidRPr="00362517" w:rsidRDefault="00F848A1" w:rsidP="00BF6BC7">
      <w:pPr>
        <w:pStyle w:val="Heading3"/>
        <w:keepNext w:val="0"/>
        <w:keepLines w:val="0"/>
        <w:numPr>
          <w:ilvl w:val="2"/>
          <w:numId w:val="23"/>
        </w:numPr>
        <w:spacing w:before="120"/>
      </w:pPr>
      <w:bookmarkStart w:id="310" w:name="_Toc468872105"/>
      <w:r w:rsidRPr="00362517">
        <w:t>Ecological Risks</w:t>
      </w:r>
      <w:bookmarkEnd w:id="310"/>
    </w:p>
    <w:p w14:paraId="5AB19BCC" w14:textId="77777777" w:rsidR="00F848A1" w:rsidRPr="00362517" w:rsidRDefault="00F848A1" w:rsidP="00BF6BC7"/>
    <w:p w14:paraId="5AB19BCD" w14:textId="2715799E" w:rsidR="00F848A1" w:rsidRPr="00362517" w:rsidRDefault="00F848A1" w:rsidP="00BF6BC7">
      <w:pPr>
        <w:rPr>
          <w:rFonts w:eastAsia="Calibri"/>
        </w:rPr>
      </w:pPr>
      <w:r w:rsidRPr="00362517">
        <w:t xml:space="preserve">In addition to the human health risks from RUP exposure, there can be environmental damage as well.  </w:t>
      </w:r>
      <w:r w:rsidRPr="00362517">
        <w:rPr>
          <w:rFonts w:eastAsia="Calibri"/>
        </w:rPr>
        <w:t xml:space="preserve">EPA evaluates the environmental fate of pesticides, including RUPs, to determine the ways </w:t>
      </w:r>
      <w:r w:rsidR="008A20C6" w:rsidRPr="00362517">
        <w:rPr>
          <w:rFonts w:eastAsia="Calibri"/>
        </w:rPr>
        <w:t xml:space="preserve">that pesticides </w:t>
      </w:r>
      <w:r w:rsidRPr="00362517">
        <w:rPr>
          <w:rFonts w:eastAsia="Calibri"/>
        </w:rPr>
        <w:t xml:space="preserve">can be applied to avoid unreasonable risk to the environment.  If RUPs are not applied safely, however, they can cause a range of environmental damage to non-target organisms (EPA 2007).  Almost any organism has the potential to be affected by RUP misapplication.  Non-target wildlife can come in direct contact with pesticides by directly consuming pesticides, such as birds eating pesticide granules, or consuming treated material, such as plants with pesticide residues or drinking water from puddles in a treated area that has pesticide residues.  They can also be exposed to pesticides by secondary poisoning, where they consume prey animals, either alive or dead, that have pesticide in their bodies (Whitford, </w:t>
      </w:r>
      <w:r w:rsidRPr="00362517">
        <w:rPr>
          <w:rFonts w:eastAsia="Calibri"/>
          <w:i/>
        </w:rPr>
        <w:t>et al.</w:t>
      </w:r>
      <w:r w:rsidRPr="00362517">
        <w:rPr>
          <w:rFonts w:eastAsia="Calibri"/>
        </w:rPr>
        <w:t xml:space="preserve">, undated). Fish and aquatic invertebrates can be exposed to pesticides that runoff into waterways (Capinera, 2011).  Non-target beneficial insects and pollinators can be harmed by pesticide either in the treated area or nearby, or if they move in to a treated area while the pesticide is still active.  Non-target plants, including crop plants can </w:t>
      </w:r>
      <w:r w:rsidR="0091569B" w:rsidRPr="00362517">
        <w:rPr>
          <w:rFonts w:eastAsia="Calibri"/>
        </w:rPr>
        <w:t xml:space="preserve">be </w:t>
      </w:r>
      <w:r w:rsidRPr="00362517">
        <w:rPr>
          <w:rFonts w:eastAsia="Calibri"/>
        </w:rPr>
        <w:t>affected by RUPs, either from drift to a nearby field, a poorly timed application, or an application that is harmful to the crop, such as using too high a rate.</w:t>
      </w:r>
    </w:p>
    <w:p w14:paraId="5AB19BCE" w14:textId="77777777" w:rsidR="00F848A1" w:rsidRPr="00362517" w:rsidRDefault="00F848A1" w:rsidP="00BF6BC7">
      <w:pPr>
        <w:rPr>
          <w:rFonts w:eastAsia="Calibri"/>
        </w:rPr>
      </w:pPr>
    </w:p>
    <w:p w14:paraId="5AB19BCF" w14:textId="77777777" w:rsidR="00F848A1" w:rsidRPr="00362517" w:rsidRDefault="00F848A1" w:rsidP="00BF6BC7"/>
    <w:p w14:paraId="5AB19BD0" w14:textId="77777777" w:rsidR="00F848A1" w:rsidRPr="00362517" w:rsidRDefault="00F848A1" w:rsidP="00BF6BC7"/>
    <w:p w14:paraId="5AB19BD1" w14:textId="77777777" w:rsidR="00F848A1" w:rsidRPr="00362517" w:rsidRDefault="00F848A1" w:rsidP="00BF6BC7">
      <w:pPr>
        <w:pStyle w:val="Heading2"/>
        <w:keepLines w:val="0"/>
        <w:numPr>
          <w:ilvl w:val="1"/>
          <w:numId w:val="23"/>
        </w:numPr>
        <w:spacing w:before="120"/>
      </w:pPr>
      <w:bookmarkStart w:id="311" w:name="_Toc393400041"/>
      <w:bookmarkStart w:id="312" w:name="_Toc395177738"/>
      <w:bookmarkStart w:id="313" w:name="_Toc410807817"/>
      <w:bookmarkStart w:id="314" w:name="_Toc347502735"/>
      <w:r w:rsidRPr="00362517">
        <w:t xml:space="preserve">  </w:t>
      </w:r>
      <w:bookmarkStart w:id="315" w:name="_Toc468872106"/>
      <w:r w:rsidRPr="00362517">
        <w:t>What are the Risks?</w:t>
      </w:r>
      <w:bookmarkEnd w:id="311"/>
      <w:bookmarkEnd w:id="312"/>
      <w:bookmarkEnd w:id="313"/>
      <w:bookmarkEnd w:id="315"/>
      <w:r w:rsidRPr="00362517">
        <w:t xml:space="preserve"> </w:t>
      </w:r>
      <w:bookmarkEnd w:id="314"/>
      <w:r w:rsidRPr="00362517">
        <w:br/>
      </w:r>
    </w:p>
    <w:p w14:paraId="5AB19BD2" w14:textId="77777777" w:rsidR="00F848A1" w:rsidRPr="00362517" w:rsidRDefault="00F848A1" w:rsidP="00BF6BC7">
      <w:r w:rsidRPr="00362517">
        <w:t xml:space="preserve">This section will provide a brief introduction to some of the risks associated with pesticide exposure, including pesticide exposures that have reproductive effects or effects on children.  Some of these effects may be lifelong, although they may be a result of either acute (in the case of developmental effects) or chronic exposures.  A discussion of illnesses associated with chronic occupational pesticide exposure is provided in Section </w:t>
      </w:r>
      <w:r w:rsidR="00054C50" w:rsidRPr="00362517">
        <w:t>4.5</w:t>
      </w:r>
      <w:r w:rsidRPr="00362517">
        <w:t xml:space="preserve">.  </w:t>
      </w:r>
    </w:p>
    <w:p w14:paraId="5AB19BD3" w14:textId="77777777" w:rsidR="00F848A1" w:rsidRPr="00362517" w:rsidRDefault="00F848A1" w:rsidP="00BF6BC7"/>
    <w:p w14:paraId="5AB19BD4" w14:textId="77777777" w:rsidR="00F848A1" w:rsidRPr="00362517" w:rsidRDefault="00F848A1" w:rsidP="00BF6BC7"/>
    <w:p w14:paraId="5AB19BD5" w14:textId="77777777" w:rsidR="00F848A1" w:rsidRPr="00362517" w:rsidRDefault="00F848A1" w:rsidP="00BF6BC7">
      <w:pPr>
        <w:pStyle w:val="Heading3"/>
        <w:keepNext w:val="0"/>
        <w:keepLines w:val="0"/>
        <w:numPr>
          <w:ilvl w:val="2"/>
          <w:numId w:val="23"/>
        </w:numPr>
        <w:spacing w:before="120"/>
      </w:pPr>
      <w:bookmarkStart w:id="316" w:name="_Toc347502736"/>
      <w:bookmarkStart w:id="317" w:name="_Toc393400042"/>
      <w:bookmarkStart w:id="318" w:name="_Toc395177739"/>
      <w:bookmarkStart w:id="319" w:name="_Toc410807818"/>
      <w:bookmarkStart w:id="320" w:name="_Toc468872107"/>
      <w:r w:rsidRPr="00362517">
        <w:t>Acute Exposures and Human Health Effects</w:t>
      </w:r>
      <w:bookmarkEnd w:id="316"/>
      <w:bookmarkEnd w:id="317"/>
      <w:bookmarkEnd w:id="318"/>
      <w:bookmarkEnd w:id="319"/>
      <w:bookmarkEnd w:id="320"/>
    </w:p>
    <w:p w14:paraId="5AB19BD6" w14:textId="77777777" w:rsidR="00F848A1" w:rsidRPr="00362517" w:rsidRDefault="00F848A1" w:rsidP="00BF6BC7">
      <w:pPr>
        <w:tabs>
          <w:tab w:val="left" w:pos="540"/>
          <w:tab w:val="left" w:pos="1080"/>
          <w:tab w:val="left" w:pos="1620"/>
          <w:tab w:val="left" w:pos="2160"/>
        </w:tabs>
      </w:pPr>
    </w:p>
    <w:p w14:paraId="5AB19BD7" w14:textId="77777777" w:rsidR="00F848A1" w:rsidRPr="00362517" w:rsidRDefault="00F848A1" w:rsidP="00BF6BC7">
      <w:pPr>
        <w:tabs>
          <w:tab w:val="left" w:pos="540"/>
          <w:tab w:val="left" w:pos="1080"/>
          <w:tab w:val="left" w:pos="1620"/>
          <w:tab w:val="left" w:pos="2160"/>
        </w:tabs>
      </w:pPr>
      <w:r w:rsidRPr="00362517">
        <w:t xml:space="preserve">Because pesticides are specifically selected or designed to adversely affect biological systems, pesticides generally present risks to non-target organisms as well.  Some pesticides are narrowly targeted to specific life forms or biological processes while others have effects across a broad spectrum of organisms, including humans. Exposures to some pesticides can result in a wide range of acute symptoms.  The acute symptoms from overexposure to pesticides vary widely, and can range from mild skin irritation to death.  Severity of symptoms depends largely on the dose and route of exposure.  Exposure to organophosphate (OP) pesticides, for example, can result in headaches, fatigue and dizziness, nausea, cramps and diarrhea, impaired vision and other effects (Schulze </w:t>
      </w:r>
      <w:r w:rsidRPr="00362517">
        <w:rPr>
          <w:i/>
        </w:rPr>
        <w:t>et al</w:t>
      </w:r>
      <w:r w:rsidRPr="00362517">
        <w:t xml:space="preserve">., 1997).  Severe acute exposures can result in seizures, respiratory depression and loss of consciousness (Reigart and Roberts, 2013).  In rare cases, unintentional pesticide exposures result in death.  These are just a few of the wide range of symptoms that can be caused by acute pesticide exposure; the </w:t>
      </w:r>
      <w:r w:rsidRPr="00362517">
        <w:rPr>
          <w:i/>
        </w:rPr>
        <w:t xml:space="preserve">Recognition and Management of Pesticide Poisonings </w:t>
      </w:r>
      <w:r w:rsidRPr="00362517">
        <w:t xml:space="preserve">manual lists almost 100 different symptoms that a medical professional could expect to see following an acute exposure to various pesticides (Reigart and Roberts, 2013).  Although this brief discussion focuses on acute exposure, certified applicators also may suffer chronic exposures that are associated with many diseases, including several forms of cancer.  These are discussed in more detail below, in Section 4.5.  </w:t>
      </w:r>
    </w:p>
    <w:p w14:paraId="5AB19BD8" w14:textId="77777777" w:rsidR="00F848A1" w:rsidRPr="00362517" w:rsidRDefault="00F848A1" w:rsidP="00BF6BC7">
      <w:pPr>
        <w:tabs>
          <w:tab w:val="left" w:pos="540"/>
          <w:tab w:val="left" w:pos="1080"/>
          <w:tab w:val="left" w:pos="1620"/>
          <w:tab w:val="left" w:pos="2160"/>
        </w:tabs>
      </w:pPr>
    </w:p>
    <w:p w14:paraId="5AB19BD9" w14:textId="77777777" w:rsidR="00F848A1" w:rsidRPr="00362517" w:rsidRDefault="00F848A1" w:rsidP="00BF6BC7">
      <w:pPr>
        <w:tabs>
          <w:tab w:val="left" w:pos="540"/>
          <w:tab w:val="left" w:pos="1080"/>
          <w:tab w:val="left" w:pos="1620"/>
          <w:tab w:val="left" w:pos="2160"/>
        </w:tabs>
      </w:pPr>
      <w:r w:rsidRPr="00362517">
        <w:t xml:space="preserve">Evidence that acute adverse effects of pesticide exposure occur is that pesticide-related illnesses can be observed.  Although illness resulting from pesticide exposure is underreported (see below), there are peer-reviewed studies, based on pesticide illness reporting and surveillance initiatives that show evidence of illnesses.  Calvert, </w:t>
      </w:r>
      <w:r w:rsidRPr="00362517">
        <w:rPr>
          <w:i/>
        </w:rPr>
        <w:t>et al</w:t>
      </w:r>
      <w:r w:rsidRPr="00362517">
        <w:t xml:space="preserve">. (2008) for example, finds that acute pesticide poisoning incidents in the agriculture industry “continues to be an important problem.”  This study looked at pesticide poisoning incidents among agricultural workers from 1998-2005, and analyzed 3,271 cases.  Illness rates varied across time, age, and region, but for agricultural workers, risks of poisoning were an order of magnitude higher than for non-agricultural workers (except for farm owners (3% of the sample)).  Das </w:t>
      </w:r>
      <w:r w:rsidRPr="00362517">
        <w:rPr>
          <w:i/>
        </w:rPr>
        <w:t>et al</w:t>
      </w:r>
      <w:r w:rsidRPr="00362517">
        <w:t xml:space="preserve">. (2001) identified 486 pesticide illness cases among California farmworkers for 1998-1999, based on a surveillance program with mandatory reporting by physicians.  Das </w:t>
      </w:r>
      <w:r w:rsidRPr="00362517">
        <w:rPr>
          <w:i/>
        </w:rPr>
        <w:t>et al</w:t>
      </w:r>
      <w:r w:rsidRPr="00362517">
        <w:t xml:space="preserve">. found that about half of all occupational pesticide related illness cases in the California surveillance system were agricultural (the rest were in other industries).  Over a quarter of the poisonings were to those mixing, loading or applying pesticides. The most common symptoms were dermatological (about 44%), neurological (about 39%), and gastrointestinal (about 38%), and the most common route of exposure was skin contact, followed by inhalation and eye contact.  </w:t>
      </w:r>
    </w:p>
    <w:p w14:paraId="5AB19BDA" w14:textId="77777777" w:rsidR="00F848A1" w:rsidRPr="00362517" w:rsidRDefault="00F848A1" w:rsidP="00BF6BC7">
      <w:pPr>
        <w:tabs>
          <w:tab w:val="left" w:pos="540"/>
          <w:tab w:val="left" w:pos="1080"/>
          <w:tab w:val="left" w:pos="1620"/>
          <w:tab w:val="left" w:pos="2160"/>
        </w:tabs>
      </w:pPr>
    </w:p>
    <w:p w14:paraId="5AB19BDB" w14:textId="77777777" w:rsidR="00F848A1" w:rsidRPr="00362517" w:rsidRDefault="00F848A1" w:rsidP="00BF6BC7">
      <w:pPr>
        <w:tabs>
          <w:tab w:val="left" w:pos="540"/>
          <w:tab w:val="left" w:pos="1080"/>
          <w:tab w:val="left" w:pos="1620"/>
          <w:tab w:val="left" w:pos="2160"/>
        </w:tabs>
      </w:pPr>
      <w:r w:rsidRPr="00362517">
        <w:t>Reports to surveillance programs rank incidents according to severity, such as low, medium, high, and death.  The Calvert (2008) study finds that the majority of cases during the study period were low severity (87%), 12% were medium severity, and 0.6% were high severity, with one death.  While it is encouraging that most cases were ranked as “low severity” in this study, it is important to note that the severity categories can be misleading.  Even “low severity” cases can reflect significant morbidity, with the exposure resulting in health care treatment and the loss of work days. To be included in the SENSOR-Pesticides database used for the Calvert study (and which we use for the analysis in Section 4.4), at least two post-exposure symptoms must have been reported.  Symptoms categorized as “low severity” include abdominal pain, cramping, nausea, vomiting, and fever.  Symptoms like these and others severe enough to result in missing up to three days of work or hospitalization for up to a day are classified as “low severity” cases</w:t>
      </w:r>
      <w:r w:rsidRPr="00362517">
        <w:rPr>
          <w:rStyle w:val="FootnoteReference"/>
        </w:rPr>
        <w:footnoteReference w:id="8"/>
      </w:r>
      <w:r w:rsidRPr="00362517">
        <w:t xml:space="preserve">. </w:t>
      </w:r>
    </w:p>
    <w:p w14:paraId="5AB19BDC" w14:textId="77777777" w:rsidR="00F848A1" w:rsidRPr="00362517" w:rsidRDefault="00F848A1" w:rsidP="00BF6BC7">
      <w:pPr>
        <w:tabs>
          <w:tab w:val="left" w:pos="540"/>
          <w:tab w:val="left" w:pos="1080"/>
          <w:tab w:val="left" w:pos="1620"/>
          <w:tab w:val="left" w:pos="2160"/>
        </w:tabs>
      </w:pPr>
    </w:p>
    <w:p w14:paraId="5AB19BDD" w14:textId="77777777" w:rsidR="00F848A1" w:rsidRPr="00362517" w:rsidRDefault="00F848A1" w:rsidP="00BF6BC7">
      <w:pPr>
        <w:pStyle w:val="Heading3"/>
        <w:keepNext w:val="0"/>
        <w:keepLines w:val="0"/>
        <w:numPr>
          <w:ilvl w:val="2"/>
          <w:numId w:val="23"/>
        </w:numPr>
        <w:spacing w:before="120"/>
      </w:pPr>
      <w:bookmarkStart w:id="321" w:name="_Toc347502737"/>
      <w:bookmarkStart w:id="322" w:name="_Toc393400043"/>
      <w:bookmarkStart w:id="323" w:name="_Toc395177740"/>
      <w:bookmarkStart w:id="324" w:name="_Toc410807819"/>
      <w:bookmarkStart w:id="325" w:name="_Toc468872108"/>
      <w:r w:rsidRPr="00362517">
        <w:t>Acute and Chronic Exposures and Effects on Children and Families</w:t>
      </w:r>
      <w:bookmarkEnd w:id="321"/>
      <w:bookmarkEnd w:id="322"/>
      <w:bookmarkEnd w:id="323"/>
      <w:bookmarkEnd w:id="324"/>
      <w:bookmarkEnd w:id="325"/>
    </w:p>
    <w:p w14:paraId="5AB19BDE" w14:textId="77777777" w:rsidR="00F848A1" w:rsidRPr="00362517" w:rsidRDefault="00F848A1" w:rsidP="00BF6BC7">
      <w:pPr>
        <w:tabs>
          <w:tab w:val="left" w:pos="540"/>
          <w:tab w:val="left" w:pos="1080"/>
          <w:tab w:val="left" w:pos="1620"/>
          <w:tab w:val="left" w:pos="2160"/>
        </w:tabs>
        <w:rPr>
          <w:iCs/>
        </w:rPr>
      </w:pPr>
    </w:p>
    <w:p w14:paraId="5AB19BDF" w14:textId="7DE76994" w:rsidR="00F848A1" w:rsidRPr="00362517" w:rsidRDefault="00F848A1" w:rsidP="00BF6BC7">
      <w:pPr>
        <w:tabs>
          <w:tab w:val="left" w:pos="540"/>
          <w:tab w:val="left" w:pos="1080"/>
          <w:tab w:val="left" w:pos="1620"/>
          <w:tab w:val="left" w:pos="2160"/>
        </w:tabs>
        <w:rPr>
          <w:iCs/>
        </w:rPr>
      </w:pPr>
      <w:r w:rsidRPr="00362517">
        <w:rPr>
          <w:iCs/>
        </w:rPr>
        <w:t xml:space="preserve">This section discusses potential risks to families of certified applicators, as well as the families of others who may be exposed to RUPs. </w:t>
      </w:r>
      <w:r w:rsidRPr="00362517">
        <w:t>This is not a complete review of the epidemiological literature on the associations between RUP exposure and the health of children and families, but it provides an overview of the literature.  </w:t>
      </w:r>
      <w:r w:rsidRPr="00362517">
        <w:rPr>
          <w:iCs/>
        </w:rPr>
        <w:t xml:space="preserve">The risks discussed here are just a subset of diseases that have </w:t>
      </w:r>
      <w:r w:rsidRPr="00362517">
        <w:t>been reported</w:t>
      </w:r>
      <w:r w:rsidR="004C5263">
        <w:t xml:space="preserve"> </w:t>
      </w:r>
      <w:r w:rsidRPr="00362517">
        <w:t xml:space="preserve">in the literature to have </w:t>
      </w:r>
      <w:r w:rsidRPr="00362517">
        <w:rPr>
          <w:iCs/>
        </w:rPr>
        <w:t xml:space="preserve">an association with pesticide exposure; many others, including some cancers, also have </w:t>
      </w:r>
      <w:r w:rsidRPr="00362517">
        <w:t xml:space="preserve">been reported by some to be associated </w:t>
      </w:r>
      <w:r w:rsidRPr="00362517">
        <w:rPr>
          <w:iCs/>
        </w:rPr>
        <w:t xml:space="preserve">with pesticide exposure.  The discussion of chronic occupational pesticide exposure and cancers, in Section 4.5, </w:t>
      </w:r>
      <w:r w:rsidRPr="00362517">
        <w:t>primarily centers on occupational exposure because most of the available literature on pesticides and cancer outcomes is drawn from epidemiological studies that recruit cases who use pesticides occupationally</w:t>
      </w:r>
      <w:r w:rsidRPr="00362517">
        <w:rPr>
          <w:iCs/>
        </w:rPr>
        <w:t xml:space="preserve">. </w:t>
      </w:r>
    </w:p>
    <w:p w14:paraId="5AB19BE0" w14:textId="77777777" w:rsidR="00F848A1" w:rsidRPr="00362517" w:rsidRDefault="00F848A1" w:rsidP="00BF6BC7">
      <w:pPr>
        <w:tabs>
          <w:tab w:val="left" w:pos="540"/>
          <w:tab w:val="left" w:pos="1080"/>
          <w:tab w:val="left" w:pos="1620"/>
          <w:tab w:val="left" w:pos="2160"/>
        </w:tabs>
      </w:pPr>
    </w:p>
    <w:p w14:paraId="5AB19BE1" w14:textId="77777777" w:rsidR="00F848A1" w:rsidRPr="00362517" w:rsidRDefault="00F848A1" w:rsidP="00BF6BC7">
      <w:pPr>
        <w:tabs>
          <w:tab w:val="left" w:pos="540"/>
          <w:tab w:val="left" w:pos="1080"/>
          <w:tab w:val="left" w:pos="1620"/>
          <w:tab w:val="left" w:pos="2160"/>
        </w:tabs>
        <w:spacing w:before="120"/>
        <w:rPr>
          <w:i/>
          <w:iCs/>
        </w:rPr>
      </w:pPr>
      <w:r w:rsidRPr="00362517">
        <w:rPr>
          <w:i/>
          <w:iCs/>
        </w:rPr>
        <w:t xml:space="preserve">Reproductive Risks </w:t>
      </w:r>
    </w:p>
    <w:p w14:paraId="5AB19BE2" w14:textId="77777777" w:rsidR="00F848A1" w:rsidRPr="00362517" w:rsidRDefault="00F848A1" w:rsidP="00BF6BC7">
      <w:pPr>
        <w:tabs>
          <w:tab w:val="left" w:pos="540"/>
          <w:tab w:val="left" w:pos="1080"/>
          <w:tab w:val="left" w:pos="1620"/>
          <w:tab w:val="left" w:pos="2160"/>
        </w:tabs>
      </w:pPr>
    </w:p>
    <w:p w14:paraId="5AB19BE3" w14:textId="37542312" w:rsidR="00F848A1" w:rsidRPr="00362517" w:rsidRDefault="0019152B" w:rsidP="00BF6BC7">
      <w:pPr>
        <w:tabs>
          <w:tab w:val="left" w:pos="540"/>
          <w:tab w:val="left" w:pos="1080"/>
          <w:tab w:val="left" w:pos="1620"/>
          <w:tab w:val="left" w:pos="2160"/>
        </w:tabs>
      </w:pPr>
      <w:r w:rsidRPr="00362517">
        <w:t>Female c</w:t>
      </w:r>
      <w:r w:rsidR="00F848A1" w:rsidRPr="00362517">
        <w:t xml:space="preserve">ertified applicators, noncertified applicators working under the direct supervision of a certified applicator, farmworkers and women </w:t>
      </w:r>
      <w:r w:rsidRPr="00362517">
        <w:t xml:space="preserve">who reside nearby farms, greenhouses or nurseries that conduct routine pesticide applications may </w:t>
      </w:r>
      <w:r w:rsidR="00F848A1" w:rsidRPr="00362517">
        <w:t xml:space="preserve">face exposure to RUPs </w:t>
      </w:r>
      <w:r w:rsidR="004C5263">
        <w:t>while</w:t>
      </w:r>
      <w:r w:rsidR="004C5263" w:rsidRPr="00362517">
        <w:t xml:space="preserve"> </w:t>
      </w:r>
      <w:r w:rsidR="00F848A1" w:rsidRPr="00362517">
        <w:t xml:space="preserve">they are pregnant.  Reviews have been conducted examining the effects of pesticide exposure during pregnancy on reproductive outcomes. Sanborn </w:t>
      </w:r>
      <w:r w:rsidR="00F848A1" w:rsidRPr="00362517">
        <w:rPr>
          <w:i/>
        </w:rPr>
        <w:t>et al</w:t>
      </w:r>
      <w:r w:rsidR="00F848A1" w:rsidRPr="00362517">
        <w:t xml:space="preserve">. (2007) found 59 peer-reviewed studies that examined the relationship between pesticides and reproductive outcomes between 1992 and 2003.  A summary of their findings is found in Table 4.2-1. </w:t>
      </w:r>
    </w:p>
    <w:p w14:paraId="5AB19BE4" w14:textId="77777777" w:rsidR="00F848A1" w:rsidRPr="00362517" w:rsidRDefault="00F848A1" w:rsidP="00BF6BC7">
      <w:pPr>
        <w:tabs>
          <w:tab w:val="left" w:pos="540"/>
          <w:tab w:val="left" w:pos="1080"/>
          <w:tab w:val="left" w:pos="1620"/>
          <w:tab w:val="left" w:pos="2160"/>
        </w:tabs>
      </w:pPr>
    </w:p>
    <w:tbl>
      <w:tblPr>
        <w:tblW w:w="882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467"/>
        <w:gridCol w:w="2053"/>
        <w:gridCol w:w="3300"/>
      </w:tblGrid>
      <w:tr w:rsidR="00362517" w:rsidRPr="00362517" w14:paraId="5AB19BE6" w14:textId="77777777" w:rsidTr="0034043F">
        <w:trPr>
          <w:trHeight w:val="417"/>
          <w:jc w:val="center"/>
        </w:trPr>
        <w:tc>
          <w:tcPr>
            <w:tcW w:w="8820" w:type="dxa"/>
            <w:gridSpan w:val="3"/>
            <w:tcBorders>
              <w:top w:val="double" w:sz="4" w:space="0" w:color="auto"/>
              <w:left w:val="double" w:sz="4" w:space="0" w:color="auto"/>
              <w:bottom w:val="double" w:sz="4" w:space="0" w:color="auto"/>
              <w:right w:val="double" w:sz="4" w:space="0" w:color="auto"/>
            </w:tcBorders>
            <w:shd w:val="clear" w:color="auto" w:fill="FFFFFF"/>
            <w:vAlign w:val="bottom"/>
            <w:hideMark/>
          </w:tcPr>
          <w:p w14:paraId="5AB19BE5" w14:textId="77777777" w:rsidR="00F848A1" w:rsidRPr="00362517" w:rsidRDefault="00F848A1" w:rsidP="00BF6BC7">
            <w:pPr>
              <w:keepNext/>
              <w:tabs>
                <w:tab w:val="left" w:pos="540"/>
                <w:tab w:val="left" w:pos="1080"/>
                <w:tab w:val="left" w:pos="1620"/>
                <w:tab w:val="left" w:pos="2160"/>
              </w:tabs>
              <w:ind w:left="-108"/>
              <w:rPr>
                <w:b/>
                <w:bCs/>
              </w:rPr>
            </w:pPr>
            <w:r w:rsidRPr="00362517">
              <w:rPr>
                <w:b/>
                <w:bCs/>
              </w:rPr>
              <w:t xml:space="preserve">Table 4.2-1. Summary of Findings on the Association between Pesticide Exposure and Reproductive Risks from Sanborn </w:t>
            </w:r>
            <w:r w:rsidRPr="00362517">
              <w:rPr>
                <w:b/>
                <w:bCs/>
                <w:i/>
              </w:rPr>
              <w:t>et al.</w:t>
            </w:r>
            <w:r w:rsidRPr="00362517">
              <w:rPr>
                <w:b/>
                <w:bCs/>
              </w:rPr>
              <w:t>, 2007</w:t>
            </w:r>
          </w:p>
        </w:tc>
      </w:tr>
      <w:tr w:rsidR="00362517" w:rsidRPr="00362517" w14:paraId="5AB19BEA" w14:textId="77777777" w:rsidTr="0034043F">
        <w:trPr>
          <w:trHeight w:hRule="exact" w:val="1396"/>
          <w:jc w:val="center"/>
        </w:trPr>
        <w:tc>
          <w:tcPr>
            <w:tcW w:w="3467" w:type="dxa"/>
            <w:tcBorders>
              <w:top w:val="double" w:sz="4" w:space="0" w:color="auto"/>
              <w:left w:val="double" w:sz="4" w:space="0" w:color="auto"/>
              <w:bottom w:val="double" w:sz="4" w:space="0" w:color="auto"/>
              <w:right w:val="nil"/>
            </w:tcBorders>
            <w:vAlign w:val="bottom"/>
            <w:hideMark/>
          </w:tcPr>
          <w:p w14:paraId="5AB19BE7" w14:textId="77777777" w:rsidR="00F848A1" w:rsidRPr="00362517" w:rsidRDefault="00F848A1" w:rsidP="00BF6BC7">
            <w:pPr>
              <w:keepNext/>
              <w:tabs>
                <w:tab w:val="left" w:pos="540"/>
                <w:tab w:val="left" w:pos="1080"/>
                <w:tab w:val="left" w:pos="1620"/>
                <w:tab w:val="left" w:pos="2160"/>
              </w:tabs>
              <w:rPr>
                <w:b/>
                <w:bCs/>
              </w:rPr>
            </w:pPr>
            <w:r w:rsidRPr="00362517">
              <w:rPr>
                <w:b/>
                <w:bCs/>
              </w:rPr>
              <w:t>Outcome Examined</w:t>
            </w:r>
          </w:p>
        </w:tc>
        <w:tc>
          <w:tcPr>
            <w:tcW w:w="2053" w:type="dxa"/>
            <w:tcBorders>
              <w:top w:val="double" w:sz="4" w:space="0" w:color="auto"/>
              <w:left w:val="nil"/>
              <w:bottom w:val="double" w:sz="4" w:space="0" w:color="auto"/>
              <w:right w:val="nil"/>
            </w:tcBorders>
            <w:vAlign w:val="bottom"/>
            <w:hideMark/>
          </w:tcPr>
          <w:p w14:paraId="5AB19BE8" w14:textId="77777777" w:rsidR="00F848A1" w:rsidRPr="00362517" w:rsidRDefault="00F848A1" w:rsidP="00BF6BC7">
            <w:pPr>
              <w:keepNext/>
              <w:tabs>
                <w:tab w:val="left" w:pos="540"/>
                <w:tab w:val="left" w:pos="1080"/>
                <w:tab w:val="left" w:pos="1620"/>
                <w:tab w:val="left" w:pos="2160"/>
              </w:tabs>
              <w:jc w:val="center"/>
              <w:rPr>
                <w:b/>
                <w:bCs/>
              </w:rPr>
            </w:pPr>
            <w:r w:rsidRPr="00362517">
              <w:rPr>
                <w:b/>
                <w:bCs/>
              </w:rPr>
              <w:t>Number of Papers Found</w:t>
            </w:r>
          </w:p>
        </w:tc>
        <w:tc>
          <w:tcPr>
            <w:tcW w:w="3300" w:type="dxa"/>
            <w:tcBorders>
              <w:top w:val="double" w:sz="4" w:space="0" w:color="auto"/>
              <w:left w:val="nil"/>
              <w:bottom w:val="double" w:sz="4" w:space="0" w:color="auto"/>
              <w:right w:val="double" w:sz="4" w:space="0" w:color="auto"/>
            </w:tcBorders>
            <w:vAlign w:val="bottom"/>
            <w:hideMark/>
          </w:tcPr>
          <w:p w14:paraId="5AB19BE9" w14:textId="77777777" w:rsidR="00F848A1" w:rsidRPr="00362517" w:rsidRDefault="00F848A1" w:rsidP="00BF6BC7">
            <w:pPr>
              <w:keepNext/>
              <w:tabs>
                <w:tab w:val="left" w:pos="540"/>
                <w:tab w:val="left" w:pos="1080"/>
                <w:tab w:val="left" w:pos="1620"/>
                <w:tab w:val="left" w:pos="2160"/>
              </w:tabs>
              <w:jc w:val="center"/>
              <w:rPr>
                <w:b/>
                <w:bCs/>
              </w:rPr>
            </w:pPr>
            <w:r w:rsidRPr="00362517">
              <w:rPr>
                <w:b/>
                <w:bCs/>
              </w:rPr>
              <w:t xml:space="preserve">Number of Papers Found that Display an Association Between the Outcome Examined and Pesticide Exposure* </w:t>
            </w:r>
          </w:p>
        </w:tc>
      </w:tr>
      <w:tr w:rsidR="00362517" w:rsidRPr="00362517" w14:paraId="5AB19BEE" w14:textId="77777777" w:rsidTr="0034043F">
        <w:trPr>
          <w:trHeight w:hRule="exact" w:val="305"/>
          <w:jc w:val="center"/>
        </w:trPr>
        <w:tc>
          <w:tcPr>
            <w:tcW w:w="3467" w:type="dxa"/>
            <w:tcBorders>
              <w:top w:val="double" w:sz="4" w:space="0" w:color="auto"/>
              <w:left w:val="double" w:sz="4" w:space="0" w:color="auto"/>
              <w:bottom w:val="nil"/>
              <w:right w:val="nil"/>
            </w:tcBorders>
            <w:hideMark/>
          </w:tcPr>
          <w:p w14:paraId="5AB19BEB" w14:textId="77777777" w:rsidR="00F848A1" w:rsidRPr="00362517" w:rsidRDefault="00F848A1" w:rsidP="00BF6BC7">
            <w:pPr>
              <w:keepNext/>
              <w:tabs>
                <w:tab w:val="left" w:pos="540"/>
                <w:tab w:val="left" w:pos="1080"/>
                <w:tab w:val="left" w:pos="1620"/>
                <w:tab w:val="left" w:pos="2160"/>
              </w:tabs>
            </w:pPr>
            <w:r w:rsidRPr="00362517">
              <w:t>Birth Defect</w:t>
            </w:r>
          </w:p>
        </w:tc>
        <w:tc>
          <w:tcPr>
            <w:tcW w:w="2053" w:type="dxa"/>
            <w:tcBorders>
              <w:top w:val="double" w:sz="4" w:space="0" w:color="auto"/>
              <w:left w:val="nil"/>
              <w:bottom w:val="nil"/>
              <w:right w:val="nil"/>
            </w:tcBorders>
            <w:hideMark/>
          </w:tcPr>
          <w:p w14:paraId="5AB19BEC" w14:textId="77777777" w:rsidR="00F848A1" w:rsidRPr="00362517" w:rsidRDefault="00F848A1" w:rsidP="00BF6BC7">
            <w:pPr>
              <w:keepNext/>
              <w:tabs>
                <w:tab w:val="left" w:pos="540"/>
                <w:tab w:val="left" w:pos="1080"/>
                <w:tab w:val="left" w:pos="1620"/>
                <w:tab w:val="left" w:pos="2160"/>
              </w:tabs>
              <w:jc w:val="center"/>
            </w:pPr>
            <w:r w:rsidRPr="00362517">
              <w:t>15</w:t>
            </w:r>
          </w:p>
        </w:tc>
        <w:tc>
          <w:tcPr>
            <w:tcW w:w="3300" w:type="dxa"/>
            <w:tcBorders>
              <w:top w:val="double" w:sz="4" w:space="0" w:color="auto"/>
              <w:left w:val="nil"/>
              <w:bottom w:val="nil"/>
              <w:right w:val="double" w:sz="4" w:space="0" w:color="auto"/>
            </w:tcBorders>
            <w:hideMark/>
          </w:tcPr>
          <w:p w14:paraId="5AB19BED" w14:textId="77777777" w:rsidR="00F848A1" w:rsidRPr="00362517" w:rsidRDefault="00F848A1" w:rsidP="00BF6BC7">
            <w:pPr>
              <w:keepNext/>
              <w:tabs>
                <w:tab w:val="left" w:pos="540"/>
                <w:tab w:val="left" w:pos="1080"/>
                <w:tab w:val="left" w:pos="1620"/>
                <w:tab w:val="left" w:pos="2160"/>
              </w:tabs>
              <w:jc w:val="center"/>
            </w:pPr>
            <w:r w:rsidRPr="00362517">
              <w:t>14 (+)</w:t>
            </w:r>
          </w:p>
        </w:tc>
      </w:tr>
      <w:tr w:rsidR="00362517" w:rsidRPr="00362517" w14:paraId="5AB19BF2" w14:textId="77777777" w:rsidTr="0034043F">
        <w:trPr>
          <w:trHeight w:hRule="exact" w:val="305"/>
          <w:jc w:val="center"/>
        </w:trPr>
        <w:tc>
          <w:tcPr>
            <w:tcW w:w="3467" w:type="dxa"/>
            <w:tcBorders>
              <w:top w:val="nil"/>
              <w:left w:val="double" w:sz="4" w:space="0" w:color="auto"/>
              <w:bottom w:val="nil"/>
              <w:right w:val="nil"/>
            </w:tcBorders>
            <w:hideMark/>
          </w:tcPr>
          <w:p w14:paraId="5AB19BEF" w14:textId="77777777" w:rsidR="00F848A1" w:rsidRPr="00362517" w:rsidRDefault="00F848A1" w:rsidP="00BF6BC7">
            <w:pPr>
              <w:keepNext/>
              <w:tabs>
                <w:tab w:val="left" w:pos="540"/>
                <w:tab w:val="left" w:pos="1080"/>
                <w:tab w:val="left" w:pos="1620"/>
                <w:tab w:val="left" w:pos="2160"/>
              </w:tabs>
            </w:pPr>
            <w:r w:rsidRPr="00362517">
              <w:t>Time to Pregnancy</w:t>
            </w:r>
          </w:p>
        </w:tc>
        <w:tc>
          <w:tcPr>
            <w:tcW w:w="2053" w:type="dxa"/>
            <w:tcBorders>
              <w:top w:val="nil"/>
              <w:left w:val="nil"/>
              <w:bottom w:val="nil"/>
              <w:right w:val="nil"/>
            </w:tcBorders>
            <w:hideMark/>
          </w:tcPr>
          <w:p w14:paraId="5AB19BF0" w14:textId="77777777" w:rsidR="00F848A1" w:rsidRPr="00362517" w:rsidRDefault="00F848A1" w:rsidP="00BF6BC7">
            <w:pPr>
              <w:keepNext/>
              <w:tabs>
                <w:tab w:val="left" w:pos="540"/>
                <w:tab w:val="left" w:pos="1080"/>
                <w:tab w:val="left" w:pos="1620"/>
                <w:tab w:val="left" w:pos="2160"/>
              </w:tabs>
              <w:jc w:val="center"/>
            </w:pPr>
            <w:r w:rsidRPr="00362517">
              <w:t>8</w:t>
            </w:r>
          </w:p>
        </w:tc>
        <w:tc>
          <w:tcPr>
            <w:tcW w:w="3300" w:type="dxa"/>
            <w:tcBorders>
              <w:top w:val="nil"/>
              <w:left w:val="nil"/>
              <w:bottom w:val="nil"/>
              <w:right w:val="double" w:sz="4" w:space="0" w:color="auto"/>
            </w:tcBorders>
            <w:hideMark/>
          </w:tcPr>
          <w:p w14:paraId="5AB19BF1" w14:textId="77777777" w:rsidR="00F848A1" w:rsidRPr="00362517" w:rsidRDefault="00F848A1" w:rsidP="00BF6BC7">
            <w:pPr>
              <w:keepNext/>
              <w:tabs>
                <w:tab w:val="left" w:pos="540"/>
                <w:tab w:val="left" w:pos="1080"/>
                <w:tab w:val="left" w:pos="1620"/>
                <w:tab w:val="left" w:pos="2160"/>
              </w:tabs>
              <w:jc w:val="center"/>
            </w:pPr>
            <w:r w:rsidRPr="00362517">
              <w:t>5 (+)</w:t>
            </w:r>
          </w:p>
        </w:tc>
      </w:tr>
      <w:tr w:rsidR="00362517" w:rsidRPr="00362517" w14:paraId="5AB19BF6" w14:textId="77777777" w:rsidTr="0034043F">
        <w:trPr>
          <w:trHeight w:hRule="exact" w:val="305"/>
          <w:jc w:val="center"/>
        </w:trPr>
        <w:tc>
          <w:tcPr>
            <w:tcW w:w="3467" w:type="dxa"/>
            <w:tcBorders>
              <w:top w:val="nil"/>
              <w:left w:val="single" w:sz="4" w:space="0" w:color="auto"/>
              <w:bottom w:val="nil"/>
              <w:right w:val="nil"/>
            </w:tcBorders>
            <w:hideMark/>
          </w:tcPr>
          <w:p w14:paraId="5AB19BF3" w14:textId="77777777" w:rsidR="00F848A1" w:rsidRPr="00362517" w:rsidRDefault="00F848A1" w:rsidP="00BF6BC7">
            <w:pPr>
              <w:keepNext/>
              <w:tabs>
                <w:tab w:val="left" w:pos="540"/>
                <w:tab w:val="left" w:pos="1080"/>
                <w:tab w:val="left" w:pos="1620"/>
                <w:tab w:val="left" w:pos="2160"/>
              </w:tabs>
            </w:pPr>
            <w:r w:rsidRPr="00362517">
              <w:t>Fertility**</w:t>
            </w:r>
          </w:p>
        </w:tc>
        <w:tc>
          <w:tcPr>
            <w:tcW w:w="2053" w:type="dxa"/>
            <w:tcBorders>
              <w:top w:val="nil"/>
              <w:left w:val="nil"/>
              <w:bottom w:val="nil"/>
              <w:right w:val="nil"/>
            </w:tcBorders>
            <w:hideMark/>
          </w:tcPr>
          <w:p w14:paraId="5AB19BF4" w14:textId="77777777" w:rsidR="00F848A1" w:rsidRPr="00362517" w:rsidRDefault="00F848A1" w:rsidP="00BF6BC7">
            <w:pPr>
              <w:keepNext/>
              <w:tabs>
                <w:tab w:val="left" w:pos="540"/>
                <w:tab w:val="left" w:pos="1080"/>
                <w:tab w:val="left" w:pos="1620"/>
                <w:tab w:val="left" w:pos="2160"/>
              </w:tabs>
              <w:jc w:val="center"/>
            </w:pPr>
            <w:r w:rsidRPr="00362517">
              <w:t>14</w:t>
            </w:r>
          </w:p>
        </w:tc>
        <w:tc>
          <w:tcPr>
            <w:tcW w:w="3300" w:type="dxa"/>
            <w:tcBorders>
              <w:top w:val="nil"/>
              <w:left w:val="nil"/>
              <w:bottom w:val="nil"/>
              <w:right w:val="double" w:sz="4" w:space="0" w:color="auto"/>
            </w:tcBorders>
            <w:hideMark/>
          </w:tcPr>
          <w:p w14:paraId="5AB19BF5" w14:textId="77777777" w:rsidR="00F848A1" w:rsidRPr="00362517" w:rsidRDefault="00F848A1" w:rsidP="00BF6BC7">
            <w:pPr>
              <w:keepNext/>
              <w:tabs>
                <w:tab w:val="left" w:pos="540"/>
                <w:tab w:val="left" w:pos="1080"/>
                <w:tab w:val="left" w:pos="1620"/>
                <w:tab w:val="left" w:pos="2160"/>
              </w:tabs>
              <w:jc w:val="center"/>
            </w:pPr>
            <w:r w:rsidRPr="00362517">
              <w:t>7 (-)</w:t>
            </w:r>
          </w:p>
        </w:tc>
      </w:tr>
      <w:tr w:rsidR="00362517" w:rsidRPr="00362517" w14:paraId="5AB19BFA" w14:textId="77777777" w:rsidTr="0034043F">
        <w:trPr>
          <w:trHeight w:hRule="exact" w:val="305"/>
          <w:jc w:val="center"/>
        </w:trPr>
        <w:tc>
          <w:tcPr>
            <w:tcW w:w="3467" w:type="dxa"/>
            <w:tcBorders>
              <w:top w:val="nil"/>
              <w:left w:val="double" w:sz="4" w:space="0" w:color="auto"/>
              <w:bottom w:val="nil"/>
              <w:right w:val="nil"/>
            </w:tcBorders>
            <w:hideMark/>
          </w:tcPr>
          <w:p w14:paraId="5AB19BF7" w14:textId="77777777" w:rsidR="00F848A1" w:rsidRPr="00362517" w:rsidRDefault="00F848A1" w:rsidP="00BF6BC7">
            <w:pPr>
              <w:keepNext/>
              <w:tabs>
                <w:tab w:val="left" w:pos="540"/>
                <w:tab w:val="left" w:pos="1080"/>
                <w:tab w:val="left" w:pos="1620"/>
                <w:tab w:val="left" w:pos="2160"/>
              </w:tabs>
            </w:pPr>
            <w:r w:rsidRPr="00362517">
              <w:t>Altered Growth</w:t>
            </w:r>
          </w:p>
        </w:tc>
        <w:tc>
          <w:tcPr>
            <w:tcW w:w="2053" w:type="dxa"/>
            <w:tcBorders>
              <w:top w:val="nil"/>
              <w:left w:val="nil"/>
              <w:bottom w:val="nil"/>
              <w:right w:val="nil"/>
            </w:tcBorders>
            <w:hideMark/>
          </w:tcPr>
          <w:p w14:paraId="5AB19BF8" w14:textId="77777777" w:rsidR="00F848A1" w:rsidRPr="00362517" w:rsidRDefault="00F848A1" w:rsidP="00BF6BC7">
            <w:pPr>
              <w:keepNext/>
              <w:tabs>
                <w:tab w:val="left" w:pos="540"/>
                <w:tab w:val="left" w:pos="1080"/>
                <w:tab w:val="left" w:pos="1620"/>
                <w:tab w:val="left" w:pos="2160"/>
              </w:tabs>
              <w:jc w:val="center"/>
            </w:pPr>
            <w:r w:rsidRPr="00362517">
              <w:t>10</w:t>
            </w:r>
          </w:p>
        </w:tc>
        <w:tc>
          <w:tcPr>
            <w:tcW w:w="3300" w:type="dxa"/>
            <w:tcBorders>
              <w:top w:val="nil"/>
              <w:left w:val="nil"/>
              <w:bottom w:val="nil"/>
              <w:right w:val="double" w:sz="4" w:space="0" w:color="auto"/>
            </w:tcBorders>
            <w:hideMark/>
          </w:tcPr>
          <w:p w14:paraId="5AB19BF9" w14:textId="77777777" w:rsidR="00F848A1" w:rsidRPr="00362517" w:rsidRDefault="00F848A1" w:rsidP="00BF6BC7">
            <w:pPr>
              <w:keepNext/>
              <w:tabs>
                <w:tab w:val="left" w:pos="540"/>
                <w:tab w:val="left" w:pos="1080"/>
                <w:tab w:val="left" w:pos="1620"/>
                <w:tab w:val="left" w:pos="2160"/>
              </w:tabs>
              <w:jc w:val="center"/>
            </w:pPr>
            <w:r w:rsidRPr="00362517">
              <w:t>7 (+)</w:t>
            </w:r>
          </w:p>
        </w:tc>
      </w:tr>
      <w:tr w:rsidR="00362517" w:rsidRPr="00362517" w14:paraId="5AB19BFE" w14:textId="77777777" w:rsidTr="0034043F">
        <w:trPr>
          <w:trHeight w:hRule="exact" w:val="305"/>
          <w:jc w:val="center"/>
        </w:trPr>
        <w:tc>
          <w:tcPr>
            <w:tcW w:w="3467" w:type="dxa"/>
            <w:tcBorders>
              <w:top w:val="nil"/>
              <w:left w:val="double" w:sz="4" w:space="0" w:color="auto"/>
              <w:bottom w:val="nil"/>
              <w:right w:val="nil"/>
            </w:tcBorders>
            <w:hideMark/>
          </w:tcPr>
          <w:p w14:paraId="5AB19BFB" w14:textId="77777777" w:rsidR="00F848A1" w:rsidRPr="00362517" w:rsidRDefault="00F848A1" w:rsidP="00BF6BC7">
            <w:pPr>
              <w:keepNext/>
              <w:tabs>
                <w:tab w:val="left" w:pos="540"/>
                <w:tab w:val="left" w:pos="1080"/>
                <w:tab w:val="left" w:pos="1620"/>
                <w:tab w:val="left" w:pos="2160"/>
              </w:tabs>
            </w:pPr>
            <w:r w:rsidRPr="00362517">
              <w:t>Fetal Death</w:t>
            </w:r>
          </w:p>
        </w:tc>
        <w:tc>
          <w:tcPr>
            <w:tcW w:w="2053" w:type="dxa"/>
            <w:tcBorders>
              <w:top w:val="nil"/>
              <w:left w:val="nil"/>
              <w:bottom w:val="nil"/>
              <w:right w:val="nil"/>
            </w:tcBorders>
            <w:hideMark/>
          </w:tcPr>
          <w:p w14:paraId="5AB19BFC" w14:textId="77777777" w:rsidR="00F848A1" w:rsidRPr="00362517" w:rsidRDefault="00F848A1" w:rsidP="00BF6BC7">
            <w:pPr>
              <w:keepNext/>
              <w:tabs>
                <w:tab w:val="left" w:pos="540"/>
                <w:tab w:val="left" w:pos="1080"/>
                <w:tab w:val="left" w:pos="1620"/>
                <w:tab w:val="left" w:pos="2160"/>
              </w:tabs>
              <w:jc w:val="center"/>
            </w:pPr>
            <w:r w:rsidRPr="00362517">
              <w:t>11</w:t>
            </w:r>
          </w:p>
        </w:tc>
        <w:tc>
          <w:tcPr>
            <w:tcW w:w="3300" w:type="dxa"/>
            <w:tcBorders>
              <w:top w:val="nil"/>
              <w:left w:val="nil"/>
              <w:bottom w:val="nil"/>
              <w:right w:val="double" w:sz="4" w:space="0" w:color="auto"/>
            </w:tcBorders>
            <w:hideMark/>
          </w:tcPr>
          <w:p w14:paraId="5AB19BFD" w14:textId="77777777" w:rsidR="00F848A1" w:rsidRPr="00362517" w:rsidRDefault="00F848A1" w:rsidP="00BF6BC7">
            <w:pPr>
              <w:keepNext/>
              <w:tabs>
                <w:tab w:val="left" w:pos="540"/>
                <w:tab w:val="left" w:pos="1080"/>
                <w:tab w:val="left" w:pos="1620"/>
                <w:tab w:val="left" w:pos="2160"/>
              </w:tabs>
              <w:jc w:val="center"/>
            </w:pPr>
            <w:r w:rsidRPr="00362517">
              <w:t>9 (+)</w:t>
            </w:r>
          </w:p>
        </w:tc>
      </w:tr>
      <w:tr w:rsidR="00362517" w:rsidRPr="00362517" w14:paraId="5AB19C02" w14:textId="77777777" w:rsidTr="0034043F">
        <w:trPr>
          <w:trHeight w:hRule="exact" w:val="305"/>
          <w:jc w:val="center"/>
        </w:trPr>
        <w:tc>
          <w:tcPr>
            <w:tcW w:w="3467" w:type="dxa"/>
            <w:tcBorders>
              <w:top w:val="nil"/>
              <w:left w:val="double" w:sz="4" w:space="0" w:color="auto"/>
              <w:bottom w:val="single" w:sz="4" w:space="0" w:color="auto"/>
              <w:right w:val="nil"/>
            </w:tcBorders>
            <w:hideMark/>
          </w:tcPr>
          <w:p w14:paraId="5AB19BFF" w14:textId="77777777" w:rsidR="00F848A1" w:rsidRPr="00362517" w:rsidRDefault="00F848A1" w:rsidP="00BF6BC7">
            <w:pPr>
              <w:keepNext/>
              <w:tabs>
                <w:tab w:val="left" w:pos="540"/>
                <w:tab w:val="left" w:pos="1080"/>
                <w:tab w:val="left" w:pos="1620"/>
                <w:tab w:val="left" w:pos="2160"/>
              </w:tabs>
            </w:pPr>
            <w:r w:rsidRPr="00362517">
              <w:t>Other Outcomes</w:t>
            </w:r>
          </w:p>
        </w:tc>
        <w:tc>
          <w:tcPr>
            <w:tcW w:w="2053" w:type="dxa"/>
            <w:tcBorders>
              <w:top w:val="nil"/>
              <w:left w:val="nil"/>
              <w:bottom w:val="single" w:sz="4" w:space="0" w:color="auto"/>
              <w:right w:val="nil"/>
            </w:tcBorders>
            <w:hideMark/>
          </w:tcPr>
          <w:p w14:paraId="5AB19C00" w14:textId="77777777" w:rsidR="00F848A1" w:rsidRPr="00362517" w:rsidRDefault="00F848A1" w:rsidP="00BF6BC7">
            <w:pPr>
              <w:keepNext/>
              <w:tabs>
                <w:tab w:val="left" w:pos="540"/>
                <w:tab w:val="left" w:pos="1080"/>
                <w:tab w:val="left" w:pos="1620"/>
                <w:tab w:val="left" w:pos="2160"/>
              </w:tabs>
              <w:jc w:val="center"/>
            </w:pPr>
            <w:r w:rsidRPr="00362517">
              <w:t>6</w:t>
            </w:r>
          </w:p>
        </w:tc>
        <w:tc>
          <w:tcPr>
            <w:tcW w:w="3300" w:type="dxa"/>
            <w:tcBorders>
              <w:top w:val="nil"/>
              <w:left w:val="nil"/>
              <w:bottom w:val="single" w:sz="4" w:space="0" w:color="auto"/>
              <w:right w:val="double" w:sz="4" w:space="0" w:color="auto"/>
            </w:tcBorders>
            <w:hideMark/>
          </w:tcPr>
          <w:p w14:paraId="5AB19C01" w14:textId="77777777" w:rsidR="00F848A1" w:rsidRPr="00362517" w:rsidRDefault="00F848A1" w:rsidP="00BF6BC7">
            <w:pPr>
              <w:keepNext/>
              <w:tabs>
                <w:tab w:val="left" w:pos="540"/>
                <w:tab w:val="left" w:pos="1080"/>
                <w:tab w:val="left" w:pos="1620"/>
                <w:tab w:val="left" w:pos="2160"/>
              </w:tabs>
              <w:jc w:val="center"/>
            </w:pPr>
            <w:r w:rsidRPr="00362517">
              <w:t>6 (+)</w:t>
            </w:r>
          </w:p>
        </w:tc>
      </w:tr>
      <w:tr w:rsidR="00F848A1" w:rsidRPr="00362517" w14:paraId="5AB19C05" w14:textId="77777777" w:rsidTr="0034043F">
        <w:trPr>
          <w:trHeight w:val="451"/>
          <w:jc w:val="center"/>
        </w:trPr>
        <w:tc>
          <w:tcPr>
            <w:tcW w:w="8820" w:type="dxa"/>
            <w:gridSpan w:val="3"/>
            <w:tcBorders>
              <w:top w:val="single" w:sz="4" w:space="0" w:color="auto"/>
              <w:left w:val="double" w:sz="4" w:space="0" w:color="auto"/>
              <w:bottom w:val="double" w:sz="4" w:space="0" w:color="auto"/>
              <w:right w:val="double" w:sz="4" w:space="0" w:color="auto"/>
            </w:tcBorders>
          </w:tcPr>
          <w:p w14:paraId="5AB19C03" w14:textId="77777777" w:rsidR="00F848A1" w:rsidRPr="00362517" w:rsidRDefault="00F848A1" w:rsidP="00BF6BC7">
            <w:pPr>
              <w:keepNext/>
              <w:tabs>
                <w:tab w:val="left" w:pos="540"/>
                <w:tab w:val="left" w:pos="1080"/>
                <w:tab w:val="left" w:pos="1620"/>
                <w:tab w:val="left" w:pos="2160"/>
              </w:tabs>
              <w:rPr>
                <w:sz w:val="18"/>
                <w:szCs w:val="18"/>
              </w:rPr>
            </w:pPr>
            <w:r w:rsidRPr="00362517">
              <w:rPr>
                <w:sz w:val="18"/>
                <w:szCs w:val="18"/>
              </w:rPr>
              <w:t>*The direction of the association is shown in parentheses.</w:t>
            </w:r>
          </w:p>
          <w:p w14:paraId="5AB19C04" w14:textId="77777777" w:rsidR="00F848A1" w:rsidRPr="00362517" w:rsidRDefault="00F848A1" w:rsidP="00BF6BC7">
            <w:pPr>
              <w:keepNext/>
              <w:tabs>
                <w:tab w:val="left" w:pos="540"/>
                <w:tab w:val="left" w:pos="1080"/>
                <w:tab w:val="left" w:pos="1620"/>
                <w:tab w:val="left" w:pos="2160"/>
              </w:tabs>
              <w:rPr>
                <w:sz w:val="18"/>
                <w:szCs w:val="18"/>
              </w:rPr>
            </w:pPr>
            <w:r w:rsidRPr="00362517">
              <w:rPr>
                <w:sz w:val="18"/>
                <w:szCs w:val="18"/>
              </w:rPr>
              <w:t xml:space="preserve">** Fertility refers to the ability to become pregnant in 1 year, and includes male and female factors, such as semen quality and infertility. </w:t>
            </w:r>
          </w:p>
        </w:tc>
      </w:tr>
    </w:tbl>
    <w:p w14:paraId="5AB19C06" w14:textId="77777777" w:rsidR="00F848A1" w:rsidRPr="00362517" w:rsidRDefault="00F848A1" w:rsidP="00BF6BC7">
      <w:pPr>
        <w:tabs>
          <w:tab w:val="left" w:pos="540"/>
          <w:tab w:val="left" w:pos="1080"/>
          <w:tab w:val="left" w:pos="1620"/>
          <w:tab w:val="left" w:pos="2160"/>
        </w:tabs>
      </w:pPr>
    </w:p>
    <w:p w14:paraId="5AB19C07" w14:textId="77777777" w:rsidR="00F848A1" w:rsidRPr="00362517" w:rsidRDefault="00F848A1" w:rsidP="00BF6BC7">
      <w:pPr>
        <w:tabs>
          <w:tab w:val="left" w:pos="540"/>
          <w:tab w:val="left" w:pos="1080"/>
          <w:tab w:val="left" w:pos="1620"/>
          <w:tab w:val="left" w:pos="2160"/>
        </w:tabs>
      </w:pPr>
      <w:r w:rsidRPr="00362517">
        <w:t xml:space="preserve">As seen in Table 4.2-1, fourteen of the studies reviewed by Sanborn </w:t>
      </w:r>
      <w:r w:rsidRPr="00362517">
        <w:rPr>
          <w:i/>
        </w:rPr>
        <w:t>et al.</w:t>
      </w:r>
      <w:r w:rsidRPr="00362517">
        <w:t xml:space="preserve"> (2007) reported an association between maternal pesticide exposure and an increased risk of birth defects.  The specific birth defects examined in the review consisted of limb reductions, urogenital anomalies, central nervous system defects, orofacial clefts, heart defects, and eye anomalies. Nine out of eleven studies showed an association between pesticide exposure and fetal death, which includes “spontaneous abortion, fetal death, still birth, and neonatal death.”  When examining fetal death, preconception exposure was associated with early first-trimester abortions and post-conception exposure was associated with late spontaneous abortions (Sanborn </w:t>
      </w:r>
      <w:r w:rsidRPr="00362517">
        <w:rPr>
          <w:i/>
        </w:rPr>
        <w:t>et al</w:t>
      </w:r>
      <w:r w:rsidRPr="00362517">
        <w:t>., 2007).  For most effects, half or more of the studies evaluated by Sanborn show an association between pesticide exposure and negative reproductive outcomes.  These authors note three limitations to this review: epidemiology studies cannot prove cause-effect relationships, the difficulty of accurate exposure assessment, and possible publication bias in the studies</w:t>
      </w:r>
      <w:r w:rsidRPr="00362517" w:rsidDel="00BD4C33">
        <w:t xml:space="preserve"> </w:t>
      </w:r>
      <w:r w:rsidRPr="00362517">
        <w:t xml:space="preserve">included in the systematic review. Therefore, while these results are suggestive, they are not definitive or conclusive.  </w:t>
      </w:r>
    </w:p>
    <w:p w14:paraId="5AB19C08" w14:textId="77777777" w:rsidR="00F848A1" w:rsidRPr="00362517" w:rsidRDefault="00F848A1" w:rsidP="00BF6BC7">
      <w:pPr>
        <w:tabs>
          <w:tab w:val="left" w:pos="540"/>
          <w:tab w:val="left" w:pos="1080"/>
          <w:tab w:val="left" w:pos="1620"/>
          <w:tab w:val="left" w:pos="2160"/>
        </w:tabs>
        <w:rPr>
          <w:i/>
          <w:iCs/>
        </w:rPr>
      </w:pPr>
    </w:p>
    <w:p w14:paraId="5AB19C09" w14:textId="77777777" w:rsidR="00F848A1" w:rsidRPr="00362517" w:rsidRDefault="00F848A1" w:rsidP="00BF6BC7">
      <w:pPr>
        <w:tabs>
          <w:tab w:val="left" w:pos="540"/>
          <w:tab w:val="left" w:pos="1080"/>
          <w:tab w:val="left" w:pos="1620"/>
          <w:tab w:val="left" w:pos="2160"/>
        </w:tabs>
        <w:spacing w:before="120"/>
        <w:rPr>
          <w:i/>
          <w:iCs/>
        </w:rPr>
      </w:pPr>
      <w:r w:rsidRPr="00362517">
        <w:rPr>
          <w:i/>
          <w:iCs/>
        </w:rPr>
        <w:t>Potential Health Effects in Children</w:t>
      </w:r>
    </w:p>
    <w:p w14:paraId="5AB19C0A" w14:textId="77777777" w:rsidR="00F848A1" w:rsidRPr="00362517" w:rsidRDefault="00F848A1" w:rsidP="00BF6BC7">
      <w:pPr>
        <w:tabs>
          <w:tab w:val="left" w:pos="540"/>
          <w:tab w:val="left" w:pos="1080"/>
          <w:tab w:val="left" w:pos="1620"/>
          <w:tab w:val="left" w:pos="2160"/>
        </w:tabs>
      </w:pPr>
    </w:p>
    <w:p w14:paraId="5AB19C0B" w14:textId="2D9E6B52" w:rsidR="00F848A1" w:rsidRPr="00362517" w:rsidRDefault="00F848A1" w:rsidP="00BF6BC7">
      <w:pPr>
        <w:tabs>
          <w:tab w:val="left" w:pos="540"/>
          <w:tab w:val="left" w:pos="1080"/>
          <w:tab w:val="left" w:pos="1620"/>
          <w:tab w:val="left" w:pos="2160"/>
        </w:tabs>
      </w:pPr>
      <w:r w:rsidRPr="00362517">
        <w:t>There is evidence to suggest that children who were exposed to pesticides while in utero (because their pregnant mother was exposed to pesticides in the home or at work</w:t>
      </w:r>
      <w:r w:rsidR="00F63460" w:rsidRPr="00362517">
        <w:t>)</w:t>
      </w:r>
      <w:r w:rsidRPr="00362517">
        <w:t xml:space="preserve"> may suffer adverse health effects. Pre-natal exposure may have effects on the neurological development of children (see below). </w:t>
      </w:r>
      <w:r w:rsidR="005F78D3" w:rsidRPr="00362517">
        <w:t>A</w:t>
      </w:r>
      <w:r w:rsidRPr="00362517">
        <w:t xml:space="preserve"> meta-analysis of 31 studies</w:t>
      </w:r>
      <w:r w:rsidR="005F78D3" w:rsidRPr="00362517">
        <w:t xml:space="preserve"> </w:t>
      </w:r>
      <w:r w:rsidRPr="00362517">
        <w:t>concluded that there was</w:t>
      </w:r>
      <w:r w:rsidRPr="00362517" w:rsidDel="00552452">
        <w:t xml:space="preserve"> </w:t>
      </w:r>
      <w:r w:rsidRPr="00362517">
        <w:t>an association between pre-natal exposure to pesticides and future childhood leukemia</w:t>
      </w:r>
      <w:r w:rsidR="005F78D3" w:rsidRPr="00362517">
        <w:t xml:space="preserve"> (Wigle </w:t>
      </w:r>
      <w:r w:rsidR="005F78D3" w:rsidRPr="00362517">
        <w:rPr>
          <w:i/>
        </w:rPr>
        <w:t>et al</w:t>
      </w:r>
      <w:r w:rsidR="006C563F" w:rsidRPr="00362517">
        <w:t xml:space="preserve">., </w:t>
      </w:r>
      <w:r w:rsidR="005F78D3" w:rsidRPr="00362517">
        <w:t>2009)</w:t>
      </w:r>
      <w:r w:rsidRPr="00362517">
        <w:t xml:space="preserve">.  </w:t>
      </w:r>
      <w:r w:rsidR="005F78D3" w:rsidRPr="00362517">
        <w:t>A</w:t>
      </w:r>
      <w:r w:rsidRPr="00362517">
        <w:t xml:space="preserve"> </w:t>
      </w:r>
      <w:r w:rsidR="005F78D3" w:rsidRPr="00362517">
        <w:t xml:space="preserve">different </w:t>
      </w:r>
      <w:r w:rsidRPr="00362517">
        <w:t>meta-analysis of 15 studies also reports positive associations between residential pesticide exposure and childhood leukemia</w:t>
      </w:r>
      <w:r w:rsidR="005F78D3" w:rsidRPr="00362517">
        <w:t xml:space="preserve"> </w:t>
      </w:r>
      <w:r w:rsidR="006C563F" w:rsidRPr="00362517">
        <w:t>(</w:t>
      </w:r>
      <w:r w:rsidR="005F78D3" w:rsidRPr="00362517">
        <w:t xml:space="preserve">Turner </w:t>
      </w:r>
      <w:r w:rsidR="005F78D3" w:rsidRPr="00362517">
        <w:rPr>
          <w:i/>
        </w:rPr>
        <w:t>et al.</w:t>
      </w:r>
      <w:r w:rsidR="005F78D3" w:rsidRPr="00362517">
        <w:t>, 2009)</w:t>
      </w:r>
      <w:r w:rsidRPr="00362517">
        <w:t>.  As part of the registration process, applicants provide data that allow EPA to assess the developmental toxicity (</w:t>
      </w:r>
      <w:r w:rsidRPr="00362517">
        <w:rPr>
          <w:i/>
        </w:rPr>
        <w:t>i.e.</w:t>
      </w:r>
      <w:r w:rsidRPr="00362517">
        <w:t>, structural abnormalities, functional deficiencies, altered growth and fetal loss) and other potential health effects of the particular pesticide active ingredient, as well as potential exposure through the use of the pesticide.  These developmental effects can result from an acute overexposure to agricultural pesticides during windows of susceptibility of fetal development during pregnancy.</w:t>
      </w:r>
      <w:r w:rsidR="005F78D3" w:rsidRPr="00362517">
        <w:t xml:space="preserve"> </w:t>
      </w:r>
      <w:r w:rsidRPr="00362517">
        <w:t xml:space="preserve"> Through the registration process, EPA establishes conditions of registration intended to prevent developmental and other adverse effects.  If these mitigation measures are not observed</w:t>
      </w:r>
      <w:r w:rsidR="0019152B" w:rsidRPr="00362517">
        <w:t xml:space="preserve"> in the field</w:t>
      </w:r>
      <w:r w:rsidRPr="00362517">
        <w:t xml:space="preserve">, however, an overexposure to one of these pesticides could occur.    </w:t>
      </w:r>
    </w:p>
    <w:p w14:paraId="5AB19C0C" w14:textId="77777777" w:rsidR="00F848A1" w:rsidRPr="00362517" w:rsidRDefault="00F848A1" w:rsidP="00BF6BC7">
      <w:pPr>
        <w:tabs>
          <w:tab w:val="left" w:pos="540"/>
          <w:tab w:val="left" w:pos="1080"/>
          <w:tab w:val="left" w:pos="1620"/>
          <w:tab w:val="left" w:pos="2160"/>
        </w:tabs>
      </w:pPr>
    </w:p>
    <w:p w14:paraId="5AB19C0D" w14:textId="77777777" w:rsidR="00F848A1" w:rsidRPr="00362517" w:rsidRDefault="00F848A1" w:rsidP="00BF6BC7">
      <w:pPr>
        <w:tabs>
          <w:tab w:val="left" w:pos="540"/>
          <w:tab w:val="left" w:pos="1080"/>
          <w:tab w:val="left" w:pos="1620"/>
          <w:tab w:val="left" w:pos="2160"/>
        </w:tabs>
      </w:pPr>
      <w:r w:rsidRPr="00362517">
        <w:t xml:space="preserve">Children and adolescents are going through important developmental changes, and pesticide exposure can have a more deleterious effect on these developing physiological systems than on the systems in adults (Golub, 2000).  Although adolescents’ systems are more fully developed than those of younger children, there are important developmental processes that continue until adulthood.  In particular, brain changes still continue, such as the final maturation of the cerebral cortex through synaptic pruning and myelination, an important physiological process that reduces excess neuron connections in the brain and encloses individual neurons in an insulating sheath, which increases the efficiency of information processing (Golub, 2000, Steinberg, 2005).  These changes occur during adolescence, when the effects of toxicants like pesticides on the nervous system can be particularly harmful (Golub, 2000).  Adolescents may be subject to incidental exposures by being in proximity to areas where pesticides are applied or from take home exposures via parents who work with pesticides, all of which can result in adverse health effects. In addition, adolescent workers can be subject to direct occupational exposure, which is a concern because acute exposure at important stages of development may cause significant health effects and also because employment at a younger age increases the chance and likelihood of chronic exposure, which may result in delayed health effects that are debilitating over a longer timeframe.  </w:t>
      </w:r>
    </w:p>
    <w:p w14:paraId="5AB19C0E" w14:textId="77777777" w:rsidR="00F848A1" w:rsidRPr="00362517" w:rsidRDefault="00F848A1" w:rsidP="00BF6BC7">
      <w:pPr>
        <w:tabs>
          <w:tab w:val="left" w:pos="540"/>
          <w:tab w:val="left" w:pos="1080"/>
          <w:tab w:val="left" w:pos="1620"/>
          <w:tab w:val="left" w:pos="2160"/>
        </w:tabs>
      </w:pPr>
    </w:p>
    <w:p w14:paraId="5AB19C0F" w14:textId="1D9B2CFE" w:rsidR="00F848A1" w:rsidRPr="00362517" w:rsidRDefault="00F848A1" w:rsidP="00BF6BC7">
      <w:pPr>
        <w:tabs>
          <w:tab w:val="left" w:pos="540"/>
          <w:tab w:val="left" w:pos="1080"/>
          <w:tab w:val="left" w:pos="1620"/>
          <w:tab w:val="left" w:pos="2160"/>
        </w:tabs>
      </w:pPr>
      <w:r w:rsidRPr="00362517">
        <w:t xml:space="preserve">There are associations in the epidemiological literature between prenatal or early-life pesticide exposure (from occupational exposure to the family or incidental exposure in the home) and adverse health outcomes in children.  These have reported delayed mental development associated with an increased exposure to organophosphate pesticides (Eskenazi </w:t>
      </w:r>
      <w:r w:rsidRPr="00362517">
        <w:rPr>
          <w:i/>
        </w:rPr>
        <w:t>et al</w:t>
      </w:r>
      <w:r w:rsidRPr="00362517">
        <w:t xml:space="preserve">., 2007, Rauh </w:t>
      </w:r>
      <w:r w:rsidRPr="00362517">
        <w:rPr>
          <w:i/>
        </w:rPr>
        <w:t>et al</w:t>
      </w:r>
      <w:r w:rsidRPr="00362517">
        <w:t xml:space="preserve">., 2006, Engel </w:t>
      </w:r>
      <w:r w:rsidRPr="00362517">
        <w:rPr>
          <w:i/>
        </w:rPr>
        <w:t>et al</w:t>
      </w:r>
      <w:r w:rsidRPr="00362517">
        <w:t xml:space="preserve">., 2007).  Studies with rural and urban cohorts report associations between organophosphate pesticide exposure and abnormal reflexes in children (Engel </w:t>
      </w:r>
      <w:r w:rsidRPr="00362517">
        <w:rPr>
          <w:i/>
        </w:rPr>
        <w:t>et al</w:t>
      </w:r>
      <w:r w:rsidRPr="00362517">
        <w:t xml:space="preserve">., 2007, Young </w:t>
      </w:r>
      <w:r w:rsidRPr="00362517">
        <w:rPr>
          <w:i/>
        </w:rPr>
        <w:t>et al</w:t>
      </w:r>
      <w:r w:rsidRPr="00362517">
        <w:t xml:space="preserve">., 2005), and increased developmental disorders were reported in both the </w:t>
      </w:r>
      <w:r w:rsidR="00561787" w:rsidRPr="00362517">
        <w:t>rural and urban</w:t>
      </w:r>
      <w:r w:rsidRPr="00362517">
        <w:t xml:space="preserve"> cohorts (Eskenazi </w:t>
      </w:r>
      <w:r w:rsidRPr="00362517">
        <w:rPr>
          <w:i/>
        </w:rPr>
        <w:t>et al</w:t>
      </w:r>
      <w:r w:rsidRPr="00362517">
        <w:t xml:space="preserve">., 2007, Rauh </w:t>
      </w:r>
      <w:r w:rsidRPr="00362517">
        <w:rPr>
          <w:i/>
        </w:rPr>
        <w:t>et al</w:t>
      </w:r>
      <w:r w:rsidRPr="00362517">
        <w:t xml:space="preserve">., 2006, Lovasi, </w:t>
      </w:r>
      <w:r w:rsidRPr="00362517">
        <w:rPr>
          <w:i/>
        </w:rPr>
        <w:t>et al</w:t>
      </w:r>
      <w:r w:rsidRPr="00362517">
        <w:t xml:space="preserve">., 2011, Engel </w:t>
      </w:r>
      <w:r w:rsidRPr="00362517">
        <w:rPr>
          <w:i/>
        </w:rPr>
        <w:t>et al</w:t>
      </w:r>
      <w:r w:rsidRPr="00362517">
        <w:t>., 2011).</w:t>
      </w:r>
    </w:p>
    <w:p w14:paraId="5AB19C10" w14:textId="77777777" w:rsidR="00F848A1" w:rsidRPr="00362517" w:rsidRDefault="00F848A1" w:rsidP="00BF6BC7">
      <w:pPr>
        <w:tabs>
          <w:tab w:val="left" w:pos="540"/>
          <w:tab w:val="left" w:pos="1080"/>
          <w:tab w:val="left" w:pos="1620"/>
          <w:tab w:val="left" w:pos="2160"/>
        </w:tabs>
      </w:pPr>
    </w:p>
    <w:p w14:paraId="5AB19C11" w14:textId="77777777" w:rsidR="00F848A1" w:rsidRPr="00362517" w:rsidRDefault="00F848A1" w:rsidP="00BF6BC7">
      <w:pPr>
        <w:tabs>
          <w:tab w:val="left" w:pos="540"/>
          <w:tab w:val="left" w:pos="1080"/>
          <w:tab w:val="left" w:pos="1620"/>
          <w:tab w:val="left" w:pos="2160"/>
        </w:tabs>
      </w:pPr>
      <w:r w:rsidRPr="00362517">
        <w:t xml:space="preserve">There are reported associations between organophosphate pesticides and the development of behavior related to attention deficit/hyperactivity disorder (ADHD), such as hyperactivity, inattention, and impulsivity.  Marks et al. (2010) concluded that </w:t>
      </w:r>
      <w:r w:rsidRPr="00362517">
        <w:rPr>
          <w:i/>
          <w:iCs/>
        </w:rPr>
        <w:t>in utero</w:t>
      </w:r>
      <w:r w:rsidRPr="00362517">
        <w:t xml:space="preserve"> levels of organophosphate metabolites, and, to a lesser extent, postnatal levels were associated with ADHD behaviors for five year old children from a rural cohort.  Similar associations are reported in a study of the exposure of children to the organophosphate pesticide, chlorpyrifos and attention problems, attention-deficit/hyperactivity disorder problems, and pervasive developmental disorder problems at 3 years of age (Rauh, </w:t>
      </w:r>
      <w:r w:rsidRPr="00362517">
        <w:rPr>
          <w:i/>
        </w:rPr>
        <w:t>et al</w:t>
      </w:r>
      <w:r w:rsidRPr="00362517">
        <w:t xml:space="preserve">., 2006, Lovasi, </w:t>
      </w:r>
      <w:r w:rsidRPr="00362517">
        <w:rPr>
          <w:i/>
        </w:rPr>
        <w:t>et al</w:t>
      </w:r>
      <w:r w:rsidRPr="00362517">
        <w:t xml:space="preserve">., 2011, Engel </w:t>
      </w:r>
      <w:r w:rsidRPr="00362517">
        <w:rPr>
          <w:i/>
        </w:rPr>
        <w:t>et al</w:t>
      </w:r>
      <w:r w:rsidRPr="00362517">
        <w:t xml:space="preserve">., 2011).  Using a national sample of 1,139 children, Bouchard </w:t>
      </w:r>
      <w:r w:rsidRPr="00362517">
        <w:rPr>
          <w:i/>
        </w:rPr>
        <w:t>et al</w:t>
      </w:r>
      <w:r w:rsidRPr="00362517">
        <w:t>. (2010), found an association between organophosphate metabolites and ADHD behaviors. In this study, compared to children with undetectable metabolite levels, children with levels higher than the sample median had almost twice the odds of having ADHD behaviors.</w:t>
      </w:r>
    </w:p>
    <w:p w14:paraId="5AB19C12" w14:textId="77777777" w:rsidR="00F848A1" w:rsidRPr="00362517" w:rsidRDefault="00F848A1" w:rsidP="00BF6BC7">
      <w:pPr>
        <w:tabs>
          <w:tab w:val="left" w:pos="540"/>
          <w:tab w:val="left" w:pos="1080"/>
          <w:tab w:val="left" w:pos="1620"/>
          <w:tab w:val="left" w:pos="2160"/>
        </w:tabs>
      </w:pPr>
    </w:p>
    <w:p w14:paraId="5AB19C13" w14:textId="4539578C" w:rsidR="00F848A1" w:rsidRPr="00362517" w:rsidRDefault="00F848A1" w:rsidP="00BF6BC7">
      <w:r w:rsidRPr="00362517">
        <w:t xml:space="preserve">The biological mechanisms to cause such neurodevelopmental findings reported in these epidemiology studies are not well understood and thus far causality has not been established.  However, when taken together, findings from the different cohorts show a potential link between pesticide exposure and neurodevelopmental effects.  Specifically, these studies suggest that children </w:t>
      </w:r>
      <w:r w:rsidR="00561787" w:rsidRPr="00362517">
        <w:t xml:space="preserve">with higher </w:t>
      </w:r>
      <w:r w:rsidRPr="00362517">
        <w:t>expos</w:t>
      </w:r>
      <w:r w:rsidR="00561787" w:rsidRPr="00362517">
        <w:t xml:space="preserve">ure </w:t>
      </w:r>
      <w:r w:rsidRPr="00362517">
        <w:t xml:space="preserve">to OPs may be at a higher risk of adverse neuro-developmental and neurobehavioral outcomes than children with lower exposures.  </w:t>
      </w:r>
    </w:p>
    <w:p w14:paraId="5AB19C14" w14:textId="77777777" w:rsidR="00F848A1" w:rsidRPr="00362517" w:rsidRDefault="00F848A1" w:rsidP="00BF6BC7">
      <w:pPr>
        <w:rPr>
          <w:rFonts w:eastAsia="Calibri"/>
        </w:rPr>
      </w:pPr>
    </w:p>
    <w:p w14:paraId="5AB19C15" w14:textId="77777777" w:rsidR="00F848A1" w:rsidRPr="00362517" w:rsidRDefault="00F848A1" w:rsidP="00BF6BC7">
      <w:pPr>
        <w:pStyle w:val="Heading3"/>
        <w:keepNext w:val="0"/>
        <w:keepLines w:val="0"/>
        <w:numPr>
          <w:ilvl w:val="2"/>
          <w:numId w:val="23"/>
        </w:numPr>
        <w:spacing w:before="120"/>
        <w:rPr>
          <w:rFonts w:eastAsia="Calibri"/>
        </w:rPr>
      </w:pPr>
      <w:bookmarkStart w:id="326" w:name="_Toc468872109"/>
      <w:r w:rsidRPr="00362517">
        <w:rPr>
          <w:rFonts w:eastAsia="Calibri"/>
        </w:rPr>
        <w:t>RUP exposure and Ecological Effects</w:t>
      </w:r>
      <w:bookmarkEnd w:id="326"/>
      <w:r w:rsidRPr="00362517">
        <w:rPr>
          <w:rFonts w:eastAsia="Calibri"/>
        </w:rPr>
        <w:t xml:space="preserve">  </w:t>
      </w:r>
    </w:p>
    <w:p w14:paraId="5AB19C16" w14:textId="77777777" w:rsidR="00F848A1" w:rsidRPr="00362517" w:rsidRDefault="00F848A1" w:rsidP="00BF6BC7">
      <w:pPr>
        <w:rPr>
          <w:rFonts w:eastAsia="Calibri"/>
        </w:rPr>
      </w:pPr>
    </w:p>
    <w:p w14:paraId="5AB19C17" w14:textId="727328F9" w:rsidR="00F848A1" w:rsidRPr="00362517" w:rsidRDefault="00F848A1" w:rsidP="00BF6BC7">
      <w:pPr>
        <w:rPr>
          <w:rFonts w:eastAsia="Calibri"/>
        </w:rPr>
      </w:pPr>
      <w:r w:rsidRPr="00362517">
        <w:rPr>
          <w:rFonts w:eastAsia="Calibri"/>
        </w:rPr>
        <w:t xml:space="preserve">EPA evaluates the environmental fate of pesticides, including RUPs, to determine the ways </w:t>
      </w:r>
      <w:r w:rsidR="00561787" w:rsidRPr="00362517">
        <w:rPr>
          <w:rFonts w:eastAsia="Calibri"/>
        </w:rPr>
        <w:t xml:space="preserve">that </w:t>
      </w:r>
      <w:r w:rsidRPr="00362517">
        <w:rPr>
          <w:rFonts w:eastAsia="Calibri"/>
        </w:rPr>
        <w:t>can be applied to avoid unreasonable risk to the environment.  If RUPs are not applied safely, however, they can cause a range of environmental damage (EPA</w:t>
      </w:r>
      <w:r w:rsidR="00F63460" w:rsidRPr="00362517">
        <w:rPr>
          <w:rFonts w:eastAsia="Calibri"/>
        </w:rPr>
        <w:t>,</w:t>
      </w:r>
      <w:r w:rsidRPr="00362517">
        <w:rPr>
          <w:rFonts w:eastAsia="Calibri"/>
        </w:rPr>
        <w:t xml:space="preserve"> 2007).  Sources of environmental exposure include drift from pesticide applications to other areas, runoff from applied pesticides that can move into waterways, and animals can move into treated areas.  As with human exposures, there can be damage to wildlife from both acute and chronic exposures, but the wildlife can be exposed multiple ways (Whitford, </w:t>
      </w:r>
      <w:r w:rsidRPr="00362517">
        <w:rPr>
          <w:rFonts w:eastAsia="Calibri"/>
          <w:i/>
        </w:rPr>
        <w:t>et al.</w:t>
      </w:r>
      <w:r w:rsidRPr="00362517">
        <w:rPr>
          <w:rFonts w:eastAsia="Calibri"/>
        </w:rPr>
        <w:t xml:space="preserve">, undated), as mentioned in Section 4.1.3.  </w:t>
      </w:r>
    </w:p>
    <w:p w14:paraId="5AB19C18" w14:textId="77777777" w:rsidR="00F848A1" w:rsidRPr="00362517" w:rsidRDefault="00F848A1" w:rsidP="00BF6BC7">
      <w:pPr>
        <w:rPr>
          <w:rFonts w:eastAsia="Calibri"/>
        </w:rPr>
      </w:pPr>
    </w:p>
    <w:p w14:paraId="5AB19C19" w14:textId="7743304B" w:rsidR="00F848A1" w:rsidRPr="00362517" w:rsidRDefault="00F848A1" w:rsidP="00BF6BC7">
      <w:pPr>
        <w:rPr>
          <w:rFonts w:eastAsia="Calibri"/>
        </w:rPr>
      </w:pPr>
      <w:r w:rsidRPr="00362517">
        <w:rPr>
          <w:rFonts w:eastAsia="Calibri"/>
        </w:rPr>
        <w:t xml:space="preserve">Acute exposure to pesticides can lead to illnesses and lethal effects in animals, just like with people.  In most cases, these environmental effects would only be noticed if acute exposures lead to an observable animal deaths or plant damage.  Chronic exposure to lower levels of pesticides can have a range of sublethal effects on non-target organisms, such as reproductive and developmental harm, weight loss, lowered disease resistance, or the inability to avoid predators in fish, increased mortality and endocrine disruption (Helfrich </w:t>
      </w:r>
      <w:r w:rsidRPr="00362517">
        <w:rPr>
          <w:rFonts w:eastAsia="Calibri"/>
          <w:i/>
        </w:rPr>
        <w:t>et al.</w:t>
      </w:r>
      <w:r w:rsidRPr="00362517">
        <w:rPr>
          <w:rFonts w:eastAsia="Calibri"/>
        </w:rPr>
        <w:t>, 2009</w:t>
      </w:r>
      <w:r w:rsidR="003E2068" w:rsidRPr="00362517">
        <w:rPr>
          <w:rFonts w:eastAsia="Calibri"/>
        </w:rPr>
        <w:t>;</w:t>
      </w:r>
      <w:r w:rsidRPr="00362517">
        <w:rPr>
          <w:rFonts w:eastAsia="Calibri"/>
        </w:rPr>
        <w:t xml:space="preserve"> Capinera, 2011). </w:t>
      </w:r>
    </w:p>
    <w:p w14:paraId="5AB19C1A" w14:textId="77777777" w:rsidR="00F848A1" w:rsidRPr="00362517" w:rsidRDefault="00F848A1" w:rsidP="00BF6BC7">
      <w:pPr>
        <w:rPr>
          <w:rFonts w:eastAsia="Calibri"/>
        </w:rPr>
      </w:pPr>
    </w:p>
    <w:p w14:paraId="5AB19C1B" w14:textId="77777777" w:rsidR="00F848A1" w:rsidRPr="00362517" w:rsidRDefault="00F848A1" w:rsidP="00BF6BC7">
      <w:pPr>
        <w:rPr>
          <w:rFonts w:eastAsia="Calibri"/>
        </w:rPr>
      </w:pPr>
    </w:p>
    <w:p w14:paraId="5AB19C1C" w14:textId="77777777" w:rsidR="00F848A1" w:rsidRPr="00362517" w:rsidRDefault="00F848A1" w:rsidP="00BF6BC7">
      <w:pPr>
        <w:pStyle w:val="Heading2"/>
        <w:keepLines w:val="0"/>
        <w:numPr>
          <w:ilvl w:val="1"/>
          <w:numId w:val="23"/>
        </w:numPr>
        <w:spacing w:before="120"/>
        <w:rPr>
          <w:rFonts w:eastAsia="Calibri"/>
        </w:rPr>
      </w:pPr>
      <w:r w:rsidRPr="00362517">
        <w:rPr>
          <w:rFonts w:eastAsia="Calibri"/>
        </w:rPr>
        <w:t xml:space="preserve">  </w:t>
      </w:r>
      <w:bookmarkStart w:id="327" w:name="_Toc468872110"/>
      <w:r w:rsidRPr="00362517">
        <w:rPr>
          <w:rFonts w:eastAsia="Calibri"/>
        </w:rPr>
        <w:t>Which Benefits Can Be Quantified?</w:t>
      </w:r>
      <w:bookmarkEnd w:id="327"/>
    </w:p>
    <w:p w14:paraId="5AB19C1D" w14:textId="77777777" w:rsidR="00F848A1" w:rsidRPr="00362517" w:rsidRDefault="00F848A1" w:rsidP="00BF6BC7">
      <w:pPr>
        <w:keepNext/>
        <w:tabs>
          <w:tab w:val="left" w:pos="540"/>
          <w:tab w:val="left" w:pos="1080"/>
          <w:tab w:val="left" w:pos="1620"/>
          <w:tab w:val="left" w:pos="2160"/>
        </w:tabs>
        <w:rPr>
          <w:rFonts w:eastAsia="Calibri"/>
        </w:rPr>
      </w:pPr>
    </w:p>
    <w:p w14:paraId="5AB19C1E" w14:textId="77777777" w:rsidR="00F848A1" w:rsidRPr="00362517" w:rsidRDefault="00F848A1" w:rsidP="00BF6BC7">
      <w:pPr>
        <w:keepNext/>
        <w:tabs>
          <w:tab w:val="left" w:pos="540"/>
          <w:tab w:val="left" w:pos="1080"/>
          <w:tab w:val="left" w:pos="1620"/>
          <w:tab w:val="left" w:pos="2160"/>
        </w:tabs>
        <w:rPr>
          <w:rFonts w:eastAsia="Calibri"/>
        </w:rPr>
      </w:pPr>
    </w:p>
    <w:p w14:paraId="5AB19C1F" w14:textId="77777777" w:rsidR="00F848A1" w:rsidRPr="00362517" w:rsidDel="00ED496B" w:rsidRDefault="00F848A1" w:rsidP="00BF6BC7">
      <w:pPr>
        <w:keepNext/>
        <w:tabs>
          <w:tab w:val="left" w:pos="540"/>
          <w:tab w:val="left" w:pos="1080"/>
          <w:tab w:val="left" w:pos="1620"/>
          <w:tab w:val="left" w:pos="2160"/>
        </w:tabs>
      </w:pPr>
      <w:r w:rsidRPr="00362517">
        <w:t>E</w:t>
      </w:r>
      <w:r w:rsidRPr="00362517" w:rsidDel="00ED496B">
        <w:t>PA expects the rule changes will result in benefits by reduced exposure to RUPs.  However, not all benefits from reduced pesticide exposure can be quantified.  This section provides a brief overview of the estimated benefits that can be quantified (from reduced acute occupational exposures) and those that cannot.</w:t>
      </w:r>
    </w:p>
    <w:p w14:paraId="5AB19C20" w14:textId="77777777" w:rsidR="00F848A1" w:rsidRPr="00362517" w:rsidDel="00ED496B" w:rsidRDefault="00F848A1" w:rsidP="00BF6BC7">
      <w:pPr>
        <w:tabs>
          <w:tab w:val="left" w:pos="540"/>
          <w:tab w:val="left" w:pos="1080"/>
          <w:tab w:val="left" w:pos="1620"/>
          <w:tab w:val="left" w:pos="2160"/>
        </w:tabs>
      </w:pPr>
    </w:p>
    <w:p w14:paraId="5AB19C21" w14:textId="77777777" w:rsidR="00F848A1" w:rsidRPr="00362517" w:rsidDel="00ED496B" w:rsidRDefault="00F848A1" w:rsidP="00BF6BC7">
      <w:pPr>
        <w:tabs>
          <w:tab w:val="left" w:pos="540"/>
          <w:tab w:val="left" w:pos="1080"/>
          <w:tab w:val="left" w:pos="1620"/>
          <w:tab w:val="left" w:pos="2160"/>
        </w:tabs>
      </w:pPr>
      <w:r w:rsidRPr="00362517" w:rsidDel="00ED496B">
        <w:t>Benefits from the changes for this rule include reductions in adverse health effects by:</w:t>
      </w:r>
    </w:p>
    <w:p w14:paraId="5AB19C22" w14:textId="77777777" w:rsidR="00F848A1" w:rsidRPr="00362517" w:rsidDel="00ED496B" w:rsidRDefault="00F848A1" w:rsidP="00BF6BC7">
      <w:pPr>
        <w:numPr>
          <w:ilvl w:val="0"/>
          <w:numId w:val="16"/>
        </w:numPr>
        <w:tabs>
          <w:tab w:val="clear" w:pos="684"/>
          <w:tab w:val="left" w:pos="1080"/>
          <w:tab w:val="left" w:pos="1620"/>
          <w:tab w:val="left" w:pos="2160"/>
        </w:tabs>
        <w:ind w:left="1080" w:hanging="360"/>
      </w:pPr>
      <w:r w:rsidRPr="00362517" w:rsidDel="00ED496B">
        <w:t>avoiding RUP incidents resulting in acute pesticide exposure to certified applicators, noncertified applicators working under the direct supervision of a certified applicator, and others, such as farmworkers or bystanders who could be exposed to RUPs.</w:t>
      </w:r>
    </w:p>
    <w:p w14:paraId="5AB19C23" w14:textId="77777777" w:rsidR="00F848A1" w:rsidRPr="00362517" w:rsidDel="00ED496B" w:rsidRDefault="00F848A1" w:rsidP="00BF6BC7">
      <w:pPr>
        <w:numPr>
          <w:ilvl w:val="0"/>
          <w:numId w:val="16"/>
        </w:numPr>
        <w:tabs>
          <w:tab w:val="clear" w:pos="684"/>
          <w:tab w:val="left" w:pos="1080"/>
          <w:tab w:val="left" w:pos="1620"/>
          <w:tab w:val="left" w:pos="2160"/>
        </w:tabs>
        <w:ind w:left="1080" w:hanging="360"/>
      </w:pPr>
      <w:r w:rsidRPr="00362517" w:rsidDel="00ED496B">
        <w:t>avoiding non-occupational incidents by reducing exposures to the public.</w:t>
      </w:r>
    </w:p>
    <w:p w14:paraId="5AB19C24" w14:textId="77777777" w:rsidR="00F848A1" w:rsidRPr="00362517" w:rsidDel="00ED496B" w:rsidRDefault="00F848A1" w:rsidP="00BF6BC7">
      <w:pPr>
        <w:numPr>
          <w:ilvl w:val="0"/>
          <w:numId w:val="16"/>
        </w:numPr>
        <w:tabs>
          <w:tab w:val="clear" w:pos="684"/>
          <w:tab w:val="left" w:pos="1080"/>
          <w:tab w:val="left" w:pos="1620"/>
          <w:tab w:val="left" w:pos="2160"/>
        </w:tabs>
        <w:ind w:left="1080" w:hanging="360"/>
      </w:pPr>
      <w:r w:rsidRPr="00362517" w:rsidDel="00ED496B">
        <w:t>reducing chronic pesticide exposure to certified applicators and their families.</w:t>
      </w:r>
    </w:p>
    <w:p w14:paraId="5AB19C25" w14:textId="77777777" w:rsidR="00F848A1" w:rsidRPr="00362517" w:rsidDel="00ED496B" w:rsidRDefault="00F848A1" w:rsidP="00BF6BC7">
      <w:pPr>
        <w:tabs>
          <w:tab w:val="left" w:pos="540"/>
          <w:tab w:val="left" w:pos="1080"/>
          <w:tab w:val="left" w:pos="1620"/>
          <w:tab w:val="left" w:pos="2160"/>
        </w:tabs>
      </w:pPr>
    </w:p>
    <w:p w14:paraId="5AB19C26" w14:textId="77777777" w:rsidR="00F848A1" w:rsidRPr="00362517" w:rsidRDefault="00F848A1" w:rsidP="00BF6BC7">
      <w:pPr>
        <w:tabs>
          <w:tab w:val="left" w:pos="540"/>
          <w:tab w:val="left" w:pos="1080"/>
          <w:tab w:val="left" w:pos="1620"/>
          <w:tab w:val="left" w:pos="2160"/>
        </w:tabs>
      </w:pPr>
      <w:r w:rsidRPr="00362517" w:rsidDel="00ED496B">
        <w:t xml:space="preserve">Some of the quantified benefits in this chapter are based on preventable pesticide exposures that have been reported to databases that count poisoning incidents; these only represent a portion of the benefits that can result from avoiding acute incidents.  </w:t>
      </w:r>
    </w:p>
    <w:p w14:paraId="5AB19C27" w14:textId="77777777" w:rsidR="00F848A1" w:rsidRPr="00362517" w:rsidRDefault="00F848A1" w:rsidP="00BF6BC7">
      <w:pPr>
        <w:tabs>
          <w:tab w:val="left" w:pos="540"/>
          <w:tab w:val="left" w:pos="1080"/>
          <w:tab w:val="left" w:pos="1620"/>
          <w:tab w:val="left" w:pos="2160"/>
        </w:tabs>
      </w:pPr>
    </w:p>
    <w:p w14:paraId="5AB19C28" w14:textId="5374B555" w:rsidR="00F848A1" w:rsidRPr="00362517" w:rsidDel="00ED496B" w:rsidRDefault="00F848A1" w:rsidP="00BF6BC7">
      <w:pPr>
        <w:tabs>
          <w:tab w:val="left" w:pos="540"/>
          <w:tab w:val="left" w:pos="1080"/>
          <w:tab w:val="left" w:pos="1620"/>
          <w:tab w:val="left" w:pos="2160"/>
        </w:tabs>
      </w:pPr>
      <w:r w:rsidRPr="00362517">
        <w:t>Many potential health effects are not quantified</w:t>
      </w:r>
      <w:r w:rsidR="00F63460" w:rsidRPr="00362517">
        <w:t xml:space="preserve"> in this analysis</w:t>
      </w:r>
      <w:r w:rsidRPr="00362517">
        <w:t xml:space="preserve">, however.  </w:t>
      </w:r>
      <w:r w:rsidRPr="00362517" w:rsidDel="00ED496B">
        <w:t xml:space="preserve">Latent or delayed health effects, such as developmental effects resulting from acute exposures to pregnant women or to children and adolescents or health effects that result from repeated small exposures over time are unlikely to appear in pesticide poisoning surveillance databases, including the ones we use for developing the benefit estimates in this chapter. </w:t>
      </w:r>
    </w:p>
    <w:p w14:paraId="5AB19C29" w14:textId="77777777" w:rsidR="00F848A1" w:rsidRPr="00362517" w:rsidDel="00ED496B" w:rsidRDefault="00F848A1" w:rsidP="00BF6BC7">
      <w:pPr>
        <w:tabs>
          <w:tab w:val="left" w:pos="540"/>
          <w:tab w:val="left" w:pos="1080"/>
          <w:tab w:val="left" w:pos="1620"/>
          <w:tab w:val="left" w:pos="2160"/>
        </w:tabs>
      </w:pPr>
    </w:p>
    <w:p w14:paraId="5AB19C2A" w14:textId="77777777" w:rsidR="00F848A1" w:rsidRPr="00362517" w:rsidDel="00ED496B" w:rsidRDefault="00F848A1" w:rsidP="00BF6BC7">
      <w:pPr>
        <w:tabs>
          <w:tab w:val="left" w:pos="540"/>
          <w:tab w:val="left" w:pos="1080"/>
          <w:tab w:val="left" w:pos="1620"/>
          <w:tab w:val="left" w:pos="2160"/>
        </w:tabs>
      </w:pPr>
      <w:r w:rsidRPr="00362517" w:rsidDel="00ED496B">
        <w:t xml:space="preserve">Effects of longer term exposure and exposure to families, where the direct cause is unknown, are unlikely to be recorded.  If they are reported, they may enter the database with uncertain causes, with little confidence that the incidents are related to a specific pesticide.  Therefore, it is impossible to quantify </w:t>
      </w:r>
      <w:r w:rsidR="00054C50" w:rsidRPr="00362517">
        <w:t xml:space="preserve">all of the </w:t>
      </w:r>
      <w:r w:rsidRPr="00362517" w:rsidDel="00ED496B">
        <w:t>improvements in health from reduced pesticide exposure.  These potential health benefits, which include those related to chronic pesticide exposure, and the effects of residues transported home, are described but cannot be quantified.</w:t>
      </w:r>
    </w:p>
    <w:p w14:paraId="5AB19C2B" w14:textId="77777777" w:rsidR="00F848A1" w:rsidRPr="00362517" w:rsidDel="00ED496B" w:rsidRDefault="00F848A1" w:rsidP="00BF6BC7">
      <w:pPr>
        <w:tabs>
          <w:tab w:val="left" w:pos="540"/>
          <w:tab w:val="left" w:pos="1080"/>
          <w:tab w:val="left" w:pos="1620"/>
          <w:tab w:val="left" w:pos="2160"/>
        </w:tabs>
      </w:pPr>
    </w:p>
    <w:p w14:paraId="5AB19C2C" w14:textId="28F45661" w:rsidR="00F848A1" w:rsidRPr="00362517" w:rsidRDefault="00F848A1" w:rsidP="00BF6BC7">
      <w:pPr>
        <w:tabs>
          <w:tab w:val="left" w:pos="540"/>
          <w:tab w:val="left" w:pos="1080"/>
          <w:tab w:val="left" w:pos="1620"/>
          <w:tab w:val="left" w:pos="2160"/>
        </w:tabs>
      </w:pPr>
      <w:r w:rsidRPr="00362517" w:rsidDel="00ED496B">
        <w:t>In addition to the harm to human health, misuse of RUPs has the potential to harm the environment, causing damage to non-target animals and plants, including agricultural crops, and pollinating insects, such as bees.  Although there is some information on incidents of this nature which are described in this chapter</w:t>
      </w:r>
      <w:r w:rsidR="00561787" w:rsidRPr="00362517">
        <w:t xml:space="preserve"> (see Section 4.6)</w:t>
      </w:r>
      <w:r w:rsidRPr="00362517" w:rsidDel="00ED496B">
        <w:t xml:space="preserve">, the benefits of reducing incidents like these are difficult to quantify. </w:t>
      </w:r>
    </w:p>
    <w:p w14:paraId="5AB19C2D" w14:textId="77777777" w:rsidR="00F848A1" w:rsidRPr="00362517" w:rsidRDefault="00F848A1" w:rsidP="00BF6BC7">
      <w:pPr>
        <w:tabs>
          <w:tab w:val="left" w:pos="540"/>
          <w:tab w:val="left" w:pos="1080"/>
          <w:tab w:val="left" w:pos="1620"/>
          <w:tab w:val="left" w:pos="2160"/>
        </w:tabs>
      </w:pPr>
    </w:p>
    <w:p w14:paraId="5AB19C2E" w14:textId="77777777" w:rsidR="00F848A1" w:rsidRPr="00362517" w:rsidRDefault="00F848A1" w:rsidP="00BF6BC7"/>
    <w:p w14:paraId="5AB19C2F" w14:textId="77777777" w:rsidR="00F848A1" w:rsidRPr="00362517" w:rsidRDefault="00F848A1" w:rsidP="00BF6BC7">
      <w:pPr>
        <w:pStyle w:val="Heading2"/>
        <w:keepLines w:val="0"/>
        <w:numPr>
          <w:ilvl w:val="1"/>
          <w:numId w:val="23"/>
        </w:numPr>
        <w:spacing w:before="120"/>
      </w:pPr>
      <w:bookmarkStart w:id="328" w:name="_Toc377737883"/>
      <w:r w:rsidRPr="00362517">
        <w:t xml:space="preserve"> </w:t>
      </w:r>
      <w:bookmarkStart w:id="329" w:name="_Toc393400046"/>
      <w:bookmarkStart w:id="330" w:name="_Toc395177743"/>
      <w:bookmarkStart w:id="331" w:name="_Toc410807822"/>
      <w:r w:rsidRPr="00362517">
        <w:t xml:space="preserve"> </w:t>
      </w:r>
      <w:bookmarkStart w:id="332" w:name="_Toc468872111"/>
      <w:r w:rsidRPr="00362517">
        <w:t>Quantified Human Health Benefits of Reduced Acute Illness</w:t>
      </w:r>
      <w:bookmarkEnd w:id="328"/>
      <w:r w:rsidRPr="00362517">
        <w:t xml:space="preserve"> from Restricted Use Pesticide</w:t>
      </w:r>
      <w:bookmarkEnd w:id="329"/>
      <w:bookmarkEnd w:id="330"/>
      <w:r w:rsidRPr="00362517">
        <w:t>s</w:t>
      </w:r>
      <w:bookmarkEnd w:id="331"/>
      <w:bookmarkEnd w:id="332"/>
      <w:r w:rsidRPr="00362517">
        <w:br/>
      </w:r>
    </w:p>
    <w:p w14:paraId="5AB19C30" w14:textId="723201F9" w:rsidR="00F848A1" w:rsidRPr="00362517" w:rsidRDefault="00F848A1" w:rsidP="00E268E3">
      <w:r w:rsidRPr="00362517">
        <w:t>EPA expects the changes to the certification standards to result in benefits by reducing exposure to certified pesticide applicators, their families and the public.</w:t>
      </w:r>
      <w:r w:rsidR="008D7832" w:rsidRPr="00362517">
        <w:t xml:space="preserve">  The quantified estimate of benefits from reduced acute RUP exposure is </w:t>
      </w:r>
      <w:r w:rsidR="008D7832" w:rsidRPr="00362517">
        <w:rPr>
          <w:bCs/>
        </w:rPr>
        <w:t>between $13.2 and $</w:t>
      </w:r>
      <w:r w:rsidR="00B85820" w:rsidRPr="00362517">
        <w:rPr>
          <w:bCs/>
        </w:rPr>
        <w:t>2</w:t>
      </w:r>
      <w:r w:rsidR="00B85820">
        <w:rPr>
          <w:bCs/>
        </w:rPr>
        <w:t>4</w:t>
      </w:r>
      <w:r w:rsidR="008D7832" w:rsidRPr="00362517">
        <w:rPr>
          <w:bCs/>
        </w:rPr>
        <w:t xml:space="preserve">.3 million dollars through reduced acute illnesses from RUPs.  After adjustment for underreporting, </w:t>
      </w:r>
      <w:r w:rsidR="008D7832" w:rsidRPr="00362517">
        <w:t>the estimated benefits are between $65.9 million and $</w:t>
      </w:r>
      <w:r w:rsidR="00B85820" w:rsidRPr="00362517">
        <w:t>1</w:t>
      </w:r>
      <w:r w:rsidR="00B85820">
        <w:t>2</w:t>
      </w:r>
      <w:r w:rsidR="00B85820" w:rsidRPr="00362517">
        <w:t>1</w:t>
      </w:r>
      <w:r w:rsidR="008D7832" w:rsidRPr="00362517">
        <w:t>.</w:t>
      </w:r>
      <w:r w:rsidR="00B85820">
        <w:t>7</w:t>
      </w:r>
      <w:r w:rsidR="00B85820" w:rsidRPr="00362517">
        <w:t xml:space="preserve"> </w:t>
      </w:r>
      <w:r w:rsidR="008D7832" w:rsidRPr="00362517">
        <w:t xml:space="preserve">million, assuming that only 20% of pesticide incidents are reported (see Section 4.5). </w:t>
      </w:r>
      <w:r w:rsidRPr="00362517">
        <w:t xml:space="preserve"> </w:t>
      </w:r>
      <w:r w:rsidR="00B2607A">
        <w:t xml:space="preserve">If we were to assume that 50% of pesticide incidents are reported, </w:t>
      </w:r>
      <w:r w:rsidR="00B2607A" w:rsidRPr="00B2607A">
        <w:t>then the quantified estimates of the rule would be between $</w:t>
      </w:r>
      <w:r w:rsidR="00B2607A">
        <w:t xml:space="preserve">26.3 and $48.7 million annually.  </w:t>
      </w:r>
      <w:r w:rsidR="008D7832" w:rsidRPr="00362517">
        <w:t xml:space="preserve">However, </w:t>
      </w:r>
      <w:r w:rsidRPr="00362517">
        <w:t xml:space="preserve">important non-quantifiable human health benefits are discussed later in the chapter, and important ecological but unquantified benefits </w:t>
      </w:r>
      <w:r w:rsidR="00F63460" w:rsidRPr="00362517">
        <w:t xml:space="preserve">are </w:t>
      </w:r>
      <w:r w:rsidRPr="00362517">
        <w:t xml:space="preserve">discussed in the </w:t>
      </w:r>
      <w:r w:rsidR="00F63460" w:rsidRPr="00362517">
        <w:t>Section 4.6</w:t>
      </w:r>
      <w:r w:rsidRPr="00362517">
        <w:t>.  This section quantifies benefits from the reductions in adverse health effects associated with acute pesticide exposure.</w:t>
      </w:r>
    </w:p>
    <w:p w14:paraId="5AB19C31" w14:textId="77777777" w:rsidR="00F848A1" w:rsidRPr="00362517" w:rsidRDefault="00F848A1" w:rsidP="00BF6BC7">
      <w:pPr>
        <w:tabs>
          <w:tab w:val="left" w:pos="540"/>
          <w:tab w:val="left" w:pos="1080"/>
          <w:tab w:val="left" w:pos="1620"/>
          <w:tab w:val="left" w:pos="2160"/>
        </w:tabs>
      </w:pPr>
    </w:p>
    <w:p w14:paraId="5AB19C32" w14:textId="77777777" w:rsidR="00F848A1" w:rsidRPr="00362517" w:rsidRDefault="00F848A1" w:rsidP="00BF6BC7">
      <w:pPr>
        <w:pStyle w:val="Heading3"/>
        <w:keepNext w:val="0"/>
        <w:keepLines w:val="0"/>
        <w:numPr>
          <w:ilvl w:val="2"/>
          <w:numId w:val="23"/>
        </w:numPr>
        <w:spacing w:before="120"/>
      </w:pPr>
      <w:bookmarkStart w:id="333" w:name="_Toc377737884"/>
      <w:bookmarkStart w:id="334" w:name="_Toc393400047"/>
      <w:bookmarkStart w:id="335" w:name="_Toc395177744"/>
      <w:bookmarkStart w:id="336" w:name="_Toc410807823"/>
      <w:bookmarkStart w:id="337" w:name="_Toc468872112"/>
      <w:r w:rsidRPr="00362517">
        <w:t>Method and Data</w:t>
      </w:r>
      <w:bookmarkEnd w:id="333"/>
      <w:bookmarkEnd w:id="334"/>
      <w:bookmarkEnd w:id="335"/>
      <w:bookmarkEnd w:id="336"/>
      <w:bookmarkEnd w:id="337"/>
    </w:p>
    <w:p w14:paraId="5AB19C33" w14:textId="77777777" w:rsidR="00F848A1" w:rsidRPr="00362517" w:rsidRDefault="00F848A1" w:rsidP="00BF6BC7">
      <w:pPr>
        <w:tabs>
          <w:tab w:val="left" w:pos="540"/>
          <w:tab w:val="left" w:pos="1080"/>
          <w:tab w:val="left" w:pos="1620"/>
          <w:tab w:val="left" w:pos="2160"/>
        </w:tabs>
      </w:pPr>
    </w:p>
    <w:p w14:paraId="5AB19C34" w14:textId="0382AB1E" w:rsidR="00F848A1" w:rsidRPr="00362517" w:rsidRDefault="00F848A1" w:rsidP="00BF6BC7">
      <w:pPr>
        <w:tabs>
          <w:tab w:val="left" w:pos="540"/>
          <w:tab w:val="left" w:pos="1080"/>
          <w:tab w:val="left" w:pos="1620"/>
          <w:tab w:val="left" w:pos="2160"/>
        </w:tabs>
      </w:pPr>
      <w:r w:rsidRPr="00362517">
        <w:t>We use a three-step process to estimate the benefits of the rule that accrue through avoiding acute effects.  EPA first estimates the number of acute pesticide poisoning incidents that will be avoided through provisions in the rule.  This is done by evaluating a sample of pesticide incident reports to identify the proximate causes of the exposure.  EPA then determines whether the provisions of the rule address the causes to estimate the proportion of pesticide incidents that would be avoided.  This proportion is applied to the total number of reported incidents to estimate the annual number of avoided incidents.  As explained in Section 4.4.2.1, under-reporting is likely large, which will lead to a downward bias in the estimated benefits.  This downward bias could be eliminated, if the amount of under-reporting was known.  A discussion of under-reporting and the effect on estimated benefits is provided at the end of Section 4.4.</w:t>
      </w:r>
      <w:r w:rsidR="00054C50" w:rsidRPr="00362517">
        <w:t>5</w:t>
      </w:r>
      <w:r w:rsidRPr="00362517">
        <w:t xml:space="preserve">.  Data for the first step in the estimation come from the Sentinel Event Notification System for Occupational Risks – Pesticides (SENSOR-Pesticides), administered by the National Institute for Occupational Safety and Health.  SENSOR-Pesticides is a surveillance program that monitors occupational illnesses related to pesticide exposure.  EPA also reviewed its own Incident Data System and annual reports from the </w:t>
      </w:r>
      <w:r w:rsidR="00054C50" w:rsidRPr="00362517">
        <w:t xml:space="preserve">American Association of </w:t>
      </w:r>
      <w:r w:rsidRPr="00362517">
        <w:t>Poison Control Centers to document unintentional deaths from RUPs over time.</w:t>
      </w:r>
    </w:p>
    <w:p w14:paraId="5AB19C35" w14:textId="77777777" w:rsidR="00F848A1" w:rsidRPr="00362517" w:rsidRDefault="00F848A1" w:rsidP="00BF6BC7">
      <w:pPr>
        <w:tabs>
          <w:tab w:val="left" w:pos="540"/>
          <w:tab w:val="left" w:pos="1080"/>
          <w:tab w:val="left" w:pos="1620"/>
          <w:tab w:val="left" w:pos="2160"/>
        </w:tabs>
      </w:pPr>
    </w:p>
    <w:p w14:paraId="5AB19C36" w14:textId="77777777" w:rsidR="00F848A1" w:rsidRPr="00362517" w:rsidRDefault="00F848A1" w:rsidP="00BF6BC7">
      <w:pPr>
        <w:tabs>
          <w:tab w:val="left" w:pos="540"/>
          <w:tab w:val="left" w:pos="1080"/>
          <w:tab w:val="left" w:pos="1620"/>
          <w:tab w:val="left" w:pos="2160"/>
        </w:tabs>
      </w:pPr>
      <w:r w:rsidRPr="00362517">
        <w:t xml:space="preserve">The second step is to estimate the distribution of health impacts reported in the data.  SENSOR-Pesticides data include information on the </w:t>
      </w:r>
      <w:r w:rsidR="006934A8" w:rsidRPr="00362517">
        <w:t xml:space="preserve">acute </w:t>
      </w:r>
      <w:r w:rsidRPr="00362517">
        <w:t xml:space="preserve">health outcomes of the poisoning incident, and we use this information to estimate the distribution of the severity of illnesses caused by RUP exposure.  </w:t>
      </w:r>
    </w:p>
    <w:p w14:paraId="5AB19C37" w14:textId="77777777" w:rsidR="00F848A1" w:rsidRPr="00362517" w:rsidRDefault="00F848A1" w:rsidP="00BF6BC7">
      <w:pPr>
        <w:tabs>
          <w:tab w:val="left" w:pos="540"/>
          <w:tab w:val="left" w:pos="1080"/>
          <w:tab w:val="left" w:pos="1620"/>
          <w:tab w:val="left" w:pos="2160"/>
        </w:tabs>
      </w:pPr>
    </w:p>
    <w:p w14:paraId="5AB19C38" w14:textId="77777777" w:rsidR="00F848A1" w:rsidRPr="00362517" w:rsidRDefault="00F848A1" w:rsidP="00BF6BC7">
      <w:pPr>
        <w:tabs>
          <w:tab w:val="left" w:pos="540"/>
          <w:tab w:val="left" w:pos="1080"/>
          <w:tab w:val="left" w:pos="1620"/>
          <w:tab w:val="left" w:pos="2160"/>
        </w:tabs>
      </w:pPr>
      <w:r w:rsidRPr="00362517">
        <w:t>The third step is to estimate the value of avoided incidents, given the severity of the effects.  The estimates here are based on avoided medical cost and avoided productivity loss and thus will underestimate the true willingness to pay of an individual to avoid illness.  Avoided deaths are valued using the value of a statistical life (VSL).</w:t>
      </w:r>
    </w:p>
    <w:p w14:paraId="5AB19C39" w14:textId="77777777" w:rsidR="00F848A1" w:rsidRPr="00362517" w:rsidRDefault="00F848A1" w:rsidP="00BF6BC7">
      <w:pPr>
        <w:tabs>
          <w:tab w:val="left" w:pos="540"/>
          <w:tab w:val="left" w:pos="1080"/>
          <w:tab w:val="left" w:pos="1620"/>
          <w:tab w:val="left" w:pos="2160"/>
        </w:tabs>
      </w:pPr>
    </w:p>
    <w:p w14:paraId="5AB19C3A" w14:textId="77777777" w:rsidR="00F848A1" w:rsidRPr="00362517" w:rsidRDefault="00F848A1" w:rsidP="00BF6BC7">
      <w:pPr>
        <w:tabs>
          <w:tab w:val="left" w:pos="540"/>
          <w:tab w:val="left" w:pos="1080"/>
          <w:tab w:val="left" w:pos="1620"/>
          <w:tab w:val="left" w:pos="2160"/>
        </w:tabs>
      </w:pPr>
      <w:r w:rsidRPr="00362517">
        <w:t>The value of avoided incidents is measured as avoided cost for treatment and lost productivity.  Information on medical costs comes from two sources.  Cost of inpatient care comes from the Healthcare Cost and Utilization Project (HCUP), which is a family of health care databases and related software tools and products developed through a Federal-State-Industry partnership and sponsored by the Agency for Healthcare Research and Quality (AHRQ)</w:t>
      </w:r>
      <w:r w:rsidRPr="00362517">
        <w:rPr>
          <w:rStyle w:val="FootnoteReference"/>
        </w:rPr>
        <w:footnoteReference w:id="9"/>
      </w:r>
      <w:r w:rsidRPr="00362517">
        <w:t>.  HCUP databases bring together the data collection efforts of state data organizations, hospital associations, private data organizations, and the federal government to create a national information resource of patient-level health care data.  HCUP includes the largest collection of longitudinal hospital care data in the United States, with all-payer, encounter-level information beginning in 1988.  Outpatient costs come from the Healthcare Common Procedure Code (HCPC) Criteria, which is a Centers for Medicare &amp; Medicaid Services (CMS) classification system used for identifying medical services and procedures furnished by physicians and other health care professionals</w:t>
      </w:r>
      <w:r w:rsidRPr="00362517">
        <w:rPr>
          <w:rStyle w:val="FootnoteReference"/>
        </w:rPr>
        <w:footnoteReference w:id="10"/>
      </w:r>
      <w:r w:rsidRPr="00362517">
        <w:t>.</w:t>
      </w:r>
    </w:p>
    <w:p w14:paraId="5AB19C3B" w14:textId="77777777" w:rsidR="00F848A1" w:rsidRPr="00362517" w:rsidRDefault="00F848A1" w:rsidP="00BF6BC7">
      <w:pPr>
        <w:tabs>
          <w:tab w:val="left" w:pos="540"/>
          <w:tab w:val="left" w:pos="1080"/>
          <w:tab w:val="left" w:pos="1620"/>
          <w:tab w:val="left" w:pos="2160"/>
        </w:tabs>
      </w:pPr>
    </w:p>
    <w:p w14:paraId="5AB19C3C" w14:textId="77777777" w:rsidR="00F848A1" w:rsidRPr="00362517" w:rsidRDefault="00F848A1" w:rsidP="00BF6BC7">
      <w:pPr>
        <w:tabs>
          <w:tab w:val="left" w:pos="540"/>
          <w:tab w:val="left" w:pos="1080"/>
          <w:tab w:val="left" w:pos="1620"/>
          <w:tab w:val="left" w:pos="2160"/>
        </w:tabs>
      </w:pPr>
      <w:r w:rsidRPr="00362517">
        <w:t>Finally, data to estimate the value of productivity loss avoided comes from a variety of reports from the Bureau of Labor Statistics.  Details are presented in Section 4.4.4.</w:t>
      </w:r>
    </w:p>
    <w:p w14:paraId="5AB19C3D" w14:textId="77777777" w:rsidR="00F848A1" w:rsidRPr="00362517" w:rsidRDefault="00F848A1" w:rsidP="00BF6BC7">
      <w:pPr>
        <w:tabs>
          <w:tab w:val="left" w:pos="540"/>
          <w:tab w:val="left" w:pos="1080"/>
          <w:tab w:val="left" w:pos="1620"/>
          <w:tab w:val="left" w:pos="2160"/>
        </w:tabs>
      </w:pPr>
    </w:p>
    <w:p w14:paraId="5AB19C3E" w14:textId="77777777" w:rsidR="00F848A1" w:rsidRPr="00362517" w:rsidRDefault="00F848A1" w:rsidP="00BF6BC7">
      <w:pPr>
        <w:tabs>
          <w:tab w:val="left" w:pos="540"/>
          <w:tab w:val="left" w:pos="1080"/>
          <w:tab w:val="left" w:pos="1620"/>
          <w:tab w:val="left" w:pos="2160"/>
        </w:tabs>
        <w:rPr>
          <w:sz w:val="28"/>
          <w:szCs w:val="28"/>
        </w:rPr>
      </w:pPr>
    </w:p>
    <w:p w14:paraId="5AB19C3F" w14:textId="77777777" w:rsidR="00F848A1" w:rsidRPr="00362517" w:rsidRDefault="00F848A1" w:rsidP="00BF6BC7">
      <w:pPr>
        <w:pStyle w:val="Heading3"/>
        <w:keepNext w:val="0"/>
        <w:keepLines w:val="0"/>
        <w:numPr>
          <w:ilvl w:val="2"/>
          <w:numId w:val="23"/>
        </w:numPr>
        <w:spacing w:before="120"/>
      </w:pPr>
      <w:bookmarkStart w:id="338" w:name="_Toc330222347"/>
      <w:bookmarkStart w:id="339" w:name="_Toc347502742"/>
      <w:bookmarkStart w:id="340" w:name="_Toc377737886"/>
      <w:bookmarkStart w:id="341" w:name="_Toc393400049"/>
      <w:bookmarkStart w:id="342" w:name="_Toc395177746"/>
      <w:bookmarkStart w:id="343" w:name="_Toc410807825"/>
      <w:bookmarkStart w:id="344" w:name="_Toc468872113"/>
      <w:r w:rsidRPr="00362517">
        <w:t>Pesticide Incidents Avoided</w:t>
      </w:r>
      <w:bookmarkEnd w:id="338"/>
      <w:bookmarkEnd w:id="339"/>
      <w:bookmarkEnd w:id="340"/>
      <w:bookmarkEnd w:id="341"/>
      <w:bookmarkEnd w:id="342"/>
      <w:bookmarkEnd w:id="343"/>
      <w:bookmarkEnd w:id="344"/>
    </w:p>
    <w:p w14:paraId="5AB19C40" w14:textId="77777777" w:rsidR="00F848A1" w:rsidRPr="00362517" w:rsidRDefault="00F848A1" w:rsidP="00BF6BC7">
      <w:pPr>
        <w:tabs>
          <w:tab w:val="left" w:pos="540"/>
          <w:tab w:val="left" w:pos="1080"/>
          <w:tab w:val="left" w:pos="1620"/>
          <w:tab w:val="left" w:pos="2160"/>
        </w:tabs>
      </w:pPr>
    </w:p>
    <w:p w14:paraId="5AB19C41" w14:textId="46EB428A" w:rsidR="00F848A1" w:rsidRPr="00362517" w:rsidRDefault="00F848A1" w:rsidP="00BF6BC7">
      <w:pPr>
        <w:tabs>
          <w:tab w:val="left" w:pos="540"/>
          <w:tab w:val="left" w:pos="1080"/>
          <w:tab w:val="left" w:pos="1620"/>
          <w:tab w:val="left" w:pos="2160"/>
        </w:tabs>
      </w:pPr>
      <w:r w:rsidRPr="00362517">
        <w:t xml:space="preserve">For estimating the proposal’s effect on pesticide incidents we use a database from the National Institute for Occupational Safety and Health (NIOSH) called the Sentinel Event Notification System for Occupational Exposure (SENSOR-Pesticides).  This database contains detail on the exposures that led to the incident report, their severity and their causes, although the data are not national in scope.  SENSOR-Pesticides is a surveillance program that monitors occupational illnesses related to pesticide exposure.  EPA obtained data for a four-year period, 2008 to 2011, during which time nine states (California, Florida, Iowa, Louisiana, Michigan, North Carolina, Oregon, Texas, and Washington) reported incidents involving RUPs to SENSOR-Pesticides (Fortenberry and Calvert, 2014).  SENSOR-Pesticides reports generally contain sufficient detail to identify the type of pesticide involved in the incident to determine if it was an RUP and to evaluate the circumstances of the incident.  These data are used to estimate the proportion of incidents that would be avoided under the rule.  Although SENSOR-Pesticides data are available for earlier years, only data from 2008 – 2011 are used here.  2008 </w:t>
      </w:r>
      <w:r w:rsidR="0085552F">
        <w:t>through</w:t>
      </w:r>
      <w:r w:rsidR="0085552F" w:rsidRPr="00362517">
        <w:t xml:space="preserve"> </w:t>
      </w:r>
      <w:r w:rsidRPr="00362517">
        <w:t xml:space="preserve">2011 are the most recent years for which the reporting states are consistent.  In addition, for these </w:t>
      </w:r>
      <w:r w:rsidR="006934A8" w:rsidRPr="00362517">
        <w:t xml:space="preserve">four </w:t>
      </w:r>
      <w:r w:rsidRPr="00362517">
        <w:t xml:space="preserve">years SENSOR-Pesticides reports any contributing factor (also known as the “prevention code”) identified for each incident.  EPA initially focused this query on cases with prevention codes to draw upon the training and expertise of NIOSH and the SENSOR-Pesticides state surveillance coordinators who investigate and code these cases.  However, while investigating deaths and high severity cases over time in SENSOR, EPA realized that some relevant incidents were not captured </w:t>
      </w:r>
      <w:r w:rsidR="006934A8" w:rsidRPr="00362517">
        <w:t>by the prevention code-based query because the prevention code was identified as “other” or “unknown” which are not specific enough to be accurately categorized in terms of prevention without closer examination of the case details.</w:t>
      </w:r>
      <w:r w:rsidRPr="00362517">
        <w:t xml:space="preserve"> </w:t>
      </w:r>
    </w:p>
    <w:p w14:paraId="5AB19C42" w14:textId="77777777" w:rsidR="00F848A1" w:rsidRPr="00362517" w:rsidRDefault="00F848A1" w:rsidP="00BF6BC7">
      <w:pPr>
        <w:tabs>
          <w:tab w:val="left" w:pos="540"/>
          <w:tab w:val="left" w:pos="1080"/>
          <w:tab w:val="left" w:pos="1620"/>
          <w:tab w:val="left" w:pos="2160"/>
        </w:tabs>
      </w:pPr>
    </w:p>
    <w:p w14:paraId="5AB19C43" w14:textId="566C1969" w:rsidR="00F848A1" w:rsidRPr="00362517" w:rsidRDefault="00F848A1" w:rsidP="00BF6BC7">
      <w:pPr>
        <w:tabs>
          <w:tab w:val="left" w:pos="540"/>
          <w:tab w:val="left" w:pos="1080"/>
          <w:tab w:val="left" w:pos="1620"/>
          <w:tab w:val="left" w:pos="2160"/>
        </w:tabs>
      </w:pPr>
      <w:r w:rsidRPr="00362517">
        <w:t xml:space="preserve">EPA reviewed pesticide incident cases reported to SENSOR-Pesticides from 2008-2011 that involved a pesticide ingredient commonly associated with RUPs.  </w:t>
      </w:r>
      <w:r w:rsidR="00F63460" w:rsidRPr="00362517">
        <w:t>EPA</w:t>
      </w:r>
      <w:r w:rsidRPr="00362517">
        <w:t xml:space="preserve"> initially </w:t>
      </w:r>
      <w:r w:rsidR="00F63460" w:rsidRPr="00362517">
        <w:t xml:space="preserve">identified </w:t>
      </w:r>
      <w:r w:rsidRPr="00362517">
        <w:t>478</w:t>
      </w:r>
      <w:r w:rsidR="00F63460" w:rsidRPr="00362517">
        <w:t xml:space="preserve"> possible</w:t>
      </w:r>
      <w:r w:rsidRPr="00362517">
        <w:t xml:space="preserve"> unintentional cases involving RUPs, but 81 were removed from consideration, leaving 397 cases.  Of the cases removed, 22 cases involved soil fumigants.  Recent changes to soil fumigant labeling requiring increased training and safety equipment would probably have prevented those incidents.  The proposed new soil fumigant category in the changes to the certification standards codifies the current label requirements, so we do not include those incidents here.  Fifty-nine cases were not relevant to the rule, for various reasons.  These reasons included accidents during manufacturing or shipping, or further investigation revealed that the products involved were unlikely to be RUPs, </w:t>
      </w:r>
      <w:r w:rsidR="00F63460" w:rsidRPr="00362517">
        <w:t>such as an</w:t>
      </w:r>
      <w:r w:rsidRPr="00362517">
        <w:t xml:space="preserve"> incident involved a residential application</w:t>
      </w:r>
      <w:r w:rsidR="00F63460" w:rsidRPr="00362517">
        <w:t xml:space="preserve"> by a homeowner</w:t>
      </w:r>
      <w:r w:rsidRPr="00362517">
        <w:t xml:space="preserve">, which would not be covered by the revised certification standard.  </w:t>
      </w:r>
    </w:p>
    <w:p w14:paraId="5AB19C44" w14:textId="77777777" w:rsidR="00F848A1" w:rsidRDefault="00F848A1" w:rsidP="00BF6BC7">
      <w:pPr>
        <w:tabs>
          <w:tab w:val="left" w:pos="540"/>
          <w:tab w:val="left" w:pos="1080"/>
          <w:tab w:val="left" w:pos="1620"/>
          <w:tab w:val="left" w:pos="2160"/>
        </w:tabs>
      </w:pPr>
    </w:p>
    <w:p w14:paraId="62681659" w14:textId="06C9FDC9" w:rsidR="00026418" w:rsidRDefault="00026418" w:rsidP="00BF6BC7">
      <w:pPr>
        <w:tabs>
          <w:tab w:val="left" w:pos="540"/>
          <w:tab w:val="left" w:pos="1080"/>
          <w:tab w:val="left" w:pos="1620"/>
          <w:tab w:val="left" w:pos="2160"/>
        </w:tabs>
      </w:pPr>
      <w:r w:rsidRPr="00026418">
        <w:t>There is uncertainty in the results of the incident analysis. Certified applicators must demonstrate a level of competency to ensure that an RUP can be used without causing these unreasonable adverse effects from RUP exposure. The basis of the existing certification program is that training and/or the knowledge acquired to pass an examination will result in fewer errors following often complex use directions than would be the case in the absence of the certification program. This rule enhances competency standards and accountability for certified applicators and improves qualifications and supervision of people using RUPs under the supervision of a certified applicator, which, by the same logic, will further reduce errors in applications, especially in new categories of certification and by noncertified applicators who previously may not have received</w:t>
      </w:r>
      <w:r w:rsidR="002F15F1">
        <w:t xml:space="preserve"> training</w:t>
      </w:r>
      <w:r w:rsidRPr="00026418">
        <w:t xml:space="preserve">.  However, when reviewing </w:t>
      </w:r>
      <w:r w:rsidR="005940D5" w:rsidRPr="00026418">
        <w:t>incidents,</w:t>
      </w:r>
      <w:r w:rsidRPr="00026418">
        <w:t xml:space="preserve"> it is impossible to be certain that specific incidents will be prevented by specific provisions of the rule.   </w:t>
      </w:r>
    </w:p>
    <w:p w14:paraId="77C334AF" w14:textId="77777777" w:rsidR="00026418" w:rsidRPr="00362517" w:rsidRDefault="00026418" w:rsidP="00BF6BC7">
      <w:pPr>
        <w:tabs>
          <w:tab w:val="left" w:pos="540"/>
          <w:tab w:val="left" w:pos="1080"/>
          <w:tab w:val="left" w:pos="1620"/>
          <w:tab w:val="left" w:pos="2160"/>
        </w:tabs>
      </w:pPr>
    </w:p>
    <w:p w14:paraId="5AB19C45" w14:textId="7B2DA359" w:rsidR="00F848A1" w:rsidRPr="00362517" w:rsidRDefault="00F848A1" w:rsidP="00BF6BC7">
      <w:pPr>
        <w:tabs>
          <w:tab w:val="left" w:pos="540"/>
          <w:tab w:val="left" w:pos="1080"/>
          <w:tab w:val="left" w:pos="1620"/>
          <w:tab w:val="left" w:pos="2160"/>
        </w:tabs>
      </w:pPr>
      <w:r w:rsidRPr="00362517">
        <w:t xml:space="preserve">For the remaining 397 cases, EPA was able to identify the proximate causes of the exposure causing the incident using the pesticide incident reports from SENSOR-Pesticides </w:t>
      </w:r>
      <w:r w:rsidR="00F63460" w:rsidRPr="00362517">
        <w:t xml:space="preserve">including </w:t>
      </w:r>
      <w:r w:rsidRPr="00362517">
        <w:t xml:space="preserve">with the </w:t>
      </w:r>
      <w:r w:rsidR="006934A8" w:rsidRPr="00362517">
        <w:t>a</w:t>
      </w:r>
      <w:r w:rsidRPr="00362517">
        <w:t>ssigned prevention codes</w:t>
      </w:r>
      <w:r w:rsidR="00F63460" w:rsidRPr="00362517">
        <w:t xml:space="preserve"> and additional information where available, such as from California’s Pesticide Illness Surveillance Program</w:t>
      </w:r>
      <w:r w:rsidRPr="00362517">
        <w:t xml:space="preserve">.  EPA reviewed the narrative description of these cases, the information identified in the SENSOR-Pesticide database and, additional information from the state if it was available for the cause of the incident and determined whether the provisions of the rule would mitigate the exposure that caused the incident.  EPA’s benefit estimates are based on the cases that were categorized as “preventable” or “possibly preventable.”  Other incidents were evaluated, and EPA determined there was either not enough information to determine if the incident would have been prevented by the rule changes, the rule would not have prevented the incident, or the incident was not relevant to the rule.  </w:t>
      </w:r>
    </w:p>
    <w:p w14:paraId="5AB19C46" w14:textId="77777777" w:rsidR="00F848A1" w:rsidRPr="00362517" w:rsidRDefault="00F848A1" w:rsidP="00BF6BC7">
      <w:pPr>
        <w:tabs>
          <w:tab w:val="left" w:pos="540"/>
          <w:tab w:val="left" w:pos="1080"/>
          <w:tab w:val="left" w:pos="1620"/>
          <w:tab w:val="left" w:pos="2160"/>
        </w:tabs>
      </w:pPr>
    </w:p>
    <w:p w14:paraId="5AB19C47" w14:textId="77777777" w:rsidR="00F848A1" w:rsidRPr="00362517" w:rsidRDefault="00F848A1" w:rsidP="00BF6BC7">
      <w:pPr>
        <w:tabs>
          <w:tab w:val="left" w:pos="540"/>
          <w:tab w:val="left" w:pos="1080"/>
          <w:tab w:val="left" w:pos="1620"/>
          <w:tab w:val="left" w:pos="2160"/>
        </w:tabs>
      </w:pPr>
      <w:r w:rsidRPr="00362517">
        <w:t>Categories were assigned using the following guidelines:</w:t>
      </w:r>
    </w:p>
    <w:p w14:paraId="5AB19C48" w14:textId="77777777" w:rsidR="00F848A1" w:rsidRPr="00362517" w:rsidRDefault="00F848A1" w:rsidP="00BF6BC7">
      <w:pPr>
        <w:tabs>
          <w:tab w:val="left" w:pos="540"/>
          <w:tab w:val="left" w:pos="1080"/>
          <w:tab w:val="left" w:pos="1620"/>
          <w:tab w:val="left" w:pos="2160"/>
        </w:tabs>
      </w:pPr>
    </w:p>
    <w:p w14:paraId="5AB19C49" w14:textId="77777777" w:rsidR="00F848A1" w:rsidRPr="00362517" w:rsidRDefault="00F848A1" w:rsidP="00BF6BC7">
      <w:pPr>
        <w:pStyle w:val="ListParagraph"/>
        <w:numPr>
          <w:ilvl w:val="0"/>
          <w:numId w:val="19"/>
        </w:numPr>
        <w:tabs>
          <w:tab w:val="left" w:pos="540"/>
          <w:tab w:val="left" w:pos="1080"/>
          <w:tab w:val="left" w:pos="1620"/>
          <w:tab w:val="left" w:pos="2160"/>
        </w:tabs>
        <w:ind w:left="288" w:hanging="288"/>
      </w:pPr>
      <w:r w:rsidRPr="00362517">
        <w:t xml:space="preserve">Preventable Incidents: incidents where there was a clear link between the application/applicator and the effect and the information demonstrated an error by the applicator or applicator incompetency.  There were 202 incidents classified as preventable.  </w:t>
      </w:r>
    </w:p>
    <w:p w14:paraId="5AB19C4A" w14:textId="77777777" w:rsidR="00F848A1" w:rsidRPr="00362517" w:rsidRDefault="00F848A1" w:rsidP="00BF6BC7">
      <w:pPr>
        <w:pStyle w:val="ListParagraph"/>
        <w:numPr>
          <w:ilvl w:val="0"/>
          <w:numId w:val="19"/>
        </w:numPr>
        <w:tabs>
          <w:tab w:val="left" w:pos="540"/>
          <w:tab w:val="left" w:pos="1080"/>
          <w:tab w:val="left" w:pos="1620"/>
          <w:tab w:val="left" w:pos="2160"/>
        </w:tabs>
        <w:ind w:left="288" w:hanging="288"/>
      </w:pPr>
      <w:r w:rsidRPr="00362517">
        <w:t xml:space="preserve">Possibly Preventable Incidents: incidents where there was a clear link between the application/applicator and the effect and an applicator error was possible but the available information did not identify any specific applicator errors.  There were 73 incidents that were classified as possibly preventable.  </w:t>
      </w:r>
    </w:p>
    <w:p w14:paraId="5AB19C4B" w14:textId="76D41D59" w:rsidR="00F848A1" w:rsidRPr="00362517" w:rsidRDefault="00F848A1" w:rsidP="00BF6BC7">
      <w:pPr>
        <w:pStyle w:val="ListParagraph"/>
        <w:numPr>
          <w:ilvl w:val="0"/>
          <w:numId w:val="19"/>
        </w:numPr>
        <w:tabs>
          <w:tab w:val="left" w:pos="540"/>
          <w:tab w:val="left" w:pos="1080"/>
          <w:tab w:val="left" w:pos="1620"/>
          <w:tab w:val="left" w:pos="2160"/>
        </w:tabs>
        <w:ind w:left="288" w:hanging="288"/>
      </w:pPr>
      <w:r w:rsidRPr="00362517">
        <w:t xml:space="preserve">The remainder of the incidents could not be considered “preventable” or “possibly preventable.”  These are incidents where the available information does not indicate the rule changes would have prevented the incident.  For example, incidents where there was a clear link between the application and the effect and where an applicator error was possible, but the available information did not identify any applicator errors, </w:t>
      </w:r>
      <w:r w:rsidR="001704EC" w:rsidRPr="00362517">
        <w:t xml:space="preserve">such as </w:t>
      </w:r>
      <w:r w:rsidRPr="00362517">
        <w:t xml:space="preserve">if an applicator was wearing all of the required PPE but still suffered exposure, or other purely accidental incidents.  Cases that were determined to be not preventable include those where the available information does not indicate that rule changes would prevent the </w:t>
      </w:r>
      <w:r w:rsidR="00CE2011" w:rsidRPr="00362517">
        <w:t>incident</w:t>
      </w:r>
      <w:r w:rsidRPr="00362517">
        <w:t>.</w:t>
      </w:r>
      <w:r w:rsidR="001476CE" w:rsidRPr="00362517">
        <w:t xml:space="preserve">  </w:t>
      </w:r>
      <w:r w:rsidR="0016625B" w:rsidRPr="00362517">
        <w:t>Cases that were intentional poisoning, such as suicide attempts, were considered to be ‘not preventable’ unless an error by a certified applicator or a</w:t>
      </w:r>
      <w:r w:rsidR="00CA28EA">
        <w:t>n</w:t>
      </w:r>
      <w:r w:rsidR="0016625B" w:rsidRPr="00362517">
        <w:t xml:space="preserve"> RUP retailer could be identified, which only happened in one case.</w:t>
      </w:r>
      <w:r w:rsidRPr="00362517">
        <w:t xml:space="preserve">    </w:t>
      </w:r>
    </w:p>
    <w:p w14:paraId="5AB19C4C" w14:textId="77777777" w:rsidR="00F848A1" w:rsidRPr="00362517" w:rsidRDefault="00F848A1" w:rsidP="00BF6BC7">
      <w:pPr>
        <w:pStyle w:val="ListParagraph"/>
        <w:tabs>
          <w:tab w:val="left" w:pos="540"/>
          <w:tab w:val="left" w:pos="1080"/>
          <w:tab w:val="left" w:pos="1620"/>
          <w:tab w:val="left" w:pos="2160"/>
        </w:tabs>
      </w:pPr>
    </w:p>
    <w:p w14:paraId="5AB19C4D" w14:textId="4934DEF6" w:rsidR="00F848A1" w:rsidRPr="00362517" w:rsidRDefault="00F848A1" w:rsidP="00BF6BC7">
      <w:pPr>
        <w:tabs>
          <w:tab w:val="left" w:pos="540"/>
          <w:tab w:val="left" w:pos="1080"/>
          <w:tab w:val="left" w:pos="1620"/>
          <w:tab w:val="left" w:pos="2160"/>
        </w:tabs>
      </w:pPr>
      <w:r w:rsidRPr="00362517">
        <w:t xml:space="preserve">There are </w:t>
      </w:r>
      <w:r w:rsidR="00AE34A1" w:rsidRPr="00362517">
        <w:t>31 possibly relevant</w:t>
      </w:r>
      <w:r w:rsidR="00741CC7" w:rsidRPr="00362517">
        <w:t xml:space="preserve"> (32 total)</w:t>
      </w:r>
      <w:r w:rsidR="00AE34A1" w:rsidRPr="00362517">
        <w:t xml:space="preserve"> </w:t>
      </w:r>
      <w:r w:rsidRPr="00362517">
        <w:t xml:space="preserve">incidents involving the herbicide paraquat that are treated differently than other RUP incidents.  The Agency is </w:t>
      </w:r>
      <w:r w:rsidR="00BC49F6">
        <w:t xml:space="preserve">currently </w:t>
      </w:r>
      <w:r w:rsidRPr="00362517">
        <w:t xml:space="preserve">pursuing separate risk mitigation specific to paraquat due to repeated and very severe incidents.  The </w:t>
      </w:r>
      <w:r w:rsidR="00A66484" w:rsidRPr="00362517">
        <w:t xml:space="preserve">proposed </w:t>
      </w:r>
      <w:r w:rsidRPr="00362517">
        <w:t xml:space="preserve">risk mitigation includes updated labeling, enhanced training materials, elimination of application via handheld equipment, requirements of closed systems for material transfer, and only allowing application by certified applicator; application by noncertified applicators is not allowed, even under the supervision of a certified applicators.  </w:t>
      </w:r>
    </w:p>
    <w:p w14:paraId="5AB19C4E" w14:textId="77777777" w:rsidR="00F848A1" w:rsidRPr="00362517" w:rsidRDefault="00F848A1" w:rsidP="00BF6BC7">
      <w:pPr>
        <w:tabs>
          <w:tab w:val="left" w:pos="540"/>
          <w:tab w:val="left" w:pos="1080"/>
          <w:tab w:val="left" w:pos="1620"/>
          <w:tab w:val="left" w:pos="2160"/>
        </w:tabs>
      </w:pPr>
    </w:p>
    <w:p w14:paraId="5AB19C4F" w14:textId="4A647B27" w:rsidR="00F848A1" w:rsidRPr="00362517" w:rsidRDefault="00B978B6" w:rsidP="00BF6BC7">
      <w:pPr>
        <w:tabs>
          <w:tab w:val="left" w:pos="540"/>
          <w:tab w:val="left" w:pos="1080"/>
          <w:tab w:val="left" w:pos="1620"/>
          <w:tab w:val="left" w:pos="2160"/>
        </w:tabs>
      </w:pPr>
      <w:r w:rsidRPr="00362517">
        <w:t xml:space="preserve">These paraquat </w:t>
      </w:r>
      <w:r w:rsidR="00F848A1" w:rsidRPr="00362517">
        <w:t>risk mitigation</w:t>
      </w:r>
      <w:r w:rsidRPr="00362517">
        <w:t>s</w:t>
      </w:r>
      <w:r w:rsidR="00F848A1" w:rsidRPr="00362517">
        <w:t xml:space="preserve">, if finalized, may reduce the number of incidents involving paraquat.  </w:t>
      </w:r>
      <w:r w:rsidR="00C60D3F" w:rsidRPr="00362517">
        <w:t xml:space="preserve">Therefore, </w:t>
      </w:r>
      <w:r w:rsidR="00F848A1" w:rsidRPr="00362517">
        <w:t xml:space="preserve">we exclude paraquat incidents from </w:t>
      </w:r>
      <w:r w:rsidRPr="00362517">
        <w:t xml:space="preserve">the </w:t>
      </w:r>
      <w:r w:rsidR="00F848A1" w:rsidRPr="00362517">
        <w:t>estimation of the number of incidents</w:t>
      </w:r>
      <w:r w:rsidR="00C60D3F" w:rsidRPr="00362517">
        <w:t xml:space="preserve">.  This is a conservative approach, because the final paraquat mitigation measures </w:t>
      </w:r>
      <w:r w:rsidR="00314939">
        <w:t>are</w:t>
      </w:r>
      <w:r w:rsidR="00314939" w:rsidRPr="00362517">
        <w:t xml:space="preserve"> </w:t>
      </w:r>
      <w:r w:rsidR="00C60D3F" w:rsidRPr="00362517">
        <w:t>not yet know</w:t>
      </w:r>
      <w:r w:rsidR="00AE34A1" w:rsidRPr="00362517">
        <w:t>n</w:t>
      </w:r>
      <w:r w:rsidR="00C60D3F" w:rsidRPr="00362517">
        <w:t>, and</w:t>
      </w:r>
      <w:r w:rsidR="00F848A1" w:rsidRPr="00362517">
        <w:t xml:space="preserve"> because </w:t>
      </w:r>
      <w:r w:rsidRPr="00362517">
        <w:t xml:space="preserve">preventable </w:t>
      </w:r>
      <w:r w:rsidR="00F848A1" w:rsidRPr="00362517">
        <w:t xml:space="preserve">accidents involving paraquat are </w:t>
      </w:r>
      <w:r w:rsidRPr="00362517">
        <w:t xml:space="preserve">likely </w:t>
      </w:r>
      <w:r w:rsidR="00F848A1" w:rsidRPr="00362517">
        <w:t xml:space="preserve">indicative of </w:t>
      </w:r>
      <w:r w:rsidRPr="00362517">
        <w:t xml:space="preserve">wider </w:t>
      </w:r>
      <w:r w:rsidR="00F848A1" w:rsidRPr="00362517">
        <w:t xml:space="preserve">problems </w:t>
      </w:r>
      <w:r w:rsidRPr="00362517">
        <w:t xml:space="preserve">with </w:t>
      </w:r>
      <w:r w:rsidR="00F848A1" w:rsidRPr="00362517">
        <w:t xml:space="preserve">RUP </w:t>
      </w:r>
      <w:r w:rsidRPr="00362517">
        <w:t xml:space="preserve">storage and use </w:t>
      </w:r>
      <w:r w:rsidR="00F848A1" w:rsidRPr="00362517">
        <w:t>that could be prevented by the rule changes.  If the activities of applicators and non-certified applicators under the supervision of a certified applicator result in exposure and illness to paraquat, one of the pesticides with the greatest human health risks</w:t>
      </w:r>
      <w:r w:rsidRPr="00362517">
        <w:t xml:space="preserve"> (Fortenberry </w:t>
      </w:r>
      <w:r w:rsidRPr="00362517">
        <w:rPr>
          <w:i/>
        </w:rPr>
        <w:t>et al.</w:t>
      </w:r>
      <w:r w:rsidRPr="00362517">
        <w:t>, 2016)</w:t>
      </w:r>
      <w:r w:rsidR="00F848A1" w:rsidRPr="00362517">
        <w:t>, then similar mistakes</w:t>
      </w:r>
      <w:r w:rsidRPr="00362517">
        <w:t xml:space="preserve">, such as pouring product into an unmarked beverage container for storage or use despite label instructions, </w:t>
      </w:r>
      <w:r w:rsidR="00F848A1" w:rsidRPr="00362517">
        <w:t>are likely to occur when applying other pesticides</w:t>
      </w:r>
      <w:r w:rsidRPr="00362517">
        <w:t>.</w:t>
      </w:r>
      <w:r w:rsidR="00F848A1" w:rsidRPr="00362517">
        <w:t xml:space="preserve">  Of the </w:t>
      </w:r>
      <w:r w:rsidR="00AE34A1" w:rsidRPr="00362517">
        <w:t xml:space="preserve">32 </w:t>
      </w:r>
      <w:r w:rsidR="00F848A1" w:rsidRPr="00362517">
        <w:t>total paraquat incidents, six w</w:t>
      </w:r>
      <w:r w:rsidR="00C60D3F" w:rsidRPr="00362517">
        <w:t>ould have been</w:t>
      </w:r>
      <w:r w:rsidR="00F848A1" w:rsidRPr="00362517">
        <w:t xml:space="preserve"> classified as “preventable,” 22 </w:t>
      </w:r>
      <w:r w:rsidR="00C60D3F" w:rsidRPr="00362517">
        <w:t xml:space="preserve">would have been </w:t>
      </w:r>
      <w:r w:rsidR="00F848A1" w:rsidRPr="00362517">
        <w:t>classified as “possibly preventable,” and 1 incident was “not preventable.”  There were two incidents that did not have enough information for classification, and one turned out not to be a relevant paraquat or RUP incident.</w:t>
      </w:r>
      <w:r w:rsidR="00345BC8" w:rsidRPr="00362517">
        <w:t xml:space="preserve"> </w:t>
      </w:r>
      <w:r w:rsidR="00C60D3F" w:rsidRPr="00362517">
        <w:t xml:space="preserve"> All cases involving paraquat were excluded</w:t>
      </w:r>
      <w:r w:rsidR="00AE34A1" w:rsidRPr="00362517">
        <w:t xml:space="preserve"> from consideration for estimating preventable or possibly preventable incidents.</w:t>
      </w:r>
      <w:r w:rsidR="006469A6" w:rsidRPr="00362517">
        <w:t xml:space="preserve"> </w:t>
      </w:r>
      <w:r w:rsidR="00741CC7" w:rsidRPr="00362517">
        <w:t xml:space="preserve">  </w:t>
      </w:r>
      <w:r w:rsidR="00AE34A1" w:rsidRPr="00362517">
        <w:t xml:space="preserve">  </w:t>
      </w:r>
      <w:r w:rsidR="00C60D3F" w:rsidRPr="00362517">
        <w:t xml:space="preserve"> </w:t>
      </w:r>
    </w:p>
    <w:p w14:paraId="5AB19C50" w14:textId="0CF5B444" w:rsidR="00F848A1" w:rsidRDefault="00F848A1" w:rsidP="00BF6BC7">
      <w:pPr>
        <w:tabs>
          <w:tab w:val="left" w:pos="540"/>
          <w:tab w:val="left" w:pos="1080"/>
          <w:tab w:val="left" w:pos="1620"/>
          <w:tab w:val="left" w:pos="2160"/>
        </w:tabs>
      </w:pPr>
    </w:p>
    <w:p w14:paraId="33823963" w14:textId="46C4462F" w:rsidR="00351AB2" w:rsidRDefault="00592B09" w:rsidP="00BF6BC7">
      <w:pPr>
        <w:tabs>
          <w:tab w:val="left" w:pos="540"/>
          <w:tab w:val="left" w:pos="1080"/>
          <w:tab w:val="left" w:pos="1620"/>
          <w:tab w:val="left" w:pos="2160"/>
        </w:tabs>
      </w:pPr>
      <w:r>
        <w:t>There are some incidents that were deemed preventable or possibly preventable</w:t>
      </w:r>
      <w:r w:rsidR="00AE57F6">
        <w:t xml:space="preserve"> that involved pesticides with active ingredients that are no longer registered.  </w:t>
      </w:r>
      <w:r w:rsidR="00476F2F">
        <w:t xml:space="preserve">These incidents involved the active ingredients endosulfan, carbofuran and azinphos-methyl, which are no longer available for sale.  </w:t>
      </w:r>
      <w:r w:rsidR="00476F2F" w:rsidRPr="00476F2F">
        <w:t>These incidents, like all of the incidents used for estimating benefits</w:t>
      </w:r>
      <w:r w:rsidR="00476F2F">
        <w:t xml:space="preserve"> as well as some of the incidents that were excluded</w:t>
      </w:r>
      <w:r w:rsidR="00476F2F" w:rsidRPr="00476F2F">
        <w:t>, are indicative of systematic problems in RUP application that could be prevented by the rule changes.  If the actions of applicators and noncertified applicators under the supervision of a certified applicator</w:t>
      </w:r>
      <w:r w:rsidR="00232FC4">
        <w:t xml:space="preserve"> using these RUPs</w:t>
      </w:r>
      <w:r w:rsidR="00476F2F" w:rsidRPr="00476F2F">
        <w:t xml:space="preserve"> result</w:t>
      </w:r>
      <w:r w:rsidR="00232FC4">
        <w:t>ed</w:t>
      </w:r>
      <w:r w:rsidR="00476F2F" w:rsidRPr="00476F2F">
        <w:t xml:space="preserve"> in exposure and illness, then similar mistakes are likely to occur when applying other pesticides.</w:t>
      </w:r>
      <w:r w:rsidR="00476F2F">
        <w:t xml:space="preserve">  </w:t>
      </w:r>
      <w:r w:rsidR="00476F2F" w:rsidRPr="00476F2F">
        <w:t>EPA’s goal with chemical-specific mitigation</w:t>
      </w:r>
      <w:r w:rsidR="00476F2F">
        <w:t xml:space="preserve">, such as with paraquat and soil fumigants, </w:t>
      </w:r>
      <w:r w:rsidR="005C38C8">
        <w:t xml:space="preserve">is </w:t>
      </w:r>
      <w:r w:rsidR="00476F2F">
        <w:t>to</w:t>
      </w:r>
      <w:r w:rsidR="00476F2F" w:rsidRPr="00476F2F">
        <w:t xml:space="preserve"> lower exposure to humans and the environment when all use directions are followed.  In contrast, this rulemaking is intended to enable and foster compliance with those use directions, thereby reducing </w:t>
      </w:r>
      <w:r w:rsidR="00E72DF0">
        <w:t xml:space="preserve">or mitigating </w:t>
      </w:r>
      <w:r w:rsidR="00476F2F" w:rsidRPr="00476F2F">
        <w:t xml:space="preserve">unintended exposures due to </w:t>
      </w:r>
      <w:r w:rsidR="00E72DF0">
        <w:t>errors</w:t>
      </w:r>
      <w:r w:rsidR="00476F2F" w:rsidRPr="00476F2F">
        <w:t xml:space="preserve"> or failure to follow use directions.  Cancellation only occurs when EPA and registrants cannot find a way to ensure that chemicals can be used without unreasonable adverse effects.</w:t>
      </w:r>
      <w:r w:rsidR="00476F2F">
        <w:t xml:space="preserve">  </w:t>
      </w:r>
    </w:p>
    <w:p w14:paraId="3629A0F6" w14:textId="77777777" w:rsidR="00351AB2" w:rsidRDefault="00351AB2" w:rsidP="00BF6BC7">
      <w:pPr>
        <w:tabs>
          <w:tab w:val="left" w:pos="540"/>
          <w:tab w:val="left" w:pos="1080"/>
          <w:tab w:val="left" w:pos="1620"/>
          <w:tab w:val="left" w:pos="2160"/>
        </w:tabs>
      </w:pPr>
    </w:p>
    <w:p w14:paraId="49115E0F" w14:textId="1572CA55" w:rsidR="00592B09" w:rsidRDefault="00351AB2" w:rsidP="00BF6BC7">
      <w:pPr>
        <w:tabs>
          <w:tab w:val="left" w:pos="540"/>
          <w:tab w:val="left" w:pos="1080"/>
          <w:tab w:val="left" w:pos="1620"/>
          <w:tab w:val="left" w:pos="2160"/>
        </w:tabs>
      </w:pPr>
      <w:r>
        <w:t>I</w:t>
      </w:r>
      <w:r w:rsidRPr="00351AB2">
        <w:t xml:space="preserve">ncidents involving </w:t>
      </w:r>
      <w:r>
        <w:t xml:space="preserve">the cancelled </w:t>
      </w:r>
      <w:r w:rsidR="00E72DF0">
        <w:t>RUPs</w:t>
      </w:r>
      <w:r w:rsidRPr="00351AB2">
        <w:t xml:space="preserve"> still represent errors made by certified applicators or noncertified applicators under the supervision of a certified applicator when those </w:t>
      </w:r>
      <w:r w:rsidR="00E72DF0">
        <w:t>RUPs</w:t>
      </w:r>
      <w:r w:rsidRPr="00351AB2">
        <w:t xml:space="preserve"> were registered and legal to use.  It is reasonable to assume that pesticide users have not ceased using RUPs completely; rather they have found other products that can be used instead of those that have been cancelled, and could continue to make similar errors with different products if their competency is not adequate. EPA treated paraquat differently in the </w:t>
      </w:r>
      <w:r w:rsidR="000C0407">
        <w:t>E</w:t>
      </w:r>
      <w:r w:rsidR="00010E1B">
        <w:t xml:space="preserve">conomic </w:t>
      </w:r>
      <w:r w:rsidR="000C0407">
        <w:t>A</w:t>
      </w:r>
      <w:r w:rsidR="00010E1B">
        <w:t>nalysis</w:t>
      </w:r>
      <w:r w:rsidRPr="00351AB2">
        <w:t xml:space="preserve"> for the final rule, because, unlike the cancelled active ingredients referred to by the commenter, the proposed paraquat mitigation measures were intended to specifically prevent incidents identified in our query of the SENSOR-Pesticides database (e.g., exposure </w:t>
      </w:r>
      <w:r w:rsidR="00E72DF0" w:rsidRPr="00E72DF0">
        <w:t>to noncertified applicators or accidental ingestion of paraquat after it was improperly transferred to a beverage container</w:t>
      </w:r>
      <w:r w:rsidRPr="00351AB2">
        <w:t xml:space="preserve">).  The number of avoidable incidents is likely underestimated because EPA only reviewed incidents associated with RUPs.  However, certified applicators also </w:t>
      </w:r>
      <w:r w:rsidR="00E72DF0">
        <w:t>non-RUPs</w:t>
      </w:r>
      <w:r w:rsidRPr="00351AB2">
        <w:t xml:space="preserve"> and </w:t>
      </w:r>
      <w:r w:rsidR="00E72DF0">
        <w:t>i</w:t>
      </w:r>
      <w:r w:rsidRPr="00351AB2">
        <w:t xml:space="preserve">mproving the competency of the applicator is likely to </w:t>
      </w:r>
      <w:r w:rsidR="00E72DF0">
        <w:t>reduce or mitigate</w:t>
      </w:r>
      <w:r w:rsidRPr="00351AB2">
        <w:t xml:space="preserve"> incidents with </w:t>
      </w:r>
      <w:r w:rsidR="00E72DF0">
        <w:t xml:space="preserve">non-RUPs </w:t>
      </w:r>
      <w:r w:rsidRPr="00351AB2">
        <w:t xml:space="preserve">as well.  </w:t>
      </w:r>
      <w:r>
        <w:t xml:space="preserve"> </w:t>
      </w:r>
    </w:p>
    <w:p w14:paraId="5BFDC6FA" w14:textId="77777777" w:rsidR="00592B09" w:rsidRPr="00362517" w:rsidRDefault="00592B09" w:rsidP="00BF6BC7">
      <w:pPr>
        <w:tabs>
          <w:tab w:val="left" w:pos="540"/>
          <w:tab w:val="left" w:pos="1080"/>
          <w:tab w:val="left" w:pos="1620"/>
          <w:tab w:val="left" w:pos="2160"/>
        </w:tabs>
      </w:pPr>
    </w:p>
    <w:p w14:paraId="5AB19C51" w14:textId="05210B69" w:rsidR="00F848A1" w:rsidRPr="00362517" w:rsidRDefault="00AE34A1" w:rsidP="00BF6BC7">
      <w:pPr>
        <w:tabs>
          <w:tab w:val="left" w:pos="540"/>
          <w:tab w:val="left" w:pos="1080"/>
          <w:tab w:val="left" w:pos="1620"/>
          <w:tab w:val="left" w:pos="2160"/>
        </w:tabs>
      </w:pPr>
      <w:r w:rsidRPr="00362517">
        <w:t xml:space="preserve">After excluding the paraquat cases, the soil fumigant cases, and the not relevant cases, there were 366 incidents determined to be relevant to the rule.  </w:t>
      </w:r>
      <w:r w:rsidR="00F848A1" w:rsidRPr="00362517">
        <w:t xml:space="preserve">The review of the SENSOR-Pesticides data identified </w:t>
      </w:r>
      <w:r w:rsidR="00C60D3F" w:rsidRPr="00362517">
        <w:t xml:space="preserve">196 </w:t>
      </w:r>
      <w:r w:rsidR="00F848A1" w:rsidRPr="00362517">
        <w:t xml:space="preserve">cases that were preventable under the changes to the rule, and another </w:t>
      </w:r>
      <w:r w:rsidR="006469A6" w:rsidRPr="00362517">
        <w:t xml:space="preserve">51 </w:t>
      </w:r>
      <w:r w:rsidR="00F848A1" w:rsidRPr="00362517">
        <w:t>cases were possibly preventable.  Cases deemed “preventable” were used to calculate the low-end ratio of acute exposure cases to total unintentional pesticide incidents.  Table 4.4-</w:t>
      </w:r>
      <w:r w:rsidR="00744D0C" w:rsidRPr="00362517">
        <w:t xml:space="preserve">1 </w:t>
      </w:r>
      <w:r w:rsidR="00F848A1" w:rsidRPr="00362517">
        <w:t xml:space="preserve">presents the results of the review of the SENSOR-Pesticides data.  Given </w:t>
      </w:r>
      <w:r w:rsidRPr="00362517">
        <w:t xml:space="preserve">366 </w:t>
      </w:r>
      <w:r w:rsidR="00F848A1" w:rsidRPr="00362517">
        <w:t xml:space="preserve">incidents determined to be relevant to the rule, including those without enough information to determine whether the incident could be prevented, EPA concludes that </w:t>
      </w:r>
      <w:r w:rsidR="00741CC7" w:rsidRPr="00362517">
        <w:t>54</w:t>
      </w:r>
      <w:r w:rsidR="007F79AD" w:rsidRPr="00362517">
        <w:t xml:space="preserve"> </w:t>
      </w:r>
      <w:r w:rsidR="00F848A1" w:rsidRPr="00362517">
        <w:t xml:space="preserve">to </w:t>
      </w:r>
      <w:r w:rsidR="007F79AD" w:rsidRPr="00362517">
        <w:t>6</w:t>
      </w:r>
      <w:r w:rsidR="00741CC7" w:rsidRPr="00362517">
        <w:t>8</w:t>
      </w:r>
      <w:r w:rsidR="007F79AD" w:rsidRPr="00362517">
        <w:t xml:space="preserve"> </w:t>
      </w:r>
      <w:r w:rsidR="00F848A1" w:rsidRPr="00362517">
        <w:t xml:space="preserve">percent of RUP incidents would be preventable or at least possibly avoidable through the </w:t>
      </w:r>
      <w:r w:rsidR="005B710E" w:rsidRPr="00362517">
        <w:t>rule</w:t>
      </w:r>
      <w:r w:rsidR="00F848A1" w:rsidRPr="00362517">
        <w:t xml:space="preserve"> changes.  The lower estimate is based on avoiding only cases similar to those deemed preventable due to the changes, as discussed above.  The higher estimate is based on those cases, plus those deemed as possibly preventable after the changes.   </w:t>
      </w:r>
      <w:r w:rsidR="00741CC7" w:rsidRPr="00362517">
        <w:t>T</w:t>
      </w:r>
      <w:r w:rsidR="009302D4" w:rsidRPr="00362517">
        <w:t xml:space="preserve">his approach implicitly assumes that 100% of the cases similar to those classified as preventable (for the low-end estimate) or possibly preventable cases (for the high-end estimate) would be prevented by the rule changes, which corresponds to </w:t>
      </w:r>
      <w:r w:rsidR="00741CC7" w:rsidRPr="00362517">
        <w:t>54</w:t>
      </w:r>
      <w:r w:rsidR="009302D4" w:rsidRPr="00362517">
        <w:t xml:space="preserve"> – 6</w:t>
      </w:r>
      <w:r w:rsidR="00DC6A81" w:rsidRPr="00362517">
        <w:t>8</w:t>
      </w:r>
      <w:r w:rsidR="009302D4" w:rsidRPr="00362517">
        <w:t xml:space="preserve">% of cases relevant to the rule. EPA reviewed the available incidents carefully when determining preventability, and it should be noted that many incidents that were determined to be “not preventable” may have been classified otherwise if more information were available, which would tend to increase the number of prevented incidents.  If </w:t>
      </w:r>
      <w:r w:rsidR="005940D5">
        <w:t xml:space="preserve">the rule did not prevent </w:t>
      </w:r>
      <w:r w:rsidR="009302D4" w:rsidRPr="00362517">
        <w:t xml:space="preserve">some percentage of incidents </w:t>
      </w:r>
      <w:r w:rsidR="005940D5">
        <w:t>that we have classified as preventable or possibly preventable</w:t>
      </w:r>
      <w:r w:rsidR="009302D4" w:rsidRPr="00362517">
        <w:t>, then the estimates of prevented incidents and quantified benefits would be lower</w:t>
      </w:r>
      <w:r w:rsidR="00D13BBD">
        <w:t xml:space="preserve">. </w:t>
      </w:r>
      <w:r w:rsidR="00D13BBD" w:rsidRPr="00D13BBD">
        <w:t xml:space="preserve"> Although EPA was conservative in determining which incidents should be considered preventable or possibly preventable, it is possible that not all similar incidents would be prevented.  There is further discussion of the sensitivity to this assumption in Section 4.4.5.</w:t>
      </w:r>
      <w:r w:rsidR="009302D4" w:rsidRPr="00362517">
        <w:t>.</w:t>
      </w:r>
      <w:r w:rsidR="00F21D16" w:rsidRPr="00362517">
        <w:t xml:space="preserve"> </w:t>
      </w:r>
    </w:p>
    <w:p w14:paraId="326B8D39" w14:textId="77777777" w:rsidR="00F21D16" w:rsidRPr="00362517" w:rsidRDefault="00F21D16" w:rsidP="00BF6BC7">
      <w:pPr>
        <w:tabs>
          <w:tab w:val="left" w:pos="540"/>
          <w:tab w:val="left" w:pos="1080"/>
          <w:tab w:val="left" w:pos="1620"/>
          <w:tab w:val="left" w:pos="2160"/>
        </w:tabs>
      </w:pPr>
    </w:p>
    <w:p w14:paraId="5AB19C52" w14:textId="77777777" w:rsidR="00F848A1" w:rsidRPr="00362517" w:rsidRDefault="00F848A1" w:rsidP="00BF6BC7">
      <w:pPr>
        <w:tabs>
          <w:tab w:val="left" w:pos="540"/>
          <w:tab w:val="left" w:pos="1080"/>
          <w:tab w:val="left" w:pos="1620"/>
          <w:tab w:val="left" w:pos="2160"/>
        </w:tabs>
      </w:pPr>
    </w:p>
    <w:tbl>
      <w:tblPr>
        <w:tblW w:w="8805" w:type="dxa"/>
        <w:tblLook w:val="04A0" w:firstRow="1" w:lastRow="0" w:firstColumn="1" w:lastColumn="0" w:noHBand="0" w:noVBand="1"/>
      </w:tblPr>
      <w:tblGrid>
        <w:gridCol w:w="2610"/>
        <w:gridCol w:w="1523"/>
        <w:gridCol w:w="1590"/>
        <w:gridCol w:w="1649"/>
        <w:gridCol w:w="1433"/>
      </w:tblGrid>
      <w:tr w:rsidR="00362517" w:rsidRPr="00362517" w14:paraId="5AB19C54" w14:textId="77777777" w:rsidTr="0034043F">
        <w:trPr>
          <w:trHeight w:val="510"/>
        </w:trPr>
        <w:tc>
          <w:tcPr>
            <w:tcW w:w="8805" w:type="dxa"/>
            <w:gridSpan w:val="5"/>
            <w:tcBorders>
              <w:top w:val="double" w:sz="4" w:space="0" w:color="auto"/>
              <w:left w:val="double" w:sz="4" w:space="0" w:color="auto"/>
              <w:bottom w:val="double" w:sz="4" w:space="0" w:color="auto"/>
              <w:right w:val="double" w:sz="4" w:space="0" w:color="auto"/>
            </w:tcBorders>
            <w:noWrap/>
            <w:vAlign w:val="center"/>
            <w:hideMark/>
          </w:tcPr>
          <w:p w14:paraId="5AB19C53" w14:textId="77777777" w:rsidR="00F848A1" w:rsidRPr="00362517" w:rsidRDefault="00F848A1" w:rsidP="00BF6BC7">
            <w:pPr>
              <w:tabs>
                <w:tab w:val="left" w:pos="540"/>
                <w:tab w:val="left" w:pos="1080"/>
                <w:tab w:val="left" w:pos="1620"/>
                <w:tab w:val="left" w:pos="2160"/>
              </w:tabs>
              <w:rPr>
                <w:b/>
                <w:bCs/>
              </w:rPr>
            </w:pPr>
            <w:r w:rsidRPr="00362517">
              <w:rPr>
                <w:b/>
                <w:bCs/>
              </w:rPr>
              <w:t xml:space="preserve">Table 4.4-1: Estimated SENSOR-Pesticides Cases Avoided under the </w:t>
            </w:r>
            <w:r w:rsidR="005B710E" w:rsidRPr="00362517">
              <w:rPr>
                <w:b/>
                <w:bCs/>
              </w:rPr>
              <w:t>Rule</w:t>
            </w:r>
            <w:r w:rsidRPr="00362517">
              <w:rPr>
                <w:b/>
                <w:bCs/>
              </w:rPr>
              <w:t xml:space="preserve"> Changes, 2008 - 2011 </w:t>
            </w:r>
          </w:p>
        </w:tc>
      </w:tr>
      <w:tr w:rsidR="00362517" w:rsidRPr="00362517" w14:paraId="5AB19C5B" w14:textId="77777777" w:rsidTr="0034043F">
        <w:trPr>
          <w:trHeight w:val="510"/>
        </w:trPr>
        <w:tc>
          <w:tcPr>
            <w:tcW w:w="2610" w:type="dxa"/>
            <w:tcBorders>
              <w:top w:val="double" w:sz="4" w:space="0" w:color="auto"/>
              <w:left w:val="double" w:sz="4" w:space="0" w:color="auto"/>
              <w:bottom w:val="double" w:sz="4" w:space="0" w:color="auto"/>
              <w:right w:val="single" w:sz="4" w:space="0" w:color="auto"/>
            </w:tcBorders>
            <w:vAlign w:val="bottom"/>
            <w:hideMark/>
          </w:tcPr>
          <w:p w14:paraId="5AB19C55" w14:textId="77777777" w:rsidR="00F848A1" w:rsidRPr="00362517" w:rsidRDefault="00F848A1" w:rsidP="00BF6BC7">
            <w:pPr>
              <w:tabs>
                <w:tab w:val="left" w:pos="540"/>
                <w:tab w:val="left" w:pos="1080"/>
                <w:tab w:val="left" w:pos="1620"/>
                <w:tab w:val="left" w:pos="2160"/>
              </w:tabs>
              <w:jc w:val="center"/>
              <w:rPr>
                <w:b/>
                <w:bCs/>
              </w:rPr>
            </w:pPr>
            <w:r w:rsidRPr="00362517">
              <w:rPr>
                <w:b/>
                <w:bCs/>
              </w:rPr>
              <w:t xml:space="preserve">Likelihood of </w:t>
            </w:r>
            <w:r w:rsidR="005B710E" w:rsidRPr="00362517">
              <w:rPr>
                <w:b/>
                <w:bCs/>
              </w:rPr>
              <w:t>B</w:t>
            </w:r>
            <w:r w:rsidRPr="00362517">
              <w:rPr>
                <w:b/>
                <w:bCs/>
              </w:rPr>
              <w:t xml:space="preserve">eing </w:t>
            </w:r>
            <w:r w:rsidR="005B710E" w:rsidRPr="00362517">
              <w:rPr>
                <w:b/>
                <w:bCs/>
              </w:rPr>
              <w:t>A</w:t>
            </w:r>
            <w:r w:rsidRPr="00362517">
              <w:rPr>
                <w:b/>
                <w:bCs/>
              </w:rPr>
              <w:t xml:space="preserve">voided by </w:t>
            </w:r>
            <w:r w:rsidR="005B710E" w:rsidRPr="00362517">
              <w:rPr>
                <w:b/>
                <w:bCs/>
              </w:rPr>
              <w:t xml:space="preserve">the </w:t>
            </w:r>
            <w:r w:rsidRPr="00362517">
              <w:rPr>
                <w:b/>
                <w:bCs/>
              </w:rPr>
              <w:t>Rule</w:t>
            </w:r>
          </w:p>
        </w:tc>
        <w:tc>
          <w:tcPr>
            <w:tcW w:w="1523" w:type="dxa"/>
            <w:tcBorders>
              <w:top w:val="double" w:sz="4" w:space="0" w:color="auto"/>
              <w:left w:val="nil"/>
              <w:bottom w:val="double" w:sz="4" w:space="0" w:color="auto"/>
              <w:right w:val="single" w:sz="4" w:space="0" w:color="auto"/>
            </w:tcBorders>
            <w:noWrap/>
            <w:vAlign w:val="bottom"/>
            <w:hideMark/>
          </w:tcPr>
          <w:p w14:paraId="5AB19C56" w14:textId="77777777" w:rsidR="00F848A1" w:rsidRPr="00362517" w:rsidRDefault="00F848A1" w:rsidP="00BF6BC7">
            <w:pPr>
              <w:tabs>
                <w:tab w:val="left" w:pos="540"/>
                <w:tab w:val="left" w:pos="1080"/>
                <w:tab w:val="left" w:pos="1620"/>
                <w:tab w:val="left" w:pos="2160"/>
              </w:tabs>
              <w:jc w:val="center"/>
              <w:rPr>
                <w:b/>
                <w:bCs/>
              </w:rPr>
            </w:pPr>
            <w:r w:rsidRPr="00362517">
              <w:rPr>
                <w:b/>
                <w:bCs/>
              </w:rPr>
              <w:t>Number of Cases Avoided, 2008 - 2011</w:t>
            </w:r>
          </w:p>
        </w:tc>
        <w:tc>
          <w:tcPr>
            <w:tcW w:w="1590" w:type="dxa"/>
            <w:tcBorders>
              <w:top w:val="double" w:sz="4" w:space="0" w:color="auto"/>
              <w:left w:val="single" w:sz="4" w:space="0" w:color="auto"/>
              <w:bottom w:val="double" w:sz="4" w:space="0" w:color="auto"/>
              <w:right w:val="double" w:sz="4" w:space="0" w:color="auto"/>
            </w:tcBorders>
            <w:vAlign w:val="bottom"/>
            <w:hideMark/>
          </w:tcPr>
          <w:p w14:paraId="5AB19C57" w14:textId="77777777" w:rsidR="00F848A1" w:rsidRPr="00362517" w:rsidRDefault="00F848A1" w:rsidP="00BF6BC7">
            <w:pPr>
              <w:tabs>
                <w:tab w:val="left" w:pos="540"/>
                <w:tab w:val="left" w:pos="1080"/>
                <w:tab w:val="left" w:pos="1620"/>
                <w:tab w:val="left" w:pos="2160"/>
              </w:tabs>
              <w:jc w:val="center"/>
              <w:rPr>
                <w:b/>
                <w:bCs/>
              </w:rPr>
            </w:pPr>
            <w:r w:rsidRPr="00362517">
              <w:rPr>
                <w:b/>
                <w:bCs/>
              </w:rPr>
              <w:t>Percent of RUP Cases</w:t>
            </w:r>
          </w:p>
          <w:p w14:paraId="5AB19C58" w14:textId="77777777" w:rsidR="00F848A1" w:rsidRPr="00362517" w:rsidRDefault="00F848A1" w:rsidP="00BF6BC7">
            <w:pPr>
              <w:tabs>
                <w:tab w:val="left" w:pos="540"/>
                <w:tab w:val="left" w:pos="1080"/>
                <w:tab w:val="left" w:pos="1620"/>
                <w:tab w:val="left" w:pos="2160"/>
              </w:tabs>
              <w:jc w:val="center"/>
              <w:rPr>
                <w:b/>
                <w:bCs/>
              </w:rPr>
            </w:pPr>
            <w:r w:rsidRPr="00362517">
              <w:rPr>
                <w:b/>
                <w:bCs/>
              </w:rPr>
              <w:t>(397 Cases)</w:t>
            </w:r>
          </w:p>
        </w:tc>
        <w:tc>
          <w:tcPr>
            <w:tcW w:w="1649" w:type="dxa"/>
            <w:tcBorders>
              <w:top w:val="double" w:sz="4" w:space="0" w:color="auto"/>
              <w:left w:val="single" w:sz="4" w:space="0" w:color="auto"/>
              <w:bottom w:val="double" w:sz="4" w:space="0" w:color="auto"/>
              <w:right w:val="single" w:sz="4" w:space="0" w:color="auto"/>
            </w:tcBorders>
            <w:vAlign w:val="bottom"/>
          </w:tcPr>
          <w:p w14:paraId="5AB19C59" w14:textId="77777777" w:rsidR="00F848A1" w:rsidRPr="00362517" w:rsidRDefault="00F848A1" w:rsidP="00BF6BC7">
            <w:pPr>
              <w:tabs>
                <w:tab w:val="left" w:pos="540"/>
                <w:tab w:val="left" w:pos="1080"/>
                <w:tab w:val="left" w:pos="1620"/>
                <w:tab w:val="left" w:pos="2160"/>
              </w:tabs>
              <w:jc w:val="center"/>
              <w:rPr>
                <w:b/>
                <w:bCs/>
              </w:rPr>
            </w:pPr>
            <w:r w:rsidRPr="00362517">
              <w:rPr>
                <w:b/>
                <w:bCs/>
              </w:rPr>
              <w:t>Annual Avoidable Incident rate per 1,000 certified applicators</w:t>
            </w:r>
          </w:p>
        </w:tc>
        <w:tc>
          <w:tcPr>
            <w:tcW w:w="1433" w:type="dxa"/>
            <w:tcBorders>
              <w:top w:val="double" w:sz="4" w:space="0" w:color="auto"/>
              <w:left w:val="single" w:sz="4" w:space="0" w:color="auto"/>
              <w:bottom w:val="double" w:sz="4" w:space="0" w:color="auto"/>
              <w:right w:val="double" w:sz="4" w:space="0" w:color="auto"/>
            </w:tcBorders>
            <w:vAlign w:val="bottom"/>
          </w:tcPr>
          <w:p w14:paraId="5AB19C5A" w14:textId="77777777" w:rsidR="00F848A1" w:rsidRPr="00362517" w:rsidRDefault="00F848A1" w:rsidP="00BF6BC7">
            <w:pPr>
              <w:tabs>
                <w:tab w:val="left" w:pos="540"/>
                <w:tab w:val="left" w:pos="1080"/>
                <w:tab w:val="left" w:pos="1620"/>
                <w:tab w:val="left" w:pos="2160"/>
              </w:tabs>
              <w:jc w:val="center"/>
              <w:rPr>
                <w:b/>
                <w:bCs/>
              </w:rPr>
            </w:pPr>
            <w:r w:rsidRPr="00362517">
              <w:rPr>
                <w:b/>
                <w:bCs/>
              </w:rPr>
              <w:t>National Estimate of RUP Cases Avoided Annually</w:t>
            </w:r>
          </w:p>
        </w:tc>
      </w:tr>
      <w:tr w:rsidR="00362517" w:rsidRPr="00362517" w14:paraId="5AB19C61" w14:textId="77777777" w:rsidTr="007F79AD">
        <w:trPr>
          <w:trHeight w:val="339"/>
        </w:trPr>
        <w:tc>
          <w:tcPr>
            <w:tcW w:w="2610" w:type="dxa"/>
            <w:tcBorders>
              <w:top w:val="double" w:sz="4" w:space="0" w:color="auto"/>
              <w:left w:val="double" w:sz="4" w:space="0" w:color="auto"/>
              <w:bottom w:val="single" w:sz="4" w:space="0" w:color="auto"/>
              <w:right w:val="single" w:sz="4" w:space="0" w:color="auto"/>
            </w:tcBorders>
            <w:noWrap/>
            <w:vAlign w:val="center"/>
            <w:hideMark/>
          </w:tcPr>
          <w:p w14:paraId="5AB19C5C" w14:textId="77777777" w:rsidR="00F848A1" w:rsidRPr="00362517" w:rsidRDefault="00F848A1" w:rsidP="00BF6BC7">
            <w:pPr>
              <w:tabs>
                <w:tab w:val="left" w:pos="540"/>
                <w:tab w:val="left" w:pos="1080"/>
                <w:tab w:val="left" w:pos="1620"/>
                <w:tab w:val="left" w:pos="2160"/>
              </w:tabs>
            </w:pPr>
            <w:r w:rsidRPr="00362517">
              <w:t>Preventable</w:t>
            </w:r>
          </w:p>
        </w:tc>
        <w:tc>
          <w:tcPr>
            <w:tcW w:w="1523" w:type="dxa"/>
            <w:tcBorders>
              <w:top w:val="double" w:sz="4" w:space="0" w:color="auto"/>
              <w:left w:val="nil"/>
              <w:bottom w:val="single" w:sz="4" w:space="0" w:color="auto"/>
              <w:right w:val="single" w:sz="4" w:space="0" w:color="auto"/>
            </w:tcBorders>
            <w:noWrap/>
            <w:vAlign w:val="center"/>
            <w:hideMark/>
          </w:tcPr>
          <w:p w14:paraId="5AB19C5D" w14:textId="55897AB2" w:rsidR="00F848A1" w:rsidRPr="00362517" w:rsidRDefault="007F79AD" w:rsidP="00BF6BC7">
            <w:pPr>
              <w:tabs>
                <w:tab w:val="left" w:pos="540"/>
                <w:tab w:val="left" w:pos="1080"/>
                <w:tab w:val="left" w:pos="1620"/>
                <w:tab w:val="left" w:pos="2160"/>
              </w:tabs>
              <w:jc w:val="center"/>
            </w:pPr>
            <w:r w:rsidRPr="00362517">
              <w:t>196</w:t>
            </w:r>
          </w:p>
        </w:tc>
        <w:tc>
          <w:tcPr>
            <w:tcW w:w="1590" w:type="dxa"/>
            <w:tcBorders>
              <w:top w:val="double" w:sz="4" w:space="0" w:color="auto"/>
              <w:left w:val="single" w:sz="4" w:space="0" w:color="auto"/>
              <w:bottom w:val="single" w:sz="4" w:space="0" w:color="auto"/>
              <w:right w:val="double" w:sz="4" w:space="0" w:color="auto"/>
            </w:tcBorders>
            <w:vAlign w:val="center"/>
            <w:hideMark/>
          </w:tcPr>
          <w:p w14:paraId="5AB19C5E" w14:textId="033D6BBB" w:rsidR="00F848A1" w:rsidRPr="00362517" w:rsidRDefault="00DD6627" w:rsidP="00BF6BC7">
            <w:pPr>
              <w:tabs>
                <w:tab w:val="left" w:pos="540"/>
                <w:tab w:val="left" w:pos="1080"/>
                <w:tab w:val="left" w:pos="1620"/>
                <w:tab w:val="left" w:pos="2160"/>
              </w:tabs>
              <w:jc w:val="center"/>
            </w:pPr>
            <w:r w:rsidRPr="00362517">
              <w:t>54</w:t>
            </w:r>
            <w:r w:rsidR="00F848A1" w:rsidRPr="00362517">
              <w:t>%</w:t>
            </w:r>
          </w:p>
        </w:tc>
        <w:tc>
          <w:tcPr>
            <w:tcW w:w="1649" w:type="dxa"/>
            <w:tcBorders>
              <w:top w:val="double" w:sz="4" w:space="0" w:color="auto"/>
              <w:left w:val="single" w:sz="4" w:space="0" w:color="auto"/>
              <w:bottom w:val="single" w:sz="4" w:space="0" w:color="auto"/>
              <w:right w:val="single" w:sz="4" w:space="0" w:color="auto"/>
            </w:tcBorders>
            <w:vAlign w:val="center"/>
          </w:tcPr>
          <w:p w14:paraId="5AB19C5F" w14:textId="665A964F" w:rsidR="00F848A1" w:rsidRPr="00362517" w:rsidRDefault="00F848A1" w:rsidP="00BF6BC7">
            <w:pPr>
              <w:tabs>
                <w:tab w:val="left" w:pos="540"/>
                <w:tab w:val="left" w:pos="1080"/>
                <w:tab w:val="left" w:pos="1620"/>
                <w:tab w:val="left" w:pos="2160"/>
              </w:tabs>
              <w:jc w:val="center"/>
            </w:pPr>
            <w:r w:rsidRPr="00362517">
              <w:t>0.</w:t>
            </w:r>
            <w:r w:rsidR="007F79AD" w:rsidRPr="00362517">
              <w:t>173</w:t>
            </w:r>
          </w:p>
        </w:tc>
        <w:tc>
          <w:tcPr>
            <w:tcW w:w="1433" w:type="dxa"/>
            <w:tcBorders>
              <w:top w:val="double" w:sz="4" w:space="0" w:color="auto"/>
              <w:left w:val="single" w:sz="4" w:space="0" w:color="auto"/>
              <w:bottom w:val="single" w:sz="4" w:space="0" w:color="auto"/>
              <w:right w:val="double" w:sz="4" w:space="0" w:color="auto"/>
            </w:tcBorders>
            <w:vAlign w:val="center"/>
          </w:tcPr>
          <w:p w14:paraId="5AB19C60" w14:textId="4EA8F045" w:rsidR="00F848A1" w:rsidRPr="00362517" w:rsidRDefault="00F848A1" w:rsidP="00BF6BC7">
            <w:pPr>
              <w:tabs>
                <w:tab w:val="left" w:pos="540"/>
                <w:tab w:val="left" w:pos="1080"/>
                <w:tab w:val="left" w:pos="1620"/>
                <w:tab w:val="left" w:pos="2160"/>
              </w:tabs>
              <w:jc w:val="center"/>
            </w:pPr>
            <w:r w:rsidRPr="00362517">
              <w:t>1</w:t>
            </w:r>
            <w:r w:rsidR="007F79AD" w:rsidRPr="00362517">
              <w:t>5</w:t>
            </w:r>
            <w:r w:rsidRPr="00362517">
              <w:t>6.</w:t>
            </w:r>
            <w:r w:rsidR="00DD6627" w:rsidRPr="00362517">
              <w:t>5</w:t>
            </w:r>
          </w:p>
        </w:tc>
      </w:tr>
      <w:tr w:rsidR="00362517" w:rsidRPr="00362517" w14:paraId="5AB19C67" w14:textId="77777777" w:rsidTr="0034043F">
        <w:trPr>
          <w:trHeight w:val="255"/>
        </w:trPr>
        <w:tc>
          <w:tcPr>
            <w:tcW w:w="2610" w:type="dxa"/>
            <w:tcBorders>
              <w:top w:val="single" w:sz="4" w:space="0" w:color="auto"/>
              <w:left w:val="double" w:sz="4" w:space="0" w:color="auto"/>
              <w:bottom w:val="single" w:sz="4" w:space="0" w:color="auto"/>
              <w:right w:val="single" w:sz="4" w:space="0" w:color="auto"/>
            </w:tcBorders>
            <w:noWrap/>
            <w:vAlign w:val="center"/>
            <w:hideMark/>
          </w:tcPr>
          <w:p w14:paraId="5AB19C62" w14:textId="77777777" w:rsidR="00F848A1" w:rsidRPr="00362517" w:rsidRDefault="00F848A1" w:rsidP="00BF6BC7">
            <w:pPr>
              <w:tabs>
                <w:tab w:val="left" w:pos="540"/>
                <w:tab w:val="left" w:pos="1080"/>
                <w:tab w:val="left" w:pos="1620"/>
                <w:tab w:val="left" w:pos="2160"/>
              </w:tabs>
            </w:pPr>
            <w:r w:rsidRPr="00362517">
              <w:t>Possibly Preventable</w:t>
            </w:r>
          </w:p>
        </w:tc>
        <w:tc>
          <w:tcPr>
            <w:tcW w:w="1523" w:type="dxa"/>
            <w:tcBorders>
              <w:top w:val="single" w:sz="4" w:space="0" w:color="auto"/>
              <w:left w:val="nil"/>
              <w:bottom w:val="single" w:sz="4" w:space="0" w:color="auto"/>
              <w:right w:val="single" w:sz="4" w:space="0" w:color="auto"/>
            </w:tcBorders>
            <w:noWrap/>
            <w:vAlign w:val="center"/>
            <w:hideMark/>
          </w:tcPr>
          <w:p w14:paraId="5AB19C63" w14:textId="42166986" w:rsidR="00F848A1" w:rsidRPr="00362517" w:rsidRDefault="007F79AD" w:rsidP="00BF6BC7">
            <w:pPr>
              <w:tabs>
                <w:tab w:val="left" w:pos="540"/>
                <w:tab w:val="left" w:pos="1080"/>
                <w:tab w:val="left" w:pos="1620"/>
                <w:tab w:val="left" w:pos="2160"/>
              </w:tabs>
              <w:jc w:val="center"/>
            </w:pPr>
            <w:r w:rsidRPr="00362517">
              <w:t>51</w:t>
            </w:r>
          </w:p>
        </w:tc>
        <w:tc>
          <w:tcPr>
            <w:tcW w:w="1590" w:type="dxa"/>
            <w:tcBorders>
              <w:top w:val="single" w:sz="4" w:space="0" w:color="auto"/>
              <w:left w:val="single" w:sz="4" w:space="0" w:color="auto"/>
              <w:bottom w:val="single" w:sz="4" w:space="0" w:color="auto"/>
              <w:right w:val="double" w:sz="4" w:space="0" w:color="auto"/>
            </w:tcBorders>
            <w:vAlign w:val="center"/>
            <w:hideMark/>
          </w:tcPr>
          <w:p w14:paraId="5AB19C64" w14:textId="1DAB7C75" w:rsidR="00F848A1" w:rsidRPr="00362517" w:rsidRDefault="007F79AD" w:rsidP="00BF6BC7">
            <w:pPr>
              <w:tabs>
                <w:tab w:val="left" w:pos="540"/>
                <w:tab w:val="left" w:pos="1080"/>
                <w:tab w:val="left" w:pos="1620"/>
                <w:tab w:val="left" w:pos="2160"/>
              </w:tabs>
              <w:jc w:val="center"/>
            </w:pPr>
            <w:r w:rsidRPr="00362517">
              <w:t>1</w:t>
            </w:r>
            <w:r w:rsidR="00DD6627" w:rsidRPr="00362517">
              <w:t>4</w:t>
            </w:r>
            <w:r w:rsidR="00F848A1" w:rsidRPr="00362517">
              <w:t>%</w:t>
            </w:r>
          </w:p>
        </w:tc>
        <w:tc>
          <w:tcPr>
            <w:tcW w:w="1649" w:type="dxa"/>
            <w:tcBorders>
              <w:top w:val="single" w:sz="4" w:space="0" w:color="auto"/>
              <w:left w:val="single" w:sz="4" w:space="0" w:color="auto"/>
              <w:bottom w:val="single" w:sz="4" w:space="0" w:color="auto"/>
              <w:right w:val="single" w:sz="4" w:space="0" w:color="auto"/>
            </w:tcBorders>
            <w:vAlign w:val="center"/>
          </w:tcPr>
          <w:p w14:paraId="5AB19C65" w14:textId="60D78389" w:rsidR="00F848A1" w:rsidRPr="00362517" w:rsidRDefault="00F848A1" w:rsidP="00BF6BC7">
            <w:pPr>
              <w:tabs>
                <w:tab w:val="left" w:pos="540"/>
                <w:tab w:val="left" w:pos="1080"/>
                <w:tab w:val="left" w:pos="1620"/>
                <w:tab w:val="left" w:pos="2160"/>
              </w:tabs>
              <w:jc w:val="center"/>
            </w:pPr>
            <w:r w:rsidRPr="00362517">
              <w:t>0.</w:t>
            </w:r>
            <w:r w:rsidR="007F79AD" w:rsidRPr="00362517">
              <w:t>045</w:t>
            </w:r>
          </w:p>
        </w:tc>
        <w:tc>
          <w:tcPr>
            <w:tcW w:w="1433" w:type="dxa"/>
            <w:tcBorders>
              <w:top w:val="single" w:sz="4" w:space="0" w:color="auto"/>
              <w:left w:val="single" w:sz="4" w:space="0" w:color="auto"/>
              <w:bottom w:val="single" w:sz="4" w:space="0" w:color="auto"/>
              <w:right w:val="double" w:sz="4" w:space="0" w:color="auto"/>
            </w:tcBorders>
            <w:vAlign w:val="center"/>
          </w:tcPr>
          <w:p w14:paraId="5AB19C66" w14:textId="519950AA" w:rsidR="00F848A1" w:rsidRPr="00362517" w:rsidRDefault="007F79AD" w:rsidP="00BF6BC7">
            <w:pPr>
              <w:tabs>
                <w:tab w:val="left" w:pos="540"/>
                <w:tab w:val="left" w:pos="1080"/>
                <w:tab w:val="left" w:pos="1620"/>
                <w:tab w:val="left" w:pos="2160"/>
                <w:tab w:val="left" w:pos="4508"/>
              </w:tabs>
              <w:jc w:val="center"/>
            </w:pPr>
            <w:r w:rsidRPr="00362517">
              <w:t>40.7</w:t>
            </w:r>
          </w:p>
        </w:tc>
      </w:tr>
      <w:tr w:rsidR="00362517" w:rsidRPr="00362517" w14:paraId="5AB19C6D" w14:textId="77777777" w:rsidTr="0034043F">
        <w:trPr>
          <w:trHeight w:val="255"/>
        </w:trPr>
        <w:tc>
          <w:tcPr>
            <w:tcW w:w="2610" w:type="dxa"/>
            <w:tcBorders>
              <w:top w:val="single" w:sz="4" w:space="0" w:color="auto"/>
              <w:left w:val="double" w:sz="4" w:space="0" w:color="auto"/>
              <w:bottom w:val="double" w:sz="4" w:space="0" w:color="auto"/>
              <w:right w:val="single" w:sz="4" w:space="0" w:color="auto"/>
            </w:tcBorders>
            <w:noWrap/>
            <w:vAlign w:val="center"/>
            <w:hideMark/>
          </w:tcPr>
          <w:p w14:paraId="5AB19C68" w14:textId="77777777" w:rsidR="00F848A1" w:rsidRPr="00362517" w:rsidRDefault="00F848A1" w:rsidP="00BF6BC7">
            <w:pPr>
              <w:tabs>
                <w:tab w:val="left" w:pos="540"/>
                <w:tab w:val="left" w:pos="1080"/>
                <w:tab w:val="left" w:pos="1620"/>
                <w:tab w:val="left" w:pos="2160"/>
              </w:tabs>
            </w:pPr>
            <w:r w:rsidRPr="00362517">
              <w:t>Both Preventable and Possibly Preventable</w:t>
            </w:r>
          </w:p>
        </w:tc>
        <w:tc>
          <w:tcPr>
            <w:tcW w:w="1523" w:type="dxa"/>
            <w:tcBorders>
              <w:top w:val="single" w:sz="4" w:space="0" w:color="auto"/>
              <w:left w:val="nil"/>
              <w:bottom w:val="single" w:sz="4" w:space="0" w:color="auto"/>
              <w:right w:val="single" w:sz="4" w:space="0" w:color="auto"/>
            </w:tcBorders>
            <w:noWrap/>
            <w:vAlign w:val="center"/>
            <w:hideMark/>
          </w:tcPr>
          <w:p w14:paraId="5AB19C69" w14:textId="01B86699" w:rsidR="00F848A1" w:rsidRPr="00362517" w:rsidRDefault="007F79AD" w:rsidP="00BF6BC7">
            <w:pPr>
              <w:tabs>
                <w:tab w:val="left" w:pos="540"/>
                <w:tab w:val="left" w:pos="1080"/>
                <w:tab w:val="left" w:pos="1620"/>
                <w:tab w:val="left" w:pos="2160"/>
              </w:tabs>
              <w:jc w:val="center"/>
            </w:pPr>
            <w:r w:rsidRPr="00362517">
              <w:t>247</w:t>
            </w:r>
          </w:p>
        </w:tc>
        <w:tc>
          <w:tcPr>
            <w:tcW w:w="1590" w:type="dxa"/>
            <w:tcBorders>
              <w:top w:val="single" w:sz="4" w:space="0" w:color="auto"/>
              <w:left w:val="single" w:sz="4" w:space="0" w:color="auto"/>
              <w:bottom w:val="single" w:sz="4" w:space="0" w:color="auto"/>
              <w:right w:val="double" w:sz="4" w:space="0" w:color="auto"/>
            </w:tcBorders>
            <w:vAlign w:val="center"/>
            <w:hideMark/>
          </w:tcPr>
          <w:p w14:paraId="5AB19C6A" w14:textId="584A40A1" w:rsidR="00F848A1" w:rsidRPr="00362517" w:rsidRDefault="007F79AD" w:rsidP="00BF6BC7">
            <w:pPr>
              <w:tabs>
                <w:tab w:val="left" w:pos="540"/>
                <w:tab w:val="left" w:pos="1080"/>
                <w:tab w:val="left" w:pos="1620"/>
                <w:tab w:val="left" w:pos="2160"/>
              </w:tabs>
              <w:jc w:val="center"/>
            </w:pPr>
            <w:r w:rsidRPr="00362517">
              <w:t>6</w:t>
            </w:r>
            <w:r w:rsidR="00DD6627" w:rsidRPr="00362517">
              <w:t>8</w:t>
            </w:r>
            <w:r w:rsidR="00F848A1" w:rsidRPr="00362517">
              <w:t>%</w:t>
            </w:r>
          </w:p>
        </w:tc>
        <w:tc>
          <w:tcPr>
            <w:tcW w:w="1649" w:type="dxa"/>
            <w:tcBorders>
              <w:top w:val="single" w:sz="4" w:space="0" w:color="auto"/>
              <w:left w:val="single" w:sz="4" w:space="0" w:color="auto"/>
              <w:bottom w:val="single" w:sz="4" w:space="0" w:color="auto"/>
              <w:right w:val="single" w:sz="4" w:space="0" w:color="auto"/>
            </w:tcBorders>
            <w:vAlign w:val="center"/>
          </w:tcPr>
          <w:p w14:paraId="5AB19C6B" w14:textId="5C244CAA" w:rsidR="00F848A1" w:rsidRPr="00362517" w:rsidRDefault="00F848A1" w:rsidP="00BF6BC7">
            <w:pPr>
              <w:tabs>
                <w:tab w:val="left" w:pos="540"/>
                <w:tab w:val="left" w:pos="1080"/>
                <w:tab w:val="left" w:pos="1620"/>
                <w:tab w:val="left" w:pos="2160"/>
              </w:tabs>
              <w:jc w:val="center"/>
            </w:pPr>
            <w:r w:rsidRPr="00362517">
              <w:t>0.</w:t>
            </w:r>
            <w:r w:rsidR="007F79AD" w:rsidRPr="00362517">
              <w:t>.218</w:t>
            </w:r>
          </w:p>
        </w:tc>
        <w:tc>
          <w:tcPr>
            <w:tcW w:w="1433" w:type="dxa"/>
            <w:tcBorders>
              <w:top w:val="single" w:sz="4" w:space="0" w:color="auto"/>
              <w:left w:val="single" w:sz="4" w:space="0" w:color="auto"/>
              <w:bottom w:val="single" w:sz="4" w:space="0" w:color="auto"/>
              <w:right w:val="double" w:sz="4" w:space="0" w:color="auto"/>
            </w:tcBorders>
            <w:vAlign w:val="center"/>
          </w:tcPr>
          <w:p w14:paraId="5AB19C6C" w14:textId="5F61A3D7" w:rsidR="00F848A1" w:rsidRPr="00362517" w:rsidRDefault="007F79AD" w:rsidP="00BF6BC7">
            <w:pPr>
              <w:tabs>
                <w:tab w:val="left" w:pos="540"/>
                <w:tab w:val="left" w:pos="1080"/>
                <w:tab w:val="left" w:pos="1620"/>
                <w:tab w:val="left" w:pos="2160"/>
              </w:tabs>
              <w:jc w:val="center"/>
            </w:pPr>
            <w:r w:rsidRPr="00362517">
              <w:t>19</w:t>
            </w:r>
            <w:r w:rsidR="00DD6627" w:rsidRPr="00362517">
              <w:t>7</w:t>
            </w:r>
            <w:r w:rsidR="00F848A1" w:rsidRPr="00362517">
              <w:t>.</w:t>
            </w:r>
            <w:r w:rsidR="00DD6627" w:rsidRPr="00362517">
              <w:t>2</w:t>
            </w:r>
          </w:p>
        </w:tc>
      </w:tr>
      <w:tr w:rsidR="00F848A1" w:rsidRPr="00362517" w14:paraId="5AB19C70" w14:textId="77777777" w:rsidTr="0034043F">
        <w:trPr>
          <w:trHeight w:val="255"/>
        </w:trPr>
        <w:tc>
          <w:tcPr>
            <w:tcW w:w="8805" w:type="dxa"/>
            <w:gridSpan w:val="5"/>
            <w:tcBorders>
              <w:top w:val="double" w:sz="4" w:space="0" w:color="auto"/>
              <w:left w:val="double" w:sz="4" w:space="0" w:color="auto"/>
              <w:bottom w:val="double" w:sz="4" w:space="0" w:color="auto"/>
              <w:right w:val="double" w:sz="4" w:space="0" w:color="auto"/>
            </w:tcBorders>
            <w:noWrap/>
            <w:vAlign w:val="bottom"/>
            <w:hideMark/>
          </w:tcPr>
          <w:p w14:paraId="5AB19C6E" w14:textId="40EB1F87" w:rsidR="00F848A1" w:rsidRPr="00362517" w:rsidRDefault="00F848A1" w:rsidP="00BF6BC7">
            <w:pPr>
              <w:tabs>
                <w:tab w:val="left" w:pos="540"/>
                <w:tab w:val="left" w:pos="1080"/>
                <w:tab w:val="left" w:pos="1620"/>
                <w:tab w:val="left" w:pos="2160"/>
              </w:tabs>
              <w:rPr>
                <w:sz w:val="20"/>
                <w:szCs w:val="20"/>
              </w:rPr>
            </w:pPr>
            <w:r w:rsidRPr="00362517">
              <w:rPr>
                <w:sz w:val="20"/>
                <w:szCs w:val="20"/>
              </w:rPr>
              <w:t xml:space="preserve">Source:  EPA estimates from SENSOR-Pesticides data.  The incident rates are based on </w:t>
            </w:r>
            <w:r w:rsidR="00D444BD" w:rsidRPr="00362517">
              <w:rPr>
                <w:sz w:val="20"/>
                <w:szCs w:val="20"/>
              </w:rPr>
              <w:t xml:space="preserve">the estimate </w:t>
            </w:r>
            <w:r w:rsidRPr="00362517">
              <w:rPr>
                <w:sz w:val="20"/>
                <w:szCs w:val="20"/>
              </w:rPr>
              <w:t xml:space="preserve">of 283,036 certified applicators in the SENSOR-Pesticides states </w:t>
            </w:r>
            <w:r w:rsidR="00D444BD" w:rsidRPr="00362517">
              <w:rPr>
                <w:sz w:val="20"/>
                <w:szCs w:val="20"/>
              </w:rPr>
              <w:t xml:space="preserve">and </w:t>
            </w:r>
            <w:r w:rsidR="00DD6627" w:rsidRPr="00362517">
              <w:rPr>
                <w:sz w:val="20"/>
                <w:szCs w:val="20"/>
              </w:rPr>
              <w:t>903</w:t>
            </w:r>
            <w:r w:rsidRPr="00362517">
              <w:rPr>
                <w:sz w:val="20"/>
                <w:szCs w:val="20"/>
              </w:rPr>
              <w:t>,</w:t>
            </w:r>
            <w:r w:rsidR="00DD6627" w:rsidRPr="00362517">
              <w:rPr>
                <w:sz w:val="20"/>
                <w:szCs w:val="20"/>
              </w:rPr>
              <w:t xml:space="preserve">726 </w:t>
            </w:r>
            <w:r w:rsidRPr="00362517">
              <w:rPr>
                <w:sz w:val="20"/>
                <w:szCs w:val="20"/>
              </w:rPr>
              <w:t xml:space="preserve">certified applicators </w:t>
            </w:r>
            <w:r w:rsidR="00D444BD" w:rsidRPr="00362517">
              <w:rPr>
                <w:sz w:val="20"/>
                <w:szCs w:val="20"/>
              </w:rPr>
              <w:t xml:space="preserve">nationally </w:t>
            </w:r>
            <w:r w:rsidRPr="00362517">
              <w:rPr>
                <w:sz w:val="20"/>
                <w:szCs w:val="20"/>
              </w:rPr>
              <w:t>(</w:t>
            </w:r>
            <w:r w:rsidR="00D444BD" w:rsidRPr="00362517">
              <w:rPr>
                <w:sz w:val="20"/>
                <w:szCs w:val="20"/>
              </w:rPr>
              <w:t>s</w:t>
            </w:r>
            <w:r w:rsidRPr="00362517">
              <w:rPr>
                <w:sz w:val="20"/>
                <w:szCs w:val="20"/>
              </w:rPr>
              <w:t xml:space="preserve">ee Tables 3.3-1 and 3.3-5).  </w:t>
            </w:r>
          </w:p>
          <w:p w14:paraId="5AB19C6F" w14:textId="77777777" w:rsidR="00F848A1" w:rsidRPr="00362517" w:rsidRDefault="00F848A1" w:rsidP="00BF6BC7">
            <w:pPr>
              <w:tabs>
                <w:tab w:val="left" w:pos="540"/>
                <w:tab w:val="left" w:pos="1080"/>
                <w:tab w:val="left" w:pos="1620"/>
                <w:tab w:val="left" w:pos="2160"/>
              </w:tabs>
              <w:rPr>
                <w:sz w:val="20"/>
                <w:szCs w:val="20"/>
              </w:rPr>
            </w:pPr>
            <w:r w:rsidRPr="00362517">
              <w:rPr>
                <w:sz w:val="20"/>
                <w:szCs w:val="20"/>
              </w:rPr>
              <w:t>Note:  The number of cases avoided is based on four years of information, while the final column is an annual estimate.</w:t>
            </w:r>
          </w:p>
        </w:tc>
      </w:tr>
    </w:tbl>
    <w:p w14:paraId="5AB19C71" w14:textId="77777777" w:rsidR="00F848A1" w:rsidRPr="00362517" w:rsidRDefault="00F848A1" w:rsidP="00BF6BC7">
      <w:pPr>
        <w:tabs>
          <w:tab w:val="left" w:pos="540"/>
          <w:tab w:val="left" w:pos="1080"/>
          <w:tab w:val="left" w:pos="1620"/>
          <w:tab w:val="left" w:pos="2160"/>
        </w:tabs>
      </w:pPr>
    </w:p>
    <w:p w14:paraId="5AB19C72" w14:textId="5FBF5C09" w:rsidR="00F848A1" w:rsidRPr="00362517" w:rsidRDefault="00F848A1" w:rsidP="00BF6BC7">
      <w:pPr>
        <w:tabs>
          <w:tab w:val="left" w:pos="540"/>
          <w:tab w:val="left" w:pos="1080"/>
          <w:tab w:val="left" w:pos="1620"/>
          <w:tab w:val="left" w:pos="2160"/>
        </w:tabs>
      </w:pPr>
      <w:r w:rsidRPr="00362517">
        <w:t xml:space="preserve">EPA identified </w:t>
      </w:r>
      <w:r w:rsidR="007F79AD" w:rsidRPr="00362517">
        <w:t xml:space="preserve">196 </w:t>
      </w:r>
      <w:r w:rsidRPr="00362517">
        <w:t xml:space="preserve">to </w:t>
      </w:r>
      <w:r w:rsidR="007F79AD" w:rsidRPr="00362517">
        <w:t xml:space="preserve">247 </w:t>
      </w:r>
      <w:r w:rsidRPr="00362517">
        <w:t>avoidable incidents over a four</w:t>
      </w:r>
      <w:r w:rsidR="005371B7">
        <w:t>-</w:t>
      </w:r>
      <w:r w:rsidRPr="00362517">
        <w:t xml:space="preserve">year period, or about </w:t>
      </w:r>
      <w:r w:rsidR="00DD6627" w:rsidRPr="00362517">
        <w:t xml:space="preserve">49 </w:t>
      </w:r>
      <w:r w:rsidRPr="00362517">
        <w:t xml:space="preserve">to </w:t>
      </w:r>
      <w:r w:rsidR="00DD6627" w:rsidRPr="00362517">
        <w:t xml:space="preserve">62 </w:t>
      </w:r>
      <w:r w:rsidRPr="00362517">
        <w:t>incidents per year, in the states reporting to SENSOR</w:t>
      </w:r>
      <w:r w:rsidR="001476CE" w:rsidRPr="00362517">
        <w:t>-Pesticides</w:t>
      </w:r>
      <w:r w:rsidRPr="00362517">
        <w:t xml:space="preserve">.  To estimate the annual national number of pesticide incidents avoided by this rule, we need to scale the data from the SENSOR-Pesticides states that reported RUP incidents to the national level.  If we let </w:t>
      </w:r>
      <w:r w:rsidRPr="00362517">
        <w:rPr>
          <w:i/>
        </w:rPr>
        <w:t>PI</w:t>
      </w:r>
      <w:r w:rsidRPr="00362517">
        <w:rPr>
          <w:i/>
          <w:vertAlign w:val="subscript"/>
        </w:rPr>
        <w:t>s,l</w:t>
      </w:r>
      <w:r w:rsidRPr="00362517">
        <w:t xml:space="preserve"> be the number of preventable incidents in the SENSOR-Pesticides states (</w:t>
      </w:r>
      <w:r w:rsidRPr="00362517">
        <w:rPr>
          <w:i/>
        </w:rPr>
        <w:t>s</w:t>
      </w:r>
      <w:r w:rsidRPr="00362517">
        <w:t>) for each likelihood (</w:t>
      </w:r>
      <w:r w:rsidRPr="00362517">
        <w:rPr>
          <w:i/>
        </w:rPr>
        <w:t>l</w:t>
      </w:r>
      <w:r w:rsidRPr="00362517">
        <w:t xml:space="preserve"> = preventable, possible, both), and </w:t>
      </w:r>
      <w:r w:rsidRPr="00362517">
        <w:rPr>
          <w:i/>
        </w:rPr>
        <w:t>APP</w:t>
      </w:r>
      <w:r w:rsidRPr="00362517">
        <w:rPr>
          <w:i/>
          <w:vertAlign w:val="subscript"/>
        </w:rPr>
        <w:t>s</w:t>
      </w:r>
      <w:r w:rsidRPr="00362517">
        <w:t xml:space="preserve"> be the number of certified applicators in the SENSOR-Pesticides states, then we can define </w:t>
      </w:r>
      <w:r w:rsidRPr="00362517">
        <w:rPr>
          <w:i/>
        </w:rPr>
        <w:t>RP</w:t>
      </w:r>
      <w:r w:rsidRPr="00362517">
        <w:rPr>
          <w:i/>
          <w:vertAlign w:val="subscript"/>
        </w:rPr>
        <w:t>s,l</w:t>
      </w:r>
      <w:r w:rsidRPr="00362517">
        <w:rPr>
          <w:i/>
        </w:rPr>
        <w:t xml:space="preserve"> = PI</w:t>
      </w:r>
      <w:r w:rsidRPr="00362517">
        <w:rPr>
          <w:i/>
          <w:vertAlign w:val="subscript"/>
        </w:rPr>
        <w:t>s,l</w:t>
      </w:r>
      <w:r w:rsidRPr="00362517">
        <w:rPr>
          <w:i/>
        </w:rPr>
        <w:t>/APP</w:t>
      </w:r>
      <w:r w:rsidRPr="00362517">
        <w:rPr>
          <w:i/>
          <w:vertAlign w:val="subscript"/>
        </w:rPr>
        <w:t>s</w:t>
      </w:r>
      <w:r w:rsidRPr="00362517">
        <w:t xml:space="preserve">, which will be an estimate of the number of incidents per certified applicator in SENSOR-Pesticide states for each level of likelihood for the incident being avoided.  We assume that the rate of preventable incidents per applicator nationally, </w:t>
      </w:r>
      <w:r w:rsidRPr="00362517">
        <w:rPr>
          <w:i/>
        </w:rPr>
        <w:t>RP</w:t>
      </w:r>
      <w:r w:rsidRPr="00362517">
        <w:rPr>
          <w:i/>
          <w:vertAlign w:val="subscript"/>
        </w:rPr>
        <w:t>n,l</w:t>
      </w:r>
      <w:r w:rsidRPr="00362517">
        <w:t xml:space="preserve">, is equal to </w:t>
      </w:r>
      <w:r w:rsidRPr="00362517">
        <w:rPr>
          <w:i/>
        </w:rPr>
        <w:t>RP</w:t>
      </w:r>
      <w:r w:rsidRPr="00362517">
        <w:rPr>
          <w:i/>
          <w:vertAlign w:val="subscript"/>
        </w:rPr>
        <w:t>s,l</w:t>
      </w:r>
      <w:r w:rsidRPr="00362517">
        <w:t xml:space="preserve">.  Therefore, we can estimate the national level of preventable incidents by multiplying </w:t>
      </w:r>
      <w:r w:rsidRPr="00362517">
        <w:rPr>
          <w:i/>
        </w:rPr>
        <w:t>RP</w:t>
      </w:r>
      <w:r w:rsidRPr="00362517">
        <w:rPr>
          <w:i/>
          <w:vertAlign w:val="subscript"/>
        </w:rPr>
        <w:t>n,l</w:t>
      </w:r>
      <w:r w:rsidRPr="00362517">
        <w:t xml:space="preserve"> by the number of certified applicators nationally.  </w:t>
      </w:r>
    </w:p>
    <w:p w14:paraId="5AB19C73" w14:textId="77777777" w:rsidR="00F848A1" w:rsidRPr="00362517" w:rsidRDefault="00F848A1" w:rsidP="00BF6BC7">
      <w:pPr>
        <w:tabs>
          <w:tab w:val="left" w:pos="540"/>
          <w:tab w:val="left" w:pos="1080"/>
          <w:tab w:val="left" w:pos="1620"/>
          <w:tab w:val="left" w:pos="2160"/>
        </w:tabs>
      </w:pPr>
    </w:p>
    <w:p w14:paraId="5AB19C74" w14:textId="1E1BB61D" w:rsidR="00F848A1" w:rsidRPr="00362517" w:rsidRDefault="00D444BD" w:rsidP="00BF6BC7">
      <w:pPr>
        <w:tabs>
          <w:tab w:val="left" w:pos="540"/>
          <w:tab w:val="left" w:pos="1080"/>
          <w:tab w:val="left" w:pos="1620"/>
          <w:tab w:val="left" w:pos="2160"/>
        </w:tabs>
      </w:pPr>
      <w:r w:rsidRPr="00362517">
        <w:t xml:space="preserve">Using the estimated number of certified applicators from Table 3.3-1 and 3.3-5 </w:t>
      </w:r>
      <w:r w:rsidR="00F848A1" w:rsidRPr="00362517">
        <w:t>the average number of certified applicators in SENSOR-</w:t>
      </w:r>
      <w:r w:rsidRPr="00362517">
        <w:t xml:space="preserve">Pesticides states </w:t>
      </w:r>
      <w:r w:rsidR="00F848A1" w:rsidRPr="00362517">
        <w:t xml:space="preserve">as </w:t>
      </w:r>
      <w:r w:rsidR="00DD6627" w:rsidRPr="00362517">
        <w:t>283</w:t>
      </w:r>
      <w:r w:rsidR="00F848A1" w:rsidRPr="00362517">
        <w:t>,</w:t>
      </w:r>
      <w:r w:rsidR="00DD6627" w:rsidRPr="00362517">
        <w:t>036</w:t>
      </w:r>
      <w:r w:rsidR="00F848A1" w:rsidRPr="00362517">
        <w:t xml:space="preserve">.  This number includes existing certified private and commercial applicators plus the number of new certified applicators in the SENSOR-Pesticides states.  </w:t>
      </w:r>
      <w:r w:rsidR="00F848A1" w:rsidRPr="00362517">
        <w:rPr>
          <w:i/>
        </w:rPr>
        <w:t>RP</w:t>
      </w:r>
      <w:r w:rsidR="00F848A1" w:rsidRPr="00362517">
        <w:rPr>
          <w:i/>
          <w:vertAlign w:val="subscript"/>
        </w:rPr>
        <w:t>s,l</w:t>
      </w:r>
      <w:r w:rsidR="00F848A1" w:rsidRPr="00362517">
        <w:t>, the rate of preventable incidents per applicator, is estimated by taking the number of avoided incidents annually, and dividing it by the average number of certified applicators in the SENSOR-Pesticides states, and then scaling the result into preventable incidents per 1,000 certified applicators.  The results indicate a reduction in incidents involving RUPs from 0.</w:t>
      </w:r>
      <w:r w:rsidR="007F79AD" w:rsidRPr="00362517">
        <w:t xml:space="preserve">173 </w:t>
      </w:r>
      <w:r w:rsidR="00F848A1" w:rsidRPr="00362517">
        <w:t>to 0.</w:t>
      </w:r>
      <w:r w:rsidR="007F79AD" w:rsidRPr="00362517">
        <w:t xml:space="preserve">218 </w:t>
      </w:r>
      <w:r w:rsidR="00F848A1" w:rsidRPr="00362517">
        <w:t>per 1,000 certified applicators (Table 4.4-1).</w:t>
      </w:r>
    </w:p>
    <w:p w14:paraId="5AB19C75" w14:textId="77777777" w:rsidR="00F848A1" w:rsidRPr="00362517" w:rsidRDefault="00F848A1" w:rsidP="00BF6BC7">
      <w:pPr>
        <w:tabs>
          <w:tab w:val="left" w:pos="540"/>
          <w:tab w:val="left" w:pos="1080"/>
          <w:tab w:val="left" w:pos="1620"/>
          <w:tab w:val="left" w:pos="2160"/>
        </w:tabs>
      </w:pPr>
    </w:p>
    <w:p w14:paraId="5AB19C76" w14:textId="173EB8C8" w:rsidR="00F848A1" w:rsidRPr="00362517" w:rsidRDefault="00F848A1" w:rsidP="00BF6BC7">
      <w:pPr>
        <w:tabs>
          <w:tab w:val="left" w:pos="540"/>
          <w:tab w:val="left" w:pos="1080"/>
          <w:tab w:val="left" w:pos="1620"/>
          <w:tab w:val="left" w:pos="2160"/>
        </w:tabs>
      </w:pPr>
      <w:r w:rsidRPr="00362517">
        <w:t>The estimated number of incidents avoided annually are presented for both preventable and possibly preventable illnesses, as shown in the table.  For every 1,000 certified applicators in the SENSOR-Pesticides states, there are an estimated 0.</w:t>
      </w:r>
      <w:r w:rsidR="007F79AD" w:rsidRPr="00362517">
        <w:t xml:space="preserve">218 </w:t>
      </w:r>
      <w:r w:rsidRPr="00362517">
        <w:t>RUP incidents that are preventable or possibly preventable by the rule.  The final column in Table 4.4-1 shows the national estimate of avoided RUP incidents.  The estimates in this column were calculated by multiplying the annual preventable incident rate per applicator (</w:t>
      </w:r>
      <w:r w:rsidRPr="00362517">
        <w:rPr>
          <w:i/>
        </w:rPr>
        <w:t>RP</w:t>
      </w:r>
      <w:r w:rsidRPr="00362517">
        <w:rPr>
          <w:i/>
          <w:vertAlign w:val="subscript"/>
        </w:rPr>
        <w:t>n,l</w:t>
      </w:r>
      <w:r w:rsidRPr="00362517">
        <w:t xml:space="preserve"> = </w:t>
      </w:r>
      <w:r w:rsidRPr="00362517">
        <w:rPr>
          <w:i/>
        </w:rPr>
        <w:t>RP</w:t>
      </w:r>
      <w:r w:rsidRPr="00362517">
        <w:rPr>
          <w:i/>
          <w:vertAlign w:val="subscript"/>
        </w:rPr>
        <w:t>s,l</w:t>
      </w:r>
      <w:r w:rsidRPr="00362517">
        <w:t xml:space="preserve">) times the number of certified applicators nationally.  Nationally the </w:t>
      </w:r>
      <w:r w:rsidR="00D444BD" w:rsidRPr="00362517">
        <w:t xml:space="preserve">estimated </w:t>
      </w:r>
      <w:r w:rsidRPr="00362517">
        <w:t xml:space="preserve">number of certified applicators was </w:t>
      </w:r>
      <w:r w:rsidR="00DD6627" w:rsidRPr="00362517">
        <w:t>903</w:t>
      </w:r>
      <w:r w:rsidRPr="00362517">
        <w:t>,</w:t>
      </w:r>
      <w:r w:rsidR="00DD6627" w:rsidRPr="00362517">
        <w:t xml:space="preserve">726 </w:t>
      </w:r>
      <w:r w:rsidR="00D444BD" w:rsidRPr="00362517">
        <w:t>(see Table 3.3-1 and 3.3-5)</w:t>
      </w:r>
      <w:r w:rsidRPr="00362517">
        <w:t xml:space="preserve">, which includes new and existing private and commercial applicators.  These calculations yield an estimate of annual RUP incidents prevented by the rule of </w:t>
      </w:r>
      <w:r w:rsidR="007F79AD" w:rsidRPr="00362517">
        <w:t>15</w:t>
      </w:r>
      <w:r w:rsidR="00DD6627" w:rsidRPr="00362517">
        <w:t>7</w:t>
      </w:r>
      <w:r w:rsidR="007F79AD" w:rsidRPr="00362517">
        <w:t xml:space="preserve"> </w:t>
      </w:r>
      <w:r w:rsidRPr="00362517">
        <w:t xml:space="preserve">on the low end, and </w:t>
      </w:r>
      <w:r w:rsidR="007F79AD" w:rsidRPr="00362517">
        <w:t xml:space="preserve">197 </w:t>
      </w:r>
      <w:r w:rsidRPr="00362517">
        <w:t>on the upper end.  This estimate accounts only for reported incidents, which are likely to be a small proportion of the total number of incidents.  In Section 4.4.3.1 below, we consider other sources for unreported deaths</w:t>
      </w:r>
      <w:r w:rsidR="00A923FB" w:rsidRPr="00A923FB">
        <w:t>, which changes the upper estimate to 198</w:t>
      </w:r>
      <w:r w:rsidRPr="00362517">
        <w:t xml:space="preserve">. </w:t>
      </w:r>
    </w:p>
    <w:p w14:paraId="5AB19C77" w14:textId="77777777" w:rsidR="00F848A1" w:rsidRPr="00362517" w:rsidRDefault="00F848A1" w:rsidP="00BF6BC7">
      <w:pPr>
        <w:tabs>
          <w:tab w:val="left" w:pos="540"/>
          <w:tab w:val="left" w:pos="1080"/>
          <w:tab w:val="left" w:pos="1620"/>
          <w:tab w:val="left" w:pos="2160"/>
        </w:tabs>
      </w:pPr>
    </w:p>
    <w:p w14:paraId="5AB19C78" w14:textId="77777777" w:rsidR="00F848A1" w:rsidRPr="00362517" w:rsidRDefault="00F848A1" w:rsidP="00BF6BC7">
      <w:pPr>
        <w:pStyle w:val="Heading4"/>
        <w:numPr>
          <w:ilvl w:val="3"/>
          <w:numId w:val="23"/>
        </w:numPr>
      </w:pPr>
      <w:r w:rsidRPr="00362517">
        <w:t xml:space="preserve"> Under-reporting of RUP Incidents</w:t>
      </w:r>
    </w:p>
    <w:p w14:paraId="5AB19C79" w14:textId="77777777" w:rsidR="00F848A1" w:rsidRPr="00362517" w:rsidRDefault="00F848A1" w:rsidP="00BF6BC7">
      <w:pPr>
        <w:keepNext/>
        <w:tabs>
          <w:tab w:val="left" w:pos="540"/>
          <w:tab w:val="left" w:pos="1080"/>
          <w:tab w:val="left" w:pos="1620"/>
          <w:tab w:val="left" w:pos="2160"/>
        </w:tabs>
      </w:pPr>
      <w:r w:rsidRPr="00362517">
        <w:t>There is concern that pesticide incidents in general are underreported.  At least four steps are necessary before a pesticide-related illness can be recorded by any counting system: (1) the exposed person must perceive that they have treatable symptoms; (2) the person must seek medical attention</w:t>
      </w:r>
      <w:r w:rsidR="00D53ED6" w:rsidRPr="00362517">
        <w:t xml:space="preserve"> or call poison control</w:t>
      </w:r>
      <w:r w:rsidRPr="00362517">
        <w:t>; (3) the physician</w:t>
      </w:r>
      <w:r w:rsidR="00D53ED6" w:rsidRPr="00362517">
        <w:t>,</w:t>
      </w:r>
      <w:r w:rsidRPr="00362517">
        <w:t xml:space="preserve"> </w:t>
      </w:r>
      <w:r w:rsidR="00D53ED6" w:rsidRPr="00362517">
        <w:t>nurse, or poison control specialist must identify a possible environmental or occupational exposure and determine that the symptoms could be pesticide related</w:t>
      </w:r>
      <w:r w:rsidRPr="00362517">
        <w:t xml:space="preserve">; and (4) the </w:t>
      </w:r>
      <w:r w:rsidR="009912F6" w:rsidRPr="00362517">
        <w:t xml:space="preserve">medical staff </w:t>
      </w:r>
      <w:r w:rsidRPr="00362517">
        <w:t>or the injured person must report the incident to the</w:t>
      </w:r>
      <w:r w:rsidR="00B978B6" w:rsidRPr="00362517">
        <w:t xml:space="preserve"> </w:t>
      </w:r>
      <w:r w:rsidR="00D53ED6" w:rsidRPr="00362517">
        <w:t>appropriate state entity if available</w:t>
      </w:r>
      <w:r w:rsidRPr="00362517">
        <w:t xml:space="preserve">, and the incident must be recorded as pesticide related. A breakdown at any of the steps would prevent a pesticide poisoning case from being tallied in surveillance databases (Das </w:t>
      </w:r>
      <w:r w:rsidRPr="00362517">
        <w:rPr>
          <w:i/>
        </w:rPr>
        <w:t>et al</w:t>
      </w:r>
      <w:r w:rsidRPr="00362517">
        <w:t>., 2001).</w:t>
      </w:r>
    </w:p>
    <w:p w14:paraId="5AB19C7A" w14:textId="77777777" w:rsidR="00F848A1" w:rsidRPr="00362517" w:rsidRDefault="00F848A1" w:rsidP="00BF6BC7">
      <w:pPr>
        <w:tabs>
          <w:tab w:val="left" w:pos="540"/>
          <w:tab w:val="left" w:pos="1080"/>
          <w:tab w:val="left" w:pos="1620"/>
          <w:tab w:val="left" w:pos="2160"/>
        </w:tabs>
      </w:pPr>
    </w:p>
    <w:p w14:paraId="5AB19C7B" w14:textId="0B4F3FB7" w:rsidR="00F848A1" w:rsidRPr="00362517" w:rsidRDefault="00F848A1" w:rsidP="00BF6BC7">
      <w:pPr>
        <w:tabs>
          <w:tab w:val="left" w:pos="540"/>
          <w:tab w:val="left" w:pos="1080"/>
          <w:tab w:val="left" w:pos="1620"/>
          <w:tab w:val="left" w:pos="2160"/>
        </w:tabs>
      </w:pPr>
      <w:r w:rsidRPr="00362517">
        <w:t>(1)  The exposed person must perceive that they have treatable symptoms of an illness.  Symptoms of acute pesticide poisoning illnesses and injuries are</w:t>
      </w:r>
      <w:r w:rsidR="00D53ED6" w:rsidRPr="00362517">
        <w:t xml:space="preserve"> similar to common illnesses and </w:t>
      </w:r>
      <w:r w:rsidRPr="00362517">
        <w:t>not uniquely indicative of pesticide effects.  Dermatologic and ophthalmologic effects, such as skin rashes and eye irritation, also have many other causes.  Systemic poisoning by some of the more common pesticides results in flu-like or cold-like symptoms, such as headache, nausea, vomiting, dizziness, and a general feeling of malaise.  Allergic effects may be either upper-respiratory problems that mimic hay fever symptoms, or dermatologic effects similar to those caused by exposure to poison ivy.  When bystanders</w:t>
      </w:r>
      <w:r w:rsidR="00CE39C7" w:rsidRPr="00362517">
        <w:t xml:space="preserve"> or other people beside the applicator</w:t>
      </w:r>
      <w:r w:rsidRPr="00362517">
        <w:t xml:space="preserve"> are exposed, they may not perceive that their symptoms are related to pesticide exposures because they are not working directly with pesticides and may not realize that they were exposed to pesticide residues.</w:t>
      </w:r>
    </w:p>
    <w:p w14:paraId="5AB19C7C" w14:textId="77777777" w:rsidR="00F848A1" w:rsidRPr="00362517" w:rsidRDefault="00F848A1" w:rsidP="00BF6BC7">
      <w:pPr>
        <w:tabs>
          <w:tab w:val="left" w:pos="540"/>
          <w:tab w:val="left" w:pos="1080"/>
          <w:tab w:val="left" w:pos="1620"/>
          <w:tab w:val="left" w:pos="2160"/>
        </w:tabs>
      </w:pPr>
    </w:p>
    <w:p w14:paraId="5AB19C7D" w14:textId="77777777" w:rsidR="00F848A1" w:rsidRPr="00362517" w:rsidRDefault="00F848A1" w:rsidP="00BF6BC7">
      <w:pPr>
        <w:tabs>
          <w:tab w:val="left" w:pos="540"/>
          <w:tab w:val="left" w:pos="1080"/>
          <w:tab w:val="left" w:pos="1620"/>
          <w:tab w:val="left" w:pos="2160"/>
        </w:tabs>
      </w:pPr>
      <w:r w:rsidRPr="00362517">
        <w:t>(2)  The person must seek medical attention</w:t>
      </w:r>
      <w:r w:rsidR="0033346E" w:rsidRPr="00362517">
        <w:t xml:space="preserve"> or contact a poison control center</w:t>
      </w:r>
      <w:r w:rsidRPr="00362517">
        <w:t>.  Except in life-threatening emergencies, many pesticide-related acute health effects will gradually disappear without medical intervention.  For example, the cholinesterase enzyme, when inhibited by pesticide exposure, causes some of the more common acute systemic poisoning symptoms.  In many cases, this inhibition will gradually (depending on the family of pesticide, severity, and repetition of exposure) recover without treatment.  Allergic, dermatologic, and ophthalmologic effects will gradually disappear when exposure to the causal pesticide diminishes.  Therefore, many people with treatable symptoms may not seek physician care.  A survey of California workers whose illnesses had been reported to a surveillance system showed that in 40% of the cases, other workers exposed in the same incidents did not seek medical treatment (Das</w:t>
      </w:r>
      <w:r w:rsidRPr="00362517">
        <w:rPr>
          <w:i/>
        </w:rPr>
        <w:t xml:space="preserve"> et al</w:t>
      </w:r>
      <w:r w:rsidRPr="00362517">
        <w:t xml:space="preserve">., 2001), an example of cases that are underreported.  </w:t>
      </w:r>
    </w:p>
    <w:p w14:paraId="5AB19C7E" w14:textId="77777777" w:rsidR="00F848A1" w:rsidRPr="00362517" w:rsidRDefault="00F848A1" w:rsidP="00BF6BC7">
      <w:pPr>
        <w:tabs>
          <w:tab w:val="left" w:pos="540"/>
          <w:tab w:val="left" w:pos="1080"/>
          <w:tab w:val="left" w:pos="1620"/>
          <w:tab w:val="left" w:pos="2160"/>
        </w:tabs>
      </w:pPr>
    </w:p>
    <w:p w14:paraId="5AB19C7F" w14:textId="77777777" w:rsidR="00F848A1" w:rsidRPr="00362517" w:rsidRDefault="00F848A1" w:rsidP="00BF6BC7">
      <w:pPr>
        <w:tabs>
          <w:tab w:val="left" w:pos="540"/>
          <w:tab w:val="left" w:pos="1080"/>
          <w:tab w:val="left" w:pos="1620"/>
          <w:tab w:val="left" w:pos="2160"/>
        </w:tabs>
      </w:pPr>
      <w:r w:rsidRPr="00362517">
        <w:t xml:space="preserve">(3)  The physician must diagnose the symptoms as being pesticide related.  When medical treatment is sought, the treating medical personnel may not specifically diagnose the illness or injury as being caused by an occupational exposure to pesticides. Many signs and symptoms of such poisoning may be treated symptomatically or an occupational connection may not be drawn.  It is unknown how often physicians mistake pesticide poisonings for other causes, but physicians may not associate vague symptoms with pesticide poisonings.  The person seeking care may not know or identify the cause of the poisoning as a pesticide.  In addition, there may not be laboratory tests to confirm suspicions of pesticide exposure, and physicians may be more concerned with treating symptoms rather than confirming the causes.  </w:t>
      </w:r>
    </w:p>
    <w:p w14:paraId="5AB19C80" w14:textId="77777777" w:rsidR="00F848A1" w:rsidRPr="00362517" w:rsidRDefault="00F848A1" w:rsidP="00BF6BC7">
      <w:pPr>
        <w:tabs>
          <w:tab w:val="left" w:pos="540"/>
          <w:tab w:val="left" w:pos="1080"/>
          <w:tab w:val="left" w:pos="1620"/>
          <w:tab w:val="left" w:pos="2160"/>
        </w:tabs>
      </w:pPr>
    </w:p>
    <w:p w14:paraId="5AB19C81" w14:textId="77777777" w:rsidR="00F848A1" w:rsidRPr="00362517" w:rsidRDefault="00F848A1" w:rsidP="00BF6BC7">
      <w:pPr>
        <w:tabs>
          <w:tab w:val="left" w:pos="540"/>
          <w:tab w:val="left" w:pos="1080"/>
          <w:tab w:val="left" w:pos="1620"/>
          <w:tab w:val="left" w:pos="2160"/>
        </w:tabs>
      </w:pPr>
      <w:r w:rsidRPr="00362517">
        <w:t xml:space="preserve">(4)  The physician must report the incident to a recordkeeping system, and the incident must be recorded as pesticide related. Occupational diseases in general are more likely to be under-reported than occupational injuries. A 1991 study of farmworker health and safety in the State of Washington says: "Frequently, occupational diseases simply do not appear in workers' compensation records, even when clear-cut.  This is due to reporting disincentives and inherent difficulties in health care providers recognizing conditions as work-related." (Washington State Department of Labor and Industries, 1991)  </w:t>
      </w:r>
    </w:p>
    <w:p w14:paraId="5AB19C82" w14:textId="77777777" w:rsidR="00F848A1" w:rsidRPr="00362517" w:rsidRDefault="00F848A1" w:rsidP="00BF6BC7">
      <w:pPr>
        <w:tabs>
          <w:tab w:val="left" w:pos="540"/>
          <w:tab w:val="left" w:pos="1080"/>
          <w:tab w:val="left" w:pos="1620"/>
          <w:tab w:val="left" w:pos="2160"/>
        </w:tabs>
      </w:pPr>
    </w:p>
    <w:p w14:paraId="5AB19C83" w14:textId="77777777" w:rsidR="00F848A1" w:rsidRPr="00362517" w:rsidRDefault="00F848A1" w:rsidP="00BF6BC7">
      <w:pPr>
        <w:tabs>
          <w:tab w:val="left" w:pos="540"/>
          <w:tab w:val="left" w:pos="1080"/>
          <w:tab w:val="left" w:pos="1620"/>
          <w:tab w:val="left" w:pos="2160"/>
        </w:tabs>
      </w:pPr>
      <w:r w:rsidRPr="00362517">
        <w:t xml:space="preserve">Barriers to accurate reporting by physicians include a lack of awareness of reporting requirements and opportunities, reluctance to engage in reporting that might result in legal or bureaucratic difficulties, and the time constraints on physicians that may prevent them from completing records and reporting incidents (Azaroff </w:t>
      </w:r>
      <w:r w:rsidRPr="00362517">
        <w:rPr>
          <w:i/>
        </w:rPr>
        <w:t>et al</w:t>
      </w:r>
      <w:r w:rsidRPr="00362517">
        <w:t xml:space="preserve">., 2002, Baker </w:t>
      </w:r>
      <w:r w:rsidRPr="00362517">
        <w:rPr>
          <w:i/>
        </w:rPr>
        <w:t>et al</w:t>
      </w:r>
      <w:r w:rsidRPr="00362517">
        <w:t>., 1998).  For example, a report by the Arizona Office of the Auditor General found: "[S]ome physicians and healthcare officials suggest that cases may not be reported because healthcare professionals fear becoming involved in a lawsuit or occupational injury claim in which they might have to defend an uncertain diagnosis in court.  Our review of literature on the subject corroborated this statement" (Arizona, 1990).</w:t>
      </w:r>
    </w:p>
    <w:p w14:paraId="5AB19C84" w14:textId="77777777" w:rsidR="00F848A1" w:rsidRPr="00362517" w:rsidRDefault="00F848A1" w:rsidP="00BF6BC7">
      <w:pPr>
        <w:tabs>
          <w:tab w:val="left" w:pos="540"/>
          <w:tab w:val="left" w:pos="1080"/>
          <w:tab w:val="left" w:pos="1620"/>
          <w:tab w:val="left" w:pos="2160"/>
        </w:tabs>
      </w:pPr>
    </w:p>
    <w:p w14:paraId="5AB19C85" w14:textId="41ED42ED" w:rsidR="00F848A1" w:rsidRPr="00362517" w:rsidRDefault="00F848A1" w:rsidP="00BF6BC7">
      <w:pPr>
        <w:tabs>
          <w:tab w:val="left" w:pos="540"/>
          <w:tab w:val="left" w:pos="1080"/>
          <w:tab w:val="left" w:pos="1620"/>
          <w:tab w:val="left" w:pos="2160"/>
        </w:tabs>
      </w:pPr>
      <w:r w:rsidRPr="00362517">
        <w:t>If any of the four steps needed for accurate recording of an occupational pesticide incident are not completed, then it will not appear in surveillance databases.  There is evidence in the literature that occupational medical incidents, especially exposures to poisons, are underreported, although some of this is anecdotal.  This may be even more likely in the agricultural sector, due to the nature of the workforce</w:t>
      </w:r>
      <w:r w:rsidR="003B4207" w:rsidRPr="00362517">
        <w:t xml:space="preserve">, which is less educated, less likely to speak English and less likely to be a citizen </w:t>
      </w:r>
      <w:r w:rsidRPr="00362517">
        <w:t xml:space="preserve">(Kandel, 2008).  Exposures that do not cause immediate symptoms are unlikely to be reported.  Several studies indicate that under-reporting of illness is common, both for occupational illnesses and for poisoning incidents, with an estimate of under-reporting ranging from 20 – 70%.  These studies are summarized in Table 4.4-2, and a discussion of the importance on benefit estimates is </w:t>
      </w:r>
      <w:r w:rsidR="00F83549" w:rsidRPr="00362517">
        <w:t>provided below and quantified i</w:t>
      </w:r>
      <w:r w:rsidRPr="00362517">
        <w:t>n Section 4.4.</w:t>
      </w:r>
      <w:r w:rsidR="00F83549" w:rsidRPr="00362517">
        <w:t>5</w:t>
      </w:r>
      <w:r w:rsidRPr="00362517">
        <w:t xml:space="preserve">.    </w:t>
      </w:r>
    </w:p>
    <w:p w14:paraId="5AB19C86" w14:textId="77777777" w:rsidR="00F848A1" w:rsidRPr="00362517" w:rsidRDefault="00F848A1" w:rsidP="00BF6BC7">
      <w:pPr>
        <w:tabs>
          <w:tab w:val="left" w:pos="540"/>
          <w:tab w:val="left" w:pos="1080"/>
          <w:tab w:val="left" w:pos="1620"/>
          <w:tab w:val="left" w:pos="2160"/>
        </w:tabs>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145"/>
        <w:gridCol w:w="2784"/>
        <w:gridCol w:w="2930"/>
        <w:gridCol w:w="2471"/>
      </w:tblGrid>
      <w:tr w:rsidR="00362517" w:rsidRPr="00362517" w14:paraId="5AB19C88" w14:textId="77777777" w:rsidTr="0034043F">
        <w:trPr>
          <w:trHeight w:val="330"/>
        </w:trPr>
        <w:tc>
          <w:tcPr>
            <w:tcW w:w="5000" w:type="pct"/>
            <w:gridSpan w:val="4"/>
            <w:tcBorders>
              <w:top w:val="double" w:sz="4" w:space="0" w:color="auto"/>
              <w:left w:val="double" w:sz="4" w:space="0" w:color="auto"/>
              <w:bottom w:val="double" w:sz="4" w:space="0" w:color="auto"/>
              <w:right w:val="double" w:sz="4" w:space="0" w:color="auto"/>
            </w:tcBorders>
            <w:vAlign w:val="center"/>
            <w:hideMark/>
          </w:tcPr>
          <w:p w14:paraId="5AB19C87" w14:textId="77777777" w:rsidR="00F848A1" w:rsidRPr="00362517" w:rsidRDefault="00F848A1" w:rsidP="00BF6BC7">
            <w:pPr>
              <w:keepNext/>
              <w:keepLines/>
              <w:tabs>
                <w:tab w:val="left" w:pos="540"/>
                <w:tab w:val="left" w:pos="1080"/>
                <w:tab w:val="left" w:pos="1620"/>
                <w:tab w:val="left" w:pos="2160"/>
              </w:tabs>
              <w:rPr>
                <w:b/>
                <w:bCs/>
              </w:rPr>
            </w:pPr>
            <w:r w:rsidRPr="00362517">
              <w:rPr>
                <w:b/>
                <w:bCs/>
              </w:rPr>
              <w:t>Table 4.4-2 Summary of Results from Underreporting Studies</w:t>
            </w:r>
          </w:p>
        </w:tc>
      </w:tr>
      <w:tr w:rsidR="00362517" w:rsidRPr="00362517" w14:paraId="5AB19C8D" w14:textId="77777777" w:rsidTr="0034043F">
        <w:trPr>
          <w:trHeight w:val="330"/>
        </w:trPr>
        <w:tc>
          <w:tcPr>
            <w:tcW w:w="614" w:type="pct"/>
            <w:tcBorders>
              <w:top w:val="double" w:sz="4" w:space="0" w:color="auto"/>
              <w:left w:val="double" w:sz="4" w:space="0" w:color="auto"/>
              <w:bottom w:val="single" w:sz="4" w:space="0" w:color="auto"/>
              <w:right w:val="single" w:sz="4" w:space="0" w:color="auto"/>
            </w:tcBorders>
            <w:vAlign w:val="bottom"/>
            <w:hideMark/>
          </w:tcPr>
          <w:p w14:paraId="5AB19C89" w14:textId="77777777" w:rsidR="00F848A1" w:rsidRPr="00362517" w:rsidRDefault="00F848A1" w:rsidP="00BF6BC7">
            <w:pPr>
              <w:keepNext/>
              <w:keepLines/>
              <w:tabs>
                <w:tab w:val="left" w:pos="540"/>
                <w:tab w:val="left" w:pos="1080"/>
                <w:tab w:val="left" w:pos="1620"/>
                <w:tab w:val="left" w:pos="2160"/>
              </w:tabs>
              <w:jc w:val="center"/>
            </w:pPr>
            <w:r w:rsidRPr="00362517">
              <w:rPr>
                <w:sz w:val="22"/>
                <w:szCs w:val="22"/>
              </w:rPr>
              <w:t>Date</w:t>
            </w:r>
          </w:p>
        </w:tc>
        <w:tc>
          <w:tcPr>
            <w:tcW w:w="1492" w:type="pct"/>
            <w:tcBorders>
              <w:top w:val="double" w:sz="4" w:space="0" w:color="auto"/>
              <w:left w:val="single" w:sz="4" w:space="0" w:color="auto"/>
              <w:bottom w:val="single" w:sz="4" w:space="0" w:color="auto"/>
              <w:right w:val="single" w:sz="4" w:space="0" w:color="auto"/>
            </w:tcBorders>
            <w:vAlign w:val="bottom"/>
            <w:hideMark/>
          </w:tcPr>
          <w:p w14:paraId="5AB19C8A" w14:textId="77777777" w:rsidR="00F848A1" w:rsidRPr="00362517" w:rsidRDefault="00F848A1" w:rsidP="00BF6BC7">
            <w:pPr>
              <w:keepNext/>
              <w:keepLines/>
              <w:tabs>
                <w:tab w:val="left" w:pos="540"/>
                <w:tab w:val="left" w:pos="1080"/>
                <w:tab w:val="left" w:pos="1620"/>
                <w:tab w:val="left" w:pos="2160"/>
              </w:tabs>
              <w:jc w:val="center"/>
            </w:pPr>
            <w:r w:rsidRPr="00362517">
              <w:rPr>
                <w:sz w:val="22"/>
                <w:szCs w:val="22"/>
              </w:rPr>
              <w:t>Title</w:t>
            </w:r>
          </w:p>
        </w:tc>
        <w:tc>
          <w:tcPr>
            <w:tcW w:w="1570" w:type="pct"/>
            <w:tcBorders>
              <w:top w:val="double" w:sz="4" w:space="0" w:color="auto"/>
              <w:left w:val="single" w:sz="4" w:space="0" w:color="auto"/>
              <w:bottom w:val="single" w:sz="4" w:space="0" w:color="auto"/>
              <w:right w:val="single" w:sz="4" w:space="0" w:color="auto"/>
            </w:tcBorders>
            <w:vAlign w:val="bottom"/>
            <w:hideMark/>
          </w:tcPr>
          <w:p w14:paraId="5AB19C8B" w14:textId="77777777" w:rsidR="00F848A1" w:rsidRPr="00362517" w:rsidRDefault="00F848A1" w:rsidP="00BF6BC7">
            <w:pPr>
              <w:keepNext/>
              <w:keepLines/>
              <w:tabs>
                <w:tab w:val="left" w:pos="540"/>
                <w:tab w:val="left" w:pos="1080"/>
                <w:tab w:val="left" w:pos="1620"/>
                <w:tab w:val="left" w:pos="2160"/>
              </w:tabs>
              <w:jc w:val="center"/>
            </w:pPr>
            <w:r w:rsidRPr="00362517">
              <w:rPr>
                <w:sz w:val="22"/>
                <w:szCs w:val="22"/>
              </w:rPr>
              <w:t>Goal of Study</w:t>
            </w:r>
          </w:p>
        </w:tc>
        <w:tc>
          <w:tcPr>
            <w:tcW w:w="1324" w:type="pct"/>
            <w:tcBorders>
              <w:top w:val="double" w:sz="4" w:space="0" w:color="auto"/>
              <w:left w:val="single" w:sz="4" w:space="0" w:color="auto"/>
              <w:bottom w:val="single" w:sz="4" w:space="0" w:color="auto"/>
              <w:right w:val="double" w:sz="4" w:space="0" w:color="auto"/>
            </w:tcBorders>
            <w:vAlign w:val="bottom"/>
            <w:hideMark/>
          </w:tcPr>
          <w:p w14:paraId="5AB19C8C" w14:textId="77777777" w:rsidR="00F848A1" w:rsidRPr="00362517" w:rsidRDefault="00F848A1" w:rsidP="00BF6BC7">
            <w:pPr>
              <w:keepNext/>
              <w:keepLines/>
              <w:tabs>
                <w:tab w:val="left" w:pos="540"/>
                <w:tab w:val="left" w:pos="1080"/>
                <w:tab w:val="left" w:pos="1620"/>
                <w:tab w:val="left" w:pos="2160"/>
              </w:tabs>
              <w:jc w:val="center"/>
            </w:pPr>
            <w:r w:rsidRPr="00362517">
              <w:rPr>
                <w:sz w:val="22"/>
                <w:szCs w:val="22"/>
              </w:rPr>
              <w:t>Underreporting Estimate</w:t>
            </w:r>
          </w:p>
        </w:tc>
      </w:tr>
      <w:tr w:rsidR="00362517" w:rsidRPr="00362517" w14:paraId="5AB19C92" w14:textId="77777777" w:rsidTr="0034043F">
        <w:tc>
          <w:tcPr>
            <w:tcW w:w="614" w:type="pct"/>
            <w:tcBorders>
              <w:top w:val="single" w:sz="4" w:space="0" w:color="auto"/>
              <w:left w:val="double" w:sz="4" w:space="0" w:color="auto"/>
              <w:bottom w:val="single" w:sz="4" w:space="0" w:color="auto"/>
              <w:right w:val="single" w:sz="4" w:space="0" w:color="auto"/>
            </w:tcBorders>
            <w:vAlign w:val="center"/>
            <w:hideMark/>
          </w:tcPr>
          <w:p w14:paraId="5AB19C8E" w14:textId="77777777" w:rsidR="00F848A1" w:rsidRPr="00362517" w:rsidRDefault="00F848A1" w:rsidP="00BF6BC7">
            <w:pPr>
              <w:keepNext/>
              <w:keepLines/>
              <w:tabs>
                <w:tab w:val="left" w:pos="540"/>
                <w:tab w:val="left" w:pos="1080"/>
                <w:tab w:val="left" w:pos="1620"/>
                <w:tab w:val="left" w:pos="2160"/>
              </w:tabs>
              <w:jc w:val="center"/>
            </w:pPr>
            <w:r w:rsidRPr="00362517">
              <w:rPr>
                <w:sz w:val="22"/>
                <w:szCs w:val="22"/>
              </w:rPr>
              <w:t>1990</w:t>
            </w:r>
          </w:p>
        </w:tc>
        <w:tc>
          <w:tcPr>
            <w:tcW w:w="1492" w:type="pct"/>
            <w:tcBorders>
              <w:top w:val="single" w:sz="4" w:space="0" w:color="auto"/>
              <w:left w:val="single" w:sz="4" w:space="0" w:color="auto"/>
              <w:bottom w:val="single" w:sz="4" w:space="0" w:color="auto"/>
              <w:right w:val="single" w:sz="4" w:space="0" w:color="auto"/>
            </w:tcBorders>
            <w:vAlign w:val="center"/>
            <w:hideMark/>
          </w:tcPr>
          <w:p w14:paraId="5AB19C8F" w14:textId="77777777" w:rsidR="00F848A1" w:rsidRPr="00362517" w:rsidRDefault="00F848A1" w:rsidP="00BF6BC7">
            <w:pPr>
              <w:keepNext/>
              <w:keepLines/>
              <w:tabs>
                <w:tab w:val="left" w:pos="540"/>
                <w:tab w:val="left" w:pos="1080"/>
                <w:tab w:val="left" w:pos="1620"/>
                <w:tab w:val="left" w:pos="2160"/>
              </w:tabs>
            </w:pPr>
            <w:r w:rsidRPr="00362517">
              <w:rPr>
                <w:sz w:val="22"/>
                <w:szCs w:val="22"/>
              </w:rPr>
              <w:t xml:space="preserve">Treated vs. Reported Toxic Exposures: Discrepancies Between a Poison Control Center and a Member Hospital (Harchelroad </w:t>
            </w:r>
            <w:r w:rsidRPr="00362517">
              <w:rPr>
                <w:i/>
                <w:sz w:val="22"/>
                <w:szCs w:val="22"/>
              </w:rPr>
              <w:t>et al</w:t>
            </w:r>
            <w:r w:rsidRPr="00362517">
              <w:rPr>
                <w:sz w:val="22"/>
                <w:szCs w:val="22"/>
              </w:rPr>
              <w:t>., 1990)</w:t>
            </w:r>
          </w:p>
        </w:tc>
        <w:tc>
          <w:tcPr>
            <w:tcW w:w="1570" w:type="pct"/>
            <w:tcBorders>
              <w:top w:val="single" w:sz="4" w:space="0" w:color="auto"/>
              <w:left w:val="single" w:sz="4" w:space="0" w:color="auto"/>
              <w:bottom w:val="single" w:sz="4" w:space="0" w:color="auto"/>
              <w:right w:val="single" w:sz="4" w:space="0" w:color="auto"/>
            </w:tcBorders>
            <w:vAlign w:val="center"/>
            <w:hideMark/>
          </w:tcPr>
          <w:p w14:paraId="5AB19C90" w14:textId="4B3ABB82" w:rsidR="00F848A1" w:rsidRPr="00362517" w:rsidRDefault="00F848A1" w:rsidP="000D1CA5">
            <w:pPr>
              <w:keepNext/>
              <w:keepLines/>
              <w:tabs>
                <w:tab w:val="left" w:pos="540"/>
                <w:tab w:val="left" w:pos="1080"/>
                <w:tab w:val="left" w:pos="1620"/>
                <w:tab w:val="left" w:pos="2160"/>
              </w:tabs>
            </w:pPr>
            <w:r w:rsidRPr="00362517">
              <w:rPr>
                <w:sz w:val="22"/>
                <w:szCs w:val="22"/>
              </w:rPr>
              <w:t>Compare poison control center reports to actual toxic exposures presented to an urban area hospital</w:t>
            </w:r>
          </w:p>
        </w:tc>
        <w:tc>
          <w:tcPr>
            <w:tcW w:w="1324" w:type="pct"/>
            <w:tcBorders>
              <w:top w:val="single" w:sz="4" w:space="0" w:color="auto"/>
              <w:left w:val="single" w:sz="4" w:space="0" w:color="auto"/>
              <w:bottom w:val="single" w:sz="4" w:space="0" w:color="auto"/>
              <w:right w:val="double" w:sz="4" w:space="0" w:color="auto"/>
            </w:tcBorders>
            <w:vAlign w:val="center"/>
            <w:hideMark/>
          </w:tcPr>
          <w:p w14:paraId="5AB19C91" w14:textId="77777777" w:rsidR="00F848A1" w:rsidRPr="00362517" w:rsidRDefault="00F848A1" w:rsidP="00BF6BC7">
            <w:pPr>
              <w:keepNext/>
              <w:keepLines/>
              <w:tabs>
                <w:tab w:val="left" w:pos="540"/>
                <w:tab w:val="left" w:pos="1080"/>
                <w:tab w:val="left" w:pos="1620"/>
                <w:tab w:val="left" w:pos="2160"/>
              </w:tabs>
              <w:jc w:val="center"/>
            </w:pPr>
            <w:r w:rsidRPr="00362517">
              <w:rPr>
                <w:sz w:val="22"/>
                <w:szCs w:val="22"/>
              </w:rPr>
              <w:t>74%</w:t>
            </w:r>
            <w:r w:rsidRPr="00362517">
              <w:rPr>
                <w:sz w:val="22"/>
                <w:szCs w:val="22"/>
                <w:vertAlign w:val="superscript"/>
              </w:rPr>
              <w:t>a</w:t>
            </w:r>
          </w:p>
        </w:tc>
      </w:tr>
      <w:tr w:rsidR="00362517" w:rsidRPr="00362517" w14:paraId="5AB19C97" w14:textId="77777777" w:rsidTr="0034043F">
        <w:tc>
          <w:tcPr>
            <w:tcW w:w="614" w:type="pct"/>
            <w:tcBorders>
              <w:top w:val="single" w:sz="4" w:space="0" w:color="auto"/>
              <w:left w:val="double" w:sz="4" w:space="0" w:color="auto"/>
              <w:bottom w:val="single" w:sz="4" w:space="0" w:color="auto"/>
              <w:right w:val="single" w:sz="4" w:space="0" w:color="auto"/>
            </w:tcBorders>
            <w:vAlign w:val="center"/>
            <w:hideMark/>
          </w:tcPr>
          <w:p w14:paraId="5AB19C93" w14:textId="77777777" w:rsidR="00F848A1" w:rsidRPr="00362517" w:rsidRDefault="00F848A1" w:rsidP="00BF6BC7">
            <w:pPr>
              <w:keepNext/>
              <w:keepLines/>
              <w:tabs>
                <w:tab w:val="left" w:pos="540"/>
                <w:tab w:val="left" w:pos="1080"/>
                <w:tab w:val="left" w:pos="1620"/>
                <w:tab w:val="left" w:pos="2160"/>
              </w:tabs>
              <w:jc w:val="center"/>
            </w:pPr>
            <w:r w:rsidRPr="00362517">
              <w:rPr>
                <w:sz w:val="22"/>
                <w:szCs w:val="22"/>
              </w:rPr>
              <w:t>1983</w:t>
            </w:r>
          </w:p>
        </w:tc>
        <w:tc>
          <w:tcPr>
            <w:tcW w:w="1492" w:type="pct"/>
            <w:tcBorders>
              <w:top w:val="single" w:sz="4" w:space="0" w:color="auto"/>
              <w:left w:val="single" w:sz="4" w:space="0" w:color="auto"/>
              <w:bottom w:val="single" w:sz="4" w:space="0" w:color="auto"/>
              <w:right w:val="single" w:sz="4" w:space="0" w:color="auto"/>
            </w:tcBorders>
            <w:vAlign w:val="center"/>
            <w:hideMark/>
          </w:tcPr>
          <w:p w14:paraId="5AB19C94" w14:textId="77777777" w:rsidR="00F848A1" w:rsidRPr="00362517" w:rsidRDefault="00F848A1" w:rsidP="00BF6BC7">
            <w:pPr>
              <w:keepNext/>
              <w:keepLines/>
              <w:tabs>
                <w:tab w:val="left" w:pos="540"/>
                <w:tab w:val="left" w:pos="1080"/>
                <w:tab w:val="left" w:pos="1620"/>
                <w:tab w:val="left" w:pos="2160"/>
              </w:tabs>
            </w:pPr>
            <w:r w:rsidRPr="00362517">
              <w:rPr>
                <w:sz w:val="22"/>
                <w:szCs w:val="22"/>
              </w:rPr>
              <w:t xml:space="preserve">Patterns in Hospitals’ Use of a Regional Poison Information Center (Chafee-Bahamon </w:t>
            </w:r>
            <w:r w:rsidRPr="00362517">
              <w:rPr>
                <w:i/>
                <w:sz w:val="22"/>
                <w:szCs w:val="22"/>
              </w:rPr>
              <w:t>et al</w:t>
            </w:r>
            <w:r w:rsidRPr="00362517">
              <w:rPr>
                <w:sz w:val="22"/>
                <w:szCs w:val="22"/>
              </w:rPr>
              <w:t>., 1983)</w:t>
            </w:r>
          </w:p>
        </w:tc>
        <w:tc>
          <w:tcPr>
            <w:tcW w:w="1570" w:type="pct"/>
            <w:tcBorders>
              <w:top w:val="single" w:sz="4" w:space="0" w:color="auto"/>
              <w:left w:val="single" w:sz="4" w:space="0" w:color="auto"/>
              <w:bottom w:val="single" w:sz="4" w:space="0" w:color="auto"/>
              <w:right w:val="single" w:sz="4" w:space="0" w:color="auto"/>
            </w:tcBorders>
            <w:vAlign w:val="center"/>
            <w:hideMark/>
          </w:tcPr>
          <w:p w14:paraId="5AB19C95" w14:textId="77777777" w:rsidR="00F848A1" w:rsidRPr="00362517" w:rsidRDefault="00F848A1" w:rsidP="00BF6BC7">
            <w:pPr>
              <w:keepNext/>
              <w:keepLines/>
              <w:tabs>
                <w:tab w:val="left" w:pos="540"/>
                <w:tab w:val="left" w:pos="1080"/>
                <w:tab w:val="left" w:pos="1620"/>
                <w:tab w:val="left" w:pos="2160"/>
              </w:tabs>
            </w:pPr>
            <w:r w:rsidRPr="00362517">
              <w:rPr>
                <w:sz w:val="22"/>
                <w:szCs w:val="22"/>
              </w:rPr>
              <w:t>Observing usage patterns of a poison information center by hospital staff over a two-year period</w:t>
            </w:r>
          </w:p>
        </w:tc>
        <w:tc>
          <w:tcPr>
            <w:tcW w:w="1324" w:type="pct"/>
            <w:tcBorders>
              <w:top w:val="single" w:sz="4" w:space="0" w:color="auto"/>
              <w:left w:val="single" w:sz="4" w:space="0" w:color="auto"/>
              <w:bottom w:val="single" w:sz="4" w:space="0" w:color="auto"/>
              <w:right w:val="double" w:sz="4" w:space="0" w:color="auto"/>
            </w:tcBorders>
            <w:vAlign w:val="center"/>
            <w:hideMark/>
          </w:tcPr>
          <w:p w14:paraId="5AB19C96" w14:textId="77777777" w:rsidR="00F848A1" w:rsidRPr="00362517" w:rsidRDefault="00F848A1" w:rsidP="00BF6BC7">
            <w:pPr>
              <w:keepNext/>
              <w:keepLines/>
              <w:tabs>
                <w:tab w:val="left" w:pos="540"/>
                <w:tab w:val="left" w:pos="1080"/>
                <w:tab w:val="left" w:pos="1620"/>
                <w:tab w:val="left" w:pos="2160"/>
              </w:tabs>
              <w:jc w:val="center"/>
            </w:pPr>
            <w:r w:rsidRPr="00362517">
              <w:rPr>
                <w:sz w:val="22"/>
                <w:szCs w:val="22"/>
              </w:rPr>
              <w:t>“Sufficiently Large”</w:t>
            </w:r>
            <w:r w:rsidRPr="00362517">
              <w:rPr>
                <w:sz w:val="22"/>
                <w:szCs w:val="22"/>
                <w:vertAlign w:val="superscript"/>
              </w:rPr>
              <w:t>b</w:t>
            </w:r>
          </w:p>
        </w:tc>
      </w:tr>
      <w:tr w:rsidR="00362517" w:rsidRPr="00362517" w14:paraId="5AB19C9C" w14:textId="77777777" w:rsidTr="0034043F">
        <w:tc>
          <w:tcPr>
            <w:tcW w:w="614" w:type="pct"/>
            <w:tcBorders>
              <w:top w:val="single" w:sz="4" w:space="0" w:color="auto"/>
              <w:left w:val="double" w:sz="4" w:space="0" w:color="auto"/>
              <w:bottom w:val="single" w:sz="4" w:space="0" w:color="auto"/>
              <w:right w:val="single" w:sz="4" w:space="0" w:color="auto"/>
            </w:tcBorders>
            <w:vAlign w:val="center"/>
            <w:hideMark/>
          </w:tcPr>
          <w:p w14:paraId="5AB19C98" w14:textId="77777777" w:rsidR="00F848A1" w:rsidRPr="00362517" w:rsidRDefault="00F848A1" w:rsidP="00BF6BC7">
            <w:pPr>
              <w:keepNext/>
              <w:keepLines/>
              <w:tabs>
                <w:tab w:val="left" w:pos="540"/>
                <w:tab w:val="left" w:pos="1080"/>
                <w:tab w:val="left" w:pos="1620"/>
                <w:tab w:val="left" w:pos="2160"/>
              </w:tabs>
              <w:jc w:val="center"/>
            </w:pPr>
            <w:r w:rsidRPr="00362517">
              <w:rPr>
                <w:sz w:val="22"/>
                <w:szCs w:val="22"/>
              </w:rPr>
              <w:t>1987</w:t>
            </w:r>
          </w:p>
        </w:tc>
        <w:tc>
          <w:tcPr>
            <w:tcW w:w="1492" w:type="pct"/>
            <w:tcBorders>
              <w:top w:val="single" w:sz="4" w:space="0" w:color="auto"/>
              <w:left w:val="single" w:sz="4" w:space="0" w:color="auto"/>
              <w:bottom w:val="single" w:sz="4" w:space="0" w:color="auto"/>
              <w:right w:val="single" w:sz="4" w:space="0" w:color="auto"/>
            </w:tcBorders>
            <w:vAlign w:val="center"/>
            <w:hideMark/>
          </w:tcPr>
          <w:p w14:paraId="5AB19C99" w14:textId="77777777" w:rsidR="00F848A1" w:rsidRPr="00362517" w:rsidRDefault="00F848A1" w:rsidP="00BF6BC7">
            <w:pPr>
              <w:keepNext/>
              <w:keepLines/>
              <w:tabs>
                <w:tab w:val="left" w:pos="540"/>
                <w:tab w:val="left" w:pos="1080"/>
                <w:tab w:val="left" w:pos="1620"/>
                <w:tab w:val="left" w:pos="2160"/>
              </w:tabs>
            </w:pPr>
            <w:r w:rsidRPr="00362517">
              <w:rPr>
                <w:sz w:val="22"/>
                <w:szCs w:val="22"/>
              </w:rPr>
              <w:t xml:space="preserve">Interpretation and Uses of Data Collected in Poison Control Centers in the United States (Veltri </w:t>
            </w:r>
            <w:r w:rsidRPr="00362517">
              <w:rPr>
                <w:i/>
                <w:sz w:val="22"/>
                <w:szCs w:val="22"/>
              </w:rPr>
              <w:t>et al</w:t>
            </w:r>
            <w:r w:rsidRPr="00362517">
              <w:rPr>
                <w:sz w:val="22"/>
                <w:szCs w:val="22"/>
              </w:rPr>
              <w:t>., 1987)</w:t>
            </w:r>
          </w:p>
        </w:tc>
        <w:tc>
          <w:tcPr>
            <w:tcW w:w="1570" w:type="pct"/>
            <w:tcBorders>
              <w:top w:val="single" w:sz="4" w:space="0" w:color="auto"/>
              <w:left w:val="single" w:sz="4" w:space="0" w:color="auto"/>
              <w:bottom w:val="single" w:sz="4" w:space="0" w:color="auto"/>
              <w:right w:val="single" w:sz="4" w:space="0" w:color="auto"/>
            </w:tcBorders>
            <w:vAlign w:val="center"/>
            <w:hideMark/>
          </w:tcPr>
          <w:p w14:paraId="5AB19C9A" w14:textId="77777777" w:rsidR="00F848A1" w:rsidRPr="00362517" w:rsidRDefault="00F848A1" w:rsidP="00BF6BC7">
            <w:pPr>
              <w:keepNext/>
              <w:keepLines/>
              <w:tabs>
                <w:tab w:val="left" w:pos="540"/>
                <w:tab w:val="left" w:pos="1080"/>
                <w:tab w:val="left" w:pos="1620"/>
                <w:tab w:val="left" w:pos="2160"/>
              </w:tabs>
            </w:pPr>
            <w:r w:rsidRPr="00362517">
              <w:rPr>
                <w:sz w:val="22"/>
                <w:szCs w:val="22"/>
              </w:rPr>
              <w:t>Identifying the strengths and weaknesses of the American Association of Poison Control Centers National Data Collection System</w:t>
            </w:r>
          </w:p>
        </w:tc>
        <w:tc>
          <w:tcPr>
            <w:tcW w:w="1324" w:type="pct"/>
            <w:tcBorders>
              <w:top w:val="single" w:sz="4" w:space="0" w:color="auto"/>
              <w:left w:val="single" w:sz="4" w:space="0" w:color="auto"/>
              <w:bottom w:val="single" w:sz="4" w:space="0" w:color="auto"/>
              <w:right w:val="double" w:sz="4" w:space="0" w:color="auto"/>
            </w:tcBorders>
            <w:vAlign w:val="center"/>
            <w:hideMark/>
          </w:tcPr>
          <w:p w14:paraId="5AB19C9B" w14:textId="77777777" w:rsidR="00F848A1" w:rsidRPr="00362517" w:rsidRDefault="00F848A1" w:rsidP="00BF6BC7">
            <w:pPr>
              <w:keepNext/>
              <w:keepLines/>
              <w:tabs>
                <w:tab w:val="left" w:pos="540"/>
                <w:tab w:val="left" w:pos="1080"/>
                <w:tab w:val="left" w:pos="1620"/>
                <w:tab w:val="left" w:pos="2160"/>
              </w:tabs>
              <w:jc w:val="center"/>
            </w:pPr>
            <w:r w:rsidRPr="00362517">
              <w:rPr>
                <w:sz w:val="22"/>
                <w:szCs w:val="22"/>
              </w:rPr>
              <w:t>67%</w:t>
            </w:r>
          </w:p>
        </w:tc>
      </w:tr>
      <w:tr w:rsidR="00362517" w:rsidRPr="00362517" w14:paraId="5AB19CA1" w14:textId="77777777" w:rsidTr="0034043F">
        <w:tc>
          <w:tcPr>
            <w:tcW w:w="614" w:type="pct"/>
            <w:tcBorders>
              <w:top w:val="single" w:sz="4" w:space="0" w:color="auto"/>
              <w:left w:val="double" w:sz="4" w:space="0" w:color="auto"/>
              <w:bottom w:val="single" w:sz="4" w:space="0" w:color="auto"/>
              <w:right w:val="single" w:sz="4" w:space="0" w:color="auto"/>
            </w:tcBorders>
            <w:vAlign w:val="center"/>
          </w:tcPr>
          <w:p w14:paraId="5AB19C9D" w14:textId="77777777" w:rsidR="00F848A1" w:rsidRPr="00362517" w:rsidRDefault="00F848A1" w:rsidP="00BF6BC7">
            <w:pPr>
              <w:keepNext/>
              <w:keepLines/>
              <w:tabs>
                <w:tab w:val="left" w:pos="540"/>
                <w:tab w:val="left" w:pos="1080"/>
                <w:tab w:val="left" w:pos="1620"/>
                <w:tab w:val="left" w:pos="2160"/>
              </w:tabs>
              <w:jc w:val="center"/>
            </w:pPr>
            <w:r w:rsidRPr="00362517">
              <w:rPr>
                <w:sz w:val="22"/>
                <w:szCs w:val="22"/>
              </w:rPr>
              <w:t>2006</w:t>
            </w:r>
          </w:p>
        </w:tc>
        <w:tc>
          <w:tcPr>
            <w:tcW w:w="1492" w:type="pct"/>
            <w:tcBorders>
              <w:top w:val="single" w:sz="4" w:space="0" w:color="auto"/>
              <w:left w:val="single" w:sz="4" w:space="0" w:color="auto"/>
              <w:bottom w:val="single" w:sz="4" w:space="0" w:color="auto"/>
              <w:right w:val="single" w:sz="4" w:space="0" w:color="auto"/>
            </w:tcBorders>
            <w:vAlign w:val="center"/>
          </w:tcPr>
          <w:p w14:paraId="5AB19C9E" w14:textId="77777777" w:rsidR="00F848A1" w:rsidRPr="00362517" w:rsidRDefault="00F848A1" w:rsidP="00BF6BC7">
            <w:pPr>
              <w:keepNext/>
              <w:keepLines/>
              <w:tabs>
                <w:tab w:val="left" w:pos="540"/>
                <w:tab w:val="left" w:pos="1080"/>
                <w:tab w:val="left" w:pos="1620"/>
                <w:tab w:val="left" w:pos="2160"/>
              </w:tabs>
            </w:pPr>
            <w:r w:rsidRPr="00362517">
              <w:rPr>
                <w:sz w:val="22"/>
                <w:szCs w:val="22"/>
              </w:rPr>
              <w:t>California Surveillance for Pesticide-Related Illness and Injury: Coverage, Bias, and Limitations (Mehler,</w:t>
            </w:r>
            <w:r w:rsidRPr="00362517">
              <w:rPr>
                <w:i/>
                <w:sz w:val="22"/>
                <w:szCs w:val="22"/>
              </w:rPr>
              <w:t xml:space="preserve"> et al.,</w:t>
            </w:r>
            <w:r w:rsidRPr="00362517">
              <w:rPr>
                <w:sz w:val="22"/>
                <w:szCs w:val="22"/>
              </w:rPr>
              <w:t xml:space="preserve"> 2006)  </w:t>
            </w:r>
          </w:p>
        </w:tc>
        <w:tc>
          <w:tcPr>
            <w:tcW w:w="1570" w:type="pct"/>
            <w:tcBorders>
              <w:top w:val="single" w:sz="4" w:space="0" w:color="auto"/>
              <w:left w:val="single" w:sz="4" w:space="0" w:color="auto"/>
              <w:bottom w:val="single" w:sz="4" w:space="0" w:color="auto"/>
              <w:right w:val="single" w:sz="4" w:space="0" w:color="auto"/>
            </w:tcBorders>
            <w:vAlign w:val="center"/>
          </w:tcPr>
          <w:p w14:paraId="5AB19C9F" w14:textId="77777777" w:rsidR="00F848A1" w:rsidRPr="00362517" w:rsidRDefault="00F848A1" w:rsidP="00BF6BC7">
            <w:pPr>
              <w:keepNext/>
              <w:keepLines/>
              <w:tabs>
                <w:tab w:val="left" w:pos="540"/>
                <w:tab w:val="left" w:pos="1080"/>
                <w:tab w:val="left" w:pos="1620"/>
                <w:tab w:val="left" w:pos="2160"/>
              </w:tabs>
            </w:pPr>
            <w:r w:rsidRPr="00362517">
              <w:rPr>
                <w:sz w:val="22"/>
                <w:szCs w:val="22"/>
              </w:rPr>
              <w:t>Evaluate the strengths and weaknesses of the California Pesticide Illness Surveillance Program</w:t>
            </w:r>
          </w:p>
        </w:tc>
        <w:tc>
          <w:tcPr>
            <w:tcW w:w="1324" w:type="pct"/>
            <w:tcBorders>
              <w:top w:val="single" w:sz="4" w:space="0" w:color="auto"/>
              <w:left w:val="single" w:sz="4" w:space="0" w:color="auto"/>
              <w:bottom w:val="single" w:sz="4" w:space="0" w:color="auto"/>
              <w:right w:val="double" w:sz="4" w:space="0" w:color="auto"/>
            </w:tcBorders>
            <w:vAlign w:val="center"/>
          </w:tcPr>
          <w:p w14:paraId="5AB19CA0" w14:textId="77777777" w:rsidR="00F848A1" w:rsidRPr="00362517" w:rsidRDefault="00F848A1" w:rsidP="00BF6BC7">
            <w:pPr>
              <w:keepNext/>
              <w:keepLines/>
              <w:tabs>
                <w:tab w:val="left" w:pos="540"/>
                <w:tab w:val="left" w:pos="1080"/>
                <w:tab w:val="left" w:pos="1620"/>
                <w:tab w:val="left" w:pos="2160"/>
              </w:tabs>
              <w:jc w:val="center"/>
            </w:pPr>
            <w:r w:rsidRPr="00362517">
              <w:rPr>
                <w:sz w:val="22"/>
                <w:szCs w:val="22"/>
              </w:rPr>
              <w:t>47% of hospitalizations for agricultural workers, 84% of poison control reports for all occupational exposure</w:t>
            </w:r>
          </w:p>
        </w:tc>
      </w:tr>
      <w:tr w:rsidR="00362517" w:rsidRPr="00362517" w14:paraId="5AB19CA6" w14:textId="77777777" w:rsidTr="0034043F">
        <w:tc>
          <w:tcPr>
            <w:tcW w:w="614" w:type="pct"/>
            <w:tcBorders>
              <w:top w:val="single" w:sz="4" w:space="0" w:color="auto"/>
              <w:left w:val="double" w:sz="4" w:space="0" w:color="auto"/>
              <w:bottom w:val="single" w:sz="4" w:space="0" w:color="auto"/>
              <w:right w:val="single" w:sz="4" w:space="0" w:color="auto"/>
            </w:tcBorders>
            <w:vAlign w:val="center"/>
            <w:hideMark/>
          </w:tcPr>
          <w:p w14:paraId="5AB19CA2" w14:textId="77777777" w:rsidR="00F848A1" w:rsidRPr="00362517" w:rsidRDefault="00F848A1" w:rsidP="00BF6BC7">
            <w:pPr>
              <w:keepNext/>
              <w:keepLines/>
              <w:tabs>
                <w:tab w:val="left" w:pos="540"/>
                <w:tab w:val="left" w:pos="1080"/>
                <w:tab w:val="left" w:pos="1620"/>
                <w:tab w:val="left" w:pos="2160"/>
              </w:tabs>
              <w:jc w:val="center"/>
            </w:pPr>
            <w:r w:rsidRPr="00362517">
              <w:rPr>
                <w:sz w:val="22"/>
                <w:szCs w:val="22"/>
              </w:rPr>
              <w:t>2008</w:t>
            </w:r>
          </w:p>
        </w:tc>
        <w:tc>
          <w:tcPr>
            <w:tcW w:w="1492" w:type="pct"/>
            <w:tcBorders>
              <w:top w:val="single" w:sz="4" w:space="0" w:color="auto"/>
              <w:left w:val="single" w:sz="4" w:space="0" w:color="auto"/>
              <w:bottom w:val="single" w:sz="4" w:space="0" w:color="auto"/>
              <w:right w:val="single" w:sz="4" w:space="0" w:color="auto"/>
            </w:tcBorders>
            <w:vAlign w:val="center"/>
            <w:hideMark/>
          </w:tcPr>
          <w:p w14:paraId="5AB19CA3" w14:textId="77777777" w:rsidR="00F848A1" w:rsidRPr="00362517" w:rsidRDefault="00F848A1" w:rsidP="00BF6BC7">
            <w:pPr>
              <w:keepNext/>
              <w:keepLines/>
              <w:tabs>
                <w:tab w:val="left" w:pos="540"/>
                <w:tab w:val="left" w:pos="1080"/>
                <w:tab w:val="left" w:pos="1620"/>
                <w:tab w:val="left" w:pos="2160"/>
              </w:tabs>
            </w:pPr>
            <w:r w:rsidRPr="00362517">
              <w:rPr>
                <w:sz w:val="22"/>
                <w:szCs w:val="22"/>
              </w:rPr>
              <w:t>Hidden Tragedy: Underreporting of Workplace Injuries and Illnesses (US House of Representatives, 2008)</w:t>
            </w:r>
          </w:p>
        </w:tc>
        <w:tc>
          <w:tcPr>
            <w:tcW w:w="1570" w:type="pct"/>
            <w:tcBorders>
              <w:top w:val="single" w:sz="4" w:space="0" w:color="auto"/>
              <w:left w:val="single" w:sz="4" w:space="0" w:color="auto"/>
              <w:bottom w:val="single" w:sz="4" w:space="0" w:color="auto"/>
              <w:right w:val="single" w:sz="4" w:space="0" w:color="auto"/>
            </w:tcBorders>
            <w:vAlign w:val="center"/>
            <w:hideMark/>
          </w:tcPr>
          <w:p w14:paraId="5AB19CA4" w14:textId="77777777" w:rsidR="00F848A1" w:rsidRPr="00362517" w:rsidRDefault="00F848A1" w:rsidP="00BF6BC7">
            <w:pPr>
              <w:keepNext/>
              <w:keepLines/>
              <w:tabs>
                <w:tab w:val="left" w:pos="540"/>
                <w:tab w:val="left" w:pos="1080"/>
                <w:tab w:val="left" w:pos="1620"/>
                <w:tab w:val="left" w:pos="2160"/>
              </w:tabs>
            </w:pPr>
            <w:r w:rsidRPr="00362517">
              <w:rPr>
                <w:sz w:val="22"/>
                <w:szCs w:val="22"/>
              </w:rPr>
              <w:t>Identifying issues involving the inclusiveness of reported workplace injuries and illnesses</w:t>
            </w:r>
          </w:p>
        </w:tc>
        <w:tc>
          <w:tcPr>
            <w:tcW w:w="1324" w:type="pct"/>
            <w:tcBorders>
              <w:top w:val="single" w:sz="4" w:space="0" w:color="auto"/>
              <w:left w:val="single" w:sz="4" w:space="0" w:color="auto"/>
              <w:bottom w:val="single" w:sz="4" w:space="0" w:color="auto"/>
              <w:right w:val="double" w:sz="4" w:space="0" w:color="auto"/>
            </w:tcBorders>
            <w:vAlign w:val="center"/>
            <w:hideMark/>
          </w:tcPr>
          <w:p w14:paraId="5AB19CA5" w14:textId="77777777" w:rsidR="00F848A1" w:rsidRPr="00362517" w:rsidRDefault="00F848A1" w:rsidP="00BF6BC7">
            <w:pPr>
              <w:keepNext/>
              <w:keepLines/>
              <w:tabs>
                <w:tab w:val="left" w:pos="540"/>
                <w:tab w:val="left" w:pos="1080"/>
                <w:tab w:val="left" w:pos="1620"/>
                <w:tab w:val="left" w:pos="2160"/>
              </w:tabs>
              <w:jc w:val="center"/>
            </w:pPr>
            <w:r w:rsidRPr="00362517">
              <w:rPr>
                <w:sz w:val="22"/>
                <w:szCs w:val="22"/>
              </w:rPr>
              <w:t>69%</w:t>
            </w:r>
          </w:p>
        </w:tc>
      </w:tr>
      <w:tr w:rsidR="00362517" w:rsidRPr="00362517" w14:paraId="5AB19CAB" w14:textId="77777777" w:rsidTr="0034043F">
        <w:tc>
          <w:tcPr>
            <w:tcW w:w="614" w:type="pct"/>
            <w:tcBorders>
              <w:top w:val="single" w:sz="4" w:space="0" w:color="auto"/>
              <w:left w:val="double" w:sz="4" w:space="0" w:color="auto"/>
              <w:bottom w:val="single" w:sz="4" w:space="0" w:color="auto"/>
              <w:right w:val="single" w:sz="4" w:space="0" w:color="auto"/>
            </w:tcBorders>
            <w:vAlign w:val="center"/>
            <w:hideMark/>
          </w:tcPr>
          <w:p w14:paraId="5AB19CA7" w14:textId="77777777" w:rsidR="00F848A1" w:rsidRPr="00362517" w:rsidRDefault="00F848A1" w:rsidP="00BF6BC7">
            <w:pPr>
              <w:keepNext/>
              <w:keepLines/>
              <w:tabs>
                <w:tab w:val="left" w:pos="540"/>
                <w:tab w:val="left" w:pos="1080"/>
                <w:tab w:val="left" w:pos="1620"/>
                <w:tab w:val="left" w:pos="2160"/>
              </w:tabs>
              <w:jc w:val="center"/>
            </w:pPr>
            <w:r w:rsidRPr="00362517">
              <w:rPr>
                <w:sz w:val="22"/>
                <w:szCs w:val="22"/>
              </w:rPr>
              <w:t>2008</w:t>
            </w:r>
          </w:p>
        </w:tc>
        <w:tc>
          <w:tcPr>
            <w:tcW w:w="1492" w:type="pct"/>
            <w:tcBorders>
              <w:top w:val="single" w:sz="4" w:space="0" w:color="auto"/>
              <w:left w:val="single" w:sz="4" w:space="0" w:color="auto"/>
              <w:bottom w:val="single" w:sz="4" w:space="0" w:color="auto"/>
              <w:right w:val="single" w:sz="4" w:space="0" w:color="auto"/>
            </w:tcBorders>
            <w:vAlign w:val="center"/>
            <w:hideMark/>
          </w:tcPr>
          <w:p w14:paraId="5AB19CA8" w14:textId="77777777" w:rsidR="00F848A1" w:rsidRPr="00362517" w:rsidRDefault="00F848A1" w:rsidP="00BF6BC7">
            <w:pPr>
              <w:keepNext/>
              <w:keepLines/>
              <w:tabs>
                <w:tab w:val="left" w:pos="540"/>
                <w:tab w:val="left" w:pos="1080"/>
                <w:tab w:val="left" w:pos="1620"/>
                <w:tab w:val="left" w:pos="2160"/>
              </w:tabs>
            </w:pPr>
            <w:r w:rsidRPr="00362517">
              <w:rPr>
                <w:sz w:val="22"/>
                <w:szCs w:val="22"/>
              </w:rPr>
              <w:t>Examining Evidence on Whether BLS Undercounts Workplace Injuries and Illnesses (Ruser, 2008)</w:t>
            </w:r>
          </w:p>
        </w:tc>
        <w:tc>
          <w:tcPr>
            <w:tcW w:w="1570" w:type="pct"/>
            <w:tcBorders>
              <w:top w:val="single" w:sz="4" w:space="0" w:color="auto"/>
              <w:left w:val="single" w:sz="4" w:space="0" w:color="auto"/>
              <w:bottom w:val="single" w:sz="4" w:space="0" w:color="auto"/>
              <w:right w:val="single" w:sz="4" w:space="0" w:color="auto"/>
            </w:tcBorders>
            <w:vAlign w:val="center"/>
            <w:hideMark/>
          </w:tcPr>
          <w:p w14:paraId="5AB19CA9" w14:textId="77777777" w:rsidR="00F848A1" w:rsidRPr="00362517" w:rsidRDefault="00F848A1" w:rsidP="00BF6BC7">
            <w:pPr>
              <w:keepNext/>
              <w:keepLines/>
              <w:tabs>
                <w:tab w:val="left" w:pos="540"/>
                <w:tab w:val="left" w:pos="1080"/>
                <w:tab w:val="left" w:pos="1620"/>
                <w:tab w:val="left" w:pos="2160"/>
              </w:tabs>
            </w:pPr>
            <w:r w:rsidRPr="00362517">
              <w:rPr>
                <w:sz w:val="22"/>
                <w:szCs w:val="22"/>
              </w:rPr>
              <w:t>Identifying underreporting for the Bureau of Labor Statistics, and how they can be corrected</w:t>
            </w:r>
          </w:p>
        </w:tc>
        <w:tc>
          <w:tcPr>
            <w:tcW w:w="1324" w:type="pct"/>
            <w:tcBorders>
              <w:top w:val="single" w:sz="4" w:space="0" w:color="auto"/>
              <w:left w:val="single" w:sz="4" w:space="0" w:color="auto"/>
              <w:bottom w:val="single" w:sz="4" w:space="0" w:color="auto"/>
              <w:right w:val="double" w:sz="4" w:space="0" w:color="auto"/>
            </w:tcBorders>
            <w:vAlign w:val="center"/>
            <w:hideMark/>
          </w:tcPr>
          <w:p w14:paraId="5AB19CAA" w14:textId="77777777" w:rsidR="00F848A1" w:rsidRPr="00362517" w:rsidRDefault="00F848A1" w:rsidP="00BF6BC7">
            <w:pPr>
              <w:keepNext/>
              <w:keepLines/>
              <w:tabs>
                <w:tab w:val="left" w:pos="540"/>
                <w:tab w:val="left" w:pos="1080"/>
                <w:tab w:val="left" w:pos="1620"/>
                <w:tab w:val="left" w:pos="2160"/>
              </w:tabs>
              <w:jc w:val="center"/>
            </w:pPr>
            <w:r w:rsidRPr="00362517">
              <w:rPr>
                <w:sz w:val="22"/>
                <w:szCs w:val="22"/>
              </w:rPr>
              <w:t>20-70%</w:t>
            </w:r>
            <w:r w:rsidRPr="00362517">
              <w:rPr>
                <w:sz w:val="22"/>
                <w:szCs w:val="22"/>
                <w:vertAlign w:val="superscript"/>
              </w:rPr>
              <w:t>c</w:t>
            </w:r>
          </w:p>
        </w:tc>
      </w:tr>
      <w:tr w:rsidR="00362517" w:rsidRPr="00362517" w14:paraId="5AB19CB1" w14:textId="77777777" w:rsidTr="0034043F">
        <w:tc>
          <w:tcPr>
            <w:tcW w:w="614" w:type="pct"/>
            <w:tcBorders>
              <w:top w:val="single" w:sz="4" w:space="0" w:color="auto"/>
              <w:left w:val="double" w:sz="4" w:space="0" w:color="auto"/>
              <w:bottom w:val="double" w:sz="4" w:space="0" w:color="auto"/>
              <w:right w:val="single" w:sz="4" w:space="0" w:color="auto"/>
            </w:tcBorders>
            <w:vAlign w:val="center"/>
          </w:tcPr>
          <w:p w14:paraId="5AB19CAC" w14:textId="77777777" w:rsidR="00F848A1" w:rsidRPr="00362517" w:rsidRDefault="00F848A1" w:rsidP="00BF6BC7">
            <w:pPr>
              <w:keepNext/>
              <w:keepLines/>
              <w:tabs>
                <w:tab w:val="left" w:pos="540"/>
                <w:tab w:val="left" w:pos="1080"/>
                <w:tab w:val="left" w:pos="1620"/>
                <w:tab w:val="left" w:pos="2160"/>
              </w:tabs>
              <w:jc w:val="center"/>
            </w:pPr>
            <w:r w:rsidRPr="00362517">
              <w:rPr>
                <w:sz w:val="22"/>
                <w:szCs w:val="22"/>
              </w:rPr>
              <w:t>2008</w:t>
            </w:r>
          </w:p>
        </w:tc>
        <w:tc>
          <w:tcPr>
            <w:tcW w:w="1492" w:type="pct"/>
            <w:tcBorders>
              <w:top w:val="single" w:sz="4" w:space="0" w:color="auto"/>
              <w:left w:val="single" w:sz="4" w:space="0" w:color="auto"/>
              <w:bottom w:val="double" w:sz="4" w:space="0" w:color="auto"/>
              <w:right w:val="single" w:sz="4" w:space="0" w:color="auto"/>
            </w:tcBorders>
            <w:vAlign w:val="center"/>
          </w:tcPr>
          <w:p w14:paraId="5AB19CAD" w14:textId="77777777" w:rsidR="00F848A1" w:rsidRPr="00362517" w:rsidRDefault="00F848A1" w:rsidP="00BF6BC7">
            <w:pPr>
              <w:keepNext/>
              <w:keepLines/>
              <w:tabs>
                <w:tab w:val="left" w:pos="540"/>
                <w:tab w:val="left" w:pos="1080"/>
                <w:tab w:val="left" w:pos="1620"/>
                <w:tab w:val="left" w:pos="2160"/>
              </w:tabs>
            </w:pPr>
            <w:r w:rsidRPr="00362517">
              <w:rPr>
                <w:sz w:val="22"/>
                <w:szCs w:val="22"/>
              </w:rPr>
              <w:t>Acute Pesticide Poisoning Among Agricultural</w:t>
            </w:r>
          </w:p>
          <w:p w14:paraId="5AB19CAE" w14:textId="77777777" w:rsidR="00F848A1" w:rsidRPr="00362517" w:rsidRDefault="00F848A1" w:rsidP="00BF6BC7">
            <w:pPr>
              <w:keepNext/>
              <w:keepLines/>
              <w:tabs>
                <w:tab w:val="left" w:pos="540"/>
                <w:tab w:val="left" w:pos="1080"/>
                <w:tab w:val="left" w:pos="1620"/>
                <w:tab w:val="left" w:pos="2160"/>
              </w:tabs>
            </w:pPr>
            <w:r w:rsidRPr="00362517">
              <w:rPr>
                <w:sz w:val="22"/>
                <w:szCs w:val="22"/>
              </w:rPr>
              <w:t xml:space="preserve">Workers in the United States, 1998–2005 (Calvert, </w:t>
            </w:r>
            <w:r w:rsidRPr="00362517">
              <w:rPr>
                <w:i/>
                <w:sz w:val="22"/>
                <w:szCs w:val="22"/>
              </w:rPr>
              <w:t>et al.</w:t>
            </w:r>
            <w:r w:rsidRPr="00362517">
              <w:rPr>
                <w:sz w:val="22"/>
                <w:szCs w:val="22"/>
              </w:rPr>
              <w:t>, 2008)</w:t>
            </w:r>
          </w:p>
        </w:tc>
        <w:tc>
          <w:tcPr>
            <w:tcW w:w="1570" w:type="pct"/>
            <w:tcBorders>
              <w:top w:val="single" w:sz="4" w:space="0" w:color="auto"/>
              <w:left w:val="single" w:sz="4" w:space="0" w:color="auto"/>
              <w:bottom w:val="double" w:sz="4" w:space="0" w:color="auto"/>
              <w:right w:val="single" w:sz="4" w:space="0" w:color="auto"/>
            </w:tcBorders>
            <w:vAlign w:val="center"/>
          </w:tcPr>
          <w:p w14:paraId="5AB19CAF" w14:textId="77777777" w:rsidR="00F848A1" w:rsidRPr="00362517" w:rsidRDefault="00F848A1" w:rsidP="00BF6BC7">
            <w:pPr>
              <w:keepNext/>
              <w:keepLines/>
              <w:tabs>
                <w:tab w:val="left" w:pos="540"/>
                <w:tab w:val="left" w:pos="1080"/>
                <w:tab w:val="left" w:pos="1620"/>
                <w:tab w:val="left" w:pos="2160"/>
              </w:tabs>
            </w:pPr>
            <w:r w:rsidRPr="00362517">
              <w:rPr>
                <w:sz w:val="22"/>
                <w:szCs w:val="22"/>
              </w:rPr>
              <w:t>Identifying agricultural pesticide exposure incidents and estimate incident rates</w:t>
            </w:r>
          </w:p>
        </w:tc>
        <w:tc>
          <w:tcPr>
            <w:tcW w:w="1324" w:type="pct"/>
            <w:tcBorders>
              <w:top w:val="single" w:sz="4" w:space="0" w:color="auto"/>
              <w:left w:val="single" w:sz="4" w:space="0" w:color="auto"/>
              <w:bottom w:val="double" w:sz="4" w:space="0" w:color="auto"/>
              <w:right w:val="double" w:sz="4" w:space="0" w:color="auto"/>
            </w:tcBorders>
            <w:vAlign w:val="center"/>
          </w:tcPr>
          <w:p w14:paraId="5AB19CB0" w14:textId="77777777" w:rsidR="00F848A1" w:rsidRPr="00362517" w:rsidRDefault="00F848A1" w:rsidP="00BF6BC7">
            <w:pPr>
              <w:keepNext/>
              <w:keepLines/>
              <w:tabs>
                <w:tab w:val="left" w:pos="540"/>
                <w:tab w:val="left" w:pos="1080"/>
                <w:tab w:val="left" w:pos="1620"/>
                <w:tab w:val="left" w:pos="2160"/>
              </w:tabs>
              <w:jc w:val="center"/>
            </w:pPr>
            <w:r w:rsidRPr="00362517">
              <w:rPr>
                <w:sz w:val="22"/>
                <w:szCs w:val="22"/>
              </w:rPr>
              <w:t>88% to 95%, when compared to the Department of Labor National Agricultural Workers Survey</w:t>
            </w:r>
            <w:r w:rsidRPr="00362517">
              <w:rPr>
                <w:sz w:val="22"/>
                <w:szCs w:val="22"/>
                <w:vertAlign w:val="superscript"/>
              </w:rPr>
              <w:t>d</w:t>
            </w:r>
          </w:p>
        </w:tc>
      </w:tr>
      <w:tr w:rsidR="00F848A1" w:rsidRPr="00362517" w14:paraId="5AB19CB7" w14:textId="77777777" w:rsidTr="0034043F">
        <w:tc>
          <w:tcPr>
            <w:tcW w:w="5000" w:type="pct"/>
            <w:gridSpan w:val="4"/>
            <w:tcBorders>
              <w:top w:val="double" w:sz="4" w:space="0" w:color="auto"/>
              <w:left w:val="double" w:sz="4" w:space="0" w:color="auto"/>
              <w:bottom w:val="double" w:sz="4" w:space="0" w:color="auto"/>
              <w:right w:val="double" w:sz="4" w:space="0" w:color="auto"/>
            </w:tcBorders>
            <w:hideMark/>
          </w:tcPr>
          <w:p w14:paraId="5AB19CB2" w14:textId="77777777" w:rsidR="00F848A1" w:rsidRPr="00362517" w:rsidRDefault="00F848A1" w:rsidP="00BF6BC7">
            <w:pPr>
              <w:keepNext/>
              <w:keepLines/>
              <w:tabs>
                <w:tab w:val="left" w:pos="540"/>
                <w:tab w:val="left" w:pos="1080"/>
                <w:tab w:val="left" w:pos="1620"/>
                <w:tab w:val="left" w:pos="2160"/>
              </w:tabs>
              <w:rPr>
                <w:sz w:val="18"/>
                <w:szCs w:val="18"/>
              </w:rPr>
            </w:pPr>
            <w:r w:rsidRPr="00362517">
              <w:rPr>
                <w:sz w:val="18"/>
                <w:szCs w:val="18"/>
              </w:rPr>
              <w:t xml:space="preserve">Notes: </w:t>
            </w:r>
          </w:p>
          <w:p w14:paraId="5AB19CB3" w14:textId="77777777" w:rsidR="00F848A1" w:rsidRPr="00362517" w:rsidRDefault="00F848A1" w:rsidP="00BF6BC7">
            <w:pPr>
              <w:keepNext/>
              <w:keepLines/>
              <w:tabs>
                <w:tab w:val="left" w:pos="540"/>
                <w:tab w:val="left" w:pos="1080"/>
                <w:tab w:val="left" w:pos="1620"/>
                <w:tab w:val="left" w:pos="2160"/>
              </w:tabs>
              <w:rPr>
                <w:sz w:val="18"/>
                <w:szCs w:val="18"/>
              </w:rPr>
            </w:pPr>
            <w:r w:rsidRPr="00362517">
              <w:rPr>
                <w:sz w:val="18"/>
                <w:szCs w:val="18"/>
                <w:vertAlign w:val="superscript"/>
              </w:rPr>
              <w:t>a</w:t>
            </w:r>
            <w:r w:rsidRPr="00362517">
              <w:rPr>
                <w:sz w:val="18"/>
                <w:szCs w:val="18"/>
              </w:rPr>
              <w:t xml:space="preserve"> The Emergency Medical Dispatcher evaluated found only 26% of cases were relayed to the regional Poison Control Center; resulting in underreport of 74%</w:t>
            </w:r>
          </w:p>
          <w:p w14:paraId="5AB19CB4" w14:textId="77777777" w:rsidR="00F848A1" w:rsidRPr="00362517" w:rsidRDefault="00F848A1" w:rsidP="00BF6BC7">
            <w:pPr>
              <w:keepNext/>
              <w:keepLines/>
              <w:tabs>
                <w:tab w:val="left" w:pos="540"/>
                <w:tab w:val="left" w:pos="1080"/>
                <w:tab w:val="left" w:pos="1620"/>
                <w:tab w:val="left" w:pos="2160"/>
              </w:tabs>
              <w:rPr>
                <w:sz w:val="18"/>
                <w:szCs w:val="18"/>
              </w:rPr>
            </w:pPr>
            <w:r w:rsidRPr="00362517">
              <w:rPr>
                <w:sz w:val="18"/>
                <w:szCs w:val="18"/>
                <w:vertAlign w:val="superscript"/>
              </w:rPr>
              <w:t xml:space="preserve">b </w:t>
            </w:r>
            <w:r w:rsidRPr="00362517">
              <w:rPr>
                <w:sz w:val="18"/>
                <w:szCs w:val="18"/>
              </w:rPr>
              <w:t>“Sufficiently Large” represents the authors’ interpretation of the differences between hospital’s poisoning reports and the hospital records, indicating a problematic discrepancy.</w:t>
            </w:r>
          </w:p>
          <w:p w14:paraId="5AB19CB5" w14:textId="77777777" w:rsidR="00F848A1" w:rsidRPr="00362517" w:rsidRDefault="00F848A1" w:rsidP="00BF6BC7">
            <w:pPr>
              <w:keepNext/>
              <w:keepLines/>
              <w:tabs>
                <w:tab w:val="left" w:pos="540"/>
                <w:tab w:val="left" w:pos="1080"/>
                <w:tab w:val="left" w:pos="1620"/>
                <w:tab w:val="left" w:pos="2160"/>
              </w:tabs>
              <w:rPr>
                <w:sz w:val="18"/>
                <w:szCs w:val="18"/>
              </w:rPr>
            </w:pPr>
            <w:r w:rsidRPr="00362517">
              <w:rPr>
                <w:sz w:val="18"/>
                <w:szCs w:val="18"/>
                <w:vertAlign w:val="superscript"/>
              </w:rPr>
              <w:t>c</w:t>
            </w:r>
            <w:r w:rsidRPr="00362517">
              <w:rPr>
                <w:sz w:val="18"/>
                <w:szCs w:val="18"/>
              </w:rPr>
              <w:t xml:space="preserve"> Undercount estimates related to the Survey of Occupational Injuries and Illnesses, conducted by BLS</w:t>
            </w:r>
          </w:p>
          <w:p w14:paraId="5AB19CB6" w14:textId="77777777" w:rsidR="00F848A1" w:rsidRPr="00362517" w:rsidRDefault="00F848A1" w:rsidP="00BF6BC7">
            <w:pPr>
              <w:keepNext/>
              <w:keepLines/>
              <w:tabs>
                <w:tab w:val="left" w:pos="540"/>
                <w:tab w:val="left" w:pos="1080"/>
                <w:tab w:val="left" w:pos="1620"/>
                <w:tab w:val="left" w:pos="2160"/>
              </w:tabs>
              <w:rPr>
                <w:sz w:val="18"/>
                <w:szCs w:val="18"/>
              </w:rPr>
            </w:pPr>
            <w:r w:rsidRPr="00362517">
              <w:rPr>
                <w:sz w:val="18"/>
                <w:szCs w:val="18"/>
                <w:vertAlign w:val="superscript"/>
              </w:rPr>
              <w:t xml:space="preserve">d </w:t>
            </w:r>
            <w:r w:rsidRPr="00362517">
              <w:rPr>
                <w:sz w:val="18"/>
                <w:szCs w:val="18"/>
              </w:rPr>
              <w:t>Based on calculation in Calvert et al., 2008, comparing SENSOR-Pesticides to the National Agricultural Workers Survey</w:t>
            </w:r>
          </w:p>
        </w:tc>
      </w:tr>
    </w:tbl>
    <w:p w14:paraId="5AB19CB8" w14:textId="77777777" w:rsidR="00F848A1" w:rsidRPr="00362517" w:rsidRDefault="00F848A1" w:rsidP="00BF6BC7">
      <w:pPr>
        <w:tabs>
          <w:tab w:val="left" w:pos="540"/>
          <w:tab w:val="left" w:pos="1080"/>
          <w:tab w:val="left" w:pos="1620"/>
          <w:tab w:val="left" w:pos="2160"/>
        </w:tabs>
      </w:pPr>
    </w:p>
    <w:p w14:paraId="5AB19CB9" w14:textId="77777777" w:rsidR="00F848A1" w:rsidRPr="00362517" w:rsidRDefault="00F848A1" w:rsidP="00BF6BC7">
      <w:pPr>
        <w:tabs>
          <w:tab w:val="left" w:pos="540"/>
          <w:tab w:val="left" w:pos="1080"/>
          <w:tab w:val="left" w:pos="1620"/>
          <w:tab w:val="left" w:pos="2160"/>
        </w:tabs>
        <w:rPr>
          <w:b/>
          <w:bCs/>
        </w:rPr>
      </w:pPr>
    </w:p>
    <w:p w14:paraId="5AB19CBA" w14:textId="77777777" w:rsidR="00F848A1" w:rsidRPr="00362517" w:rsidRDefault="00F848A1" w:rsidP="00BF6BC7">
      <w:pPr>
        <w:tabs>
          <w:tab w:val="left" w:pos="540"/>
          <w:tab w:val="left" w:pos="1080"/>
          <w:tab w:val="left" w:pos="1620"/>
          <w:tab w:val="left" w:pos="2160"/>
        </w:tabs>
      </w:pPr>
      <w:r w:rsidRPr="00362517">
        <w:t>The Bureau of Labor Statistics conducts an annual Survey of Occupational Injuries and Illnesses (SOII), which provides a summary on the safety of the nation’s workplaces.  Ruser (2008) estimates that the SOII undercounts occupational illnesses, but the estimate range is wide, 20 to 70 percent.  Although attempting to record injuries and illnesses on a national scale, the SOII omits some groups from the survey entirely.  Self-employed, household and small-farm workers are not recorded in the SOII.  The BLS realizes the undercount of its SOII, noting that many conditions, notably those caused by exposure to carcinogens, are often difficult to associate to the workplace.</w:t>
      </w:r>
    </w:p>
    <w:p w14:paraId="5AB19CBB" w14:textId="77777777" w:rsidR="00F848A1" w:rsidRPr="00362517" w:rsidRDefault="00F848A1" w:rsidP="00BF6BC7">
      <w:pPr>
        <w:tabs>
          <w:tab w:val="left" w:pos="540"/>
          <w:tab w:val="left" w:pos="1080"/>
          <w:tab w:val="left" w:pos="1620"/>
          <w:tab w:val="left" w:pos="2160"/>
        </w:tabs>
      </w:pPr>
    </w:p>
    <w:p w14:paraId="5AB19CBC" w14:textId="77777777" w:rsidR="00F848A1" w:rsidRPr="00362517" w:rsidRDefault="00F848A1" w:rsidP="00BF6BC7">
      <w:pPr>
        <w:tabs>
          <w:tab w:val="left" w:pos="540"/>
          <w:tab w:val="left" w:pos="1080"/>
          <w:tab w:val="left" w:pos="1620"/>
          <w:tab w:val="left" w:pos="2160"/>
        </w:tabs>
      </w:pPr>
      <w:r w:rsidRPr="00362517">
        <w:t xml:space="preserve">The House Committee on Education and Labor estimates that up to nearly 70% of illnesses and injuries may never make it to the often cited SOII (U.S. House of Representatives, 2008).  According to experts, a major cause of under-reporting may be due to the fact that employers may have certain incentives to minimize reporting, because those operations with fewer injuries and illnesses are less likely to be inspected by the Occupational Safety and Health Administration.    </w:t>
      </w:r>
    </w:p>
    <w:p w14:paraId="5AB19CBD" w14:textId="77777777" w:rsidR="00F848A1" w:rsidRPr="00362517" w:rsidRDefault="00F848A1" w:rsidP="00BF6BC7">
      <w:pPr>
        <w:tabs>
          <w:tab w:val="left" w:pos="540"/>
          <w:tab w:val="left" w:pos="1080"/>
          <w:tab w:val="left" w:pos="1620"/>
          <w:tab w:val="left" w:pos="2160"/>
        </w:tabs>
      </w:pPr>
    </w:p>
    <w:p w14:paraId="5AB19CBE" w14:textId="77777777" w:rsidR="00F848A1" w:rsidRPr="00362517" w:rsidRDefault="00F848A1" w:rsidP="00BF6BC7">
      <w:pPr>
        <w:tabs>
          <w:tab w:val="left" w:pos="540"/>
          <w:tab w:val="left" w:pos="1080"/>
          <w:tab w:val="left" w:pos="1620"/>
          <w:tab w:val="left" w:pos="2160"/>
        </w:tabs>
      </w:pPr>
      <w:r w:rsidRPr="00362517">
        <w:t>There have been three studies on undercounts involving poison control data.  The studies each focus on a specific region and compare cases reported to poison control centers with those poisonings for which there are hospital records.  In all three cases, the studies indicate a substantial under-reporting of poisoning incidents.  Note that these studies only estimate the under-reporting by physicians (</w:t>
      </w:r>
      <w:r w:rsidRPr="00362517">
        <w:rPr>
          <w:i/>
        </w:rPr>
        <w:t>i.e.</w:t>
      </w:r>
      <w:r w:rsidRPr="00362517">
        <w:t>, Step 4 in the chain of events for an event to be recorded) – poisoned people not seeking medical care or where the cause is misdiagnosed would not be counted in these studies.</w:t>
      </w:r>
    </w:p>
    <w:p w14:paraId="5AB19CBF" w14:textId="77777777" w:rsidR="00F848A1" w:rsidRPr="00362517" w:rsidRDefault="00F848A1" w:rsidP="00BF6BC7">
      <w:pPr>
        <w:tabs>
          <w:tab w:val="left" w:pos="540"/>
          <w:tab w:val="left" w:pos="1080"/>
          <w:tab w:val="left" w:pos="1620"/>
          <w:tab w:val="left" w:pos="2160"/>
        </w:tabs>
      </w:pPr>
    </w:p>
    <w:p w14:paraId="5AB19CC0" w14:textId="77777777" w:rsidR="00F848A1" w:rsidRPr="00362517" w:rsidRDefault="00F848A1" w:rsidP="00BF6BC7">
      <w:pPr>
        <w:tabs>
          <w:tab w:val="left" w:pos="540"/>
          <w:tab w:val="left" w:pos="1080"/>
          <w:tab w:val="left" w:pos="1620"/>
          <w:tab w:val="left" w:pos="2160"/>
        </w:tabs>
      </w:pPr>
      <w:r w:rsidRPr="00362517">
        <w:t xml:space="preserve">Harchelroad </w:t>
      </w:r>
      <w:r w:rsidRPr="00362517">
        <w:rPr>
          <w:i/>
        </w:rPr>
        <w:t>et al</w:t>
      </w:r>
      <w:r w:rsidRPr="00362517">
        <w:t xml:space="preserve">. (1990) compared cases, reported to Poison Control Centers (PCC), of actual toxic exposure results documented by an emergency department to a member hospital.  Of the 470 exposures that were observed by the emergency department, only 26% were ever documented and reported.  The study suggests that lack of awareness or complacency to toxic exposure on the part of the potential callers are probably the major cause for non-reporting.    </w:t>
      </w:r>
    </w:p>
    <w:p w14:paraId="5AB19CC1" w14:textId="77777777" w:rsidR="00F848A1" w:rsidRPr="00362517" w:rsidRDefault="00F848A1" w:rsidP="00BF6BC7">
      <w:pPr>
        <w:tabs>
          <w:tab w:val="left" w:pos="540"/>
          <w:tab w:val="left" w:pos="1080"/>
          <w:tab w:val="left" w:pos="1620"/>
          <w:tab w:val="left" w:pos="2160"/>
        </w:tabs>
      </w:pPr>
    </w:p>
    <w:p w14:paraId="5AB19CC2" w14:textId="77777777" w:rsidR="00F848A1" w:rsidRPr="00362517" w:rsidRDefault="00F848A1" w:rsidP="00BF6BC7">
      <w:pPr>
        <w:tabs>
          <w:tab w:val="left" w:pos="540"/>
          <w:tab w:val="left" w:pos="1080"/>
          <w:tab w:val="left" w:pos="1620"/>
          <w:tab w:val="left" w:pos="2160"/>
        </w:tabs>
      </w:pPr>
      <w:r w:rsidRPr="00362517">
        <w:t xml:space="preserve">Chafee-Bahamon </w:t>
      </w:r>
      <w:r w:rsidRPr="00362517">
        <w:rPr>
          <w:i/>
        </w:rPr>
        <w:t>et al</w:t>
      </w:r>
      <w:r w:rsidRPr="00362517">
        <w:t>. (1983) investigated the variability of reporting by different hospitals.  In similar regional hospitals, there were significant differences in the identification of poisonings among admitted patients.  The authors doubt that the large difference between the documented hospitals is due to diagnostic practices alone.  In particular, emergency room staff in rural hospitals or hospitals far from poison control centers were identified as being less likely to call poison control centers, so the cases were less likely to be recorded in poisoning databases.</w:t>
      </w:r>
    </w:p>
    <w:p w14:paraId="5AB19CC3" w14:textId="77777777" w:rsidR="00F848A1" w:rsidRPr="00362517" w:rsidRDefault="00F848A1" w:rsidP="00BF6BC7">
      <w:pPr>
        <w:tabs>
          <w:tab w:val="left" w:pos="540"/>
          <w:tab w:val="left" w:pos="1080"/>
          <w:tab w:val="left" w:pos="1620"/>
          <w:tab w:val="left" w:pos="2160"/>
        </w:tabs>
      </w:pPr>
    </w:p>
    <w:p w14:paraId="5AB19CC4" w14:textId="77777777" w:rsidR="00F848A1" w:rsidRPr="00362517" w:rsidRDefault="00F848A1" w:rsidP="00BF6BC7">
      <w:pPr>
        <w:tabs>
          <w:tab w:val="left" w:pos="540"/>
          <w:tab w:val="left" w:pos="1080"/>
          <w:tab w:val="left" w:pos="1620"/>
          <w:tab w:val="left" w:pos="2160"/>
        </w:tabs>
      </w:pPr>
      <w:r w:rsidRPr="00362517">
        <w:t xml:space="preserve">The third study, by Veltri </w:t>
      </w:r>
      <w:r w:rsidRPr="00362517">
        <w:rPr>
          <w:i/>
        </w:rPr>
        <w:t>et al</w:t>
      </w:r>
      <w:r w:rsidRPr="00362517">
        <w:t>. (1987), noted problems with the reporting of diagnoses of illnesses and injuries.  This study suggests that not only under-reporting but misreporting may occur.  In this case, only about one-third of the cases evaluated at a regional medical center could be directly matched to respective poisoning reports.  Misclassifications of illnesses and injuries are believed to be a frequent occurrence, which indicates that existing data on pesticide poisonings may be consistently low.</w:t>
      </w:r>
    </w:p>
    <w:p w14:paraId="5AB19CC5" w14:textId="77777777" w:rsidR="00F848A1" w:rsidRPr="00362517" w:rsidRDefault="00F848A1" w:rsidP="00BF6BC7">
      <w:pPr>
        <w:tabs>
          <w:tab w:val="left" w:pos="540"/>
          <w:tab w:val="left" w:pos="1080"/>
          <w:tab w:val="left" w:pos="1620"/>
          <w:tab w:val="left" w:pos="2160"/>
        </w:tabs>
      </w:pPr>
    </w:p>
    <w:p w14:paraId="5AB19CC6" w14:textId="023E43C9" w:rsidR="00F848A1" w:rsidRDefault="00F848A1" w:rsidP="00BF6BC7">
      <w:pPr>
        <w:tabs>
          <w:tab w:val="left" w:pos="540"/>
          <w:tab w:val="left" w:pos="1080"/>
          <w:tab w:val="left" w:pos="1620"/>
          <w:tab w:val="left" w:pos="2160"/>
        </w:tabs>
      </w:pPr>
      <w:r w:rsidRPr="00362517">
        <w:t xml:space="preserve">Calvert </w:t>
      </w:r>
      <w:r w:rsidRPr="00362517">
        <w:rPr>
          <w:i/>
        </w:rPr>
        <w:t>et al.</w:t>
      </w:r>
      <w:r w:rsidRPr="00362517">
        <w:t xml:space="preserve">, (2008), estimated incidence rates of agricultural pesticide poisoning, finding that, among agricultural workers annual pesticide poisonings occurred at a rate of 51 per 100,000 farmworkers.  Calvert compares these to results from the Department of Labor’s National Agricultural Worker’s Survey (NAWS), which in 1999 survey farmworkers about pesticide exposure, illness and medical treatment.  Calvert </w:t>
      </w:r>
      <w:r w:rsidRPr="00362517">
        <w:rPr>
          <w:i/>
        </w:rPr>
        <w:t xml:space="preserve">et al. </w:t>
      </w:r>
      <w:r w:rsidRPr="00362517">
        <w:t>report, based on the SENSOR-Pesticides data, that 0.07% of farmworkers suffer acute occupational pesticide poisonings annually.  They compare that to the NAWS, which reports that 1.4% of agricultural workers suffered medical symptoms as a result of pesticide exposure, and that 0.6% received medical treatment for illness from pesticide exposure.  If these numbers are correct,</w:t>
      </w:r>
      <w:r w:rsidR="00CE39C7" w:rsidRPr="00362517">
        <w:t xml:space="preserve"> it</w:t>
      </w:r>
      <w:r w:rsidR="00D710DE" w:rsidRPr="00362517">
        <w:t xml:space="preserve"> </w:t>
      </w:r>
      <w:r w:rsidRPr="00362517">
        <w:t>suggest</w:t>
      </w:r>
      <w:r w:rsidR="00CE39C7" w:rsidRPr="00362517">
        <w:t>s</w:t>
      </w:r>
      <w:r w:rsidRPr="00362517">
        <w:t xml:space="preserve"> </w:t>
      </w:r>
      <w:r w:rsidR="00CE39C7" w:rsidRPr="00362517">
        <w:t xml:space="preserve">that </w:t>
      </w:r>
      <w:r w:rsidRPr="00362517">
        <w:t>0.53% (the difference between 0.6% and 0.07%) of farmworkers received medical treatment but were not reported to the pesticide illness surveillance system, and 1.33% (the difference between 1.4% and 0.07%) suffered symptoms that were not recorded in counts of pesticide incidents.  These number</w:t>
      </w:r>
      <w:r w:rsidR="003704F0" w:rsidRPr="00362517">
        <w:t>s</w:t>
      </w:r>
      <w:r w:rsidRPr="00362517">
        <w:t xml:space="preserve"> suggest substantial underreporting: if 0.53% of the 0.6% were not recorded, that is an underreporting rate of 88%.  If we were to think about incidents including those where medical treatment is not sought, then 1.4% of farmworkers had illness from pesticide exposure, but 1.33% were not recorded, which is an underreporting rate of 95%. </w:t>
      </w:r>
    </w:p>
    <w:p w14:paraId="29BB3988" w14:textId="47D76AA6" w:rsidR="000D1CA5" w:rsidRDefault="000D1CA5" w:rsidP="00BF6BC7">
      <w:pPr>
        <w:tabs>
          <w:tab w:val="left" w:pos="540"/>
          <w:tab w:val="left" w:pos="1080"/>
          <w:tab w:val="left" w:pos="1620"/>
          <w:tab w:val="left" w:pos="2160"/>
        </w:tabs>
      </w:pPr>
    </w:p>
    <w:p w14:paraId="5AB19CC7" w14:textId="469337CF" w:rsidR="00F848A1" w:rsidRPr="00362517" w:rsidRDefault="00283C08" w:rsidP="00BF6BC7">
      <w:pPr>
        <w:tabs>
          <w:tab w:val="left" w:pos="540"/>
          <w:tab w:val="left" w:pos="1080"/>
          <w:tab w:val="left" w:pos="1620"/>
          <w:tab w:val="left" w:pos="2160"/>
        </w:tabs>
      </w:pPr>
      <w:r w:rsidRPr="00283C08">
        <w:t>The literature on under-reporting shown in Table 4.4-2 specifically addressed under-reporting of occupational injuries or chemical poisoning incidents.  However, a commenter on the Economic Analysis for the proposed rule pointed toward public health literature that contains different estimates or assumptions about under-reporting.  Scallan et al., (2001) uses a range of estimates of under-reporting to estimate the number of food-borne illnesses annually, including 50% under-reporting of deaths and hospitalizations.  This estimate is based on Mead et al., (1999), who doubled the number of reported deaths from food-borne illness to adjust for underreporting without explanation for that figure.  EPA has revised this Economic Analysis to identify the impact of both the 50% and 80% under-reporting estimates.</w:t>
      </w:r>
      <w:r w:rsidRPr="00283C08" w:rsidDel="00283C08">
        <w:t xml:space="preserve"> </w:t>
      </w:r>
    </w:p>
    <w:p w14:paraId="06B459BC" w14:textId="77777777" w:rsidR="00283C08" w:rsidRDefault="00283C08" w:rsidP="00BF6BC7">
      <w:pPr>
        <w:tabs>
          <w:tab w:val="left" w:pos="540"/>
          <w:tab w:val="left" w:pos="1080"/>
          <w:tab w:val="left" w:pos="1620"/>
          <w:tab w:val="left" w:pos="2160"/>
        </w:tabs>
      </w:pPr>
    </w:p>
    <w:p w14:paraId="5AB19CC8" w14:textId="158ABE54" w:rsidR="00F848A1" w:rsidRPr="00362517" w:rsidRDefault="00F848A1" w:rsidP="00BF6BC7">
      <w:pPr>
        <w:tabs>
          <w:tab w:val="left" w:pos="540"/>
          <w:tab w:val="left" w:pos="1080"/>
          <w:tab w:val="left" w:pos="1620"/>
          <w:tab w:val="left" w:pos="2160"/>
        </w:tabs>
      </w:pPr>
      <w:r w:rsidRPr="00362517">
        <w:t>There are additional reasons to think that pesticide incidents specifically are underreported.  The OPP Report on Incident Information (EPA, 2007) lists several factors that cause pesticide incidents to be underreported, most of which are consistent with breakdowns in steps 3 and 4 above.  According to the OPP Report on Incident Information, these include</w:t>
      </w:r>
    </w:p>
    <w:p w14:paraId="5AB19CC9" w14:textId="77777777" w:rsidR="00F848A1" w:rsidRPr="00362517" w:rsidRDefault="00F848A1" w:rsidP="00BF6BC7">
      <w:pPr>
        <w:tabs>
          <w:tab w:val="left" w:pos="540"/>
          <w:tab w:val="left" w:pos="1080"/>
          <w:tab w:val="left" w:pos="1620"/>
          <w:tab w:val="left" w:pos="2160"/>
        </w:tabs>
      </w:pPr>
    </w:p>
    <w:p w14:paraId="5AB19CCA" w14:textId="77777777" w:rsidR="00F848A1" w:rsidRPr="00362517" w:rsidRDefault="00F848A1" w:rsidP="00BF6BC7">
      <w:pPr>
        <w:pStyle w:val="ListParagraph"/>
        <w:numPr>
          <w:ilvl w:val="0"/>
          <w:numId w:val="14"/>
        </w:numPr>
        <w:tabs>
          <w:tab w:val="left" w:pos="540"/>
          <w:tab w:val="left" w:pos="1080"/>
          <w:tab w:val="left" w:pos="1620"/>
          <w:tab w:val="left" w:pos="2160"/>
        </w:tabs>
      </w:pPr>
      <w:r w:rsidRPr="00362517">
        <w:t>The lack of a universal, mandatory legal duty to report incidents;</w:t>
      </w:r>
    </w:p>
    <w:p w14:paraId="5AB19CCB" w14:textId="77777777" w:rsidR="00F848A1" w:rsidRPr="00362517" w:rsidRDefault="00F848A1" w:rsidP="00BF6BC7">
      <w:pPr>
        <w:pStyle w:val="ListParagraph"/>
        <w:numPr>
          <w:ilvl w:val="0"/>
          <w:numId w:val="14"/>
        </w:numPr>
        <w:tabs>
          <w:tab w:val="left" w:pos="540"/>
          <w:tab w:val="left" w:pos="1080"/>
          <w:tab w:val="left" w:pos="1620"/>
          <w:tab w:val="left" w:pos="2160"/>
        </w:tabs>
      </w:pPr>
      <w:r w:rsidRPr="00362517">
        <w:t>No central reporting point for all incidents;</w:t>
      </w:r>
    </w:p>
    <w:p w14:paraId="5AB19CCC" w14:textId="77777777" w:rsidR="00F848A1" w:rsidRPr="00362517" w:rsidRDefault="00F848A1" w:rsidP="00BF6BC7">
      <w:pPr>
        <w:pStyle w:val="ListParagraph"/>
        <w:numPr>
          <w:ilvl w:val="0"/>
          <w:numId w:val="14"/>
        </w:numPr>
        <w:tabs>
          <w:tab w:val="left" w:pos="540"/>
          <w:tab w:val="left" w:pos="1080"/>
          <w:tab w:val="left" w:pos="1620"/>
          <w:tab w:val="left" w:pos="2160"/>
        </w:tabs>
      </w:pPr>
      <w:r w:rsidRPr="00362517">
        <w:t>Symptoms associated with pesticide poisonings often mimic symptoms from other causes;</w:t>
      </w:r>
    </w:p>
    <w:p w14:paraId="5AB19CCD" w14:textId="77777777" w:rsidR="00F848A1" w:rsidRPr="00362517" w:rsidRDefault="00F848A1" w:rsidP="00BF6BC7">
      <w:pPr>
        <w:pStyle w:val="ListParagraph"/>
        <w:numPr>
          <w:ilvl w:val="0"/>
          <w:numId w:val="14"/>
        </w:numPr>
        <w:tabs>
          <w:tab w:val="left" w:pos="540"/>
          <w:tab w:val="left" w:pos="1080"/>
          <w:tab w:val="left" w:pos="1620"/>
          <w:tab w:val="left" w:pos="2160"/>
        </w:tabs>
      </w:pPr>
      <w:r w:rsidRPr="00362517">
        <w:t>Physicians may misdiagnose due to a lack of familiarity with pesticide effects;</w:t>
      </w:r>
    </w:p>
    <w:p w14:paraId="5AB19CCE" w14:textId="77777777" w:rsidR="00F848A1" w:rsidRPr="00362517" w:rsidRDefault="00F848A1" w:rsidP="00BF6BC7">
      <w:pPr>
        <w:pStyle w:val="ListParagraph"/>
        <w:numPr>
          <w:ilvl w:val="0"/>
          <w:numId w:val="14"/>
        </w:numPr>
        <w:tabs>
          <w:tab w:val="left" w:pos="540"/>
          <w:tab w:val="left" w:pos="1080"/>
          <w:tab w:val="left" w:pos="1620"/>
          <w:tab w:val="left" w:pos="2160"/>
        </w:tabs>
      </w:pPr>
      <w:r w:rsidRPr="00362517">
        <w:t>Incidents may not be investigated adequately to identify the pesticide that caused the effects;</w:t>
      </w:r>
    </w:p>
    <w:p w14:paraId="5AB19CCF" w14:textId="77777777" w:rsidR="00F848A1" w:rsidRPr="00362517" w:rsidRDefault="00F848A1" w:rsidP="00BF6BC7">
      <w:pPr>
        <w:pStyle w:val="ListParagraph"/>
        <w:numPr>
          <w:ilvl w:val="0"/>
          <w:numId w:val="14"/>
        </w:numPr>
        <w:tabs>
          <w:tab w:val="left" w:pos="540"/>
          <w:tab w:val="left" w:pos="1080"/>
          <w:tab w:val="left" w:pos="1620"/>
          <w:tab w:val="left" w:pos="2160"/>
        </w:tabs>
      </w:pPr>
      <w:r w:rsidRPr="00362517">
        <w:t>Difficulty in identifying and tracking chronic effects;</w:t>
      </w:r>
    </w:p>
    <w:p w14:paraId="5AB19CD0" w14:textId="77777777" w:rsidR="00F848A1" w:rsidRPr="00362517" w:rsidRDefault="00F848A1" w:rsidP="00BF6BC7">
      <w:pPr>
        <w:pStyle w:val="ListParagraph"/>
        <w:numPr>
          <w:ilvl w:val="0"/>
          <w:numId w:val="14"/>
        </w:numPr>
      </w:pPr>
      <w:r w:rsidRPr="00362517">
        <w:t>Reluctance or inability to report by physicians; and</w:t>
      </w:r>
    </w:p>
    <w:p w14:paraId="5AB19CD1" w14:textId="77777777" w:rsidR="00F848A1" w:rsidRPr="00362517" w:rsidRDefault="00F848A1" w:rsidP="00BF6BC7">
      <w:pPr>
        <w:pStyle w:val="ListParagraph"/>
        <w:numPr>
          <w:ilvl w:val="0"/>
          <w:numId w:val="14"/>
        </w:numPr>
      </w:pPr>
      <w:r w:rsidRPr="00362517">
        <w:t>Limited geographic coverage for individual poisoning databases.</w:t>
      </w:r>
    </w:p>
    <w:p w14:paraId="5AB19CD2" w14:textId="77777777" w:rsidR="00F848A1" w:rsidRPr="00362517" w:rsidRDefault="00F848A1" w:rsidP="00BF6BC7">
      <w:pPr>
        <w:tabs>
          <w:tab w:val="left" w:pos="540"/>
          <w:tab w:val="left" w:pos="1080"/>
          <w:tab w:val="left" w:pos="1620"/>
          <w:tab w:val="left" w:pos="2160"/>
        </w:tabs>
      </w:pPr>
    </w:p>
    <w:p w14:paraId="03BE7940" w14:textId="273835D5" w:rsidR="00286C92" w:rsidRDefault="00F848A1" w:rsidP="00BF6BC7">
      <w:pPr>
        <w:tabs>
          <w:tab w:val="left" w:pos="540"/>
          <w:tab w:val="left" w:pos="1080"/>
          <w:tab w:val="left" w:pos="1620"/>
          <w:tab w:val="left" w:pos="2160"/>
        </w:tabs>
      </w:pPr>
      <w:r w:rsidRPr="00362517">
        <w:t>EPA’s attempt to quantify preventable poisoning cases also indicates that there are a substantial number of cases that do not get reported in the SENSOR-Pesticides database used for quantifying benefits here</w:t>
      </w:r>
      <w:r w:rsidR="00A95FAA">
        <w:t>.</w:t>
      </w:r>
      <w:r w:rsidR="00A95FAA" w:rsidRPr="00A95FAA">
        <w:t xml:space="preserve">  Under-reporting is likely to vary across states.  Some states, such as California, have robust reporting systems, with extensive follow-up on reported incidents by local officials and technical experts.  States like California, or other states with extensive surveillance systems are more likely to have higher reporting rates than other states, including those who do not participate in the SENSOR-Pesticides surveillance programs, which expend fewer resources to track pesticide poisonings.  </w:t>
      </w:r>
      <w:r w:rsidR="00F56C38">
        <w:t xml:space="preserve"> </w:t>
      </w:r>
    </w:p>
    <w:p w14:paraId="60BDBA03" w14:textId="77777777" w:rsidR="00286C92" w:rsidRDefault="00286C92" w:rsidP="00BF6BC7">
      <w:pPr>
        <w:tabs>
          <w:tab w:val="left" w:pos="540"/>
          <w:tab w:val="left" w:pos="1080"/>
          <w:tab w:val="left" w:pos="1620"/>
          <w:tab w:val="left" w:pos="2160"/>
        </w:tabs>
      </w:pPr>
    </w:p>
    <w:p w14:paraId="5AB19CD4" w14:textId="02D35169" w:rsidR="00F848A1" w:rsidRPr="00362517" w:rsidRDefault="00F848A1" w:rsidP="00BF6BC7">
      <w:pPr>
        <w:tabs>
          <w:tab w:val="left" w:pos="540"/>
          <w:tab w:val="left" w:pos="1080"/>
          <w:tab w:val="left" w:pos="1620"/>
          <w:tab w:val="left" w:pos="2160"/>
        </w:tabs>
      </w:pPr>
      <w:r w:rsidRPr="00362517">
        <w:t xml:space="preserve">For the </w:t>
      </w:r>
      <w:r w:rsidR="000C0407">
        <w:t>E</w:t>
      </w:r>
      <w:r w:rsidRPr="00362517">
        <w:t xml:space="preserve">conomic </w:t>
      </w:r>
      <w:r w:rsidR="000C0407">
        <w:t>A</w:t>
      </w:r>
      <w:r w:rsidRPr="00362517">
        <w:t xml:space="preserve">nalysis of the Worker Protection Standard, </w:t>
      </w:r>
      <w:r w:rsidR="00F83549" w:rsidRPr="00362517">
        <w:t xml:space="preserve">EPA </w:t>
      </w:r>
      <w:r w:rsidRPr="00362517">
        <w:t xml:space="preserve">investigated SENSOR-Pesticides to determine if cases were relevant to the Worker Protection Standard (WPS) rule changes, and determine if they were preventable.  EPA staff </w:t>
      </w:r>
      <w:r w:rsidR="004A1438">
        <w:t>also evaluated</w:t>
      </w:r>
      <w:r w:rsidR="004A1438" w:rsidRPr="00362517">
        <w:t xml:space="preserve"> </w:t>
      </w:r>
      <w:r w:rsidRPr="00362517">
        <w:t>the SENSOR-Pesticides incident reports and sought out additional information from the California Department of Pesticide Regulation (CDPR) surveillance database, the Pesticide Illness Surveillance Program (PISP) for those cases from California (EPA 2015</w:t>
      </w:r>
      <w:r w:rsidR="0003067E" w:rsidRPr="00362517">
        <w:t>c</w:t>
      </w:r>
      <w:r w:rsidRPr="00362517">
        <w:t xml:space="preserve">). </w:t>
      </w:r>
      <w:r w:rsidR="009A4E73" w:rsidRPr="00362517">
        <w:t xml:space="preserve">The SENSOR-Pesticides data from the state of California </w:t>
      </w:r>
      <w:r w:rsidR="00744D0C" w:rsidRPr="00362517">
        <w:t>are</w:t>
      </w:r>
      <w:r w:rsidR="009A4E73" w:rsidRPr="00362517">
        <w:t xml:space="preserve"> collected by staff at the California Department of Public Health.  In conducting the case by case incident review, EPA staff learned that the SENSOR-Pesticides data from California </w:t>
      </w:r>
      <w:r w:rsidR="00F83549" w:rsidRPr="00362517">
        <w:t xml:space="preserve">did </w:t>
      </w:r>
      <w:r w:rsidR="009A4E73" w:rsidRPr="00362517">
        <w:t xml:space="preserve">not capture many of the pesticide incidents that were identified in the CDPR PISP.  This discrepancy in the counts of pesticide incidents reported in the State’s two pesticide incident databases, despite frequent coordination among the two state entities, is a telling example of how incidents are often underreported.  This analysis, which includes both incidents for </w:t>
      </w:r>
      <w:r w:rsidR="00286C92">
        <w:t xml:space="preserve">the </w:t>
      </w:r>
      <w:r w:rsidR="009A4E73" w:rsidRPr="00362517">
        <w:t>WPS rule and for RUP incidents used to estimate benefits for the certification rule, indicates substantial underreporting in SENSOR-Pesticides, which means the benefit estimates will be biased downward.</w:t>
      </w:r>
      <w:r w:rsidRPr="00362517">
        <w:t xml:space="preserve">  </w:t>
      </w:r>
    </w:p>
    <w:p w14:paraId="5AB19CD5" w14:textId="77777777" w:rsidR="00F848A1" w:rsidRPr="00362517" w:rsidRDefault="00F848A1" w:rsidP="00BF6BC7">
      <w:pPr>
        <w:tabs>
          <w:tab w:val="left" w:pos="540"/>
          <w:tab w:val="left" w:pos="1080"/>
          <w:tab w:val="left" w:pos="1620"/>
          <w:tab w:val="left" w:pos="2160"/>
        </w:tabs>
      </w:pPr>
    </w:p>
    <w:p w14:paraId="5AB19CD6" w14:textId="77777777" w:rsidR="00F848A1" w:rsidRPr="00362517" w:rsidRDefault="00F848A1" w:rsidP="00BF6BC7">
      <w:pPr>
        <w:keepNext/>
        <w:tabs>
          <w:tab w:val="left" w:pos="540"/>
          <w:tab w:val="left" w:pos="1080"/>
          <w:tab w:val="left" w:pos="1620"/>
          <w:tab w:val="left" w:pos="2160"/>
        </w:tabs>
      </w:pPr>
      <w:r w:rsidRPr="00362517">
        <w:rPr>
          <w:i/>
        </w:rPr>
        <w:t>SENSOR-Pesticides</w:t>
      </w:r>
      <w:r w:rsidRPr="00362517">
        <w:t xml:space="preserve"> </w:t>
      </w:r>
    </w:p>
    <w:p w14:paraId="5AB19CD7" w14:textId="77777777" w:rsidR="00F848A1" w:rsidRPr="00362517" w:rsidRDefault="00F848A1" w:rsidP="00BF6BC7">
      <w:pPr>
        <w:keepNext/>
        <w:tabs>
          <w:tab w:val="left" w:pos="540"/>
          <w:tab w:val="left" w:pos="1080"/>
          <w:tab w:val="left" w:pos="1620"/>
          <w:tab w:val="left" w:pos="2160"/>
        </w:tabs>
      </w:pPr>
    </w:p>
    <w:p w14:paraId="5AB19CD8" w14:textId="77777777" w:rsidR="00F848A1" w:rsidRPr="00362517" w:rsidRDefault="00F848A1" w:rsidP="00BF6BC7">
      <w:pPr>
        <w:keepNext/>
        <w:tabs>
          <w:tab w:val="left" w:pos="540"/>
          <w:tab w:val="left" w:pos="1080"/>
          <w:tab w:val="left" w:pos="1620"/>
          <w:tab w:val="left" w:pos="2160"/>
        </w:tabs>
      </w:pPr>
      <w:r w:rsidRPr="00362517">
        <w:t xml:space="preserve">The primary source of pesticide exposure incidents that EPA uses in this analysis to estimate prevented acute illness is the SENSOR-Pesticides database.  The SENSOR-Pesticides database </w:t>
      </w:r>
      <w:r w:rsidR="00827AE2" w:rsidRPr="00362517">
        <w:t xml:space="preserve">reports data from </w:t>
      </w:r>
      <w:r w:rsidRPr="00362517">
        <w:t>1998-2011, although reporting varies from state to state and from year to year. Cases of pesticide-related illnesses are ascertained from a variety of sources, including: reports from local Poison Control Centers, state Department of Labor workers’ compensation claims when reported by physicians, reports from State Departments of Agriculture, and physician reports to state Departments of Health. Although both occupational and non-occupational incidents are included in the database, SENSOR-Pesticides focuses on occupational pesticide incidents, and is of particular value in providing that information. A state SENSOR-Pesticides specialist attempts to follow-up with occupational and high priority cases (high severity and multiple case events, for example) and obtains medical records to verify symptoms, circumstances surrounding the exposure, severity, and outcome.  Using standardized case definition and list of variables, SENSOR-Pesticides coordinators at State Departments of Health enter the incident interview description provided by the case, medical report, physician and patient into the SENSOR-Pesticides system.</w:t>
      </w:r>
    </w:p>
    <w:p w14:paraId="5AB19CD9" w14:textId="77777777" w:rsidR="00F848A1" w:rsidRPr="00362517" w:rsidRDefault="00F848A1" w:rsidP="00BF6BC7">
      <w:pPr>
        <w:tabs>
          <w:tab w:val="left" w:pos="540"/>
          <w:tab w:val="left" w:pos="1080"/>
          <w:tab w:val="left" w:pos="1620"/>
          <w:tab w:val="left" w:pos="2160"/>
        </w:tabs>
      </w:pPr>
    </w:p>
    <w:p w14:paraId="5AB19CDA" w14:textId="7FE6DF9D" w:rsidR="00F848A1" w:rsidRPr="00362517" w:rsidRDefault="00F848A1" w:rsidP="00BF6BC7">
      <w:pPr>
        <w:tabs>
          <w:tab w:val="left" w:pos="540"/>
          <w:tab w:val="left" w:pos="1080"/>
          <w:tab w:val="left" w:pos="1620"/>
          <w:tab w:val="left" w:pos="2160"/>
        </w:tabs>
      </w:pPr>
      <w:r w:rsidRPr="00362517">
        <w:t>A case is considered by CDC/NIOSH to be reportable to SENSOR-Pesticides when any adverse health effect, resulting from exposure to a FIFRA-defined pesticide product, occurs.  Cases, including all low severity cases, must report at least two symptoms to be included in the database.  Cases must also be categorized as definite, probable, possible, or suspicious based upon a rigorous case classification matrix that takes into account the temporal relationship between adverse health effects and exposure, evidence of a causal relationship between symptoms and the pesticides.  “Unlikely” cases are not reportable to SENSOR-Pesticides.</w:t>
      </w:r>
    </w:p>
    <w:p w14:paraId="5AB19CDB" w14:textId="77777777" w:rsidR="00F848A1" w:rsidRPr="00362517" w:rsidRDefault="00F848A1" w:rsidP="00BF6BC7">
      <w:pPr>
        <w:tabs>
          <w:tab w:val="left" w:pos="540"/>
          <w:tab w:val="left" w:pos="1080"/>
          <w:tab w:val="left" w:pos="1620"/>
          <w:tab w:val="left" w:pos="2160"/>
        </w:tabs>
      </w:pPr>
    </w:p>
    <w:p w14:paraId="5AB19CDC" w14:textId="77777777" w:rsidR="00F848A1" w:rsidRPr="00362517" w:rsidRDefault="00F848A1" w:rsidP="00BF6BC7">
      <w:pPr>
        <w:tabs>
          <w:tab w:val="left" w:pos="540"/>
          <w:tab w:val="left" w:pos="1080"/>
          <w:tab w:val="left" w:pos="1620"/>
          <w:tab w:val="left" w:pos="2160"/>
        </w:tabs>
      </w:pPr>
      <w:r w:rsidRPr="00362517">
        <w:rPr>
          <w:i/>
        </w:rPr>
        <w:t>California Pesticide Illness Surveillance Program</w:t>
      </w:r>
      <w:r w:rsidRPr="00362517">
        <w:t xml:space="preserve"> </w:t>
      </w:r>
    </w:p>
    <w:p w14:paraId="5AB19CDD" w14:textId="77777777" w:rsidR="00F848A1" w:rsidRPr="00362517" w:rsidRDefault="00F848A1" w:rsidP="00BF6BC7">
      <w:pPr>
        <w:tabs>
          <w:tab w:val="left" w:pos="540"/>
          <w:tab w:val="left" w:pos="1080"/>
          <w:tab w:val="left" w:pos="1620"/>
          <w:tab w:val="left" w:pos="2160"/>
        </w:tabs>
      </w:pPr>
    </w:p>
    <w:p w14:paraId="5AB19CDE" w14:textId="77777777" w:rsidR="00F848A1" w:rsidRPr="00362517" w:rsidRDefault="00F848A1" w:rsidP="00BF6BC7">
      <w:pPr>
        <w:tabs>
          <w:tab w:val="left" w:pos="540"/>
          <w:tab w:val="left" w:pos="1080"/>
          <w:tab w:val="left" w:pos="1620"/>
          <w:tab w:val="left" w:pos="2160"/>
        </w:tabs>
      </w:pPr>
      <w:r w:rsidRPr="00362517">
        <w:t>The California Pesticide Illness Surveillance Program (PISP) maintains a database of pesticide-related illnesses and injuries. Case reports are received from physicians and via workers’ compensation records. The local County Agricultural Commissioner investigates circumstances of exposure. Medical records and investigative findings are then evaluated by DPR technical experts and entered into an illness registry.</w:t>
      </w:r>
    </w:p>
    <w:p w14:paraId="5AB19CDF" w14:textId="77777777" w:rsidR="00F848A1" w:rsidRPr="00362517" w:rsidRDefault="00F848A1" w:rsidP="00BF6BC7">
      <w:pPr>
        <w:tabs>
          <w:tab w:val="left" w:pos="540"/>
          <w:tab w:val="left" w:pos="1080"/>
          <w:tab w:val="left" w:pos="1620"/>
          <w:tab w:val="left" w:pos="2160"/>
        </w:tabs>
      </w:pPr>
    </w:p>
    <w:p w14:paraId="5AB19CE0" w14:textId="77777777" w:rsidR="00F848A1" w:rsidRPr="00362517" w:rsidRDefault="00F848A1" w:rsidP="00BF6BC7">
      <w:pPr>
        <w:tabs>
          <w:tab w:val="left" w:pos="540"/>
          <w:tab w:val="left" w:pos="1080"/>
          <w:tab w:val="left" w:pos="1620"/>
          <w:tab w:val="left" w:pos="2160"/>
        </w:tabs>
      </w:pPr>
      <w:r w:rsidRPr="00362517">
        <w:t xml:space="preserve">PISP contains both residential and occupational pesticide incidents.  PISP has limited coverage (only California) and is not particularly useful for national trend information.  However, the incident information is entered by professionals with expertise in pesticides, with extensive follow-up on each reported case so there is a high level of confidence in the information provided for each reported incident.  PISP is an active surveillance program.  </w:t>
      </w:r>
    </w:p>
    <w:p w14:paraId="5AB19CE1" w14:textId="77777777" w:rsidR="00F848A1" w:rsidRPr="00362517" w:rsidRDefault="00F848A1" w:rsidP="00BF6BC7">
      <w:pPr>
        <w:tabs>
          <w:tab w:val="left" w:pos="540"/>
          <w:tab w:val="left" w:pos="1080"/>
          <w:tab w:val="left" w:pos="1620"/>
          <w:tab w:val="left" w:pos="2160"/>
        </w:tabs>
      </w:pPr>
    </w:p>
    <w:p w14:paraId="5AB19CE2" w14:textId="07750676" w:rsidR="00F848A1" w:rsidRPr="00362517" w:rsidRDefault="00F848A1" w:rsidP="00BF6BC7">
      <w:pPr>
        <w:keepNext/>
        <w:tabs>
          <w:tab w:val="left" w:pos="540"/>
          <w:tab w:val="left" w:pos="1080"/>
          <w:tab w:val="left" w:pos="1620"/>
          <w:tab w:val="left" w:pos="2160"/>
        </w:tabs>
        <w:rPr>
          <w:i/>
        </w:rPr>
      </w:pPr>
      <w:r w:rsidRPr="00362517">
        <w:rPr>
          <w:i/>
        </w:rPr>
        <w:t>Comparison of SEN</w:t>
      </w:r>
      <w:r w:rsidR="003704F0" w:rsidRPr="00362517">
        <w:rPr>
          <w:i/>
        </w:rPr>
        <w:t>S</w:t>
      </w:r>
      <w:r w:rsidRPr="00362517">
        <w:rPr>
          <w:i/>
        </w:rPr>
        <w:t>OR-Pesticides to PISP</w:t>
      </w:r>
    </w:p>
    <w:p w14:paraId="5AB19CE3" w14:textId="77777777" w:rsidR="00F848A1" w:rsidRPr="00362517" w:rsidRDefault="00F848A1" w:rsidP="00BF6BC7">
      <w:pPr>
        <w:keepNext/>
        <w:tabs>
          <w:tab w:val="left" w:pos="540"/>
          <w:tab w:val="left" w:pos="1080"/>
          <w:tab w:val="left" w:pos="1620"/>
          <w:tab w:val="left" w:pos="2160"/>
        </w:tabs>
      </w:pPr>
    </w:p>
    <w:p w14:paraId="5AB19CE4" w14:textId="53E371DA" w:rsidR="00F848A1" w:rsidRPr="00362517" w:rsidRDefault="00F848A1" w:rsidP="00BF6BC7">
      <w:pPr>
        <w:keepNext/>
        <w:tabs>
          <w:tab w:val="left" w:pos="540"/>
          <w:tab w:val="left" w:pos="1080"/>
          <w:tab w:val="left" w:pos="1620"/>
          <w:tab w:val="left" w:pos="2160"/>
        </w:tabs>
      </w:pPr>
      <w:r w:rsidRPr="00362517">
        <w:t>When comparing incidents in the two surveillance databases for the WPS rule, SENSOR-Pesticides, which is populated by the California Department of Public Health, did not capture many pesticide incidents that were identified in the CDPR PISP, which is an example of yet another (beyond the four discussed above) step in which exposure incidents can be underreported.  The number of cases not captured in the SENSOR-Pesticides data but found in PISP help to characterize part of the underreporting.  The number of SENSOR-Pesticides incidents found to be relevant for the WPS changes is substantially smaller than the potentially relevant cases in the PISP data.  From 2008 – 2011, the PISP data showed that only 31% of potentially relevant PISP cases appear in SENSOR-Pesticides.  EPA reviewed the subset of individual cases from 2008, where there were 324 cases in PISP.  EPA selected 2008 as a reference year to investigate the differences between PISP and SENSOR-Pesticides because it was more likely that all relevant investigations had been concluded for the cases from 2008 compared to 2011. Only 78 of these cases (24%) were also in SENSOR-Pesticides.  EPA identified the following reasons why the 246 remaining PISP cases were not included in our query of the SENSOR data:</w:t>
      </w:r>
    </w:p>
    <w:p w14:paraId="5AB19CE5" w14:textId="77777777" w:rsidR="00F848A1" w:rsidRPr="00362517" w:rsidRDefault="00F848A1" w:rsidP="00BF6BC7">
      <w:pPr>
        <w:tabs>
          <w:tab w:val="left" w:pos="540"/>
          <w:tab w:val="left" w:pos="1080"/>
          <w:tab w:val="left" w:pos="1620"/>
          <w:tab w:val="left" w:pos="2160"/>
        </w:tabs>
      </w:pPr>
    </w:p>
    <w:p w14:paraId="5AB19CE6" w14:textId="77777777" w:rsidR="00F848A1" w:rsidRPr="00362517" w:rsidRDefault="00F848A1" w:rsidP="00BF6BC7">
      <w:pPr>
        <w:pStyle w:val="ListParagraph"/>
        <w:numPr>
          <w:ilvl w:val="0"/>
          <w:numId w:val="24"/>
        </w:numPr>
        <w:tabs>
          <w:tab w:val="left" w:pos="540"/>
          <w:tab w:val="left" w:pos="1080"/>
          <w:tab w:val="left" w:pos="1620"/>
          <w:tab w:val="left" w:pos="2160"/>
        </w:tabs>
        <w:ind w:left="288" w:hanging="288"/>
      </w:pPr>
      <w:r w:rsidRPr="00362517">
        <w:t>In 96 cases, the worker did not seek medical attention, which is a criterion for a case being included in SENSOR-Pesticides.  This was also discussed earlier as a reason for an incident not being reported.  For the 324 cases in PISP for 2008, these 96 workers account for 30% of the cases.</w:t>
      </w:r>
    </w:p>
    <w:p w14:paraId="5AB19CE7" w14:textId="77777777" w:rsidR="00F848A1" w:rsidRPr="00362517" w:rsidRDefault="00F848A1" w:rsidP="00BF6BC7">
      <w:pPr>
        <w:pStyle w:val="ListParagraph"/>
        <w:numPr>
          <w:ilvl w:val="0"/>
          <w:numId w:val="24"/>
        </w:numPr>
        <w:tabs>
          <w:tab w:val="left" w:pos="540"/>
          <w:tab w:val="left" w:pos="1080"/>
          <w:tab w:val="left" w:pos="1620"/>
          <w:tab w:val="left" w:pos="2160"/>
        </w:tabs>
        <w:ind w:left="288" w:hanging="288"/>
      </w:pPr>
      <w:r w:rsidRPr="00362517">
        <w:t>For 21 of the cases, the worker only exhibited one symptom from the pesticide exposure.  A case must include two or more symptoms to be included in SENSOR-Pesticides.</w:t>
      </w:r>
    </w:p>
    <w:p w14:paraId="5AB19CE8" w14:textId="77777777" w:rsidR="00F848A1" w:rsidRPr="00362517" w:rsidRDefault="00F848A1" w:rsidP="00BF6BC7">
      <w:pPr>
        <w:pStyle w:val="ListParagraph"/>
        <w:numPr>
          <w:ilvl w:val="0"/>
          <w:numId w:val="24"/>
        </w:numPr>
        <w:tabs>
          <w:tab w:val="left" w:pos="540"/>
          <w:tab w:val="left" w:pos="1080"/>
          <w:tab w:val="left" w:pos="1620"/>
          <w:tab w:val="left" w:pos="2160"/>
        </w:tabs>
        <w:ind w:left="288" w:hanging="288"/>
      </w:pPr>
      <w:r w:rsidRPr="00362517">
        <w:t>Thirty-one cases involved drift of an agricultural pesticide into a residential area.  While SENSOR-Pesticides does include some incidents like this, the focus of SENSOR-Pesticides is on occupational exposures.  It is possible that these 31 cases were not included because they were not occupational exposures.</w:t>
      </w:r>
    </w:p>
    <w:p w14:paraId="5AB19CE9" w14:textId="77777777" w:rsidR="00F848A1" w:rsidRPr="00362517" w:rsidRDefault="00F848A1" w:rsidP="00BF6BC7">
      <w:pPr>
        <w:pStyle w:val="ListParagraph"/>
        <w:numPr>
          <w:ilvl w:val="0"/>
          <w:numId w:val="24"/>
        </w:numPr>
        <w:tabs>
          <w:tab w:val="left" w:pos="540"/>
          <w:tab w:val="left" w:pos="1080"/>
          <w:tab w:val="left" w:pos="1620"/>
          <w:tab w:val="left" w:pos="2160"/>
        </w:tabs>
        <w:ind w:left="288" w:hanging="288"/>
      </w:pPr>
      <w:r w:rsidRPr="00362517">
        <w:t>There were 23 cases associated with an incident involving an antimicrobial pesticide, which may not have been identified as a pesticide and therefore not included.</w:t>
      </w:r>
    </w:p>
    <w:p w14:paraId="5AB19CEA" w14:textId="77777777" w:rsidR="00F848A1" w:rsidRPr="00362517" w:rsidRDefault="00F848A1" w:rsidP="00BF6BC7">
      <w:pPr>
        <w:pStyle w:val="ListParagraph"/>
        <w:numPr>
          <w:ilvl w:val="0"/>
          <w:numId w:val="24"/>
        </w:numPr>
        <w:tabs>
          <w:tab w:val="left" w:pos="540"/>
          <w:tab w:val="left" w:pos="1080"/>
          <w:tab w:val="left" w:pos="1620"/>
          <w:tab w:val="left" w:pos="2160"/>
        </w:tabs>
        <w:ind w:left="288" w:hanging="288"/>
      </w:pPr>
      <w:r w:rsidRPr="00362517">
        <w:t>Twenty-one cases were not included for other reasons, including being part of a high profile incident that may not have been reported to the database at the time (because of the sensitivity), being based on an initial report but not final investigation, being identified for different years (e.g., 2007 in SENSOR and 2008 in PISP), and being entered into the system late.</w:t>
      </w:r>
    </w:p>
    <w:p w14:paraId="5AB19CEB" w14:textId="77777777" w:rsidR="00F848A1" w:rsidRPr="00362517" w:rsidRDefault="00F848A1" w:rsidP="00BF6BC7">
      <w:pPr>
        <w:pStyle w:val="ListParagraph"/>
        <w:numPr>
          <w:ilvl w:val="0"/>
          <w:numId w:val="24"/>
        </w:numPr>
        <w:tabs>
          <w:tab w:val="left" w:pos="540"/>
          <w:tab w:val="left" w:pos="1080"/>
          <w:tab w:val="left" w:pos="1620"/>
          <w:tab w:val="left" w:pos="2160"/>
        </w:tabs>
        <w:ind w:left="288" w:hanging="288"/>
      </w:pPr>
      <w:r w:rsidRPr="00362517">
        <w:t>Finally, there were 54 cases where we could not identify a reason that the incident was not included in SENSOR-Pesticides.</w:t>
      </w:r>
    </w:p>
    <w:p w14:paraId="5AB19CEC" w14:textId="77777777" w:rsidR="00F848A1" w:rsidRPr="00362517" w:rsidRDefault="00F848A1" w:rsidP="00BF6BC7">
      <w:pPr>
        <w:tabs>
          <w:tab w:val="left" w:pos="540"/>
          <w:tab w:val="left" w:pos="1080"/>
          <w:tab w:val="left" w:pos="1620"/>
          <w:tab w:val="left" w:pos="2160"/>
        </w:tabs>
      </w:pPr>
    </w:p>
    <w:p w14:paraId="5AB19CED" w14:textId="77777777" w:rsidR="00F848A1" w:rsidRPr="00362517" w:rsidRDefault="00F848A1" w:rsidP="00BF6BC7">
      <w:pPr>
        <w:tabs>
          <w:tab w:val="left" w:pos="540"/>
          <w:tab w:val="left" w:pos="1080"/>
          <w:tab w:val="left" w:pos="1620"/>
          <w:tab w:val="left" w:pos="2160"/>
        </w:tabs>
      </w:pPr>
      <w:r w:rsidRPr="00362517">
        <w:t xml:space="preserve">As shown by the analysis of the 2008 cases, a number of factors could account for the difference in cases between SENSOR-Pesticides and PISP.  As explained above, the two surveillance programs have different standards for case inclusion and ascertainment.  In most of the cases, the incidents in PISP may not have met the standards to be included in SENSOR-Pesticides (e.g. there was only one poisoning symptom, or the victim was not evaluated by a health professional) or the incident may have seemed otherwise outside the scope of SENSOR-Pesticides (e.g., the incident did not involve occupational exposure or it did not seem to involve a pesticide).  In other cases, particularly those that involve 5 or more people, the report in SENSOR-Pesticides may be based on an initial notification of an incident but not the final investigation summary that is in PISP, resulting in differences in the number of people injured.  The active ingredient, enforcement response or other information may also be different, resulting in our inability to categorize an incident in SENSOR-Pesticides as relevant.  CDPR also has the County Agricultural Commissioner investigate every case of illness exposure that is entered into PISP.  Thus, the evaluation of the likelihood of the illness being associated with pesticide exposure is a combination of medical evaluation and information from the field.  Finally, cases that are reported to DPR from poison control, County Agricultural Commissioner investigations, or tips and complaints from the general public may not get reported to </w:t>
      </w:r>
      <w:r w:rsidR="005121AE" w:rsidRPr="00362517">
        <w:t xml:space="preserve">CDPH </w:t>
      </w:r>
      <w:r w:rsidRPr="00362517">
        <w:t>and consequently to SENSOR-Pesticides.  While the two state agencies invest considerable time in ensuring one uniform list of statewide occupational illnesses, differences remain. These figures indicate that many pesticide exposure incidents are not included in the data used for the quantified benefit estimates of this rule.</w:t>
      </w:r>
    </w:p>
    <w:p w14:paraId="5AB19CEE" w14:textId="77777777" w:rsidR="00F848A1" w:rsidRPr="00362517" w:rsidRDefault="00F848A1" w:rsidP="00BF6BC7">
      <w:pPr>
        <w:tabs>
          <w:tab w:val="left" w:pos="540"/>
          <w:tab w:val="left" w:pos="1080"/>
          <w:tab w:val="left" w:pos="1620"/>
          <w:tab w:val="left" w:pos="2160"/>
        </w:tabs>
      </w:pPr>
    </w:p>
    <w:p w14:paraId="5AB19CEF" w14:textId="77777777" w:rsidR="00F848A1" w:rsidRPr="00362517" w:rsidRDefault="00F848A1" w:rsidP="00BF6BC7">
      <w:pPr>
        <w:tabs>
          <w:tab w:val="left" w:pos="540"/>
          <w:tab w:val="left" w:pos="1080"/>
          <w:tab w:val="left" w:pos="1620"/>
          <w:tab w:val="left" w:pos="2160"/>
        </w:tabs>
      </w:pPr>
      <w:r w:rsidRPr="00362517">
        <w:t>The analysis of the differences between PISP and California cases in SENSOR-Pesticides for 2008 can be used to estimate the underreporting that occurs at other points in the process than the estimates in the studies shown in Table 4.4-2.  In particular,</w:t>
      </w:r>
    </w:p>
    <w:p w14:paraId="5AB19CF0" w14:textId="77777777" w:rsidR="00F848A1" w:rsidRPr="00362517" w:rsidRDefault="00F848A1" w:rsidP="00BF6BC7">
      <w:pPr>
        <w:tabs>
          <w:tab w:val="left" w:pos="540"/>
          <w:tab w:val="left" w:pos="1080"/>
          <w:tab w:val="left" w:pos="1620"/>
          <w:tab w:val="left" w:pos="2160"/>
        </w:tabs>
      </w:pPr>
    </w:p>
    <w:p w14:paraId="5AB19CF1" w14:textId="77777777" w:rsidR="00F848A1" w:rsidRPr="00362517" w:rsidRDefault="00F848A1" w:rsidP="00BF6BC7">
      <w:pPr>
        <w:pStyle w:val="ListParagraph"/>
        <w:numPr>
          <w:ilvl w:val="0"/>
          <w:numId w:val="25"/>
        </w:numPr>
        <w:tabs>
          <w:tab w:val="left" w:pos="540"/>
          <w:tab w:val="left" w:pos="1080"/>
          <w:tab w:val="left" w:pos="1620"/>
          <w:tab w:val="left" w:pos="2160"/>
        </w:tabs>
      </w:pPr>
      <w:r w:rsidRPr="00362517">
        <w:t xml:space="preserve">Seeking medical attention is discussed as the second of the steps identified by Das </w:t>
      </w:r>
      <w:r w:rsidRPr="00362517">
        <w:rPr>
          <w:i/>
        </w:rPr>
        <w:t>et al.</w:t>
      </w:r>
      <w:r w:rsidRPr="00362517">
        <w:t xml:space="preserve"> (2001) that lead to underreporting.  For the 2008 PISP data, the worker did not seek medical attention in 30% of the cases (96 cases out of 324 total cases). We assume that 30% of the cases are not reported because of this reason (or that 70% of the cases are reported).</w:t>
      </w:r>
    </w:p>
    <w:p w14:paraId="5AB19CF2" w14:textId="77777777" w:rsidR="00F848A1" w:rsidRPr="00362517" w:rsidRDefault="00F848A1" w:rsidP="00BF6BC7">
      <w:pPr>
        <w:pStyle w:val="ListParagraph"/>
        <w:numPr>
          <w:ilvl w:val="0"/>
          <w:numId w:val="25"/>
        </w:numPr>
        <w:tabs>
          <w:tab w:val="left" w:pos="540"/>
          <w:tab w:val="left" w:pos="1080"/>
          <w:tab w:val="left" w:pos="1620"/>
          <w:tab w:val="left" w:pos="2160"/>
        </w:tabs>
      </w:pPr>
      <w:r w:rsidRPr="00362517">
        <w:t xml:space="preserve">The studies discussed in Table 4.4-2 estimate the share of incidents that are reported by physicians into a recordkeeping system, which is discussed as step 4 by Das </w:t>
      </w:r>
      <w:r w:rsidRPr="00362517">
        <w:rPr>
          <w:i/>
        </w:rPr>
        <w:t>et al</w:t>
      </w:r>
      <w:r w:rsidRPr="00362517">
        <w:t>. (2001).    Based on the information reported in those studies, we assume that 70% of cases are not reported for this step (or that 30% of the case are reported).</w:t>
      </w:r>
    </w:p>
    <w:p w14:paraId="5AB19CF3" w14:textId="77777777" w:rsidR="00F848A1" w:rsidRPr="00362517" w:rsidRDefault="00F848A1" w:rsidP="00BF6BC7">
      <w:pPr>
        <w:pStyle w:val="ListParagraph"/>
        <w:numPr>
          <w:ilvl w:val="0"/>
          <w:numId w:val="25"/>
        </w:numPr>
        <w:tabs>
          <w:tab w:val="left" w:pos="540"/>
          <w:tab w:val="left" w:pos="1080"/>
          <w:tab w:val="left" w:pos="1620"/>
          <w:tab w:val="left" w:pos="2160"/>
        </w:tabs>
      </w:pPr>
      <w:r w:rsidRPr="00362517">
        <w:t xml:space="preserve">For a variety of reasons, including not meeting the criteria for inclusion in SENSOR-Pesticides, possibly being outside the focus of SENSOR-Pesticides, and for logistical reasons other than those discussed above, known pesticide incidents do not appear in SENSOR-Pesticides.  In addition to the 96 cases that did not seek medical care in the 2008 PISP data, there were 150 other cases that were in PISP but not SENSOR-Pesticides.  This means that 46% of the cases (150 out of 324 cases) were not reported for other reasons, so we estimate that 46% of cases do not get into SENSOR-Pesticides (or 54% of the cases are reported). </w:t>
      </w:r>
    </w:p>
    <w:p w14:paraId="5AB19CF4" w14:textId="77777777" w:rsidR="00F848A1" w:rsidRPr="00362517" w:rsidRDefault="00F848A1" w:rsidP="00BF6BC7">
      <w:pPr>
        <w:tabs>
          <w:tab w:val="left" w:pos="540"/>
          <w:tab w:val="left" w:pos="1080"/>
          <w:tab w:val="left" w:pos="1620"/>
          <w:tab w:val="left" w:pos="2160"/>
        </w:tabs>
      </w:pPr>
    </w:p>
    <w:p w14:paraId="5AB19CF5" w14:textId="77777777" w:rsidR="00F848A1" w:rsidRPr="00362517" w:rsidRDefault="00F848A1" w:rsidP="00BF6BC7">
      <w:pPr>
        <w:tabs>
          <w:tab w:val="left" w:pos="540"/>
          <w:tab w:val="left" w:pos="1080"/>
          <w:tab w:val="left" w:pos="1620"/>
          <w:tab w:val="left" w:pos="2160"/>
        </w:tabs>
      </w:pPr>
      <w:r w:rsidRPr="00362517">
        <w:t>Considering only the underreporting due to these three factors, EPA estimates that in California, about 11.3% of incidents in 2008 were reported to SENSOR-Pesticides.  While this estimate may seem low, it is calculated by multiplying the percent of cases that are reported in each step: 0.7 (sought medical attention) * 0.3 (cases reported by medical staff) * 0.54 (made it into SENSOR-Pesticides by meeting the criteria, being in the scope of the database, etc</w:t>
      </w:r>
      <w:r w:rsidRPr="00362517">
        <w:rPr>
          <w:i/>
        </w:rPr>
        <w:t>.</w:t>
      </w:r>
      <w:r w:rsidRPr="00362517">
        <w:t>).  While this analysis covered the incidents reported for only one year, it is important information because it deals specifically with cases involving occupational exposures to pesticides.</w:t>
      </w:r>
    </w:p>
    <w:p w14:paraId="5AB19CF6" w14:textId="77777777" w:rsidR="00F848A1" w:rsidRPr="00362517" w:rsidRDefault="00F848A1" w:rsidP="00BF6BC7">
      <w:pPr>
        <w:tabs>
          <w:tab w:val="left" w:pos="540"/>
          <w:tab w:val="left" w:pos="1080"/>
          <w:tab w:val="left" w:pos="1620"/>
          <w:tab w:val="left" w:pos="2160"/>
        </w:tabs>
      </w:pPr>
    </w:p>
    <w:p w14:paraId="5AB19CF7" w14:textId="77777777" w:rsidR="00F848A1" w:rsidRPr="00362517" w:rsidRDefault="00F848A1" w:rsidP="00BF6BC7">
      <w:pPr>
        <w:tabs>
          <w:tab w:val="left" w:pos="540"/>
          <w:tab w:val="left" w:pos="1080"/>
          <w:tab w:val="left" w:pos="1620"/>
          <w:tab w:val="left" w:pos="2160"/>
        </w:tabs>
      </w:pPr>
      <w:r w:rsidRPr="00362517">
        <w:t xml:space="preserve">This is still a conservative estimate that does not quantify the impact of all of the reasons incidents may not be counted that are discussed in this section, such as step 1 (workers and handlers must perceive that they have treatable symptoms of an illness) and step 3 (the physician must diagnose the symptoms as being pesticide-related).  The description of the SENSOR-Pesticide cases indicated that some workers or employers attributed their symptoms to other causes, such as a virus, general fatigue, heat, or something they ate.  However, EPA does not have enough information to attempt to quantify this factor.  We also do not have information available to attempt to identify the percent of incidents that are underreported by physicians diagnosing symptoms as being caused by something other than pesticides.  </w:t>
      </w:r>
    </w:p>
    <w:p w14:paraId="5AB19CF8" w14:textId="77777777" w:rsidR="00F848A1" w:rsidRPr="00362517" w:rsidRDefault="00F848A1" w:rsidP="00BF6BC7">
      <w:pPr>
        <w:tabs>
          <w:tab w:val="left" w:pos="540"/>
          <w:tab w:val="left" w:pos="1080"/>
          <w:tab w:val="left" w:pos="1620"/>
          <w:tab w:val="left" w:pos="2160"/>
        </w:tabs>
      </w:pPr>
    </w:p>
    <w:p w14:paraId="5AB19CFA" w14:textId="239ACB6C" w:rsidR="00F848A1" w:rsidRPr="00362517" w:rsidRDefault="00F848A1" w:rsidP="00BF6BC7">
      <w:pPr>
        <w:tabs>
          <w:tab w:val="left" w:pos="540"/>
          <w:tab w:val="left" w:pos="1080"/>
          <w:tab w:val="left" w:pos="1620"/>
          <w:tab w:val="left" w:pos="2160"/>
        </w:tabs>
      </w:pPr>
      <w:r w:rsidRPr="00362517">
        <w:t>The limited available data for pesticide poisonings by RUPs are consistent with the conclusion that only a small fraction of the symptoms of pesticide poisoning are likely to lead to medical attention and possible diagnosis.  The above estimate of 11.3% pesticide incidents reported was for a sample of incidents that were relevant for the WPS, which mainly feature farmworkers</w:t>
      </w:r>
      <w:r w:rsidR="00942B30" w:rsidRPr="00362517">
        <w:t xml:space="preserve">.  This rule focuses on RUP safety and </w:t>
      </w:r>
      <w:r w:rsidRPr="00362517">
        <w:t>RUP incidents may be more likely to affect certified pesticide applicators</w:t>
      </w:r>
      <w:r w:rsidR="00942B30" w:rsidRPr="00362517">
        <w:t>, a different population than farmworkers</w:t>
      </w:r>
      <w:r w:rsidRPr="00362517">
        <w:t xml:space="preserve">.  For the </w:t>
      </w:r>
      <w:r w:rsidR="000C0407">
        <w:t>E</w:t>
      </w:r>
      <w:r w:rsidRPr="00362517">
        <w:t xml:space="preserve">conomic </w:t>
      </w:r>
      <w:r w:rsidR="000C0407">
        <w:t>A</w:t>
      </w:r>
      <w:r w:rsidRPr="00362517">
        <w:t>nalysis of the WPS rule (EPA 2015</w:t>
      </w:r>
      <w:r w:rsidR="0003067E" w:rsidRPr="00362517">
        <w:t>c</w:t>
      </w:r>
      <w:r w:rsidRPr="00362517">
        <w:t>), based on the 11.3% reporting estimate above, EPA used 10% reporting as a baseline when discussing the impact of underreporting on the benefits estimates, but a higher estimate may be more appropriate here.  Because the WPS rule was focused on farmworker protection, underreporting may be less severe for the RUP incidents that are targeted by the certification rule.  Kandel (2008) describes the hired farmworker population as “… younger, less educated, more likely to be foreign-born, and less likely to be citizens or authorized to work in the United States.”  These attributes reflect a relatively disadvantaged workforce that may be less likely or able to seek medical care or report pesticide incidents to their employers or anyone else.  The literacy, language, legal, economic and immigration status create challenges for workers who wish to seek medical care, which would be a primary route for pesticide incidents to be reported and available to be counted in poisoning databases.  These factors may be less relevant for certified pesticide applicators, so underreporting may not be as severe.  To be conservative, we use an estimate of 20% reporting as the baseline for discussion of underreporting of RUP incidents</w:t>
      </w:r>
      <w:r w:rsidR="007211AC">
        <w:t>.</w:t>
      </w:r>
      <w:r w:rsidR="00283C08" w:rsidRPr="00283C08">
        <w:t xml:space="preserve"> Similar to the methodology used in Scallan et al (2001), this estimate represents a</w:t>
      </w:r>
      <w:r w:rsidR="00C6263B">
        <w:t>n</w:t>
      </w:r>
      <w:r w:rsidR="00C6263B" w:rsidRPr="00C6263B">
        <w:t xml:space="preserve"> </w:t>
      </w:r>
      <w:r w:rsidR="00C6263B" w:rsidRPr="00C6263B">
        <w:rPr>
          <w:i/>
        </w:rPr>
        <w:t>ad hoc</w:t>
      </w:r>
      <w:r w:rsidR="00C6263B" w:rsidRPr="00C6263B">
        <w:t xml:space="preserve"> assumed</w:t>
      </w:r>
      <w:r w:rsidR="00C6263B">
        <w:t xml:space="preserve"> </w:t>
      </w:r>
      <w:r w:rsidR="00283C08" w:rsidRPr="00283C08">
        <w:t>doubling of the reporting rate used as a baseline in the Economic Analysis for the WPS.</w:t>
      </w:r>
      <w:r w:rsidR="007211AC">
        <w:t xml:space="preserve">  </w:t>
      </w:r>
      <w:r w:rsidR="00172FC7">
        <w:t>W</w:t>
      </w:r>
      <w:r w:rsidR="007211AC">
        <w:t>hen under-reporting is discussed</w:t>
      </w:r>
      <w:r w:rsidR="00172FC7">
        <w:t xml:space="preserve"> elsewhere in this chapter we also consider 50% reporting, based on Scallan et al., (2011) and Mead et al., (1999).  Both 20% and 50% reporting rates are </w:t>
      </w:r>
      <w:r w:rsidR="000B0170">
        <w:t xml:space="preserve">presented </w:t>
      </w:r>
      <w:r w:rsidR="00353923">
        <w:t>to focus</w:t>
      </w:r>
      <w:r w:rsidR="00172FC7">
        <w:t xml:space="preserve"> discussion</w:t>
      </w:r>
      <w:r w:rsidR="000B0170">
        <w:t>;</w:t>
      </w:r>
      <w:r w:rsidR="00172FC7">
        <w:t xml:space="preserve"> a</w:t>
      </w:r>
      <w:r w:rsidR="007211AC">
        <w:t xml:space="preserve"> range of estimates</w:t>
      </w:r>
      <w:r w:rsidRPr="00362517">
        <w:t xml:space="preserve"> of</w:t>
      </w:r>
      <w:r w:rsidR="00283C08">
        <w:t xml:space="preserve"> underreporting and the impact on the benefits estimates </w:t>
      </w:r>
      <w:r w:rsidR="00283C08" w:rsidRPr="00F9202F">
        <w:rPr>
          <w:highlight w:val="yellow"/>
        </w:rPr>
        <w:t xml:space="preserve">is provided </w:t>
      </w:r>
      <w:r w:rsidRPr="00362517">
        <w:t>at the end of Section 4.4.</w:t>
      </w:r>
      <w:r w:rsidR="00942B30" w:rsidRPr="00362517">
        <w:t>5</w:t>
      </w:r>
      <w:r w:rsidRPr="00362517">
        <w:t>.</w:t>
      </w:r>
      <w:r w:rsidR="00444495" w:rsidRPr="00362517">
        <w:tab/>
      </w:r>
      <w:r w:rsidRPr="00362517">
        <w:t xml:space="preserve"> </w:t>
      </w:r>
    </w:p>
    <w:p w14:paraId="5AB19CFB" w14:textId="77777777" w:rsidR="00F848A1" w:rsidRPr="00362517" w:rsidRDefault="00F848A1" w:rsidP="00BF6BC7">
      <w:pPr>
        <w:tabs>
          <w:tab w:val="left" w:pos="540"/>
          <w:tab w:val="left" w:pos="1080"/>
          <w:tab w:val="left" w:pos="1620"/>
          <w:tab w:val="left" w:pos="2160"/>
        </w:tabs>
      </w:pPr>
    </w:p>
    <w:p w14:paraId="5AB19CFC" w14:textId="77777777" w:rsidR="00F848A1" w:rsidRPr="00362517" w:rsidRDefault="00F848A1" w:rsidP="00BF6BC7">
      <w:pPr>
        <w:tabs>
          <w:tab w:val="left" w:pos="540"/>
          <w:tab w:val="left" w:pos="1080"/>
          <w:tab w:val="left" w:pos="1620"/>
          <w:tab w:val="left" w:pos="2160"/>
        </w:tabs>
      </w:pPr>
    </w:p>
    <w:p w14:paraId="5AB19CFD" w14:textId="77777777" w:rsidR="00F848A1" w:rsidRPr="00362517" w:rsidRDefault="00F848A1" w:rsidP="00BF6BC7">
      <w:pPr>
        <w:pStyle w:val="Heading3"/>
        <w:keepNext w:val="0"/>
        <w:keepLines w:val="0"/>
        <w:numPr>
          <w:ilvl w:val="2"/>
          <w:numId w:val="23"/>
        </w:numPr>
        <w:spacing w:before="120"/>
      </w:pPr>
      <w:bookmarkStart w:id="345" w:name="_Toc468872114"/>
      <w:r w:rsidRPr="00362517">
        <w:t>The Severity Distribution of Avoided Incidents</w:t>
      </w:r>
      <w:bookmarkEnd w:id="345"/>
    </w:p>
    <w:p w14:paraId="5AB19CFE" w14:textId="77777777" w:rsidR="00F848A1" w:rsidRPr="00362517" w:rsidRDefault="00F848A1" w:rsidP="00BF6BC7">
      <w:pPr>
        <w:tabs>
          <w:tab w:val="left" w:pos="540"/>
          <w:tab w:val="left" w:pos="1080"/>
          <w:tab w:val="left" w:pos="1620"/>
          <w:tab w:val="left" w:pos="2160"/>
        </w:tabs>
      </w:pPr>
    </w:p>
    <w:p w14:paraId="5AB19CFF" w14:textId="77777777" w:rsidR="00F848A1" w:rsidRPr="00362517" w:rsidRDefault="00F848A1" w:rsidP="00BF6BC7">
      <w:pPr>
        <w:tabs>
          <w:tab w:val="left" w:pos="540"/>
          <w:tab w:val="left" w:pos="1080"/>
          <w:tab w:val="left" w:pos="1620"/>
          <w:tab w:val="left" w:pos="2160"/>
        </w:tabs>
      </w:pPr>
      <w:r w:rsidRPr="00362517">
        <w:t xml:space="preserve">As explained in Section 4.4.1, EPA estimates the value of avoided incidents in terms of the medical costs avoided, the productivity losses avoided, and the reduction in premature mortality.  Other, unquantifiable benefits are discussed in Section 4.5 and 4.6.  The value of avoided incidents depends on the severity of the effect caused by the pesticide exposure.  People suffering from more severe effects are more likely to seek medical treatment.  More severe effects are more costly because they require more treatment, including hospitalization.  Further, a more severe effect is likely to result in a longer period of recovery during which the victim is unable to work or engage in other activities.  </w:t>
      </w:r>
    </w:p>
    <w:p w14:paraId="5AB19D00" w14:textId="77777777" w:rsidR="00F848A1" w:rsidRPr="00362517" w:rsidRDefault="00F848A1" w:rsidP="00BF6BC7">
      <w:pPr>
        <w:tabs>
          <w:tab w:val="left" w:pos="540"/>
          <w:tab w:val="left" w:pos="1080"/>
          <w:tab w:val="left" w:pos="1620"/>
          <w:tab w:val="left" w:pos="2160"/>
        </w:tabs>
      </w:pPr>
    </w:p>
    <w:p w14:paraId="5AB19D01" w14:textId="77777777" w:rsidR="00F848A1" w:rsidRPr="00362517" w:rsidRDefault="00F848A1" w:rsidP="00BF6BC7">
      <w:pPr>
        <w:tabs>
          <w:tab w:val="left" w:pos="540"/>
          <w:tab w:val="left" w:pos="1080"/>
          <w:tab w:val="left" w:pos="1620"/>
          <w:tab w:val="left" w:pos="2160"/>
        </w:tabs>
      </w:pPr>
      <w:r w:rsidRPr="00362517">
        <w:t xml:space="preserve">The SENSOR-Pesticides data on RUP illnesses contains information about the severity of the illness for many of the incidents.  We use that information about incident severity for preventable or possibly preventable pesticide incidents to estimate the distribution of severity effects from estimated preventable pesticide exposures.  </w:t>
      </w:r>
    </w:p>
    <w:p w14:paraId="5AB19D02" w14:textId="77777777" w:rsidR="00F848A1" w:rsidRPr="00362517" w:rsidRDefault="00F848A1" w:rsidP="00BF6BC7">
      <w:pPr>
        <w:tabs>
          <w:tab w:val="left" w:pos="540"/>
          <w:tab w:val="left" w:pos="1080"/>
          <w:tab w:val="left" w:pos="1620"/>
          <w:tab w:val="left" w:pos="2160"/>
        </w:tabs>
      </w:pPr>
    </w:p>
    <w:p w14:paraId="5AB19D03" w14:textId="77777777" w:rsidR="00F848A1" w:rsidRPr="00362517" w:rsidRDefault="00F848A1" w:rsidP="00BF6BC7">
      <w:pPr>
        <w:tabs>
          <w:tab w:val="left" w:pos="540"/>
          <w:tab w:val="left" w:pos="1080"/>
          <w:tab w:val="left" w:pos="1620"/>
          <w:tab w:val="left" w:pos="2160"/>
        </w:tabs>
      </w:pPr>
      <w:r w:rsidRPr="00362517">
        <w:t xml:space="preserve">The four severity categories in the SENSOR-Pesticides data are defined as follows (NIOSH, 2001): </w:t>
      </w:r>
    </w:p>
    <w:p w14:paraId="5AB19D04" w14:textId="77777777" w:rsidR="00F848A1" w:rsidRPr="00362517" w:rsidRDefault="00F848A1" w:rsidP="00BF6BC7">
      <w:pPr>
        <w:tabs>
          <w:tab w:val="left" w:pos="540"/>
          <w:tab w:val="left" w:pos="1080"/>
          <w:tab w:val="left" w:pos="1620"/>
          <w:tab w:val="left" w:pos="2160"/>
        </w:tabs>
      </w:pPr>
    </w:p>
    <w:p w14:paraId="5AB19D05" w14:textId="77777777" w:rsidR="00F848A1" w:rsidRPr="00362517" w:rsidRDefault="00F848A1" w:rsidP="00BF6BC7">
      <w:pPr>
        <w:pStyle w:val="ListParagraph"/>
        <w:numPr>
          <w:ilvl w:val="0"/>
          <w:numId w:val="13"/>
        </w:numPr>
        <w:tabs>
          <w:tab w:val="left" w:pos="540"/>
          <w:tab w:val="left" w:pos="1080"/>
          <w:tab w:val="left" w:pos="1620"/>
          <w:tab w:val="left" w:pos="2160"/>
        </w:tabs>
      </w:pPr>
      <w:r w:rsidRPr="00362517">
        <w:t xml:space="preserve">S-4 Low severity illness or injury </w:t>
      </w:r>
    </w:p>
    <w:p w14:paraId="5AB19D06" w14:textId="77777777" w:rsidR="00F848A1" w:rsidRPr="00362517" w:rsidRDefault="00F848A1" w:rsidP="00BF6BC7">
      <w:pPr>
        <w:tabs>
          <w:tab w:val="left" w:pos="540"/>
          <w:tab w:val="left" w:pos="1080"/>
          <w:tab w:val="left" w:pos="1620"/>
          <w:tab w:val="left" w:pos="2160"/>
        </w:tabs>
        <w:ind w:left="540"/>
      </w:pPr>
      <w:r w:rsidRPr="00362517">
        <w:t xml:space="preserve">This is the category of lowest severity. It is often manifested by skin, eye or upper respiratory irritation. It may also include fever, headache, fatigue or dizziness. Typically the illness or injury resolves without treatment. There is minimal lost time (&lt;3 days) from work or normal activities </w:t>
      </w:r>
      <w:r w:rsidRPr="00362517">
        <w:cr/>
        <w:t xml:space="preserve"> </w:t>
      </w:r>
    </w:p>
    <w:p w14:paraId="5AB19D07" w14:textId="77777777" w:rsidR="00F848A1" w:rsidRPr="00362517" w:rsidRDefault="00F848A1" w:rsidP="00BF6BC7">
      <w:pPr>
        <w:pStyle w:val="ListParagraph"/>
        <w:numPr>
          <w:ilvl w:val="0"/>
          <w:numId w:val="13"/>
        </w:numPr>
        <w:tabs>
          <w:tab w:val="left" w:pos="540"/>
          <w:tab w:val="left" w:pos="1080"/>
          <w:tab w:val="left" w:pos="1620"/>
          <w:tab w:val="left" w:pos="2160"/>
        </w:tabs>
      </w:pPr>
      <w:r w:rsidRPr="00362517">
        <w:t xml:space="preserve">S-3 Moderate severity illness or injury </w:t>
      </w:r>
    </w:p>
    <w:p w14:paraId="5AB19D08" w14:textId="77777777" w:rsidR="00F848A1" w:rsidRPr="00362517" w:rsidRDefault="00F848A1" w:rsidP="00BF6BC7">
      <w:pPr>
        <w:pStyle w:val="ListParagraph"/>
        <w:tabs>
          <w:tab w:val="left" w:pos="540"/>
          <w:tab w:val="left" w:pos="1080"/>
          <w:tab w:val="left" w:pos="1620"/>
          <w:tab w:val="left" w:pos="2160"/>
        </w:tabs>
      </w:pPr>
      <w:r w:rsidRPr="00362517">
        <w:t xml:space="preserve">This category includes cases of less severe illness or injury often involving systemic manifestations. Generally, treatment was provided. The individual is able to return to normal functioning without any residual disability. Usually, less time is lost from work or normal activities (3-5 days), compared to those with severe illness or injury. No residual impairment is present (although effects may be persistent) </w:t>
      </w:r>
      <w:r w:rsidRPr="00362517">
        <w:cr/>
      </w:r>
    </w:p>
    <w:p w14:paraId="5AB19D09" w14:textId="77777777" w:rsidR="00F848A1" w:rsidRPr="00362517" w:rsidRDefault="00F848A1" w:rsidP="00BF6BC7">
      <w:pPr>
        <w:pStyle w:val="ListParagraph"/>
        <w:numPr>
          <w:ilvl w:val="0"/>
          <w:numId w:val="13"/>
        </w:numPr>
        <w:tabs>
          <w:tab w:val="left" w:pos="540"/>
          <w:tab w:val="left" w:pos="1080"/>
          <w:tab w:val="left" w:pos="1620"/>
          <w:tab w:val="left" w:pos="2160"/>
        </w:tabs>
      </w:pPr>
      <w:r w:rsidRPr="00362517">
        <w:t xml:space="preserve">S-2 High severity illness or injury </w:t>
      </w:r>
    </w:p>
    <w:p w14:paraId="5AB19D0A" w14:textId="77777777" w:rsidR="00F848A1" w:rsidRPr="00362517" w:rsidRDefault="00F848A1" w:rsidP="00BF6BC7">
      <w:pPr>
        <w:pStyle w:val="ListParagraph"/>
        <w:tabs>
          <w:tab w:val="left" w:pos="540"/>
          <w:tab w:val="left" w:pos="1080"/>
          <w:tab w:val="left" w:pos="1620"/>
          <w:tab w:val="left" w:pos="2160"/>
        </w:tabs>
      </w:pPr>
      <w:r w:rsidRPr="00362517">
        <w:t>The illness or injury is severe enough to be considered life threatening and typically requires treatment. This level of effect commonly involves hospitalization to prevent death. Signs and symptoms include, but are not limited to, coma, cardiac arrest, renal failure and/or respiratory depression. The individual sustains substantial loss of time (&gt; 5 days) from regular work (this can include assignment to limited/light work duties) or normal activities (if not employed). This level of severity might include the need for continued health care following the exposure event, prolonged time off of work, and limitations or modification of work or normal activities. The individual may sustain permanent functional impairment</w:t>
      </w:r>
    </w:p>
    <w:p w14:paraId="5AB19D0B" w14:textId="77777777" w:rsidR="00F848A1" w:rsidRPr="00362517" w:rsidRDefault="00F848A1" w:rsidP="00BF6BC7">
      <w:pPr>
        <w:pStyle w:val="ListParagraph"/>
        <w:tabs>
          <w:tab w:val="left" w:pos="540"/>
          <w:tab w:val="left" w:pos="1080"/>
          <w:tab w:val="left" w:pos="1620"/>
          <w:tab w:val="left" w:pos="2160"/>
        </w:tabs>
      </w:pPr>
    </w:p>
    <w:p w14:paraId="5AB19D0C" w14:textId="77777777" w:rsidR="00F848A1" w:rsidRPr="00362517" w:rsidRDefault="00F848A1" w:rsidP="00BF6BC7">
      <w:pPr>
        <w:pStyle w:val="ListParagraph"/>
        <w:numPr>
          <w:ilvl w:val="0"/>
          <w:numId w:val="13"/>
        </w:numPr>
        <w:tabs>
          <w:tab w:val="left" w:pos="540"/>
          <w:tab w:val="left" w:pos="1080"/>
          <w:tab w:val="left" w:pos="1620"/>
          <w:tab w:val="left" w:pos="2160"/>
        </w:tabs>
      </w:pPr>
      <w:r w:rsidRPr="00362517">
        <w:t xml:space="preserve">S-1 Death </w:t>
      </w:r>
    </w:p>
    <w:p w14:paraId="5AB19D0D" w14:textId="77777777" w:rsidR="00F848A1" w:rsidRPr="00362517" w:rsidRDefault="00F848A1" w:rsidP="00BF6BC7">
      <w:pPr>
        <w:tabs>
          <w:tab w:val="left" w:pos="540"/>
          <w:tab w:val="left" w:pos="1080"/>
          <w:tab w:val="left" w:pos="1620"/>
          <w:tab w:val="left" w:pos="2160"/>
        </w:tabs>
        <w:ind w:left="720"/>
      </w:pPr>
      <w:r w:rsidRPr="00362517">
        <w:t xml:space="preserve">This category describes a human fatality resulting from exposure to one or more pesticides. </w:t>
      </w:r>
    </w:p>
    <w:p w14:paraId="5AB19D0E" w14:textId="77777777" w:rsidR="00F848A1" w:rsidRPr="00362517" w:rsidRDefault="00F848A1" w:rsidP="00BF6BC7">
      <w:pPr>
        <w:tabs>
          <w:tab w:val="left" w:pos="540"/>
          <w:tab w:val="left" w:pos="1080"/>
          <w:tab w:val="left" w:pos="1620"/>
          <w:tab w:val="left" w:pos="2160"/>
        </w:tabs>
      </w:pPr>
    </w:p>
    <w:p w14:paraId="5AB19D11" w14:textId="031FE0D3" w:rsidR="00F848A1" w:rsidRPr="00362517" w:rsidRDefault="00F848A1" w:rsidP="00BF6BC7">
      <w:pPr>
        <w:tabs>
          <w:tab w:val="left" w:pos="540"/>
          <w:tab w:val="left" w:pos="1080"/>
          <w:tab w:val="left" w:pos="1620"/>
          <w:tab w:val="left" w:pos="2160"/>
        </w:tabs>
      </w:pPr>
      <w:r w:rsidRPr="00362517">
        <w:t>As shown in Table 4.4-3, considering only the preventable</w:t>
      </w:r>
      <w:r w:rsidR="00D61D97" w:rsidRPr="00362517">
        <w:t xml:space="preserve"> and</w:t>
      </w:r>
      <w:r w:rsidR="00CE39C7" w:rsidRPr="00362517">
        <w:t xml:space="preserve"> </w:t>
      </w:r>
      <w:r w:rsidRPr="00362517">
        <w:t xml:space="preserve">possibly preventable incidents, about </w:t>
      </w:r>
      <w:r w:rsidR="009A3B98" w:rsidRPr="00362517">
        <w:t>75</w:t>
      </w:r>
      <w:r w:rsidRPr="00362517">
        <w:t xml:space="preserve">% of the acute cases considered resulted in “low severity illness or injury”, </w:t>
      </w:r>
      <w:r w:rsidR="009A3B98" w:rsidRPr="00362517">
        <w:t xml:space="preserve">about </w:t>
      </w:r>
      <w:r w:rsidR="00D61D97" w:rsidRPr="00362517">
        <w:t>21</w:t>
      </w:r>
      <w:r w:rsidRPr="00362517">
        <w:t xml:space="preserve">% percent in “moderate severity illness or injury,” </w:t>
      </w:r>
      <w:r w:rsidR="009A3B98" w:rsidRPr="00362517">
        <w:t>under 3</w:t>
      </w:r>
      <w:r w:rsidRPr="00362517">
        <w:t xml:space="preserve">% in “high severity illness or injury,” and under </w:t>
      </w:r>
      <w:r w:rsidR="009A3B98" w:rsidRPr="00362517">
        <w:t>1</w:t>
      </w:r>
      <w:r w:rsidRPr="00362517">
        <w:t xml:space="preserve">% in death.  The majority of cases prevented are in the categories of low or moderate severity.  </w:t>
      </w:r>
    </w:p>
    <w:p w14:paraId="5AB19D12" w14:textId="77777777" w:rsidR="00F848A1" w:rsidRPr="00362517" w:rsidRDefault="00F848A1" w:rsidP="00BF6BC7">
      <w:pPr>
        <w:tabs>
          <w:tab w:val="left" w:pos="540"/>
          <w:tab w:val="left" w:pos="1080"/>
          <w:tab w:val="left" w:pos="1620"/>
          <w:tab w:val="left" w:pos="2160"/>
        </w:tabs>
      </w:pPr>
    </w:p>
    <w:tbl>
      <w:tblPr>
        <w:tblW w:w="9090" w:type="dxa"/>
        <w:jc w:val="center"/>
        <w:tblLook w:val="04A0" w:firstRow="1" w:lastRow="0" w:firstColumn="1" w:lastColumn="0" w:noHBand="0" w:noVBand="1"/>
      </w:tblPr>
      <w:tblGrid>
        <w:gridCol w:w="5040"/>
        <w:gridCol w:w="2242"/>
        <w:gridCol w:w="1808"/>
      </w:tblGrid>
      <w:tr w:rsidR="00362517" w:rsidRPr="00362517" w14:paraId="5AB19D14" w14:textId="77777777" w:rsidTr="0034043F">
        <w:trPr>
          <w:trHeight w:val="585"/>
          <w:jc w:val="center"/>
        </w:trPr>
        <w:tc>
          <w:tcPr>
            <w:tcW w:w="9090"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5AB19D13" w14:textId="77777777" w:rsidR="00F848A1" w:rsidRPr="00362517" w:rsidRDefault="00F848A1" w:rsidP="00BF6BC7">
            <w:pPr>
              <w:keepNext/>
              <w:rPr>
                <w:b/>
                <w:bCs/>
              </w:rPr>
            </w:pPr>
            <w:r w:rsidRPr="00362517">
              <w:rPr>
                <w:b/>
                <w:bCs/>
              </w:rPr>
              <w:t>Table 4.4-3: Severity of Symptoms from Preventable SENSOR-Pesticides Cases</w:t>
            </w:r>
          </w:p>
        </w:tc>
      </w:tr>
      <w:tr w:rsidR="00362517" w:rsidRPr="00362517" w14:paraId="5AB19D18" w14:textId="77777777" w:rsidTr="0034043F">
        <w:trPr>
          <w:trHeight w:val="675"/>
          <w:jc w:val="center"/>
        </w:trPr>
        <w:tc>
          <w:tcPr>
            <w:tcW w:w="5040" w:type="dxa"/>
            <w:tcBorders>
              <w:top w:val="nil"/>
              <w:left w:val="double" w:sz="6" w:space="0" w:color="auto"/>
              <w:bottom w:val="double" w:sz="6" w:space="0" w:color="auto"/>
              <w:right w:val="single" w:sz="8" w:space="0" w:color="auto"/>
            </w:tcBorders>
            <w:shd w:val="clear" w:color="auto" w:fill="auto"/>
            <w:noWrap/>
            <w:vAlign w:val="center"/>
            <w:hideMark/>
          </w:tcPr>
          <w:p w14:paraId="5AB19D15" w14:textId="77777777" w:rsidR="00F848A1" w:rsidRPr="00362517" w:rsidRDefault="00F848A1" w:rsidP="00BF6BC7">
            <w:pPr>
              <w:keepNext/>
              <w:rPr>
                <w:b/>
                <w:bCs/>
              </w:rPr>
            </w:pPr>
            <w:r w:rsidRPr="00362517">
              <w:rPr>
                <w:b/>
                <w:bCs/>
              </w:rPr>
              <w:t>Clinical Effect</w:t>
            </w:r>
          </w:p>
        </w:tc>
        <w:tc>
          <w:tcPr>
            <w:tcW w:w="2242" w:type="dxa"/>
            <w:tcBorders>
              <w:top w:val="nil"/>
              <w:left w:val="nil"/>
              <w:bottom w:val="double" w:sz="6" w:space="0" w:color="auto"/>
              <w:right w:val="single" w:sz="8" w:space="0" w:color="auto"/>
            </w:tcBorders>
            <w:shd w:val="clear" w:color="auto" w:fill="auto"/>
            <w:vAlign w:val="center"/>
            <w:hideMark/>
          </w:tcPr>
          <w:p w14:paraId="5AB19D16" w14:textId="77777777" w:rsidR="00F848A1" w:rsidRPr="00362517" w:rsidRDefault="00F848A1" w:rsidP="00BF6BC7">
            <w:pPr>
              <w:keepNext/>
              <w:jc w:val="center"/>
              <w:rPr>
                <w:b/>
                <w:bCs/>
              </w:rPr>
            </w:pPr>
            <w:r w:rsidRPr="00362517">
              <w:rPr>
                <w:b/>
                <w:bCs/>
              </w:rPr>
              <w:t>Number of Cases</w:t>
            </w:r>
          </w:p>
        </w:tc>
        <w:tc>
          <w:tcPr>
            <w:tcW w:w="1808" w:type="dxa"/>
            <w:tcBorders>
              <w:top w:val="nil"/>
              <w:left w:val="nil"/>
              <w:bottom w:val="double" w:sz="6" w:space="0" w:color="auto"/>
              <w:right w:val="double" w:sz="6" w:space="0" w:color="auto"/>
            </w:tcBorders>
            <w:shd w:val="clear" w:color="auto" w:fill="auto"/>
            <w:vAlign w:val="center"/>
            <w:hideMark/>
          </w:tcPr>
          <w:p w14:paraId="5AB19D17" w14:textId="77777777" w:rsidR="00F848A1" w:rsidRPr="00362517" w:rsidRDefault="00F848A1" w:rsidP="00BF6BC7">
            <w:pPr>
              <w:keepNext/>
              <w:jc w:val="center"/>
              <w:rPr>
                <w:b/>
                <w:bCs/>
              </w:rPr>
            </w:pPr>
            <w:r w:rsidRPr="00362517">
              <w:rPr>
                <w:b/>
                <w:bCs/>
              </w:rPr>
              <w:t>Share of Total</w:t>
            </w:r>
          </w:p>
        </w:tc>
      </w:tr>
      <w:tr w:rsidR="00362517" w:rsidRPr="00362517" w14:paraId="5AB19D1C" w14:textId="77777777" w:rsidTr="0034043F">
        <w:trPr>
          <w:trHeight w:val="20"/>
          <w:jc w:val="center"/>
        </w:trPr>
        <w:tc>
          <w:tcPr>
            <w:tcW w:w="5040" w:type="dxa"/>
            <w:tcBorders>
              <w:top w:val="nil"/>
              <w:left w:val="double" w:sz="6" w:space="0" w:color="auto"/>
              <w:bottom w:val="single" w:sz="8" w:space="0" w:color="auto"/>
              <w:right w:val="single" w:sz="8" w:space="0" w:color="auto"/>
            </w:tcBorders>
            <w:shd w:val="clear" w:color="auto" w:fill="auto"/>
            <w:noWrap/>
            <w:vAlign w:val="center"/>
            <w:hideMark/>
          </w:tcPr>
          <w:p w14:paraId="5AB19D19" w14:textId="77777777" w:rsidR="00F848A1" w:rsidRPr="00362517" w:rsidRDefault="00F848A1" w:rsidP="00BF6BC7">
            <w:pPr>
              <w:keepNext/>
            </w:pPr>
            <w:r w:rsidRPr="00362517">
              <w:t>Category S-4: Low severity illness or injury</w:t>
            </w:r>
          </w:p>
        </w:tc>
        <w:tc>
          <w:tcPr>
            <w:tcW w:w="2242" w:type="dxa"/>
            <w:tcBorders>
              <w:top w:val="nil"/>
              <w:left w:val="nil"/>
              <w:bottom w:val="single" w:sz="8" w:space="0" w:color="auto"/>
              <w:right w:val="single" w:sz="8" w:space="0" w:color="auto"/>
            </w:tcBorders>
            <w:shd w:val="clear" w:color="auto" w:fill="auto"/>
            <w:noWrap/>
            <w:hideMark/>
          </w:tcPr>
          <w:p w14:paraId="5AB19D1A" w14:textId="544B04A4" w:rsidR="00F848A1" w:rsidRPr="00362517" w:rsidRDefault="00D61D97" w:rsidP="00BF6BC7">
            <w:pPr>
              <w:keepNext/>
              <w:jc w:val="center"/>
            </w:pPr>
            <w:r w:rsidRPr="00362517">
              <w:t>185</w:t>
            </w:r>
          </w:p>
        </w:tc>
        <w:tc>
          <w:tcPr>
            <w:tcW w:w="1808" w:type="dxa"/>
            <w:tcBorders>
              <w:top w:val="nil"/>
              <w:left w:val="nil"/>
              <w:bottom w:val="single" w:sz="8" w:space="0" w:color="auto"/>
              <w:right w:val="double" w:sz="6" w:space="0" w:color="auto"/>
            </w:tcBorders>
            <w:shd w:val="clear" w:color="auto" w:fill="auto"/>
            <w:noWrap/>
            <w:hideMark/>
          </w:tcPr>
          <w:p w14:paraId="5AB19D1B" w14:textId="5CFDFCD7" w:rsidR="00F848A1" w:rsidRPr="00362517" w:rsidRDefault="00F848A1" w:rsidP="00BF6BC7">
            <w:pPr>
              <w:keepNext/>
              <w:jc w:val="center"/>
            </w:pPr>
            <w:r w:rsidRPr="00362517">
              <w:t>74.</w:t>
            </w:r>
            <w:r w:rsidR="00D61D97" w:rsidRPr="00362517">
              <w:t>90</w:t>
            </w:r>
            <w:r w:rsidRPr="00362517">
              <w:t>%</w:t>
            </w:r>
          </w:p>
        </w:tc>
      </w:tr>
      <w:tr w:rsidR="00362517" w:rsidRPr="00362517" w14:paraId="5AB19D20" w14:textId="77777777" w:rsidTr="0034043F">
        <w:trPr>
          <w:trHeight w:val="20"/>
          <w:jc w:val="center"/>
        </w:trPr>
        <w:tc>
          <w:tcPr>
            <w:tcW w:w="5040" w:type="dxa"/>
            <w:tcBorders>
              <w:top w:val="nil"/>
              <w:left w:val="double" w:sz="6" w:space="0" w:color="auto"/>
              <w:bottom w:val="single" w:sz="8" w:space="0" w:color="auto"/>
              <w:right w:val="single" w:sz="8" w:space="0" w:color="auto"/>
            </w:tcBorders>
            <w:shd w:val="clear" w:color="auto" w:fill="auto"/>
            <w:noWrap/>
            <w:vAlign w:val="center"/>
            <w:hideMark/>
          </w:tcPr>
          <w:p w14:paraId="5AB19D1D" w14:textId="77777777" w:rsidR="00F848A1" w:rsidRPr="00362517" w:rsidRDefault="00F848A1" w:rsidP="00BF6BC7">
            <w:pPr>
              <w:keepNext/>
            </w:pPr>
            <w:r w:rsidRPr="00362517">
              <w:t>Category S-3: Moderate severity illness or injury</w:t>
            </w:r>
          </w:p>
        </w:tc>
        <w:tc>
          <w:tcPr>
            <w:tcW w:w="2242" w:type="dxa"/>
            <w:tcBorders>
              <w:top w:val="nil"/>
              <w:left w:val="nil"/>
              <w:bottom w:val="single" w:sz="8" w:space="0" w:color="auto"/>
              <w:right w:val="single" w:sz="8" w:space="0" w:color="auto"/>
            </w:tcBorders>
            <w:shd w:val="clear" w:color="auto" w:fill="auto"/>
            <w:noWrap/>
            <w:hideMark/>
          </w:tcPr>
          <w:p w14:paraId="5AB19D1E" w14:textId="16D9A836" w:rsidR="00F848A1" w:rsidRPr="00362517" w:rsidRDefault="00F848A1" w:rsidP="00BF6BC7">
            <w:pPr>
              <w:keepNext/>
              <w:jc w:val="center"/>
            </w:pPr>
            <w:r w:rsidRPr="00362517">
              <w:t>5</w:t>
            </w:r>
            <w:r w:rsidR="00D61D97" w:rsidRPr="00362517">
              <w:t>3</w:t>
            </w:r>
          </w:p>
        </w:tc>
        <w:tc>
          <w:tcPr>
            <w:tcW w:w="1808" w:type="dxa"/>
            <w:tcBorders>
              <w:top w:val="nil"/>
              <w:left w:val="nil"/>
              <w:bottom w:val="single" w:sz="8" w:space="0" w:color="auto"/>
              <w:right w:val="double" w:sz="6" w:space="0" w:color="auto"/>
            </w:tcBorders>
            <w:shd w:val="clear" w:color="auto" w:fill="auto"/>
            <w:noWrap/>
            <w:hideMark/>
          </w:tcPr>
          <w:p w14:paraId="5AB19D1F" w14:textId="3716ECDE" w:rsidR="00F848A1" w:rsidRPr="00362517" w:rsidRDefault="00F848A1" w:rsidP="00BF6BC7">
            <w:pPr>
              <w:keepNext/>
              <w:jc w:val="center"/>
            </w:pPr>
            <w:r w:rsidRPr="00362517">
              <w:t>21.</w:t>
            </w:r>
            <w:r w:rsidR="00D61D97" w:rsidRPr="00362517">
              <w:t>46</w:t>
            </w:r>
            <w:r w:rsidRPr="00362517">
              <w:t>%</w:t>
            </w:r>
          </w:p>
        </w:tc>
      </w:tr>
      <w:tr w:rsidR="00362517" w:rsidRPr="00362517" w14:paraId="5AB19D24" w14:textId="77777777" w:rsidTr="0034043F">
        <w:trPr>
          <w:trHeight w:val="20"/>
          <w:jc w:val="center"/>
        </w:trPr>
        <w:tc>
          <w:tcPr>
            <w:tcW w:w="5040" w:type="dxa"/>
            <w:tcBorders>
              <w:top w:val="nil"/>
              <w:left w:val="double" w:sz="6" w:space="0" w:color="auto"/>
              <w:bottom w:val="single" w:sz="8" w:space="0" w:color="auto"/>
              <w:right w:val="single" w:sz="8" w:space="0" w:color="auto"/>
            </w:tcBorders>
            <w:shd w:val="clear" w:color="auto" w:fill="auto"/>
            <w:noWrap/>
            <w:vAlign w:val="center"/>
            <w:hideMark/>
          </w:tcPr>
          <w:p w14:paraId="5AB19D21" w14:textId="0B8E4A54" w:rsidR="00F848A1" w:rsidRPr="00362517" w:rsidRDefault="00F848A1" w:rsidP="00BF6BC7">
            <w:pPr>
              <w:keepNext/>
            </w:pPr>
            <w:r w:rsidRPr="00362517">
              <w:t>Category S-2:</w:t>
            </w:r>
            <w:r w:rsidR="00FF6C94">
              <w:t xml:space="preserve"> </w:t>
            </w:r>
            <w:r w:rsidRPr="00362517">
              <w:t xml:space="preserve">High severity illness or injury </w:t>
            </w:r>
          </w:p>
        </w:tc>
        <w:tc>
          <w:tcPr>
            <w:tcW w:w="2242" w:type="dxa"/>
            <w:tcBorders>
              <w:top w:val="nil"/>
              <w:left w:val="nil"/>
              <w:bottom w:val="single" w:sz="8" w:space="0" w:color="auto"/>
              <w:right w:val="single" w:sz="8" w:space="0" w:color="auto"/>
            </w:tcBorders>
            <w:shd w:val="clear" w:color="auto" w:fill="auto"/>
            <w:noWrap/>
            <w:hideMark/>
          </w:tcPr>
          <w:p w14:paraId="5AB19D22" w14:textId="77777777" w:rsidR="00F848A1" w:rsidRPr="00362517" w:rsidRDefault="00F848A1" w:rsidP="00BF6BC7">
            <w:pPr>
              <w:keepNext/>
              <w:jc w:val="center"/>
            </w:pPr>
            <w:r w:rsidRPr="00362517">
              <w:t>7</w:t>
            </w:r>
          </w:p>
        </w:tc>
        <w:tc>
          <w:tcPr>
            <w:tcW w:w="1808" w:type="dxa"/>
            <w:tcBorders>
              <w:top w:val="nil"/>
              <w:left w:val="nil"/>
              <w:bottom w:val="single" w:sz="8" w:space="0" w:color="auto"/>
              <w:right w:val="double" w:sz="6" w:space="0" w:color="auto"/>
            </w:tcBorders>
            <w:shd w:val="clear" w:color="auto" w:fill="auto"/>
            <w:noWrap/>
            <w:hideMark/>
          </w:tcPr>
          <w:p w14:paraId="5AB19D23" w14:textId="0589E4E8" w:rsidR="00F848A1" w:rsidRPr="00362517" w:rsidRDefault="00F848A1" w:rsidP="00BF6BC7">
            <w:pPr>
              <w:keepNext/>
              <w:jc w:val="center"/>
            </w:pPr>
            <w:r w:rsidRPr="00362517">
              <w:t>2.</w:t>
            </w:r>
            <w:r w:rsidR="00D61D97" w:rsidRPr="00362517">
              <w:t>83</w:t>
            </w:r>
            <w:r w:rsidRPr="00362517">
              <w:t>%</w:t>
            </w:r>
          </w:p>
        </w:tc>
      </w:tr>
      <w:tr w:rsidR="00362517" w:rsidRPr="00362517" w14:paraId="5AB19D28" w14:textId="77777777" w:rsidTr="0034043F">
        <w:trPr>
          <w:trHeight w:val="20"/>
          <w:jc w:val="center"/>
        </w:trPr>
        <w:tc>
          <w:tcPr>
            <w:tcW w:w="5040" w:type="dxa"/>
            <w:tcBorders>
              <w:top w:val="nil"/>
              <w:left w:val="double" w:sz="6" w:space="0" w:color="auto"/>
              <w:bottom w:val="single" w:sz="8" w:space="0" w:color="auto"/>
              <w:right w:val="single" w:sz="8" w:space="0" w:color="auto"/>
            </w:tcBorders>
            <w:shd w:val="clear" w:color="auto" w:fill="auto"/>
            <w:noWrap/>
            <w:vAlign w:val="center"/>
            <w:hideMark/>
          </w:tcPr>
          <w:p w14:paraId="5AB19D25" w14:textId="77777777" w:rsidR="00F848A1" w:rsidRPr="00362517" w:rsidRDefault="00F848A1" w:rsidP="00BF6BC7">
            <w:pPr>
              <w:keepNext/>
            </w:pPr>
            <w:r w:rsidRPr="00362517">
              <w:t>Category S-1: Death</w:t>
            </w:r>
          </w:p>
        </w:tc>
        <w:tc>
          <w:tcPr>
            <w:tcW w:w="2242" w:type="dxa"/>
            <w:tcBorders>
              <w:top w:val="nil"/>
              <w:left w:val="nil"/>
              <w:bottom w:val="single" w:sz="8" w:space="0" w:color="auto"/>
              <w:right w:val="single" w:sz="8" w:space="0" w:color="auto"/>
            </w:tcBorders>
            <w:shd w:val="clear" w:color="auto" w:fill="auto"/>
            <w:noWrap/>
            <w:hideMark/>
          </w:tcPr>
          <w:p w14:paraId="5AB19D26" w14:textId="77777777" w:rsidR="00F848A1" w:rsidRPr="00362517" w:rsidRDefault="00F848A1" w:rsidP="00BF6BC7">
            <w:pPr>
              <w:keepNext/>
              <w:jc w:val="center"/>
            </w:pPr>
            <w:r w:rsidRPr="00362517">
              <w:t>2</w:t>
            </w:r>
          </w:p>
        </w:tc>
        <w:tc>
          <w:tcPr>
            <w:tcW w:w="1808" w:type="dxa"/>
            <w:tcBorders>
              <w:top w:val="nil"/>
              <w:left w:val="nil"/>
              <w:bottom w:val="single" w:sz="8" w:space="0" w:color="auto"/>
              <w:right w:val="double" w:sz="6" w:space="0" w:color="auto"/>
            </w:tcBorders>
            <w:shd w:val="clear" w:color="auto" w:fill="auto"/>
            <w:noWrap/>
            <w:hideMark/>
          </w:tcPr>
          <w:p w14:paraId="5AB19D27" w14:textId="161F4D1C" w:rsidR="00F848A1" w:rsidRPr="00362517" w:rsidRDefault="00F848A1" w:rsidP="00BF6BC7">
            <w:pPr>
              <w:keepNext/>
              <w:jc w:val="center"/>
            </w:pPr>
            <w:r w:rsidRPr="00362517">
              <w:t>0.</w:t>
            </w:r>
            <w:r w:rsidR="00D61D97" w:rsidRPr="00362517">
              <w:t>81</w:t>
            </w:r>
            <w:r w:rsidRPr="00362517">
              <w:t>%</w:t>
            </w:r>
          </w:p>
        </w:tc>
      </w:tr>
      <w:tr w:rsidR="00362517" w:rsidRPr="00362517" w14:paraId="5AB19D2C" w14:textId="77777777" w:rsidTr="0034043F">
        <w:trPr>
          <w:trHeight w:val="20"/>
          <w:jc w:val="center"/>
        </w:trPr>
        <w:tc>
          <w:tcPr>
            <w:tcW w:w="5040" w:type="dxa"/>
            <w:tcBorders>
              <w:top w:val="nil"/>
              <w:left w:val="double" w:sz="6" w:space="0" w:color="auto"/>
              <w:bottom w:val="double" w:sz="6" w:space="0" w:color="auto"/>
              <w:right w:val="single" w:sz="8" w:space="0" w:color="auto"/>
            </w:tcBorders>
            <w:shd w:val="clear" w:color="auto" w:fill="auto"/>
            <w:noWrap/>
            <w:vAlign w:val="center"/>
            <w:hideMark/>
          </w:tcPr>
          <w:p w14:paraId="5AB19D29" w14:textId="77777777" w:rsidR="00F848A1" w:rsidRPr="00362517" w:rsidRDefault="00F848A1" w:rsidP="00BF6BC7">
            <w:pPr>
              <w:keepNext/>
            </w:pPr>
            <w:r w:rsidRPr="00362517">
              <w:t>Total</w:t>
            </w:r>
          </w:p>
        </w:tc>
        <w:tc>
          <w:tcPr>
            <w:tcW w:w="2242" w:type="dxa"/>
            <w:tcBorders>
              <w:top w:val="nil"/>
              <w:left w:val="nil"/>
              <w:bottom w:val="double" w:sz="6" w:space="0" w:color="auto"/>
              <w:right w:val="single" w:sz="8" w:space="0" w:color="auto"/>
            </w:tcBorders>
            <w:shd w:val="clear" w:color="auto" w:fill="auto"/>
            <w:noWrap/>
            <w:hideMark/>
          </w:tcPr>
          <w:p w14:paraId="5AB19D2A" w14:textId="49DDE0D2" w:rsidR="00F848A1" w:rsidRPr="00362517" w:rsidRDefault="00F848A1" w:rsidP="00BF6BC7">
            <w:pPr>
              <w:keepNext/>
              <w:jc w:val="center"/>
            </w:pPr>
            <w:r w:rsidRPr="00362517">
              <w:t>2</w:t>
            </w:r>
            <w:r w:rsidR="00D61D97" w:rsidRPr="00362517">
              <w:t>47</w:t>
            </w:r>
          </w:p>
        </w:tc>
        <w:tc>
          <w:tcPr>
            <w:tcW w:w="1808" w:type="dxa"/>
            <w:tcBorders>
              <w:top w:val="nil"/>
              <w:left w:val="nil"/>
              <w:bottom w:val="double" w:sz="6" w:space="0" w:color="auto"/>
              <w:right w:val="double" w:sz="6" w:space="0" w:color="auto"/>
            </w:tcBorders>
            <w:shd w:val="clear" w:color="auto" w:fill="auto"/>
            <w:noWrap/>
            <w:hideMark/>
          </w:tcPr>
          <w:p w14:paraId="5AB19D2B" w14:textId="77777777" w:rsidR="00F848A1" w:rsidRPr="00362517" w:rsidRDefault="00F848A1" w:rsidP="00BF6BC7">
            <w:pPr>
              <w:keepNext/>
              <w:jc w:val="center"/>
            </w:pPr>
            <w:r w:rsidRPr="00362517">
              <w:t>100.00%</w:t>
            </w:r>
          </w:p>
        </w:tc>
      </w:tr>
      <w:tr w:rsidR="00F848A1" w:rsidRPr="00362517" w14:paraId="5AB19D2F" w14:textId="77777777" w:rsidTr="0034043F">
        <w:trPr>
          <w:trHeight w:val="342"/>
          <w:jc w:val="center"/>
        </w:trPr>
        <w:tc>
          <w:tcPr>
            <w:tcW w:w="9090" w:type="dxa"/>
            <w:gridSpan w:val="3"/>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5AB19D2E" w14:textId="2B044400" w:rsidR="00F848A1" w:rsidRPr="00362517" w:rsidRDefault="00F848A1" w:rsidP="00BF6BC7">
            <w:pPr>
              <w:keepNext/>
              <w:rPr>
                <w:sz w:val="20"/>
                <w:szCs w:val="20"/>
              </w:rPr>
            </w:pPr>
            <w:r w:rsidRPr="00362517">
              <w:rPr>
                <w:sz w:val="20"/>
                <w:szCs w:val="20"/>
              </w:rPr>
              <w:t>Source: EPA estimates from SENSOR-Pesticides data, 2008 – 2011.</w:t>
            </w:r>
          </w:p>
        </w:tc>
      </w:tr>
    </w:tbl>
    <w:p w14:paraId="5AB19D30" w14:textId="77777777" w:rsidR="00F848A1" w:rsidRPr="00362517" w:rsidRDefault="00F848A1" w:rsidP="00BF6BC7">
      <w:pPr>
        <w:tabs>
          <w:tab w:val="left" w:pos="540"/>
          <w:tab w:val="left" w:pos="1080"/>
          <w:tab w:val="left" w:pos="1620"/>
          <w:tab w:val="left" w:pos="2160"/>
        </w:tabs>
      </w:pPr>
    </w:p>
    <w:p w14:paraId="5AB19D31" w14:textId="6FDABEEC" w:rsidR="00F848A1" w:rsidRPr="00362517" w:rsidRDefault="00F848A1" w:rsidP="00BF6BC7">
      <w:pPr>
        <w:tabs>
          <w:tab w:val="left" w:pos="540"/>
          <w:tab w:val="left" w:pos="1080"/>
          <w:tab w:val="left" w:pos="1620"/>
          <w:tab w:val="left" w:pos="2160"/>
        </w:tabs>
      </w:pPr>
      <w:r w:rsidRPr="00362517">
        <w:t xml:space="preserve">Given the distribution of effects from the sample of pesticide incidents shown in Table 4.4-3 and the estimated number of cases avoided from Section 4.4.2, EPA estimates the distribution of preventable RUP incidents across the four severity levels.  Table 4.4-4 shows the estimated number of national incidents that may be prevented by the rule for each severity level, based on the high and low estimates of cases prevented from Table 4.4-1.  </w:t>
      </w:r>
      <w:r w:rsidR="009A3B98" w:rsidRPr="00362517">
        <w:t xml:space="preserve"> </w:t>
      </w:r>
      <w:r w:rsidRPr="00362517">
        <w:t xml:space="preserve">     </w:t>
      </w:r>
    </w:p>
    <w:p w14:paraId="5AB19D32" w14:textId="77777777" w:rsidR="00F848A1" w:rsidRPr="00362517" w:rsidRDefault="00F848A1" w:rsidP="00BF6BC7">
      <w:pPr>
        <w:tabs>
          <w:tab w:val="left" w:pos="540"/>
          <w:tab w:val="left" w:pos="1080"/>
          <w:tab w:val="left" w:pos="1620"/>
          <w:tab w:val="left" w:pos="2160"/>
        </w:tabs>
      </w:pPr>
    </w:p>
    <w:tbl>
      <w:tblPr>
        <w:tblW w:w="9389" w:type="dxa"/>
        <w:jc w:val="center"/>
        <w:tblLook w:val="04A0" w:firstRow="1" w:lastRow="0" w:firstColumn="1" w:lastColumn="0" w:noHBand="0" w:noVBand="1"/>
      </w:tblPr>
      <w:tblGrid>
        <w:gridCol w:w="4973"/>
        <w:gridCol w:w="1304"/>
        <w:gridCol w:w="1530"/>
        <w:gridCol w:w="1582"/>
      </w:tblGrid>
      <w:tr w:rsidR="00362517" w:rsidRPr="00362517" w14:paraId="5AB19D34" w14:textId="77777777" w:rsidTr="0034043F">
        <w:trPr>
          <w:trHeight w:val="621"/>
          <w:jc w:val="center"/>
        </w:trPr>
        <w:tc>
          <w:tcPr>
            <w:tcW w:w="9389" w:type="dxa"/>
            <w:gridSpan w:val="4"/>
            <w:tcBorders>
              <w:top w:val="double" w:sz="6" w:space="0" w:color="auto"/>
              <w:left w:val="double" w:sz="6" w:space="0" w:color="auto"/>
              <w:bottom w:val="double" w:sz="4" w:space="0" w:color="auto"/>
              <w:right w:val="double" w:sz="6" w:space="0" w:color="000000"/>
            </w:tcBorders>
            <w:shd w:val="clear" w:color="auto" w:fill="auto"/>
            <w:vAlign w:val="center"/>
            <w:hideMark/>
          </w:tcPr>
          <w:p w14:paraId="5AB19D33" w14:textId="2240448F" w:rsidR="00F848A1" w:rsidRPr="00362517" w:rsidRDefault="00F848A1" w:rsidP="00BF6BC7">
            <w:pPr>
              <w:keepNext/>
              <w:rPr>
                <w:b/>
                <w:bCs/>
              </w:rPr>
            </w:pPr>
            <w:r w:rsidRPr="00362517">
              <w:rPr>
                <w:b/>
                <w:bCs/>
              </w:rPr>
              <w:t>Table 4.4-4</w:t>
            </w:r>
            <w:r w:rsidR="00FF6C94">
              <w:rPr>
                <w:b/>
                <w:bCs/>
              </w:rPr>
              <w:t>:</w:t>
            </w:r>
            <w:r w:rsidRPr="00362517">
              <w:rPr>
                <w:b/>
                <w:bCs/>
              </w:rPr>
              <w:t xml:space="preserve">  Estimates of Annual Illnesses Prevented by the Rule, by Severity</w:t>
            </w:r>
          </w:p>
        </w:tc>
      </w:tr>
      <w:tr w:rsidR="00362517" w:rsidRPr="00362517" w14:paraId="5AB19D38" w14:textId="77777777" w:rsidTr="0034043F">
        <w:trPr>
          <w:trHeight w:val="564"/>
          <w:jc w:val="center"/>
        </w:trPr>
        <w:tc>
          <w:tcPr>
            <w:tcW w:w="4973" w:type="dxa"/>
            <w:tcBorders>
              <w:top w:val="double" w:sz="4" w:space="0" w:color="auto"/>
              <w:left w:val="double" w:sz="4" w:space="0" w:color="auto"/>
              <w:bottom w:val="nil"/>
              <w:right w:val="nil"/>
            </w:tcBorders>
            <w:shd w:val="clear" w:color="auto" w:fill="auto"/>
            <w:noWrap/>
            <w:vAlign w:val="center"/>
            <w:hideMark/>
          </w:tcPr>
          <w:p w14:paraId="5AB19D35" w14:textId="77777777" w:rsidR="00F848A1" w:rsidRPr="00362517" w:rsidRDefault="00F848A1" w:rsidP="00BF6BC7">
            <w:pPr>
              <w:keepNext/>
              <w:rPr>
                <w:b/>
                <w:bCs/>
              </w:rPr>
            </w:pPr>
          </w:p>
        </w:tc>
        <w:tc>
          <w:tcPr>
            <w:tcW w:w="1304" w:type="dxa"/>
            <w:tcBorders>
              <w:top w:val="double" w:sz="4" w:space="0" w:color="auto"/>
              <w:left w:val="nil"/>
              <w:right w:val="single" w:sz="8" w:space="0" w:color="auto"/>
            </w:tcBorders>
            <w:shd w:val="clear" w:color="auto" w:fill="auto"/>
            <w:vAlign w:val="center"/>
            <w:hideMark/>
          </w:tcPr>
          <w:p w14:paraId="5AB19D36" w14:textId="77777777" w:rsidR="00F848A1" w:rsidRPr="00362517" w:rsidRDefault="00F848A1" w:rsidP="00BF6BC7">
            <w:pPr>
              <w:keepNext/>
              <w:rPr>
                <w:b/>
                <w:bCs/>
              </w:rPr>
            </w:pPr>
          </w:p>
        </w:tc>
        <w:tc>
          <w:tcPr>
            <w:tcW w:w="3112" w:type="dxa"/>
            <w:gridSpan w:val="2"/>
            <w:tcBorders>
              <w:top w:val="double" w:sz="4" w:space="0" w:color="auto"/>
              <w:left w:val="nil"/>
              <w:bottom w:val="double" w:sz="6" w:space="0" w:color="auto"/>
              <w:right w:val="double" w:sz="4" w:space="0" w:color="auto"/>
            </w:tcBorders>
            <w:shd w:val="clear" w:color="auto" w:fill="auto"/>
            <w:vAlign w:val="center"/>
            <w:hideMark/>
          </w:tcPr>
          <w:p w14:paraId="5AB19D37" w14:textId="77777777" w:rsidR="00F848A1" w:rsidRPr="00362517" w:rsidRDefault="00F848A1" w:rsidP="00BF6BC7">
            <w:pPr>
              <w:keepNext/>
              <w:jc w:val="center"/>
              <w:rPr>
                <w:b/>
                <w:bCs/>
              </w:rPr>
            </w:pPr>
            <w:r w:rsidRPr="00362517">
              <w:rPr>
                <w:b/>
                <w:bCs/>
              </w:rPr>
              <w:t>Estimate of Number of Cases Prevented Annually</w:t>
            </w:r>
          </w:p>
        </w:tc>
      </w:tr>
      <w:tr w:rsidR="00362517" w:rsidRPr="00362517" w14:paraId="5AB19D3D" w14:textId="77777777" w:rsidTr="0034043F">
        <w:trPr>
          <w:trHeight w:val="720"/>
          <w:jc w:val="center"/>
        </w:trPr>
        <w:tc>
          <w:tcPr>
            <w:tcW w:w="4973" w:type="dxa"/>
            <w:tcBorders>
              <w:top w:val="nil"/>
              <w:left w:val="double" w:sz="4" w:space="0" w:color="auto"/>
              <w:bottom w:val="double" w:sz="6" w:space="0" w:color="auto"/>
              <w:right w:val="nil"/>
            </w:tcBorders>
            <w:shd w:val="clear" w:color="auto" w:fill="auto"/>
            <w:noWrap/>
            <w:vAlign w:val="center"/>
            <w:hideMark/>
          </w:tcPr>
          <w:p w14:paraId="5AB19D39" w14:textId="77777777" w:rsidR="00F848A1" w:rsidRPr="00362517" w:rsidRDefault="00F848A1" w:rsidP="00BF6BC7">
            <w:pPr>
              <w:keepNext/>
              <w:rPr>
                <w:b/>
                <w:bCs/>
              </w:rPr>
            </w:pPr>
            <w:r w:rsidRPr="00362517">
              <w:rPr>
                <w:b/>
                <w:bCs/>
              </w:rPr>
              <w:t>Clinical Effect</w:t>
            </w:r>
          </w:p>
        </w:tc>
        <w:tc>
          <w:tcPr>
            <w:tcW w:w="1304" w:type="dxa"/>
            <w:tcBorders>
              <w:top w:val="nil"/>
              <w:left w:val="nil"/>
              <w:bottom w:val="double" w:sz="6" w:space="0" w:color="auto"/>
              <w:right w:val="single" w:sz="4" w:space="0" w:color="auto"/>
            </w:tcBorders>
            <w:shd w:val="clear" w:color="auto" w:fill="auto"/>
            <w:vAlign w:val="center"/>
            <w:hideMark/>
          </w:tcPr>
          <w:p w14:paraId="5AB19D3A" w14:textId="77777777" w:rsidR="00F848A1" w:rsidRPr="00362517" w:rsidRDefault="00F848A1" w:rsidP="00BF6BC7">
            <w:pPr>
              <w:keepNext/>
              <w:jc w:val="center"/>
              <w:rPr>
                <w:b/>
                <w:bCs/>
              </w:rPr>
            </w:pPr>
            <w:r w:rsidRPr="00362517">
              <w:rPr>
                <w:b/>
                <w:bCs/>
              </w:rPr>
              <w:t>Share of Total</w:t>
            </w:r>
          </w:p>
        </w:tc>
        <w:tc>
          <w:tcPr>
            <w:tcW w:w="1530" w:type="dxa"/>
            <w:tcBorders>
              <w:top w:val="nil"/>
              <w:left w:val="single" w:sz="4" w:space="0" w:color="auto"/>
              <w:bottom w:val="double" w:sz="6" w:space="0" w:color="auto"/>
              <w:right w:val="single" w:sz="8" w:space="0" w:color="auto"/>
            </w:tcBorders>
            <w:shd w:val="clear" w:color="auto" w:fill="auto"/>
            <w:vAlign w:val="center"/>
            <w:hideMark/>
          </w:tcPr>
          <w:p w14:paraId="5AB19D3B" w14:textId="77777777" w:rsidR="00F848A1" w:rsidRPr="00362517" w:rsidRDefault="00F848A1" w:rsidP="00BF6BC7">
            <w:pPr>
              <w:keepNext/>
              <w:jc w:val="center"/>
              <w:rPr>
                <w:b/>
                <w:bCs/>
              </w:rPr>
            </w:pPr>
            <w:r w:rsidRPr="00362517">
              <w:rPr>
                <w:b/>
                <w:bCs/>
              </w:rPr>
              <w:t>Low End Estimate (51%)</w:t>
            </w:r>
          </w:p>
        </w:tc>
        <w:tc>
          <w:tcPr>
            <w:tcW w:w="1582" w:type="dxa"/>
            <w:tcBorders>
              <w:top w:val="nil"/>
              <w:left w:val="nil"/>
              <w:bottom w:val="double" w:sz="6" w:space="0" w:color="auto"/>
              <w:right w:val="double" w:sz="4" w:space="0" w:color="auto"/>
            </w:tcBorders>
            <w:shd w:val="clear" w:color="auto" w:fill="auto"/>
            <w:vAlign w:val="center"/>
            <w:hideMark/>
          </w:tcPr>
          <w:p w14:paraId="5AB19D3C" w14:textId="77777777" w:rsidR="00F848A1" w:rsidRPr="00362517" w:rsidRDefault="00F848A1" w:rsidP="00BF6BC7">
            <w:pPr>
              <w:keepNext/>
              <w:jc w:val="center"/>
              <w:rPr>
                <w:b/>
                <w:bCs/>
              </w:rPr>
            </w:pPr>
            <w:r w:rsidRPr="00362517">
              <w:rPr>
                <w:b/>
                <w:bCs/>
              </w:rPr>
              <w:t>High End Estimate (69%)</w:t>
            </w:r>
          </w:p>
        </w:tc>
      </w:tr>
      <w:tr w:rsidR="00362517" w:rsidRPr="00362517" w14:paraId="5AB19D42" w14:textId="77777777" w:rsidTr="0034043F">
        <w:trPr>
          <w:trHeight w:val="415"/>
          <w:jc w:val="center"/>
        </w:trPr>
        <w:tc>
          <w:tcPr>
            <w:tcW w:w="4973" w:type="dxa"/>
            <w:tcBorders>
              <w:top w:val="nil"/>
              <w:left w:val="double" w:sz="4" w:space="0" w:color="auto"/>
              <w:bottom w:val="single" w:sz="8" w:space="0" w:color="auto"/>
              <w:right w:val="single" w:sz="8" w:space="0" w:color="auto"/>
            </w:tcBorders>
            <w:shd w:val="clear" w:color="auto" w:fill="auto"/>
            <w:noWrap/>
            <w:vAlign w:val="center"/>
            <w:hideMark/>
          </w:tcPr>
          <w:p w14:paraId="5AB19D3E" w14:textId="77777777" w:rsidR="00F848A1" w:rsidRPr="00362517" w:rsidRDefault="00F848A1" w:rsidP="00BF6BC7">
            <w:pPr>
              <w:keepNext/>
            </w:pPr>
            <w:r w:rsidRPr="00362517">
              <w:t>Category S-4: Low severity illness or injury</w:t>
            </w:r>
          </w:p>
        </w:tc>
        <w:tc>
          <w:tcPr>
            <w:tcW w:w="1304" w:type="dxa"/>
            <w:tcBorders>
              <w:top w:val="nil"/>
              <w:left w:val="nil"/>
              <w:bottom w:val="single" w:sz="8" w:space="0" w:color="auto"/>
              <w:right w:val="double" w:sz="6" w:space="0" w:color="auto"/>
            </w:tcBorders>
            <w:shd w:val="clear" w:color="auto" w:fill="auto"/>
            <w:noWrap/>
            <w:vAlign w:val="center"/>
            <w:hideMark/>
          </w:tcPr>
          <w:p w14:paraId="5AB19D3F" w14:textId="632FE8FA" w:rsidR="00F848A1" w:rsidRPr="00362517" w:rsidRDefault="00F848A1" w:rsidP="00BF6BC7">
            <w:pPr>
              <w:keepNext/>
              <w:jc w:val="center"/>
            </w:pPr>
            <w:r w:rsidRPr="00362517">
              <w:t>74.</w:t>
            </w:r>
            <w:r w:rsidR="00914A31" w:rsidRPr="00362517">
              <w:t>90</w:t>
            </w:r>
            <w:r w:rsidRPr="00362517">
              <w:t>%</w:t>
            </w:r>
          </w:p>
        </w:tc>
        <w:tc>
          <w:tcPr>
            <w:tcW w:w="1530" w:type="dxa"/>
            <w:tcBorders>
              <w:top w:val="nil"/>
              <w:left w:val="nil"/>
              <w:bottom w:val="single" w:sz="8" w:space="0" w:color="auto"/>
              <w:right w:val="single" w:sz="8" w:space="0" w:color="auto"/>
            </w:tcBorders>
            <w:shd w:val="clear" w:color="auto" w:fill="auto"/>
            <w:noWrap/>
            <w:vAlign w:val="center"/>
            <w:hideMark/>
          </w:tcPr>
          <w:p w14:paraId="5AB19D40" w14:textId="67748118" w:rsidR="00F848A1" w:rsidRPr="00362517" w:rsidRDefault="00F848A1" w:rsidP="00BF6BC7">
            <w:pPr>
              <w:keepNext/>
              <w:jc w:val="center"/>
            </w:pPr>
            <w:r w:rsidRPr="00362517">
              <w:t>1</w:t>
            </w:r>
            <w:r w:rsidR="00914A31" w:rsidRPr="00362517">
              <w:t>17</w:t>
            </w:r>
            <w:r w:rsidRPr="00362517">
              <w:t>.</w:t>
            </w:r>
            <w:r w:rsidR="00FF1C21" w:rsidRPr="00362517">
              <w:t>2</w:t>
            </w:r>
          </w:p>
        </w:tc>
        <w:tc>
          <w:tcPr>
            <w:tcW w:w="1582" w:type="dxa"/>
            <w:tcBorders>
              <w:top w:val="nil"/>
              <w:left w:val="nil"/>
              <w:bottom w:val="single" w:sz="8" w:space="0" w:color="auto"/>
              <w:right w:val="double" w:sz="4" w:space="0" w:color="auto"/>
            </w:tcBorders>
            <w:shd w:val="clear" w:color="auto" w:fill="auto"/>
            <w:noWrap/>
            <w:vAlign w:val="center"/>
            <w:hideMark/>
          </w:tcPr>
          <w:p w14:paraId="5AB19D41" w14:textId="5F05A3E0" w:rsidR="00F848A1" w:rsidRPr="00362517" w:rsidRDefault="00F848A1" w:rsidP="00BF6BC7">
            <w:pPr>
              <w:keepNext/>
              <w:jc w:val="center"/>
            </w:pPr>
            <w:r w:rsidRPr="00362517">
              <w:t>1</w:t>
            </w:r>
            <w:r w:rsidR="00914A31" w:rsidRPr="00362517">
              <w:t>47.</w:t>
            </w:r>
            <w:r w:rsidR="00FF1C21" w:rsidRPr="00362517">
              <w:t>7</w:t>
            </w:r>
          </w:p>
        </w:tc>
      </w:tr>
      <w:tr w:rsidR="00362517" w:rsidRPr="00362517" w14:paraId="5AB19D47" w14:textId="77777777" w:rsidTr="0034043F">
        <w:trPr>
          <w:trHeight w:val="338"/>
          <w:jc w:val="center"/>
        </w:trPr>
        <w:tc>
          <w:tcPr>
            <w:tcW w:w="4973" w:type="dxa"/>
            <w:tcBorders>
              <w:top w:val="nil"/>
              <w:left w:val="double" w:sz="4" w:space="0" w:color="auto"/>
              <w:bottom w:val="single" w:sz="8" w:space="0" w:color="auto"/>
              <w:right w:val="single" w:sz="8" w:space="0" w:color="auto"/>
            </w:tcBorders>
            <w:shd w:val="clear" w:color="auto" w:fill="auto"/>
            <w:noWrap/>
            <w:vAlign w:val="center"/>
            <w:hideMark/>
          </w:tcPr>
          <w:p w14:paraId="5AB19D43" w14:textId="77777777" w:rsidR="00F848A1" w:rsidRPr="00362517" w:rsidRDefault="00F848A1" w:rsidP="00BF6BC7">
            <w:pPr>
              <w:keepNext/>
            </w:pPr>
            <w:r w:rsidRPr="00362517">
              <w:t>Category S-3: Moderate severity illness or injury</w:t>
            </w:r>
          </w:p>
        </w:tc>
        <w:tc>
          <w:tcPr>
            <w:tcW w:w="1304" w:type="dxa"/>
            <w:tcBorders>
              <w:top w:val="nil"/>
              <w:left w:val="nil"/>
              <w:bottom w:val="single" w:sz="8" w:space="0" w:color="auto"/>
              <w:right w:val="double" w:sz="6" w:space="0" w:color="auto"/>
            </w:tcBorders>
            <w:shd w:val="clear" w:color="auto" w:fill="auto"/>
            <w:noWrap/>
            <w:vAlign w:val="center"/>
            <w:hideMark/>
          </w:tcPr>
          <w:p w14:paraId="5AB19D44" w14:textId="766CBEAF" w:rsidR="00F848A1" w:rsidRPr="00362517" w:rsidRDefault="00F848A1" w:rsidP="00BF6BC7">
            <w:pPr>
              <w:keepNext/>
              <w:jc w:val="center"/>
            </w:pPr>
            <w:r w:rsidRPr="00362517">
              <w:t>21.</w:t>
            </w:r>
            <w:r w:rsidR="00914A31" w:rsidRPr="00362517">
              <w:t>46</w:t>
            </w:r>
            <w:r w:rsidRPr="00362517">
              <w:t>%</w:t>
            </w:r>
          </w:p>
        </w:tc>
        <w:tc>
          <w:tcPr>
            <w:tcW w:w="1530" w:type="dxa"/>
            <w:tcBorders>
              <w:top w:val="nil"/>
              <w:left w:val="nil"/>
              <w:bottom w:val="single" w:sz="8" w:space="0" w:color="auto"/>
              <w:right w:val="single" w:sz="8" w:space="0" w:color="auto"/>
            </w:tcBorders>
            <w:shd w:val="clear" w:color="auto" w:fill="auto"/>
            <w:noWrap/>
            <w:vAlign w:val="center"/>
            <w:hideMark/>
          </w:tcPr>
          <w:p w14:paraId="5AB19D45" w14:textId="4F70B3A9" w:rsidR="00F848A1" w:rsidRPr="00362517" w:rsidRDefault="00F848A1" w:rsidP="00BF6BC7">
            <w:pPr>
              <w:keepNext/>
              <w:jc w:val="center"/>
            </w:pPr>
            <w:r w:rsidRPr="00362517">
              <w:t>3</w:t>
            </w:r>
            <w:r w:rsidR="00914A31" w:rsidRPr="00362517">
              <w:t>3.</w:t>
            </w:r>
            <w:r w:rsidR="00FF1C21" w:rsidRPr="00362517">
              <w:t>6</w:t>
            </w:r>
          </w:p>
        </w:tc>
        <w:tc>
          <w:tcPr>
            <w:tcW w:w="1582" w:type="dxa"/>
            <w:tcBorders>
              <w:top w:val="nil"/>
              <w:left w:val="nil"/>
              <w:bottom w:val="single" w:sz="8" w:space="0" w:color="auto"/>
              <w:right w:val="double" w:sz="4" w:space="0" w:color="auto"/>
            </w:tcBorders>
            <w:shd w:val="clear" w:color="auto" w:fill="auto"/>
            <w:noWrap/>
            <w:vAlign w:val="center"/>
            <w:hideMark/>
          </w:tcPr>
          <w:p w14:paraId="5AB19D46" w14:textId="41F5629A" w:rsidR="00F848A1" w:rsidRPr="00362517" w:rsidRDefault="00F848A1" w:rsidP="00BF6BC7">
            <w:pPr>
              <w:keepNext/>
              <w:jc w:val="center"/>
            </w:pPr>
            <w:r w:rsidRPr="00362517">
              <w:t>4</w:t>
            </w:r>
            <w:r w:rsidR="00914A31" w:rsidRPr="00362517">
              <w:t>2.</w:t>
            </w:r>
            <w:r w:rsidR="00FF1C21" w:rsidRPr="00362517">
              <w:t>3</w:t>
            </w:r>
          </w:p>
        </w:tc>
      </w:tr>
      <w:tr w:rsidR="00362517" w:rsidRPr="00362517" w14:paraId="5AB19D4C" w14:textId="77777777" w:rsidTr="0034043F">
        <w:trPr>
          <w:trHeight w:val="338"/>
          <w:jc w:val="center"/>
        </w:trPr>
        <w:tc>
          <w:tcPr>
            <w:tcW w:w="4973" w:type="dxa"/>
            <w:tcBorders>
              <w:top w:val="nil"/>
              <w:left w:val="double" w:sz="4" w:space="0" w:color="auto"/>
              <w:bottom w:val="single" w:sz="8" w:space="0" w:color="auto"/>
              <w:right w:val="single" w:sz="8" w:space="0" w:color="auto"/>
            </w:tcBorders>
            <w:shd w:val="clear" w:color="auto" w:fill="auto"/>
            <w:noWrap/>
            <w:vAlign w:val="center"/>
            <w:hideMark/>
          </w:tcPr>
          <w:p w14:paraId="5AB19D48" w14:textId="4C716330" w:rsidR="00F848A1" w:rsidRPr="00362517" w:rsidRDefault="00F848A1" w:rsidP="00BF6BC7">
            <w:pPr>
              <w:keepNext/>
            </w:pPr>
            <w:r w:rsidRPr="00362517">
              <w:t xml:space="preserve">Category S-2:High severity illness or injury </w:t>
            </w:r>
          </w:p>
        </w:tc>
        <w:tc>
          <w:tcPr>
            <w:tcW w:w="1304" w:type="dxa"/>
            <w:tcBorders>
              <w:top w:val="nil"/>
              <w:left w:val="nil"/>
              <w:bottom w:val="single" w:sz="8" w:space="0" w:color="auto"/>
              <w:right w:val="double" w:sz="6" w:space="0" w:color="auto"/>
            </w:tcBorders>
            <w:shd w:val="clear" w:color="auto" w:fill="auto"/>
            <w:noWrap/>
            <w:vAlign w:val="center"/>
            <w:hideMark/>
          </w:tcPr>
          <w:p w14:paraId="5AB19D49" w14:textId="7DD476C6" w:rsidR="00F848A1" w:rsidRPr="00362517" w:rsidRDefault="00F848A1" w:rsidP="00BF6BC7">
            <w:pPr>
              <w:keepNext/>
              <w:jc w:val="center"/>
            </w:pPr>
            <w:r w:rsidRPr="00362517">
              <w:t>2.</w:t>
            </w:r>
            <w:r w:rsidR="00914A31" w:rsidRPr="00362517">
              <w:t>83</w:t>
            </w:r>
            <w:r w:rsidRPr="00362517">
              <w:t>%</w:t>
            </w:r>
          </w:p>
        </w:tc>
        <w:tc>
          <w:tcPr>
            <w:tcW w:w="1530" w:type="dxa"/>
            <w:tcBorders>
              <w:top w:val="nil"/>
              <w:left w:val="nil"/>
              <w:bottom w:val="single" w:sz="8" w:space="0" w:color="auto"/>
              <w:right w:val="single" w:sz="8" w:space="0" w:color="auto"/>
            </w:tcBorders>
            <w:shd w:val="clear" w:color="auto" w:fill="auto"/>
            <w:noWrap/>
            <w:vAlign w:val="center"/>
            <w:hideMark/>
          </w:tcPr>
          <w:p w14:paraId="5AB19D4A" w14:textId="5ADD790C" w:rsidR="00F848A1" w:rsidRPr="00362517" w:rsidRDefault="00F848A1" w:rsidP="00BF6BC7">
            <w:pPr>
              <w:keepNext/>
              <w:jc w:val="center"/>
            </w:pPr>
            <w:r w:rsidRPr="00362517">
              <w:t>4.</w:t>
            </w:r>
            <w:r w:rsidR="00914A31" w:rsidRPr="00362517">
              <w:t>4</w:t>
            </w:r>
          </w:p>
        </w:tc>
        <w:tc>
          <w:tcPr>
            <w:tcW w:w="1582" w:type="dxa"/>
            <w:tcBorders>
              <w:top w:val="nil"/>
              <w:left w:val="nil"/>
              <w:bottom w:val="single" w:sz="8" w:space="0" w:color="auto"/>
              <w:right w:val="double" w:sz="4" w:space="0" w:color="auto"/>
            </w:tcBorders>
            <w:shd w:val="clear" w:color="auto" w:fill="auto"/>
            <w:noWrap/>
            <w:vAlign w:val="center"/>
            <w:hideMark/>
          </w:tcPr>
          <w:p w14:paraId="5AB19D4B" w14:textId="7D79A995" w:rsidR="00F848A1" w:rsidRPr="00362517" w:rsidRDefault="00914A31" w:rsidP="00BF6BC7">
            <w:pPr>
              <w:keepNext/>
              <w:jc w:val="center"/>
            </w:pPr>
            <w:r w:rsidRPr="00362517">
              <w:t>5.6</w:t>
            </w:r>
          </w:p>
        </w:tc>
      </w:tr>
      <w:tr w:rsidR="00362517" w:rsidRPr="00362517" w14:paraId="5AB19D51" w14:textId="77777777" w:rsidTr="0034043F">
        <w:trPr>
          <w:trHeight w:val="338"/>
          <w:jc w:val="center"/>
        </w:trPr>
        <w:tc>
          <w:tcPr>
            <w:tcW w:w="4973" w:type="dxa"/>
            <w:tcBorders>
              <w:top w:val="nil"/>
              <w:left w:val="double" w:sz="4" w:space="0" w:color="auto"/>
              <w:bottom w:val="single" w:sz="8" w:space="0" w:color="auto"/>
              <w:right w:val="single" w:sz="8" w:space="0" w:color="auto"/>
            </w:tcBorders>
            <w:shd w:val="clear" w:color="auto" w:fill="auto"/>
            <w:noWrap/>
            <w:vAlign w:val="center"/>
            <w:hideMark/>
          </w:tcPr>
          <w:p w14:paraId="5AB19D4D" w14:textId="77777777" w:rsidR="00F848A1" w:rsidRPr="00362517" w:rsidRDefault="00F848A1" w:rsidP="00BF6BC7">
            <w:pPr>
              <w:keepNext/>
            </w:pPr>
            <w:r w:rsidRPr="00362517">
              <w:t>Category S-1: Death</w:t>
            </w:r>
          </w:p>
        </w:tc>
        <w:tc>
          <w:tcPr>
            <w:tcW w:w="1304" w:type="dxa"/>
            <w:tcBorders>
              <w:top w:val="nil"/>
              <w:left w:val="nil"/>
              <w:bottom w:val="single" w:sz="8" w:space="0" w:color="auto"/>
              <w:right w:val="double" w:sz="6" w:space="0" w:color="auto"/>
            </w:tcBorders>
            <w:shd w:val="clear" w:color="auto" w:fill="auto"/>
            <w:noWrap/>
            <w:vAlign w:val="center"/>
            <w:hideMark/>
          </w:tcPr>
          <w:p w14:paraId="5AB19D4E" w14:textId="3F6BAC5E" w:rsidR="00F848A1" w:rsidRPr="00362517" w:rsidRDefault="00F848A1" w:rsidP="00BF6BC7">
            <w:pPr>
              <w:keepNext/>
              <w:jc w:val="center"/>
            </w:pPr>
            <w:r w:rsidRPr="00362517">
              <w:t>0.</w:t>
            </w:r>
            <w:r w:rsidR="00914A31" w:rsidRPr="00362517">
              <w:t>81</w:t>
            </w:r>
            <w:r w:rsidRPr="00362517">
              <w:t>%</w:t>
            </w:r>
          </w:p>
        </w:tc>
        <w:tc>
          <w:tcPr>
            <w:tcW w:w="1530" w:type="dxa"/>
            <w:tcBorders>
              <w:top w:val="nil"/>
              <w:left w:val="nil"/>
              <w:bottom w:val="single" w:sz="8" w:space="0" w:color="auto"/>
              <w:right w:val="single" w:sz="8" w:space="0" w:color="auto"/>
            </w:tcBorders>
            <w:shd w:val="clear" w:color="auto" w:fill="auto"/>
            <w:noWrap/>
            <w:vAlign w:val="center"/>
            <w:hideMark/>
          </w:tcPr>
          <w:p w14:paraId="5AB19D4F" w14:textId="77777777" w:rsidR="00F848A1" w:rsidRPr="00362517" w:rsidRDefault="00F848A1" w:rsidP="00BF6BC7">
            <w:pPr>
              <w:keepNext/>
              <w:jc w:val="center"/>
            </w:pPr>
            <w:r w:rsidRPr="00362517">
              <w:t>1.3</w:t>
            </w:r>
          </w:p>
        </w:tc>
        <w:tc>
          <w:tcPr>
            <w:tcW w:w="1582" w:type="dxa"/>
            <w:tcBorders>
              <w:top w:val="nil"/>
              <w:left w:val="nil"/>
              <w:bottom w:val="single" w:sz="8" w:space="0" w:color="auto"/>
              <w:right w:val="double" w:sz="4" w:space="0" w:color="auto"/>
            </w:tcBorders>
            <w:shd w:val="clear" w:color="auto" w:fill="auto"/>
            <w:noWrap/>
            <w:vAlign w:val="center"/>
            <w:hideMark/>
          </w:tcPr>
          <w:p w14:paraId="5AB19D50" w14:textId="20C07A14" w:rsidR="00F848A1" w:rsidRPr="00362517" w:rsidRDefault="00F848A1" w:rsidP="00BF6BC7">
            <w:pPr>
              <w:keepNext/>
              <w:jc w:val="center"/>
            </w:pPr>
            <w:r w:rsidRPr="00362517">
              <w:t>1.</w:t>
            </w:r>
            <w:r w:rsidR="00914A31" w:rsidRPr="00362517">
              <w:t>6</w:t>
            </w:r>
          </w:p>
        </w:tc>
      </w:tr>
      <w:tr w:rsidR="00362517" w:rsidRPr="00362517" w14:paraId="5AB19D56" w14:textId="77777777" w:rsidTr="0034043F">
        <w:trPr>
          <w:trHeight w:val="338"/>
          <w:jc w:val="center"/>
        </w:trPr>
        <w:tc>
          <w:tcPr>
            <w:tcW w:w="4973" w:type="dxa"/>
            <w:tcBorders>
              <w:top w:val="nil"/>
              <w:left w:val="double" w:sz="4" w:space="0" w:color="auto"/>
              <w:bottom w:val="single" w:sz="8" w:space="0" w:color="auto"/>
              <w:right w:val="single" w:sz="8" w:space="0" w:color="auto"/>
            </w:tcBorders>
            <w:shd w:val="clear" w:color="auto" w:fill="auto"/>
            <w:noWrap/>
            <w:vAlign w:val="center"/>
            <w:hideMark/>
          </w:tcPr>
          <w:p w14:paraId="5AB19D52" w14:textId="77777777" w:rsidR="00F848A1" w:rsidRPr="00362517" w:rsidRDefault="00F848A1" w:rsidP="00BF6BC7">
            <w:pPr>
              <w:keepNext/>
            </w:pPr>
            <w:r w:rsidRPr="00362517">
              <w:t> </w:t>
            </w:r>
          </w:p>
        </w:tc>
        <w:tc>
          <w:tcPr>
            <w:tcW w:w="1304" w:type="dxa"/>
            <w:tcBorders>
              <w:top w:val="nil"/>
              <w:left w:val="nil"/>
              <w:bottom w:val="single" w:sz="8" w:space="0" w:color="auto"/>
              <w:right w:val="single" w:sz="8" w:space="0" w:color="auto"/>
            </w:tcBorders>
            <w:shd w:val="clear" w:color="auto" w:fill="auto"/>
            <w:noWrap/>
            <w:vAlign w:val="center"/>
            <w:hideMark/>
          </w:tcPr>
          <w:p w14:paraId="5AB19D53" w14:textId="77777777" w:rsidR="00F848A1" w:rsidRPr="00362517" w:rsidRDefault="00F848A1" w:rsidP="00BF6BC7">
            <w:pPr>
              <w:keepNext/>
              <w:jc w:val="center"/>
            </w:pPr>
          </w:p>
        </w:tc>
        <w:tc>
          <w:tcPr>
            <w:tcW w:w="1530" w:type="dxa"/>
            <w:tcBorders>
              <w:top w:val="nil"/>
              <w:left w:val="nil"/>
              <w:bottom w:val="single" w:sz="8" w:space="0" w:color="auto"/>
              <w:right w:val="single" w:sz="8" w:space="0" w:color="auto"/>
            </w:tcBorders>
            <w:shd w:val="clear" w:color="auto" w:fill="auto"/>
            <w:noWrap/>
            <w:vAlign w:val="center"/>
            <w:hideMark/>
          </w:tcPr>
          <w:p w14:paraId="5AB19D54" w14:textId="77777777" w:rsidR="00F848A1" w:rsidRPr="00362517" w:rsidRDefault="00F848A1" w:rsidP="00BF6BC7">
            <w:pPr>
              <w:keepNext/>
              <w:jc w:val="center"/>
            </w:pPr>
          </w:p>
        </w:tc>
        <w:tc>
          <w:tcPr>
            <w:tcW w:w="1582" w:type="dxa"/>
            <w:tcBorders>
              <w:top w:val="nil"/>
              <w:left w:val="nil"/>
              <w:bottom w:val="single" w:sz="8" w:space="0" w:color="auto"/>
              <w:right w:val="double" w:sz="4" w:space="0" w:color="auto"/>
            </w:tcBorders>
            <w:shd w:val="clear" w:color="auto" w:fill="auto"/>
            <w:noWrap/>
            <w:vAlign w:val="center"/>
            <w:hideMark/>
          </w:tcPr>
          <w:p w14:paraId="5AB19D55" w14:textId="77777777" w:rsidR="00F848A1" w:rsidRPr="00362517" w:rsidRDefault="00F848A1" w:rsidP="00BF6BC7">
            <w:pPr>
              <w:keepNext/>
              <w:jc w:val="center"/>
            </w:pPr>
          </w:p>
        </w:tc>
      </w:tr>
      <w:tr w:rsidR="00362517" w:rsidRPr="00362517" w14:paraId="5AB19D5B" w14:textId="77777777" w:rsidTr="0034043F">
        <w:trPr>
          <w:trHeight w:val="338"/>
          <w:jc w:val="center"/>
        </w:trPr>
        <w:tc>
          <w:tcPr>
            <w:tcW w:w="4973" w:type="dxa"/>
            <w:tcBorders>
              <w:top w:val="nil"/>
              <w:left w:val="double" w:sz="4" w:space="0" w:color="auto"/>
              <w:bottom w:val="single" w:sz="8" w:space="0" w:color="auto"/>
              <w:right w:val="single" w:sz="8" w:space="0" w:color="auto"/>
            </w:tcBorders>
            <w:shd w:val="clear" w:color="auto" w:fill="auto"/>
            <w:noWrap/>
            <w:vAlign w:val="center"/>
            <w:hideMark/>
          </w:tcPr>
          <w:p w14:paraId="5AB19D57" w14:textId="77777777" w:rsidR="00F848A1" w:rsidRPr="00362517" w:rsidRDefault="00F848A1" w:rsidP="00BF6BC7">
            <w:pPr>
              <w:keepNext/>
            </w:pPr>
            <w:r w:rsidRPr="00362517">
              <w:t>Total</w:t>
            </w:r>
          </w:p>
        </w:tc>
        <w:tc>
          <w:tcPr>
            <w:tcW w:w="1304" w:type="dxa"/>
            <w:tcBorders>
              <w:top w:val="nil"/>
              <w:left w:val="nil"/>
              <w:bottom w:val="single" w:sz="8" w:space="0" w:color="auto"/>
              <w:right w:val="single" w:sz="8" w:space="0" w:color="auto"/>
            </w:tcBorders>
            <w:shd w:val="clear" w:color="auto" w:fill="auto"/>
            <w:noWrap/>
            <w:vAlign w:val="center"/>
            <w:hideMark/>
          </w:tcPr>
          <w:p w14:paraId="5AB19D58" w14:textId="77777777" w:rsidR="00F848A1" w:rsidRPr="00362517" w:rsidRDefault="00F848A1" w:rsidP="00BF6BC7">
            <w:pPr>
              <w:keepNext/>
              <w:jc w:val="center"/>
            </w:pPr>
            <w:r w:rsidRPr="00362517">
              <w:t>100.0%</w:t>
            </w:r>
          </w:p>
        </w:tc>
        <w:tc>
          <w:tcPr>
            <w:tcW w:w="1530" w:type="dxa"/>
            <w:tcBorders>
              <w:top w:val="nil"/>
              <w:left w:val="nil"/>
              <w:bottom w:val="single" w:sz="8" w:space="0" w:color="auto"/>
              <w:right w:val="single" w:sz="8" w:space="0" w:color="auto"/>
            </w:tcBorders>
            <w:shd w:val="clear" w:color="auto" w:fill="auto"/>
            <w:noWrap/>
            <w:vAlign w:val="center"/>
            <w:hideMark/>
          </w:tcPr>
          <w:p w14:paraId="5AB19D59" w14:textId="1B1BE2F7" w:rsidR="00F848A1" w:rsidRPr="00362517" w:rsidRDefault="00F848A1" w:rsidP="00BF6BC7">
            <w:pPr>
              <w:keepNext/>
              <w:jc w:val="center"/>
            </w:pPr>
            <w:r w:rsidRPr="00362517">
              <w:t>1</w:t>
            </w:r>
            <w:r w:rsidR="00914A31" w:rsidRPr="00362517">
              <w:t>56.</w:t>
            </w:r>
            <w:r w:rsidR="00FF1C21" w:rsidRPr="00362517">
              <w:t>5</w:t>
            </w:r>
          </w:p>
        </w:tc>
        <w:tc>
          <w:tcPr>
            <w:tcW w:w="1582" w:type="dxa"/>
            <w:tcBorders>
              <w:top w:val="nil"/>
              <w:left w:val="nil"/>
              <w:bottom w:val="single" w:sz="8" w:space="0" w:color="auto"/>
              <w:right w:val="double" w:sz="4" w:space="0" w:color="auto"/>
            </w:tcBorders>
            <w:shd w:val="clear" w:color="auto" w:fill="auto"/>
            <w:noWrap/>
            <w:vAlign w:val="center"/>
            <w:hideMark/>
          </w:tcPr>
          <w:p w14:paraId="5AB19D5A" w14:textId="0E0F19B5" w:rsidR="00F848A1" w:rsidRPr="00362517" w:rsidRDefault="00914A31" w:rsidP="00BF6BC7">
            <w:pPr>
              <w:keepNext/>
              <w:jc w:val="center"/>
            </w:pPr>
            <w:r w:rsidRPr="00362517">
              <w:t>19</w:t>
            </w:r>
            <w:r w:rsidR="00FF1C21" w:rsidRPr="00362517">
              <w:t>7</w:t>
            </w:r>
            <w:r w:rsidRPr="00362517">
              <w:t>.</w:t>
            </w:r>
            <w:r w:rsidR="00FF1C21" w:rsidRPr="00362517">
              <w:t>2</w:t>
            </w:r>
          </w:p>
        </w:tc>
      </w:tr>
      <w:tr w:rsidR="00362517" w:rsidRPr="00362517" w14:paraId="5AB19D5D" w14:textId="77777777" w:rsidTr="0034043F">
        <w:trPr>
          <w:trHeight w:val="261"/>
          <w:jc w:val="center"/>
        </w:trPr>
        <w:tc>
          <w:tcPr>
            <w:tcW w:w="9389" w:type="dxa"/>
            <w:gridSpan w:val="4"/>
            <w:tcBorders>
              <w:top w:val="single" w:sz="8" w:space="0" w:color="auto"/>
              <w:left w:val="double" w:sz="4" w:space="0" w:color="auto"/>
              <w:right w:val="double" w:sz="4" w:space="0" w:color="auto"/>
            </w:tcBorders>
            <w:shd w:val="clear" w:color="auto" w:fill="auto"/>
            <w:noWrap/>
            <w:vAlign w:val="center"/>
            <w:hideMark/>
          </w:tcPr>
          <w:p w14:paraId="5AB19D5C" w14:textId="77777777" w:rsidR="00F848A1" w:rsidRPr="00362517" w:rsidRDefault="00F848A1" w:rsidP="00BF6BC7">
            <w:pPr>
              <w:keepNext/>
              <w:rPr>
                <w:sz w:val="20"/>
                <w:szCs w:val="20"/>
              </w:rPr>
            </w:pPr>
            <w:r w:rsidRPr="00362517">
              <w:rPr>
                <w:sz w:val="20"/>
                <w:szCs w:val="20"/>
              </w:rPr>
              <w:t>Source: EPA calculations based on the figures in Tables 4.4-1 and 4.4-3.</w:t>
            </w:r>
          </w:p>
        </w:tc>
      </w:tr>
      <w:tr w:rsidR="00F848A1" w:rsidRPr="00362517" w14:paraId="5AB19D5F" w14:textId="77777777" w:rsidTr="0034043F">
        <w:trPr>
          <w:trHeight w:val="277"/>
          <w:jc w:val="center"/>
        </w:trPr>
        <w:tc>
          <w:tcPr>
            <w:tcW w:w="9389" w:type="dxa"/>
            <w:gridSpan w:val="4"/>
            <w:tcBorders>
              <w:top w:val="nil"/>
              <w:left w:val="double" w:sz="4" w:space="0" w:color="auto"/>
              <w:bottom w:val="double" w:sz="4" w:space="0" w:color="auto"/>
              <w:right w:val="double" w:sz="4" w:space="0" w:color="auto"/>
            </w:tcBorders>
            <w:shd w:val="clear" w:color="auto" w:fill="auto"/>
            <w:noWrap/>
            <w:vAlign w:val="center"/>
            <w:hideMark/>
          </w:tcPr>
          <w:p w14:paraId="5AB19D5E" w14:textId="7459E887" w:rsidR="00F848A1" w:rsidRPr="00362517" w:rsidRDefault="00F848A1" w:rsidP="00BF6BC7">
            <w:pPr>
              <w:keepNext/>
              <w:rPr>
                <w:sz w:val="20"/>
                <w:szCs w:val="20"/>
              </w:rPr>
            </w:pPr>
            <w:r w:rsidRPr="00362517">
              <w:rPr>
                <w:sz w:val="20"/>
                <w:szCs w:val="20"/>
              </w:rPr>
              <w:t>Note: Death estimates are later revised based on further investigation</w:t>
            </w:r>
            <w:r w:rsidR="00942B30" w:rsidRPr="00362517">
              <w:rPr>
                <w:sz w:val="20"/>
                <w:szCs w:val="20"/>
              </w:rPr>
              <w:t xml:space="preserve"> as discussed in Section 4.4.3.1</w:t>
            </w:r>
            <w:r w:rsidRPr="00362517">
              <w:rPr>
                <w:sz w:val="20"/>
                <w:szCs w:val="20"/>
              </w:rPr>
              <w:t>.</w:t>
            </w:r>
          </w:p>
        </w:tc>
      </w:tr>
    </w:tbl>
    <w:p w14:paraId="5AB19D60" w14:textId="77777777" w:rsidR="00F848A1" w:rsidRPr="00362517" w:rsidRDefault="00F848A1" w:rsidP="00BF6BC7">
      <w:pPr>
        <w:tabs>
          <w:tab w:val="left" w:pos="540"/>
          <w:tab w:val="left" w:pos="1080"/>
          <w:tab w:val="left" w:pos="1620"/>
          <w:tab w:val="left" w:pos="2160"/>
        </w:tabs>
      </w:pPr>
    </w:p>
    <w:p w14:paraId="5AB19D61" w14:textId="77777777" w:rsidR="00F848A1" w:rsidRPr="00362517" w:rsidRDefault="00F848A1" w:rsidP="00BF6BC7">
      <w:pPr>
        <w:tabs>
          <w:tab w:val="left" w:pos="540"/>
          <w:tab w:val="left" w:pos="1080"/>
          <w:tab w:val="left" w:pos="1620"/>
          <w:tab w:val="left" w:pos="2160"/>
        </w:tabs>
      </w:pPr>
    </w:p>
    <w:p w14:paraId="5AB19D62" w14:textId="77777777" w:rsidR="00F848A1" w:rsidRPr="00362517" w:rsidRDefault="00F848A1" w:rsidP="00BF6BC7">
      <w:pPr>
        <w:tabs>
          <w:tab w:val="left" w:pos="540"/>
          <w:tab w:val="left" w:pos="1080"/>
          <w:tab w:val="left" w:pos="1620"/>
          <w:tab w:val="left" w:pos="2160"/>
        </w:tabs>
      </w:pPr>
    </w:p>
    <w:p w14:paraId="5AB19D63" w14:textId="77777777" w:rsidR="00F848A1" w:rsidRPr="00362517" w:rsidRDefault="00F848A1" w:rsidP="00BF6BC7">
      <w:pPr>
        <w:pStyle w:val="Heading4"/>
        <w:numPr>
          <w:ilvl w:val="3"/>
          <w:numId w:val="23"/>
        </w:numPr>
      </w:pPr>
      <w:r w:rsidRPr="00362517">
        <w:t>Additional Sources for Estimating Avoidable Deaths</w:t>
      </w:r>
    </w:p>
    <w:p w14:paraId="5AB19D64" w14:textId="77777777" w:rsidR="00F848A1" w:rsidRPr="00362517" w:rsidRDefault="00F848A1" w:rsidP="00BF6BC7">
      <w:pPr>
        <w:keepNext/>
        <w:tabs>
          <w:tab w:val="left" w:pos="540"/>
          <w:tab w:val="left" w:pos="1080"/>
          <w:tab w:val="left" w:pos="1620"/>
          <w:tab w:val="left" w:pos="2160"/>
        </w:tabs>
      </w:pPr>
    </w:p>
    <w:p w14:paraId="5AB19D65" w14:textId="77777777" w:rsidR="00F848A1" w:rsidRPr="00362517" w:rsidRDefault="00F848A1" w:rsidP="00BF6BC7">
      <w:pPr>
        <w:keepNext/>
        <w:tabs>
          <w:tab w:val="left" w:pos="540"/>
          <w:tab w:val="left" w:pos="1080"/>
          <w:tab w:val="left" w:pos="1620"/>
          <w:tab w:val="left" w:pos="2160"/>
        </w:tabs>
      </w:pPr>
      <w:r w:rsidRPr="00362517">
        <w:t>Because deaths from pesticide exposure are such infrequent events, there is concern that only using four years of data from one data set that covers only a subset of states will not be representative of the actual risk and benefit from preventing deaths.  In addition to the estimates of preventable deaths presented in Table 4.</w:t>
      </w:r>
      <w:r w:rsidR="00952DD2" w:rsidRPr="00362517">
        <w:t>4</w:t>
      </w:r>
      <w:r w:rsidRPr="00362517">
        <w:t xml:space="preserve">-4, there are other data sources available that can be used to document the number of unintentional fatalities over time.  </w:t>
      </w:r>
    </w:p>
    <w:p w14:paraId="5AB19D66" w14:textId="77777777" w:rsidR="00F848A1" w:rsidRPr="00362517" w:rsidRDefault="00F848A1" w:rsidP="00BF6BC7">
      <w:pPr>
        <w:tabs>
          <w:tab w:val="left" w:pos="540"/>
          <w:tab w:val="left" w:pos="1080"/>
          <w:tab w:val="left" w:pos="1620"/>
          <w:tab w:val="left" w:pos="2160"/>
        </w:tabs>
      </w:pPr>
    </w:p>
    <w:p w14:paraId="5AB19D67" w14:textId="77777777" w:rsidR="00F848A1" w:rsidRPr="00362517" w:rsidRDefault="00F848A1" w:rsidP="00BF6BC7">
      <w:pPr>
        <w:tabs>
          <w:tab w:val="left" w:pos="540"/>
          <w:tab w:val="left" w:pos="1080"/>
          <w:tab w:val="left" w:pos="1620"/>
          <w:tab w:val="left" w:pos="2160"/>
        </w:tabs>
      </w:pPr>
      <w:r w:rsidRPr="00362517">
        <w:t xml:space="preserve">In addition to the SENSOR-Pesticides data, there are two other sources with information on deaths from pesticide exposure:  Annual reports prepared by the American Association of Poison Control Centers (AAPCC) and the EPA’s Incident Data System (IDS).  SENSOR-Pesticides data are also available beginning in 1999.  </w:t>
      </w:r>
    </w:p>
    <w:p w14:paraId="5AB19D68" w14:textId="77777777" w:rsidR="00F848A1" w:rsidRPr="00362517" w:rsidRDefault="00F848A1" w:rsidP="00BF6BC7">
      <w:pPr>
        <w:tabs>
          <w:tab w:val="left" w:pos="540"/>
          <w:tab w:val="left" w:pos="1080"/>
          <w:tab w:val="left" w:pos="1620"/>
          <w:tab w:val="left" w:pos="2160"/>
        </w:tabs>
      </w:pPr>
    </w:p>
    <w:p w14:paraId="5AB19D69" w14:textId="77777777" w:rsidR="00F848A1" w:rsidRPr="00362517" w:rsidRDefault="00F848A1" w:rsidP="00BF6BC7">
      <w:pPr>
        <w:tabs>
          <w:tab w:val="left" w:pos="540"/>
          <w:tab w:val="left" w:pos="1080"/>
          <w:tab w:val="left" w:pos="1620"/>
          <w:tab w:val="left" w:pos="2160"/>
        </w:tabs>
      </w:pPr>
      <w:r w:rsidRPr="00362517">
        <w:t>The National Poison Data System (NPDS) is the AAPCC’s database management system used to compile poisoning information gathered by the AAPCC-certified poison centers</w:t>
      </w:r>
      <w:r w:rsidRPr="00362517">
        <w:rPr>
          <w:rStyle w:val="FootnoteReference"/>
        </w:rPr>
        <w:footnoteReference w:id="11"/>
      </w:r>
      <w:r w:rsidRPr="00362517">
        <w:t xml:space="preserve">.  There are currently 57 certified poison centers.  Poison center staff are health care professionals and are available for advice about poisonings free of charge, 24 hours a day, 365 days a year.  In addition to responding to calls from the general public, staff also field calls from health care professionals and the public health agencies.  The poison centers collectively receive over 3.6 million call encounters annually.  These are primarily consumer oriented incident calls rather than occupational “work related” incident calls (Bronstein </w:t>
      </w:r>
      <w:r w:rsidRPr="00362517">
        <w:rPr>
          <w:i/>
        </w:rPr>
        <w:t>et al</w:t>
      </w:r>
      <w:r w:rsidRPr="00362517">
        <w:t xml:space="preserve">., 2011).  EPA does not have access to the raw data from the NPDS, and only summary information on pesticide events is available for incidents that did not result in deaths.  However, for </w:t>
      </w:r>
      <w:r w:rsidR="00952DD2" w:rsidRPr="00362517">
        <w:t xml:space="preserve">some </w:t>
      </w:r>
      <w:r w:rsidRPr="00362517">
        <w:t xml:space="preserve">poisoning incidents that did result in deaths, including pesticide incidents, the AAPCC annual reports include an appendix of case abstracts that provide more information on deaths, with a description of the scenario in which the poisoning occurred and the treatment received (American Association of Poison Control Centers, 1999 – 2015).  These descriptions in the annual reports are not a full list of deaths reported to the AAPCC, because only a subset of fatal cases are chosen for reporting.  Case abstracts presented in the annual reports meet a number of criteria by AAPCC report authors (e.g., completeness of therapy details, educational value of the incident, etc.).  Therefore, the cases gathered from this source, while limited, provides EPA with a number of compelling incidents.   </w:t>
      </w:r>
    </w:p>
    <w:p w14:paraId="5AB19D6A" w14:textId="77777777" w:rsidR="00F848A1" w:rsidRPr="00362517" w:rsidRDefault="00F848A1" w:rsidP="00BF6BC7">
      <w:pPr>
        <w:tabs>
          <w:tab w:val="left" w:pos="540"/>
          <w:tab w:val="left" w:pos="1080"/>
          <w:tab w:val="left" w:pos="1620"/>
          <w:tab w:val="left" w:pos="2160"/>
        </w:tabs>
      </w:pPr>
      <w:r w:rsidRPr="00362517">
        <w:t xml:space="preserve"> </w:t>
      </w:r>
    </w:p>
    <w:p w14:paraId="5AB19D6B" w14:textId="77777777" w:rsidR="00F848A1" w:rsidRPr="00362517" w:rsidRDefault="00F848A1" w:rsidP="00BF6BC7">
      <w:pPr>
        <w:tabs>
          <w:tab w:val="left" w:pos="540"/>
          <w:tab w:val="left" w:pos="1080"/>
          <w:tab w:val="left" w:pos="1620"/>
          <w:tab w:val="left" w:pos="2160"/>
        </w:tabs>
      </w:pPr>
      <w:r w:rsidRPr="00362517">
        <w:t>EPA/OPP’s Incident Data System (IDS) contains reports of alleged human health incidents from a variety of sources, including mandatory Federal Insecticide, Fungicide and Rodenticide Act (FIFRA) Section 6(a)(2) reports from registrants, reports from other federal and state health and environmental agencies and individual consumers. Case reports or “narratives” may be provided for the reported incidents, with varying levels of detail; however, there is no effort at validating or assessing how likely it is that the reported exposure is causally related to the reported outcome. This system receives information pertaining to occupational and consumer oriented incidents.  OPP focused on incidents categorized at the highest severity level (death).</w:t>
      </w:r>
    </w:p>
    <w:p w14:paraId="5AB19D6C" w14:textId="77777777" w:rsidR="00F848A1" w:rsidRPr="00362517" w:rsidRDefault="00F848A1" w:rsidP="00BF6BC7">
      <w:pPr>
        <w:tabs>
          <w:tab w:val="left" w:pos="540"/>
          <w:tab w:val="left" w:pos="1080"/>
          <w:tab w:val="left" w:pos="1620"/>
          <w:tab w:val="left" w:pos="2160"/>
        </w:tabs>
      </w:pPr>
    </w:p>
    <w:p w14:paraId="5AB19D6D" w14:textId="7BBCC19F" w:rsidR="00F848A1" w:rsidRPr="00362517" w:rsidRDefault="00F848A1" w:rsidP="00BF6BC7">
      <w:pPr>
        <w:tabs>
          <w:tab w:val="left" w:pos="540"/>
          <w:tab w:val="left" w:pos="1080"/>
          <w:tab w:val="left" w:pos="1620"/>
          <w:tab w:val="left" w:pos="2160"/>
        </w:tabs>
      </w:pPr>
      <w:r w:rsidRPr="00362517">
        <w:t xml:space="preserve">These two additional sources were investigated to determine if there was information that would shed additional light on the frequency of preventable deaths from RUPs.  The data from the AAPCC annual reports </w:t>
      </w:r>
      <w:r w:rsidR="000202F7" w:rsidRPr="00362517">
        <w:t xml:space="preserve">were </w:t>
      </w:r>
      <w:r w:rsidRPr="00362517">
        <w:t>available from 1999 – 2014, and there were nine deaths that EPA staff determined were a result of a</w:t>
      </w:r>
      <w:r w:rsidR="00EE3909" w:rsidRPr="00362517">
        <w:t>n</w:t>
      </w:r>
      <w:r w:rsidRPr="00362517">
        <w:t xml:space="preserve"> exposure to an RUP</w:t>
      </w:r>
      <w:r w:rsidR="00EE3909" w:rsidRPr="00362517">
        <w:t xml:space="preserve"> that could be prevented by certification rule</w:t>
      </w:r>
      <w:r w:rsidRPr="00362517">
        <w:t xml:space="preserve">.  The EPA IDS was queried from 2008 – 2015, and showed a total of four </w:t>
      </w:r>
      <w:r w:rsidR="00EE3909" w:rsidRPr="00362517">
        <w:t xml:space="preserve">RUP-related </w:t>
      </w:r>
      <w:r w:rsidRPr="00362517">
        <w:t xml:space="preserve">deaths that EPA staff classified as preventable.  </w:t>
      </w:r>
      <w:r w:rsidR="00891798" w:rsidRPr="00362517">
        <w:t xml:space="preserve">Because of the potential risk mitigation for paraquat, preventable incidents involving paraquat were excluded from this exercise to avoid counting incidents that would have been prevented by the paraquat mitigation.  The final mitigation measures, if any, have not yet been determined, so this may be overly conservative.  </w:t>
      </w:r>
      <w:r w:rsidRPr="00362517">
        <w:t xml:space="preserve">These figures do not include deaths resulting from exposure to paraquat, which were excluded from this exercise.  </w:t>
      </w:r>
    </w:p>
    <w:p w14:paraId="5AB19D6E" w14:textId="77777777" w:rsidR="00F848A1" w:rsidRPr="00362517" w:rsidRDefault="00F848A1" w:rsidP="00BF6BC7">
      <w:pPr>
        <w:tabs>
          <w:tab w:val="left" w:pos="540"/>
          <w:tab w:val="left" w:pos="1080"/>
          <w:tab w:val="left" w:pos="1620"/>
          <w:tab w:val="left" w:pos="2160"/>
        </w:tabs>
      </w:pPr>
    </w:p>
    <w:p w14:paraId="5AB19D6F" w14:textId="77777777" w:rsidR="00F848A1" w:rsidRPr="00362517" w:rsidRDefault="00F848A1" w:rsidP="00BF6BC7">
      <w:pPr>
        <w:tabs>
          <w:tab w:val="left" w:pos="540"/>
          <w:tab w:val="left" w:pos="1080"/>
          <w:tab w:val="left" w:pos="1620"/>
          <w:tab w:val="left" w:pos="2160"/>
        </w:tabs>
      </w:pPr>
      <w:r w:rsidRPr="00362517">
        <w:t xml:space="preserve">Table 4.4-5 shows a summary of the information on preventable deaths from the different databases.  Also shown for comparison are the total number of pesticide related deaths over the same period.  Note that these total deaths include all reported pesticide related deaths in the database, including intentional exposures and other that are not relevant for estimating the benefits of the certification rule. </w:t>
      </w:r>
    </w:p>
    <w:p w14:paraId="5AB19D70" w14:textId="77777777" w:rsidR="00F848A1" w:rsidRPr="00362517" w:rsidRDefault="00F848A1" w:rsidP="00BF6BC7">
      <w:pPr>
        <w:tabs>
          <w:tab w:val="left" w:pos="540"/>
          <w:tab w:val="left" w:pos="1080"/>
          <w:tab w:val="left" w:pos="1620"/>
          <w:tab w:val="left" w:pos="2160"/>
        </w:tabs>
      </w:pPr>
    </w:p>
    <w:tbl>
      <w:tblPr>
        <w:tblW w:w="0" w:type="auto"/>
        <w:jc w:val="center"/>
        <w:tblLayout w:type="fixed"/>
        <w:tblLook w:val="04A0" w:firstRow="1" w:lastRow="0" w:firstColumn="1" w:lastColumn="0" w:noHBand="0" w:noVBand="1"/>
      </w:tblPr>
      <w:tblGrid>
        <w:gridCol w:w="2993"/>
        <w:gridCol w:w="2229"/>
        <w:gridCol w:w="1530"/>
        <w:gridCol w:w="1777"/>
      </w:tblGrid>
      <w:tr w:rsidR="00362517" w:rsidRPr="00362517" w14:paraId="5AB19D72" w14:textId="77777777" w:rsidTr="0034043F">
        <w:trPr>
          <w:trHeight w:val="468"/>
          <w:jc w:val="center"/>
        </w:trPr>
        <w:tc>
          <w:tcPr>
            <w:tcW w:w="8529" w:type="dxa"/>
            <w:gridSpan w:val="4"/>
            <w:tcBorders>
              <w:top w:val="double" w:sz="6" w:space="0" w:color="auto"/>
              <w:left w:val="double" w:sz="6" w:space="0" w:color="auto"/>
              <w:bottom w:val="double" w:sz="6" w:space="0" w:color="auto"/>
              <w:right w:val="double" w:sz="6" w:space="0" w:color="000000"/>
            </w:tcBorders>
            <w:shd w:val="clear" w:color="auto" w:fill="auto"/>
            <w:vAlign w:val="center"/>
            <w:hideMark/>
          </w:tcPr>
          <w:p w14:paraId="5AB19D71" w14:textId="77777777" w:rsidR="00F848A1" w:rsidRPr="00362517" w:rsidRDefault="00F848A1" w:rsidP="00BF6BC7">
            <w:pPr>
              <w:keepNext/>
              <w:rPr>
                <w:b/>
                <w:bCs/>
              </w:rPr>
            </w:pPr>
            <w:r w:rsidRPr="00362517">
              <w:rPr>
                <w:b/>
                <w:bCs/>
              </w:rPr>
              <w:t>Table 4.4-5: Summary of Pesticide Deaths from Additional Data Sources</w:t>
            </w:r>
          </w:p>
        </w:tc>
      </w:tr>
      <w:tr w:rsidR="00362517" w:rsidRPr="00362517" w14:paraId="5AB19D7C" w14:textId="77777777" w:rsidTr="0034043F">
        <w:trPr>
          <w:trHeight w:val="927"/>
          <w:jc w:val="center"/>
        </w:trPr>
        <w:tc>
          <w:tcPr>
            <w:tcW w:w="2993" w:type="dxa"/>
            <w:tcBorders>
              <w:top w:val="nil"/>
              <w:left w:val="double" w:sz="4" w:space="0" w:color="auto"/>
              <w:bottom w:val="single" w:sz="8" w:space="0" w:color="auto"/>
              <w:right w:val="single" w:sz="8" w:space="0" w:color="auto"/>
            </w:tcBorders>
            <w:shd w:val="clear" w:color="auto" w:fill="auto"/>
            <w:vAlign w:val="center"/>
            <w:hideMark/>
          </w:tcPr>
          <w:p w14:paraId="5AB19D73" w14:textId="77777777" w:rsidR="00F848A1" w:rsidRPr="00362517" w:rsidRDefault="00F848A1" w:rsidP="00BF6BC7">
            <w:pPr>
              <w:keepNext/>
              <w:jc w:val="center"/>
              <w:rPr>
                <w:b/>
                <w:bCs/>
              </w:rPr>
            </w:pPr>
          </w:p>
        </w:tc>
        <w:tc>
          <w:tcPr>
            <w:tcW w:w="2229" w:type="dxa"/>
            <w:tcBorders>
              <w:top w:val="nil"/>
              <w:left w:val="nil"/>
              <w:bottom w:val="single" w:sz="8" w:space="0" w:color="auto"/>
              <w:right w:val="nil"/>
            </w:tcBorders>
            <w:shd w:val="clear" w:color="auto" w:fill="auto"/>
            <w:vAlign w:val="bottom"/>
            <w:hideMark/>
          </w:tcPr>
          <w:p w14:paraId="5AB19D74" w14:textId="77777777" w:rsidR="00F848A1" w:rsidRPr="00362517" w:rsidRDefault="00F848A1" w:rsidP="00BF6BC7">
            <w:pPr>
              <w:keepNext/>
              <w:jc w:val="center"/>
            </w:pPr>
            <w:r w:rsidRPr="00362517">
              <w:t xml:space="preserve">SENSOR-Pesticides </w:t>
            </w:r>
          </w:p>
          <w:p w14:paraId="5AB19D75" w14:textId="77777777" w:rsidR="00F848A1" w:rsidRPr="00362517" w:rsidRDefault="00F848A1" w:rsidP="00BF6BC7">
            <w:pPr>
              <w:keepNext/>
              <w:jc w:val="center"/>
            </w:pPr>
            <w:r w:rsidRPr="00362517">
              <w:t>2008 – 2011</w:t>
            </w:r>
          </w:p>
          <w:p w14:paraId="5AB19D76" w14:textId="77777777" w:rsidR="00F848A1" w:rsidRPr="00362517" w:rsidRDefault="00F848A1" w:rsidP="00BF6BC7">
            <w:pPr>
              <w:keepNext/>
              <w:jc w:val="center"/>
            </w:pPr>
            <w:r w:rsidRPr="00362517">
              <w:t>(4 years)</w:t>
            </w:r>
          </w:p>
        </w:tc>
        <w:tc>
          <w:tcPr>
            <w:tcW w:w="1530" w:type="dxa"/>
            <w:tcBorders>
              <w:top w:val="nil"/>
              <w:left w:val="single" w:sz="8" w:space="0" w:color="auto"/>
              <w:bottom w:val="single" w:sz="8" w:space="0" w:color="auto"/>
              <w:right w:val="single" w:sz="8" w:space="0" w:color="auto"/>
            </w:tcBorders>
            <w:shd w:val="clear" w:color="auto" w:fill="auto"/>
            <w:vAlign w:val="bottom"/>
            <w:hideMark/>
          </w:tcPr>
          <w:p w14:paraId="5AB19D77" w14:textId="77777777" w:rsidR="00F848A1" w:rsidRPr="00362517" w:rsidRDefault="00F848A1" w:rsidP="00BF6BC7">
            <w:pPr>
              <w:keepNext/>
              <w:jc w:val="center"/>
            </w:pPr>
            <w:r w:rsidRPr="00362517">
              <w:t xml:space="preserve">AAPCC </w:t>
            </w:r>
          </w:p>
          <w:p w14:paraId="5AB19D78" w14:textId="77777777" w:rsidR="00F848A1" w:rsidRPr="00362517" w:rsidRDefault="00F848A1" w:rsidP="00BF6BC7">
            <w:pPr>
              <w:keepNext/>
              <w:jc w:val="center"/>
            </w:pPr>
            <w:r w:rsidRPr="00362517">
              <w:t>1999 – 2014</w:t>
            </w:r>
          </w:p>
          <w:p w14:paraId="5AB19D79" w14:textId="77777777" w:rsidR="00F848A1" w:rsidRPr="00362517" w:rsidRDefault="00F848A1" w:rsidP="00BF6BC7">
            <w:pPr>
              <w:keepNext/>
              <w:jc w:val="center"/>
            </w:pPr>
            <w:r w:rsidRPr="00362517">
              <w:t>(16 years)</w:t>
            </w:r>
          </w:p>
        </w:tc>
        <w:tc>
          <w:tcPr>
            <w:tcW w:w="1777" w:type="dxa"/>
            <w:tcBorders>
              <w:top w:val="nil"/>
              <w:left w:val="nil"/>
              <w:bottom w:val="single" w:sz="8" w:space="0" w:color="auto"/>
              <w:right w:val="double" w:sz="6" w:space="0" w:color="auto"/>
            </w:tcBorders>
            <w:shd w:val="clear" w:color="auto" w:fill="auto"/>
            <w:vAlign w:val="bottom"/>
            <w:hideMark/>
          </w:tcPr>
          <w:p w14:paraId="5AB19D7A" w14:textId="77777777" w:rsidR="00F848A1" w:rsidRPr="00362517" w:rsidRDefault="00F848A1" w:rsidP="00BF6BC7">
            <w:pPr>
              <w:keepNext/>
              <w:jc w:val="center"/>
            </w:pPr>
            <w:r w:rsidRPr="00362517">
              <w:t>EPA Incident Data System 2008 – 2015</w:t>
            </w:r>
          </w:p>
          <w:p w14:paraId="5AB19D7B" w14:textId="77777777" w:rsidR="00F848A1" w:rsidRPr="00362517" w:rsidRDefault="00F848A1" w:rsidP="00BF6BC7">
            <w:pPr>
              <w:keepNext/>
              <w:jc w:val="center"/>
            </w:pPr>
            <w:r w:rsidRPr="00362517">
              <w:t>(8 years)</w:t>
            </w:r>
          </w:p>
        </w:tc>
      </w:tr>
      <w:tr w:rsidR="00362517" w:rsidRPr="00362517" w14:paraId="5AB19D81" w14:textId="77777777" w:rsidTr="0034043F">
        <w:trPr>
          <w:trHeight w:val="315"/>
          <w:jc w:val="center"/>
        </w:trPr>
        <w:tc>
          <w:tcPr>
            <w:tcW w:w="2993" w:type="dxa"/>
            <w:tcBorders>
              <w:top w:val="nil"/>
              <w:left w:val="double" w:sz="6" w:space="0" w:color="auto"/>
              <w:bottom w:val="nil"/>
              <w:right w:val="nil"/>
            </w:tcBorders>
            <w:shd w:val="clear" w:color="auto" w:fill="auto"/>
            <w:noWrap/>
            <w:vAlign w:val="center"/>
            <w:hideMark/>
          </w:tcPr>
          <w:p w14:paraId="5AB19D7D" w14:textId="77777777" w:rsidR="00F848A1" w:rsidRPr="00362517" w:rsidRDefault="00F848A1" w:rsidP="00BF6BC7">
            <w:pPr>
              <w:keepNext/>
            </w:pPr>
            <w:r w:rsidRPr="00362517">
              <w:t>Preventable RUP Deaths</w:t>
            </w:r>
          </w:p>
        </w:tc>
        <w:tc>
          <w:tcPr>
            <w:tcW w:w="2229" w:type="dxa"/>
            <w:tcBorders>
              <w:top w:val="nil"/>
              <w:left w:val="single" w:sz="8" w:space="0" w:color="auto"/>
              <w:bottom w:val="nil"/>
              <w:right w:val="single" w:sz="8" w:space="0" w:color="auto"/>
            </w:tcBorders>
            <w:shd w:val="clear" w:color="auto" w:fill="auto"/>
            <w:noWrap/>
            <w:vAlign w:val="center"/>
            <w:hideMark/>
          </w:tcPr>
          <w:p w14:paraId="5AB19D7E" w14:textId="77777777" w:rsidR="00F848A1" w:rsidRPr="00362517" w:rsidRDefault="00F848A1" w:rsidP="00BF6BC7">
            <w:pPr>
              <w:keepNext/>
              <w:jc w:val="center"/>
            </w:pPr>
            <w:r w:rsidRPr="00362517">
              <w:t>2</w:t>
            </w:r>
          </w:p>
        </w:tc>
        <w:tc>
          <w:tcPr>
            <w:tcW w:w="1530" w:type="dxa"/>
            <w:tcBorders>
              <w:top w:val="nil"/>
              <w:left w:val="nil"/>
              <w:bottom w:val="nil"/>
              <w:right w:val="single" w:sz="8" w:space="0" w:color="auto"/>
            </w:tcBorders>
            <w:shd w:val="clear" w:color="auto" w:fill="auto"/>
            <w:noWrap/>
            <w:vAlign w:val="center"/>
            <w:hideMark/>
          </w:tcPr>
          <w:p w14:paraId="5AB19D7F" w14:textId="047AA2FD" w:rsidR="00F848A1" w:rsidRPr="00362517" w:rsidRDefault="00F9498D" w:rsidP="00BF6BC7">
            <w:pPr>
              <w:keepNext/>
              <w:jc w:val="center"/>
            </w:pPr>
            <w:r>
              <w:t>7</w:t>
            </w:r>
          </w:p>
        </w:tc>
        <w:tc>
          <w:tcPr>
            <w:tcW w:w="1777" w:type="dxa"/>
            <w:tcBorders>
              <w:top w:val="nil"/>
              <w:left w:val="nil"/>
              <w:bottom w:val="nil"/>
              <w:right w:val="double" w:sz="6" w:space="0" w:color="auto"/>
            </w:tcBorders>
            <w:shd w:val="clear" w:color="auto" w:fill="auto"/>
            <w:noWrap/>
            <w:vAlign w:val="center"/>
            <w:hideMark/>
          </w:tcPr>
          <w:p w14:paraId="5AB19D80" w14:textId="77777777" w:rsidR="00F848A1" w:rsidRPr="00362517" w:rsidRDefault="00F848A1" w:rsidP="00BF6BC7">
            <w:pPr>
              <w:keepNext/>
              <w:jc w:val="center"/>
            </w:pPr>
            <w:r w:rsidRPr="00362517">
              <w:t>4</w:t>
            </w:r>
          </w:p>
        </w:tc>
      </w:tr>
      <w:tr w:rsidR="00362517" w:rsidRPr="00362517" w14:paraId="5AB19D86" w14:textId="77777777" w:rsidTr="0034043F">
        <w:trPr>
          <w:trHeight w:val="315"/>
          <w:jc w:val="center"/>
        </w:trPr>
        <w:tc>
          <w:tcPr>
            <w:tcW w:w="2993" w:type="dxa"/>
            <w:tcBorders>
              <w:top w:val="nil"/>
              <w:left w:val="double" w:sz="6" w:space="0" w:color="auto"/>
              <w:bottom w:val="nil"/>
              <w:right w:val="nil"/>
            </w:tcBorders>
            <w:shd w:val="clear" w:color="auto" w:fill="auto"/>
            <w:noWrap/>
            <w:vAlign w:val="center"/>
          </w:tcPr>
          <w:p w14:paraId="5AB19D82" w14:textId="77777777" w:rsidR="00F848A1" w:rsidRPr="00362517" w:rsidRDefault="00F848A1" w:rsidP="00BF6BC7">
            <w:pPr>
              <w:keepNext/>
            </w:pPr>
            <w:r w:rsidRPr="00362517">
              <w:t>Preventable RUP Deaths per Year</w:t>
            </w:r>
          </w:p>
        </w:tc>
        <w:tc>
          <w:tcPr>
            <w:tcW w:w="2229" w:type="dxa"/>
            <w:tcBorders>
              <w:top w:val="nil"/>
              <w:left w:val="single" w:sz="8" w:space="0" w:color="auto"/>
              <w:bottom w:val="nil"/>
              <w:right w:val="single" w:sz="8" w:space="0" w:color="auto"/>
            </w:tcBorders>
            <w:shd w:val="clear" w:color="auto" w:fill="auto"/>
            <w:noWrap/>
            <w:vAlign w:val="center"/>
          </w:tcPr>
          <w:p w14:paraId="5AB19D83" w14:textId="6FCB7297" w:rsidR="00F848A1" w:rsidRPr="00362517" w:rsidRDefault="00F848A1" w:rsidP="00F9498D">
            <w:pPr>
              <w:keepNext/>
              <w:jc w:val="center"/>
            </w:pPr>
            <w:r w:rsidRPr="00362517">
              <w:t>0.5, extrapolated to 1.3 to 1.</w:t>
            </w:r>
            <w:r w:rsidR="00F9498D">
              <w:t>6</w:t>
            </w:r>
            <w:r w:rsidR="00F9498D" w:rsidRPr="00362517">
              <w:t xml:space="preserve"> </w:t>
            </w:r>
            <w:r w:rsidRPr="00362517">
              <w:t>nationally</w:t>
            </w:r>
          </w:p>
        </w:tc>
        <w:tc>
          <w:tcPr>
            <w:tcW w:w="1530" w:type="dxa"/>
            <w:tcBorders>
              <w:top w:val="nil"/>
              <w:left w:val="nil"/>
              <w:bottom w:val="nil"/>
              <w:right w:val="single" w:sz="8" w:space="0" w:color="auto"/>
            </w:tcBorders>
            <w:shd w:val="clear" w:color="auto" w:fill="auto"/>
            <w:noWrap/>
            <w:vAlign w:val="center"/>
          </w:tcPr>
          <w:p w14:paraId="5AB19D84" w14:textId="6AF7EAE9" w:rsidR="00F848A1" w:rsidRPr="00362517" w:rsidRDefault="00F848A1" w:rsidP="00F9498D">
            <w:pPr>
              <w:keepNext/>
              <w:jc w:val="center"/>
            </w:pPr>
            <w:r w:rsidRPr="00362517">
              <w:t>0.</w:t>
            </w:r>
            <w:r w:rsidR="00F9498D">
              <w:t>44</w:t>
            </w:r>
          </w:p>
        </w:tc>
        <w:tc>
          <w:tcPr>
            <w:tcW w:w="1777" w:type="dxa"/>
            <w:tcBorders>
              <w:top w:val="nil"/>
              <w:left w:val="nil"/>
              <w:bottom w:val="nil"/>
              <w:right w:val="double" w:sz="6" w:space="0" w:color="auto"/>
            </w:tcBorders>
            <w:shd w:val="clear" w:color="auto" w:fill="auto"/>
            <w:noWrap/>
            <w:vAlign w:val="center"/>
          </w:tcPr>
          <w:p w14:paraId="5AB19D85" w14:textId="77777777" w:rsidR="00F848A1" w:rsidRPr="00362517" w:rsidDel="000F1E34" w:rsidRDefault="00F848A1" w:rsidP="00BF6BC7">
            <w:pPr>
              <w:keepNext/>
              <w:jc w:val="center"/>
            </w:pPr>
            <w:r w:rsidRPr="00362517">
              <w:t>0.5</w:t>
            </w:r>
          </w:p>
        </w:tc>
      </w:tr>
      <w:tr w:rsidR="00362517" w:rsidRPr="00362517" w14:paraId="5AB19D8B" w14:textId="77777777" w:rsidTr="0034043F">
        <w:trPr>
          <w:trHeight w:val="315"/>
          <w:jc w:val="center"/>
        </w:trPr>
        <w:tc>
          <w:tcPr>
            <w:tcW w:w="2993" w:type="dxa"/>
            <w:tcBorders>
              <w:top w:val="nil"/>
              <w:left w:val="double" w:sz="6" w:space="0" w:color="auto"/>
              <w:bottom w:val="nil"/>
              <w:right w:val="nil"/>
            </w:tcBorders>
            <w:shd w:val="clear" w:color="auto" w:fill="auto"/>
            <w:noWrap/>
            <w:vAlign w:val="center"/>
            <w:hideMark/>
          </w:tcPr>
          <w:p w14:paraId="5AB19D87" w14:textId="77777777" w:rsidR="00F848A1" w:rsidRPr="00362517" w:rsidRDefault="00F848A1" w:rsidP="00BF6BC7">
            <w:pPr>
              <w:keepNext/>
            </w:pPr>
            <w:r w:rsidRPr="00362517">
              <w:t>Total Deaths Reported</w:t>
            </w:r>
          </w:p>
        </w:tc>
        <w:tc>
          <w:tcPr>
            <w:tcW w:w="2229" w:type="dxa"/>
            <w:tcBorders>
              <w:top w:val="nil"/>
              <w:left w:val="single" w:sz="8" w:space="0" w:color="auto"/>
              <w:bottom w:val="nil"/>
              <w:right w:val="single" w:sz="8" w:space="0" w:color="auto"/>
            </w:tcBorders>
            <w:shd w:val="clear" w:color="auto" w:fill="auto"/>
            <w:noWrap/>
            <w:vAlign w:val="center"/>
            <w:hideMark/>
          </w:tcPr>
          <w:p w14:paraId="5AB19D88" w14:textId="77777777" w:rsidR="00F848A1" w:rsidRPr="00362517" w:rsidRDefault="00F848A1" w:rsidP="00BF6BC7">
            <w:pPr>
              <w:keepNext/>
              <w:jc w:val="center"/>
            </w:pPr>
            <w:r w:rsidRPr="00362517">
              <w:t>13</w:t>
            </w:r>
          </w:p>
        </w:tc>
        <w:tc>
          <w:tcPr>
            <w:tcW w:w="1530" w:type="dxa"/>
            <w:tcBorders>
              <w:top w:val="nil"/>
              <w:left w:val="nil"/>
              <w:bottom w:val="nil"/>
              <w:right w:val="single" w:sz="8" w:space="0" w:color="auto"/>
            </w:tcBorders>
            <w:shd w:val="clear" w:color="auto" w:fill="auto"/>
            <w:noWrap/>
            <w:vAlign w:val="center"/>
            <w:hideMark/>
          </w:tcPr>
          <w:p w14:paraId="5AB19D89" w14:textId="77777777" w:rsidR="00F848A1" w:rsidRPr="00362517" w:rsidRDefault="00F848A1" w:rsidP="00BF6BC7">
            <w:pPr>
              <w:keepNext/>
              <w:jc w:val="center"/>
            </w:pPr>
            <w:r w:rsidRPr="00362517">
              <w:t>308</w:t>
            </w:r>
          </w:p>
        </w:tc>
        <w:tc>
          <w:tcPr>
            <w:tcW w:w="1777" w:type="dxa"/>
            <w:tcBorders>
              <w:top w:val="nil"/>
              <w:left w:val="nil"/>
              <w:bottom w:val="nil"/>
              <w:right w:val="double" w:sz="6" w:space="0" w:color="auto"/>
            </w:tcBorders>
            <w:shd w:val="clear" w:color="auto" w:fill="auto"/>
            <w:noWrap/>
            <w:vAlign w:val="center"/>
            <w:hideMark/>
          </w:tcPr>
          <w:p w14:paraId="5AB19D8A" w14:textId="77777777" w:rsidR="00F848A1" w:rsidRPr="00362517" w:rsidRDefault="00F848A1" w:rsidP="00BF6BC7">
            <w:pPr>
              <w:keepNext/>
              <w:jc w:val="center"/>
            </w:pPr>
            <w:r w:rsidRPr="00362517">
              <w:t>500</w:t>
            </w:r>
          </w:p>
        </w:tc>
      </w:tr>
      <w:tr w:rsidR="00362517" w:rsidRPr="00362517" w14:paraId="5AB19D90" w14:textId="77777777" w:rsidTr="0034043F">
        <w:trPr>
          <w:trHeight w:val="330"/>
          <w:jc w:val="center"/>
        </w:trPr>
        <w:tc>
          <w:tcPr>
            <w:tcW w:w="2993" w:type="dxa"/>
            <w:tcBorders>
              <w:top w:val="nil"/>
              <w:left w:val="double" w:sz="6" w:space="0" w:color="auto"/>
              <w:bottom w:val="single" w:sz="8" w:space="0" w:color="auto"/>
              <w:right w:val="nil"/>
            </w:tcBorders>
            <w:shd w:val="clear" w:color="auto" w:fill="auto"/>
            <w:noWrap/>
            <w:vAlign w:val="center"/>
            <w:hideMark/>
          </w:tcPr>
          <w:p w14:paraId="5AB19D8C" w14:textId="77777777" w:rsidR="00F848A1" w:rsidRPr="00362517" w:rsidRDefault="00F848A1" w:rsidP="00BF6BC7">
            <w:pPr>
              <w:keepNext/>
            </w:pPr>
            <w:r w:rsidRPr="00362517">
              <w:t>Total Deaths per Year</w:t>
            </w:r>
          </w:p>
        </w:tc>
        <w:tc>
          <w:tcPr>
            <w:tcW w:w="2229" w:type="dxa"/>
            <w:tcBorders>
              <w:top w:val="nil"/>
              <w:left w:val="single" w:sz="8" w:space="0" w:color="auto"/>
              <w:bottom w:val="single" w:sz="8" w:space="0" w:color="auto"/>
              <w:right w:val="single" w:sz="8" w:space="0" w:color="auto"/>
            </w:tcBorders>
            <w:shd w:val="clear" w:color="auto" w:fill="auto"/>
            <w:noWrap/>
            <w:vAlign w:val="center"/>
            <w:hideMark/>
          </w:tcPr>
          <w:p w14:paraId="5AB19D8D" w14:textId="77777777" w:rsidR="00F848A1" w:rsidRPr="00362517" w:rsidRDefault="00F848A1" w:rsidP="00BF6BC7">
            <w:pPr>
              <w:keepNext/>
              <w:jc w:val="center"/>
            </w:pPr>
            <w:r w:rsidRPr="00362517">
              <w:t>3.3</w:t>
            </w:r>
          </w:p>
        </w:tc>
        <w:tc>
          <w:tcPr>
            <w:tcW w:w="1530" w:type="dxa"/>
            <w:tcBorders>
              <w:top w:val="nil"/>
              <w:left w:val="nil"/>
              <w:bottom w:val="single" w:sz="8" w:space="0" w:color="auto"/>
              <w:right w:val="single" w:sz="8" w:space="0" w:color="auto"/>
            </w:tcBorders>
            <w:shd w:val="clear" w:color="auto" w:fill="auto"/>
            <w:noWrap/>
            <w:vAlign w:val="center"/>
            <w:hideMark/>
          </w:tcPr>
          <w:p w14:paraId="5AB19D8E" w14:textId="77777777" w:rsidR="00F848A1" w:rsidRPr="00362517" w:rsidRDefault="00F848A1" w:rsidP="00BF6BC7">
            <w:pPr>
              <w:keepNext/>
              <w:jc w:val="center"/>
            </w:pPr>
            <w:r w:rsidRPr="00362517">
              <w:t>19.3</w:t>
            </w:r>
          </w:p>
        </w:tc>
        <w:tc>
          <w:tcPr>
            <w:tcW w:w="1777" w:type="dxa"/>
            <w:tcBorders>
              <w:top w:val="nil"/>
              <w:left w:val="nil"/>
              <w:bottom w:val="single" w:sz="8" w:space="0" w:color="auto"/>
              <w:right w:val="double" w:sz="6" w:space="0" w:color="auto"/>
            </w:tcBorders>
            <w:shd w:val="clear" w:color="auto" w:fill="auto"/>
            <w:noWrap/>
            <w:vAlign w:val="center"/>
            <w:hideMark/>
          </w:tcPr>
          <w:p w14:paraId="5AB19D8F" w14:textId="77777777" w:rsidR="00F848A1" w:rsidRPr="00362517" w:rsidRDefault="00F848A1" w:rsidP="00BF6BC7">
            <w:pPr>
              <w:keepNext/>
              <w:jc w:val="center"/>
            </w:pPr>
            <w:r w:rsidRPr="00362517">
              <w:t>55.6</w:t>
            </w:r>
          </w:p>
        </w:tc>
      </w:tr>
      <w:tr w:rsidR="00F848A1" w:rsidRPr="00362517" w14:paraId="5AB19D94" w14:textId="77777777" w:rsidTr="0034043F">
        <w:trPr>
          <w:trHeight w:val="745"/>
          <w:jc w:val="center"/>
        </w:trPr>
        <w:tc>
          <w:tcPr>
            <w:tcW w:w="8529" w:type="dxa"/>
            <w:gridSpan w:val="4"/>
            <w:tcBorders>
              <w:top w:val="nil"/>
              <w:left w:val="double" w:sz="6" w:space="0" w:color="auto"/>
              <w:bottom w:val="double" w:sz="4" w:space="0" w:color="auto"/>
              <w:right w:val="double" w:sz="6" w:space="0" w:color="000000"/>
            </w:tcBorders>
            <w:shd w:val="clear" w:color="auto" w:fill="auto"/>
            <w:vAlign w:val="center"/>
            <w:hideMark/>
          </w:tcPr>
          <w:p w14:paraId="5AB19D91" w14:textId="77777777" w:rsidR="00F848A1" w:rsidRPr="00362517" w:rsidRDefault="00F848A1" w:rsidP="00BF6BC7">
            <w:pPr>
              <w:keepNext/>
              <w:rPr>
                <w:sz w:val="20"/>
                <w:szCs w:val="20"/>
              </w:rPr>
            </w:pPr>
            <w:r w:rsidRPr="00362517">
              <w:rPr>
                <w:sz w:val="20"/>
                <w:szCs w:val="20"/>
              </w:rPr>
              <w:t>Sources:  EPA estimates from SENSOR-Pesticides data; EPA analysis of the AAPCC Annual Reports; EPA queries and analysis of the Incident Data System.</w:t>
            </w:r>
          </w:p>
          <w:p w14:paraId="5AB19D92" w14:textId="77777777" w:rsidR="00F848A1" w:rsidRPr="00362517" w:rsidRDefault="00F848A1" w:rsidP="00BF6BC7">
            <w:pPr>
              <w:keepNext/>
              <w:rPr>
                <w:sz w:val="20"/>
                <w:szCs w:val="20"/>
              </w:rPr>
            </w:pPr>
            <w:r w:rsidRPr="00362517">
              <w:rPr>
                <w:sz w:val="20"/>
                <w:szCs w:val="20"/>
              </w:rPr>
              <w:t>Note</w:t>
            </w:r>
            <w:r w:rsidR="00DB5D99" w:rsidRPr="00362517">
              <w:rPr>
                <w:sz w:val="20"/>
                <w:szCs w:val="20"/>
              </w:rPr>
              <w:t>s</w:t>
            </w:r>
            <w:r w:rsidRPr="00362517">
              <w:rPr>
                <w:sz w:val="20"/>
                <w:szCs w:val="20"/>
              </w:rPr>
              <w:t>: The Preventable RUP Deaths per Year from SENSOR-Pesticides is 0.5, from 2 deaths over four years in the surveyed states.  The extrapolated estimate based on the number of certified applicators in those states and nationally is shown in Table 4.4-4.</w:t>
            </w:r>
          </w:p>
          <w:p w14:paraId="5AB19D93" w14:textId="77777777" w:rsidR="00DB5D99" w:rsidRPr="00362517" w:rsidRDefault="00DB5D99" w:rsidP="00BF6BC7">
            <w:pPr>
              <w:keepNext/>
              <w:rPr>
                <w:sz w:val="20"/>
                <w:szCs w:val="20"/>
              </w:rPr>
            </w:pPr>
            <w:r w:rsidRPr="00362517">
              <w:rPr>
                <w:sz w:val="20"/>
                <w:szCs w:val="20"/>
              </w:rPr>
              <w:t xml:space="preserve">Incidents involving paraquat were removed from the count of Preventable RUP Deaths. </w:t>
            </w:r>
            <w:r w:rsidR="006D317A" w:rsidRPr="00362517">
              <w:rPr>
                <w:sz w:val="20"/>
                <w:szCs w:val="20"/>
              </w:rPr>
              <w:t xml:space="preserve">If paraquat deaths resulting from exposure to paraquat were included, the number of preventable deaths would total 3 for </w:t>
            </w:r>
            <w:r w:rsidRPr="00362517">
              <w:rPr>
                <w:sz w:val="20"/>
                <w:szCs w:val="20"/>
              </w:rPr>
              <w:t xml:space="preserve">SENSOR-Pesticides, </w:t>
            </w:r>
            <w:r w:rsidR="006D317A" w:rsidRPr="00362517">
              <w:rPr>
                <w:sz w:val="20"/>
                <w:szCs w:val="20"/>
              </w:rPr>
              <w:t>15 for</w:t>
            </w:r>
            <w:r w:rsidRPr="00362517">
              <w:rPr>
                <w:sz w:val="20"/>
                <w:szCs w:val="20"/>
              </w:rPr>
              <w:t xml:space="preserve"> AAPCC, and </w:t>
            </w:r>
            <w:r w:rsidR="006D317A" w:rsidRPr="00362517">
              <w:rPr>
                <w:sz w:val="20"/>
                <w:szCs w:val="20"/>
              </w:rPr>
              <w:t>6 for</w:t>
            </w:r>
            <w:r w:rsidRPr="00362517">
              <w:rPr>
                <w:sz w:val="20"/>
                <w:szCs w:val="20"/>
              </w:rPr>
              <w:t xml:space="preserve"> IDS.    </w:t>
            </w:r>
          </w:p>
        </w:tc>
      </w:tr>
    </w:tbl>
    <w:p w14:paraId="5AB19D95" w14:textId="77777777" w:rsidR="00F848A1" w:rsidRPr="00362517" w:rsidRDefault="00F848A1" w:rsidP="00BF6BC7">
      <w:pPr>
        <w:tabs>
          <w:tab w:val="left" w:pos="540"/>
          <w:tab w:val="left" w:pos="1080"/>
          <w:tab w:val="left" w:pos="1620"/>
          <w:tab w:val="left" w:pos="2160"/>
        </w:tabs>
      </w:pPr>
    </w:p>
    <w:p w14:paraId="5AB19D96" w14:textId="31F69B60" w:rsidR="00F848A1" w:rsidRPr="00362517" w:rsidRDefault="00F848A1" w:rsidP="00BF6BC7">
      <w:pPr>
        <w:tabs>
          <w:tab w:val="left" w:pos="540"/>
          <w:tab w:val="left" w:pos="1080"/>
          <w:tab w:val="left" w:pos="1620"/>
          <w:tab w:val="left" w:pos="2160"/>
        </w:tabs>
      </w:pPr>
      <w:r w:rsidRPr="00362517">
        <w:t>When using the SENSOR-Pesticides data set from 2008 – 2011 to create Table 4.4-4, we extrapolated from the SENSOR-Pesticides states to the national level by creating an index of incidents per certified applicator, which yielded an estimate of 1.3 to 1.</w:t>
      </w:r>
      <w:r w:rsidR="00474E5D">
        <w:t>6</w:t>
      </w:r>
      <w:r w:rsidR="00474E5D" w:rsidRPr="00362517">
        <w:t xml:space="preserve"> </w:t>
      </w:r>
      <w:r w:rsidRPr="00362517">
        <w:t>preventable deaths per year.  In contrast, AAPCC data would indicate 0.</w:t>
      </w:r>
      <w:r w:rsidR="00474E5D">
        <w:t>44</w:t>
      </w:r>
      <w:r w:rsidR="00474E5D" w:rsidRPr="00362517">
        <w:t xml:space="preserve"> </w:t>
      </w:r>
      <w:r w:rsidRPr="00362517">
        <w:t>fatalities per year and the IDS data indicate 0.50 deaths per year.  EPA considered several methods for combining the additional information from AAPCC and IDS to better estimate the number of deaths prevented by the rule annually, without any potential double counting of the information already available from SENSOR-Pesticides, or from earlier years of SENSOR-Pesticides data.  These are summarized in Table 4.4-6</w:t>
      </w:r>
      <w:r w:rsidR="00474E5D">
        <w:t>.</w:t>
      </w:r>
    </w:p>
    <w:p w14:paraId="5AB19D97" w14:textId="77777777" w:rsidR="00F848A1" w:rsidRPr="00362517" w:rsidRDefault="00F848A1" w:rsidP="00BF6BC7">
      <w:pPr>
        <w:tabs>
          <w:tab w:val="left" w:pos="540"/>
          <w:tab w:val="left" w:pos="1080"/>
          <w:tab w:val="left" w:pos="1620"/>
          <w:tab w:val="left" w:pos="2160"/>
        </w:tabs>
      </w:pPr>
    </w:p>
    <w:p w14:paraId="5AB19D98" w14:textId="30257392" w:rsidR="00F848A1" w:rsidRPr="00362517" w:rsidRDefault="00F848A1" w:rsidP="00BF6BC7">
      <w:pPr>
        <w:tabs>
          <w:tab w:val="left" w:pos="540"/>
          <w:tab w:val="left" w:pos="1080"/>
          <w:tab w:val="left" w:pos="1620"/>
          <w:tab w:val="left" w:pos="2160"/>
        </w:tabs>
      </w:pPr>
      <w:r w:rsidRPr="00362517">
        <w:t xml:space="preserve">The simplest way to estimate the number of deaths prevented by the rule is to look at the total number of preventable deaths across all the data sets for the years in which all are available, without any scaling to the national level for SENSOR-Pesticides data.  By using three different data sets and only using unique incidents, a reasonable estimate can be obtained without double counting.  There are only four years for which all three data series were available, from 2008 to 2011.  There were a total of </w:t>
      </w:r>
      <w:r w:rsidR="00AD075F">
        <w:t>five</w:t>
      </w:r>
      <w:r w:rsidR="00AD075F" w:rsidRPr="00362517">
        <w:t xml:space="preserve"> </w:t>
      </w:r>
      <w:r w:rsidRPr="00362517">
        <w:t xml:space="preserve">unique preventable deaths for those four years.  Two were from SENSOR-Pesticides, one each in 2009 and 2010.  The AAPCC data reported </w:t>
      </w:r>
      <w:r w:rsidR="00AD075F">
        <w:t>one</w:t>
      </w:r>
      <w:r w:rsidR="00AD075F" w:rsidRPr="00362517">
        <w:t xml:space="preserve"> </w:t>
      </w:r>
      <w:r w:rsidRPr="00362517">
        <w:t>preventable deaths</w:t>
      </w:r>
      <w:r w:rsidR="00AD075F">
        <w:t xml:space="preserve"> in 2009</w:t>
      </w:r>
      <w:r w:rsidRPr="00362517">
        <w:t>, but the death was a duplicate of a death reported in SENSOR-Pesticides</w:t>
      </w:r>
      <w:r w:rsidR="00AD075F">
        <w:t xml:space="preserve">.  </w:t>
      </w:r>
      <w:r w:rsidRPr="00362517">
        <w:t>There were two unique preventable deaths reported only in IDS for 2010 and one in 2011.  Using the three data sources for only the four years 2008 – 2011 suggests that 1.</w:t>
      </w:r>
      <w:r w:rsidR="00AD075F">
        <w:t>2</w:t>
      </w:r>
      <w:r w:rsidRPr="00362517">
        <w:t xml:space="preserve">5 deaths per year would be prevented from the rule, </w:t>
      </w:r>
      <w:r w:rsidR="00AD075F">
        <w:t xml:space="preserve">just outside </w:t>
      </w:r>
      <w:r w:rsidRPr="00362517">
        <w:t>the range of the extrapolation from the SENSOR-Pesticides data of 2008 – 2011 yielding 1.3 to 1.</w:t>
      </w:r>
      <w:r w:rsidR="00AD075F">
        <w:t>6</w:t>
      </w:r>
      <w:r w:rsidR="00AD075F" w:rsidRPr="00362517">
        <w:t xml:space="preserve"> </w:t>
      </w:r>
      <w:r w:rsidRPr="00362517">
        <w:t xml:space="preserve">preventable deaths per year.  As with using SENSOR-Pesticides data alone, however, this approach relies on only four years of data, the same as for SENSOR-Pesticides.  The relative rarity of deaths gives an important reason to look beyond the four years available for all three data sets.  </w:t>
      </w:r>
    </w:p>
    <w:p w14:paraId="5AB19D99" w14:textId="77777777" w:rsidR="00F848A1" w:rsidRPr="00362517" w:rsidRDefault="00F848A1" w:rsidP="00BF6BC7">
      <w:pPr>
        <w:tabs>
          <w:tab w:val="left" w:pos="540"/>
          <w:tab w:val="left" w:pos="1080"/>
          <w:tab w:val="left" w:pos="1620"/>
          <w:tab w:val="left" w:pos="2160"/>
        </w:tabs>
      </w:pPr>
    </w:p>
    <w:p w14:paraId="5AB19D9A" w14:textId="5AD992E6" w:rsidR="00F848A1" w:rsidRPr="00362517" w:rsidRDefault="00F848A1" w:rsidP="00BF6BC7">
      <w:pPr>
        <w:tabs>
          <w:tab w:val="left" w:pos="540"/>
          <w:tab w:val="left" w:pos="1080"/>
          <w:tab w:val="left" w:pos="1620"/>
          <w:tab w:val="left" w:pos="2160"/>
        </w:tabs>
      </w:pPr>
      <w:r w:rsidRPr="00362517">
        <w:t xml:space="preserve">Another possible approach to estimating prevented deaths is using the maximum years available, from 1999 – 2015, over which time there were </w:t>
      </w:r>
      <w:r w:rsidR="00821A3E">
        <w:t>11</w:t>
      </w:r>
      <w:r w:rsidR="00821A3E" w:rsidRPr="00362517">
        <w:t xml:space="preserve"> </w:t>
      </w:r>
      <w:r w:rsidRPr="00362517">
        <w:t>unique preventable deaths, or 0.</w:t>
      </w:r>
      <w:r w:rsidR="00821A3E">
        <w:t>65</w:t>
      </w:r>
      <w:r w:rsidR="00821A3E" w:rsidRPr="00362517">
        <w:t xml:space="preserve"> </w:t>
      </w:r>
      <w:r w:rsidRPr="00362517">
        <w:t xml:space="preserve">per year.  The problem with this approach is that dividing by the total number of years yields a clear underestimate, because none of the data sets spans the entire range.  That would not be as concerning if most of the incidents appear in all the data sets, but that is rare – there is surprisingly little overlap (2 cases), even for this most severe of outcomes.  </w:t>
      </w:r>
    </w:p>
    <w:p w14:paraId="5AB19D9B" w14:textId="77777777" w:rsidR="00F848A1" w:rsidRPr="00362517" w:rsidRDefault="00F848A1" w:rsidP="00BF6BC7">
      <w:pPr>
        <w:tabs>
          <w:tab w:val="left" w:pos="540"/>
          <w:tab w:val="left" w:pos="1080"/>
          <w:tab w:val="left" w:pos="1620"/>
          <w:tab w:val="left" w:pos="2160"/>
        </w:tabs>
      </w:pPr>
    </w:p>
    <w:p w14:paraId="5AB19D9C" w14:textId="0AA0523D" w:rsidR="00F848A1" w:rsidRPr="00362517" w:rsidRDefault="00F848A1" w:rsidP="00BF6BC7">
      <w:pPr>
        <w:tabs>
          <w:tab w:val="left" w:pos="540"/>
          <w:tab w:val="left" w:pos="1080"/>
          <w:tab w:val="left" w:pos="1620"/>
          <w:tab w:val="left" w:pos="2160"/>
        </w:tabs>
      </w:pPr>
      <w:r w:rsidRPr="00362517">
        <w:t>To use the data available without double counting the incidents, one option is to combine the initial SENSOR-Pesticides estimate for deaths with new estimates from AAPCC and the IDS.  The estimated rate for the nation estimated from SENSOR-Pesticides is between 1.3 and 1.</w:t>
      </w:r>
      <w:r w:rsidR="00821A3E">
        <w:t>6</w:t>
      </w:r>
      <w:r w:rsidR="00821A3E" w:rsidRPr="00362517">
        <w:t xml:space="preserve"> </w:t>
      </w:r>
      <w:r w:rsidRPr="00362517">
        <w:t xml:space="preserve">preventable deaths per year.  We exclude any deaths that were reported in AAPCC that were also reported in the SENSOR-Pesticides data from 2008 – 2011; there was one, leaving </w:t>
      </w:r>
      <w:r w:rsidR="00821A3E">
        <w:t>6</w:t>
      </w:r>
      <w:r w:rsidR="00821A3E" w:rsidRPr="00362517">
        <w:t xml:space="preserve"> </w:t>
      </w:r>
      <w:r w:rsidRPr="00362517">
        <w:t>unique preventable deaths reported by AAPCC between 1999 and 2014, or 0.</w:t>
      </w:r>
      <w:r w:rsidR="00821A3E">
        <w:t>44</w:t>
      </w:r>
      <w:r w:rsidR="00821A3E" w:rsidRPr="00362517">
        <w:t xml:space="preserve"> </w:t>
      </w:r>
      <w:r w:rsidRPr="00362517">
        <w:t>per year.  Finally, we consider the IDS cases reported from 2008 – 2015.  There were three unique preventable deaths from IDS, or an estimated 0.38 per year.  Because these estimates from the three different data sources only consider unique preventable deaths, they can be added together, which would yield between 2.</w:t>
      </w:r>
      <w:r w:rsidR="00821A3E">
        <w:t>05</w:t>
      </w:r>
      <w:r w:rsidR="00821A3E" w:rsidRPr="00362517">
        <w:t xml:space="preserve"> </w:t>
      </w:r>
      <w:r w:rsidRPr="00362517">
        <w:t>and 2.</w:t>
      </w:r>
      <w:r w:rsidR="00821A3E">
        <w:t>35</w:t>
      </w:r>
      <w:r w:rsidR="00821A3E" w:rsidRPr="00362517">
        <w:t xml:space="preserve"> </w:t>
      </w:r>
      <w:r w:rsidRPr="00362517">
        <w:t xml:space="preserve">estimated preventable deaths per year. </w:t>
      </w:r>
    </w:p>
    <w:p w14:paraId="5AB19D9D" w14:textId="77777777" w:rsidR="00F848A1" w:rsidRPr="00362517" w:rsidRDefault="00F848A1" w:rsidP="00BF6BC7">
      <w:pPr>
        <w:tabs>
          <w:tab w:val="left" w:pos="540"/>
          <w:tab w:val="left" w:pos="1080"/>
          <w:tab w:val="left" w:pos="1620"/>
          <w:tab w:val="left" w:pos="2160"/>
        </w:tabs>
      </w:pPr>
    </w:p>
    <w:p w14:paraId="5AB19D9E" w14:textId="437FA60F" w:rsidR="00F848A1" w:rsidRPr="00362517" w:rsidRDefault="00F848A1" w:rsidP="00BF6BC7">
      <w:pPr>
        <w:tabs>
          <w:tab w:val="left" w:pos="540"/>
          <w:tab w:val="left" w:pos="1080"/>
          <w:tab w:val="left" w:pos="1620"/>
          <w:tab w:val="left" w:pos="2160"/>
        </w:tabs>
      </w:pPr>
      <w:r w:rsidRPr="00362517">
        <w:t>However, the estimate based on SENSOR-Pesticides data from 2008 – 2011 was extrapolated to the national level, and hypothetically, one of the cases from AAPCC or IDS could have been one of the cases accounted for by the extrapolation.  For that reason, instead of using the estimate of preventable deaths from Table 4.5-4 as our starting point, we use only the reported estimates from SENSOR-Pesticides, not the extrapolated figures.  Two preventable deaths from RUP exposure were reported in SENSOR-Pesticides from 2008 – 2011, or 0.50 per year.  This is a conservative estimate because SENSOR-Pesticides only covers a few states, but we use it here.  Combining that number with estimates from the unique incidents from AAPCC and IDS yields an estimate of 1.</w:t>
      </w:r>
      <w:r w:rsidR="00821A3E">
        <w:t>25</w:t>
      </w:r>
      <w:r w:rsidR="00821A3E" w:rsidRPr="00362517">
        <w:t xml:space="preserve"> </w:t>
      </w:r>
      <w:r w:rsidRPr="00362517">
        <w:t xml:space="preserve">preventable deaths per year.  </w:t>
      </w:r>
    </w:p>
    <w:p w14:paraId="5AB19D9F" w14:textId="77777777" w:rsidR="00F848A1" w:rsidRPr="00362517" w:rsidRDefault="00F848A1" w:rsidP="00BF6BC7">
      <w:pPr>
        <w:tabs>
          <w:tab w:val="left" w:pos="540"/>
          <w:tab w:val="left" w:pos="1080"/>
          <w:tab w:val="left" w:pos="1620"/>
          <w:tab w:val="left" w:pos="2160"/>
        </w:tabs>
      </w:pPr>
    </w:p>
    <w:p w14:paraId="5AB19DA0" w14:textId="13125442" w:rsidR="00F848A1" w:rsidRPr="00362517" w:rsidRDefault="00F848A1" w:rsidP="00BF6BC7">
      <w:pPr>
        <w:tabs>
          <w:tab w:val="left" w:pos="540"/>
          <w:tab w:val="left" w:pos="1080"/>
          <w:tab w:val="left" w:pos="1620"/>
          <w:tab w:val="left" w:pos="2160"/>
        </w:tabs>
      </w:pPr>
      <w:r w:rsidRPr="00362517">
        <w:t>In Section 4.4.</w:t>
      </w:r>
      <w:r w:rsidR="00373B6D" w:rsidRPr="00362517">
        <w:t>5</w:t>
      </w:r>
      <w:r w:rsidRPr="00362517">
        <w:t>, we report a range of estimates of the benefits from reduced pesticide poisoning, based in part upon the estimates of incidents prevented, including deaths.  For the low end estimates we use the low estimate of 1.3 deaths prevented annually based on SENSOR-Pesticides data alone as shown in Table 4.4-4.  For the high-end estimate, we make use of alternative sources of preventable RUP deaths using the sources discussed in this Section.  Using only death reports that are unique to each database in addition to the high estimate from SENSOR-Pesticides as shown in the last row of Table 4.4-6, our high end estimate is 2.</w:t>
      </w:r>
      <w:r w:rsidR="00821A3E">
        <w:t>4</w:t>
      </w:r>
      <w:r w:rsidR="00821A3E" w:rsidRPr="00362517">
        <w:t xml:space="preserve"> </w:t>
      </w:r>
      <w:r w:rsidRPr="00362517">
        <w:t xml:space="preserve">prevented deaths per year.  </w:t>
      </w:r>
    </w:p>
    <w:tbl>
      <w:tblPr>
        <w:tblW w:w="9643" w:type="dxa"/>
        <w:tblLook w:val="04A0" w:firstRow="1" w:lastRow="0" w:firstColumn="1" w:lastColumn="0" w:noHBand="0" w:noVBand="1"/>
      </w:tblPr>
      <w:tblGrid>
        <w:gridCol w:w="3960"/>
        <w:gridCol w:w="1440"/>
        <w:gridCol w:w="1440"/>
        <w:gridCol w:w="1440"/>
        <w:gridCol w:w="1363"/>
      </w:tblGrid>
      <w:tr w:rsidR="00362517" w:rsidRPr="00362517" w14:paraId="5AB19DA2" w14:textId="77777777" w:rsidTr="0034043F">
        <w:trPr>
          <w:trHeight w:val="330"/>
        </w:trPr>
        <w:tc>
          <w:tcPr>
            <w:tcW w:w="9643" w:type="dxa"/>
            <w:gridSpan w:val="5"/>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5AB19DA1" w14:textId="41373467" w:rsidR="00F848A1" w:rsidRPr="00362517" w:rsidRDefault="00F848A1" w:rsidP="00BF6BC7">
            <w:pPr>
              <w:keepNext/>
              <w:rPr>
                <w:b/>
              </w:rPr>
            </w:pPr>
            <w:r w:rsidRPr="00362517">
              <w:rPr>
                <w:b/>
              </w:rPr>
              <w:t>Table 4.4-6</w:t>
            </w:r>
            <w:r w:rsidR="00FF6C94">
              <w:rPr>
                <w:b/>
              </w:rPr>
              <w:t>:</w:t>
            </w:r>
            <w:r w:rsidRPr="00362517">
              <w:rPr>
                <w:b/>
              </w:rPr>
              <w:t xml:space="preserve">  Alternative Estimates for the Number of Preventable Deaths</w:t>
            </w:r>
          </w:p>
        </w:tc>
      </w:tr>
      <w:tr w:rsidR="00362517" w:rsidRPr="00362517" w14:paraId="5AB19DA8" w14:textId="77777777" w:rsidTr="0034043F">
        <w:trPr>
          <w:trHeight w:val="600"/>
        </w:trPr>
        <w:tc>
          <w:tcPr>
            <w:tcW w:w="3960" w:type="dxa"/>
            <w:tcBorders>
              <w:top w:val="double" w:sz="4" w:space="0" w:color="auto"/>
              <w:left w:val="double" w:sz="4" w:space="0" w:color="auto"/>
              <w:bottom w:val="single" w:sz="4" w:space="0" w:color="auto"/>
              <w:right w:val="nil"/>
            </w:tcBorders>
            <w:shd w:val="clear" w:color="auto" w:fill="auto"/>
            <w:noWrap/>
            <w:vAlign w:val="bottom"/>
            <w:hideMark/>
          </w:tcPr>
          <w:p w14:paraId="5AB19DA3" w14:textId="77777777" w:rsidR="00F848A1" w:rsidRPr="00362517" w:rsidRDefault="00F848A1" w:rsidP="00BF6BC7">
            <w:pPr>
              <w:keepNext/>
            </w:pPr>
            <w:r w:rsidRPr="00362517">
              <w:t>Data Source for Preventable Deaths</w:t>
            </w:r>
          </w:p>
        </w:tc>
        <w:tc>
          <w:tcPr>
            <w:tcW w:w="1440" w:type="dxa"/>
            <w:tcBorders>
              <w:top w:val="double" w:sz="4" w:space="0" w:color="auto"/>
              <w:left w:val="nil"/>
              <w:bottom w:val="single" w:sz="4" w:space="0" w:color="auto"/>
              <w:right w:val="nil"/>
            </w:tcBorders>
            <w:shd w:val="clear" w:color="auto" w:fill="auto"/>
            <w:noWrap/>
            <w:vAlign w:val="bottom"/>
            <w:hideMark/>
          </w:tcPr>
          <w:p w14:paraId="5AB19DA4" w14:textId="77777777" w:rsidR="00F848A1" w:rsidRPr="00362517" w:rsidRDefault="00F848A1" w:rsidP="00BF6BC7">
            <w:pPr>
              <w:keepNext/>
              <w:jc w:val="center"/>
            </w:pPr>
            <w:r w:rsidRPr="00362517">
              <w:t>Sensor</w:t>
            </w:r>
          </w:p>
        </w:tc>
        <w:tc>
          <w:tcPr>
            <w:tcW w:w="1440" w:type="dxa"/>
            <w:tcBorders>
              <w:top w:val="double" w:sz="4" w:space="0" w:color="auto"/>
              <w:left w:val="nil"/>
              <w:bottom w:val="single" w:sz="4" w:space="0" w:color="auto"/>
              <w:right w:val="nil"/>
            </w:tcBorders>
            <w:shd w:val="clear" w:color="auto" w:fill="auto"/>
            <w:noWrap/>
            <w:vAlign w:val="bottom"/>
            <w:hideMark/>
          </w:tcPr>
          <w:p w14:paraId="5AB19DA5" w14:textId="77777777" w:rsidR="00F848A1" w:rsidRPr="00362517" w:rsidRDefault="00F848A1" w:rsidP="00BF6BC7">
            <w:pPr>
              <w:keepNext/>
              <w:jc w:val="center"/>
            </w:pPr>
            <w:r w:rsidRPr="00362517">
              <w:t>AAPCC</w:t>
            </w:r>
          </w:p>
        </w:tc>
        <w:tc>
          <w:tcPr>
            <w:tcW w:w="1440" w:type="dxa"/>
            <w:tcBorders>
              <w:top w:val="double" w:sz="4" w:space="0" w:color="auto"/>
              <w:left w:val="nil"/>
              <w:bottom w:val="single" w:sz="4" w:space="0" w:color="auto"/>
              <w:right w:val="nil"/>
            </w:tcBorders>
            <w:shd w:val="clear" w:color="auto" w:fill="auto"/>
            <w:noWrap/>
            <w:vAlign w:val="bottom"/>
            <w:hideMark/>
          </w:tcPr>
          <w:p w14:paraId="5AB19DA6" w14:textId="77777777" w:rsidR="00F848A1" w:rsidRPr="00362517" w:rsidRDefault="00F848A1" w:rsidP="00BF6BC7">
            <w:pPr>
              <w:keepNext/>
              <w:jc w:val="center"/>
            </w:pPr>
            <w:r w:rsidRPr="00362517">
              <w:t>IDS</w:t>
            </w:r>
          </w:p>
        </w:tc>
        <w:tc>
          <w:tcPr>
            <w:tcW w:w="1363" w:type="dxa"/>
            <w:tcBorders>
              <w:top w:val="double" w:sz="4" w:space="0" w:color="auto"/>
              <w:left w:val="nil"/>
              <w:bottom w:val="single" w:sz="4" w:space="0" w:color="auto"/>
              <w:right w:val="double" w:sz="4" w:space="0" w:color="auto"/>
            </w:tcBorders>
            <w:shd w:val="clear" w:color="auto" w:fill="auto"/>
            <w:vAlign w:val="bottom"/>
            <w:hideMark/>
          </w:tcPr>
          <w:p w14:paraId="5AB19DA7" w14:textId="77777777" w:rsidR="00F848A1" w:rsidRPr="00362517" w:rsidRDefault="00F848A1" w:rsidP="00BF6BC7">
            <w:pPr>
              <w:keepNext/>
              <w:jc w:val="center"/>
            </w:pPr>
            <w:r w:rsidRPr="00362517">
              <w:t>Preventable Deaths per Year</w:t>
            </w:r>
          </w:p>
        </w:tc>
      </w:tr>
      <w:tr w:rsidR="00362517" w:rsidRPr="00362517" w14:paraId="5AB19DAE" w14:textId="77777777" w:rsidTr="0034043F">
        <w:trPr>
          <w:trHeight w:val="264"/>
        </w:trPr>
        <w:tc>
          <w:tcPr>
            <w:tcW w:w="3960"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5AB19DA9" w14:textId="77777777" w:rsidR="00F848A1" w:rsidRPr="00362517" w:rsidRDefault="00F848A1" w:rsidP="00BF6BC7">
            <w:pPr>
              <w:keepNext/>
            </w:pPr>
            <w:r w:rsidRPr="00362517">
              <w:t>Years Analyzed</w:t>
            </w:r>
          </w:p>
        </w:tc>
        <w:tc>
          <w:tcPr>
            <w:tcW w:w="1440" w:type="dxa"/>
            <w:tcBorders>
              <w:top w:val="single" w:sz="4" w:space="0" w:color="auto"/>
              <w:left w:val="single" w:sz="4" w:space="0" w:color="auto"/>
              <w:bottom w:val="single" w:sz="4" w:space="0" w:color="auto"/>
              <w:right w:val="nil"/>
            </w:tcBorders>
            <w:shd w:val="clear" w:color="auto" w:fill="auto"/>
            <w:noWrap/>
            <w:vAlign w:val="center"/>
            <w:hideMark/>
          </w:tcPr>
          <w:p w14:paraId="5AB19DAA" w14:textId="77777777" w:rsidR="00F848A1" w:rsidRPr="00362517" w:rsidRDefault="00F848A1" w:rsidP="00BF6BC7">
            <w:pPr>
              <w:keepNext/>
              <w:jc w:val="center"/>
            </w:pPr>
            <w:r w:rsidRPr="00362517">
              <w:t>2008 - 2011</w:t>
            </w:r>
          </w:p>
        </w:tc>
        <w:tc>
          <w:tcPr>
            <w:tcW w:w="1440" w:type="dxa"/>
            <w:tcBorders>
              <w:top w:val="single" w:sz="4" w:space="0" w:color="auto"/>
              <w:left w:val="nil"/>
              <w:bottom w:val="single" w:sz="4" w:space="0" w:color="auto"/>
              <w:right w:val="nil"/>
            </w:tcBorders>
            <w:shd w:val="clear" w:color="auto" w:fill="auto"/>
            <w:noWrap/>
            <w:vAlign w:val="center"/>
            <w:hideMark/>
          </w:tcPr>
          <w:p w14:paraId="5AB19DAB" w14:textId="77777777" w:rsidR="00F848A1" w:rsidRPr="00362517" w:rsidRDefault="00F848A1" w:rsidP="00BF6BC7">
            <w:pPr>
              <w:keepNext/>
              <w:jc w:val="center"/>
            </w:pPr>
            <w:r w:rsidRPr="00362517">
              <w:t>1999 - 2014</w:t>
            </w:r>
          </w:p>
        </w:tc>
        <w:tc>
          <w:tcPr>
            <w:tcW w:w="1440" w:type="dxa"/>
            <w:tcBorders>
              <w:top w:val="single" w:sz="4" w:space="0" w:color="auto"/>
              <w:left w:val="nil"/>
              <w:bottom w:val="single" w:sz="4" w:space="0" w:color="auto"/>
              <w:right w:val="nil"/>
            </w:tcBorders>
            <w:shd w:val="clear" w:color="auto" w:fill="auto"/>
            <w:noWrap/>
            <w:vAlign w:val="center"/>
            <w:hideMark/>
          </w:tcPr>
          <w:p w14:paraId="5AB19DAC" w14:textId="77777777" w:rsidR="00F848A1" w:rsidRPr="00362517" w:rsidRDefault="00F848A1" w:rsidP="00BF6BC7">
            <w:pPr>
              <w:keepNext/>
              <w:jc w:val="center"/>
            </w:pPr>
            <w:r w:rsidRPr="00362517">
              <w:t>2008 - 2015</w:t>
            </w:r>
          </w:p>
        </w:tc>
        <w:tc>
          <w:tcPr>
            <w:tcW w:w="1363" w:type="dxa"/>
            <w:tcBorders>
              <w:top w:val="nil"/>
              <w:left w:val="nil"/>
              <w:bottom w:val="nil"/>
              <w:right w:val="double" w:sz="4" w:space="0" w:color="auto"/>
            </w:tcBorders>
            <w:shd w:val="clear" w:color="auto" w:fill="auto"/>
            <w:noWrap/>
            <w:vAlign w:val="center"/>
            <w:hideMark/>
          </w:tcPr>
          <w:p w14:paraId="5AB19DAD" w14:textId="77777777" w:rsidR="00F848A1" w:rsidRPr="00362517" w:rsidRDefault="00F848A1" w:rsidP="00BF6BC7">
            <w:pPr>
              <w:keepNext/>
              <w:jc w:val="center"/>
            </w:pPr>
          </w:p>
        </w:tc>
      </w:tr>
      <w:tr w:rsidR="00362517" w:rsidRPr="00362517" w14:paraId="5AB19DB4" w14:textId="77777777" w:rsidTr="0034043F">
        <w:trPr>
          <w:trHeight w:val="264"/>
        </w:trPr>
        <w:tc>
          <w:tcPr>
            <w:tcW w:w="3960"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5AB19DAF" w14:textId="77777777" w:rsidR="00F848A1" w:rsidRPr="00362517" w:rsidRDefault="00F848A1" w:rsidP="00BF6BC7">
            <w:pPr>
              <w:keepNext/>
            </w:pPr>
            <w:r w:rsidRPr="00362517">
              <w:t>Maximum Number of Years</w:t>
            </w:r>
          </w:p>
        </w:tc>
        <w:tc>
          <w:tcPr>
            <w:tcW w:w="1440" w:type="dxa"/>
            <w:tcBorders>
              <w:top w:val="single" w:sz="4" w:space="0" w:color="auto"/>
              <w:left w:val="single" w:sz="4" w:space="0" w:color="auto"/>
              <w:bottom w:val="double" w:sz="4" w:space="0" w:color="auto"/>
              <w:right w:val="nil"/>
            </w:tcBorders>
            <w:shd w:val="clear" w:color="auto" w:fill="auto"/>
            <w:noWrap/>
            <w:vAlign w:val="center"/>
            <w:hideMark/>
          </w:tcPr>
          <w:p w14:paraId="5AB19DB0" w14:textId="77777777" w:rsidR="00F848A1" w:rsidRPr="00362517" w:rsidRDefault="00F848A1" w:rsidP="00BF6BC7">
            <w:pPr>
              <w:keepNext/>
              <w:jc w:val="center"/>
            </w:pPr>
            <w:r w:rsidRPr="00362517">
              <w:t>4</w:t>
            </w:r>
          </w:p>
        </w:tc>
        <w:tc>
          <w:tcPr>
            <w:tcW w:w="1440" w:type="dxa"/>
            <w:tcBorders>
              <w:top w:val="single" w:sz="4" w:space="0" w:color="auto"/>
              <w:left w:val="nil"/>
              <w:bottom w:val="double" w:sz="4" w:space="0" w:color="auto"/>
              <w:right w:val="nil"/>
            </w:tcBorders>
            <w:shd w:val="clear" w:color="auto" w:fill="auto"/>
            <w:noWrap/>
            <w:vAlign w:val="center"/>
            <w:hideMark/>
          </w:tcPr>
          <w:p w14:paraId="5AB19DB1" w14:textId="77777777" w:rsidR="00F848A1" w:rsidRPr="00362517" w:rsidRDefault="00F848A1" w:rsidP="00BF6BC7">
            <w:pPr>
              <w:keepNext/>
              <w:jc w:val="center"/>
            </w:pPr>
            <w:r w:rsidRPr="00362517">
              <w:t>16</w:t>
            </w:r>
          </w:p>
        </w:tc>
        <w:tc>
          <w:tcPr>
            <w:tcW w:w="1440" w:type="dxa"/>
            <w:tcBorders>
              <w:top w:val="single" w:sz="4" w:space="0" w:color="auto"/>
              <w:left w:val="nil"/>
              <w:bottom w:val="double" w:sz="4" w:space="0" w:color="auto"/>
              <w:right w:val="nil"/>
            </w:tcBorders>
            <w:shd w:val="clear" w:color="auto" w:fill="auto"/>
            <w:noWrap/>
            <w:vAlign w:val="center"/>
            <w:hideMark/>
          </w:tcPr>
          <w:p w14:paraId="5AB19DB2" w14:textId="77777777" w:rsidR="00F848A1" w:rsidRPr="00362517" w:rsidRDefault="00F848A1" w:rsidP="00BF6BC7">
            <w:pPr>
              <w:keepNext/>
              <w:jc w:val="center"/>
            </w:pPr>
            <w:r w:rsidRPr="00362517">
              <w:t>8</w:t>
            </w:r>
          </w:p>
        </w:tc>
        <w:tc>
          <w:tcPr>
            <w:tcW w:w="1363" w:type="dxa"/>
            <w:tcBorders>
              <w:top w:val="nil"/>
              <w:left w:val="nil"/>
              <w:bottom w:val="double" w:sz="4" w:space="0" w:color="auto"/>
              <w:right w:val="double" w:sz="4" w:space="0" w:color="auto"/>
            </w:tcBorders>
            <w:shd w:val="clear" w:color="auto" w:fill="auto"/>
            <w:noWrap/>
            <w:vAlign w:val="center"/>
            <w:hideMark/>
          </w:tcPr>
          <w:p w14:paraId="5AB19DB3" w14:textId="77777777" w:rsidR="00F848A1" w:rsidRPr="00362517" w:rsidRDefault="00F848A1" w:rsidP="00BF6BC7">
            <w:pPr>
              <w:keepNext/>
              <w:jc w:val="center"/>
            </w:pPr>
          </w:p>
        </w:tc>
      </w:tr>
      <w:tr w:rsidR="00362517" w:rsidRPr="00362517" w14:paraId="5AB19DBA" w14:textId="77777777" w:rsidTr="0034043F">
        <w:trPr>
          <w:trHeight w:val="789"/>
        </w:trPr>
        <w:tc>
          <w:tcPr>
            <w:tcW w:w="3960"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5AB19DB5" w14:textId="77777777" w:rsidR="00F848A1" w:rsidRPr="00362517" w:rsidRDefault="00F848A1" w:rsidP="00BF6BC7">
            <w:pPr>
              <w:keepNext/>
            </w:pPr>
            <w:r w:rsidRPr="00362517">
              <w:t>Total Preventable Deaths Reported</w:t>
            </w:r>
            <w:r w:rsidRPr="00362517">
              <w:rPr>
                <w:vertAlign w:val="superscript"/>
              </w:rPr>
              <w:t>1</w:t>
            </w:r>
          </w:p>
        </w:tc>
        <w:tc>
          <w:tcPr>
            <w:tcW w:w="1440" w:type="dxa"/>
            <w:tcBorders>
              <w:top w:val="double" w:sz="4" w:space="0" w:color="auto"/>
              <w:left w:val="single" w:sz="4" w:space="0" w:color="auto"/>
              <w:bottom w:val="single" w:sz="4" w:space="0" w:color="auto"/>
              <w:right w:val="nil"/>
            </w:tcBorders>
            <w:shd w:val="clear" w:color="auto" w:fill="auto"/>
            <w:noWrap/>
            <w:vAlign w:val="center"/>
            <w:hideMark/>
          </w:tcPr>
          <w:p w14:paraId="5AB19DB6" w14:textId="77777777" w:rsidR="00F848A1" w:rsidRPr="00362517" w:rsidRDefault="00F848A1" w:rsidP="00BF6BC7">
            <w:pPr>
              <w:keepNext/>
              <w:jc w:val="center"/>
            </w:pPr>
            <w:r w:rsidRPr="00362517">
              <w:t>2 over 4 years</w:t>
            </w:r>
          </w:p>
        </w:tc>
        <w:tc>
          <w:tcPr>
            <w:tcW w:w="1440" w:type="dxa"/>
            <w:tcBorders>
              <w:top w:val="double" w:sz="4" w:space="0" w:color="auto"/>
              <w:left w:val="nil"/>
              <w:bottom w:val="single" w:sz="4" w:space="0" w:color="auto"/>
              <w:right w:val="nil"/>
            </w:tcBorders>
            <w:shd w:val="clear" w:color="auto" w:fill="auto"/>
            <w:noWrap/>
            <w:vAlign w:val="center"/>
            <w:hideMark/>
          </w:tcPr>
          <w:p w14:paraId="5AB19DB7" w14:textId="7DE237BE" w:rsidR="00F848A1" w:rsidRPr="00362517" w:rsidRDefault="00821A3E" w:rsidP="00BF6BC7">
            <w:pPr>
              <w:keepNext/>
              <w:jc w:val="center"/>
            </w:pPr>
            <w:r>
              <w:t>7</w:t>
            </w:r>
            <w:r w:rsidRPr="00362517">
              <w:t xml:space="preserve"> </w:t>
            </w:r>
            <w:r w:rsidR="00F848A1" w:rsidRPr="00362517">
              <w:t>over 16 years</w:t>
            </w:r>
          </w:p>
        </w:tc>
        <w:tc>
          <w:tcPr>
            <w:tcW w:w="1440" w:type="dxa"/>
            <w:tcBorders>
              <w:top w:val="double" w:sz="4" w:space="0" w:color="auto"/>
              <w:left w:val="nil"/>
              <w:bottom w:val="single" w:sz="4" w:space="0" w:color="auto"/>
              <w:right w:val="single" w:sz="4" w:space="0" w:color="auto"/>
            </w:tcBorders>
            <w:shd w:val="clear" w:color="auto" w:fill="auto"/>
            <w:noWrap/>
            <w:vAlign w:val="center"/>
            <w:hideMark/>
          </w:tcPr>
          <w:p w14:paraId="5AB19DB8" w14:textId="77777777" w:rsidR="00F848A1" w:rsidRPr="00362517" w:rsidRDefault="00F848A1" w:rsidP="00BF6BC7">
            <w:pPr>
              <w:keepNext/>
              <w:jc w:val="center"/>
            </w:pPr>
            <w:r w:rsidRPr="00362517">
              <w:t>4 over 8 years</w:t>
            </w:r>
          </w:p>
        </w:tc>
        <w:tc>
          <w:tcPr>
            <w:tcW w:w="1363" w:type="dxa"/>
            <w:vMerge w:val="restart"/>
            <w:tcBorders>
              <w:top w:val="double" w:sz="4" w:space="0" w:color="auto"/>
              <w:left w:val="single" w:sz="4" w:space="0" w:color="auto"/>
              <w:right w:val="double" w:sz="4" w:space="0" w:color="auto"/>
            </w:tcBorders>
            <w:shd w:val="clear" w:color="auto" w:fill="auto"/>
            <w:noWrap/>
            <w:vAlign w:val="center"/>
            <w:hideMark/>
          </w:tcPr>
          <w:p w14:paraId="5AB19DB9" w14:textId="6A817C8A" w:rsidR="00F848A1" w:rsidRPr="00362517" w:rsidRDefault="00F848A1" w:rsidP="00821A3E">
            <w:pPr>
              <w:keepNext/>
              <w:jc w:val="center"/>
            </w:pPr>
            <w:r w:rsidRPr="00362517">
              <w:t>1.</w:t>
            </w:r>
            <w:r w:rsidR="00821A3E">
              <w:t>4</w:t>
            </w:r>
          </w:p>
        </w:tc>
      </w:tr>
      <w:tr w:rsidR="00362517" w:rsidRPr="00362517" w14:paraId="5AB19DC0" w14:textId="77777777" w:rsidTr="0034043F">
        <w:trPr>
          <w:trHeight w:val="530"/>
        </w:trPr>
        <w:tc>
          <w:tcPr>
            <w:tcW w:w="3960"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5AB19DBB" w14:textId="77777777" w:rsidR="00F848A1" w:rsidRPr="00362517" w:rsidRDefault="00F848A1" w:rsidP="00BF6BC7">
            <w:pPr>
              <w:keepNext/>
            </w:pPr>
            <w:r w:rsidRPr="00362517">
              <w:t>Preventable Deaths per Year</w:t>
            </w:r>
          </w:p>
        </w:tc>
        <w:tc>
          <w:tcPr>
            <w:tcW w:w="1440" w:type="dxa"/>
            <w:tcBorders>
              <w:top w:val="single" w:sz="4" w:space="0" w:color="auto"/>
              <w:left w:val="single" w:sz="4" w:space="0" w:color="auto"/>
              <w:bottom w:val="double" w:sz="4" w:space="0" w:color="auto"/>
              <w:right w:val="nil"/>
            </w:tcBorders>
            <w:shd w:val="clear" w:color="auto" w:fill="auto"/>
            <w:noWrap/>
            <w:vAlign w:val="center"/>
            <w:hideMark/>
          </w:tcPr>
          <w:p w14:paraId="5AB19DBC" w14:textId="77777777" w:rsidR="00F848A1" w:rsidRPr="00362517" w:rsidRDefault="00F848A1" w:rsidP="00BF6BC7">
            <w:pPr>
              <w:keepNext/>
              <w:jc w:val="center"/>
            </w:pPr>
            <w:r w:rsidRPr="00362517">
              <w:t>0.50</w:t>
            </w:r>
          </w:p>
        </w:tc>
        <w:tc>
          <w:tcPr>
            <w:tcW w:w="1440" w:type="dxa"/>
            <w:tcBorders>
              <w:top w:val="single" w:sz="4" w:space="0" w:color="auto"/>
              <w:left w:val="nil"/>
              <w:bottom w:val="double" w:sz="4" w:space="0" w:color="auto"/>
              <w:right w:val="nil"/>
            </w:tcBorders>
            <w:shd w:val="clear" w:color="auto" w:fill="auto"/>
            <w:noWrap/>
            <w:vAlign w:val="center"/>
            <w:hideMark/>
          </w:tcPr>
          <w:p w14:paraId="5AB19DBD" w14:textId="0493B88A" w:rsidR="00F848A1" w:rsidRPr="00362517" w:rsidRDefault="00F848A1" w:rsidP="00821A3E">
            <w:pPr>
              <w:keepNext/>
              <w:jc w:val="center"/>
            </w:pPr>
            <w:r w:rsidRPr="00362517">
              <w:t>0.</w:t>
            </w:r>
            <w:r w:rsidR="00821A3E">
              <w:t>44</w:t>
            </w:r>
          </w:p>
        </w:tc>
        <w:tc>
          <w:tcPr>
            <w:tcW w:w="1440" w:type="dxa"/>
            <w:tcBorders>
              <w:top w:val="single" w:sz="4" w:space="0" w:color="auto"/>
              <w:left w:val="nil"/>
              <w:bottom w:val="double" w:sz="4" w:space="0" w:color="auto"/>
              <w:right w:val="single" w:sz="4" w:space="0" w:color="auto"/>
            </w:tcBorders>
            <w:shd w:val="clear" w:color="auto" w:fill="auto"/>
            <w:noWrap/>
            <w:vAlign w:val="center"/>
            <w:hideMark/>
          </w:tcPr>
          <w:p w14:paraId="5AB19DBE" w14:textId="77777777" w:rsidR="00F848A1" w:rsidRPr="00362517" w:rsidRDefault="00F848A1" w:rsidP="00BF6BC7">
            <w:pPr>
              <w:keepNext/>
              <w:jc w:val="center"/>
            </w:pPr>
            <w:r w:rsidRPr="00362517">
              <w:t>0.50</w:t>
            </w:r>
          </w:p>
        </w:tc>
        <w:tc>
          <w:tcPr>
            <w:tcW w:w="1363" w:type="dxa"/>
            <w:vMerge/>
            <w:tcBorders>
              <w:left w:val="single" w:sz="4" w:space="0" w:color="auto"/>
              <w:bottom w:val="double" w:sz="4" w:space="0" w:color="auto"/>
              <w:right w:val="double" w:sz="4" w:space="0" w:color="auto"/>
            </w:tcBorders>
            <w:shd w:val="clear" w:color="auto" w:fill="auto"/>
            <w:noWrap/>
            <w:vAlign w:val="center"/>
            <w:hideMark/>
          </w:tcPr>
          <w:p w14:paraId="5AB19DBF" w14:textId="77777777" w:rsidR="00F848A1" w:rsidRPr="00362517" w:rsidRDefault="00F848A1" w:rsidP="00BF6BC7">
            <w:pPr>
              <w:keepNext/>
              <w:jc w:val="center"/>
            </w:pPr>
          </w:p>
        </w:tc>
      </w:tr>
      <w:tr w:rsidR="00362517" w:rsidRPr="00362517" w14:paraId="5AB19DC2" w14:textId="77777777" w:rsidTr="0034043F">
        <w:trPr>
          <w:trHeight w:val="420"/>
        </w:trPr>
        <w:tc>
          <w:tcPr>
            <w:tcW w:w="9643" w:type="dxa"/>
            <w:gridSpan w:val="5"/>
            <w:tcBorders>
              <w:top w:val="double" w:sz="4" w:space="0" w:color="auto"/>
              <w:left w:val="double" w:sz="4" w:space="0" w:color="auto"/>
              <w:bottom w:val="single" w:sz="4" w:space="0" w:color="auto"/>
              <w:right w:val="double" w:sz="4" w:space="0" w:color="auto"/>
            </w:tcBorders>
            <w:shd w:val="clear" w:color="auto" w:fill="auto"/>
            <w:noWrap/>
            <w:vAlign w:val="center"/>
          </w:tcPr>
          <w:p w14:paraId="5AB19DC1" w14:textId="77777777" w:rsidR="00F848A1" w:rsidRPr="00362517" w:rsidRDefault="00F848A1" w:rsidP="00BF6BC7">
            <w:pPr>
              <w:keepNext/>
              <w:jc w:val="center"/>
            </w:pPr>
            <w:r w:rsidRPr="00362517">
              <w:t>Estimates from the maximum time range of 1999 – 2015</w:t>
            </w:r>
          </w:p>
        </w:tc>
      </w:tr>
      <w:tr w:rsidR="00362517" w:rsidRPr="00362517" w14:paraId="5AB19DC8" w14:textId="77777777" w:rsidTr="0034043F">
        <w:trPr>
          <w:trHeight w:val="789"/>
        </w:trPr>
        <w:tc>
          <w:tcPr>
            <w:tcW w:w="3960"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5AB19DC3" w14:textId="77777777" w:rsidR="00F848A1" w:rsidRPr="00362517" w:rsidRDefault="00F848A1" w:rsidP="00BF6BC7">
            <w:pPr>
              <w:keepNext/>
            </w:pPr>
            <w:r w:rsidRPr="00362517">
              <w:t>Unique Preventable Deaths</w:t>
            </w:r>
            <w:r w:rsidRPr="00362517">
              <w:rPr>
                <w:vertAlign w:val="superscript"/>
              </w:rPr>
              <w:t>2</w:t>
            </w:r>
            <w:r w:rsidRPr="00362517">
              <w:t xml:space="preserve"> </w:t>
            </w:r>
          </w:p>
        </w:tc>
        <w:tc>
          <w:tcPr>
            <w:tcW w:w="1440" w:type="dxa"/>
            <w:tcBorders>
              <w:top w:val="single" w:sz="4" w:space="0" w:color="auto"/>
              <w:left w:val="single" w:sz="4" w:space="0" w:color="auto"/>
              <w:bottom w:val="single" w:sz="4" w:space="0" w:color="auto"/>
              <w:right w:val="nil"/>
            </w:tcBorders>
            <w:shd w:val="clear" w:color="auto" w:fill="auto"/>
            <w:noWrap/>
            <w:vAlign w:val="center"/>
            <w:hideMark/>
          </w:tcPr>
          <w:p w14:paraId="5AB19DC4" w14:textId="77777777" w:rsidR="00F848A1" w:rsidRPr="00362517" w:rsidRDefault="00F848A1" w:rsidP="00BF6BC7">
            <w:pPr>
              <w:keepNext/>
              <w:jc w:val="center"/>
            </w:pPr>
            <w:r w:rsidRPr="00362517">
              <w:t>2 over 17 years</w:t>
            </w:r>
          </w:p>
        </w:tc>
        <w:tc>
          <w:tcPr>
            <w:tcW w:w="1440" w:type="dxa"/>
            <w:tcBorders>
              <w:top w:val="single" w:sz="4" w:space="0" w:color="auto"/>
              <w:left w:val="nil"/>
              <w:bottom w:val="single" w:sz="4" w:space="0" w:color="auto"/>
              <w:right w:val="nil"/>
            </w:tcBorders>
            <w:shd w:val="clear" w:color="auto" w:fill="auto"/>
            <w:noWrap/>
            <w:vAlign w:val="center"/>
            <w:hideMark/>
          </w:tcPr>
          <w:p w14:paraId="5AB19DC5" w14:textId="321B4A05" w:rsidR="00F848A1" w:rsidRPr="00362517" w:rsidRDefault="00821A3E" w:rsidP="00BF6BC7">
            <w:pPr>
              <w:keepNext/>
              <w:jc w:val="center"/>
            </w:pPr>
            <w:r>
              <w:t>6</w:t>
            </w:r>
            <w:r w:rsidRPr="00362517">
              <w:t xml:space="preserve"> </w:t>
            </w:r>
            <w:r w:rsidR="00F848A1" w:rsidRPr="00362517">
              <w:t>over 17 years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AB19DC6" w14:textId="77777777" w:rsidR="00F848A1" w:rsidRPr="00362517" w:rsidRDefault="00F848A1" w:rsidP="00BF6BC7">
            <w:pPr>
              <w:keepNext/>
              <w:jc w:val="center"/>
            </w:pPr>
            <w:r w:rsidRPr="00362517">
              <w:t>3 over 17 years</w:t>
            </w:r>
          </w:p>
        </w:tc>
        <w:tc>
          <w:tcPr>
            <w:tcW w:w="1363" w:type="dxa"/>
            <w:vMerge w:val="restart"/>
            <w:tcBorders>
              <w:top w:val="single" w:sz="4" w:space="0" w:color="auto"/>
              <w:left w:val="single" w:sz="4" w:space="0" w:color="auto"/>
              <w:right w:val="double" w:sz="4" w:space="0" w:color="auto"/>
            </w:tcBorders>
            <w:shd w:val="clear" w:color="auto" w:fill="auto"/>
            <w:noWrap/>
            <w:vAlign w:val="center"/>
            <w:hideMark/>
          </w:tcPr>
          <w:p w14:paraId="5AB19DC7" w14:textId="5BF36B05" w:rsidR="00F848A1" w:rsidRPr="00362517" w:rsidRDefault="00F848A1" w:rsidP="00821A3E">
            <w:pPr>
              <w:keepNext/>
              <w:jc w:val="center"/>
            </w:pPr>
            <w:r w:rsidRPr="00362517">
              <w:t>0.</w:t>
            </w:r>
            <w:r w:rsidR="00821A3E">
              <w:t>7</w:t>
            </w:r>
          </w:p>
        </w:tc>
      </w:tr>
      <w:tr w:rsidR="00362517" w:rsidRPr="00362517" w14:paraId="5AB19DCE" w14:textId="77777777" w:rsidTr="0034043F">
        <w:trPr>
          <w:trHeight w:val="539"/>
        </w:trPr>
        <w:tc>
          <w:tcPr>
            <w:tcW w:w="3960"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5AB19DC9" w14:textId="77777777" w:rsidR="00F848A1" w:rsidRPr="00362517" w:rsidRDefault="00F848A1" w:rsidP="00BF6BC7">
            <w:pPr>
              <w:keepNext/>
            </w:pPr>
            <w:r w:rsidRPr="00362517">
              <w:t>Preventable Deaths per Year</w:t>
            </w:r>
          </w:p>
        </w:tc>
        <w:tc>
          <w:tcPr>
            <w:tcW w:w="1440" w:type="dxa"/>
            <w:tcBorders>
              <w:top w:val="single" w:sz="4" w:space="0" w:color="auto"/>
              <w:left w:val="single" w:sz="4" w:space="0" w:color="auto"/>
              <w:bottom w:val="double" w:sz="4" w:space="0" w:color="auto"/>
              <w:right w:val="nil"/>
            </w:tcBorders>
            <w:shd w:val="clear" w:color="auto" w:fill="auto"/>
            <w:noWrap/>
            <w:vAlign w:val="center"/>
            <w:hideMark/>
          </w:tcPr>
          <w:p w14:paraId="5AB19DCA" w14:textId="77777777" w:rsidR="00F848A1" w:rsidRPr="00362517" w:rsidRDefault="00F848A1" w:rsidP="00BF6BC7">
            <w:pPr>
              <w:keepNext/>
              <w:jc w:val="center"/>
            </w:pPr>
            <w:r w:rsidRPr="00362517">
              <w:t>0.12</w:t>
            </w:r>
          </w:p>
        </w:tc>
        <w:tc>
          <w:tcPr>
            <w:tcW w:w="1440" w:type="dxa"/>
            <w:tcBorders>
              <w:top w:val="single" w:sz="4" w:space="0" w:color="auto"/>
              <w:left w:val="nil"/>
              <w:bottom w:val="double" w:sz="4" w:space="0" w:color="auto"/>
              <w:right w:val="nil"/>
            </w:tcBorders>
            <w:shd w:val="clear" w:color="auto" w:fill="auto"/>
            <w:noWrap/>
            <w:vAlign w:val="center"/>
            <w:hideMark/>
          </w:tcPr>
          <w:p w14:paraId="5AB19DCB" w14:textId="245D8A6A" w:rsidR="00F848A1" w:rsidRPr="00362517" w:rsidRDefault="00F848A1" w:rsidP="00821A3E">
            <w:pPr>
              <w:keepNext/>
              <w:jc w:val="center"/>
            </w:pPr>
            <w:r w:rsidRPr="00362517">
              <w:t>0.</w:t>
            </w:r>
            <w:r w:rsidR="00821A3E">
              <w:t>35</w:t>
            </w:r>
          </w:p>
        </w:tc>
        <w:tc>
          <w:tcPr>
            <w:tcW w:w="1440" w:type="dxa"/>
            <w:tcBorders>
              <w:top w:val="single" w:sz="4" w:space="0" w:color="auto"/>
              <w:left w:val="nil"/>
              <w:bottom w:val="double" w:sz="4" w:space="0" w:color="auto"/>
              <w:right w:val="single" w:sz="4" w:space="0" w:color="auto"/>
            </w:tcBorders>
            <w:shd w:val="clear" w:color="auto" w:fill="auto"/>
            <w:noWrap/>
            <w:vAlign w:val="center"/>
            <w:hideMark/>
          </w:tcPr>
          <w:p w14:paraId="5AB19DCC" w14:textId="77777777" w:rsidR="00F848A1" w:rsidRPr="00362517" w:rsidRDefault="00F848A1" w:rsidP="00BF6BC7">
            <w:pPr>
              <w:keepNext/>
              <w:jc w:val="center"/>
            </w:pPr>
            <w:r w:rsidRPr="00362517">
              <w:t>0.18</w:t>
            </w:r>
          </w:p>
        </w:tc>
        <w:tc>
          <w:tcPr>
            <w:tcW w:w="1363" w:type="dxa"/>
            <w:vMerge/>
            <w:tcBorders>
              <w:left w:val="single" w:sz="4" w:space="0" w:color="auto"/>
              <w:bottom w:val="double" w:sz="4" w:space="0" w:color="auto"/>
              <w:right w:val="double" w:sz="4" w:space="0" w:color="auto"/>
            </w:tcBorders>
            <w:shd w:val="clear" w:color="auto" w:fill="auto"/>
            <w:noWrap/>
            <w:vAlign w:val="center"/>
            <w:hideMark/>
          </w:tcPr>
          <w:p w14:paraId="5AB19DCD" w14:textId="77777777" w:rsidR="00F848A1" w:rsidRPr="00362517" w:rsidRDefault="00F848A1" w:rsidP="00BF6BC7">
            <w:pPr>
              <w:keepNext/>
              <w:jc w:val="center"/>
            </w:pPr>
          </w:p>
        </w:tc>
      </w:tr>
      <w:tr w:rsidR="00362517" w:rsidRPr="00362517" w14:paraId="5AB19DD0" w14:textId="77777777" w:rsidTr="0034043F">
        <w:trPr>
          <w:trHeight w:val="411"/>
        </w:trPr>
        <w:tc>
          <w:tcPr>
            <w:tcW w:w="9643" w:type="dxa"/>
            <w:gridSpan w:val="5"/>
            <w:tcBorders>
              <w:top w:val="double" w:sz="4" w:space="0" w:color="auto"/>
              <w:left w:val="double" w:sz="4" w:space="0" w:color="auto"/>
              <w:bottom w:val="single" w:sz="4" w:space="0" w:color="auto"/>
              <w:right w:val="double" w:sz="4" w:space="0" w:color="auto"/>
            </w:tcBorders>
            <w:shd w:val="clear" w:color="auto" w:fill="auto"/>
            <w:noWrap/>
            <w:vAlign w:val="center"/>
          </w:tcPr>
          <w:p w14:paraId="5AB19DCF" w14:textId="77777777" w:rsidR="00F848A1" w:rsidRPr="00362517" w:rsidRDefault="00F848A1" w:rsidP="00BF6BC7">
            <w:pPr>
              <w:keepNext/>
              <w:jc w:val="center"/>
            </w:pPr>
            <w:r w:rsidRPr="00362517">
              <w:t>Estimates using 2008 – 2011 only, for all three data sets</w:t>
            </w:r>
          </w:p>
        </w:tc>
      </w:tr>
      <w:tr w:rsidR="00362517" w:rsidRPr="00362517" w14:paraId="5AB19DD6" w14:textId="77777777" w:rsidTr="0034043F">
        <w:trPr>
          <w:trHeight w:val="711"/>
        </w:trPr>
        <w:tc>
          <w:tcPr>
            <w:tcW w:w="3960" w:type="dxa"/>
            <w:tcBorders>
              <w:top w:val="single" w:sz="4" w:space="0" w:color="auto"/>
              <w:left w:val="double" w:sz="4" w:space="0" w:color="auto"/>
              <w:bottom w:val="single" w:sz="4" w:space="0" w:color="auto"/>
              <w:right w:val="single" w:sz="4" w:space="0" w:color="auto"/>
            </w:tcBorders>
            <w:shd w:val="clear" w:color="auto" w:fill="auto"/>
            <w:noWrap/>
            <w:vAlign w:val="center"/>
          </w:tcPr>
          <w:p w14:paraId="5AB19DD1" w14:textId="77777777" w:rsidR="00F848A1" w:rsidRPr="00362517" w:rsidRDefault="00F848A1" w:rsidP="00BF6BC7">
            <w:pPr>
              <w:keepNext/>
            </w:pPr>
            <w:r w:rsidRPr="00362517">
              <w:t>Unique Preventable Deaths</w:t>
            </w:r>
          </w:p>
        </w:tc>
        <w:tc>
          <w:tcPr>
            <w:tcW w:w="1440" w:type="dxa"/>
            <w:tcBorders>
              <w:top w:val="single" w:sz="4" w:space="0" w:color="auto"/>
              <w:left w:val="single" w:sz="4" w:space="0" w:color="auto"/>
              <w:bottom w:val="single" w:sz="4" w:space="0" w:color="auto"/>
              <w:right w:val="nil"/>
            </w:tcBorders>
            <w:shd w:val="clear" w:color="auto" w:fill="auto"/>
            <w:noWrap/>
            <w:vAlign w:val="center"/>
          </w:tcPr>
          <w:p w14:paraId="5AB19DD2" w14:textId="77777777" w:rsidR="00F848A1" w:rsidRPr="00362517" w:rsidRDefault="00F848A1" w:rsidP="00BF6BC7">
            <w:pPr>
              <w:keepNext/>
              <w:jc w:val="center"/>
            </w:pPr>
            <w:r w:rsidRPr="00362517">
              <w:t>2 over 4 years</w:t>
            </w:r>
          </w:p>
        </w:tc>
        <w:tc>
          <w:tcPr>
            <w:tcW w:w="1440" w:type="dxa"/>
            <w:tcBorders>
              <w:top w:val="single" w:sz="4" w:space="0" w:color="auto"/>
              <w:left w:val="nil"/>
              <w:bottom w:val="single" w:sz="4" w:space="0" w:color="auto"/>
              <w:right w:val="nil"/>
            </w:tcBorders>
            <w:shd w:val="clear" w:color="auto" w:fill="auto"/>
            <w:noWrap/>
            <w:vAlign w:val="center"/>
          </w:tcPr>
          <w:p w14:paraId="5AB19DD3" w14:textId="3393D80E" w:rsidR="00F848A1" w:rsidRPr="00362517" w:rsidRDefault="00821A3E" w:rsidP="00BF6BC7">
            <w:pPr>
              <w:keepNext/>
              <w:jc w:val="center"/>
            </w:pPr>
            <w:r>
              <w:t>0</w:t>
            </w:r>
            <w:r w:rsidRPr="00362517">
              <w:t xml:space="preserve"> </w:t>
            </w:r>
            <w:r w:rsidR="00F848A1" w:rsidRPr="00362517">
              <w:t>over 4 years</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AB19DD4" w14:textId="77777777" w:rsidR="00F848A1" w:rsidRPr="00362517" w:rsidRDefault="00F848A1" w:rsidP="00BF6BC7">
            <w:pPr>
              <w:keepNext/>
              <w:jc w:val="center"/>
            </w:pPr>
            <w:r w:rsidRPr="00362517">
              <w:t>3 over 4 years</w:t>
            </w:r>
          </w:p>
        </w:tc>
        <w:tc>
          <w:tcPr>
            <w:tcW w:w="1363" w:type="dxa"/>
            <w:vMerge w:val="restart"/>
            <w:tcBorders>
              <w:top w:val="single" w:sz="4" w:space="0" w:color="auto"/>
              <w:left w:val="single" w:sz="4" w:space="0" w:color="auto"/>
              <w:right w:val="double" w:sz="4" w:space="0" w:color="auto"/>
            </w:tcBorders>
            <w:shd w:val="clear" w:color="auto" w:fill="auto"/>
            <w:noWrap/>
            <w:vAlign w:val="center"/>
          </w:tcPr>
          <w:p w14:paraId="5AB19DD5" w14:textId="49D458DE" w:rsidR="00F848A1" w:rsidRPr="00362517" w:rsidRDefault="00F848A1" w:rsidP="00821A3E">
            <w:pPr>
              <w:keepNext/>
              <w:jc w:val="center"/>
            </w:pPr>
            <w:r w:rsidRPr="00362517">
              <w:t>1.</w:t>
            </w:r>
            <w:r w:rsidR="00821A3E">
              <w:t>3</w:t>
            </w:r>
          </w:p>
        </w:tc>
      </w:tr>
      <w:tr w:rsidR="00362517" w:rsidRPr="00362517" w14:paraId="5AB19DDC" w14:textId="77777777" w:rsidTr="0034043F">
        <w:trPr>
          <w:trHeight w:val="611"/>
        </w:trPr>
        <w:tc>
          <w:tcPr>
            <w:tcW w:w="3960" w:type="dxa"/>
            <w:tcBorders>
              <w:top w:val="single" w:sz="4" w:space="0" w:color="auto"/>
              <w:left w:val="double" w:sz="4" w:space="0" w:color="auto"/>
              <w:bottom w:val="double" w:sz="4" w:space="0" w:color="auto"/>
              <w:right w:val="single" w:sz="4" w:space="0" w:color="auto"/>
            </w:tcBorders>
            <w:shd w:val="clear" w:color="auto" w:fill="auto"/>
            <w:noWrap/>
            <w:vAlign w:val="center"/>
          </w:tcPr>
          <w:p w14:paraId="5AB19DD7" w14:textId="77777777" w:rsidR="00F848A1" w:rsidRPr="00362517" w:rsidRDefault="00F848A1" w:rsidP="00BF6BC7">
            <w:pPr>
              <w:keepNext/>
            </w:pPr>
            <w:r w:rsidRPr="00362517">
              <w:t>Preventable Deaths per Year</w:t>
            </w:r>
          </w:p>
        </w:tc>
        <w:tc>
          <w:tcPr>
            <w:tcW w:w="1440" w:type="dxa"/>
            <w:tcBorders>
              <w:top w:val="single" w:sz="4" w:space="0" w:color="auto"/>
              <w:left w:val="single" w:sz="4" w:space="0" w:color="auto"/>
              <w:bottom w:val="double" w:sz="4" w:space="0" w:color="auto"/>
              <w:right w:val="nil"/>
            </w:tcBorders>
            <w:shd w:val="clear" w:color="auto" w:fill="auto"/>
            <w:noWrap/>
            <w:vAlign w:val="center"/>
          </w:tcPr>
          <w:p w14:paraId="5AB19DD8" w14:textId="77777777" w:rsidR="00F848A1" w:rsidRPr="00362517" w:rsidRDefault="00F848A1" w:rsidP="00BF6BC7">
            <w:pPr>
              <w:keepNext/>
              <w:jc w:val="center"/>
            </w:pPr>
            <w:r w:rsidRPr="00362517">
              <w:t>0.50</w:t>
            </w:r>
          </w:p>
        </w:tc>
        <w:tc>
          <w:tcPr>
            <w:tcW w:w="1440" w:type="dxa"/>
            <w:tcBorders>
              <w:top w:val="single" w:sz="4" w:space="0" w:color="auto"/>
              <w:left w:val="nil"/>
              <w:bottom w:val="double" w:sz="4" w:space="0" w:color="auto"/>
              <w:right w:val="nil"/>
            </w:tcBorders>
            <w:shd w:val="clear" w:color="auto" w:fill="auto"/>
            <w:noWrap/>
            <w:vAlign w:val="center"/>
          </w:tcPr>
          <w:p w14:paraId="5AB19DD9" w14:textId="726216EF" w:rsidR="00F848A1" w:rsidRPr="00362517" w:rsidRDefault="00F848A1" w:rsidP="00821A3E">
            <w:pPr>
              <w:keepNext/>
              <w:jc w:val="center"/>
            </w:pPr>
            <w:r w:rsidRPr="00362517">
              <w:t>0.</w:t>
            </w:r>
            <w:r w:rsidR="00821A3E">
              <w:t>0</w:t>
            </w:r>
          </w:p>
        </w:tc>
        <w:tc>
          <w:tcPr>
            <w:tcW w:w="1440" w:type="dxa"/>
            <w:tcBorders>
              <w:top w:val="single" w:sz="4" w:space="0" w:color="auto"/>
              <w:left w:val="nil"/>
              <w:bottom w:val="double" w:sz="4" w:space="0" w:color="auto"/>
              <w:right w:val="single" w:sz="4" w:space="0" w:color="auto"/>
            </w:tcBorders>
            <w:shd w:val="clear" w:color="auto" w:fill="auto"/>
            <w:noWrap/>
            <w:vAlign w:val="center"/>
          </w:tcPr>
          <w:p w14:paraId="5AB19DDA" w14:textId="77777777" w:rsidR="00F848A1" w:rsidRPr="00362517" w:rsidRDefault="00F848A1" w:rsidP="00BF6BC7">
            <w:pPr>
              <w:keepNext/>
              <w:jc w:val="center"/>
            </w:pPr>
            <w:r w:rsidRPr="00362517">
              <w:t>0.75</w:t>
            </w:r>
          </w:p>
        </w:tc>
        <w:tc>
          <w:tcPr>
            <w:tcW w:w="1363" w:type="dxa"/>
            <w:vMerge/>
            <w:tcBorders>
              <w:left w:val="single" w:sz="4" w:space="0" w:color="auto"/>
              <w:bottom w:val="double" w:sz="4" w:space="0" w:color="auto"/>
              <w:right w:val="double" w:sz="4" w:space="0" w:color="auto"/>
            </w:tcBorders>
            <w:shd w:val="clear" w:color="auto" w:fill="auto"/>
            <w:noWrap/>
          </w:tcPr>
          <w:p w14:paraId="5AB19DDB" w14:textId="77777777" w:rsidR="00F848A1" w:rsidRPr="00362517" w:rsidRDefault="00F848A1" w:rsidP="00BF6BC7">
            <w:pPr>
              <w:keepNext/>
              <w:jc w:val="center"/>
            </w:pPr>
          </w:p>
        </w:tc>
      </w:tr>
      <w:tr w:rsidR="00362517" w:rsidRPr="00362517" w14:paraId="5AB19DDE" w14:textId="77777777" w:rsidTr="0034043F">
        <w:trPr>
          <w:trHeight w:val="627"/>
        </w:trPr>
        <w:tc>
          <w:tcPr>
            <w:tcW w:w="9643" w:type="dxa"/>
            <w:gridSpan w:val="5"/>
            <w:tcBorders>
              <w:top w:val="double" w:sz="4" w:space="0" w:color="auto"/>
              <w:left w:val="double" w:sz="4" w:space="0" w:color="auto"/>
              <w:bottom w:val="single" w:sz="4" w:space="0" w:color="auto"/>
              <w:right w:val="double" w:sz="4" w:space="0" w:color="auto"/>
            </w:tcBorders>
            <w:shd w:val="clear" w:color="auto" w:fill="auto"/>
            <w:noWrap/>
            <w:vAlign w:val="center"/>
          </w:tcPr>
          <w:p w14:paraId="5AB19DDD" w14:textId="77777777" w:rsidR="00F848A1" w:rsidRPr="00362517" w:rsidRDefault="00F848A1" w:rsidP="00BF6BC7">
            <w:pPr>
              <w:keepNext/>
              <w:jc w:val="center"/>
            </w:pPr>
            <w:r w:rsidRPr="00362517">
              <w:t>Maximum Number of Years for Each Data Set, SENSOR-Pesticides not extrapolated to National Estimate</w:t>
            </w:r>
          </w:p>
        </w:tc>
      </w:tr>
      <w:tr w:rsidR="00362517" w:rsidRPr="00362517" w14:paraId="5AB19DE4" w14:textId="77777777" w:rsidTr="0034043F">
        <w:trPr>
          <w:trHeight w:val="627"/>
        </w:trPr>
        <w:tc>
          <w:tcPr>
            <w:tcW w:w="3960" w:type="dxa"/>
            <w:tcBorders>
              <w:top w:val="single" w:sz="4" w:space="0" w:color="auto"/>
              <w:left w:val="double" w:sz="4" w:space="0" w:color="auto"/>
              <w:bottom w:val="single" w:sz="4" w:space="0" w:color="auto"/>
              <w:right w:val="single" w:sz="4" w:space="0" w:color="auto"/>
            </w:tcBorders>
            <w:shd w:val="clear" w:color="auto" w:fill="auto"/>
            <w:noWrap/>
            <w:vAlign w:val="center"/>
          </w:tcPr>
          <w:p w14:paraId="5AB19DDF" w14:textId="77777777" w:rsidR="00F848A1" w:rsidRPr="00362517" w:rsidRDefault="00F848A1" w:rsidP="00BF6BC7">
            <w:pPr>
              <w:keepNext/>
            </w:pPr>
            <w:r w:rsidRPr="00362517">
              <w:t xml:space="preserve">Unique Preventable Deaths </w:t>
            </w:r>
          </w:p>
        </w:tc>
        <w:tc>
          <w:tcPr>
            <w:tcW w:w="1440" w:type="dxa"/>
            <w:tcBorders>
              <w:top w:val="single" w:sz="4" w:space="0" w:color="auto"/>
              <w:left w:val="single" w:sz="4" w:space="0" w:color="auto"/>
              <w:bottom w:val="single" w:sz="4" w:space="0" w:color="auto"/>
              <w:right w:val="nil"/>
            </w:tcBorders>
            <w:shd w:val="clear" w:color="auto" w:fill="auto"/>
            <w:noWrap/>
            <w:vAlign w:val="center"/>
          </w:tcPr>
          <w:p w14:paraId="5AB19DE0" w14:textId="77777777" w:rsidR="00F848A1" w:rsidRPr="00362517" w:rsidRDefault="00F848A1" w:rsidP="00BF6BC7">
            <w:pPr>
              <w:keepNext/>
              <w:jc w:val="center"/>
            </w:pPr>
            <w:r w:rsidRPr="00362517">
              <w:t>2 over 4 years</w:t>
            </w:r>
          </w:p>
        </w:tc>
        <w:tc>
          <w:tcPr>
            <w:tcW w:w="1440" w:type="dxa"/>
            <w:tcBorders>
              <w:top w:val="single" w:sz="4" w:space="0" w:color="auto"/>
              <w:left w:val="nil"/>
              <w:bottom w:val="single" w:sz="4" w:space="0" w:color="auto"/>
              <w:right w:val="nil"/>
            </w:tcBorders>
            <w:shd w:val="clear" w:color="auto" w:fill="auto"/>
            <w:noWrap/>
            <w:vAlign w:val="center"/>
          </w:tcPr>
          <w:p w14:paraId="5AB19DE1" w14:textId="3816CA4F" w:rsidR="00F848A1" w:rsidRPr="00362517" w:rsidRDefault="00821A3E" w:rsidP="00BF6BC7">
            <w:pPr>
              <w:keepNext/>
              <w:jc w:val="center"/>
            </w:pPr>
            <w:r>
              <w:t>6</w:t>
            </w:r>
            <w:r w:rsidRPr="00362517">
              <w:t xml:space="preserve"> </w:t>
            </w:r>
            <w:r w:rsidR="00F848A1" w:rsidRPr="00362517">
              <w:t>over 16 years</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AB19DE2" w14:textId="77777777" w:rsidR="00F848A1" w:rsidRPr="00362517" w:rsidRDefault="00F848A1" w:rsidP="00BF6BC7">
            <w:pPr>
              <w:keepNext/>
              <w:jc w:val="center"/>
            </w:pPr>
            <w:r w:rsidRPr="00362517">
              <w:t>3 over 8 years</w:t>
            </w:r>
          </w:p>
        </w:tc>
        <w:tc>
          <w:tcPr>
            <w:tcW w:w="1363" w:type="dxa"/>
            <w:vMerge w:val="restart"/>
            <w:tcBorders>
              <w:top w:val="single" w:sz="4" w:space="0" w:color="auto"/>
              <w:left w:val="single" w:sz="4" w:space="0" w:color="auto"/>
              <w:right w:val="double" w:sz="4" w:space="0" w:color="auto"/>
            </w:tcBorders>
            <w:shd w:val="clear" w:color="auto" w:fill="auto"/>
            <w:noWrap/>
            <w:vAlign w:val="center"/>
          </w:tcPr>
          <w:p w14:paraId="5AB19DE3" w14:textId="5D5BF95C" w:rsidR="00F848A1" w:rsidRPr="00362517" w:rsidRDefault="00F848A1" w:rsidP="00821A3E">
            <w:pPr>
              <w:keepNext/>
              <w:jc w:val="center"/>
            </w:pPr>
            <w:r w:rsidRPr="00362517">
              <w:t>1.</w:t>
            </w:r>
            <w:r w:rsidR="00821A3E">
              <w:t>3</w:t>
            </w:r>
          </w:p>
        </w:tc>
      </w:tr>
      <w:tr w:rsidR="00362517" w:rsidRPr="00362517" w14:paraId="5AB19DEA" w14:textId="77777777" w:rsidTr="0034043F">
        <w:trPr>
          <w:trHeight w:val="683"/>
        </w:trPr>
        <w:tc>
          <w:tcPr>
            <w:tcW w:w="3960" w:type="dxa"/>
            <w:tcBorders>
              <w:top w:val="single" w:sz="4" w:space="0" w:color="auto"/>
              <w:left w:val="double" w:sz="4" w:space="0" w:color="auto"/>
              <w:bottom w:val="double" w:sz="4" w:space="0" w:color="auto"/>
              <w:right w:val="single" w:sz="4" w:space="0" w:color="auto"/>
            </w:tcBorders>
            <w:shd w:val="clear" w:color="auto" w:fill="auto"/>
            <w:noWrap/>
            <w:vAlign w:val="center"/>
          </w:tcPr>
          <w:p w14:paraId="5AB19DE5" w14:textId="77777777" w:rsidR="00F848A1" w:rsidRPr="00362517" w:rsidRDefault="00F848A1" w:rsidP="00BF6BC7">
            <w:pPr>
              <w:keepNext/>
            </w:pPr>
            <w:r w:rsidRPr="00362517">
              <w:t>Preventable Deaths per Year</w:t>
            </w:r>
          </w:p>
        </w:tc>
        <w:tc>
          <w:tcPr>
            <w:tcW w:w="1440" w:type="dxa"/>
            <w:tcBorders>
              <w:top w:val="single" w:sz="4" w:space="0" w:color="auto"/>
              <w:left w:val="single" w:sz="4" w:space="0" w:color="auto"/>
              <w:bottom w:val="double" w:sz="4" w:space="0" w:color="auto"/>
              <w:right w:val="nil"/>
            </w:tcBorders>
            <w:shd w:val="clear" w:color="auto" w:fill="auto"/>
            <w:noWrap/>
            <w:vAlign w:val="center"/>
          </w:tcPr>
          <w:p w14:paraId="5AB19DE6" w14:textId="77777777" w:rsidR="00F848A1" w:rsidRPr="00362517" w:rsidRDefault="00F848A1" w:rsidP="00BF6BC7">
            <w:pPr>
              <w:keepNext/>
              <w:jc w:val="center"/>
            </w:pPr>
            <w:r w:rsidRPr="00362517">
              <w:t>0.50</w:t>
            </w:r>
          </w:p>
        </w:tc>
        <w:tc>
          <w:tcPr>
            <w:tcW w:w="1440" w:type="dxa"/>
            <w:tcBorders>
              <w:top w:val="single" w:sz="4" w:space="0" w:color="auto"/>
              <w:left w:val="nil"/>
              <w:bottom w:val="double" w:sz="4" w:space="0" w:color="auto"/>
              <w:right w:val="nil"/>
            </w:tcBorders>
            <w:shd w:val="clear" w:color="auto" w:fill="auto"/>
            <w:noWrap/>
            <w:vAlign w:val="center"/>
          </w:tcPr>
          <w:p w14:paraId="5AB19DE7" w14:textId="2C7A3542" w:rsidR="00F848A1" w:rsidRPr="00362517" w:rsidRDefault="00F848A1" w:rsidP="00821A3E">
            <w:pPr>
              <w:keepNext/>
              <w:jc w:val="center"/>
            </w:pPr>
            <w:r w:rsidRPr="00362517">
              <w:t>0.</w:t>
            </w:r>
            <w:r w:rsidR="00821A3E">
              <w:t>38</w:t>
            </w:r>
          </w:p>
        </w:tc>
        <w:tc>
          <w:tcPr>
            <w:tcW w:w="1440" w:type="dxa"/>
            <w:tcBorders>
              <w:top w:val="single" w:sz="4" w:space="0" w:color="auto"/>
              <w:left w:val="nil"/>
              <w:bottom w:val="double" w:sz="4" w:space="0" w:color="auto"/>
              <w:right w:val="single" w:sz="4" w:space="0" w:color="auto"/>
            </w:tcBorders>
            <w:shd w:val="clear" w:color="auto" w:fill="auto"/>
            <w:noWrap/>
            <w:vAlign w:val="center"/>
          </w:tcPr>
          <w:p w14:paraId="5AB19DE8" w14:textId="77777777" w:rsidR="00F848A1" w:rsidRPr="00362517" w:rsidRDefault="00F848A1" w:rsidP="00BF6BC7">
            <w:pPr>
              <w:keepNext/>
              <w:jc w:val="center"/>
            </w:pPr>
            <w:r w:rsidRPr="00362517">
              <w:t>0.38</w:t>
            </w:r>
          </w:p>
        </w:tc>
        <w:tc>
          <w:tcPr>
            <w:tcW w:w="1363" w:type="dxa"/>
            <w:vMerge/>
            <w:tcBorders>
              <w:left w:val="single" w:sz="4" w:space="0" w:color="auto"/>
              <w:bottom w:val="double" w:sz="4" w:space="0" w:color="auto"/>
              <w:right w:val="double" w:sz="4" w:space="0" w:color="auto"/>
            </w:tcBorders>
            <w:shd w:val="clear" w:color="auto" w:fill="auto"/>
            <w:noWrap/>
            <w:vAlign w:val="center"/>
          </w:tcPr>
          <w:p w14:paraId="5AB19DE9" w14:textId="77777777" w:rsidR="00F848A1" w:rsidRPr="00362517" w:rsidRDefault="00F848A1" w:rsidP="00BF6BC7">
            <w:pPr>
              <w:keepNext/>
              <w:jc w:val="center"/>
            </w:pPr>
          </w:p>
        </w:tc>
      </w:tr>
      <w:tr w:rsidR="00362517" w:rsidRPr="00362517" w14:paraId="5AB19DEC" w14:textId="77777777" w:rsidTr="0034043F">
        <w:trPr>
          <w:trHeight w:val="546"/>
        </w:trPr>
        <w:tc>
          <w:tcPr>
            <w:tcW w:w="9643" w:type="dxa"/>
            <w:gridSpan w:val="5"/>
            <w:tcBorders>
              <w:top w:val="double" w:sz="4" w:space="0" w:color="auto"/>
              <w:left w:val="double" w:sz="4" w:space="0" w:color="auto"/>
              <w:bottom w:val="single" w:sz="4" w:space="0" w:color="auto"/>
              <w:right w:val="double" w:sz="4" w:space="0" w:color="auto"/>
            </w:tcBorders>
            <w:shd w:val="clear" w:color="auto" w:fill="auto"/>
            <w:noWrap/>
            <w:vAlign w:val="center"/>
          </w:tcPr>
          <w:p w14:paraId="5AB19DEB" w14:textId="77777777" w:rsidR="00F848A1" w:rsidRPr="00362517" w:rsidRDefault="00F848A1" w:rsidP="00BF6BC7">
            <w:pPr>
              <w:keepNext/>
              <w:jc w:val="center"/>
            </w:pPr>
            <w:r w:rsidRPr="00362517">
              <w:t>Maximum Number of Years for Each Data Set, Using SENSOR-Pesticides estimates from Table 4.4-4</w:t>
            </w:r>
          </w:p>
        </w:tc>
      </w:tr>
      <w:tr w:rsidR="00362517" w:rsidRPr="00362517" w14:paraId="5AB19DF2" w14:textId="77777777" w:rsidTr="0034043F">
        <w:trPr>
          <w:trHeight w:val="798"/>
        </w:trPr>
        <w:tc>
          <w:tcPr>
            <w:tcW w:w="3960"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5AB19DED" w14:textId="77777777" w:rsidR="00F848A1" w:rsidRPr="00362517" w:rsidRDefault="00F848A1" w:rsidP="00BF6BC7">
            <w:pPr>
              <w:keepNext/>
            </w:pPr>
            <w:r w:rsidRPr="00362517">
              <w:t>Unique Preventable Deaths</w:t>
            </w:r>
          </w:p>
        </w:tc>
        <w:tc>
          <w:tcPr>
            <w:tcW w:w="1440" w:type="dxa"/>
            <w:tcBorders>
              <w:top w:val="single" w:sz="4" w:space="0" w:color="auto"/>
              <w:left w:val="single" w:sz="4" w:space="0" w:color="auto"/>
              <w:bottom w:val="single" w:sz="4" w:space="0" w:color="auto"/>
              <w:right w:val="nil"/>
            </w:tcBorders>
            <w:shd w:val="clear" w:color="auto" w:fill="auto"/>
            <w:noWrap/>
            <w:vAlign w:val="center"/>
            <w:hideMark/>
          </w:tcPr>
          <w:p w14:paraId="5AB19DEE" w14:textId="77777777" w:rsidR="00F848A1" w:rsidRPr="00362517" w:rsidRDefault="00F848A1" w:rsidP="00BF6BC7">
            <w:pPr>
              <w:keepNext/>
              <w:jc w:val="center"/>
            </w:pPr>
            <w:r w:rsidRPr="00362517">
              <w:t>2 over 4 years</w:t>
            </w:r>
          </w:p>
        </w:tc>
        <w:tc>
          <w:tcPr>
            <w:tcW w:w="1440" w:type="dxa"/>
            <w:tcBorders>
              <w:top w:val="single" w:sz="4" w:space="0" w:color="auto"/>
              <w:left w:val="nil"/>
              <w:bottom w:val="single" w:sz="4" w:space="0" w:color="auto"/>
              <w:right w:val="nil"/>
            </w:tcBorders>
            <w:shd w:val="clear" w:color="auto" w:fill="auto"/>
            <w:noWrap/>
            <w:vAlign w:val="center"/>
            <w:hideMark/>
          </w:tcPr>
          <w:p w14:paraId="5AB19DEF" w14:textId="675A01F6" w:rsidR="00F848A1" w:rsidRPr="00362517" w:rsidRDefault="0081778C" w:rsidP="00BF6BC7">
            <w:pPr>
              <w:keepNext/>
              <w:jc w:val="center"/>
            </w:pPr>
            <w:r>
              <w:t>6</w:t>
            </w:r>
            <w:r w:rsidRPr="00362517">
              <w:t xml:space="preserve"> </w:t>
            </w:r>
            <w:r w:rsidR="00F848A1" w:rsidRPr="00362517">
              <w:t>over 16 years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AB19DF0" w14:textId="77777777" w:rsidR="00F848A1" w:rsidRPr="00362517" w:rsidRDefault="00F848A1" w:rsidP="00BF6BC7">
            <w:pPr>
              <w:keepNext/>
              <w:jc w:val="center"/>
            </w:pPr>
            <w:r w:rsidRPr="00362517">
              <w:t>3 over 8 years</w:t>
            </w:r>
          </w:p>
        </w:tc>
        <w:tc>
          <w:tcPr>
            <w:tcW w:w="1363" w:type="dxa"/>
            <w:vMerge w:val="restart"/>
            <w:tcBorders>
              <w:top w:val="single" w:sz="4" w:space="0" w:color="auto"/>
              <w:left w:val="single" w:sz="4" w:space="0" w:color="auto"/>
              <w:right w:val="double" w:sz="4" w:space="0" w:color="auto"/>
            </w:tcBorders>
            <w:shd w:val="clear" w:color="auto" w:fill="auto"/>
            <w:noWrap/>
            <w:vAlign w:val="center"/>
            <w:hideMark/>
          </w:tcPr>
          <w:p w14:paraId="5AB19DF1" w14:textId="371A4B61" w:rsidR="00F848A1" w:rsidRPr="00362517" w:rsidRDefault="00F848A1" w:rsidP="00821A3E">
            <w:pPr>
              <w:keepNext/>
              <w:jc w:val="center"/>
            </w:pPr>
            <w:r w:rsidRPr="00362517">
              <w:t>2.</w:t>
            </w:r>
            <w:r w:rsidR="00821A3E">
              <w:t>1</w:t>
            </w:r>
            <w:r w:rsidR="00821A3E" w:rsidRPr="00362517">
              <w:t xml:space="preserve"> </w:t>
            </w:r>
            <w:r w:rsidRPr="00362517">
              <w:t>- 2.</w:t>
            </w:r>
            <w:r w:rsidR="00821A3E">
              <w:t>4</w:t>
            </w:r>
          </w:p>
        </w:tc>
      </w:tr>
      <w:tr w:rsidR="00362517" w:rsidRPr="00362517" w14:paraId="5AB19DF8" w14:textId="77777777" w:rsidTr="0034043F">
        <w:trPr>
          <w:trHeight w:val="674"/>
        </w:trPr>
        <w:tc>
          <w:tcPr>
            <w:tcW w:w="3960"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5AB19DF3" w14:textId="77777777" w:rsidR="00F848A1" w:rsidRPr="00362517" w:rsidRDefault="00F848A1" w:rsidP="00BF6BC7">
            <w:pPr>
              <w:keepNext/>
            </w:pPr>
            <w:r w:rsidRPr="00362517">
              <w:t>Preventable Deaths per Year</w:t>
            </w:r>
          </w:p>
        </w:tc>
        <w:tc>
          <w:tcPr>
            <w:tcW w:w="1440" w:type="dxa"/>
            <w:tcBorders>
              <w:top w:val="single" w:sz="4" w:space="0" w:color="auto"/>
              <w:left w:val="single" w:sz="4" w:space="0" w:color="auto"/>
              <w:bottom w:val="double" w:sz="4" w:space="0" w:color="auto"/>
              <w:right w:val="nil"/>
            </w:tcBorders>
            <w:shd w:val="clear" w:color="auto" w:fill="auto"/>
            <w:noWrap/>
            <w:vAlign w:val="center"/>
            <w:hideMark/>
          </w:tcPr>
          <w:p w14:paraId="5AB19DF4" w14:textId="06CAA634" w:rsidR="00F848A1" w:rsidRPr="00362517" w:rsidRDefault="00F848A1" w:rsidP="00821A3E">
            <w:pPr>
              <w:keepNext/>
              <w:jc w:val="center"/>
            </w:pPr>
            <w:r w:rsidRPr="00362517">
              <w:t>1.3 - 1.</w:t>
            </w:r>
            <w:r w:rsidR="00821A3E">
              <w:t>6</w:t>
            </w:r>
          </w:p>
        </w:tc>
        <w:tc>
          <w:tcPr>
            <w:tcW w:w="1440" w:type="dxa"/>
            <w:tcBorders>
              <w:top w:val="single" w:sz="4" w:space="0" w:color="auto"/>
              <w:left w:val="nil"/>
              <w:bottom w:val="double" w:sz="4" w:space="0" w:color="auto"/>
              <w:right w:val="nil"/>
            </w:tcBorders>
            <w:shd w:val="clear" w:color="auto" w:fill="auto"/>
            <w:noWrap/>
            <w:vAlign w:val="center"/>
            <w:hideMark/>
          </w:tcPr>
          <w:p w14:paraId="5AB19DF5" w14:textId="2756DAD4" w:rsidR="00F848A1" w:rsidRPr="00362517" w:rsidRDefault="00F848A1" w:rsidP="00821A3E">
            <w:pPr>
              <w:keepNext/>
              <w:jc w:val="center"/>
            </w:pPr>
            <w:r w:rsidRPr="00362517">
              <w:t>0.</w:t>
            </w:r>
            <w:r w:rsidR="00821A3E">
              <w:t>38</w:t>
            </w:r>
          </w:p>
        </w:tc>
        <w:tc>
          <w:tcPr>
            <w:tcW w:w="1440" w:type="dxa"/>
            <w:tcBorders>
              <w:top w:val="single" w:sz="4" w:space="0" w:color="auto"/>
              <w:left w:val="nil"/>
              <w:bottom w:val="double" w:sz="4" w:space="0" w:color="auto"/>
              <w:right w:val="single" w:sz="4" w:space="0" w:color="auto"/>
            </w:tcBorders>
            <w:shd w:val="clear" w:color="auto" w:fill="auto"/>
            <w:noWrap/>
            <w:vAlign w:val="center"/>
            <w:hideMark/>
          </w:tcPr>
          <w:p w14:paraId="5AB19DF6" w14:textId="77777777" w:rsidR="00F848A1" w:rsidRPr="00362517" w:rsidRDefault="00F848A1" w:rsidP="00BF6BC7">
            <w:pPr>
              <w:keepNext/>
              <w:jc w:val="center"/>
            </w:pPr>
            <w:r w:rsidRPr="00362517">
              <w:t>0.38</w:t>
            </w:r>
          </w:p>
        </w:tc>
        <w:tc>
          <w:tcPr>
            <w:tcW w:w="1363" w:type="dxa"/>
            <w:vMerge/>
            <w:tcBorders>
              <w:left w:val="single" w:sz="4" w:space="0" w:color="auto"/>
              <w:right w:val="double" w:sz="4" w:space="0" w:color="auto"/>
            </w:tcBorders>
            <w:shd w:val="clear" w:color="auto" w:fill="auto"/>
            <w:noWrap/>
            <w:vAlign w:val="center"/>
            <w:hideMark/>
          </w:tcPr>
          <w:p w14:paraId="5AB19DF7" w14:textId="77777777" w:rsidR="00F848A1" w:rsidRPr="00362517" w:rsidRDefault="00F848A1" w:rsidP="00BF6BC7">
            <w:pPr>
              <w:keepNext/>
              <w:jc w:val="center"/>
            </w:pPr>
          </w:p>
        </w:tc>
      </w:tr>
      <w:tr w:rsidR="00F848A1" w:rsidRPr="00362517" w14:paraId="5AB19DFC" w14:textId="77777777" w:rsidTr="0034043F">
        <w:trPr>
          <w:trHeight w:val="528"/>
        </w:trPr>
        <w:tc>
          <w:tcPr>
            <w:tcW w:w="9643"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5AB19DF9" w14:textId="77777777" w:rsidR="00F848A1" w:rsidRPr="00362517" w:rsidRDefault="00F848A1" w:rsidP="00BF6BC7">
            <w:pPr>
              <w:keepNext/>
              <w:rPr>
                <w:sz w:val="20"/>
                <w:szCs w:val="20"/>
              </w:rPr>
            </w:pPr>
            <w:r w:rsidRPr="00362517">
              <w:rPr>
                <w:sz w:val="20"/>
                <w:szCs w:val="20"/>
                <w:vertAlign w:val="superscript"/>
              </w:rPr>
              <w:t>1</w:t>
            </w:r>
            <w:r w:rsidRPr="00362517">
              <w:rPr>
                <w:sz w:val="20"/>
                <w:szCs w:val="20"/>
              </w:rPr>
              <w:t>Total preventable deaths includes all death reports from that database that met EPA criteria; they were not adjusted to avoid double-counting of reports that were reported in multiple sources.</w:t>
            </w:r>
          </w:p>
          <w:p w14:paraId="5AB19DFA" w14:textId="77777777" w:rsidR="00F848A1" w:rsidRPr="00362517" w:rsidRDefault="00F848A1" w:rsidP="00BF6BC7">
            <w:pPr>
              <w:keepNext/>
              <w:rPr>
                <w:sz w:val="20"/>
                <w:szCs w:val="20"/>
              </w:rPr>
            </w:pPr>
            <w:r w:rsidRPr="00362517">
              <w:rPr>
                <w:sz w:val="20"/>
                <w:szCs w:val="20"/>
                <w:vertAlign w:val="superscript"/>
              </w:rPr>
              <w:t>2</w:t>
            </w:r>
            <w:r w:rsidRPr="00362517">
              <w:rPr>
                <w:sz w:val="20"/>
                <w:szCs w:val="20"/>
              </w:rPr>
              <w:t xml:space="preserve">Unique preventable deaths avoids double-counting, so that any incident reported in multiple sources is only counted one time.  </w:t>
            </w:r>
          </w:p>
          <w:p w14:paraId="5AB19DFB" w14:textId="77777777" w:rsidR="00F848A1" w:rsidRPr="00362517" w:rsidRDefault="00F848A1" w:rsidP="00BF6BC7">
            <w:pPr>
              <w:keepNext/>
            </w:pPr>
            <w:r w:rsidRPr="00362517">
              <w:rPr>
                <w:sz w:val="20"/>
                <w:szCs w:val="20"/>
              </w:rPr>
              <w:t>Source: EPA calculations from deaths reported in SENSOR-Pesticides, AAPCC annual reports, and the EPA Incident Data System.</w:t>
            </w:r>
          </w:p>
        </w:tc>
      </w:tr>
    </w:tbl>
    <w:p w14:paraId="5AB19DFD" w14:textId="77777777" w:rsidR="00F848A1" w:rsidRPr="00362517" w:rsidRDefault="00F848A1" w:rsidP="00BF6BC7">
      <w:pPr>
        <w:tabs>
          <w:tab w:val="left" w:pos="540"/>
          <w:tab w:val="left" w:pos="1080"/>
          <w:tab w:val="left" w:pos="1620"/>
          <w:tab w:val="left" w:pos="2160"/>
        </w:tabs>
      </w:pPr>
    </w:p>
    <w:p w14:paraId="5AB19DFE" w14:textId="5DBA792B" w:rsidR="00F848A1" w:rsidRPr="00362517" w:rsidRDefault="00F848A1" w:rsidP="00BF6BC7">
      <w:pPr>
        <w:tabs>
          <w:tab w:val="left" w:pos="540"/>
          <w:tab w:val="left" w:pos="1080"/>
          <w:tab w:val="left" w:pos="1620"/>
          <w:tab w:val="left" w:pos="2160"/>
        </w:tabs>
      </w:pPr>
      <w:r w:rsidRPr="00362517">
        <w:t>In addition to the preventable deaths in the three data sources, also shown in Table 4.4-5 is the total deaths from pesticides reported.  These number</w:t>
      </w:r>
      <w:r w:rsidR="000202F7" w:rsidRPr="00362517">
        <w:t>s</w:t>
      </w:r>
      <w:r w:rsidRPr="00362517">
        <w:t xml:space="preserve"> include all deaths that were reported from pesticide exposure, including non-RUP pesticides, intentional exposures, or other deaths that the final changes to the certification rule will not prevent.  </w:t>
      </w:r>
    </w:p>
    <w:p w14:paraId="5AB19DFF" w14:textId="77777777" w:rsidR="00F848A1" w:rsidRPr="00362517" w:rsidRDefault="00F848A1" w:rsidP="00BF6BC7">
      <w:pPr>
        <w:tabs>
          <w:tab w:val="left" w:pos="540"/>
          <w:tab w:val="left" w:pos="1080"/>
          <w:tab w:val="left" w:pos="1620"/>
          <w:tab w:val="left" w:pos="2160"/>
        </w:tabs>
      </w:pPr>
    </w:p>
    <w:p w14:paraId="5AB19E00" w14:textId="77777777" w:rsidR="00F848A1" w:rsidRPr="00362517" w:rsidRDefault="00F848A1" w:rsidP="00BF6BC7">
      <w:pPr>
        <w:pStyle w:val="Heading3"/>
        <w:keepNext w:val="0"/>
        <w:keepLines w:val="0"/>
        <w:numPr>
          <w:ilvl w:val="2"/>
          <w:numId w:val="23"/>
        </w:numPr>
        <w:spacing w:before="120"/>
      </w:pPr>
      <w:bookmarkStart w:id="346" w:name="_Toc468872115"/>
      <w:bookmarkStart w:id="347" w:name="_Toc330222348"/>
      <w:bookmarkStart w:id="348" w:name="_Toc347502743"/>
      <w:bookmarkStart w:id="349" w:name="_Toc377737887"/>
      <w:bookmarkStart w:id="350" w:name="_Toc393400051"/>
      <w:bookmarkStart w:id="351" w:name="_Toc395177748"/>
      <w:bookmarkStart w:id="352" w:name="_Toc410807826"/>
      <w:r w:rsidRPr="00362517">
        <w:t>Value of Avoided Incidents</w:t>
      </w:r>
      <w:bookmarkEnd w:id="346"/>
      <w:r w:rsidRPr="00362517">
        <w:t xml:space="preserve"> </w:t>
      </w:r>
      <w:bookmarkEnd w:id="347"/>
      <w:bookmarkEnd w:id="348"/>
      <w:bookmarkEnd w:id="349"/>
      <w:bookmarkEnd w:id="350"/>
      <w:bookmarkEnd w:id="351"/>
      <w:bookmarkEnd w:id="352"/>
    </w:p>
    <w:p w14:paraId="5AB19E01" w14:textId="77777777" w:rsidR="00F848A1" w:rsidRPr="00362517" w:rsidRDefault="00F848A1" w:rsidP="00BF6BC7">
      <w:pPr>
        <w:keepNext/>
      </w:pPr>
    </w:p>
    <w:p w14:paraId="5AB19E02" w14:textId="77777777" w:rsidR="00F848A1" w:rsidRPr="00362517" w:rsidRDefault="00F848A1" w:rsidP="00BF6BC7">
      <w:pPr>
        <w:keepNext/>
        <w:tabs>
          <w:tab w:val="left" w:pos="540"/>
          <w:tab w:val="left" w:pos="1080"/>
          <w:tab w:val="left" w:pos="1620"/>
          <w:tab w:val="left" w:pos="2160"/>
        </w:tabs>
      </w:pPr>
      <w:r w:rsidRPr="00362517">
        <w:t>As explained in Section 4.4.1, EPA estimates the value of avoided incidents in terms of the medical costs avoided, the productivity losses avoided, and the reduction in premature mortality.  The value of avoided incidents depends on the severity of the effect caused by the pesticide exposure.  People suffering from more severe effects are more likely to seek medical treatment.  More severe effects are more costly because they require more treatment, including hospitalization.  Further, a more severe effect is likely to result in a longer period of recovery during which the victim is unable to work or engage in other activities.  Finally, we need to estimate the probability that an acute incident will prove fatal in order to estimate the value of a reduction in premature mortality.</w:t>
      </w:r>
    </w:p>
    <w:p w14:paraId="5AB19E03" w14:textId="77777777" w:rsidR="00F848A1" w:rsidRPr="00362517" w:rsidRDefault="00F848A1" w:rsidP="00BF6BC7">
      <w:pPr>
        <w:keepNext/>
        <w:tabs>
          <w:tab w:val="left" w:pos="540"/>
          <w:tab w:val="left" w:pos="1080"/>
          <w:tab w:val="left" w:pos="1620"/>
          <w:tab w:val="left" w:pos="2160"/>
        </w:tabs>
      </w:pPr>
    </w:p>
    <w:p w14:paraId="5AB19E04" w14:textId="77777777" w:rsidR="00F848A1" w:rsidRPr="00362517" w:rsidRDefault="00F848A1" w:rsidP="00BF6BC7">
      <w:pPr>
        <w:keepNext/>
        <w:tabs>
          <w:tab w:val="left" w:pos="540"/>
          <w:tab w:val="left" w:pos="1080"/>
          <w:tab w:val="left" w:pos="1620"/>
          <w:tab w:val="left" w:pos="2160"/>
        </w:tabs>
      </w:pPr>
      <w:r w:rsidRPr="00362517">
        <w:t>In Table 4.</w:t>
      </w:r>
      <w:r w:rsidR="00373B6D" w:rsidRPr="00362517">
        <w:t>4</w:t>
      </w:r>
      <w:r w:rsidRPr="00362517">
        <w:t>-4, estimates of the number of cases that may be avoided as a result of the rule were presented and categorized by the level of severity.  The savings due to prevented cases are estimated here.  These costs include avoided outpatient physician visits and inpatient hospitalizations, lost productivity, and premature mortality.  For each severity level except “death,” expected medical costs are estimated, based on the probability that medical treatment is sought, and the cost of that treatment.  For each severity level except “death,” the value of lost productivity is estimated.  Valuing lost productivity is an attempt to value the time lost due to illness.  Work time is obviously lost, but lost leisure and household time is considered as well.  For each severity level, an average length of illness is multiplied by the value of time spent on work, household activities, and leisure.</w:t>
      </w:r>
    </w:p>
    <w:p w14:paraId="5AB19E05" w14:textId="77777777" w:rsidR="00F848A1" w:rsidRPr="00362517" w:rsidRDefault="00F848A1" w:rsidP="00BF6BC7">
      <w:pPr>
        <w:tabs>
          <w:tab w:val="left" w:pos="540"/>
          <w:tab w:val="left" w:pos="1080"/>
          <w:tab w:val="left" w:pos="1620"/>
          <w:tab w:val="left" w:pos="2160"/>
        </w:tabs>
      </w:pPr>
    </w:p>
    <w:p w14:paraId="5AB19E06" w14:textId="77777777" w:rsidR="00F848A1" w:rsidRPr="00362517" w:rsidRDefault="00F848A1" w:rsidP="00BF6BC7">
      <w:pPr>
        <w:tabs>
          <w:tab w:val="left" w:pos="540"/>
          <w:tab w:val="left" w:pos="1080"/>
          <w:tab w:val="left" w:pos="1620"/>
          <w:tab w:val="left" w:pos="2160"/>
        </w:tabs>
      </w:pPr>
      <w:r w:rsidRPr="00362517">
        <w:t>Therefore, EPA estimates two quantifiable sources of value from avoiding pesticide incidents given the severity of effects.  For fatal cases, the value of a reduction in premature mortality, is simply the value of a statistical life (VSL).  The VSL is an aggregated estimate of the value of a small reduction in the risk of death over a large group of people. VSL estimates are derived from aggregated estimates of individual values for small changes in mortality risks. For example, if 10,000 individuals are each willing to pay, $500 for a reduction in risk of 1/10,000, then the value of saving one statistical life equals $500 times 10,000 – or $5 million. Note that this does not mean that any identifiable life is valued at this amount, but rather that the aggregate value of reducing a collection of small individual risks is worth $5 million in this hypothetical case.  This analysis uses $9.91 million for the VSL (EPA 2016). This value is based on a distribution of values in 26 published estimates of VSL (EPA, 2010a), and then adjusted from the base value ($4.8 million in 1990 dollars) using the Consumer Price Index (EPA, 2010a).  Only the VSL is used for poisonings resulting in death, because any medical value is dwarfed by the value of life itself, and lost productivity is included in the VSL.</w:t>
      </w:r>
    </w:p>
    <w:p w14:paraId="5AB19E07" w14:textId="77777777" w:rsidR="00F848A1" w:rsidRPr="00362517" w:rsidRDefault="00F848A1" w:rsidP="00BF6BC7">
      <w:pPr>
        <w:tabs>
          <w:tab w:val="left" w:pos="540"/>
          <w:tab w:val="left" w:pos="1080"/>
          <w:tab w:val="left" w:pos="1620"/>
          <w:tab w:val="left" w:pos="2160"/>
        </w:tabs>
      </w:pPr>
    </w:p>
    <w:p w14:paraId="5AB19E08" w14:textId="77777777" w:rsidR="00F848A1" w:rsidRPr="00362517" w:rsidRDefault="00F848A1" w:rsidP="00BF6BC7">
      <w:pPr>
        <w:tabs>
          <w:tab w:val="left" w:pos="540"/>
          <w:tab w:val="left" w:pos="1080"/>
          <w:tab w:val="left" w:pos="1620"/>
          <w:tab w:val="left" w:pos="2160"/>
        </w:tabs>
      </w:pPr>
      <w:r w:rsidRPr="00362517">
        <w:t xml:space="preserve">For non-fatal cases, for each severity level </w:t>
      </w:r>
      <w:r w:rsidRPr="00362517">
        <w:rPr>
          <w:i/>
        </w:rPr>
        <w:t>i</w:t>
      </w:r>
      <w:r w:rsidRPr="00362517">
        <w:t>, the value of an avoided case is given by</w:t>
      </w:r>
    </w:p>
    <w:p w14:paraId="5AB19E09" w14:textId="77777777" w:rsidR="00F848A1" w:rsidRPr="00362517" w:rsidRDefault="00F848A1" w:rsidP="00BF6BC7">
      <w:pPr>
        <w:tabs>
          <w:tab w:val="left" w:pos="540"/>
          <w:tab w:val="left" w:pos="1080"/>
          <w:tab w:val="left" w:pos="1620"/>
          <w:tab w:val="left" w:pos="2160"/>
        </w:tabs>
      </w:pPr>
    </w:p>
    <w:p w14:paraId="5AB19E0A" w14:textId="77777777" w:rsidR="00F848A1" w:rsidRPr="00362517" w:rsidRDefault="007B6E49" w:rsidP="00BF6BC7">
      <w:pPr>
        <w:tabs>
          <w:tab w:val="left" w:pos="540"/>
          <w:tab w:val="left" w:pos="1080"/>
          <w:tab w:val="left" w:pos="1620"/>
          <w:tab w:val="left" w:pos="2160"/>
        </w:tabs>
      </w:pPr>
      <m:oMathPara>
        <m:oMath>
          <m:sSubSup>
            <m:sSubSupPr>
              <m:ctrlPr>
                <w:rPr>
                  <w:rFonts w:ascii="Cambria Math" w:hAnsi="Cambria Math"/>
                  <w:i/>
                </w:rPr>
              </m:ctrlPr>
            </m:sSubSupPr>
            <m:e>
              <m:r>
                <w:rPr>
                  <w:rFonts w:ascii="Cambria Math" w:hAnsi="Cambria Math"/>
                </w:rPr>
                <m:t>V</m:t>
              </m:r>
            </m:e>
            <m:sub>
              <m:r>
                <w:rPr>
                  <w:rFonts w:ascii="Cambria Math" w:hAnsi="Cambria Math"/>
                </w:rPr>
                <m:t>i</m:t>
              </m:r>
            </m:sub>
            <m:sup>
              <m:r>
                <w:rPr>
                  <w:rFonts w:ascii="Cambria Math" w:hAnsi="Cambria Math"/>
                </w:rPr>
                <m:t>Av</m:t>
              </m:r>
            </m:sup>
          </m:sSubSup>
          <m:r>
            <w:rPr>
              <w:rFonts w:ascii="Cambria Math" w:hAnsi="Cambria Math"/>
            </w:rPr>
            <m:t>=E[</m:t>
          </m:r>
          <m:sSub>
            <m:sSubPr>
              <m:ctrlPr>
                <w:rPr>
                  <w:rFonts w:ascii="Cambria Math" w:hAnsi="Cambria Math"/>
                  <w:i/>
                </w:rPr>
              </m:ctrlPr>
            </m:sSubPr>
            <m:e>
              <m:r>
                <w:rPr>
                  <w:rFonts w:ascii="Cambria Math" w:hAnsi="Cambria Math"/>
                </w:rPr>
                <m:t>MedCost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VPL</m:t>
              </m:r>
            </m:e>
            <m:sub>
              <m:r>
                <w:rPr>
                  <w:rFonts w:ascii="Cambria Math" w:hAnsi="Cambria Math"/>
                </w:rPr>
                <m:t>i</m:t>
              </m:r>
            </m:sub>
          </m:sSub>
        </m:oMath>
      </m:oMathPara>
    </w:p>
    <w:p w14:paraId="5AB19E0B" w14:textId="78E0A447" w:rsidR="00F848A1" w:rsidRPr="00362517" w:rsidRDefault="008D0436" w:rsidP="00BF6BC7">
      <w:pPr>
        <w:tabs>
          <w:tab w:val="left" w:pos="540"/>
          <w:tab w:val="left" w:pos="1080"/>
          <w:tab w:val="left" w:pos="1620"/>
          <w:tab w:val="left" w:pos="2160"/>
        </w:tabs>
      </w:pPr>
      <w:r w:rsidRPr="00362517">
        <w:tab/>
      </w:r>
    </w:p>
    <w:p w14:paraId="5AB19E0C" w14:textId="77777777" w:rsidR="00F848A1" w:rsidRPr="00362517" w:rsidRDefault="00F848A1" w:rsidP="00BF6BC7">
      <w:pPr>
        <w:tabs>
          <w:tab w:val="left" w:pos="540"/>
          <w:tab w:val="left" w:pos="1080"/>
          <w:tab w:val="left" w:pos="1620"/>
          <w:tab w:val="left" w:pos="2160"/>
        </w:tabs>
      </w:pPr>
      <w:r w:rsidRPr="00362517">
        <w:t xml:space="preserve">where </w:t>
      </w:r>
      <w:r w:rsidRPr="00362517">
        <w:rPr>
          <w:i/>
        </w:rPr>
        <w:t>V</w:t>
      </w:r>
      <w:r w:rsidRPr="00362517">
        <w:rPr>
          <w:i/>
          <w:vertAlign w:val="subscript"/>
        </w:rPr>
        <w:t>i</w:t>
      </w:r>
      <w:r w:rsidRPr="00362517">
        <w:rPr>
          <w:i/>
          <w:vertAlign w:val="superscript"/>
        </w:rPr>
        <w:t>Av</w:t>
      </w:r>
      <w:r w:rsidRPr="00362517">
        <w:t xml:space="preserve"> is the value of an avoided case, </w:t>
      </w:r>
      <w:r w:rsidRPr="00362517">
        <w:rPr>
          <w:i/>
        </w:rPr>
        <w:t>E[MedCost</w:t>
      </w:r>
      <w:r w:rsidRPr="00362517">
        <w:rPr>
          <w:i/>
          <w:vertAlign w:val="subscript"/>
        </w:rPr>
        <w:t>i</w:t>
      </w:r>
      <w:r w:rsidRPr="00362517">
        <w:t xml:space="preserve">] is the expected medical cost for the case, and </w:t>
      </w:r>
      <w:r w:rsidRPr="00362517">
        <w:rPr>
          <w:i/>
        </w:rPr>
        <w:t>VPL</w:t>
      </w:r>
      <w:r w:rsidRPr="00362517">
        <w:rPr>
          <w:i/>
          <w:vertAlign w:val="subscript"/>
        </w:rPr>
        <w:t>i</w:t>
      </w:r>
      <w:r w:rsidRPr="00362517">
        <w:t xml:space="preserve"> is the value of productivity lost as a result of the case.  We use the four severity levels described in the SENSOR-Pesticides database: Low Severity, Moderate Severity, High Severity, and Death.</w:t>
      </w:r>
    </w:p>
    <w:p w14:paraId="5AB19E0D" w14:textId="77777777" w:rsidR="00F848A1" w:rsidRPr="00362517" w:rsidRDefault="00F848A1" w:rsidP="00BF6BC7">
      <w:pPr>
        <w:tabs>
          <w:tab w:val="left" w:pos="540"/>
          <w:tab w:val="left" w:pos="1080"/>
          <w:tab w:val="left" w:pos="1620"/>
          <w:tab w:val="left" w:pos="2160"/>
        </w:tabs>
      </w:pPr>
    </w:p>
    <w:p w14:paraId="5AB19E0E" w14:textId="77777777" w:rsidR="00F848A1" w:rsidRPr="00362517" w:rsidRDefault="00F848A1" w:rsidP="00BF6BC7">
      <w:pPr>
        <w:tabs>
          <w:tab w:val="left" w:pos="540"/>
          <w:tab w:val="left" w:pos="1080"/>
          <w:tab w:val="left" w:pos="1620"/>
          <w:tab w:val="left" w:pos="2160"/>
        </w:tabs>
        <w:spacing w:before="120"/>
        <w:rPr>
          <w:i/>
        </w:rPr>
      </w:pPr>
      <w:r w:rsidRPr="00362517">
        <w:rPr>
          <w:i/>
        </w:rPr>
        <w:t>Direct Medical Costs</w:t>
      </w:r>
    </w:p>
    <w:p w14:paraId="5AB19E0F" w14:textId="77777777" w:rsidR="00F848A1" w:rsidRPr="00362517" w:rsidRDefault="00F848A1" w:rsidP="00BF6BC7">
      <w:pPr>
        <w:tabs>
          <w:tab w:val="left" w:pos="540"/>
          <w:tab w:val="left" w:pos="1080"/>
          <w:tab w:val="left" w:pos="1620"/>
          <w:tab w:val="left" w:pos="2160"/>
        </w:tabs>
      </w:pPr>
    </w:p>
    <w:p w14:paraId="5AB19E10" w14:textId="77777777" w:rsidR="00F848A1" w:rsidRPr="00362517" w:rsidRDefault="00F848A1" w:rsidP="00BF6BC7">
      <w:pPr>
        <w:tabs>
          <w:tab w:val="left" w:pos="540"/>
          <w:tab w:val="left" w:pos="1080"/>
          <w:tab w:val="left" w:pos="1620"/>
          <w:tab w:val="left" w:pos="2160"/>
        </w:tabs>
      </w:pPr>
      <w:r w:rsidRPr="00362517">
        <w:t>Expected medical cost is given by</w:t>
      </w:r>
    </w:p>
    <w:p w14:paraId="5AB19E11" w14:textId="77777777" w:rsidR="00F848A1" w:rsidRPr="00362517" w:rsidRDefault="00F848A1" w:rsidP="00BF6BC7">
      <w:pPr>
        <w:tabs>
          <w:tab w:val="left" w:pos="540"/>
          <w:tab w:val="left" w:pos="1080"/>
          <w:tab w:val="left" w:pos="1620"/>
          <w:tab w:val="left" w:pos="2160"/>
        </w:tabs>
      </w:pPr>
    </w:p>
    <w:p w14:paraId="5AB19E12" w14:textId="77777777" w:rsidR="00F848A1" w:rsidRPr="00362517" w:rsidRDefault="00F848A1" w:rsidP="00BF6BC7">
      <w:pPr>
        <w:tabs>
          <w:tab w:val="left" w:pos="540"/>
          <w:tab w:val="left" w:pos="1080"/>
          <w:tab w:val="left" w:pos="1620"/>
          <w:tab w:val="left" w:pos="2160"/>
        </w:tabs>
      </w:pPr>
      <m:oMathPara>
        <m:oMath>
          <m:r>
            <m:rPr>
              <m:sty m:val="p"/>
            </m:rPr>
            <w:rPr>
              <w:rFonts w:ascii="Cambria Math" w:hAnsi="Cambria Math"/>
            </w:rPr>
            <m:t>E</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MedCost</m:t>
                  </m:r>
                </m:e>
                <m:sub>
                  <m:r>
                    <w:rPr>
                      <w:rFonts w:ascii="Cambria Math" w:hAnsi="Cambria Math"/>
                    </w:rPr>
                    <m:t>i</m:t>
                  </m:r>
                </m:sub>
              </m:sSub>
            </m:e>
          </m:d>
          <m:r>
            <w:rPr>
              <w:rFonts w:ascii="Cambria Math" w:hAnsi="Cambria Math"/>
            </w:rPr>
            <m:t>=Prob</m:t>
          </m:r>
          <m:d>
            <m:dPr>
              <m:ctrlPr>
                <w:rPr>
                  <w:rFonts w:ascii="Cambria Math" w:hAnsi="Cambria Math"/>
                  <w:i/>
                </w:rPr>
              </m:ctrlPr>
            </m:dPr>
            <m:e>
              <m:r>
                <w:rPr>
                  <w:rFonts w:ascii="Cambria Math" w:hAnsi="Cambria Math"/>
                </w:rPr>
                <m:t>HCF</m:t>
              </m:r>
            </m:e>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OutPtnt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InPtnt</m:t>
              </m:r>
            </m:e>
            <m:sub>
              <m:r>
                <w:rPr>
                  <w:rFonts w:ascii="Cambria Math" w:hAnsi="Cambria Math"/>
                </w:rPr>
                <m:t>i</m:t>
              </m:r>
            </m:sub>
          </m:sSub>
          <m:r>
            <w:rPr>
              <w:rFonts w:ascii="Cambria Math" w:hAnsi="Cambria Math"/>
            </w:rPr>
            <m:t>]</m:t>
          </m:r>
        </m:oMath>
      </m:oMathPara>
    </w:p>
    <w:p w14:paraId="5AB19E13" w14:textId="77777777" w:rsidR="00F848A1" w:rsidRPr="00362517" w:rsidRDefault="00F848A1" w:rsidP="00BF6BC7">
      <w:pPr>
        <w:tabs>
          <w:tab w:val="left" w:pos="540"/>
          <w:tab w:val="left" w:pos="1080"/>
          <w:tab w:val="left" w:pos="1620"/>
          <w:tab w:val="left" w:pos="2160"/>
        </w:tabs>
      </w:pPr>
    </w:p>
    <w:p w14:paraId="5AB19E14" w14:textId="77777777" w:rsidR="00F848A1" w:rsidRPr="00362517" w:rsidRDefault="00F848A1" w:rsidP="00BF6BC7">
      <w:pPr>
        <w:tabs>
          <w:tab w:val="left" w:pos="540"/>
          <w:tab w:val="left" w:pos="1080"/>
          <w:tab w:val="left" w:pos="1620"/>
          <w:tab w:val="left" w:pos="2160"/>
        </w:tabs>
      </w:pPr>
      <w:r w:rsidRPr="00362517">
        <w:t xml:space="preserve">where </w:t>
      </w:r>
      <w:r w:rsidRPr="00362517">
        <w:rPr>
          <w:i/>
        </w:rPr>
        <w:t>Prob(HCF|i)</w:t>
      </w:r>
      <w:r w:rsidRPr="00362517">
        <w:t xml:space="preserve"> is the probability of visiting a health care facility, </w:t>
      </w:r>
      <w:r w:rsidRPr="00362517">
        <w:rPr>
          <w:i/>
        </w:rPr>
        <w:t>Outptnt</w:t>
      </w:r>
      <w:r w:rsidRPr="00362517">
        <w:t xml:space="preserve"> and </w:t>
      </w:r>
      <w:r w:rsidRPr="00362517">
        <w:rPr>
          <w:i/>
        </w:rPr>
        <w:t>InPtnt</w:t>
      </w:r>
      <w:r w:rsidRPr="00362517">
        <w:t xml:space="preserve"> are treatment costs, and </w:t>
      </w:r>
      <w:r w:rsidRPr="00362517">
        <w:rPr>
          <w:i/>
        </w:rPr>
        <w:t>i</w:t>
      </w:r>
      <w:r w:rsidRPr="00362517">
        <w:t xml:space="preserve"> indicates the level of severity of the effect.  </w:t>
      </w:r>
    </w:p>
    <w:p w14:paraId="5AB19E15" w14:textId="77777777" w:rsidR="00F848A1" w:rsidRPr="00362517" w:rsidRDefault="00F848A1" w:rsidP="00BF6BC7">
      <w:pPr>
        <w:tabs>
          <w:tab w:val="left" w:pos="540"/>
          <w:tab w:val="left" w:pos="1080"/>
          <w:tab w:val="left" w:pos="1620"/>
          <w:tab w:val="left" w:pos="2160"/>
        </w:tabs>
      </w:pPr>
    </w:p>
    <w:p w14:paraId="5AB19E16" w14:textId="4A15CADC" w:rsidR="00F848A1" w:rsidRPr="00362517" w:rsidRDefault="00F848A1" w:rsidP="00BF6BC7">
      <w:pPr>
        <w:tabs>
          <w:tab w:val="left" w:pos="540"/>
          <w:tab w:val="left" w:pos="1080"/>
          <w:tab w:val="left" w:pos="1620"/>
          <w:tab w:val="left" w:pos="2160"/>
        </w:tabs>
      </w:pPr>
      <w:r w:rsidRPr="00362517">
        <w:t xml:space="preserve">In order to determine the probability of visiting a health care facility for each severity level, we used the SENSOR-Pesticides information for those cases which deemed preventable or possibly preventable for 2008 - 2011.  The SENSOR-Pesticides data has a variable which indicates whether medical care was sought, and we included those cases that were treated at a physician’s office, an emergency room, or admitted to a hospital.  This information is not available for all </w:t>
      </w:r>
      <w:r w:rsidR="008D0436" w:rsidRPr="00362517">
        <w:t xml:space="preserve">247 </w:t>
      </w:r>
      <w:r w:rsidRPr="00362517">
        <w:t xml:space="preserve">observations from SENSOR-Pesticides shown in Table 4.4-3, but </w:t>
      </w:r>
      <w:r w:rsidR="00152C88" w:rsidRPr="00362517">
        <w:t xml:space="preserve">220 </w:t>
      </w:r>
      <w:r w:rsidRPr="00362517">
        <w:t xml:space="preserve">of the preventable or possibly preventable incidents have information on the type of care received, </w:t>
      </w:r>
      <w:r w:rsidR="008D0436" w:rsidRPr="00362517">
        <w:t>2</w:t>
      </w:r>
      <w:r w:rsidR="00152C88" w:rsidRPr="00362517">
        <w:t>18</w:t>
      </w:r>
      <w:r w:rsidR="008D0436" w:rsidRPr="00362517">
        <w:t xml:space="preserve"> </w:t>
      </w:r>
      <w:r w:rsidRPr="00362517">
        <w:t xml:space="preserve">of which were not fatalities.  Of these, </w:t>
      </w:r>
      <w:r w:rsidR="00D631A9" w:rsidRPr="00362517">
        <w:t xml:space="preserve">167 </w:t>
      </w:r>
      <w:r w:rsidRPr="00362517">
        <w:t xml:space="preserve">of the affected people sought medical through a doctor, emergency room or hospital.  Table 4.4-7 presents the number of cases that were seen at a health care facility, the total number of cases over these years, as well as each category’s percentage of the total by medical outcome (or severity level).  As our measure of the probability of treatment at a health care facility </w:t>
      </w:r>
      <w:r w:rsidRPr="00362517">
        <w:rPr>
          <w:i/>
        </w:rPr>
        <w:t>Prob(HCF|i)</w:t>
      </w:r>
      <w:r w:rsidRPr="00362517">
        <w:t xml:space="preserve">, we use the share of cases from that were treated at a health care facility, in the final column of Table 4.4-7.  It is not surprising that the share receiving medical care is so high, because to be included in the SENSOR-Pesticides database requires at least two reportable symptoms of pesticide exposure, and because the cases treated by medical professionals are more likely to be reported to SENSOR-Pesticides.  </w:t>
      </w:r>
    </w:p>
    <w:p w14:paraId="5AB19E17" w14:textId="77777777" w:rsidR="00F848A1" w:rsidRPr="00362517" w:rsidRDefault="00F848A1" w:rsidP="00BF6BC7">
      <w:pPr>
        <w:tabs>
          <w:tab w:val="left" w:pos="540"/>
          <w:tab w:val="left" w:pos="1080"/>
          <w:tab w:val="left" w:pos="1620"/>
          <w:tab w:val="left" w:pos="2160"/>
        </w:tabs>
      </w:pPr>
    </w:p>
    <w:p w14:paraId="5AB19E18" w14:textId="77777777" w:rsidR="00F848A1" w:rsidRPr="00362517" w:rsidRDefault="00F848A1" w:rsidP="00BF6BC7">
      <w:pPr>
        <w:tabs>
          <w:tab w:val="left" w:pos="540"/>
          <w:tab w:val="left" w:pos="1080"/>
          <w:tab w:val="left" w:pos="1620"/>
          <w:tab w:val="left" w:pos="2160"/>
        </w:tabs>
      </w:pPr>
    </w:p>
    <w:tbl>
      <w:tblPr>
        <w:tblW w:w="9363" w:type="dxa"/>
        <w:tblInd w:w="-23" w:type="dxa"/>
        <w:tblLook w:val="04A0" w:firstRow="1" w:lastRow="0" w:firstColumn="1" w:lastColumn="0" w:noHBand="0" w:noVBand="1"/>
      </w:tblPr>
      <w:tblGrid>
        <w:gridCol w:w="4950"/>
        <w:gridCol w:w="1620"/>
        <w:gridCol w:w="1350"/>
        <w:gridCol w:w="1443"/>
      </w:tblGrid>
      <w:tr w:rsidR="00362517" w:rsidRPr="00362517" w14:paraId="5AB19E1A" w14:textId="77777777" w:rsidTr="0034043F">
        <w:trPr>
          <w:trHeight w:val="675"/>
        </w:trPr>
        <w:tc>
          <w:tcPr>
            <w:tcW w:w="9363" w:type="dxa"/>
            <w:gridSpan w:val="4"/>
            <w:tcBorders>
              <w:top w:val="double" w:sz="6" w:space="0" w:color="auto"/>
              <w:left w:val="double" w:sz="6" w:space="0" w:color="auto"/>
              <w:bottom w:val="double" w:sz="6" w:space="0" w:color="auto"/>
              <w:right w:val="double" w:sz="6" w:space="0" w:color="000000"/>
            </w:tcBorders>
            <w:shd w:val="clear" w:color="auto" w:fill="auto"/>
            <w:vAlign w:val="center"/>
            <w:hideMark/>
          </w:tcPr>
          <w:p w14:paraId="5AB19E19" w14:textId="77777777" w:rsidR="00F848A1" w:rsidRPr="00362517" w:rsidRDefault="00F848A1" w:rsidP="00BF6BC7">
            <w:pPr>
              <w:keepNext/>
              <w:rPr>
                <w:b/>
                <w:bCs/>
              </w:rPr>
            </w:pPr>
            <w:r w:rsidRPr="00362517">
              <w:rPr>
                <w:b/>
                <w:bCs/>
              </w:rPr>
              <w:t>Table 4.4-7: Health Care Sought for Preventable Pesticide-Related Acute Exposures, SENSOR-Pesticides 2008-2011.</w:t>
            </w:r>
          </w:p>
        </w:tc>
      </w:tr>
      <w:tr w:rsidR="00362517" w:rsidRPr="00362517" w14:paraId="5AB19E1F" w14:textId="77777777" w:rsidTr="0034043F">
        <w:trPr>
          <w:trHeight w:val="1395"/>
        </w:trPr>
        <w:tc>
          <w:tcPr>
            <w:tcW w:w="4950" w:type="dxa"/>
            <w:tcBorders>
              <w:top w:val="nil"/>
              <w:left w:val="double" w:sz="6" w:space="0" w:color="auto"/>
              <w:bottom w:val="double" w:sz="6" w:space="0" w:color="auto"/>
              <w:right w:val="single" w:sz="8" w:space="0" w:color="auto"/>
            </w:tcBorders>
            <w:shd w:val="clear" w:color="auto" w:fill="auto"/>
            <w:noWrap/>
            <w:vAlign w:val="bottom"/>
            <w:hideMark/>
          </w:tcPr>
          <w:p w14:paraId="5AB19E1B" w14:textId="77777777" w:rsidR="00F848A1" w:rsidRPr="00362517" w:rsidRDefault="00F848A1" w:rsidP="00BF6BC7">
            <w:pPr>
              <w:keepNext/>
              <w:jc w:val="center"/>
              <w:rPr>
                <w:b/>
                <w:bCs/>
              </w:rPr>
            </w:pPr>
            <w:r w:rsidRPr="00362517">
              <w:rPr>
                <w:b/>
                <w:bCs/>
              </w:rPr>
              <w:t>Clinical Effect</w:t>
            </w:r>
          </w:p>
        </w:tc>
        <w:tc>
          <w:tcPr>
            <w:tcW w:w="1620" w:type="dxa"/>
            <w:tcBorders>
              <w:top w:val="nil"/>
              <w:left w:val="nil"/>
              <w:bottom w:val="double" w:sz="6" w:space="0" w:color="auto"/>
              <w:right w:val="single" w:sz="8" w:space="0" w:color="auto"/>
            </w:tcBorders>
            <w:shd w:val="clear" w:color="auto" w:fill="auto"/>
            <w:vAlign w:val="bottom"/>
            <w:hideMark/>
          </w:tcPr>
          <w:p w14:paraId="5AB19E1C" w14:textId="77777777" w:rsidR="00F848A1" w:rsidRPr="00362517" w:rsidRDefault="00F848A1" w:rsidP="00BF6BC7">
            <w:pPr>
              <w:keepNext/>
              <w:jc w:val="center"/>
              <w:rPr>
                <w:b/>
                <w:bCs/>
              </w:rPr>
            </w:pPr>
            <w:r w:rsidRPr="00362517">
              <w:rPr>
                <w:b/>
                <w:bCs/>
              </w:rPr>
              <w:t>Cases Seen at Health Care Facility</w:t>
            </w:r>
          </w:p>
        </w:tc>
        <w:tc>
          <w:tcPr>
            <w:tcW w:w="1350" w:type="dxa"/>
            <w:tcBorders>
              <w:top w:val="nil"/>
              <w:left w:val="nil"/>
              <w:bottom w:val="double" w:sz="6" w:space="0" w:color="auto"/>
              <w:right w:val="single" w:sz="8" w:space="0" w:color="auto"/>
            </w:tcBorders>
            <w:shd w:val="clear" w:color="auto" w:fill="auto"/>
            <w:vAlign w:val="bottom"/>
            <w:hideMark/>
          </w:tcPr>
          <w:p w14:paraId="5AB19E1D" w14:textId="77777777" w:rsidR="00F848A1" w:rsidRPr="00362517" w:rsidRDefault="00F848A1" w:rsidP="00BF6BC7">
            <w:pPr>
              <w:keepNext/>
              <w:jc w:val="center"/>
              <w:rPr>
                <w:b/>
                <w:bCs/>
              </w:rPr>
            </w:pPr>
            <w:r w:rsidRPr="00362517">
              <w:rPr>
                <w:b/>
                <w:bCs/>
              </w:rPr>
              <w:t>Total Cases</w:t>
            </w:r>
          </w:p>
        </w:tc>
        <w:tc>
          <w:tcPr>
            <w:tcW w:w="1443" w:type="dxa"/>
            <w:tcBorders>
              <w:top w:val="nil"/>
              <w:left w:val="nil"/>
              <w:bottom w:val="double" w:sz="6" w:space="0" w:color="auto"/>
              <w:right w:val="double" w:sz="6" w:space="0" w:color="auto"/>
            </w:tcBorders>
            <w:shd w:val="clear" w:color="auto" w:fill="auto"/>
            <w:vAlign w:val="bottom"/>
            <w:hideMark/>
          </w:tcPr>
          <w:p w14:paraId="5AB19E1E" w14:textId="77777777" w:rsidR="00F848A1" w:rsidRPr="00362517" w:rsidRDefault="00F848A1" w:rsidP="00BF6BC7">
            <w:pPr>
              <w:keepNext/>
              <w:jc w:val="center"/>
              <w:rPr>
                <w:b/>
                <w:bCs/>
              </w:rPr>
            </w:pPr>
            <w:r w:rsidRPr="00362517">
              <w:rPr>
                <w:b/>
                <w:bCs/>
              </w:rPr>
              <w:t>Share of Cases Seen at Health Care Facility</w:t>
            </w:r>
          </w:p>
        </w:tc>
      </w:tr>
      <w:tr w:rsidR="00362517" w:rsidRPr="00362517" w14:paraId="5AB19E24" w14:textId="77777777" w:rsidTr="0034043F">
        <w:trPr>
          <w:trHeight w:val="321"/>
        </w:trPr>
        <w:tc>
          <w:tcPr>
            <w:tcW w:w="4950" w:type="dxa"/>
            <w:tcBorders>
              <w:top w:val="nil"/>
              <w:left w:val="double" w:sz="6" w:space="0" w:color="auto"/>
              <w:bottom w:val="single" w:sz="8" w:space="0" w:color="auto"/>
              <w:right w:val="single" w:sz="8" w:space="0" w:color="auto"/>
            </w:tcBorders>
            <w:shd w:val="clear" w:color="auto" w:fill="auto"/>
            <w:noWrap/>
            <w:vAlign w:val="center"/>
            <w:hideMark/>
          </w:tcPr>
          <w:p w14:paraId="5AB19E20" w14:textId="77777777" w:rsidR="00F848A1" w:rsidRPr="00362517" w:rsidRDefault="00F848A1" w:rsidP="00BF6BC7">
            <w:pPr>
              <w:keepNext/>
            </w:pPr>
            <w:r w:rsidRPr="00362517">
              <w:t>Category S-4: Low severity illness or injury</w:t>
            </w:r>
          </w:p>
        </w:tc>
        <w:tc>
          <w:tcPr>
            <w:tcW w:w="1620" w:type="dxa"/>
            <w:tcBorders>
              <w:top w:val="nil"/>
              <w:left w:val="nil"/>
              <w:bottom w:val="single" w:sz="8" w:space="0" w:color="auto"/>
              <w:right w:val="single" w:sz="8" w:space="0" w:color="auto"/>
            </w:tcBorders>
            <w:shd w:val="clear" w:color="auto" w:fill="auto"/>
            <w:noWrap/>
            <w:vAlign w:val="center"/>
            <w:hideMark/>
          </w:tcPr>
          <w:p w14:paraId="5AB19E21" w14:textId="606D8EF2" w:rsidR="00F848A1" w:rsidRPr="00362517" w:rsidRDefault="00F848A1" w:rsidP="00BF6BC7">
            <w:pPr>
              <w:keepNext/>
              <w:jc w:val="center"/>
            </w:pPr>
            <w:r w:rsidRPr="00362517">
              <w:t>11</w:t>
            </w:r>
            <w:r w:rsidR="008D0436" w:rsidRPr="00362517">
              <w:t>4</w:t>
            </w:r>
          </w:p>
        </w:tc>
        <w:tc>
          <w:tcPr>
            <w:tcW w:w="1350" w:type="dxa"/>
            <w:tcBorders>
              <w:top w:val="nil"/>
              <w:left w:val="nil"/>
              <w:bottom w:val="single" w:sz="8" w:space="0" w:color="auto"/>
              <w:right w:val="single" w:sz="8" w:space="0" w:color="auto"/>
            </w:tcBorders>
            <w:shd w:val="clear" w:color="auto" w:fill="auto"/>
            <w:vAlign w:val="center"/>
            <w:hideMark/>
          </w:tcPr>
          <w:p w14:paraId="5AB19E22" w14:textId="6611B3AD" w:rsidR="00F848A1" w:rsidRPr="00362517" w:rsidRDefault="00F848A1" w:rsidP="00BF6BC7">
            <w:pPr>
              <w:keepNext/>
              <w:jc w:val="center"/>
            </w:pPr>
            <w:r w:rsidRPr="00362517">
              <w:t>16</w:t>
            </w:r>
            <w:r w:rsidR="008D0436" w:rsidRPr="00362517">
              <w:t>2</w:t>
            </w:r>
          </w:p>
        </w:tc>
        <w:tc>
          <w:tcPr>
            <w:tcW w:w="1443" w:type="dxa"/>
            <w:tcBorders>
              <w:top w:val="nil"/>
              <w:left w:val="nil"/>
              <w:bottom w:val="single" w:sz="8" w:space="0" w:color="auto"/>
              <w:right w:val="double" w:sz="6" w:space="0" w:color="auto"/>
            </w:tcBorders>
            <w:shd w:val="clear" w:color="auto" w:fill="auto"/>
            <w:noWrap/>
            <w:vAlign w:val="center"/>
            <w:hideMark/>
          </w:tcPr>
          <w:p w14:paraId="5AB19E23" w14:textId="77777777" w:rsidR="00F848A1" w:rsidRPr="00362517" w:rsidRDefault="00F848A1" w:rsidP="00BF6BC7">
            <w:pPr>
              <w:keepNext/>
              <w:jc w:val="center"/>
            </w:pPr>
            <w:r w:rsidRPr="00362517">
              <w:t>70%</w:t>
            </w:r>
          </w:p>
        </w:tc>
      </w:tr>
      <w:tr w:rsidR="00362517" w:rsidRPr="00362517" w14:paraId="5AB19E29" w14:textId="77777777" w:rsidTr="0034043F">
        <w:trPr>
          <w:trHeight w:val="262"/>
        </w:trPr>
        <w:tc>
          <w:tcPr>
            <w:tcW w:w="4950" w:type="dxa"/>
            <w:tcBorders>
              <w:top w:val="nil"/>
              <w:left w:val="double" w:sz="6" w:space="0" w:color="auto"/>
              <w:bottom w:val="single" w:sz="8" w:space="0" w:color="auto"/>
              <w:right w:val="single" w:sz="8" w:space="0" w:color="auto"/>
            </w:tcBorders>
            <w:shd w:val="clear" w:color="auto" w:fill="auto"/>
            <w:noWrap/>
            <w:vAlign w:val="center"/>
            <w:hideMark/>
          </w:tcPr>
          <w:p w14:paraId="5AB19E25" w14:textId="77777777" w:rsidR="00F848A1" w:rsidRPr="00362517" w:rsidRDefault="00F848A1" w:rsidP="00BF6BC7">
            <w:pPr>
              <w:keepNext/>
            </w:pPr>
            <w:r w:rsidRPr="00362517">
              <w:t>Category S-3: Moderate severity illness or injury</w:t>
            </w:r>
          </w:p>
        </w:tc>
        <w:tc>
          <w:tcPr>
            <w:tcW w:w="1620" w:type="dxa"/>
            <w:tcBorders>
              <w:top w:val="nil"/>
              <w:left w:val="nil"/>
              <w:bottom w:val="single" w:sz="8" w:space="0" w:color="auto"/>
              <w:right w:val="single" w:sz="8" w:space="0" w:color="auto"/>
            </w:tcBorders>
            <w:shd w:val="clear" w:color="auto" w:fill="auto"/>
            <w:noWrap/>
            <w:vAlign w:val="center"/>
            <w:hideMark/>
          </w:tcPr>
          <w:p w14:paraId="5AB19E26" w14:textId="5026E4EA" w:rsidR="00F848A1" w:rsidRPr="00362517" w:rsidRDefault="008D0436" w:rsidP="00BF6BC7">
            <w:pPr>
              <w:keepNext/>
              <w:jc w:val="center"/>
            </w:pPr>
            <w:r w:rsidRPr="00362517">
              <w:t>48</w:t>
            </w:r>
          </w:p>
        </w:tc>
        <w:tc>
          <w:tcPr>
            <w:tcW w:w="1350" w:type="dxa"/>
            <w:tcBorders>
              <w:top w:val="nil"/>
              <w:left w:val="nil"/>
              <w:bottom w:val="single" w:sz="8" w:space="0" w:color="auto"/>
              <w:right w:val="single" w:sz="8" w:space="0" w:color="auto"/>
            </w:tcBorders>
            <w:shd w:val="clear" w:color="auto" w:fill="auto"/>
            <w:vAlign w:val="center"/>
            <w:hideMark/>
          </w:tcPr>
          <w:p w14:paraId="5AB19E27" w14:textId="7F28C284" w:rsidR="00F848A1" w:rsidRPr="00362517" w:rsidRDefault="00F848A1" w:rsidP="00BF6BC7">
            <w:pPr>
              <w:keepNext/>
              <w:jc w:val="center"/>
            </w:pPr>
            <w:r w:rsidRPr="00362517">
              <w:t>5</w:t>
            </w:r>
            <w:r w:rsidR="008D0436" w:rsidRPr="00362517">
              <w:t>0</w:t>
            </w:r>
          </w:p>
        </w:tc>
        <w:tc>
          <w:tcPr>
            <w:tcW w:w="1443" w:type="dxa"/>
            <w:tcBorders>
              <w:top w:val="nil"/>
              <w:left w:val="nil"/>
              <w:bottom w:val="single" w:sz="8" w:space="0" w:color="auto"/>
              <w:right w:val="double" w:sz="6" w:space="0" w:color="auto"/>
            </w:tcBorders>
            <w:shd w:val="clear" w:color="auto" w:fill="auto"/>
            <w:noWrap/>
            <w:vAlign w:val="center"/>
            <w:hideMark/>
          </w:tcPr>
          <w:p w14:paraId="5AB19E28" w14:textId="77777777" w:rsidR="00F848A1" w:rsidRPr="00362517" w:rsidRDefault="00F848A1" w:rsidP="00BF6BC7">
            <w:pPr>
              <w:keepNext/>
              <w:jc w:val="center"/>
            </w:pPr>
            <w:r w:rsidRPr="00362517">
              <w:t>96%</w:t>
            </w:r>
          </w:p>
        </w:tc>
      </w:tr>
      <w:tr w:rsidR="00362517" w:rsidRPr="00362517" w14:paraId="5AB19E2E" w14:textId="77777777" w:rsidTr="0034043F">
        <w:trPr>
          <w:trHeight w:val="262"/>
        </w:trPr>
        <w:tc>
          <w:tcPr>
            <w:tcW w:w="4950" w:type="dxa"/>
            <w:tcBorders>
              <w:top w:val="nil"/>
              <w:left w:val="double" w:sz="6" w:space="0" w:color="auto"/>
              <w:bottom w:val="single" w:sz="8" w:space="0" w:color="auto"/>
              <w:right w:val="single" w:sz="8" w:space="0" w:color="auto"/>
            </w:tcBorders>
            <w:shd w:val="clear" w:color="auto" w:fill="auto"/>
            <w:noWrap/>
            <w:vAlign w:val="center"/>
            <w:hideMark/>
          </w:tcPr>
          <w:p w14:paraId="5AB19E2A" w14:textId="77777777" w:rsidR="00F848A1" w:rsidRPr="00362517" w:rsidRDefault="00F848A1" w:rsidP="00BF6BC7">
            <w:pPr>
              <w:keepNext/>
            </w:pPr>
            <w:r w:rsidRPr="00362517">
              <w:t xml:space="preserve">Category S-2: High severity illness or injury </w:t>
            </w:r>
          </w:p>
        </w:tc>
        <w:tc>
          <w:tcPr>
            <w:tcW w:w="1620" w:type="dxa"/>
            <w:tcBorders>
              <w:top w:val="nil"/>
              <w:left w:val="nil"/>
              <w:bottom w:val="single" w:sz="8" w:space="0" w:color="auto"/>
              <w:right w:val="single" w:sz="8" w:space="0" w:color="auto"/>
            </w:tcBorders>
            <w:shd w:val="clear" w:color="auto" w:fill="auto"/>
            <w:noWrap/>
            <w:vAlign w:val="center"/>
            <w:hideMark/>
          </w:tcPr>
          <w:p w14:paraId="5AB19E2B" w14:textId="77777777" w:rsidR="00F848A1" w:rsidRPr="00362517" w:rsidRDefault="00F848A1" w:rsidP="00BF6BC7">
            <w:pPr>
              <w:keepNext/>
              <w:jc w:val="center"/>
            </w:pPr>
            <w:r w:rsidRPr="00362517">
              <w:t>5</w:t>
            </w:r>
          </w:p>
        </w:tc>
        <w:tc>
          <w:tcPr>
            <w:tcW w:w="1350" w:type="dxa"/>
            <w:tcBorders>
              <w:top w:val="nil"/>
              <w:left w:val="nil"/>
              <w:bottom w:val="single" w:sz="8" w:space="0" w:color="auto"/>
              <w:right w:val="single" w:sz="8" w:space="0" w:color="auto"/>
            </w:tcBorders>
            <w:shd w:val="clear" w:color="auto" w:fill="auto"/>
            <w:vAlign w:val="center"/>
            <w:hideMark/>
          </w:tcPr>
          <w:p w14:paraId="5AB19E2C" w14:textId="77777777" w:rsidR="00F848A1" w:rsidRPr="00362517" w:rsidRDefault="00F848A1" w:rsidP="00BF6BC7">
            <w:pPr>
              <w:keepNext/>
              <w:jc w:val="center"/>
            </w:pPr>
            <w:r w:rsidRPr="00362517">
              <w:t>6</w:t>
            </w:r>
          </w:p>
        </w:tc>
        <w:tc>
          <w:tcPr>
            <w:tcW w:w="1443" w:type="dxa"/>
            <w:tcBorders>
              <w:top w:val="nil"/>
              <w:left w:val="nil"/>
              <w:bottom w:val="single" w:sz="8" w:space="0" w:color="auto"/>
              <w:right w:val="double" w:sz="6" w:space="0" w:color="auto"/>
            </w:tcBorders>
            <w:shd w:val="clear" w:color="auto" w:fill="auto"/>
            <w:noWrap/>
            <w:vAlign w:val="center"/>
            <w:hideMark/>
          </w:tcPr>
          <w:p w14:paraId="5AB19E2D" w14:textId="77777777" w:rsidR="00F848A1" w:rsidRPr="00362517" w:rsidRDefault="00F848A1" w:rsidP="00BF6BC7">
            <w:pPr>
              <w:keepNext/>
              <w:jc w:val="center"/>
            </w:pPr>
            <w:r w:rsidRPr="00362517">
              <w:t>83%</w:t>
            </w:r>
          </w:p>
        </w:tc>
      </w:tr>
      <w:tr w:rsidR="00362517" w:rsidRPr="00362517" w14:paraId="5AB19E33" w14:textId="77777777" w:rsidTr="0034043F">
        <w:trPr>
          <w:trHeight w:val="262"/>
        </w:trPr>
        <w:tc>
          <w:tcPr>
            <w:tcW w:w="4950" w:type="dxa"/>
            <w:tcBorders>
              <w:top w:val="nil"/>
              <w:left w:val="double" w:sz="6" w:space="0" w:color="auto"/>
              <w:bottom w:val="single" w:sz="8" w:space="0" w:color="auto"/>
              <w:right w:val="single" w:sz="8" w:space="0" w:color="auto"/>
            </w:tcBorders>
            <w:shd w:val="clear" w:color="auto" w:fill="auto"/>
            <w:noWrap/>
            <w:vAlign w:val="center"/>
          </w:tcPr>
          <w:p w14:paraId="5AB19E2F" w14:textId="77777777" w:rsidR="00F848A1" w:rsidRPr="00362517" w:rsidRDefault="00F848A1" w:rsidP="00BF6BC7">
            <w:pPr>
              <w:keepNext/>
            </w:pPr>
            <w:r w:rsidRPr="00362517">
              <w:t>Total</w:t>
            </w:r>
          </w:p>
        </w:tc>
        <w:tc>
          <w:tcPr>
            <w:tcW w:w="1620" w:type="dxa"/>
            <w:tcBorders>
              <w:top w:val="nil"/>
              <w:left w:val="nil"/>
              <w:bottom w:val="single" w:sz="8" w:space="0" w:color="auto"/>
              <w:right w:val="single" w:sz="8" w:space="0" w:color="auto"/>
            </w:tcBorders>
            <w:shd w:val="clear" w:color="auto" w:fill="auto"/>
            <w:noWrap/>
            <w:vAlign w:val="center"/>
          </w:tcPr>
          <w:p w14:paraId="5AB19E30" w14:textId="59BB362A" w:rsidR="00F848A1" w:rsidRPr="00362517" w:rsidRDefault="00F848A1" w:rsidP="00BF6BC7">
            <w:pPr>
              <w:keepNext/>
              <w:jc w:val="center"/>
            </w:pPr>
            <w:r w:rsidRPr="00362517">
              <w:t>1</w:t>
            </w:r>
            <w:r w:rsidR="008D0436" w:rsidRPr="00362517">
              <w:t>67</w:t>
            </w:r>
          </w:p>
        </w:tc>
        <w:tc>
          <w:tcPr>
            <w:tcW w:w="1350" w:type="dxa"/>
            <w:tcBorders>
              <w:top w:val="nil"/>
              <w:left w:val="nil"/>
              <w:bottom w:val="single" w:sz="8" w:space="0" w:color="auto"/>
              <w:right w:val="single" w:sz="8" w:space="0" w:color="auto"/>
            </w:tcBorders>
            <w:shd w:val="clear" w:color="auto" w:fill="auto"/>
            <w:vAlign w:val="center"/>
          </w:tcPr>
          <w:p w14:paraId="5AB19E31" w14:textId="7E19DEF7" w:rsidR="00F848A1" w:rsidRPr="00362517" w:rsidRDefault="00F848A1" w:rsidP="00BF6BC7">
            <w:pPr>
              <w:keepNext/>
              <w:jc w:val="center"/>
            </w:pPr>
            <w:r w:rsidRPr="00362517">
              <w:t>2</w:t>
            </w:r>
            <w:r w:rsidR="008D0436" w:rsidRPr="00362517">
              <w:t>18</w:t>
            </w:r>
          </w:p>
        </w:tc>
        <w:tc>
          <w:tcPr>
            <w:tcW w:w="1443" w:type="dxa"/>
            <w:tcBorders>
              <w:top w:val="nil"/>
              <w:left w:val="nil"/>
              <w:bottom w:val="single" w:sz="8" w:space="0" w:color="auto"/>
              <w:right w:val="double" w:sz="6" w:space="0" w:color="auto"/>
            </w:tcBorders>
            <w:shd w:val="clear" w:color="auto" w:fill="auto"/>
            <w:noWrap/>
            <w:vAlign w:val="center"/>
          </w:tcPr>
          <w:p w14:paraId="5AB19E32" w14:textId="77777777" w:rsidR="00F848A1" w:rsidRPr="00362517" w:rsidRDefault="00F848A1" w:rsidP="00BF6BC7">
            <w:pPr>
              <w:keepNext/>
              <w:jc w:val="center"/>
            </w:pPr>
            <w:r w:rsidRPr="00362517">
              <w:t>77%</w:t>
            </w:r>
          </w:p>
        </w:tc>
      </w:tr>
      <w:tr w:rsidR="00362517" w:rsidRPr="00362517" w14:paraId="5AB19E35" w14:textId="77777777" w:rsidTr="0034043F">
        <w:trPr>
          <w:trHeight w:val="457"/>
        </w:trPr>
        <w:tc>
          <w:tcPr>
            <w:tcW w:w="9363" w:type="dxa"/>
            <w:gridSpan w:val="4"/>
            <w:tcBorders>
              <w:top w:val="single" w:sz="8" w:space="0" w:color="auto"/>
              <w:left w:val="double" w:sz="6" w:space="0" w:color="auto"/>
              <w:bottom w:val="double" w:sz="4" w:space="0" w:color="auto"/>
              <w:right w:val="double" w:sz="6" w:space="0" w:color="000000"/>
            </w:tcBorders>
            <w:shd w:val="clear" w:color="auto" w:fill="auto"/>
            <w:vAlign w:val="center"/>
            <w:hideMark/>
          </w:tcPr>
          <w:p w14:paraId="5AB19E34" w14:textId="418BB7A5" w:rsidR="00F848A1" w:rsidRPr="00362517" w:rsidRDefault="00F848A1" w:rsidP="00BF6BC7">
            <w:pPr>
              <w:keepNext/>
              <w:rPr>
                <w:sz w:val="20"/>
                <w:szCs w:val="20"/>
              </w:rPr>
            </w:pPr>
            <w:r w:rsidRPr="00362517">
              <w:rPr>
                <w:sz w:val="20"/>
                <w:szCs w:val="20"/>
              </w:rPr>
              <w:t xml:space="preserve">Source: SENSOR-Pesticides data, 2008– 2011.  Incidents from Category S-1, death, are not included, so the total number of preventable cases is </w:t>
            </w:r>
            <w:r w:rsidR="00D631A9" w:rsidRPr="00362517">
              <w:rPr>
                <w:sz w:val="20"/>
                <w:szCs w:val="20"/>
              </w:rPr>
              <w:t>218</w:t>
            </w:r>
            <w:r w:rsidRPr="00362517">
              <w:rPr>
                <w:sz w:val="20"/>
                <w:szCs w:val="20"/>
              </w:rPr>
              <w:t>.</w:t>
            </w:r>
          </w:p>
        </w:tc>
      </w:tr>
    </w:tbl>
    <w:p w14:paraId="5AB19E36" w14:textId="77777777" w:rsidR="00F848A1" w:rsidRPr="00362517" w:rsidRDefault="00F848A1" w:rsidP="00BF6BC7">
      <w:pPr>
        <w:tabs>
          <w:tab w:val="left" w:pos="540"/>
          <w:tab w:val="left" w:pos="1080"/>
          <w:tab w:val="left" w:pos="1620"/>
          <w:tab w:val="left" w:pos="2160"/>
        </w:tabs>
      </w:pPr>
    </w:p>
    <w:p w14:paraId="5AB19E37" w14:textId="77777777" w:rsidR="00F848A1" w:rsidRPr="00362517" w:rsidRDefault="00F848A1" w:rsidP="00BF6BC7">
      <w:pPr>
        <w:tabs>
          <w:tab w:val="left" w:pos="540"/>
          <w:tab w:val="left" w:pos="1080"/>
          <w:tab w:val="left" w:pos="1620"/>
          <w:tab w:val="left" w:pos="2160"/>
        </w:tabs>
      </w:pPr>
      <w:r w:rsidRPr="00362517">
        <w:t xml:space="preserve">Inpatient costs were obtained from the Healthcare Cost and Utilization Project (HCUP), specifically the cost for hospital stays from the HCUP 3 – Hospital Inpatient Statistics.  For Diagnosis Related Group 16.243 (poisoning by non-medical substances) the average charges reported by Clinical Classifications Software was $41,549 in 2013.   </w:t>
      </w:r>
    </w:p>
    <w:p w14:paraId="5AB19E38" w14:textId="77777777" w:rsidR="00F848A1" w:rsidRPr="00362517" w:rsidRDefault="00F848A1" w:rsidP="00BF6BC7">
      <w:pPr>
        <w:tabs>
          <w:tab w:val="left" w:pos="540"/>
          <w:tab w:val="left" w:pos="1080"/>
          <w:tab w:val="left" w:pos="1620"/>
          <w:tab w:val="left" w:pos="2160"/>
        </w:tabs>
      </w:pPr>
    </w:p>
    <w:p w14:paraId="5AB19E39" w14:textId="77777777" w:rsidR="00F848A1" w:rsidRPr="00362517" w:rsidRDefault="00F848A1" w:rsidP="00BF6BC7">
      <w:pPr>
        <w:tabs>
          <w:tab w:val="left" w:pos="540"/>
          <w:tab w:val="left" w:pos="1080"/>
          <w:tab w:val="left" w:pos="1620"/>
          <w:tab w:val="left" w:pos="2160"/>
        </w:tabs>
      </w:pPr>
      <w:r w:rsidRPr="00362517">
        <w:t>Outpatient unit costs were estimated using data from physician visit benchmark fees for evaluation and management costs by Healthcare Common Procedure Code (HCPC) Criteria (a Centers for Medicare &amp; Medicaid Services (CMS) classification system used for identifying medical services and procedures furnished by physicians and other health care professionals)</w:t>
      </w:r>
      <w:r w:rsidRPr="00362517">
        <w:rPr>
          <w:vertAlign w:val="superscript"/>
        </w:rPr>
        <w:footnoteReference w:id="12"/>
      </w:r>
      <w:r w:rsidRPr="00362517">
        <w:t xml:space="preserve">.  Evaluation and management costs are available for the level of service required for both new and established patients.  Outpatient unit costs are obtained for HCPC Criteria 99213, which describes a patient visit with an evaluation and management based on a focused problem.  The average medical facility charge for outpatient visits that fall into this HCPC category was $73.08 for patients with an existing relationship with a doctor and $108.18 for new patients in 2014.  Given an equal chance that the person exposed to a pesticide will have a doctor or not, the average cost of an outpatient visit is estimated to be $90.63.  That cost seems low, but the data reflects the maximum allowable reimbursement that Medicaid has authorized for those services.  This may be an underestimate, which would imply that the outpatient cost is underestimated, but there is no available data on additional treatment costs. </w:t>
      </w:r>
    </w:p>
    <w:p w14:paraId="5AB19E3A" w14:textId="77777777" w:rsidR="00F848A1" w:rsidRPr="00362517" w:rsidRDefault="00F848A1" w:rsidP="00BF6BC7">
      <w:pPr>
        <w:tabs>
          <w:tab w:val="left" w:pos="540"/>
          <w:tab w:val="left" w:pos="1080"/>
          <w:tab w:val="left" w:pos="1620"/>
          <w:tab w:val="left" w:pos="2160"/>
        </w:tabs>
      </w:pPr>
    </w:p>
    <w:p w14:paraId="5AB19E3B" w14:textId="77777777" w:rsidR="00F848A1" w:rsidRPr="00362517" w:rsidRDefault="00F848A1" w:rsidP="00BF6BC7">
      <w:pPr>
        <w:tabs>
          <w:tab w:val="left" w:pos="540"/>
          <w:tab w:val="left" w:pos="1080"/>
          <w:tab w:val="left" w:pos="1620"/>
          <w:tab w:val="left" w:pos="2160"/>
        </w:tabs>
      </w:pPr>
      <w:r w:rsidRPr="00362517">
        <w:t xml:space="preserve">Expected medical costs, based on the probability of visiting a health care facility and the cost of treatment, are shown in Table 4.4-8.  </w:t>
      </w:r>
    </w:p>
    <w:p w14:paraId="5AB19E3C" w14:textId="77777777" w:rsidR="00F848A1" w:rsidRPr="00362517" w:rsidRDefault="00F848A1" w:rsidP="00BF6BC7">
      <w:pPr>
        <w:tabs>
          <w:tab w:val="left" w:pos="540"/>
          <w:tab w:val="left" w:pos="1080"/>
          <w:tab w:val="left" w:pos="1620"/>
          <w:tab w:val="left" w:pos="2160"/>
        </w:tabs>
      </w:pPr>
    </w:p>
    <w:tbl>
      <w:tblPr>
        <w:tblW w:w="9270" w:type="dxa"/>
        <w:tblInd w:w="-23" w:type="dxa"/>
        <w:tblLayout w:type="fixed"/>
        <w:tblLook w:val="04A0" w:firstRow="1" w:lastRow="0" w:firstColumn="1" w:lastColumn="0" w:noHBand="0" w:noVBand="1"/>
      </w:tblPr>
      <w:tblGrid>
        <w:gridCol w:w="3510"/>
        <w:gridCol w:w="1530"/>
        <w:gridCol w:w="1350"/>
        <w:gridCol w:w="1530"/>
        <w:gridCol w:w="1350"/>
      </w:tblGrid>
      <w:tr w:rsidR="00362517" w:rsidRPr="00362517" w14:paraId="5AB19E3E" w14:textId="77777777" w:rsidTr="0034043F">
        <w:trPr>
          <w:trHeight w:val="306"/>
        </w:trPr>
        <w:tc>
          <w:tcPr>
            <w:tcW w:w="9270"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5AB19E3D" w14:textId="21833936" w:rsidR="00F848A1" w:rsidRPr="00362517" w:rsidRDefault="00F848A1" w:rsidP="00BF6BC7">
            <w:pPr>
              <w:keepNext/>
              <w:rPr>
                <w:b/>
                <w:bCs/>
              </w:rPr>
            </w:pPr>
            <w:r w:rsidRPr="00362517">
              <w:rPr>
                <w:b/>
                <w:bCs/>
              </w:rPr>
              <w:t>Table 4.4-8</w:t>
            </w:r>
            <w:r w:rsidR="00FF6C94">
              <w:rPr>
                <w:b/>
                <w:bCs/>
              </w:rPr>
              <w:t>:</w:t>
            </w:r>
            <w:r w:rsidRPr="00362517">
              <w:rPr>
                <w:b/>
                <w:bCs/>
              </w:rPr>
              <w:t xml:space="preserve">  Medical Cost by Severity of Effect</w:t>
            </w:r>
          </w:p>
        </w:tc>
      </w:tr>
      <w:tr w:rsidR="00362517" w:rsidRPr="00362517" w14:paraId="5AB19E44" w14:textId="77777777" w:rsidTr="0034043F">
        <w:trPr>
          <w:trHeight w:val="684"/>
        </w:trPr>
        <w:tc>
          <w:tcPr>
            <w:tcW w:w="3510" w:type="dxa"/>
            <w:tcBorders>
              <w:top w:val="nil"/>
              <w:left w:val="double" w:sz="6" w:space="0" w:color="auto"/>
              <w:bottom w:val="double" w:sz="6" w:space="0" w:color="auto"/>
              <w:right w:val="single" w:sz="8" w:space="0" w:color="auto"/>
            </w:tcBorders>
            <w:shd w:val="clear" w:color="auto" w:fill="auto"/>
            <w:vAlign w:val="bottom"/>
            <w:hideMark/>
          </w:tcPr>
          <w:p w14:paraId="5AB19E3F" w14:textId="77777777" w:rsidR="00F848A1" w:rsidRPr="00362517" w:rsidRDefault="00F848A1" w:rsidP="00BF6BC7">
            <w:pPr>
              <w:keepNext/>
              <w:jc w:val="center"/>
              <w:rPr>
                <w:b/>
                <w:bCs/>
              </w:rPr>
            </w:pPr>
            <w:r w:rsidRPr="00362517">
              <w:rPr>
                <w:b/>
                <w:bCs/>
              </w:rPr>
              <w:t>Clinical Effect</w:t>
            </w:r>
          </w:p>
        </w:tc>
        <w:tc>
          <w:tcPr>
            <w:tcW w:w="1530" w:type="dxa"/>
            <w:tcBorders>
              <w:top w:val="nil"/>
              <w:left w:val="nil"/>
              <w:bottom w:val="double" w:sz="6" w:space="0" w:color="auto"/>
              <w:right w:val="single" w:sz="8" w:space="0" w:color="auto"/>
            </w:tcBorders>
            <w:shd w:val="clear" w:color="auto" w:fill="auto"/>
            <w:vAlign w:val="bottom"/>
            <w:hideMark/>
          </w:tcPr>
          <w:p w14:paraId="5AB19E40" w14:textId="77777777" w:rsidR="00F848A1" w:rsidRPr="00362517" w:rsidRDefault="00F848A1" w:rsidP="00BF6BC7">
            <w:pPr>
              <w:keepNext/>
              <w:jc w:val="center"/>
              <w:rPr>
                <w:b/>
                <w:bCs/>
              </w:rPr>
            </w:pPr>
            <w:r w:rsidRPr="00362517">
              <w:rPr>
                <w:b/>
                <w:bCs/>
              </w:rPr>
              <w:t>Prob(HCF|</w:t>
            </w:r>
            <w:r w:rsidRPr="00362517">
              <w:rPr>
                <w:b/>
                <w:bCs/>
                <w:i/>
                <w:iCs/>
              </w:rPr>
              <w:t>i</w:t>
            </w:r>
            <w:r w:rsidRPr="00362517">
              <w:rPr>
                <w:b/>
                <w:bCs/>
              </w:rPr>
              <w:t>)</w:t>
            </w:r>
          </w:p>
        </w:tc>
        <w:tc>
          <w:tcPr>
            <w:tcW w:w="1350" w:type="dxa"/>
            <w:tcBorders>
              <w:top w:val="nil"/>
              <w:left w:val="nil"/>
              <w:bottom w:val="double" w:sz="6" w:space="0" w:color="auto"/>
              <w:right w:val="single" w:sz="8" w:space="0" w:color="auto"/>
            </w:tcBorders>
            <w:shd w:val="clear" w:color="auto" w:fill="auto"/>
            <w:vAlign w:val="bottom"/>
            <w:hideMark/>
          </w:tcPr>
          <w:p w14:paraId="5AB19E41" w14:textId="77777777" w:rsidR="00F848A1" w:rsidRPr="00362517" w:rsidRDefault="00F848A1" w:rsidP="00BF6BC7">
            <w:pPr>
              <w:keepNext/>
              <w:jc w:val="center"/>
              <w:rPr>
                <w:b/>
                <w:bCs/>
              </w:rPr>
            </w:pPr>
            <w:r w:rsidRPr="00362517">
              <w:rPr>
                <w:b/>
                <w:bCs/>
              </w:rPr>
              <w:t>Outpatient Cost</w:t>
            </w:r>
          </w:p>
        </w:tc>
        <w:tc>
          <w:tcPr>
            <w:tcW w:w="1530" w:type="dxa"/>
            <w:tcBorders>
              <w:top w:val="nil"/>
              <w:left w:val="nil"/>
              <w:bottom w:val="double" w:sz="6" w:space="0" w:color="auto"/>
              <w:right w:val="single" w:sz="8" w:space="0" w:color="auto"/>
            </w:tcBorders>
            <w:shd w:val="clear" w:color="auto" w:fill="auto"/>
            <w:vAlign w:val="bottom"/>
            <w:hideMark/>
          </w:tcPr>
          <w:p w14:paraId="5AB19E42" w14:textId="77777777" w:rsidR="00F848A1" w:rsidRPr="00362517" w:rsidRDefault="00F848A1" w:rsidP="00BF6BC7">
            <w:pPr>
              <w:keepNext/>
              <w:jc w:val="center"/>
              <w:rPr>
                <w:b/>
                <w:bCs/>
              </w:rPr>
            </w:pPr>
            <w:r w:rsidRPr="00362517">
              <w:rPr>
                <w:b/>
                <w:bCs/>
              </w:rPr>
              <w:t>Inpatient Cost</w:t>
            </w:r>
          </w:p>
        </w:tc>
        <w:tc>
          <w:tcPr>
            <w:tcW w:w="1350" w:type="dxa"/>
            <w:tcBorders>
              <w:top w:val="nil"/>
              <w:left w:val="nil"/>
              <w:bottom w:val="double" w:sz="6" w:space="0" w:color="auto"/>
              <w:right w:val="double" w:sz="6" w:space="0" w:color="auto"/>
            </w:tcBorders>
            <w:shd w:val="clear" w:color="auto" w:fill="auto"/>
            <w:vAlign w:val="bottom"/>
            <w:hideMark/>
          </w:tcPr>
          <w:p w14:paraId="5AB19E43" w14:textId="77777777" w:rsidR="00F848A1" w:rsidRPr="00362517" w:rsidRDefault="00F848A1" w:rsidP="00BF6BC7">
            <w:pPr>
              <w:keepNext/>
              <w:jc w:val="center"/>
              <w:rPr>
                <w:b/>
                <w:bCs/>
              </w:rPr>
            </w:pPr>
            <w:r w:rsidRPr="00362517">
              <w:rPr>
                <w:b/>
                <w:bCs/>
              </w:rPr>
              <w:t>Expected Medical Cost</w:t>
            </w:r>
            <w:r w:rsidRPr="00362517">
              <w:rPr>
                <w:b/>
                <w:bCs/>
                <w:vertAlign w:val="superscript"/>
              </w:rPr>
              <w:t xml:space="preserve"> 1</w:t>
            </w:r>
          </w:p>
        </w:tc>
      </w:tr>
      <w:tr w:rsidR="00362517" w:rsidRPr="00362517" w14:paraId="5AB19E4A" w14:textId="77777777" w:rsidTr="0034043F">
        <w:trPr>
          <w:trHeight w:val="576"/>
        </w:trPr>
        <w:tc>
          <w:tcPr>
            <w:tcW w:w="3510" w:type="dxa"/>
            <w:tcBorders>
              <w:top w:val="nil"/>
              <w:left w:val="double" w:sz="6" w:space="0" w:color="auto"/>
              <w:bottom w:val="single" w:sz="8" w:space="0" w:color="auto"/>
              <w:right w:val="single" w:sz="8" w:space="0" w:color="auto"/>
            </w:tcBorders>
            <w:shd w:val="clear" w:color="auto" w:fill="auto"/>
            <w:noWrap/>
            <w:vAlign w:val="center"/>
            <w:hideMark/>
          </w:tcPr>
          <w:p w14:paraId="5AB19E45" w14:textId="77777777" w:rsidR="00F848A1" w:rsidRPr="00362517" w:rsidRDefault="00F848A1" w:rsidP="00BF6BC7">
            <w:pPr>
              <w:keepNext/>
            </w:pPr>
            <w:r w:rsidRPr="00362517">
              <w:t>Category S-4: Low severity illness or injury</w:t>
            </w:r>
          </w:p>
        </w:tc>
        <w:tc>
          <w:tcPr>
            <w:tcW w:w="1530" w:type="dxa"/>
            <w:tcBorders>
              <w:top w:val="nil"/>
              <w:left w:val="nil"/>
              <w:bottom w:val="single" w:sz="8" w:space="0" w:color="auto"/>
              <w:right w:val="single" w:sz="8" w:space="0" w:color="auto"/>
            </w:tcBorders>
            <w:shd w:val="clear" w:color="auto" w:fill="auto"/>
            <w:vAlign w:val="center"/>
            <w:hideMark/>
          </w:tcPr>
          <w:p w14:paraId="5AB19E46" w14:textId="77777777" w:rsidR="00F848A1" w:rsidRPr="00362517" w:rsidRDefault="00F848A1" w:rsidP="00BF6BC7">
            <w:pPr>
              <w:keepNext/>
              <w:jc w:val="center"/>
            </w:pPr>
            <w:r w:rsidRPr="00362517">
              <w:t>70%</w:t>
            </w:r>
          </w:p>
        </w:tc>
        <w:tc>
          <w:tcPr>
            <w:tcW w:w="1350" w:type="dxa"/>
            <w:tcBorders>
              <w:top w:val="nil"/>
              <w:left w:val="nil"/>
              <w:bottom w:val="single" w:sz="8" w:space="0" w:color="auto"/>
              <w:right w:val="single" w:sz="8" w:space="0" w:color="auto"/>
            </w:tcBorders>
            <w:shd w:val="clear" w:color="auto" w:fill="auto"/>
            <w:vAlign w:val="center"/>
            <w:hideMark/>
          </w:tcPr>
          <w:p w14:paraId="5AB19E47" w14:textId="77777777" w:rsidR="00F848A1" w:rsidRPr="00362517" w:rsidRDefault="00F848A1" w:rsidP="00BF6BC7">
            <w:pPr>
              <w:keepNext/>
              <w:jc w:val="center"/>
            </w:pPr>
            <w:r w:rsidRPr="00362517">
              <w:t xml:space="preserve">$90.63 </w:t>
            </w:r>
          </w:p>
        </w:tc>
        <w:tc>
          <w:tcPr>
            <w:tcW w:w="1530" w:type="dxa"/>
            <w:tcBorders>
              <w:top w:val="nil"/>
              <w:left w:val="nil"/>
              <w:bottom w:val="single" w:sz="8" w:space="0" w:color="auto"/>
              <w:right w:val="single" w:sz="8" w:space="0" w:color="auto"/>
            </w:tcBorders>
            <w:shd w:val="clear" w:color="auto" w:fill="auto"/>
            <w:vAlign w:val="center"/>
            <w:hideMark/>
          </w:tcPr>
          <w:p w14:paraId="5AB19E48" w14:textId="77777777" w:rsidR="00F848A1" w:rsidRPr="00362517" w:rsidRDefault="00F848A1" w:rsidP="00BF6BC7">
            <w:pPr>
              <w:keepNext/>
              <w:jc w:val="center"/>
            </w:pPr>
            <w:r w:rsidRPr="00362517">
              <w:t xml:space="preserve">$0 </w:t>
            </w:r>
          </w:p>
        </w:tc>
        <w:tc>
          <w:tcPr>
            <w:tcW w:w="1350" w:type="dxa"/>
            <w:tcBorders>
              <w:top w:val="nil"/>
              <w:left w:val="nil"/>
              <w:bottom w:val="single" w:sz="8" w:space="0" w:color="auto"/>
              <w:right w:val="double" w:sz="6" w:space="0" w:color="auto"/>
            </w:tcBorders>
            <w:shd w:val="clear" w:color="auto" w:fill="auto"/>
            <w:vAlign w:val="center"/>
            <w:hideMark/>
          </w:tcPr>
          <w:p w14:paraId="5AB19E49" w14:textId="41143D94" w:rsidR="00F848A1" w:rsidRPr="00362517" w:rsidRDefault="00F848A1" w:rsidP="0081778C">
            <w:pPr>
              <w:keepNext/>
              <w:jc w:val="center"/>
            </w:pPr>
            <w:r w:rsidRPr="00362517">
              <w:t>$63.</w:t>
            </w:r>
            <w:r w:rsidR="0081778C" w:rsidRPr="00362517">
              <w:t>7</w:t>
            </w:r>
            <w:r w:rsidR="0081778C">
              <w:t>8</w:t>
            </w:r>
            <w:r w:rsidR="0081778C" w:rsidRPr="00362517">
              <w:t xml:space="preserve"> </w:t>
            </w:r>
          </w:p>
        </w:tc>
      </w:tr>
      <w:tr w:rsidR="00362517" w:rsidRPr="00362517" w14:paraId="5AB19E50" w14:textId="77777777" w:rsidTr="0034043F">
        <w:trPr>
          <w:trHeight w:val="292"/>
        </w:trPr>
        <w:tc>
          <w:tcPr>
            <w:tcW w:w="3510" w:type="dxa"/>
            <w:tcBorders>
              <w:top w:val="nil"/>
              <w:left w:val="double" w:sz="6" w:space="0" w:color="auto"/>
              <w:bottom w:val="single" w:sz="8" w:space="0" w:color="auto"/>
              <w:right w:val="single" w:sz="8" w:space="0" w:color="auto"/>
            </w:tcBorders>
            <w:shd w:val="clear" w:color="auto" w:fill="auto"/>
            <w:noWrap/>
            <w:vAlign w:val="center"/>
            <w:hideMark/>
          </w:tcPr>
          <w:p w14:paraId="5AB19E4B" w14:textId="77777777" w:rsidR="00F848A1" w:rsidRPr="00362517" w:rsidRDefault="00F848A1" w:rsidP="00BF6BC7">
            <w:pPr>
              <w:keepNext/>
            </w:pPr>
            <w:r w:rsidRPr="00362517">
              <w:t>Category S-3: Moderate severity illness or injury</w:t>
            </w:r>
          </w:p>
        </w:tc>
        <w:tc>
          <w:tcPr>
            <w:tcW w:w="1530" w:type="dxa"/>
            <w:tcBorders>
              <w:top w:val="nil"/>
              <w:left w:val="nil"/>
              <w:bottom w:val="single" w:sz="8" w:space="0" w:color="auto"/>
              <w:right w:val="single" w:sz="8" w:space="0" w:color="auto"/>
            </w:tcBorders>
            <w:shd w:val="clear" w:color="auto" w:fill="auto"/>
            <w:vAlign w:val="center"/>
            <w:hideMark/>
          </w:tcPr>
          <w:p w14:paraId="5AB19E4C" w14:textId="77777777" w:rsidR="00F848A1" w:rsidRPr="00362517" w:rsidRDefault="00F848A1" w:rsidP="00BF6BC7">
            <w:pPr>
              <w:keepNext/>
              <w:jc w:val="center"/>
            </w:pPr>
            <w:r w:rsidRPr="00362517">
              <w:t>96%</w:t>
            </w:r>
          </w:p>
        </w:tc>
        <w:tc>
          <w:tcPr>
            <w:tcW w:w="1350" w:type="dxa"/>
            <w:tcBorders>
              <w:top w:val="nil"/>
              <w:left w:val="nil"/>
              <w:bottom w:val="single" w:sz="8" w:space="0" w:color="auto"/>
              <w:right w:val="single" w:sz="8" w:space="0" w:color="auto"/>
            </w:tcBorders>
            <w:shd w:val="clear" w:color="auto" w:fill="auto"/>
            <w:vAlign w:val="center"/>
            <w:hideMark/>
          </w:tcPr>
          <w:p w14:paraId="5AB19E4D" w14:textId="77777777" w:rsidR="00F848A1" w:rsidRPr="00362517" w:rsidRDefault="00F848A1" w:rsidP="00BF6BC7">
            <w:pPr>
              <w:keepNext/>
              <w:jc w:val="center"/>
            </w:pPr>
            <w:r w:rsidRPr="00362517">
              <w:t xml:space="preserve">$90.63 </w:t>
            </w:r>
          </w:p>
        </w:tc>
        <w:tc>
          <w:tcPr>
            <w:tcW w:w="1530" w:type="dxa"/>
            <w:tcBorders>
              <w:top w:val="nil"/>
              <w:left w:val="nil"/>
              <w:bottom w:val="single" w:sz="8" w:space="0" w:color="auto"/>
              <w:right w:val="single" w:sz="8" w:space="0" w:color="auto"/>
            </w:tcBorders>
            <w:shd w:val="clear" w:color="auto" w:fill="auto"/>
            <w:vAlign w:val="center"/>
            <w:hideMark/>
          </w:tcPr>
          <w:p w14:paraId="5AB19E4E" w14:textId="77777777" w:rsidR="00F848A1" w:rsidRPr="00362517" w:rsidRDefault="00F848A1" w:rsidP="00BF6BC7">
            <w:pPr>
              <w:keepNext/>
              <w:jc w:val="center"/>
            </w:pPr>
            <w:r w:rsidRPr="00362517">
              <w:t xml:space="preserve">$0 </w:t>
            </w:r>
          </w:p>
        </w:tc>
        <w:tc>
          <w:tcPr>
            <w:tcW w:w="1350" w:type="dxa"/>
            <w:tcBorders>
              <w:top w:val="nil"/>
              <w:left w:val="nil"/>
              <w:bottom w:val="single" w:sz="8" w:space="0" w:color="auto"/>
              <w:right w:val="double" w:sz="6" w:space="0" w:color="auto"/>
            </w:tcBorders>
            <w:shd w:val="clear" w:color="auto" w:fill="auto"/>
            <w:vAlign w:val="center"/>
            <w:hideMark/>
          </w:tcPr>
          <w:p w14:paraId="5AB19E4F" w14:textId="408B2092" w:rsidR="00F848A1" w:rsidRPr="00362517" w:rsidRDefault="00F848A1" w:rsidP="0081778C">
            <w:pPr>
              <w:keepNext/>
              <w:jc w:val="center"/>
            </w:pPr>
            <w:r w:rsidRPr="00362517">
              <w:t>$87.</w:t>
            </w:r>
            <w:r w:rsidR="0081778C">
              <w:t>00</w:t>
            </w:r>
            <w:r w:rsidR="0081778C" w:rsidRPr="00362517">
              <w:t xml:space="preserve"> </w:t>
            </w:r>
          </w:p>
        </w:tc>
      </w:tr>
      <w:tr w:rsidR="00362517" w:rsidRPr="00362517" w14:paraId="5AB19E56" w14:textId="77777777" w:rsidTr="0034043F">
        <w:trPr>
          <w:trHeight w:val="572"/>
        </w:trPr>
        <w:tc>
          <w:tcPr>
            <w:tcW w:w="3510" w:type="dxa"/>
            <w:tcBorders>
              <w:top w:val="nil"/>
              <w:left w:val="double" w:sz="6" w:space="0" w:color="auto"/>
              <w:bottom w:val="single" w:sz="8" w:space="0" w:color="auto"/>
              <w:right w:val="single" w:sz="8" w:space="0" w:color="auto"/>
            </w:tcBorders>
            <w:shd w:val="clear" w:color="auto" w:fill="auto"/>
            <w:noWrap/>
            <w:vAlign w:val="center"/>
            <w:hideMark/>
          </w:tcPr>
          <w:p w14:paraId="5AB19E51" w14:textId="77777777" w:rsidR="00F848A1" w:rsidRPr="00362517" w:rsidRDefault="00F848A1" w:rsidP="00BF6BC7">
            <w:pPr>
              <w:keepNext/>
            </w:pPr>
            <w:r w:rsidRPr="00362517">
              <w:t xml:space="preserve">Category S-2:High severity illness or injury </w:t>
            </w:r>
          </w:p>
        </w:tc>
        <w:tc>
          <w:tcPr>
            <w:tcW w:w="1530" w:type="dxa"/>
            <w:tcBorders>
              <w:top w:val="nil"/>
              <w:left w:val="nil"/>
              <w:bottom w:val="single" w:sz="8" w:space="0" w:color="auto"/>
              <w:right w:val="single" w:sz="8" w:space="0" w:color="auto"/>
            </w:tcBorders>
            <w:shd w:val="clear" w:color="auto" w:fill="auto"/>
            <w:vAlign w:val="center"/>
            <w:hideMark/>
          </w:tcPr>
          <w:p w14:paraId="5AB19E52" w14:textId="77777777" w:rsidR="00F848A1" w:rsidRPr="00362517" w:rsidRDefault="00F848A1" w:rsidP="00BF6BC7">
            <w:pPr>
              <w:keepNext/>
              <w:jc w:val="center"/>
            </w:pPr>
            <w:r w:rsidRPr="00362517">
              <w:t>83%</w:t>
            </w:r>
          </w:p>
        </w:tc>
        <w:tc>
          <w:tcPr>
            <w:tcW w:w="1350" w:type="dxa"/>
            <w:tcBorders>
              <w:top w:val="nil"/>
              <w:left w:val="nil"/>
              <w:bottom w:val="single" w:sz="8" w:space="0" w:color="auto"/>
              <w:right w:val="single" w:sz="8" w:space="0" w:color="auto"/>
            </w:tcBorders>
            <w:shd w:val="clear" w:color="auto" w:fill="auto"/>
            <w:vAlign w:val="center"/>
            <w:hideMark/>
          </w:tcPr>
          <w:p w14:paraId="5AB19E53" w14:textId="77777777" w:rsidR="00F848A1" w:rsidRPr="00362517" w:rsidRDefault="00F848A1" w:rsidP="00BF6BC7">
            <w:pPr>
              <w:keepNext/>
              <w:jc w:val="center"/>
            </w:pPr>
            <w:r w:rsidRPr="00362517">
              <w:t xml:space="preserve">$90.63 </w:t>
            </w:r>
          </w:p>
        </w:tc>
        <w:tc>
          <w:tcPr>
            <w:tcW w:w="1530" w:type="dxa"/>
            <w:tcBorders>
              <w:top w:val="nil"/>
              <w:left w:val="nil"/>
              <w:bottom w:val="single" w:sz="8" w:space="0" w:color="auto"/>
              <w:right w:val="single" w:sz="8" w:space="0" w:color="auto"/>
            </w:tcBorders>
            <w:shd w:val="clear" w:color="auto" w:fill="auto"/>
            <w:vAlign w:val="center"/>
            <w:hideMark/>
          </w:tcPr>
          <w:p w14:paraId="5AB19E54" w14:textId="77777777" w:rsidR="00F848A1" w:rsidRPr="00362517" w:rsidRDefault="00F848A1" w:rsidP="00BF6BC7">
            <w:pPr>
              <w:keepNext/>
              <w:jc w:val="center"/>
            </w:pPr>
            <w:r w:rsidRPr="00362517">
              <w:t xml:space="preserve">$41,549 </w:t>
            </w:r>
          </w:p>
        </w:tc>
        <w:tc>
          <w:tcPr>
            <w:tcW w:w="1350" w:type="dxa"/>
            <w:tcBorders>
              <w:top w:val="nil"/>
              <w:left w:val="nil"/>
              <w:bottom w:val="single" w:sz="8" w:space="0" w:color="auto"/>
              <w:right w:val="double" w:sz="6" w:space="0" w:color="auto"/>
            </w:tcBorders>
            <w:shd w:val="clear" w:color="auto" w:fill="auto"/>
            <w:vAlign w:val="center"/>
            <w:hideMark/>
          </w:tcPr>
          <w:p w14:paraId="5AB19E55" w14:textId="77777777" w:rsidR="00F848A1" w:rsidRPr="00362517" w:rsidRDefault="00F848A1" w:rsidP="00BF6BC7">
            <w:pPr>
              <w:keepNext/>
              <w:jc w:val="center"/>
            </w:pPr>
            <w:r w:rsidRPr="00362517">
              <w:t xml:space="preserve">$34,699.69 </w:t>
            </w:r>
          </w:p>
        </w:tc>
      </w:tr>
      <w:tr w:rsidR="00362517" w:rsidRPr="00362517" w14:paraId="5AB19E58" w14:textId="77777777" w:rsidTr="0034043F">
        <w:trPr>
          <w:trHeight w:val="292"/>
        </w:trPr>
        <w:tc>
          <w:tcPr>
            <w:tcW w:w="9270" w:type="dxa"/>
            <w:gridSpan w:val="5"/>
            <w:tcBorders>
              <w:top w:val="single" w:sz="8" w:space="0" w:color="auto"/>
              <w:left w:val="double" w:sz="6" w:space="0" w:color="auto"/>
              <w:bottom w:val="nil"/>
              <w:right w:val="double" w:sz="6" w:space="0" w:color="000000"/>
            </w:tcBorders>
            <w:shd w:val="clear" w:color="auto" w:fill="auto"/>
            <w:vAlign w:val="center"/>
            <w:hideMark/>
          </w:tcPr>
          <w:p w14:paraId="5AB19E57" w14:textId="77777777" w:rsidR="00F848A1" w:rsidRPr="00362517" w:rsidRDefault="00F848A1" w:rsidP="00BF6BC7">
            <w:pPr>
              <w:keepNext/>
              <w:rPr>
                <w:sz w:val="20"/>
                <w:szCs w:val="20"/>
              </w:rPr>
            </w:pPr>
            <w:r w:rsidRPr="00362517">
              <w:rPr>
                <w:sz w:val="20"/>
                <w:szCs w:val="20"/>
              </w:rPr>
              <w:t>Source: EPA estimation.</w:t>
            </w:r>
          </w:p>
        </w:tc>
      </w:tr>
      <w:tr w:rsidR="00362517" w:rsidRPr="00362517" w14:paraId="5AB19E5A" w14:textId="77777777" w:rsidTr="0034043F">
        <w:trPr>
          <w:trHeight w:val="226"/>
        </w:trPr>
        <w:tc>
          <w:tcPr>
            <w:tcW w:w="9270" w:type="dxa"/>
            <w:gridSpan w:val="5"/>
            <w:tcBorders>
              <w:top w:val="nil"/>
              <w:left w:val="double" w:sz="6" w:space="0" w:color="auto"/>
              <w:bottom w:val="double" w:sz="6" w:space="0" w:color="auto"/>
              <w:right w:val="double" w:sz="6" w:space="0" w:color="000000"/>
            </w:tcBorders>
            <w:shd w:val="clear" w:color="auto" w:fill="auto"/>
            <w:vAlign w:val="center"/>
            <w:hideMark/>
          </w:tcPr>
          <w:p w14:paraId="5AB19E59" w14:textId="77777777" w:rsidR="00F848A1" w:rsidRPr="00362517" w:rsidRDefault="00F848A1" w:rsidP="00BF6BC7">
            <w:pPr>
              <w:keepNext/>
              <w:rPr>
                <w:sz w:val="20"/>
                <w:szCs w:val="20"/>
              </w:rPr>
            </w:pPr>
            <w:r w:rsidRPr="00362517">
              <w:rPr>
                <w:sz w:val="20"/>
                <w:szCs w:val="20"/>
                <w:vertAlign w:val="superscript"/>
              </w:rPr>
              <w:t>1</w:t>
            </w:r>
            <w:r w:rsidRPr="00362517">
              <w:rPr>
                <w:sz w:val="20"/>
                <w:szCs w:val="20"/>
              </w:rPr>
              <w:t>Calculated as Prob(HCF|i)×[Outpatient Cost + Inpatient Cost].</w:t>
            </w:r>
          </w:p>
        </w:tc>
      </w:tr>
    </w:tbl>
    <w:p w14:paraId="5AB19E5B" w14:textId="77777777" w:rsidR="00F848A1" w:rsidRPr="00362517" w:rsidRDefault="00F848A1" w:rsidP="00BF6BC7">
      <w:pPr>
        <w:tabs>
          <w:tab w:val="left" w:pos="540"/>
          <w:tab w:val="left" w:pos="1080"/>
          <w:tab w:val="left" w:pos="1620"/>
          <w:tab w:val="left" w:pos="2160"/>
        </w:tabs>
      </w:pPr>
    </w:p>
    <w:p w14:paraId="5AB19E5C" w14:textId="77777777" w:rsidR="00F848A1" w:rsidRPr="00362517" w:rsidRDefault="00F848A1" w:rsidP="00BF6BC7">
      <w:pPr>
        <w:tabs>
          <w:tab w:val="left" w:pos="540"/>
          <w:tab w:val="left" w:pos="1080"/>
          <w:tab w:val="left" w:pos="1620"/>
          <w:tab w:val="left" w:pos="2160"/>
        </w:tabs>
      </w:pPr>
    </w:p>
    <w:p w14:paraId="5AB19E5D" w14:textId="77777777" w:rsidR="00F848A1" w:rsidRPr="00362517" w:rsidRDefault="00F848A1" w:rsidP="00BF6BC7">
      <w:pPr>
        <w:tabs>
          <w:tab w:val="left" w:pos="540"/>
          <w:tab w:val="left" w:pos="1080"/>
          <w:tab w:val="left" w:pos="1620"/>
          <w:tab w:val="left" w:pos="2160"/>
        </w:tabs>
      </w:pPr>
    </w:p>
    <w:p w14:paraId="5AB19E5E" w14:textId="77777777" w:rsidR="00F848A1" w:rsidRPr="00362517" w:rsidRDefault="00F848A1" w:rsidP="00BF6BC7">
      <w:pPr>
        <w:tabs>
          <w:tab w:val="left" w:pos="540"/>
          <w:tab w:val="left" w:pos="1080"/>
          <w:tab w:val="left" w:pos="1620"/>
          <w:tab w:val="left" w:pos="2160"/>
        </w:tabs>
        <w:spacing w:before="120"/>
      </w:pPr>
      <w:r w:rsidRPr="00362517">
        <w:rPr>
          <w:i/>
          <w:iCs/>
        </w:rPr>
        <w:t>The Value of Lost Productivity</w:t>
      </w:r>
    </w:p>
    <w:p w14:paraId="5AB19E5F" w14:textId="77777777" w:rsidR="00F848A1" w:rsidRPr="00362517" w:rsidRDefault="00F848A1" w:rsidP="00BF6BC7">
      <w:pPr>
        <w:tabs>
          <w:tab w:val="left" w:pos="540"/>
          <w:tab w:val="left" w:pos="1080"/>
          <w:tab w:val="left" w:pos="1620"/>
          <w:tab w:val="left" w:pos="2160"/>
        </w:tabs>
      </w:pPr>
    </w:p>
    <w:p w14:paraId="5AB19E60" w14:textId="77777777" w:rsidR="00F848A1" w:rsidRPr="00362517" w:rsidRDefault="00F848A1" w:rsidP="00BF6BC7">
      <w:pPr>
        <w:tabs>
          <w:tab w:val="left" w:pos="540"/>
          <w:tab w:val="left" w:pos="1080"/>
          <w:tab w:val="left" w:pos="1620"/>
          <w:tab w:val="left" w:pos="2160"/>
        </w:tabs>
      </w:pPr>
      <w:r w:rsidRPr="00362517">
        <w:t>The value of lost productivity is estimated as the value of various activities in which a person is typically engaged over the course of the day, but which he or she could not accomplish when ill.  As noted above, we calculate this value as</w:t>
      </w:r>
    </w:p>
    <w:p w14:paraId="5AB19E61" w14:textId="77777777" w:rsidR="00F848A1" w:rsidRPr="00362517" w:rsidRDefault="00F848A1" w:rsidP="00BF6BC7">
      <w:pPr>
        <w:tabs>
          <w:tab w:val="left" w:pos="540"/>
          <w:tab w:val="left" w:pos="1080"/>
          <w:tab w:val="left" w:pos="1620"/>
          <w:tab w:val="left" w:pos="2160"/>
        </w:tabs>
      </w:pPr>
    </w:p>
    <w:p w14:paraId="5AB19E62" w14:textId="77777777" w:rsidR="00F848A1" w:rsidRPr="00362517" w:rsidRDefault="00F848A1" w:rsidP="00BF6BC7">
      <w:pPr>
        <w:tabs>
          <w:tab w:val="left" w:pos="540"/>
          <w:tab w:val="left" w:pos="1080"/>
          <w:tab w:val="left" w:pos="1620"/>
          <w:tab w:val="left" w:pos="2160"/>
        </w:tabs>
      </w:pPr>
      <m:oMathPara>
        <m:oMath>
          <m:r>
            <m:rPr>
              <m:sty m:val="p"/>
            </m:rPr>
            <w:rPr>
              <w:rFonts w:ascii="Cambria Math" w:hAnsi="Cambria Math"/>
            </w:rPr>
            <m:t>E</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VPL</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w</m:t>
              </m:r>
            </m:sub>
          </m:sSub>
          <m:r>
            <w:rPr>
              <w:rFonts w:ascii="Cambria Math" w:hAnsi="Cambria Math"/>
            </w:rPr>
            <m:t>work+</m:t>
          </m:r>
          <m:sSub>
            <m:sSubPr>
              <m:ctrlPr>
                <w:rPr>
                  <w:rFonts w:ascii="Cambria Math" w:hAnsi="Cambria Math"/>
                  <w:i/>
                </w:rPr>
              </m:ctrlPr>
            </m:sSubPr>
            <m:e>
              <m:r>
                <w:rPr>
                  <w:rFonts w:ascii="Cambria Math" w:hAnsi="Cambria Math"/>
                </w:rPr>
                <m:t>ω</m:t>
              </m:r>
            </m:e>
            <m:sub>
              <m:r>
                <w:rPr>
                  <w:rFonts w:ascii="Cambria Math" w:hAnsi="Cambria Math"/>
                </w:rPr>
                <m:t>H</m:t>
              </m:r>
            </m:sub>
          </m:sSub>
          <m:r>
            <w:rPr>
              <w:rFonts w:ascii="Cambria Math" w:hAnsi="Cambria Math"/>
            </w:rPr>
            <m:t>housekeeping+</m:t>
          </m:r>
          <m:sSub>
            <m:sSubPr>
              <m:ctrlPr>
                <w:rPr>
                  <w:rFonts w:ascii="Cambria Math" w:hAnsi="Cambria Math"/>
                  <w:i/>
                </w:rPr>
              </m:ctrlPr>
            </m:sSubPr>
            <m:e>
              <m:r>
                <w:rPr>
                  <w:rFonts w:ascii="Cambria Math" w:hAnsi="Cambria Math"/>
                </w:rPr>
                <m:t>ω</m:t>
              </m:r>
            </m:e>
            <m:sub>
              <m:r>
                <w:rPr>
                  <w:rFonts w:ascii="Cambria Math" w:hAnsi="Cambria Math"/>
                </w:rPr>
                <m:t>L</m:t>
              </m:r>
            </m:sub>
          </m:sSub>
          <m:r>
            <w:rPr>
              <w:rFonts w:ascii="Cambria Math" w:hAnsi="Cambria Math"/>
            </w:rPr>
            <m:t>leisure)×</m:t>
          </m:r>
          <m:sSub>
            <m:sSubPr>
              <m:ctrlPr>
                <w:rPr>
                  <w:rFonts w:ascii="Cambria Math" w:hAnsi="Cambria Math"/>
                  <w:i/>
                </w:rPr>
              </m:ctrlPr>
            </m:sSubPr>
            <m:e>
              <m:r>
                <w:rPr>
                  <w:rFonts w:ascii="Cambria Math" w:hAnsi="Cambria Math"/>
                </w:rPr>
                <m:t>DUR</m:t>
              </m:r>
            </m:e>
            <m:sub>
              <m:r>
                <w:rPr>
                  <w:rFonts w:ascii="Cambria Math" w:hAnsi="Cambria Math"/>
                </w:rPr>
                <m:t>i</m:t>
              </m:r>
            </m:sub>
          </m:sSub>
        </m:oMath>
      </m:oMathPara>
    </w:p>
    <w:p w14:paraId="5AB19E63" w14:textId="77777777" w:rsidR="00F848A1" w:rsidRPr="00362517" w:rsidRDefault="00F848A1" w:rsidP="00BF6BC7">
      <w:pPr>
        <w:tabs>
          <w:tab w:val="left" w:pos="540"/>
          <w:tab w:val="left" w:pos="1080"/>
          <w:tab w:val="left" w:pos="1620"/>
          <w:tab w:val="left" w:pos="2160"/>
        </w:tabs>
      </w:pPr>
    </w:p>
    <w:p w14:paraId="5AB19E64" w14:textId="77777777" w:rsidR="00F848A1" w:rsidRPr="00362517" w:rsidRDefault="00F848A1" w:rsidP="00BF6BC7">
      <w:pPr>
        <w:tabs>
          <w:tab w:val="left" w:pos="540"/>
          <w:tab w:val="left" w:pos="1080"/>
          <w:tab w:val="left" w:pos="1620"/>
          <w:tab w:val="left" w:pos="2160"/>
        </w:tabs>
        <w:rPr>
          <w:i/>
          <w:iCs/>
        </w:rPr>
      </w:pPr>
      <w:r w:rsidRPr="00362517">
        <w:t xml:space="preserve">where </w:t>
      </w:r>
      <w:r w:rsidRPr="00362517">
        <w:rPr>
          <w:i/>
        </w:rPr>
        <w:t>VPL</w:t>
      </w:r>
      <w:r w:rsidRPr="00362517">
        <w:t xml:space="preserve"> is the value of productivity lost, </w:t>
      </w:r>
      <w:r w:rsidRPr="00362517">
        <w:rPr>
          <w:i/>
        </w:rPr>
        <w:t>work</w:t>
      </w:r>
      <w:r w:rsidRPr="00362517">
        <w:t xml:space="preserve"> is the time spent at work, </w:t>
      </w:r>
      <w:r w:rsidRPr="00362517">
        <w:rPr>
          <w:i/>
        </w:rPr>
        <w:t>housekeeping</w:t>
      </w:r>
      <w:r w:rsidRPr="00362517">
        <w:t xml:space="preserve"> is the time spent in household activities, </w:t>
      </w:r>
      <w:r w:rsidRPr="00362517">
        <w:rPr>
          <w:i/>
        </w:rPr>
        <w:t>leisure</w:t>
      </w:r>
      <w:r w:rsidRPr="00362517">
        <w:t xml:space="preserve"> is leisure time, ω is the value of time spent in each activity, and </w:t>
      </w:r>
      <w:r w:rsidRPr="00362517">
        <w:rPr>
          <w:i/>
        </w:rPr>
        <w:t>DUR</w:t>
      </w:r>
      <w:r w:rsidRPr="00362517">
        <w:t xml:space="preserve"> is the duration of the effect.</w:t>
      </w:r>
    </w:p>
    <w:p w14:paraId="5AB19E65" w14:textId="77777777" w:rsidR="00F848A1" w:rsidRPr="00362517" w:rsidRDefault="00F848A1" w:rsidP="00BF6BC7">
      <w:pPr>
        <w:rPr>
          <w:sz w:val="22"/>
          <w:szCs w:val="22"/>
        </w:rPr>
      </w:pPr>
    </w:p>
    <w:p w14:paraId="5AB19E66" w14:textId="77777777" w:rsidR="00F848A1" w:rsidRPr="00362517" w:rsidRDefault="00F848A1" w:rsidP="00BF6BC7">
      <w:r w:rsidRPr="00362517">
        <w:t>BLS data were used to calculate the average number of hours spent on work, housekeeping, and leisure for a typical working adult.  According to the Current Population Survey (BLS, 2016</w:t>
      </w:r>
      <w:r w:rsidR="00C84947" w:rsidRPr="00362517">
        <w:t>b</w:t>
      </w:r>
      <w:r w:rsidRPr="00362517">
        <w:t>), an employed person works an average of 38.6 hours per week or 5.51 hours per day over a seven-day week.  According to the American Time of Use Survey (BLS, 2014), the average time spent by those over 16 in housekeeping is 1.77 hours per day.  Leisure is calculated as the remaining time, assuming an average of eight hours of sleep, or 8.72 hours per day.</w:t>
      </w:r>
    </w:p>
    <w:p w14:paraId="5AB19E67" w14:textId="77777777" w:rsidR="00F848A1" w:rsidRPr="00362517" w:rsidRDefault="00F848A1" w:rsidP="00BF6BC7">
      <w:pPr>
        <w:rPr>
          <w:sz w:val="22"/>
          <w:szCs w:val="22"/>
        </w:rPr>
      </w:pPr>
    </w:p>
    <w:p w14:paraId="5AB19E68" w14:textId="30F15147" w:rsidR="00F848A1" w:rsidRPr="00362517" w:rsidRDefault="00F848A1" w:rsidP="00BF6BC7">
      <w:r w:rsidRPr="00362517">
        <w:t xml:space="preserve">The hourly value of work is measured as the weighted average wage rate for adult private and commercial certified pesticide applicators, weighted using the number of certified applicators of each type in 2014 (see Section 3.3.2 of this </w:t>
      </w:r>
      <w:r w:rsidR="000C0407">
        <w:t>E</w:t>
      </w:r>
      <w:r w:rsidRPr="00362517">
        <w:t xml:space="preserve">conomic </w:t>
      </w:r>
      <w:r w:rsidR="000C0407">
        <w:t>A</w:t>
      </w:r>
      <w:r w:rsidRPr="00362517">
        <w:t>nalysis), or $35.</w:t>
      </w:r>
      <w:r w:rsidR="0081778C" w:rsidRPr="00362517">
        <w:t>4</w:t>
      </w:r>
      <w:r w:rsidR="0081778C">
        <w:t>8</w:t>
      </w:r>
      <w:r w:rsidR="0081778C" w:rsidRPr="00362517">
        <w:t xml:space="preserve"> </w:t>
      </w:r>
      <w:r w:rsidRPr="00362517">
        <w:t>per hour.  This is an assumption made for simplicity, but the affected person may not be a certified applicator, and wages vary by occupation.  This analysis assumes that workers work 40 hours a week.  The value of housekeeping is the median hourly earnings for a personal/home care aide, $10.44 (BLS, 2015).  This labor category was chosen as most closely representative, given the occupations available, for the value of housekeeping activities if an injured worker had to hire outside help.  For this analysis, we calculate the value of leisure as the after-tax wage rate for certified applicators, because theoretically the take home pay is the rate at which work and leisure are traded. The overall average tax rate in the United States is 30.2 percent (Tax Foundation, 2014), which leaves an after-tax return of $24.</w:t>
      </w:r>
      <w:r w:rsidR="0081778C" w:rsidRPr="00362517">
        <w:t>7</w:t>
      </w:r>
      <w:r w:rsidR="0081778C">
        <w:t>6</w:t>
      </w:r>
      <w:r w:rsidR="0081778C" w:rsidRPr="00362517">
        <w:t xml:space="preserve"> </w:t>
      </w:r>
      <w:r w:rsidRPr="00362517">
        <w:t>per hour for leisure.</w:t>
      </w:r>
    </w:p>
    <w:p w14:paraId="5AB19E69" w14:textId="77777777" w:rsidR="00F848A1" w:rsidRPr="00362517" w:rsidRDefault="00F848A1" w:rsidP="00BF6BC7">
      <w:pPr>
        <w:tabs>
          <w:tab w:val="left" w:pos="540"/>
          <w:tab w:val="left" w:pos="1080"/>
          <w:tab w:val="left" w:pos="1620"/>
          <w:tab w:val="left" w:pos="2160"/>
        </w:tabs>
      </w:pPr>
    </w:p>
    <w:p w14:paraId="5AB19E6A" w14:textId="34C7DA86" w:rsidR="00F848A1" w:rsidRPr="00362517" w:rsidRDefault="00F848A1" w:rsidP="00BF6BC7">
      <w:pPr>
        <w:tabs>
          <w:tab w:val="left" w:pos="540"/>
          <w:tab w:val="left" w:pos="1080"/>
          <w:tab w:val="left" w:pos="1620"/>
          <w:tab w:val="left" w:pos="2160"/>
        </w:tabs>
      </w:pPr>
      <w:r w:rsidRPr="00362517">
        <w:t>Table 4.4-9 presents EPA’s estimate of the value of a fully productive day, the parenthetical term in the equation for VPL, including work, housekeeping, and leisure activity.  For each activity, Table 4.5-8 presents the average number of hours spent in the activity per day for a seven-day week and the estimated value of time spent in each activity.  The sum over the three activities is estimated to be $429.</w:t>
      </w:r>
      <w:r w:rsidR="0081778C">
        <w:t>94</w:t>
      </w:r>
      <w:r w:rsidR="0081778C" w:rsidRPr="00362517">
        <w:t xml:space="preserve"> </w:t>
      </w:r>
      <w:r w:rsidRPr="00362517">
        <w:t>per day.</w:t>
      </w:r>
    </w:p>
    <w:p w14:paraId="5AB19E6B" w14:textId="77777777" w:rsidR="00F848A1" w:rsidRPr="00362517" w:rsidRDefault="00F848A1" w:rsidP="00BF6BC7">
      <w:pPr>
        <w:tabs>
          <w:tab w:val="left" w:pos="540"/>
          <w:tab w:val="left" w:pos="1080"/>
          <w:tab w:val="left" w:pos="1620"/>
          <w:tab w:val="left" w:pos="2160"/>
        </w:tabs>
        <w:rPr>
          <w:b/>
          <w:bCs/>
        </w:rPr>
      </w:pPr>
    </w:p>
    <w:tbl>
      <w:tblPr>
        <w:tblW w:w="8715" w:type="dxa"/>
        <w:jc w:val="center"/>
        <w:tblLayout w:type="fixed"/>
        <w:tblLook w:val="04A0" w:firstRow="1" w:lastRow="0" w:firstColumn="1" w:lastColumn="0" w:noHBand="0" w:noVBand="1"/>
      </w:tblPr>
      <w:tblGrid>
        <w:gridCol w:w="2790"/>
        <w:gridCol w:w="1965"/>
        <w:gridCol w:w="1980"/>
        <w:gridCol w:w="1980"/>
      </w:tblGrid>
      <w:tr w:rsidR="00362517" w:rsidRPr="00362517" w14:paraId="5AB19E6D" w14:textId="77777777" w:rsidTr="0034043F">
        <w:trPr>
          <w:jc w:val="center"/>
        </w:trPr>
        <w:tc>
          <w:tcPr>
            <w:tcW w:w="8715" w:type="dxa"/>
            <w:gridSpan w:val="4"/>
            <w:tcBorders>
              <w:top w:val="double" w:sz="4" w:space="0" w:color="auto"/>
              <w:left w:val="double" w:sz="4" w:space="0" w:color="auto"/>
              <w:bottom w:val="double" w:sz="4" w:space="0" w:color="auto"/>
              <w:right w:val="double" w:sz="4" w:space="0" w:color="auto"/>
            </w:tcBorders>
            <w:noWrap/>
            <w:vAlign w:val="center"/>
            <w:hideMark/>
          </w:tcPr>
          <w:p w14:paraId="5AB19E6C" w14:textId="77777777" w:rsidR="00F848A1" w:rsidRPr="00362517" w:rsidRDefault="00F848A1" w:rsidP="00BF6BC7">
            <w:pPr>
              <w:keepNext/>
              <w:tabs>
                <w:tab w:val="left" w:pos="540"/>
                <w:tab w:val="left" w:pos="1080"/>
                <w:tab w:val="left" w:pos="1620"/>
                <w:tab w:val="left" w:pos="2160"/>
              </w:tabs>
              <w:rPr>
                <w:b/>
                <w:bCs/>
              </w:rPr>
            </w:pPr>
            <w:r w:rsidRPr="00362517">
              <w:rPr>
                <w:b/>
                <w:bCs/>
              </w:rPr>
              <w:t>Table 4.4-9: Value of a Day of Full Productivity</w:t>
            </w:r>
          </w:p>
        </w:tc>
      </w:tr>
      <w:tr w:rsidR="00362517" w:rsidRPr="00362517" w14:paraId="5AB19E72" w14:textId="77777777" w:rsidTr="0034043F">
        <w:trPr>
          <w:jc w:val="center"/>
        </w:trPr>
        <w:tc>
          <w:tcPr>
            <w:tcW w:w="2790" w:type="dxa"/>
            <w:tcBorders>
              <w:top w:val="double" w:sz="4" w:space="0" w:color="auto"/>
              <w:left w:val="double" w:sz="4" w:space="0" w:color="auto"/>
              <w:bottom w:val="double" w:sz="4" w:space="0" w:color="auto"/>
              <w:right w:val="single" w:sz="4" w:space="0" w:color="auto"/>
            </w:tcBorders>
            <w:noWrap/>
            <w:vAlign w:val="center"/>
            <w:hideMark/>
          </w:tcPr>
          <w:p w14:paraId="5AB19E6E" w14:textId="77777777" w:rsidR="00F848A1" w:rsidRPr="00362517" w:rsidRDefault="00F848A1" w:rsidP="00BF6BC7">
            <w:pPr>
              <w:keepNext/>
              <w:tabs>
                <w:tab w:val="left" w:pos="540"/>
                <w:tab w:val="left" w:pos="1080"/>
                <w:tab w:val="left" w:pos="1620"/>
                <w:tab w:val="left" w:pos="2160"/>
              </w:tabs>
              <w:rPr>
                <w:b/>
                <w:bCs/>
              </w:rPr>
            </w:pPr>
            <w:r w:rsidRPr="00362517">
              <w:rPr>
                <w:b/>
                <w:bCs/>
              </w:rPr>
              <w:t>Activity</w:t>
            </w:r>
          </w:p>
        </w:tc>
        <w:tc>
          <w:tcPr>
            <w:tcW w:w="1965" w:type="dxa"/>
            <w:tcBorders>
              <w:top w:val="double" w:sz="4" w:space="0" w:color="auto"/>
              <w:left w:val="nil"/>
              <w:bottom w:val="double" w:sz="4" w:space="0" w:color="auto"/>
              <w:right w:val="single" w:sz="4" w:space="0" w:color="auto"/>
            </w:tcBorders>
            <w:vAlign w:val="center"/>
            <w:hideMark/>
          </w:tcPr>
          <w:p w14:paraId="5AB19E6F" w14:textId="77777777" w:rsidR="00F848A1" w:rsidRPr="00362517" w:rsidRDefault="00F848A1" w:rsidP="00BF6BC7">
            <w:pPr>
              <w:keepNext/>
              <w:tabs>
                <w:tab w:val="left" w:pos="540"/>
                <w:tab w:val="left" w:pos="1080"/>
                <w:tab w:val="left" w:pos="1620"/>
                <w:tab w:val="left" w:pos="2160"/>
              </w:tabs>
              <w:jc w:val="center"/>
              <w:rPr>
                <w:b/>
                <w:bCs/>
              </w:rPr>
            </w:pPr>
            <w:r w:rsidRPr="00362517">
              <w:rPr>
                <w:b/>
                <w:bCs/>
              </w:rPr>
              <w:t>Hours/Day</w:t>
            </w:r>
          </w:p>
        </w:tc>
        <w:tc>
          <w:tcPr>
            <w:tcW w:w="1980" w:type="dxa"/>
            <w:tcBorders>
              <w:top w:val="double" w:sz="4" w:space="0" w:color="auto"/>
              <w:left w:val="single" w:sz="4" w:space="0" w:color="auto"/>
              <w:bottom w:val="double" w:sz="4" w:space="0" w:color="auto"/>
              <w:right w:val="single" w:sz="4" w:space="0" w:color="auto"/>
            </w:tcBorders>
            <w:vAlign w:val="center"/>
            <w:hideMark/>
          </w:tcPr>
          <w:p w14:paraId="5AB19E70" w14:textId="77777777" w:rsidR="00F848A1" w:rsidRPr="00362517" w:rsidRDefault="00F848A1" w:rsidP="00BF6BC7">
            <w:pPr>
              <w:keepNext/>
              <w:tabs>
                <w:tab w:val="left" w:pos="540"/>
                <w:tab w:val="left" w:pos="1080"/>
                <w:tab w:val="left" w:pos="1620"/>
                <w:tab w:val="left" w:pos="2160"/>
              </w:tabs>
              <w:jc w:val="center"/>
              <w:rPr>
                <w:b/>
                <w:bCs/>
              </w:rPr>
            </w:pPr>
            <w:r w:rsidRPr="00362517">
              <w:rPr>
                <w:b/>
                <w:bCs/>
              </w:rPr>
              <w:t>Hourly Value (ω)</w:t>
            </w:r>
          </w:p>
        </w:tc>
        <w:tc>
          <w:tcPr>
            <w:tcW w:w="1980" w:type="dxa"/>
            <w:tcBorders>
              <w:top w:val="double" w:sz="4" w:space="0" w:color="auto"/>
              <w:left w:val="single" w:sz="4" w:space="0" w:color="auto"/>
              <w:bottom w:val="double" w:sz="4" w:space="0" w:color="auto"/>
              <w:right w:val="double" w:sz="4" w:space="0" w:color="auto"/>
            </w:tcBorders>
            <w:vAlign w:val="center"/>
            <w:hideMark/>
          </w:tcPr>
          <w:p w14:paraId="5AB19E71" w14:textId="77777777" w:rsidR="00F848A1" w:rsidRPr="00362517" w:rsidRDefault="00F848A1" w:rsidP="00BF6BC7">
            <w:pPr>
              <w:keepNext/>
              <w:tabs>
                <w:tab w:val="left" w:pos="540"/>
                <w:tab w:val="left" w:pos="1080"/>
                <w:tab w:val="left" w:pos="1620"/>
                <w:tab w:val="left" w:pos="2160"/>
              </w:tabs>
              <w:jc w:val="center"/>
              <w:rPr>
                <w:b/>
                <w:bCs/>
              </w:rPr>
            </w:pPr>
            <w:r w:rsidRPr="00362517">
              <w:rPr>
                <w:b/>
                <w:bCs/>
              </w:rPr>
              <w:t>Total Value per Day</w:t>
            </w:r>
          </w:p>
        </w:tc>
      </w:tr>
      <w:tr w:rsidR="00362517" w:rsidRPr="00362517" w14:paraId="5AB19E77" w14:textId="77777777" w:rsidTr="0034043F">
        <w:trPr>
          <w:trHeight w:val="300"/>
          <w:jc w:val="center"/>
        </w:trPr>
        <w:tc>
          <w:tcPr>
            <w:tcW w:w="2790" w:type="dxa"/>
            <w:tcBorders>
              <w:top w:val="nil"/>
              <w:left w:val="double" w:sz="4" w:space="0" w:color="auto"/>
              <w:bottom w:val="single" w:sz="4" w:space="0" w:color="auto"/>
              <w:right w:val="single" w:sz="4" w:space="0" w:color="auto"/>
            </w:tcBorders>
            <w:noWrap/>
            <w:vAlign w:val="center"/>
            <w:hideMark/>
          </w:tcPr>
          <w:p w14:paraId="5AB19E73" w14:textId="77777777" w:rsidR="00F848A1" w:rsidRPr="00362517" w:rsidRDefault="00F848A1" w:rsidP="00BF6BC7">
            <w:pPr>
              <w:keepNext/>
              <w:tabs>
                <w:tab w:val="left" w:pos="540"/>
                <w:tab w:val="left" w:pos="1080"/>
                <w:tab w:val="left" w:pos="1620"/>
                <w:tab w:val="left" w:pos="2160"/>
              </w:tabs>
            </w:pPr>
            <w:r w:rsidRPr="00362517">
              <w:t>Work</w:t>
            </w:r>
          </w:p>
        </w:tc>
        <w:tc>
          <w:tcPr>
            <w:tcW w:w="1965" w:type="dxa"/>
            <w:tcBorders>
              <w:top w:val="nil"/>
              <w:left w:val="nil"/>
              <w:bottom w:val="single" w:sz="4" w:space="0" w:color="auto"/>
              <w:right w:val="single" w:sz="4" w:space="0" w:color="auto"/>
            </w:tcBorders>
            <w:vAlign w:val="center"/>
            <w:hideMark/>
          </w:tcPr>
          <w:p w14:paraId="5AB19E74" w14:textId="77777777" w:rsidR="00F848A1" w:rsidRPr="00362517" w:rsidRDefault="00F848A1" w:rsidP="00BF6BC7">
            <w:pPr>
              <w:keepNext/>
              <w:tabs>
                <w:tab w:val="left" w:pos="540"/>
                <w:tab w:val="left" w:pos="1080"/>
                <w:tab w:val="left" w:pos="1620"/>
                <w:tab w:val="left" w:pos="2160"/>
              </w:tabs>
              <w:jc w:val="center"/>
            </w:pPr>
            <w:r w:rsidRPr="00362517">
              <w:t>5.51</w:t>
            </w:r>
            <w:r w:rsidRPr="00362517">
              <w:rPr>
                <w:vertAlign w:val="superscript"/>
              </w:rPr>
              <w:t xml:space="preserve"> a</w:t>
            </w:r>
          </w:p>
        </w:tc>
        <w:tc>
          <w:tcPr>
            <w:tcW w:w="1980" w:type="dxa"/>
            <w:tcBorders>
              <w:top w:val="nil"/>
              <w:left w:val="single" w:sz="4" w:space="0" w:color="auto"/>
              <w:bottom w:val="single" w:sz="4" w:space="0" w:color="auto"/>
              <w:right w:val="single" w:sz="4" w:space="0" w:color="auto"/>
            </w:tcBorders>
            <w:vAlign w:val="center"/>
            <w:hideMark/>
          </w:tcPr>
          <w:p w14:paraId="5AB19E75" w14:textId="7AC07193" w:rsidR="00F848A1" w:rsidRPr="00362517" w:rsidRDefault="00F848A1" w:rsidP="0081778C">
            <w:pPr>
              <w:keepNext/>
              <w:tabs>
                <w:tab w:val="left" w:pos="540"/>
                <w:tab w:val="left" w:pos="1080"/>
                <w:tab w:val="left" w:pos="1620"/>
                <w:tab w:val="left" w:pos="2160"/>
              </w:tabs>
              <w:jc w:val="center"/>
            </w:pPr>
            <w:r w:rsidRPr="00362517">
              <w:t>$35.</w:t>
            </w:r>
            <w:r w:rsidR="0081778C" w:rsidRPr="00362517">
              <w:t>4</w:t>
            </w:r>
            <w:r w:rsidR="0081778C">
              <w:t>8</w:t>
            </w:r>
            <w:r w:rsidR="0081778C" w:rsidRPr="00362517">
              <w:rPr>
                <w:vertAlign w:val="superscript"/>
              </w:rPr>
              <w:t>c</w:t>
            </w:r>
          </w:p>
        </w:tc>
        <w:tc>
          <w:tcPr>
            <w:tcW w:w="1980" w:type="dxa"/>
            <w:tcBorders>
              <w:top w:val="nil"/>
              <w:left w:val="single" w:sz="4" w:space="0" w:color="auto"/>
              <w:bottom w:val="single" w:sz="4" w:space="0" w:color="auto"/>
              <w:right w:val="double" w:sz="4" w:space="0" w:color="auto"/>
            </w:tcBorders>
            <w:noWrap/>
            <w:vAlign w:val="center"/>
            <w:hideMark/>
          </w:tcPr>
          <w:p w14:paraId="5AB19E76" w14:textId="43D20552" w:rsidR="00F848A1" w:rsidRPr="00362517" w:rsidRDefault="00F848A1" w:rsidP="0081778C">
            <w:pPr>
              <w:keepNext/>
              <w:tabs>
                <w:tab w:val="left" w:pos="540"/>
                <w:tab w:val="left" w:pos="1080"/>
                <w:tab w:val="left" w:pos="1620"/>
                <w:tab w:val="left" w:pos="2160"/>
              </w:tabs>
              <w:jc w:val="center"/>
            </w:pPr>
            <w:r w:rsidRPr="00362517">
              <w:t>$195.</w:t>
            </w:r>
            <w:r w:rsidR="0081778C">
              <w:t>63</w:t>
            </w:r>
            <w:r w:rsidR="0081778C" w:rsidRPr="00362517">
              <w:t xml:space="preserve"> </w:t>
            </w:r>
          </w:p>
        </w:tc>
      </w:tr>
      <w:tr w:rsidR="00362517" w:rsidRPr="00362517" w14:paraId="5AB19E7C" w14:textId="77777777" w:rsidTr="0034043F">
        <w:trPr>
          <w:trHeight w:val="300"/>
          <w:jc w:val="center"/>
        </w:trPr>
        <w:tc>
          <w:tcPr>
            <w:tcW w:w="2790" w:type="dxa"/>
            <w:tcBorders>
              <w:top w:val="nil"/>
              <w:left w:val="double" w:sz="4" w:space="0" w:color="auto"/>
              <w:bottom w:val="single" w:sz="4" w:space="0" w:color="auto"/>
              <w:right w:val="single" w:sz="4" w:space="0" w:color="auto"/>
            </w:tcBorders>
            <w:noWrap/>
            <w:vAlign w:val="center"/>
            <w:hideMark/>
          </w:tcPr>
          <w:p w14:paraId="5AB19E78" w14:textId="77777777" w:rsidR="00F848A1" w:rsidRPr="00362517" w:rsidRDefault="00F848A1" w:rsidP="00BF6BC7">
            <w:pPr>
              <w:keepNext/>
              <w:tabs>
                <w:tab w:val="left" w:pos="540"/>
                <w:tab w:val="left" w:pos="1080"/>
                <w:tab w:val="left" w:pos="1620"/>
                <w:tab w:val="left" w:pos="2160"/>
              </w:tabs>
            </w:pPr>
            <w:r w:rsidRPr="00362517">
              <w:t>Housekeeping</w:t>
            </w:r>
          </w:p>
        </w:tc>
        <w:tc>
          <w:tcPr>
            <w:tcW w:w="1965" w:type="dxa"/>
            <w:tcBorders>
              <w:top w:val="nil"/>
              <w:left w:val="nil"/>
              <w:bottom w:val="single" w:sz="4" w:space="0" w:color="auto"/>
              <w:right w:val="single" w:sz="4" w:space="0" w:color="auto"/>
            </w:tcBorders>
            <w:vAlign w:val="center"/>
            <w:hideMark/>
          </w:tcPr>
          <w:p w14:paraId="5AB19E79" w14:textId="77777777" w:rsidR="00F848A1" w:rsidRPr="00362517" w:rsidRDefault="00F848A1" w:rsidP="00BF6BC7">
            <w:pPr>
              <w:keepNext/>
              <w:tabs>
                <w:tab w:val="left" w:pos="540"/>
                <w:tab w:val="left" w:pos="1080"/>
                <w:tab w:val="left" w:pos="1620"/>
                <w:tab w:val="left" w:pos="2160"/>
              </w:tabs>
              <w:jc w:val="center"/>
            </w:pPr>
            <w:r w:rsidRPr="00362517">
              <w:t>1.77</w:t>
            </w:r>
            <w:r w:rsidRPr="00362517">
              <w:rPr>
                <w:vertAlign w:val="superscript"/>
              </w:rPr>
              <w:t xml:space="preserve"> a</w:t>
            </w:r>
          </w:p>
        </w:tc>
        <w:tc>
          <w:tcPr>
            <w:tcW w:w="1980" w:type="dxa"/>
            <w:tcBorders>
              <w:top w:val="nil"/>
              <w:left w:val="single" w:sz="4" w:space="0" w:color="auto"/>
              <w:bottom w:val="single" w:sz="4" w:space="0" w:color="auto"/>
              <w:right w:val="single" w:sz="4" w:space="0" w:color="auto"/>
            </w:tcBorders>
            <w:vAlign w:val="center"/>
            <w:hideMark/>
          </w:tcPr>
          <w:p w14:paraId="5AB19E7A" w14:textId="77777777" w:rsidR="00F848A1" w:rsidRPr="00362517" w:rsidRDefault="00F848A1" w:rsidP="00BF6BC7">
            <w:pPr>
              <w:keepNext/>
              <w:tabs>
                <w:tab w:val="left" w:pos="540"/>
                <w:tab w:val="left" w:pos="1080"/>
                <w:tab w:val="left" w:pos="1620"/>
                <w:tab w:val="left" w:pos="2160"/>
              </w:tabs>
              <w:jc w:val="center"/>
            </w:pPr>
            <w:r w:rsidRPr="00362517">
              <w:t>$10.16</w:t>
            </w:r>
            <w:r w:rsidRPr="00362517">
              <w:rPr>
                <w:vertAlign w:val="superscript"/>
              </w:rPr>
              <w:t>d</w:t>
            </w:r>
          </w:p>
        </w:tc>
        <w:tc>
          <w:tcPr>
            <w:tcW w:w="1980" w:type="dxa"/>
            <w:tcBorders>
              <w:top w:val="nil"/>
              <w:left w:val="single" w:sz="4" w:space="0" w:color="auto"/>
              <w:bottom w:val="single" w:sz="4" w:space="0" w:color="auto"/>
              <w:right w:val="double" w:sz="4" w:space="0" w:color="auto"/>
            </w:tcBorders>
            <w:noWrap/>
            <w:vAlign w:val="center"/>
            <w:hideMark/>
          </w:tcPr>
          <w:p w14:paraId="5AB19E7B" w14:textId="77777777" w:rsidR="00F848A1" w:rsidRPr="00362517" w:rsidRDefault="00F848A1" w:rsidP="00BF6BC7">
            <w:pPr>
              <w:keepNext/>
              <w:tabs>
                <w:tab w:val="left" w:pos="540"/>
                <w:tab w:val="left" w:pos="1080"/>
                <w:tab w:val="left" w:pos="1620"/>
                <w:tab w:val="left" w:pos="2160"/>
              </w:tabs>
              <w:jc w:val="center"/>
            </w:pPr>
            <w:r w:rsidRPr="00362517">
              <w:t xml:space="preserve">$18.48 </w:t>
            </w:r>
          </w:p>
        </w:tc>
      </w:tr>
      <w:tr w:rsidR="00362517" w:rsidRPr="00362517" w14:paraId="5AB19E81" w14:textId="77777777" w:rsidTr="0034043F">
        <w:trPr>
          <w:trHeight w:val="300"/>
          <w:jc w:val="center"/>
        </w:trPr>
        <w:tc>
          <w:tcPr>
            <w:tcW w:w="2790" w:type="dxa"/>
            <w:tcBorders>
              <w:top w:val="nil"/>
              <w:left w:val="double" w:sz="4" w:space="0" w:color="auto"/>
              <w:bottom w:val="single" w:sz="4" w:space="0" w:color="auto"/>
              <w:right w:val="single" w:sz="4" w:space="0" w:color="auto"/>
            </w:tcBorders>
            <w:noWrap/>
            <w:vAlign w:val="center"/>
            <w:hideMark/>
          </w:tcPr>
          <w:p w14:paraId="5AB19E7D" w14:textId="77777777" w:rsidR="00F848A1" w:rsidRPr="00362517" w:rsidRDefault="00F848A1" w:rsidP="00BF6BC7">
            <w:pPr>
              <w:keepNext/>
              <w:tabs>
                <w:tab w:val="left" w:pos="540"/>
                <w:tab w:val="left" w:pos="1080"/>
                <w:tab w:val="left" w:pos="1620"/>
                <w:tab w:val="left" w:pos="2160"/>
              </w:tabs>
            </w:pPr>
            <w:r w:rsidRPr="00362517">
              <w:t>Leisure</w:t>
            </w:r>
          </w:p>
        </w:tc>
        <w:tc>
          <w:tcPr>
            <w:tcW w:w="1965" w:type="dxa"/>
            <w:tcBorders>
              <w:top w:val="nil"/>
              <w:left w:val="nil"/>
              <w:bottom w:val="single" w:sz="4" w:space="0" w:color="auto"/>
              <w:right w:val="single" w:sz="4" w:space="0" w:color="auto"/>
            </w:tcBorders>
            <w:vAlign w:val="center"/>
            <w:hideMark/>
          </w:tcPr>
          <w:p w14:paraId="5AB19E7E" w14:textId="77777777" w:rsidR="00F848A1" w:rsidRPr="00362517" w:rsidRDefault="00F848A1" w:rsidP="00BF6BC7">
            <w:pPr>
              <w:keepNext/>
              <w:tabs>
                <w:tab w:val="left" w:pos="540"/>
                <w:tab w:val="left" w:pos="1080"/>
                <w:tab w:val="left" w:pos="1620"/>
                <w:tab w:val="left" w:pos="2160"/>
              </w:tabs>
              <w:jc w:val="center"/>
            </w:pPr>
            <w:r w:rsidRPr="00362517">
              <w:t>8.72</w:t>
            </w:r>
            <w:r w:rsidRPr="00362517">
              <w:rPr>
                <w:vertAlign w:val="superscript"/>
              </w:rPr>
              <w:t xml:space="preserve"> b</w:t>
            </w:r>
          </w:p>
        </w:tc>
        <w:tc>
          <w:tcPr>
            <w:tcW w:w="1980" w:type="dxa"/>
            <w:tcBorders>
              <w:top w:val="nil"/>
              <w:left w:val="single" w:sz="4" w:space="0" w:color="auto"/>
              <w:bottom w:val="single" w:sz="4" w:space="0" w:color="auto"/>
              <w:right w:val="single" w:sz="4" w:space="0" w:color="auto"/>
            </w:tcBorders>
            <w:vAlign w:val="center"/>
            <w:hideMark/>
          </w:tcPr>
          <w:p w14:paraId="5AB19E7F" w14:textId="3588A7C0" w:rsidR="00F848A1" w:rsidRPr="00362517" w:rsidRDefault="00F848A1" w:rsidP="0081778C">
            <w:pPr>
              <w:keepNext/>
              <w:tabs>
                <w:tab w:val="left" w:pos="540"/>
                <w:tab w:val="left" w:pos="1080"/>
                <w:tab w:val="left" w:pos="1620"/>
                <w:tab w:val="left" w:pos="2160"/>
              </w:tabs>
              <w:jc w:val="center"/>
            </w:pPr>
            <w:r w:rsidRPr="00362517">
              <w:t>$24.</w:t>
            </w:r>
            <w:r w:rsidR="0081778C" w:rsidRPr="00362517">
              <w:t>7</w:t>
            </w:r>
            <w:r w:rsidR="0081778C">
              <w:t>6</w:t>
            </w:r>
            <w:r w:rsidR="0081778C" w:rsidRPr="00362517">
              <w:rPr>
                <w:vertAlign w:val="superscript"/>
              </w:rPr>
              <w:t>e</w:t>
            </w:r>
          </w:p>
        </w:tc>
        <w:tc>
          <w:tcPr>
            <w:tcW w:w="1980" w:type="dxa"/>
            <w:tcBorders>
              <w:top w:val="nil"/>
              <w:left w:val="single" w:sz="4" w:space="0" w:color="auto"/>
              <w:bottom w:val="single" w:sz="4" w:space="0" w:color="auto"/>
              <w:right w:val="double" w:sz="4" w:space="0" w:color="auto"/>
            </w:tcBorders>
            <w:noWrap/>
            <w:vAlign w:val="center"/>
            <w:hideMark/>
          </w:tcPr>
          <w:p w14:paraId="5AB19E80" w14:textId="56983B4D" w:rsidR="00F848A1" w:rsidRPr="00362517" w:rsidRDefault="00F848A1" w:rsidP="0081778C">
            <w:pPr>
              <w:keepNext/>
              <w:tabs>
                <w:tab w:val="left" w:pos="540"/>
                <w:tab w:val="left" w:pos="1080"/>
                <w:tab w:val="left" w:pos="1620"/>
                <w:tab w:val="left" w:pos="2160"/>
              </w:tabs>
              <w:jc w:val="center"/>
            </w:pPr>
            <w:r w:rsidRPr="00362517">
              <w:t>$215.</w:t>
            </w:r>
            <w:r w:rsidR="0081778C">
              <w:t>83</w:t>
            </w:r>
            <w:r w:rsidR="0081778C" w:rsidRPr="00362517">
              <w:t xml:space="preserve"> </w:t>
            </w:r>
          </w:p>
        </w:tc>
      </w:tr>
      <w:tr w:rsidR="00362517" w:rsidRPr="00362517" w14:paraId="5AB19E86" w14:textId="77777777" w:rsidTr="0034043F">
        <w:trPr>
          <w:trHeight w:val="300"/>
          <w:jc w:val="center"/>
        </w:trPr>
        <w:tc>
          <w:tcPr>
            <w:tcW w:w="2790" w:type="dxa"/>
            <w:tcBorders>
              <w:top w:val="single" w:sz="4" w:space="0" w:color="auto"/>
              <w:left w:val="double" w:sz="4" w:space="0" w:color="auto"/>
              <w:bottom w:val="single" w:sz="4" w:space="0" w:color="auto"/>
              <w:right w:val="single" w:sz="4" w:space="0" w:color="auto"/>
            </w:tcBorders>
            <w:noWrap/>
            <w:vAlign w:val="center"/>
          </w:tcPr>
          <w:p w14:paraId="5AB19E82" w14:textId="77777777" w:rsidR="00F848A1" w:rsidRPr="00362517" w:rsidRDefault="00F848A1" w:rsidP="00BF6BC7">
            <w:pPr>
              <w:keepNext/>
              <w:tabs>
                <w:tab w:val="left" w:pos="540"/>
                <w:tab w:val="left" w:pos="1080"/>
                <w:tab w:val="left" w:pos="1620"/>
                <w:tab w:val="left" w:pos="2160"/>
              </w:tabs>
            </w:pPr>
          </w:p>
        </w:tc>
        <w:tc>
          <w:tcPr>
            <w:tcW w:w="1965" w:type="dxa"/>
            <w:tcBorders>
              <w:top w:val="single" w:sz="4" w:space="0" w:color="auto"/>
              <w:left w:val="nil"/>
              <w:bottom w:val="single" w:sz="4" w:space="0" w:color="auto"/>
              <w:right w:val="single" w:sz="4" w:space="0" w:color="auto"/>
            </w:tcBorders>
            <w:vAlign w:val="center"/>
          </w:tcPr>
          <w:p w14:paraId="5AB19E83" w14:textId="77777777" w:rsidR="00F848A1" w:rsidRPr="00362517" w:rsidRDefault="00F848A1" w:rsidP="00BF6BC7">
            <w:pPr>
              <w:keepNext/>
              <w:tabs>
                <w:tab w:val="left" w:pos="540"/>
                <w:tab w:val="left" w:pos="1080"/>
                <w:tab w:val="left" w:pos="1620"/>
                <w:tab w:val="left" w:pos="2160"/>
              </w:tabs>
              <w:jc w:val="center"/>
            </w:pPr>
          </w:p>
        </w:tc>
        <w:tc>
          <w:tcPr>
            <w:tcW w:w="1980" w:type="dxa"/>
            <w:tcBorders>
              <w:top w:val="single" w:sz="4" w:space="0" w:color="auto"/>
              <w:left w:val="single" w:sz="4" w:space="0" w:color="auto"/>
              <w:bottom w:val="single" w:sz="4" w:space="0" w:color="auto"/>
              <w:right w:val="single" w:sz="4" w:space="0" w:color="auto"/>
            </w:tcBorders>
            <w:vAlign w:val="center"/>
          </w:tcPr>
          <w:p w14:paraId="5AB19E84" w14:textId="77777777" w:rsidR="00F848A1" w:rsidRPr="00362517" w:rsidRDefault="00F848A1" w:rsidP="00BF6BC7">
            <w:pPr>
              <w:keepNext/>
              <w:tabs>
                <w:tab w:val="left" w:pos="540"/>
                <w:tab w:val="left" w:pos="1080"/>
                <w:tab w:val="left" w:pos="1620"/>
                <w:tab w:val="left" w:pos="2160"/>
              </w:tabs>
              <w:jc w:val="center"/>
            </w:pPr>
          </w:p>
        </w:tc>
        <w:tc>
          <w:tcPr>
            <w:tcW w:w="1980" w:type="dxa"/>
            <w:tcBorders>
              <w:top w:val="single" w:sz="4" w:space="0" w:color="auto"/>
              <w:left w:val="single" w:sz="4" w:space="0" w:color="auto"/>
              <w:bottom w:val="single" w:sz="4" w:space="0" w:color="auto"/>
              <w:right w:val="double" w:sz="4" w:space="0" w:color="auto"/>
            </w:tcBorders>
            <w:noWrap/>
            <w:vAlign w:val="center"/>
          </w:tcPr>
          <w:p w14:paraId="5AB19E85" w14:textId="77777777" w:rsidR="00F848A1" w:rsidRPr="00362517" w:rsidRDefault="00F848A1" w:rsidP="00BF6BC7">
            <w:pPr>
              <w:keepNext/>
              <w:tabs>
                <w:tab w:val="left" w:pos="540"/>
                <w:tab w:val="left" w:pos="1080"/>
                <w:tab w:val="left" w:pos="1620"/>
                <w:tab w:val="left" w:pos="2160"/>
              </w:tabs>
              <w:jc w:val="center"/>
            </w:pPr>
          </w:p>
        </w:tc>
      </w:tr>
      <w:tr w:rsidR="00362517" w:rsidRPr="00362517" w14:paraId="5AB19E89" w14:textId="77777777" w:rsidTr="0034043F">
        <w:trPr>
          <w:trHeight w:val="300"/>
          <w:jc w:val="center"/>
        </w:trPr>
        <w:tc>
          <w:tcPr>
            <w:tcW w:w="6735" w:type="dxa"/>
            <w:gridSpan w:val="3"/>
            <w:tcBorders>
              <w:top w:val="single" w:sz="4" w:space="0" w:color="auto"/>
              <w:left w:val="double" w:sz="4" w:space="0" w:color="auto"/>
              <w:bottom w:val="double" w:sz="4" w:space="0" w:color="auto"/>
              <w:right w:val="single" w:sz="4" w:space="0" w:color="auto"/>
            </w:tcBorders>
            <w:noWrap/>
            <w:vAlign w:val="center"/>
            <w:hideMark/>
          </w:tcPr>
          <w:p w14:paraId="5AB19E87" w14:textId="77777777" w:rsidR="00F848A1" w:rsidRPr="00362517" w:rsidRDefault="00F848A1" w:rsidP="00BF6BC7">
            <w:pPr>
              <w:keepNext/>
              <w:tabs>
                <w:tab w:val="left" w:pos="540"/>
                <w:tab w:val="left" w:pos="1080"/>
                <w:tab w:val="left" w:pos="1620"/>
                <w:tab w:val="left" w:pos="2160"/>
              </w:tabs>
              <w:rPr>
                <w:b/>
                <w:bCs/>
              </w:rPr>
            </w:pPr>
            <w:r w:rsidRPr="00362517">
              <w:rPr>
                <w:b/>
                <w:bCs/>
              </w:rPr>
              <w:t>Total Value of a Day of Full Productivity</w:t>
            </w:r>
          </w:p>
        </w:tc>
        <w:tc>
          <w:tcPr>
            <w:tcW w:w="1980" w:type="dxa"/>
            <w:tcBorders>
              <w:top w:val="single" w:sz="4" w:space="0" w:color="auto"/>
              <w:left w:val="single" w:sz="4" w:space="0" w:color="auto"/>
              <w:bottom w:val="double" w:sz="4" w:space="0" w:color="auto"/>
              <w:right w:val="double" w:sz="4" w:space="0" w:color="auto"/>
            </w:tcBorders>
            <w:noWrap/>
            <w:vAlign w:val="center"/>
            <w:hideMark/>
          </w:tcPr>
          <w:p w14:paraId="5AB19E88" w14:textId="2927EEE9" w:rsidR="00F848A1" w:rsidRPr="00362517" w:rsidRDefault="00F848A1" w:rsidP="0081778C">
            <w:pPr>
              <w:jc w:val="center"/>
              <w:rPr>
                <w:b/>
                <w:bCs/>
              </w:rPr>
            </w:pPr>
            <w:r w:rsidRPr="00362517">
              <w:rPr>
                <w:b/>
                <w:bCs/>
              </w:rPr>
              <w:t>$429.</w:t>
            </w:r>
            <w:r w:rsidR="0081778C">
              <w:rPr>
                <w:b/>
                <w:bCs/>
              </w:rPr>
              <w:t>94</w:t>
            </w:r>
          </w:p>
        </w:tc>
      </w:tr>
      <w:tr w:rsidR="00F848A1" w:rsidRPr="00362517" w14:paraId="5AB19E90" w14:textId="77777777" w:rsidTr="0034043F">
        <w:trPr>
          <w:trHeight w:val="300"/>
          <w:jc w:val="center"/>
        </w:trPr>
        <w:tc>
          <w:tcPr>
            <w:tcW w:w="8715" w:type="dxa"/>
            <w:gridSpan w:val="4"/>
            <w:tcBorders>
              <w:top w:val="double" w:sz="4" w:space="0" w:color="auto"/>
              <w:left w:val="double" w:sz="4" w:space="0" w:color="auto"/>
              <w:bottom w:val="double" w:sz="4" w:space="0" w:color="auto"/>
              <w:right w:val="double" w:sz="4" w:space="0" w:color="auto"/>
            </w:tcBorders>
            <w:noWrap/>
            <w:vAlign w:val="center"/>
            <w:hideMark/>
          </w:tcPr>
          <w:p w14:paraId="5AB19E8A" w14:textId="77777777" w:rsidR="00F848A1" w:rsidRPr="00362517" w:rsidRDefault="00F848A1" w:rsidP="00BF6BC7">
            <w:pPr>
              <w:keepNext/>
              <w:tabs>
                <w:tab w:val="left" w:pos="540"/>
                <w:tab w:val="left" w:pos="1080"/>
                <w:tab w:val="left" w:pos="1620"/>
                <w:tab w:val="left" w:pos="2160"/>
              </w:tabs>
              <w:rPr>
                <w:sz w:val="20"/>
                <w:szCs w:val="20"/>
              </w:rPr>
            </w:pPr>
            <w:r w:rsidRPr="00362517">
              <w:rPr>
                <w:sz w:val="20"/>
                <w:szCs w:val="20"/>
              </w:rPr>
              <w:t>Sources:</w:t>
            </w:r>
          </w:p>
          <w:p w14:paraId="5AB19E8B" w14:textId="77777777" w:rsidR="00F848A1" w:rsidRPr="00362517" w:rsidRDefault="00F848A1" w:rsidP="00BF6BC7">
            <w:pPr>
              <w:keepNext/>
              <w:tabs>
                <w:tab w:val="left" w:pos="540"/>
                <w:tab w:val="left" w:pos="1080"/>
                <w:tab w:val="left" w:pos="1620"/>
                <w:tab w:val="left" w:pos="2160"/>
              </w:tabs>
              <w:rPr>
                <w:sz w:val="20"/>
                <w:szCs w:val="20"/>
              </w:rPr>
            </w:pPr>
            <w:r w:rsidRPr="00362517">
              <w:rPr>
                <w:sz w:val="20"/>
                <w:szCs w:val="20"/>
                <w:vertAlign w:val="superscript"/>
              </w:rPr>
              <w:t xml:space="preserve">a </w:t>
            </w:r>
            <w:r w:rsidRPr="00362517">
              <w:rPr>
                <w:sz w:val="20"/>
                <w:szCs w:val="20"/>
              </w:rPr>
              <w:t>BLS, 2016</w:t>
            </w:r>
            <w:r w:rsidR="00C84947" w:rsidRPr="00362517">
              <w:rPr>
                <w:sz w:val="20"/>
                <w:szCs w:val="20"/>
              </w:rPr>
              <w:t>b</w:t>
            </w:r>
            <w:r w:rsidRPr="00362517">
              <w:rPr>
                <w:sz w:val="20"/>
                <w:szCs w:val="20"/>
              </w:rPr>
              <w:t>, Current Population Survey (CPS)</w:t>
            </w:r>
          </w:p>
          <w:p w14:paraId="5AB19E8C" w14:textId="77777777" w:rsidR="00F848A1" w:rsidRPr="00362517" w:rsidRDefault="00F848A1" w:rsidP="00BF6BC7">
            <w:pPr>
              <w:keepNext/>
              <w:tabs>
                <w:tab w:val="left" w:pos="540"/>
                <w:tab w:val="left" w:pos="1080"/>
                <w:tab w:val="left" w:pos="1620"/>
                <w:tab w:val="left" w:pos="2160"/>
              </w:tabs>
              <w:rPr>
                <w:sz w:val="20"/>
                <w:szCs w:val="20"/>
              </w:rPr>
            </w:pPr>
            <w:r w:rsidRPr="00362517">
              <w:rPr>
                <w:sz w:val="20"/>
                <w:szCs w:val="20"/>
                <w:vertAlign w:val="superscript"/>
              </w:rPr>
              <w:t xml:space="preserve">b </w:t>
            </w:r>
            <w:r w:rsidRPr="00362517">
              <w:rPr>
                <w:sz w:val="20"/>
                <w:szCs w:val="20"/>
              </w:rPr>
              <w:t>Calculated by taking 24 hours per day times and subtracting the time known for work and housekeeping  and assuming 8 hours per day for sleep</w:t>
            </w:r>
          </w:p>
          <w:p w14:paraId="5AB19E8D" w14:textId="77777777" w:rsidR="00F848A1" w:rsidRPr="00362517" w:rsidRDefault="00F848A1" w:rsidP="00BF6BC7">
            <w:pPr>
              <w:keepNext/>
              <w:tabs>
                <w:tab w:val="left" w:pos="540"/>
                <w:tab w:val="left" w:pos="1080"/>
                <w:tab w:val="left" w:pos="1620"/>
                <w:tab w:val="left" w:pos="2160"/>
              </w:tabs>
              <w:rPr>
                <w:sz w:val="20"/>
                <w:szCs w:val="20"/>
              </w:rPr>
            </w:pPr>
            <w:r w:rsidRPr="00362517">
              <w:rPr>
                <w:sz w:val="20"/>
                <w:szCs w:val="20"/>
                <w:vertAlign w:val="superscript"/>
              </w:rPr>
              <w:t>c</w:t>
            </w:r>
            <w:r w:rsidRPr="00362517">
              <w:rPr>
                <w:sz w:val="20"/>
                <w:szCs w:val="20"/>
              </w:rPr>
              <w:t>EPA Estimates – see Chapter 3</w:t>
            </w:r>
          </w:p>
          <w:p w14:paraId="5AB19E8E" w14:textId="77777777" w:rsidR="00F848A1" w:rsidRPr="00362517" w:rsidRDefault="00F848A1" w:rsidP="00BF6BC7">
            <w:pPr>
              <w:keepNext/>
              <w:tabs>
                <w:tab w:val="left" w:pos="540"/>
                <w:tab w:val="left" w:pos="1080"/>
                <w:tab w:val="left" w:pos="1620"/>
                <w:tab w:val="left" w:pos="2160"/>
              </w:tabs>
              <w:rPr>
                <w:sz w:val="20"/>
                <w:szCs w:val="20"/>
              </w:rPr>
            </w:pPr>
            <w:r w:rsidRPr="00362517">
              <w:rPr>
                <w:sz w:val="20"/>
                <w:szCs w:val="20"/>
                <w:vertAlign w:val="superscript"/>
              </w:rPr>
              <w:t>d</w:t>
            </w:r>
            <w:r w:rsidRPr="00362517">
              <w:rPr>
                <w:sz w:val="20"/>
                <w:szCs w:val="20"/>
              </w:rPr>
              <w:t xml:space="preserve"> BLS, 2015: Calculated by taking the mean wage for personal/home care aides.</w:t>
            </w:r>
          </w:p>
          <w:p w14:paraId="5AB19E8F" w14:textId="77777777" w:rsidR="00F848A1" w:rsidRPr="00362517" w:rsidRDefault="00F848A1" w:rsidP="00BF6BC7">
            <w:pPr>
              <w:keepNext/>
              <w:tabs>
                <w:tab w:val="left" w:pos="540"/>
                <w:tab w:val="left" w:pos="1080"/>
                <w:tab w:val="left" w:pos="1620"/>
                <w:tab w:val="left" w:pos="2160"/>
              </w:tabs>
            </w:pPr>
            <w:r w:rsidRPr="00362517">
              <w:rPr>
                <w:sz w:val="20"/>
                <w:szCs w:val="20"/>
                <w:vertAlign w:val="superscript"/>
              </w:rPr>
              <w:t>e</w:t>
            </w:r>
            <w:r w:rsidRPr="00362517">
              <w:rPr>
                <w:sz w:val="20"/>
                <w:szCs w:val="20"/>
              </w:rPr>
              <w:t xml:space="preserve">Calculated as the wage rate less the overall tax rate for the nation (30.2%).  </w:t>
            </w:r>
          </w:p>
        </w:tc>
      </w:tr>
    </w:tbl>
    <w:p w14:paraId="5AB19E91" w14:textId="77777777" w:rsidR="00F848A1" w:rsidRPr="00362517" w:rsidRDefault="00F848A1" w:rsidP="00BF6BC7">
      <w:pPr>
        <w:tabs>
          <w:tab w:val="left" w:pos="540"/>
          <w:tab w:val="left" w:pos="1080"/>
          <w:tab w:val="left" w:pos="1620"/>
          <w:tab w:val="left" w:pos="2160"/>
        </w:tabs>
        <w:rPr>
          <w:sz w:val="22"/>
          <w:szCs w:val="22"/>
        </w:rPr>
      </w:pPr>
    </w:p>
    <w:p w14:paraId="5AB19E92" w14:textId="4E8C5B19" w:rsidR="00F848A1" w:rsidRPr="00362517" w:rsidRDefault="00F848A1" w:rsidP="00BF6BC7">
      <w:pPr>
        <w:tabs>
          <w:tab w:val="left" w:pos="540"/>
          <w:tab w:val="left" w:pos="1080"/>
          <w:tab w:val="left" w:pos="1620"/>
          <w:tab w:val="left" w:pos="2160"/>
        </w:tabs>
      </w:pPr>
      <w:r w:rsidRPr="00362517">
        <w:t>The SENSOR-Pesticides data do not report the duration of illness from the RUP incident, although the bounds of the duration can be inferred by the severity category.  The definitions of the severity categories contain ranges of time lost from work</w:t>
      </w:r>
      <w:r w:rsidR="000202F7" w:rsidRPr="00362517">
        <w:t xml:space="preserve"> (see Section 4.3.3)</w:t>
      </w:r>
      <w:r w:rsidRPr="00362517">
        <w:t xml:space="preserve">.  For the lowest severity category, time lost from work is less than three days, while for moderate severity incidents, between three and five days of work are lost.  For high severity incidents, time lost from work is greater than five days, although the description of the category cautions that “[t]his level of severity might include the need for continued health care following the exposure event, prolonged time off of work, and limitations or modification of work or normal activities. The individual may sustain permanent functional impairment.”  This description indicates that the damage from an RUP incident could last substantially longer than five days.  As shown in Table 4.4-10, for the moderate severity category, we use the low end (three days) and the high end (five days) of the range as the estimate of the time lost from the RUP exposure.  For the low severity category, the high end (three days) is defined, but the low end is not, so we use the midpoint of the range between zero and three days, or 1.5 days.  For the high severity category, the low end of the range is defined as five days, but the upper end is not defined, and could be permanent.  For this analysis, we assume that the upper end is 30 days, which is somewhat arbitrary.  </w:t>
      </w:r>
    </w:p>
    <w:p w14:paraId="5AB19E93" w14:textId="77777777" w:rsidR="00F848A1" w:rsidRPr="00362517" w:rsidRDefault="00F848A1" w:rsidP="00BF6BC7"/>
    <w:p w14:paraId="5AB19E94" w14:textId="7C0536BC" w:rsidR="00F848A1" w:rsidRPr="00362517" w:rsidRDefault="00F848A1" w:rsidP="00BF6BC7">
      <w:pPr>
        <w:tabs>
          <w:tab w:val="left" w:pos="540"/>
          <w:tab w:val="left" w:pos="1080"/>
          <w:tab w:val="left" w:pos="1620"/>
          <w:tab w:val="left" w:pos="2160"/>
        </w:tabs>
      </w:pPr>
      <w:r w:rsidRPr="00362517">
        <w:t>Table 4.4-10 shows the estimated average duration of clinical effects at each level of severity, with a high end and a low end estimate, as discussed above.  The time of effects, measured in days, is multiplied by the value of a full day of productivity ($429.</w:t>
      </w:r>
      <w:r w:rsidR="0081778C">
        <w:t>94</w:t>
      </w:r>
      <w:r w:rsidRPr="00362517">
        <w:t xml:space="preserve">) to yield high and low estimates of lost productivity for each severity level.     </w:t>
      </w:r>
    </w:p>
    <w:p w14:paraId="5AB19E95" w14:textId="77777777" w:rsidR="00F848A1" w:rsidRPr="00362517" w:rsidRDefault="00F848A1" w:rsidP="00BF6BC7">
      <w:pPr>
        <w:tabs>
          <w:tab w:val="left" w:pos="540"/>
          <w:tab w:val="left" w:pos="1080"/>
          <w:tab w:val="left" w:pos="1620"/>
          <w:tab w:val="left" w:pos="2160"/>
        </w:tabs>
      </w:pPr>
    </w:p>
    <w:tbl>
      <w:tblPr>
        <w:tblW w:w="8910" w:type="dxa"/>
        <w:tblInd w:w="-23" w:type="dxa"/>
        <w:tblLook w:val="04A0" w:firstRow="1" w:lastRow="0" w:firstColumn="1" w:lastColumn="0" w:noHBand="0" w:noVBand="1"/>
      </w:tblPr>
      <w:tblGrid>
        <w:gridCol w:w="4520"/>
        <w:gridCol w:w="1330"/>
        <w:gridCol w:w="1620"/>
        <w:gridCol w:w="1440"/>
      </w:tblGrid>
      <w:tr w:rsidR="00362517" w:rsidRPr="00362517" w14:paraId="5AB19E97" w14:textId="77777777" w:rsidTr="0034043F">
        <w:trPr>
          <w:trHeight w:val="345"/>
        </w:trPr>
        <w:tc>
          <w:tcPr>
            <w:tcW w:w="8910" w:type="dxa"/>
            <w:gridSpan w:val="4"/>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5AB19E96" w14:textId="77777777" w:rsidR="00F848A1" w:rsidRPr="00362517" w:rsidRDefault="00F848A1" w:rsidP="00BF6BC7">
            <w:pPr>
              <w:keepNext/>
              <w:rPr>
                <w:b/>
                <w:bCs/>
              </w:rPr>
            </w:pPr>
            <w:r w:rsidRPr="00362517">
              <w:rPr>
                <w:b/>
                <w:bCs/>
              </w:rPr>
              <w:t>Table 4.4-10: Average Clinical Effect Duration and Value of Lost Productivity by Clinical Effect</w:t>
            </w:r>
          </w:p>
        </w:tc>
      </w:tr>
      <w:tr w:rsidR="00362517" w:rsidRPr="00362517" w14:paraId="5AB19E9C" w14:textId="77777777" w:rsidTr="0034043F">
        <w:trPr>
          <w:trHeight w:val="882"/>
        </w:trPr>
        <w:tc>
          <w:tcPr>
            <w:tcW w:w="4520" w:type="dxa"/>
            <w:tcBorders>
              <w:top w:val="nil"/>
              <w:left w:val="double" w:sz="6" w:space="0" w:color="auto"/>
              <w:bottom w:val="double" w:sz="6" w:space="0" w:color="auto"/>
              <w:right w:val="single" w:sz="8" w:space="0" w:color="auto"/>
            </w:tcBorders>
            <w:shd w:val="clear" w:color="auto" w:fill="auto"/>
            <w:noWrap/>
            <w:vAlign w:val="bottom"/>
            <w:hideMark/>
          </w:tcPr>
          <w:p w14:paraId="5AB19E98" w14:textId="77777777" w:rsidR="00F848A1" w:rsidRPr="00362517" w:rsidRDefault="00F848A1" w:rsidP="00BF6BC7">
            <w:pPr>
              <w:keepNext/>
              <w:jc w:val="center"/>
              <w:rPr>
                <w:b/>
                <w:bCs/>
              </w:rPr>
            </w:pPr>
            <w:r w:rsidRPr="00362517">
              <w:rPr>
                <w:b/>
                <w:bCs/>
              </w:rPr>
              <w:t>Clinical Effect</w:t>
            </w:r>
          </w:p>
        </w:tc>
        <w:tc>
          <w:tcPr>
            <w:tcW w:w="1330" w:type="dxa"/>
            <w:tcBorders>
              <w:top w:val="nil"/>
              <w:left w:val="nil"/>
              <w:bottom w:val="double" w:sz="6" w:space="0" w:color="auto"/>
              <w:right w:val="single" w:sz="8" w:space="0" w:color="auto"/>
            </w:tcBorders>
            <w:shd w:val="clear" w:color="auto" w:fill="auto"/>
            <w:vAlign w:val="bottom"/>
            <w:hideMark/>
          </w:tcPr>
          <w:p w14:paraId="5AB19E99" w14:textId="77777777" w:rsidR="00F848A1" w:rsidRPr="00362517" w:rsidRDefault="00F848A1" w:rsidP="00BF6BC7">
            <w:pPr>
              <w:keepNext/>
              <w:jc w:val="center"/>
              <w:rPr>
                <w:b/>
                <w:bCs/>
              </w:rPr>
            </w:pPr>
            <w:r w:rsidRPr="00362517">
              <w:rPr>
                <w:b/>
                <w:bCs/>
              </w:rPr>
              <w:t>Scenario</w:t>
            </w:r>
          </w:p>
        </w:tc>
        <w:tc>
          <w:tcPr>
            <w:tcW w:w="1620" w:type="dxa"/>
            <w:tcBorders>
              <w:top w:val="nil"/>
              <w:left w:val="nil"/>
              <w:bottom w:val="double" w:sz="6" w:space="0" w:color="auto"/>
              <w:right w:val="single" w:sz="8" w:space="0" w:color="auto"/>
            </w:tcBorders>
            <w:shd w:val="clear" w:color="auto" w:fill="auto"/>
            <w:vAlign w:val="bottom"/>
            <w:hideMark/>
          </w:tcPr>
          <w:p w14:paraId="5AB19E9A" w14:textId="77777777" w:rsidR="00F848A1" w:rsidRPr="00362517" w:rsidRDefault="00F848A1" w:rsidP="00BF6BC7">
            <w:pPr>
              <w:keepNext/>
              <w:jc w:val="center"/>
              <w:rPr>
                <w:b/>
                <w:bCs/>
              </w:rPr>
            </w:pPr>
            <w:r w:rsidRPr="00362517">
              <w:rPr>
                <w:b/>
                <w:bCs/>
              </w:rPr>
              <w:t>Duration of Clinical Effect (Days)</w:t>
            </w:r>
          </w:p>
        </w:tc>
        <w:tc>
          <w:tcPr>
            <w:tcW w:w="1440" w:type="dxa"/>
            <w:tcBorders>
              <w:top w:val="nil"/>
              <w:left w:val="nil"/>
              <w:bottom w:val="double" w:sz="6" w:space="0" w:color="auto"/>
              <w:right w:val="double" w:sz="6" w:space="0" w:color="auto"/>
            </w:tcBorders>
            <w:shd w:val="clear" w:color="auto" w:fill="auto"/>
            <w:vAlign w:val="bottom"/>
            <w:hideMark/>
          </w:tcPr>
          <w:p w14:paraId="5AB19E9B" w14:textId="77777777" w:rsidR="00F848A1" w:rsidRPr="00362517" w:rsidRDefault="00F848A1" w:rsidP="00BF6BC7">
            <w:pPr>
              <w:keepNext/>
              <w:jc w:val="center"/>
              <w:rPr>
                <w:b/>
                <w:bCs/>
              </w:rPr>
            </w:pPr>
            <w:r w:rsidRPr="00362517">
              <w:rPr>
                <w:b/>
                <w:bCs/>
              </w:rPr>
              <w:t>E[VPL</w:t>
            </w:r>
            <w:r w:rsidRPr="00362517">
              <w:rPr>
                <w:b/>
                <w:bCs/>
                <w:i/>
                <w:iCs/>
                <w:vertAlign w:val="subscript"/>
              </w:rPr>
              <w:t>i</w:t>
            </w:r>
            <w:r w:rsidRPr="00362517">
              <w:rPr>
                <w:b/>
                <w:bCs/>
              </w:rPr>
              <w:t>]</w:t>
            </w:r>
            <w:r w:rsidRPr="00362517">
              <w:rPr>
                <w:b/>
                <w:bCs/>
                <w:vertAlign w:val="superscript"/>
              </w:rPr>
              <w:t xml:space="preserve"> a</w:t>
            </w:r>
          </w:p>
        </w:tc>
      </w:tr>
      <w:tr w:rsidR="00362517" w:rsidRPr="00362517" w14:paraId="5AB19EA1" w14:textId="77777777" w:rsidTr="0034043F">
        <w:trPr>
          <w:trHeight w:val="405"/>
        </w:trPr>
        <w:tc>
          <w:tcPr>
            <w:tcW w:w="4520" w:type="dxa"/>
            <w:vMerge w:val="restart"/>
            <w:tcBorders>
              <w:top w:val="nil"/>
              <w:left w:val="double" w:sz="6" w:space="0" w:color="auto"/>
              <w:right w:val="single" w:sz="8" w:space="0" w:color="auto"/>
            </w:tcBorders>
            <w:shd w:val="clear" w:color="auto" w:fill="auto"/>
            <w:noWrap/>
            <w:vAlign w:val="center"/>
            <w:hideMark/>
          </w:tcPr>
          <w:p w14:paraId="5AB19E9D" w14:textId="77777777" w:rsidR="00F848A1" w:rsidRPr="00362517" w:rsidRDefault="00F848A1" w:rsidP="00BF6BC7">
            <w:pPr>
              <w:keepNext/>
            </w:pPr>
            <w:r w:rsidRPr="00362517">
              <w:t>Category S-4: Low severity illness or injury</w:t>
            </w:r>
          </w:p>
        </w:tc>
        <w:tc>
          <w:tcPr>
            <w:tcW w:w="1330" w:type="dxa"/>
            <w:tcBorders>
              <w:top w:val="nil"/>
              <w:left w:val="nil"/>
              <w:bottom w:val="single" w:sz="8" w:space="0" w:color="auto"/>
              <w:right w:val="single" w:sz="8" w:space="0" w:color="auto"/>
            </w:tcBorders>
            <w:shd w:val="clear" w:color="auto" w:fill="auto"/>
            <w:vAlign w:val="center"/>
            <w:hideMark/>
          </w:tcPr>
          <w:p w14:paraId="5AB19E9E" w14:textId="77777777" w:rsidR="00F848A1" w:rsidRPr="00362517" w:rsidRDefault="00F848A1" w:rsidP="00BF6BC7">
            <w:pPr>
              <w:keepNext/>
            </w:pPr>
            <w:r w:rsidRPr="00362517">
              <w:t>Low-End</w:t>
            </w:r>
          </w:p>
        </w:tc>
        <w:tc>
          <w:tcPr>
            <w:tcW w:w="1620" w:type="dxa"/>
            <w:tcBorders>
              <w:top w:val="nil"/>
              <w:left w:val="nil"/>
              <w:bottom w:val="single" w:sz="8" w:space="0" w:color="auto"/>
              <w:right w:val="single" w:sz="8" w:space="0" w:color="auto"/>
            </w:tcBorders>
            <w:shd w:val="clear" w:color="auto" w:fill="auto"/>
            <w:vAlign w:val="center"/>
            <w:hideMark/>
          </w:tcPr>
          <w:p w14:paraId="5AB19E9F" w14:textId="77777777" w:rsidR="00F848A1" w:rsidRPr="00362517" w:rsidRDefault="00F848A1" w:rsidP="00BF6BC7">
            <w:pPr>
              <w:keepNext/>
              <w:jc w:val="center"/>
            </w:pPr>
            <w:r w:rsidRPr="00362517">
              <w:t>1.5</w:t>
            </w:r>
          </w:p>
        </w:tc>
        <w:tc>
          <w:tcPr>
            <w:tcW w:w="1440" w:type="dxa"/>
            <w:tcBorders>
              <w:top w:val="nil"/>
              <w:left w:val="nil"/>
              <w:bottom w:val="single" w:sz="8" w:space="0" w:color="auto"/>
              <w:right w:val="double" w:sz="6" w:space="0" w:color="auto"/>
            </w:tcBorders>
            <w:shd w:val="clear" w:color="auto" w:fill="auto"/>
            <w:noWrap/>
            <w:vAlign w:val="center"/>
            <w:hideMark/>
          </w:tcPr>
          <w:p w14:paraId="5AB19EA0" w14:textId="6F11BF2F" w:rsidR="00F848A1" w:rsidRPr="00362517" w:rsidRDefault="00F848A1" w:rsidP="0081778C">
            <w:pPr>
              <w:keepNext/>
              <w:jc w:val="center"/>
            </w:pPr>
            <w:r w:rsidRPr="00362517">
              <w:t>$644.</w:t>
            </w:r>
            <w:r w:rsidR="0081778C">
              <w:t>92</w:t>
            </w:r>
            <w:r w:rsidR="0081778C" w:rsidRPr="00362517">
              <w:t xml:space="preserve"> </w:t>
            </w:r>
          </w:p>
        </w:tc>
      </w:tr>
      <w:tr w:rsidR="00362517" w:rsidRPr="00362517" w14:paraId="5AB19EA6" w14:textId="77777777" w:rsidTr="0034043F">
        <w:trPr>
          <w:trHeight w:val="390"/>
        </w:trPr>
        <w:tc>
          <w:tcPr>
            <w:tcW w:w="4520" w:type="dxa"/>
            <w:vMerge/>
            <w:tcBorders>
              <w:left w:val="double" w:sz="6" w:space="0" w:color="auto"/>
              <w:bottom w:val="single" w:sz="8" w:space="0" w:color="auto"/>
              <w:right w:val="single" w:sz="8" w:space="0" w:color="auto"/>
            </w:tcBorders>
            <w:shd w:val="clear" w:color="auto" w:fill="auto"/>
            <w:noWrap/>
            <w:vAlign w:val="center"/>
            <w:hideMark/>
          </w:tcPr>
          <w:p w14:paraId="5AB19EA2" w14:textId="77777777" w:rsidR="00F848A1" w:rsidRPr="00362517" w:rsidRDefault="00F848A1" w:rsidP="00BF6BC7">
            <w:pPr>
              <w:keepNext/>
            </w:pPr>
          </w:p>
        </w:tc>
        <w:tc>
          <w:tcPr>
            <w:tcW w:w="1330" w:type="dxa"/>
            <w:tcBorders>
              <w:top w:val="nil"/>
              <w:left w:val="nil"/>
              <w:bottom w:val="single" w:sz="8" w:space="0" w:color="auto"/>
              <w:right w:val="single" w:sz="8" w:space="0" w:color="auto"/>
            </w:tcBorders>
            <w:shd w:val="clear" w:color="auto" w:fill="auto"/>
            <w:vAlign w:val="center"/>
            <w:hideMark/>
          </w:tcPr>
          <w:p w14:paraId="5AB19EA3" w14:textId="77777777" w:rsidR="00F848A1" w:rsidRPr="00362517" w:rsidRDefault="00F848A1" w:rsidP="00BF6BC7">
            <w:pPr>
              <w:keepNext/>
            </w:pPr>
            <w:r w:rsidRPr="00362517">
              <w:t>High-end</w:t>
            </w:r>
          </w:p>
        </w:tc>
        <w:tc>
          <w:tcPr>
            <w:tcW w:w="1620" w:type="dxa"/>
            <w:tcBorders>
              <w:top w:val="nil"/>
              <w:left w:val="nil"/>
              <w:bottom w:val="single" w:sz="8" w:space="0" w:color="auto"/>
              <w:right w:val="single" w:sz="8" w:space="0" w:color="auto"/>
            </w:tcBorders>
            <w:shd w:val="clear" w:color="auto" w:fill="auto"/>
            <w:vAlign w:val="center"/>
            <w:hideMark/>
          </w:tcPr>
          <w:p w14:paraId="5AB19EA4" w14:textId="77777777" w:rsidR="00F848A1" w:rsidRPr="00362517" w:rsidRDefault="00F848A1" w:rsidP="00BF6BC7">
            <w:pPr>
              <w:keepNext/>
              <w:jc w:val="center"/>
            </w:pPr>
            <w:r w:rsidRPr="00362517">
              <w:t>3</w:t>
            </w:r>
          </w:p>
        </w:tc>
        <w:tc>
          <w:tcPr>
            <w:tcW w:w="1440" w:type="dxa"/>
            <w:tcBorders>
              <w:top w:val="nil"/>
              <w:left w:val="nil"/>
              <w:bottom w:val="single" w:sz="8" w:space="0" w:color="auto"/>
              <w:right w:val="double" w:sz="6" w:space="0" w:color="auto"/>
            </w:tcBorders>
            <w:shd w:val="clear" w:color="auto" w:fill="auto"/>
            <w:noWrap/>
            <w:vAlign w:val="center"/>
            <w:hideMark/>
          </w:tcPr>
          <w:p w14:paraId="5AB19EA5" w14:textId="374495F6" w:rsidR="00F848A1" w:rsidRPr="00362517" w:rsidRDefault="00F848A1" w:rsidP="0081778C">
            <w:pPr>
              <w:keepNext/>
              <w:jc w:val="center"/>
            </w:pPr>
            <w:r w:rsidRPr="00362517">
              <w:t>$1,28</w:t>
            </w:r>
            <w:r w:rsidR="0081778C">
              <w:t>9</w:t>
            </w:r>
            <w:r w:rsidRPr="00362517">
              <w:t>.</w:t>
            </w:r>
            <w:r w:rsidR="0081778C">
              <w:t>83</w:t>
            </w:r>
            <w:r w:rsidRPr="00362517">
              <w:t xml:space="preserve"> </w:t>
            </w:r>
          </w:p>
        </w:tc>
      </w:tr>
      <w:tr w:rsidR="00362517" w:rsidRPr="00362517" w14:paraId="5AB19EAC" w14:textId="77777777" w:rsidTr="0034043F">
        <w:trPr>
          <w:trHeight w:val="645"/>
        </w:trPr>
        <w:tc>
          <w:tcPr>
            <w:tcW w:w="4520" w:type="dxa"/>
            <w:vMerge w:val="restart"/>
            <w:tcBorders>
              <w:top w:val="nil"/>
              <w:left w:val="double" w:sz="6" w:space="0" w:color="auto"/>
              <w:right w:val="single" w:sz="8" w:space="0" w:color="auto"/>
            </w:tcBorders>
            <w:shd w:val="clear" w:color="auto" w:fill="auto"/>
            <w:noWrap/>
            <w:vAlign w:val="center"/>
            <w:hideMark/>
          </w:tcPr>
          <w:p w14:paraId="5AB19EA7" w14:textId="77777777" w:rsidR="00F848A1" w:rsidRPr="00362517" w:rsidRDefault="00F848A1" w:rsidP="00BF6BC7">
            <w:pPr>
              <w:keepNext/>
            </w:pPr>
            <w:r w:rsidRPr="00362517">
              <w:t>Category S-3: Moderate severity illness or injury</w:t>
            </w:r>
          </w:p>
          <w:p w14:paraId="5AB19EA8" w14:textId="77777777" w:rsidR="00F848A1" w:rsidRPr="00362517" w:rsidRDefault="00F848A1" w:rsidP="00BF6BC7">
            <w:pPr>
              <w:keepNext/>
            </w:pPr>
          </w:p>
        </w:tc>
        <w:tc>
          <w:tcPr>
            <w:tcW w:w="1330" w:type="dxa"/>
            <w:tcBorders>
              <w:top w:val="nil"/>
              <w:left w:val="nil"/>
              <w:bottom w:val="single" w:sz="8" w:space="0" w:color="auto"/>
              <w:right w:val="single" w:sz="8" w:space="0" w:color="auto"/>
            </w:tcBorders>
            <w:shd w:val="clear" w:color="auto" w:fill="auto"/>
            <w:vAlign w:val="center"/>
            <w:hideMark/>
          </w:tcPr>
          <w:p w14:paraId="5AB19EA9" w14:textId="77777777" w:rsidR="00F848A1" w:rsidRPr="00362517" w:rsidRDefault="00F848A1" w:rsidP="00BF6BC7">
            <w:pPr>
              <w:keepNext/>
            </w:pPr>
            <w:r w:rsidRPr="00362517">
              <w:t>Low-End</w:t>
            </w:r>
          </w:p>
        </w:tc>
        <w:tc>
          <w:tcPr>
            <w:tcW w:w="1620" w:type="dxa"/>
            <w:tcBorders>
              <w:top w:val="nil"/>
              <w:left w:val="nil"/>
              <w:bottom w:val="single" w:sz="8" w:space="0" w:color="auto"/>
              <w:right w:val="single" w:sz="8" w:space="0" w:color="auto"/>
            </w:tcBorders>
            <w:shd w:val="clear" w:color="auto" w:fill="auto"/>
            <w:vAlign w:val="center"/>
            <w:hideMark/>
          </w:tcPr>
          <w:p w14:paraId="5AB19EAA" w14:textId="77777777" w:rsidR="00F848A1" w:rsidRPr="00362517" w:rsidRDefault="00F848A1" w:rsidP="00BF6BC7">
            <w:pPr>
              <w:keepNext/>
              <w:jc w:val="center"/>
            </w:pPr>
            <w:r w:rsidRPr="00362517">
              <w:t>3</w:t>
            </w:r>
          </w:p>
        </w:tc>
        <w:tc>
          <w:tcPr>
            <w:tcW w:w="1440" w:type="dxa"/>
            <w:tcBorders>
              <w:top w:val="nil"/>
              <w:left w:val="nil"/>
              <w:bottom w:val="single" w:sz="8" w:space="0" w:color="auto"/>
              <w:right w:val="double" w:sz="6" w:space="0" w:color="auto"/>
            </w:tcBorders>
            <w:shd w:val="clear" w:color="auto" w:fill="auto"/>
            <w:noWrap/>
            <w:vAlign w:val="center"/>
            <w:hideMark/>
          </w:tcPr>
          <w:p w14:paraId="5AB19EAB" w14:textId="0BBB8260" w:rsidR="00F848A1" w:rsidRPr="00362517" w:rsidRDefault="00F848A1" w:rsidP="0081778C">
            <w:pPr>
              <w:keepNext/>
              <w:jc w:val="center"/>
            </w:pPr>
            <w:r w:rsidRPr="00362517">
              <w:t>$1,28</w:t>
            </w:r>
            <w:r w:rsidR="0081778C">
              <w:t>9</w:t>
            </w:r>
            <w:r w:rsidRPr="00362517">
              <w:t>.</w:t>
            </w:r>
            <w:r w:rsidR="0081778C">
              <w:t>83</w:t>
            </w:r>
            <w:r w:rsidRPr="00362517">
              <w:t xml:space="preserve"> </w:t>
            </w:r>
          </w:p>
        </w:tc>
      </w:tr>
      <w:tr w:rsidR="00362517" w:rsidRPr="00362517" w14:paraId="5AB19EB1" w14:textId="77777777" w:rsidTr="0034043F">
        <w:trPr>
          <w:trHeight w:val="330"/>
        </w:trPr>
        <w:tc>
          <w:tcPr>
            <w:tcW w:w="4520" w:type="dxa"/>
            <w:vMerge/>
            <w:tcBorders>
              <w:left w:val="double" w:sz="6" w:space="0" w:color="auto"/>
              <w:bottom w:val="single" w:sz="8" w:space="0" w:color="auto"/>
              <w:right w:val="single" w:sz="8" w:space="0" w:color="auto"/>
            </w:tcBorders>
            <w:shd w:val="clear" w:color="auto" w:fill="auto"/>
            <w:noWrap/>
            <w:vAlign w:val="center"/>
            <w:hideMark/>
          </w:tcPr>
          <w:p w14:paraId="5AB19EAD" w14:textId="77777777" w:rsidR="00F848A1" w:rsidRPr="00362517" w:rsidRDefault="00F848A1" w:rsidP="00BF6BC7">
            <w:pPr>
              <w:keepNext/>
            </w:pPr>
          </w:p>
        </w:tc>
        <w:tc>
          <w:tcPr>
            <w:tcW w:w="1330" w:type="dxa"/>
            <w:tcBorders>
              <w:top w:val="nil"/>
              <w:left w:val="nil"/>
              <w:bottom w:val="single" w:sz="8" w:space="0" w:color="auto"/>
              <w:right w:val="single" w:sz="8" w:space="0" w:color="auto"/>
            </w:tcBorders>
            <w:shd w:val="clear" w:color="auto" w:fill="auto"/>
            <w:vAlign w:val="center"/>
            <w:hideMark/>
          </w:tcPr>
          <w:p w14:paraId="5AB19EAE" w14:textId="77777777" w:rsidR="00F848A1" w:rsidRPr="00362517" w:rsidRDefault="00F848A1" w:rsidP="00BF6BC7">
            <w:pPr>
              <w:keepNext/>
            </w:pPr>
            <w:r w:rsidRPr="00362517">
              <w:t>High-end</w:t>
            </w:r>
          </w:p>
        </w:tc>
        <w:tc>
          <w:tcPr>
            <w:tcW w:w="1620" w:type="dxa"/>
            <w:tcBorders>
              <w:top w:val="nil"/>
              <w:left w:val="nil"/>
              <w:bottom w:val="single" w:sz="8" w:space="0" w:color="auto"/>
              <w:right w:val="single" w:sz="8" w:space="0" w:color="auto"/>
            </w:tcBorders>
            <w:shd w:val="clear" w:color="auto" w:fill="auto"/>
            <w:vAlign w:val="center"/>
            <w:hideMark/>
          </w:tcPr>
          <w:p w14:paraId="5AB19EAF" w14:textId="77777777" w:rsidR="00F848A1" w:rsidRPr="00362517" w:rsidRDefault="00F848A1" w:rsidP="00BF6BC7">
            <w:pPr>
              <w:keepNext/>
              <w:jc w:val="center"/>
            </w:pPr>
            <w:r w:rsidRPr="00362517">
              <w:t>5</w:t>
            </w:r>
          </w:p>
        </w:tc>
        <w:tc>
          <w:tcPr>
            <w:tcW w:w="1440" w:type="dxa"/>
            <w:tcBorders>
              <w:top w:val="nil"/>
              <w:left w:val="nil"/>
              <w:bottom w:val="single" w:sz="8" w:space="0" w:color="auto"/>
              <w:right w:val="double" w:sz="6" w:space="0" w:color="auto"/>
            </w:tcBorders>
            <w:shd w:val="clear" w:color="auto" w:fill="auto"/>
            <w:noWrap/>
            <w:vAlign w:val="center"/>
            <w:hideMark/>
          </w:tcPr>
          <w:p w14:paraId="5AB19EB0" w14:textId="1AFB4ECB" w:rsidR="00F848A1" w:rsidRPr="00362517" w:rsidRDefault="00F848A1" w:rsidP="0081778C">
            <w:pPr>
              <w:keepNext/>
              <w:jc w:val="center"/>
            </w:pPr>
            <w:r w:rsidRPr="00362517">
              <w:t>$2,14</w:t>
            </w:r>
            <w:r w:rsidR="0081778C">
              <w:t>9</w:t>
            </w:r>
            <w:r w:rsidRPr="00362517">
              <w:t>.</w:t>
            </w:r>
            <w:r w:rsidR="0081778C">
              <w:t>72</w:t>
            </w:r>
            <w:r w:rsidRPr="00362517">
              <w:t xml:space="preserve"> </w:t>
            </w:r>
          </w:p>
        </w:tc>
      </w:tr>
      <w:tr w:rsidR="00362517" w:rsidRPr="00362517" w14:paraId="5AB19EB7" w14:textId="77777777" w:rsidTr="0034043F">
        <w:trPr>
          <w:trHeight w:val="412"/>
        </w:trPr>
        <w:tc>
          <w:tcPr>
            <w:tcW w:w="4520" w:type="dxa"/>
            <w:vMerge w:val="restart"/>
            <w:tcBorders>
              <w:top w:val="nil"/>
              <w:left w:val="double" w:sz="6" w:space="0" w:color="auto"/>
              <w:right w:val="single" w:sz="8" w:space="0" w:color="auto"/>
            </w:tcBorders>
            <w:shd w:val="clear" w:color="auto" w:fill="auto"/>
            <w:noWrap/>
            <w:vAlign w:val="center"/>
            <w:hideMark/>
          </w:tcPr>
          <w:p w14:paraId="5AB19EB2" w14:textId="77777777" w:rsidR="00F848A1" w:rsidRPr="00362517" w:rsidRDefault="00F848A1" w:rsidP="00BF6BC7">
            <w:pPr>
              <w:keepNext/>
            </w:pPr>
            <w:r w:rsidRPr="00362517">
              <w:t xml:space="preserve">Category S-2: High severity illness or injury </w:t>
            </w:r>
          </w:p>
          <w:p w14:paraId="5AB19EB3" w14:textId="77777777" w:rsidR="00F848A1" w:rsidRPr="00362517" w:rsidRDefault="00F848A1" w:rsidP="00BF6BC7">
            <w:pPr>
              <w:keepNext/>
            </w:pPr>
          </w:p>
        </w:tc>
        <w:tc>
          <w:tcPr>
            <w:tcW w:w="1330" w:type="dxa"/>
            <w:tcBorders>
              <w:top w:val="nil"/>
              <w:left w:val="nil"/>
              <w:bottom w:val="single" w:sz="8" w:space="0" w:color="auto"/>
              <w:right w:val="single" w:sz="8" w:space="0" w:color="auto"/>
            </w:tcBorders>
            <w:shd w:val="clear" w:color="auto" w:fill="auto"/>
            <w:vAlign w:val="center"/>
            <w:hideMark/>
          </w:tcPr>
          <w:p w14:paraId="5AB19EB4" w14:textId="77777777" w:rsidR="00F848A1" w:rsidRPr="00362517" w:rsidRDefault="00F848A1" w:rsidP="00BF6BC7">
            <w:pPr>
              <w:keepNext/>
            </w:pPr>
            <w:r w:rsidRPr="00362517">
              <w:t>Low-End</w:t>
            </w:r>
          </w:p>
        </w:tc>
        <w:tc>
          <w:tcPr>
            <w:tcW w:w="1620" w:type="dxa"/>
            <w:tcBorders>
              <w:top w:val="nil"/>
              <w:left w:val="nil"/>
              <w:bottom w:val="single" w:sz="8" w:space="0" w:color="auto"/>
              <w:right w:val="single" w:sz="8" w:space="0" w:color="auto"/>
            </w:tcBorders>
            <w:shd w:val="clear" w:color="auto" w:fill="auto"/>
            <w:vAlign w:val="center"/>
            <w:hideMark/>
          </w:tcPr>
          <w:p w14:paraId="5AB19EB5" w14:textId="77777777" w:rsidR="00F848A1" w:rsidRPr="00362517" w:rsidRDefault="00F848A1" w:rsidP="00BF6BC7">
            <w:pPr>
              <w:keepNext/>
              <w:jc w:val="center"/>
            </w:pPr>
            <w:r w:rsidRPr="00362517">
              <w:t>5</w:t>
            </w:r>
          </w:p>
        </w:tc>
        <w:tc>
          <w:tcPr>
            <w:tcW w:w="1440" w:type="dxa"/>
            <w:tcBorders>
              <w:top w:val="nil"/>
              <w:left w:val="nil"/>
              <w:bottom w:val="single" w:sz="8" w:space="0" w:color="auto"/>
              <w:right w:val="double" w:sz="6" w:space="0" w:color="auto"/>
            </w:tcBorders>
            <w:shd w:val="clear" w:color="auto" w:fill="auto"/>
            <w:noWrap/>
            <w:vAlign w:val="center"/>
            <w:hideMark/>
          </w:tcPr>
          <w:p w14:paraId="5AB19EB6" w14:textId="4DE0539B" w:rsidR="00F848A1" w:rsidRPr="00362517" w:rsidRDefault="00F848A1" w:rsidP="0081778C">
            <w:pPr>
              <w:keepNext/>
              <w:jc w:val="center"/>
            </w:pPr>
            <w:r w:rsidRPr="00362517">
              <w:t>$2,14</w:t>
            </w:r>
            <w:r w:rsidR="0081778C">
              <w:t>9</w:t>
            </w:r>
            <w:r w:rsidRPr="00362517">
              <w:t>.</w:t>
            </w:r>
            <w:r w:rsidR="0081778C">
              <w:t>72</w:t>
            </w:r>
            <w:r w:rsidRPr="00362517">
              <w:t xml:space="preserve"> </w:t>
            </w:r>
          </w:p>
        </w:tc>
      </w:tr>
      <w:tr w:rsidR="00362517" w:rsidRPr="00362517" w14:paraId="5AB19EBC" w14:textId="77777777" w:rsidTr="0034043F">
        <w:trPr>
          <w:trHeight w:val="330"/>
        </w:trPr>
        <w:tc>
          <w:tcPr>
            <w:tcW w:w="4520" w:type="dxa"/>
            <w:vMerge/>
            <w:tcBorders>
              <w:left w:val="double" w:sz="6" w:space="0" w:color="auto"/>
              <w:bottom w:val="single" w:sz="8" w:space="0" w:color="auto"/>
              <w:right w:val="single" w:sz="8" w:space="0" w:color="auto"/>
            </w:tcBorders>
            <w:shd w:val="clear" w:color="auto" w:fill="auto"/>
            <w:noWrap/>
            <w:vAlign w:val="center"/>
            <w:hideMark/>
          </w:tcPr>
          <w:p w14:paraId="5AB19EB8" w14:textId="77777777" w:rsidR="00F848A1" w:rsidRPr="00362517" w:rsidRDefault="00F848A1" w:rsidP="00BF6BC7">
            <w:pPr>
              <w:keepNext/>
            </w:pPr>
          </w:p>
        </w:tc>
        <w:tc>
          <w:tcPr>
            <w:tcW w:w="1330" w:type="dxa"/>
            <w:tcBorders>
              <w:top w:val="nil"/>
              <w:left w:val="nil"/>
              <w:bottom w:val="single" w:sz="8" w:space="0" w:color="auto"/>
              <w:right w:val="single" w:sz="8" w:space="0" w:color="auto"/>
            </w:tcBorders>
            <w:shd w:val="clear" w:color="auto" w:fill="auto"/>
            <w:vAlign w:val="center"/>
            <w:hideMark/>
          </w:tcPr>
          <w:p w14:paraId="5AB19EB9" w14:textId="77777777" w:rsidR="00F848A1" w:rsidRPr="00362517" w:rsidRDefault="00F848A1" w:rsidP="00BF6BC7">
            <w:pPr>
              <w:keepNext/>
            </w:pPr>
            <w:r w:rsidRPr="00362517">
              <w:t>High-end</w:t>
            </w:r>
          </w:p>
        </w:tc>
        <w:tc>
          <w:tcPr>
            <w:tcW w:w="1620" w:type="dxa"/>
            <w:tcBorders>
              <w:top w:val="nil"/>
              <w:left w:val="nil"/>
              <w:bottom w:val="single" w:sz="8" w:space="0" w:color="auto"/>
              <w:right w:val="single" w:sz="8" w:space="0" w:color="auto"/>
            </w:tcBorders>
            <w:shd w:val="clear" w:color="auto" w:fill="auto"/>
            <w:vAlign w:val="center"/>
            <w:hideMark/>
          </w:tcPr>
          <w:p w14:paraId="5AB19EBA" w14:textId="77777777" w:rsidR="00F848A1" w:rsidRPr="00362517" w:rsidRDefault="00F848A1" w:rsidP="00BF6BC7">
            <w:pPr>
              <w:keepNext/>
              <w:jc w:val="center"/>
            </w:pPr>
            <w:r w:rsidRPr="00362517">
              <w:t>30</w:t>
            </w:r>
          </w:p>
        </w:tc>
        <w:tc>
          <w:tcPr>
            <w:tcW w:w="1440" w:type="dxa"/>
            <w:tcBorders>
              <w:top w:val="nil"/>
              <w:left w:val="nil"/>
              <w:bottom w:val="single" w:sz="8" w:space="0" w:color="auto"/>
              <w:right w:val="double" w:sz="6" w:space="0" w:color="auto"/>
            </w:tcBorders>
            <w:shd w:val="clear" w:color="auto" w:fill="auto"/>
            <w:noWrap/>
            <w:vAlign w:val="center"/>
            <w:hideMark/>
          </w:tcPr>
          <w:p w14:paraId="5AB19EBB" w14:textId="033A3F36" w:rsidR="00F848A1" w:rsidRPr="00362517" w:rsidRDefault="00F848A1" w:rsidP="0081778C">
            <w:pPr>
              <w:keepNext/>
              <w:jc w:val="center"/>
            </w:pPr>
            <w:r w:rsidRPr="00362517">
              <w:t>$12,89</w:t>
            </w:r>
            <w:r w:rsidR="0081778C">
              <w:t>8</w:t>
            </w:r>
            <w:r w:rsidRPr="00362517">
              <w:t>.</w:t>
            </w:r>
            <w:r w:rsidR="0081778C">
              <w:t>30</w:t>
            </w:r>
            <w:r w:rsidRPr="00362517">
              <w:t xml:space="preserve"> </w:t>
            </w:r>
          </w:p>
        </w:tc>
      </w:tr>
      <w:tr w:rsidR="00362517" w:rsidRPr="00362517" w14:paraId="5AB19EBE" w14:textId="77777777" w:rsidTr="0034043F">
        <w:trPr>
          <w:trHeight w:val="430"/>
        </w:trPr>
        <w:tc>
          <w:tcPr>
            <w:tcW w:w="8910" w:type="dxa"/>
            <w:gridSpan w:val="4"/>
            <w:tcBorders>
              <w:top w:val="single" w:sz="8" w:space="0" w:color="auto"/>
              <w:left w:val="double" w:sz="6" w:space="0" w:color="auto"/>
              <w:bottom w:val="nil"/>
              <w:right w:val="double" w:sz="6" w:space="0" w:color="000000"/>
            </w:tcBorders>
            <w:shd w:val="clear" w:color="auto" w:fill="auto"/>
            <w:noWrap/>
            <w:vAlign w:val="center"/>
            <w:hideMark/>
          </w:tcPr>
          <w:p w14:paraId="5AB19EBD" w14:textId="77777777" w:rsidR="00F848A1" w:rsidRPr="00362517" w:rsidRDefault="00F848A1" w:rsidP="00BF6BC7">
            <w:pPr>
              <w:keepNext/>
              <w:rPr>
                <w:sz w:val="20"/>
                <w:szCs w:val="20"/>
              </w:rPr>
            </w:pPr>
            <w:r w:rsidRPr="00362517">
              <w:rPr>
                <w:sz w:val="20"/>
                <w:szCs w:val="20"/>
              </w:rPr>
              <w:t>Sources: EPA calculations</w:t>
            </w:r>
          </w:p>
        </w:tc>
      </w:tr>
      <w:tr w:rsidR="00362517" w:rsidRPr="00362517" w14:paraId="5AB19EC0" w14:textId="77777777" w:rsidTr="0034043F">
        <w:trPr>
          <w:trHeight w:val="330"/>
        </w:trPr>
        <w:tc>
          <w:tcPr>
            <w:tcW w:w="8910" w:type="dxa"/>
            <w:gridSpan w:val="4"/>
            <w:tcBorders>
              <w:top w:val="nil"/>
              <w:left w:val="double" w:sz="6" w:space="0" w:color="auto"/>
              <w:bottom w:val="double" w:sz="6" w:space="0" w:color="auto"/>
              <w:right w:val="double" w:sz="6" w:space="0" w:color="000000"/>
            </w:tcBorders>
            <w:shd w:val="clear" w:color="auto" w:fill="auto"/>
            <w:noWrap/>
            <w:vAlign w:val="center"/>
          </w:tcPr>
          <w:p w14:paraId="5AB19EBF" w14:textId="6C97AD6B" w:rsidR="00F848A1" w:rsidRPr="00362517" w:rsidRDefault="00F848A1" w:rsidP="0081778C">
            <w:pPr>
              <w:keepNext/>
              <w:rPr>
                <w:sz w:val="20"/>
                <w:szCs w:val="20"/>
              </w:rPr>
            </w:pPr>
            <w:r w:rsidRPr="00362517">
              <w:rPr>
                <w:sz w:val="20"/>
                <w:szCs w:val="20"/>
                <w:vertAlign w:val="superscript"/>
              </w:rPr>
              <w:t>a</w:t>
            </w:r>
            <w:r w:rsidRPr="00362517">
              <w:rPr>
                <w:sz w:val="20"/>
                <w:szCs w:val="20"/>
              </w:rPr>
              <w:t>The unit cost for lost productivity day by severity category was calculated by multiplying the average duration of clinical effect in days by the value of a full day of productivity ($429.</w:t>
            </w:r>
            <w:r w:rsidR="0081778C">
              <w:rPr>
                <w:sz w:val="20"/>
                <w:szCs w:val="20"/>
              </w:rPr>
              <w:t>94</w:t>
            </w:r>
            <w:r w:rsidRPr="00362517">
              <w:rPr>
                <w:sz w:val="20"/>
                <w:szCs w:val="20"/>
              </w:rPr>
              <w:t>).</w:t>
            </w:r>
          </w:p>
        </w:tc>
      </w:tr>
    </w:tbl>
    <w:p w14:paraId="5AB19EC1" w14:textId="77777777" w:rsidR="00F848A1" w:rsidRPr="00362517" w:rsidRDefault="00F848A1" w:rsidP="00BF6BC7">
      <w:pPr>
        <w:tabs>
          <w:tab w:val="left" w:pos="540"/>
          <w:tab w:val="left" w:pos="1080"/>
          <w:tab w:val="left" w:pos="1620"/>
          <w:tab w:val="left" w:pos="2160"/>
        </w:tabs>
      </w:pPr>
    </w:p>
    <w:p w14:paraId="5AB19EC2" w14:textId="77777777" w:rsidR="00F848A1" w:rsidRPr="00362517" w:rsidRDefault="00F848A1" w:rsidP="00BF6BC7">
      <w:pPr>
        <w:tabs>
          <w:tab w:val="left" w:pos="540"/>
          <w:tab w:val="left" w:pos="1080"/>
          <w:tab w:val="left" w:pos="1620"/>
          <w:tab w:val="left" w:pos="2160"/>
        </w:tabs>
      </w:pPr>
    </w:p>
    <w:p w14:paraId="5AB19EC3" w14:textId="77777777" w:rsidR="00F848A1" w:rsidRPr="00362517" w:rsidRDefault="00F848A1" w:rsidP="00BF6BC7">
      <w:pPr>
        <w:tabs>
          <w:tab w:val="left" w:pos="540"/>
          <w:tab w:val="left" w:pos="1080"/>
          <w:tab w:val="left" w:pos="1620"/>
          <w:tab w:val="left" w:pos="2160"/>
        </w:tabs>
      </w:pPr>
    </w:p>
    <w:p w14:paraId="5AB19EC7" w14:textId="77777777" w:rsidR="00F848A1" w:rsidRPr="00362517" w:rsidRDefault="00F848A1" w:rsidP="00BF6BC7">
      <w:pPr>
        <w:pStyle w:val="Heading3"/>
        <w:keepNext w:val="0"/>
        <w:keepLines w:val="0"/>
        <w:numPr>
          <w:ilvl w:val="2"/>
          <w:numId w:val="23"/>
        </w:numPr>
        <w:spacing w:before="120"/>
      </w:pPr>
      <w:bookmarkStart w:id="353" w:name="_Toc459023309"/>
      <w:bookmarkStart w:id="354" w:name="_Toc459023310"/>
      <w:bookmarkStart w:id="355" w:name="_Toc459023311"/>
      <w:bookmarkStart w:id="356" w:name="_Toc468872116"/>
      <w:bookmarkEnd w:id="353"/>
      <w:bookmarkEnd w:id="354"/>
      <w:bookmarkEnd w:id="355"/>
      <w:r w:rsidRPr="00362517">
        <w:t>Estimated Benefits from Avoided Incidents</w:t>
      </w:r>
      <w:bookmarkEnd w:id="356"/>
    </w:p>
    <w:p w14:paraId="5AB19EC8" w14:textId="77777777" w:rsidR="00F848A1" w:rsidRPr="00362517" w:rsidRDefault="00F848A1" w:rsidP="00BF6BC7"/>
    <w:p w14:paraId="5AB19ECA" w14:textId="77777777" w:rsidR="00F848A1" w:rsidRPr="00362517" w:rsidRDefault="00F848A1" w:rsidP="00BF6BC7">
      <w:pPr>
        <w:tabs>
          <w:tab w:val="left" w:pos="540"/>
          <w:tab w:val="left" w:pos="1080"/>
          <w:tab w:val="left" w:pos="1620"/>
          <w:tab w:val="left" w:pos="2160"/>
        </w:tabs>
      </w:pPr>
      <w:r w:rsidRPr="00362517">
        <w:t xml:space="preserve">The estimates of the total cost avoided by the rule are given in Tables 4.4-11 and 4.4-12.  For each level of severity </w:t>
      </w:r>
      <w:r w:rsidRPr="00362517">
        <w:rPr>
          <w:i/>
        </w:rPr>
        <w:t>i</w:t>
      </w:r>
      <w:r w:rsidRPr="00362517">
        <w:t>, cost is the sum of direct medical costs (</w:t>
      </w:r>
      <w:r w:rsidRPr="00362517">
        <w:rPr>
          <w:i/>
        </w:rPr>
        <w:t>MedCost</w:t>
      </w:r>
      <w:r w:rsidRPr="00362517">
        <w:rPr>
          <w:i/>
          <w:vertAlign w:val="subscript"/>
        </w:rPr>
        <w:t>i</w:t>
      </w:r>
      <w:r w:rsidRPr="00362517">
        <w:t>), lost productivity costs (</w:t>
      </w:r>
      <w:r w:rsidRPr="00362517">
        <w:rPr>
          <w:i/>
        </w:rPr>
        <w:t>VPL</w:t>
      </w:r>
      <w:r w:rsidRPr="00362517">
        <w:rPr>
          <w:i/>
          <w:vertAlign w:val="subscript"/>
        </w:rPr>
        <w:t>i</w:t>
      </w:r>
      <w:r w:rsidRPr="00362517">
        <w:t xml:space="preserve">), and the value of premature mortality (VSL) multiplied by the number of cases avoided.  We then sum across all severity levels to estimate the total avoided costs for the rule.  Table 4.4-11 shows the low end estimates, which are based on the low end estimates of costs and the low end estimate of the number of prevented cases, while Table 4.4-12 shows the high end estimates.      </w:t>
      </w:r>
    </w:p>
    <w:p w14:paraId="5AB19ECB" w14:textId="77777777" w:rsidR="00F848A1" w:rsidRPr="00362517" w:rsidRDefault="00F848A1" w:rsidP="00BF6BC7">
      <w:pPr>
        <w:tabs>
          <w:tab w:val="left" w:pos="540"/>
          <w:tab w:val="left" w:pos="1080"/>
          <w:tab w:val="left" w:pos="1620"/>
          <w:tab w:val="left" w:pos="2160"/>
        </w:tabs>
      </w:pPr>
    </w:p>
    <w:tbl>
      <w:tblPr>
        <w:tblW w:w="9247" w:type="dxa"/>
        <w:jc w:val="center"/>
        <w:tblLayout w:type="fixed"/>
        <w:tblLook w:val="04A0" w:firstRow="1" w:lastRow="0" w:firstColumn="1" w:lastColumn="0" w:noHBand="0" w:noVBand="1"/>
      </w:tblPr>
      <w:tblGrid>
        <w:gridCol w:w="2350"/>
        <w:gridCol w:w="1093"/>
        <w:gridCol w:w="1530"/>
        <w:gridCol w:w="1574"/>
        <w:gridCol w:w="1350"/>
        <w:gridCol w:w="1350"/>
      </w:tblGrid>
      <w:tr w:rsidR="00362517" w:rsidRPr="00362517" w14:paraId="5AB19ECD" w14:textId="77777777" w:rsidTr="0034043F">
        <w:trPr>
          <w:trHeight w:val="603"/>
          <w:jc w:val="center"/>
        </w:trPr>
        <w:tc>
          <w:tcPr>
            <w:tcW w:w="9247"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AB19ECC" w14:textId="77777777" w:rsidR="00F848A1" w:rsidRPr="00362517" w:rsidRDefault="00F848A1" w:rsidP="00BF6BC7">
            <w:pPr>
              <w:keepNext/>
              <w:rPr>
                <w:b/>
                <w:bCs/>
              </w:rPr>
            </w:pPr>
            <w:r w:rsidRPr="00362517">
              <w:rPr>
                <w:b/>
                <w:bCs/>
                <w:sz w:val="22"/>
              </w:rPr>
              <w:t>Table 4.4-11: “Low-End” Estimate of Avoided Average Annual Costs</w:t>
            </w:r>
            <w:r w:rsidR="004D74D1" w:rsidRPr="00362517">
              <w:rPr>
                <w:b/>
                <w:bCs/>
                <w:sz w:val="22"/>
              </w:rPr>
              <w:t xml:space="preserve"> from</w:t>
            </w:r>
            <w:r w:rsidRPr="00362517">
              <w:rPr>
                <w:b/>
                <w:bCs/>
                <w:sz w:val="22"/>
              </w:rPr>
              <w:t xml:space="preserve"> Changes to the Certification Rule</w:t>
            </w:r>
          </w:p>
        </w:tc>
      </w:tr>
      <w:tr w:rsidR="00362517" w:rsidRPr="00362517" w14:paraId="5AB19ED4" w14:textId="77777777" w:rsidTr="0034043F">
        <w:trPr>
          <w:trHeight w:val="576"/>
          <w:jc w:val="center"/>
        </w:trPr>
        <w:tc>
          <w:tcPr>
            <w:tcW w:w="2350" w:type="dxa"/>
            <w:vMerge w:val="restart"/>
            <w:tcBorders>
              <w:top w:val="nil"/>
              <w:left w:val="double" w:sz="6" w:space="0" w:color="auto"/>
              <w:bottom w:val="double" w:sz="6" w:space="0" w:color="000000"/>
              <w:right w:val="single" w:sz="8" w:space="0" w:color="auto"/>
            </w:tcBorders>
            <w:shd w:val="clear" w:color="auto" w:fill="auto"/>
            <w:vAlign w:val="bottom"/>
            <w:hideMark/>
          </w:tcPr>
          <w:p w14:paraId="5AB19ECE" w14:textId="77777777" w:rsidR="00F848A1" w:rsidRPr="00362517" w:rsidRDefault="00F848A1" w:rsidP="00BF6BC7">
            <w:pPr>
              <w:keepNext/>
              <w:jc w:val="center"/>
              <w:rPr>
                <w:b/>
                <w:bCs/>
              </w:rPr>
            </w:pPr>
            <w:r w:rsidRPr="00362517">
              <w:rPr>
                <w:b/>
                <w:bCs/>
                <w:sz w:val="22"/>
              </w:rPr>
              <w:t>Clinical Effect</w:t>
            </w:r>
          </w:p>
        </w:tc>
        <w:tc>
          <w:tcPr>
            <w:tcW w:w="1093" w:type="dxa"/>
            <w:vMerge w:val="restart"/>
            <w:tcBorders>
              <w:top w:val="nil"/>
              <w:left w:val="single" w:sz="8" w:space="0" w:color="auto"/>
              <w:bottom w:val="double" w:sz="6" w:space="0" w:color="000000"/>
              <w:right w:val="single" w:sz="8" w:space="0" w:color="auto"/>
            </w:tcBorders>
            <w:shd w:val="clear" w:color="auto" w:fill="auto"/>
            <w:vAlign w:val="bottom"/>
            <w:hideMark/>
          </w:tcPr>
          <w:p w14:paraId="5AB19ECF" w14:textId="77777777" w:rsidR="00F848A1" w:rsidRPr="00362517" w:rsidRDefault="00F848A1" w:rsidP="00BF6BC7">
            <w:pPr>
              <w:keepNext/>
              <w:jc w:val="center"/>
              <w:rPr>
                <w:b/>
                <w:bCs/>
              </w:rPr>
            </w:pPr>
            <w:r w:rsidRPr="00362517">
              <w:rPr>
                <w:b/>
                <w:bCs/>
                <w:sz w:val="22"/>
              </w:rPr>
              <w:t>Avoided Cases per Year</w:t>
            </w:r>
          </w:p>
        </w:tc>
        <w:tc>
          <w:tcPr>
            <w:tcW w:w="1530" w:type="dxa"/>
            <w:vMerge w:val="restart"/>
            <w:tcBorders>
              <w:top w:val="nil"/>
              <w:left w:val="single" w:sz="8" w:space="0" w:color="auto"/>
              <w:bottom w:val="double" w:sz="6" w:space="0" w:color="000000"/>
              <w:right w:val="single" w:sz="8" w:space="0" w:color="auto"/>
            </w:tcBorders>
            <w:shd w:val="clear" w:color="auto" w:fill="auto"/>
            <w:vAlign w:val="bottom"/>
            <w:hideMark/>
          </w:tcPr>
          <w:p w14:paraId="5AB19ED0" w14:textId="77777777" w:rsidR="00F848A1" w:rsidRPr="00362517" w:rsidRDefault="00F848A1" w:rsidP="00BF6BC7">
            <w:pPr>
              <w:keepNext/>
              <w:jc w:val="center"/>
              <w:rPr>
                <w:b/>
                <w:bCs/>
              </w:rPr>
            </w:pPr>
            <w:r w:rsidRPr="00362517">
              <w:rPr>
                <w:b/>
                <w:bCs/>
                <w:sz w:val="22"/>
              </w:rPr>
              <w:t>Medical Costs per Case</w:t>
            </w:r>
          </w:p>
        </w:tc>
        <w:tc>
          <w:tcPr>
            <w:tcW w:w="1574" w:type="dxa"/>
            <w:vMerge w:val="restart"/>
            <w:tcBorders>
              <w:top w:val="nil"/>
              <w:left w:val="single" w:sz="8" w:space="0" w:color="auto"/>
              <w:bottom w:val="double" w:sz="6" w:space="0" w:color="000000"/>
              <w:right w:val="single" w:sz="8" w:space="0" w:color="auto"/>
            </w:tcBorders>
            <w:shd w:val="clear" w:color="auto" w:fill="auto"/>
            <w:vAlign w:val="bottom"/>
            <w:hideMark/>
          </w:tcPr>
          <w:p w14:paraId="5AB19ED1" w14:textId="77777777" w:rsidR="00F848A1" w:rsidRPr="00362517" w:rsidRDefault="00F848A1" w:rsidP="00BF6BC7">
            <w:pPr>
              <w:keepNext/>
              <w:jc w:val="center"/>
              <w:rPr>
                <w:b/>
                <w:bCs/>
              </w:rPr>
            </w:pPr>
            <w:r w:rsidRPr="00362517">
              <w:rPr>
                <w:b/>
                <w:bCs/>
                <w:sz w:val="22"/>
              </w:rPr>
              <w:t>Lost Productivity per Case</w:t>
            </w:r>
          </w:p>
        </w:tc>
        <w:tc>
          <w:tcPr>
            <w:tcW w:w="1350" w:type="dxa"/>
            <w:vMerge w:val="restart"/>
            <w:tcBorders>
              <w:top w:val="nil"/>
              <w:left w:val="single" w:sz="8" w:space="0" w:color="auto"/>
              <w:bottom w:val="double" w:sz="6" w:space="0" w:color="000000"/>
              <w:right w:val="single" w:sz="8" w:space="0" w:color="auto"/>
            </w:tcBorders>
            <w:shd w:val="clear" w:color="auto" w:fill="auto"/>
            <w:vAlign w:val="bottom"/>
            <w:hideMark/>
          </w:tcPr>
          <w:p w14:paraId="5AB19ED2" w14:textId="77777777" w:rsidR="00F848A1" w:rsidRPr="00362517" w:rsidRDefault="00F848A1" w:rsidP="00BF6BC7">
            <w:pPr>
              <w:keepNext/>
              <w:jc w:val="center"/>
              <w:rPr>
                <w:b/>
                <w:bCs/>
              </w:rPr>
            </w:pPr>
            <w:r w:rsidRPr="00362517">
              <w:rPr>
                <w:b/>
                <w:bCs/>
                <w:sz w:val="22"/>
              </w:rPr>
              <w:t>Premature Mortality per Case</w:t>
            </w:r>
          </w:p>
        </w:tc>
        <w:tc>
          <w:tcPr>
            <w:tcW w:w="1350" w:type="dxa"/>
            <w:vMerge w:val="restart"/>
            <w:tcBorders>
              <w:top w:val="nil"/>
              <w:left w:val="single" w:sz="8" w:space="0" w:color="auto"/>
              <w:bottom w:val="double" w:sz="6" w:space="0" w:color="000000"/>
              <w:right w:val="double" w:sz="6" w:space="0" w:color="auto"/>
            </w:tcBorders>
            <w:shd w:val="clear" w:color="auto" w:fill="auto"/>
            <w:vAlign w:val="bottom"/>
            <w:hideMark/>
          </w:tcPr>
          <w:p w14:paraId="5AB19ED3" w14:textId="77777777" w:rsidR="00F848A1" w:rsidRPr="00362517" w:rsidRDefault="00F848A1" w:rsidP="00BF6BC7">
            <w:pPr>
              <w:keepNext/>
              <w:jc w:val="center"/>
              <w:rPr>
                <w:b/>
                <w:bCs/>
              </w:rPr>
            </w:pPr>
            <w:r w:rsidRPr="00362517">
              <w:rPr>
                <w:b/>
                <w:bCs/>
                <w:sz w:val="22"/>
              </w:rPr>
              <w:t>Average Annual Total Cost Avoided</w:t>
            </w:r>
          </w:p>
        </w:tc>
      </w:tr>
      <w:tr w:rsidR="00362517" w:rsidRPr="00362517" w14:paraId="5AB19EDB" w14:textId="77777777" w:rsidTr="0034043F">
        <w:trPr>
          <w:trHeight w:val="276"/>
          <w:jc w:val="center"/>
        </w:trPr>
        <w:tc>
          <w:tcPr>
            <w:tcW w:w="2350" w:type="dxa"/>
            <w:vMerge/>
            <w:tcBorders>
              <w:top w:val="nil"/>
              <w:left w:val="double" w:sz="6" w:space="0" w:color="auto"/>
              <w:bottom w:val="double" w:sz="6" w:space="0" w:color="000000"/>
              <w:right w:val="single" w:sz="8" w:space="0" w:color="auto"/>
            </w:tcBorders>
            <w:vAlign w:val="center"/>
            <w:hideMark/>
          </w:tcPr>
          <w:p w14:paraId="5AB19ED5" w14:textId="77777777" w:rsidR="00F848A1" w:rsidRPr="00362517" w:rsidRDefault="00F848A1" w:rsidP="00BF6BC7">
            <w:pPr>
              <w:keepNext/>
              <w:rPr>
                <w:b/>
                <w:bCs/>
              </w:rPr>
            </w:pPr>
          </w:p>
        </w:tc>
        <w:tc>
          <w:tcPr>
            <w:tcW w:w="1093" w:type="dxa"/>
            <w:vMerge/>
            <w:tcBorders>
              <w:top w:val="nil"/>
              <w:left w:val="single" w:sz="8" w:space="0" w:color="auto"/>
              <w:bottom w:val="double" w:sz="6" w:space="0" w:color="000000"/>
              <w:right w:val="single" w:sz="8" w:space="0" w:color="auto"/>
            </w:tcBorders>
            <w:vAlign w:val="center"/>
            <w:hideMark/>
          </w:tcPr>
          <w:p w14:paraId="5AB19ED6" w14:textId="77777777" w:rsidR="00F848A1" w:rsidRPr="00362517" w:rsidRDefault="00F848A1" w:rsidP="00BF6BC7">
            <w:pPr>
              <w:keepNext/>
              <w:rPr>
                <w:b/>
                <w:bCs/>
              </w:rPr>
            </w:pPr>
          </w:p>
        </w:tc>
        <w:tc>
          <w:tcPr>
            <w:tcW w:w="1530" w:type="dxa"/>
            <w:vMerge/>
            <w:tcBorders>
              <w:top w:val="nil"/>
              <w:left w:val="single" w:sz="8" w:space="0" w:color="auto"/>
              <w:bottom w:val="double" w:sz="6" w:space="0" w:color="000000"/>
              <w:right w:val="single" w:sz="8" w:space="0" w:color="auto"/>
            </w:tcBorders>
            <w:vAlign w:val="center"/>
            <w:hideMark/>
          </w:tcPr>
          <w:p w14:paraId="5AB19ED7" w14:textId="77777777" w:rsidR="00F848A1" w:rsidRPr="00362517" w:rsidRDefault="00F848A1" w:rsidP="00BF6BC7">
            <w:pPr>
              <w:keepNext/>
              <w:rPr>
                <w:b/>
                <w:bCs/>
              </w:rPr>
            </w:pPr>
          </w:p>
        </w:tc>
        <w:tc>
          <w:tcPr>
            <w:tcW w:w="1574" w:type="dxa"/>
            <w:vMerge/>
            <w:tcBorders>
              <w:top w:val="nil"/>
              <w:left w:val="single" w:sz="8" w:space="0" w:color="auto"/>
              <w:bottom w:val="double" w:sz="6" w:space="0" w:color="000000"/>
              <w:right w:val="single" w:sz="8" w:space="0" w:color="auto"/>
            </w:tcBorders>
            <w:vAlign w:val="center"/>
            <w:hideMark/>
          </w:tcPr>
          <w:p w14:paraId="5AB19ED8" w14:textId="77777777" w:rsidR="00F848A1" w:rsidRPr="00362517" w:rsidRDefault="00F848A1" w:rsidP="00BF6BC7">
            <w:pPr>
              <w:keepNext/>
              <w:rPr>
                <w:b/>
                <w:bCs/>
              </w:rPr>
            </w:pPr>
          </w:p>
        </w:tc>
        <w:tc>
          <w:tcPr>
            <w:tcW w:w="1350" w:type="dxa"/>
            <w:vMerge/>
            <w:tcBorders>
              <w:top w:val="nil"/>
              <w:left w:val="single" w:sz="8" w:space="0" w:color="auto"/>
              <w:bottom w:val="double" w:sz="6" w:space="0" w:color="000000"/>
              <w:right w:val="single" w:sz="8" w:space="0" w:color="auto"/>
            </w:tcBorders>
            <w:vAlign w:val="center"/>
            <w:hideMark/>
          </w:tcPr>
          <w:p w14:paraId="5AB19ED9" w14:textId="77777777" w:rsidR="00F848A1" w:rsidRPr="00362517" w:rsidRDefault="00F848A1" w:rsidP="00BF6BC7">
            <w:pPr>
              <w:keepNext/>
              <w:rPr>
                <w:b/>
                <w:bCs/>
              </w:rPr>
            </w:pPr>
          </w:p>
        </w:tc>
        <w:tc>
          <w:tcPr>
            <w:tcW w:w="1350" w:type="dxa"/>
            <w:vMerge/>
            <w:tcBorders>
              <w:top w:val="nil"/>
              <w:left w:val="single" w:sz="8" w:space="0" w:color="auto"/>
              <w:bottom w:val="double" w:sz="6" w:space="0" w:color="000000"/>
              <w:right w:val="double" w:sz="6" w:space="0" w:color="auto"/>
            </w:tcBorders>
            <w:vAlign w:val="center"/>
            <w:hideMark/>
          </w:tcPr>
          <w:p w14:paraId="5AB19EDA" w14:textId="77777777" w:rsidR="00F848A1" w:rsidRPr="00362517" w:rsidRDefault="00F848A1" w:rsidP="00BF6BC7">
            <w:pPr>
              <w:keepNext/>
              <w:rPr>
                <w:b/>
                <w:bCs/>
              </w:rPr>
            </w:pPr>
          </w:p>
        </w:tc>
      </w:tr>
      <w:tr w:rsidR="00362517" w:rsidRPr="00362517" w14:paraId="5AB19EE2" w14:textId="77777777" w:rsidTr="0034043F">
        <w:trPr>
          <w:trHeight w:val="434"/>
          <w:jc w:val="center"/>
        </w:trPr>
        <w:tc>
          <w:tcPr>
            <w:tcW w:w="2350" w:type="dxa"/>
            <w:tcBorders>
              <w:top w:val="nil"/>
              <w:left w:val="double" w:sz="6" w:space="0" w:color="auto"/>
              <w:bottom w:val="single" w:sz="8" w:space="0" w:color="auto"/>
              <w:right w:val="single" w:sz="8" w:space="0" w:color="auto"/>
            </w:tcBorders>
            <w:shd w:val="clear" w:color="auto" w:fill="auto"/>
            <w:noWrap/>
            <w:vAlign w:val="center"/>
            <w:hideMark/>
          </w:tcPr>
          <w:p w14:paraId="5AB19EDC" w14:textId="77777777" w:rsidR="00F848A1" w:rsidRPr="00362517" w:rsidRDefault="00F848A1" w:rsidP="00BF6BC7">
            <w:pPr>
              <w:keepNext/>
            </w:pPr>
            <w:r w:rsidRPr="00362517">
              <w:rPr>
                <w:sz w:val="22"/>
              </w:rPr>
              <w:t>Category S-4: Low severity illness or injury</w:t>
            </w:r>
          </w:p>
        </w:tc>
        <w:tc>
          <w:tcPr>
            <w:tcW w:w="1093" w:type="dxa"/>
            <w:tcBorders>
              <w:top w:val="nil"/>
              <w:left w:val="nil"/>
              <w:bottom w:val="single" w:sz="8" w:space="0" w:color="auto"/>
              <w:right w:val="single" w:sz="8" w:space="0" w:color="auto"/>
            </w:tcBorders>
            <w:shd w:val="clear" w:color="auto" w:fill="auto"/>
            <w:noWrap/>
            <w:vAlign w:val="center"/>
            <w:hideMark/>
          </w:tcPr>
          <w:p w14:paraId="5AB19EDD" w14:textId="285EBE26" w:rsidR="00F848A1" w:rsidRPr="00362517" w:rsidRDefault="00F848A1" w:rsidP="00BF6BC7">
            <w:pPr>
              <w:keepNext/>
              <w:jc w:val="center"/>
            </w:pPr>
            <w:r w:rsidRPr="00362517">
              <w:rPr>
                <w:sz w:val="22"/>
              </w:rPr>
              <w:t>1</w:t>
            </w:r>
            <w:r w:rsidR="00803AED" w:rsidRPr="00362517">
              <w:rPr>
                <w:sz w:val="22"/>
              </w:rPr>
              <w:t>17.</w:t>
            </w:r>
            <w:r w:rsidR="00152C88" w:rsidRPr="00362517">
              <w:rPr>
                <w:sz w:val="22"/>
              </w:rPr>
              <w:t>2</w:t>
            </w:r>
          </w:p>
        </w:tc>
        <w:tc>
          <w:tcPr>
            <w:tcW w:w="1530" w:type="dxa"/>
            <w:tcBorders>
              <w:top w:val="nil"/>
              <w:left w:val="nil"/>
              <w:bottom w:val="single" w:sz="8" w:space="0" w:color="auto"/>
              <w:right w:val="single" w:sz="8" w:space="0" w:color="auto"/>
            </w:tcBorders>
            <w:shd w:val="clear" w:color="auto" w:fill="auto"/>
            <w:vAlign w:val="center"/>
            <w:hideMark/>
          </w:tcPr>
          <w:p w14:paraId="5AB19EDE" w14:textId="11E4C18F" w:rsidR="00F848A1" w:rsidRPr="00362517" w:rsidRDefault="00F848A1" w:rsidP="0019614B">
            <w:pPr>
              <w:keepNext/>
              <w:jc w:val="center"/>
            </w:pPr>
            <w:r w:rsidRPr="00362517">
              <w:rPr>
                <w:sz w:val="22"/>
              </w:rPr>
              <w:t>$63.</w:t>
            </w:r>
            <w:r w:rsidR="0019614B" w:rsidRPr="00362517">
              <w:rPr>
                <w:sz w:val="22"/>
              </w:rPr>
              <w:t>7</w:t>
            </w:r>
            <w:r w:rsidR="0019614B">
              <w:rPr>
                <w:sz w:val="22"/>
              </w:rPr>
              <w:t>8</w:t>
            </w:r>
            <w:r w:rsidR="0019614B" w:rsidRPr="00362517">
              <w:rPr>
                <w:sz w:val="22"/>
              </w:rPr>
              <w:t xml:space="preserve"> </w:t>
            </w:r>
          </w:p>
        </w:tc>
        <w:tc>
          <w:tcPr>
            <w:tcW w:w="1574" w:type="dxa"/>
            <w:tcBorders>
              <w:top w:val="nil"/>
              <w:left w:val="nil"/>
              <w:bottom w:val="single" w:sz="8" w:space="0" w:color="auto"/>
              <w:right w:val="single" w:sz="8" w:space="0" w:color="auto"/>
            </w:tcBorders>
            <w:shd w:val="clear" w:color="auto" w:fill="auto"/>
            <w:noWrap/>
            <w:vAlign w:val="center"/>
            <w:hideMark/>
          </w:tcPr>
          <w:p w14:paraId="5AB19EDF" w14:textId="0FE253B5" w:rsidR="00F848A1" w:rsidRPr="00362517" w:rsidRDefault="00F848A1" w:rsidP="0019614B">
            <w:pPr>
              <w:keepNext/>
              <w:jc w:val="center"/>
            </w:pPr>
            <w:r w:rsidRPr="00362517">
              <w:rPr>
                <w:sz w:val="22"/>
              </w:rPr>
              <w:t>$644.</w:t>
            </w:r>
            <w:r w:rsidR="0019614B">
              <w:rPr>
                <w:sz w:val="22"/>
              </w:rPr>
              <w:t>92</w:t>
            </w:r>
          </w:p>
        </w:tc>
        <w:tc>
          <w:tcPr>
            <w:tcW w:w="1350" w:type="dxa"/>
            <w:tcBorders>
              <w:top w:val="nil"/>
              <w:left w:val="nil"/>
              <w:bottom w:val="single" w:sz="8" w:space="0" w:color="auto"/>
              <w:right w:val="single" w:sz="8" w:space="0" w:color="auto"/>
            </w:tcBorders>
            <w:shd w:val="clear" w:color="auto" w:fill="auto"/>
            <w:noWrap/>
            <w:vAlign w:val="center"/>
            <w:hideMark/>
          </w:tcPr>
          <w:p w14:paraId="5AB19EE0" w14:textId="77777777" w:rsidR="00F848A1" w:rsidRPr="00362517" w:rsidRDefault="00F848A1" w:rsidP="00BF6BC7">
            <w:pPr>
              <w:keepNext/>
              <w:jc w:val="center"/>
            </w:pPr>
            <w:r w:rsidRPr="00362517">
              <w:rPr>
                <w:sz w:val="22"/>
              </w:rPr>
              <w:t>$0</w:t>
            </w:r>
          </w:p>
        </w:tc>
        <w:tc>
          <w:tcPr>
            <w:tcW w:w="1350" w:type="dxa"/>
            <w:tcBorders>
              <w:top w:val="nil"/>
              <w:left w:val="nil"/>
              <w:bottom w:val="single" w:sz="8" w:space="0" w:color="auto"/>
              <w:right w:val="double" w:sz="6" w:space="0" w:color="auto"/>
            </w:tcBorders>
            <w:shd w:val="clear" w:color="auto" w:fill="auto"/>
            <w:noWrap/>
            <w:vAlign w:val="center"/>
            <w:hideMark/>
          </w:tcPr>
          <w:p w14:paraId="5AB19EE1" w14:textId="4C2718F2" w:rsidR="00F848A1" w:rsidRPr="00362517" w:rsidRDefault="00F848A1" w:rsidP="00BF6BC7">
            <w:pPr>
              <w:keepNext/>
              <w:jc w:val="center"/>
            </w:pPr>
            <w:r w:rsidRPr="00362517">
              <w:rPr>
                <w:sz w:val="22"/>
              </w:rPr>
              <w:t>$8</w:t>
            </w:r>
            <w:r w:rsidR="00152C88" w:rsidRPr="00362517">
              <w:rPr>
                <w:sz w:val="22"/>
              </w:rPr>
              <w:t>3</w:t>
            </w:r>
            <w:r w:rsidRPr="00362517">
              <w:rPr>
                <w:sz w:val="22"/>
              </w:rPr>
              <w:t>,</w:t>
            </w:r>
            <w:r w:rsidR="00152C88" w:rsidRPr="00362517">
              <w:rPr>
                <w:sz w:val="22"/>
              </w:rPr>
              <w:t>059</w:t>
            </w:r>
            <w:r w:rsidRPr="00362517">
              <w:rPr>
                <w:sz w:val="22"/>
              </w:rPr>
              <w:t xml:space="preserve"> </w:t>
            </w:r>
          </w:p>
        </w:tc>
      </w:tr>
      <w:tr w:rsidR="00362517" w:rsidRPr="00362517" w14:paraId="5AB19EE9" w14:textId="77777777" w:rsidTr="0034043F">
        <w:trPr>
          <w:trHeight w:val="353"/>
          <w:jc w:val="center"/>
        </w:trPr>
        <w:tc>
          <w:tcPr>
            <w:tcW w:w="2350" w:type="dxa"/>
            <w:tcBorders>
              <w:top w:val="nil"/>
              <w:left w:val="double" w:sz="6" w:space="0" w:color="auto"/>
              <w:bottom w:val="single" w:sz="8" w:space="0" w:color="auto"/>
              <w:right w:val="single" w:sz="8" w:space="0" w:color="auto"/>
            </w:tcBorders>
            <w:shd w:val="clear" w:color="auto" w:fill="auto"/>
            <w:noWrap/>
            <w:vAlign w:val="center"/>
            <w:hideMark/>
          </w:tcPr>
          <w:p w14:paraId="5AB19EE3" w14:textId="77777777" w:rsidR="00F848A1" w:rsidRPr="00362517" w:rsidRDefault="00F848A1" w:rsidP="00BF6BC7">
            <w:pPr>
              <w:keepNext/>
            </w:pPr>
            <w:r w:rsidRPr="00362517">
              <w:rPr>
                <w:sz w:val="22"/>
              </w:rPr>
              <w:t>Category S-3: Moderate severity illness or injury</w:t>
            </w:r>
          </w:p>
        </w:tc>
        <w:tc>
          <w:tcPr>
            <w:tcW w:w="1093" w:type="dxa"/>
            <w:tcBorders>
              <w:top w:val="nil"/>
              <w:left w:val="nil"/>
              <w:bottom w:val="single" w:sz="8" w:space="0" w:color="auto"/>
              <w:right w:val="single" w:sz="8" w:space="0" w:color="auto"/>
            </w:tcBorders>
            <w:shd w:val="clear" w:color="auto" w:fill="auto"/>
            <w:noWrap/>
            <w:vAlign w:val="center"/>
            <w:hideMark/>
          </w:tcPr>
          <w:p w14:paraId="5AB19EE4" w14:textId="582619DA" w:rsidR="00F848A1" w:rsidRPr="00362517" w:rsidRDefault="00F848A1" w:rsidP="00BF6BC7">
            <w:pPr>
              <w:keepNext/>
              <w:jc w:val="center"/>
            </w:pPr>
            <w:r w:rsidRPr="00362517">
              <w:rPr>
                <w:sz w:val="22"/>
              </w:rPr>
              <w:t>3</w:t>
            </w:r>
            <w:r w:rsidR="00803AED" w:rsidRPr="00362517">
              <w:rPr>
                <w:sz w:val="22"/>
              </w:rPr>
              <w:t>3.</w:t>
            </w:r>
            <w:r w:rsidR="00152C88" w:rsidRPr="00362517">
              <w:rPr>
                <w:sz w:val="22"/>
              </w:rPr>
              <w:t>6</w:t>
            </w:r>
          </w:p>
        </w:tc>
        <w:tc>
          <w:tcPr>
            <w:tcW w:w="1530" w:type="dxa"/>
            <w:tcBorders>
              <w:top w:val="nil"/>
              <w:left w:val="nil"/>
              <w:bottom w:val="single" w:sz="8" w:space="0" w:color="auto"/>
              <w:right w:val="single" w:sz="8" w:space="0" w:color="auto"/>
            </w:tcBorders>
            <w:shd w:val="clear" w:color="auto" w:fill="auto"/>
            <w:vAlign w:val="center"/>
            <w:hideMark/>
          </w:tcPr>
          <w:p w14:paraId="5AB19EE5" w14:textId="78B2088A" w:rsidR="00F848A1" w:rsidRPr="00362517" w:rsidRDefault="00F848A1" w:rsidP="0019614B">
            <w:pPr>
              <w:keepNext/>
              <w:jc w:val="center"/>
            </w:pPr>
            <w:r w:rsidRPr="00362517">
              <w:rPr>
                <w:sz w:val="22"/>
              </w:rPr>
              <w:t>$87.</w:t>
            </w:r>
            <w:r w:rsidR="0019614B">
              <w:rPr>
                <w:sz w:val="22"/>
              </w:rPr>
              <w:t>00</w:t>
            </w:r>
            <w:r w:rsidR="0019614B" w:rsidRPr="00362517">
              <w:rPr>
                <w:sz w:val="22"/>
              </w:rPr>
              <w:t xml:space="preserve"> </w:t>
            </w:r>
          </w:p>
        </w:tc>
        <w:tc>
          <w:tcPr>
            <w:tcW w:w="1574" w:type="dxa"/>
            <w:tcBorders>
              <w:top w:val="nil"/>
              <w:left w:val="nil"/>
              <w:bottom w:val="single" w:sz="8" w:space="0" w:color="auto"/>
              <w:right w:val="single" w:sz="8" w:space="0" w:color="auto"/>
            </w:tcBorders>
            <w:shd w:val="clear" w:color="auto" w:fill="auto"/>
            <w:noWrap/>
            <w:vAlign w:val="center"/>
            <w:hideMark/>
          </w:tcPr>
          <w:p w14:paraId="5AB19EE6" w14:textId="1EDD9564" w:rsidR="00F848A1" w:rsidRPr="00362517" w:rsidRDefault="00F848A1" w:rsidP="0019614B">
            <w:pPr>
              <w:keepNext/>
              <w:jc w:val="center"/>
            </w:pPr>
            <w:r w:rsidRPr="00362517">
              <w:rPr>
                <w:sz w:val="22"/>
              </w:rPr>
              <w:t>$1,</w:t>
            </w:r>
            <w:r w:rsidR="0019614B" w:rsidRPr="00362517">
              <w:rPr>
                <w:sz w:val="22"/>
              </w:rPr>
              <w:t>28</w:t>
            </w:r>
            <w:r w:rsidR="0019614B">
              <w:rPr>
                <w:sz w:val="22"/>
              </w:rPr>
              <w:t>9</w:t>
            </w:r>
            <w:r w:rsidRPr="00362517">
              <w:rPr>
                <w:sz w:val="22"/>
              </w:rPr>
              <w:t>.</w:t>
            </w:r>
            <w:r w:rsidR="0019614B">
              <w:rPr>
                <w:sz w:val="22"/>
              </w:rPr>
              <w:t>83</w:t>
            </w:r>
          </w:p>
        </w:tc>
        <w:tc>
          <w:tcPr>
            <w:tcW w:w="1350" w:type="dxa"/>
            <w:tcBorders>
              <w:top w:val="nil"/>
              <w:left w:val="nil"/>
              <w:bottom w:val="single" w:sz="8" w:space="0" w:color="auto"/>
              <w:right w:val="single" w:sz="8" w:space="0" w:color="auto"/>
            </w:tcBorders>
            <w:shd w:val="clear" w:color="auto" w:fill="auto"/>
            <w:noWrap/>
            <w:vAlign w:val="center"/>
            <w:hideMark/>
          </w:tcPr>
          <w:p w14:paraId="5AB19EE7" w14:textId="77777777" w:rsidR="00F848A1" w:rsidRPr="00362517" w:rsidRDefault="00F848A1" w:rsidP="00BF6BC7">
            <w:pPr>
              <w:keepNext/>
              <w:jc w:val="center"/>
            </w:pPr>
            <w:r w:rsidRPr="00362517">
              <w:rPr>
                <w:sz w:val="22"/>
              </w:rPr>
              <w:t>$0</w:t>
            </w:r>
          </w:p>
        </w:tc>
        <w:tc>
          <w:tcPr>
            <w:tcW w:w="1350" w:type="dxa"/>
            <w:tcBorders>
              <w:top w:val="nil"/>
              <w:left w:val="nil"/>
              <w:bottom w:val="single" w:sz="8" w:space="0" w:color="auto"/>
              <w:right w:val="double" w:sz="6" w:space="0" w:color="auto"/>
            </w:tcBorders>
            <w:shd w:val="clear" w:color="auto" w:fill="auto"/>
            <w:noWrap/>
            <w:vAlign w:val="center"/>
            <w:hideMark/>
          </w:tcPr>
          <w:p w14:paraId="5AB19EE8" w14:textId="59115E37" w:rsidR="00F848A1" w:rsidRPr="00362517" w:rsidRDefault="00F848A1" w:rsidP="00BF6BC7">
            <w:pPr>
              <w:keepNext/>
              <w:jc w:val="center"/>
            </w:pPr>
            <w:r w:rsidRPr="00362517">
              <w:rPr>
                <w:sz w:val="22"/>
              </w:rPr>
              <w:t>$4</w:t>
            </w:r>
            <w:r w:rsidR="00803AED" w:rsidRPr="00362517">
              <w:rPr>
                <w:sz w:val="22"/>
              </w:rPr>
              <w:t>6</w:t>
            </w:r>
            <w:r w:rsidRPr="00362517">
              <w:rPr>
                <w:sz w:val="22"/>
              </w:rPr>
              <w:t>,</w:t>
            </w:r>
            <w:r w:rsidR="00152C88" w:rsidRPr="00362517">
              <w:rPr>
                <w:sz w:val="22"/>
              </w:rPr>
              <w:t>262</w:t>
            </w:r>
            <w:r w:rsidRPr="00362517">
              <w:rPr>
                <w:sz w:val="22"/>
              </w:rPr>
              <w:t xml:space="preserve"> </w:t>
            </w:r>
          </w:p>
        </w:tc>
      </w:tr>
      <w:tr w:rsidR="00362517" w:rsidRPr="00362517" w14:paraId="5AB19EF0" w14:textId="77777777" w:rsidTr="0034043F">
        <w:trPr>
          <w:trHeight w:val="353"/>
          <w:jc w:val="center"/>
        </w:trPr>
        <w:tc>
          <w:tcPr>
            <w:tcW w:w="2350" w:type="dxa"/>
            <w:tcBorders>
              <w:top w:val="nil"/>
              <w:left w:val="double" w:sz="6" w:space="0" w:color="auto"/>
              <w:bottom w:val="single" w:sz="8" w:space="0" w:color="auto"/>
              <w:right w:val="single" w:sz="8" w:space="0" w:color="auto"/>
            </w:tcBorders>
            <w:shd w:val="clear" w:color="auto" w:fill="auto"/>
            <w:noWrap/>
            <w:vAlign w:val="center"/>
            <w:hideMark/>
          </w:tcPr>
          <w:p w14:paraId="5AB19EEA" w14:textId="749E8111" w:rsidR="00F848A1" w:rsidRPr="00362517" w:rsidRDefault="00F848A1" w:rsidP="00BF6BC7">
            <w:pPr>
              <w:keepNext/>
            </w:pPr>
            <w:r w:rsidRPr="00362517">
              <w:rPr>
                <w:sz w:val="22"/>
              </w:rPr>
              <w:t>Category S-2:</w:t>
            </w:r>
            <w:r w:rsidR="00FF6C94">
              <w:rPr>
                <w:sz w:val="22"/>
              </w:rPr>
              <w:t xml:space="preserve"> </w:t>
            </w:r>
            <w:r w:rsidRPr="00362517">
              <w:rPr>
                <w:sz w:val="22"/>
              </w:rPr>
              <w:t xml:space="preserve">High severity illness or injury </w:t>
            </w:r>
          </w:p>
        </w:tc>
        <w:tc>
          <w:tcPr>
            <w:tcW w:w="1093" w:type="dxa"/>
            <w:tcBorders>
              <w:top w:val="nil"/>
              <w:left w:val="nil"/>
              <w:bottom w:val="single" w:sz="8" w:space="0" w:color="auto"/>
              <w:right w:val="single" w:sz="8" w:space="0" w:color="auto"/>
            </w:tcBorders>
            <w:shd w:val="clear" w:color="auto" w:fill="auto"/>
            <w:noWrap/>
            <w:vAlign w:val="center"/>
            <w:hideMark/>
          </w:tcPr>
          <w:p w14:paraId="5AB19EEB" w14:textId="0A584EC2" w:rsidR="00F848A1" w:rsidRPr="00362517" w:rsidRDefault="00F848A1" w:rsidP="00BF6BC7">
            <w:pPr>
              <w:keepNext/>
              <w:jc w:val="center"/>
            </w:pPr>
            <w:r w:rsidRPr="00362517">
              <w:rPr>
                <w:sz w:val="22"/>
              </w:rPr>
              <w:t>4.</w:t>
            </w:r>
            <w:r w:rsidR="00803AED" w:rsidRPr="00362517">
              <w:rPr>
                <w:sz w:val="22"/>
              </w:rPr>
              <w:t>4</w:t>
            </w:r>
          </w:p>
        </w:tc>
        <w:tc>
          <w:tcPr>
            <w:tcW w:w="1530" w:type="dxa"/>
            <w:tcBorders>
              <w:top w:val="nil"/>
              <w:left w:val="nil"/>
              <w:bottom w:val="single" w:sz="8" w:space="0" w:color="auto"/>
              <w:right w:val="single" w:sz="8" w:space="0" w:color="auto"/>
            </w:tcBorders>
            <w:shd w:val="clear" w:color="auto" w:fill="auto"/>
            <w:vAlign w:val="center"/>
            <w:hideMark/>
          </w:tcPr>
          <w:p w14:paraId="5AB19EEC" w14:textId="77777777" w:rsidR="00F848A1" w:rsidRPr="00362517" w:rsidRDefault="00F848A1" w:rsidP="00BF6BC7">
            <w:pPr>
              <w:keepNext/>
              <w:jc w:val="center"/>
            </w:pPr>
            <w:r w:rsidRPr="00362517">
              <w:rPr>
                <w:sz w:val="22"/>
              </w:rPr>
              <w:t xml:space="preserve">$34,699.69 </w:t>
            </w:r>
          </w:p>
        </w:tc>
        <w:tc>
          <w:tcPr>
            <w:tcW w:w="1574" w:type="dxa"/>
            <w:tcBorders>
              <w:top w:val="nil"/>
              <w:left w:val="nil"/>
              <w:bottom w:val="single" w:sz="8" w:space="0" w:color="auto"/>
              <w:right w:val="single" w:sz="8" w:space="0" w:color="auto"/>
            </w:tcBorders>
            <w:shd w:val="clear" w:color="auto" w:fill="auto"/>
            <w:noWrap/>
            <w:vAlign w:val="center"/>
            <w:hideMark/>
          </w:tcPr>
          <w:p w14:paraId="5AB19EED" w14:textId="12766F3D" w:rsidR="00F848A1" w:rsidRPr="00362517" w:rsidRDefault="00F848A1" w:rsidP="0019614B">
            <w:pPr>
              <w:keepNext/>
              <w:jc w:val="center"/>
            </w:pPr>
            <w:r w:rsidRPr="00362517">
              <w:rPr>
                <w:sz w:val="22"/>
              </w:rPr>
              <w:t>$2,</w:t>
            </w:r>
            <w:r w:rsidR="0019614B" w:rsidRPr="00362517">
              <w:rPr>
                <w:sz w:val="22"/>
              </w:rPr>
              <w:t>14</w:t>
            </w:r>
            <w:r w:rsidR="0019614B">
              <w:rPr>
                <w:sz w:val="22"/>
              </w:rPr>
              <w:t>9</w:t>
            </w:r>
            <w:r w:rsidRPr="00362517">
              <w:rPr>
                <w:sz w:val="22"/>
              </w:rPr>
              <w:t>.</w:t>
            </w:r>
            <w:r w:rsidR="0019614B">
              <w:rPr>
                <w:sz w:val="22"/>
              </w:rPr>
              <w:t>72</w:t>
            </w:r>
          </w:p>
        </w:tc>
        <w:tc>
          <w:tcPr>
            <w:tcW w:w="1350" w:type="dxa"/>
            <w:tcBorders>
              <w:top w:val="nil"/>
              <w:left w:val="nil"/>
              <w:bottom w:val="single" w:sz="8" w:space="0" w:color="auto"/>
              <w:right w:val="single" w:sz="8" w:space="0" w:color="auto"/>
            </w:tcBorders>
            <w:shd w:val="clear" w:color="auto" w:fill="auto"/>
            <w:noWrap/>
            <w:vAlign w:val="center"/>
            <w:hideMark/>
          </w:tcPr>
          <w:p w14:paraId="5AB19EEE" w14:textId="77777777" w:rsidR="00F848A1" w:rsidRPr="00362517" w:rsidRDefault="00F848A1" w:rsidP="00BF6BC7">
            <w:pPr>
              <w:keepNext/>
              <w:jc w:val="center"/>
            </w:pPr>
            <w:r w:rsidRPr="00362517">
              <w:rPr>
                <w:sz w:val="22"/>
              </w:rPr>
              <w:t>$0</w:t>
            </w:r>
          </w:p>
        </w:tc>
        <w:tc>
          <w:tcPr>
            <w:tcW w:w="1350" w:type="dxa"/>
            <w:tcBorders>
              <w:top w:val="nil"/>
              <w:left w:val="nil"/>
              <w:bottom w:val="single" w:sz="8" w:space="0" w:color="auto"/>
              <w:right w:val="double" w:sz="6" w:space="0" w:color="auto"/>
            </w:tcBorders>
            <w:shd w:val="clear" w:color="auto" w:fill="auto"/>
            <w:noWrap/>
            <w:vAlign w:val="center"/>
            <w:hideMark/>
          </w:tcPr>
          <w:p w14:paraId="5AB19EEF" w14:textId="2FA74E9A" w:rsidR="00F848A1" w:rsidRPr="00362517" w:rsidRDefault="00F848A1" w:rsidP="00BF6BC7">
            <w:pPr>
              <w:keepNext/>
              <w:jc w:val="center"/>
            </w:pPr>
            <w:r w:rsidRPr="00362517">
              <w:rPr>
                <w:sz w:val="22"/>
              </w:rPr>
              <w:t>$16</w:t>
            </w:r>
            <w:r w:rsidR="00803AED" w:rsidRPr="00362517">
              <w:rPr>
                <w:sz w:val="22"/>
              </w:rPr>
              <w:t>2</w:t>
            </w:r>
            <w:r w:rsidRPr="00362517">
              <w:rPr>
                <w:sz w:val="22"/>
              </w:rPr>
              <w:t>,</w:t>
            </w:r>
            <w:r w:rsidR="00803AED" w:rsidRPr="00362517">
              <w:rPr>
                <w:sz w:val="22"/>
              </w:rPr>
              <w:t>13</w:t>
            </w:r>
            <w:r w:rsidR="00152C88" w:rsidRPr="00362517">
              <w:rPr>
                <w:sz w:val="22"/>
              </w:rPr>
              <w:t>7</w:t>
            </w:r>
            <w:r w:rsidRPr="00362517">
              <w:rPr>
                <w:sz w:val="22"/>
              </w:rPr>
              <w:t xml:space="preserve"> </w:t>
            </w:r>
          </w:p>
        </w:tc>
      </w:tr>
      <w:tr w:rsidR="00362517" w:rsidRPr="00362517" w14:paraId="5AB19EF7" w14:textId="77777777" w:rsidTr="0034043F">
        <w:trPr>
          <w:trHeight w:val="353"/>
          <w:jc w:val="center"/>
        </w:trPr>
        <w:tc>
          <w:tcPr>
            <w:tcW w:w="2350" w:type="dxa"/>
            <w:tcBorders>
              <w:top w:val="nil"/>
              <w:left w:val="double" w:sz="6" w:space="0" w:color="auto"/>
              <w:bottom w:val="single" w:sz="8" w:space="0" w:color="auto"/>
              <w:right w:val="single" w:sz="8" w:space="0" w:color="auto"/>
            </w:tcBorders>
            <w:shd w:val="clear" w:color="auto" w:fill="auto"/>
            <w:noWrap/>
            <w:vAlign w:val="center"/>
            <w:hideMark/>
          </w:tcPr>
          <w:p w14:paraId="5AB19EF1" w14:textId="77777777" w:rsidR="00F848A1" w:rsidRPr="00362517" w:rsidRDefault="00F848A1" w:rsidP="00BF6BC7">
            <w:pPr>
              <w:keepNext/>
            </w:pPr>
            <w:r w:rsidRPr="00362517">
              <w:rPr>
                <w:sz w:val="22"/>
              </w:rPr>
              <w:t>Category S-1: Death</w:t>
            </w:r>
          </w:p>
        </w:tc>
        <w:tc>
          <w:tcPr>
            <w:tcW w:w="1093" w:type="dxa"/>
            <w:tcBorders>
              <w:top w:val="nil"/>
              <w:left w:val="nil"/>
              <w:bottom w:val="single" w:sz="8" w:space="0" w:color="auto"/>
              <w:right w:val="single" w:sz="8" w:space="0" w:color="auto"/>
            </w:tcBorders>
            <w:shd w:val="clear" w:color="auto" w:fill="auto"/>
            <w:noWrap/>
            <w:vAlign w:val="center"/>
            <w:hideMark/>
          </w:tcPr>
          <w:p w14:paraId="5AB19EF2" w14:textId="77777777" w:rsidR="00F848A1" w:rsidRPr="00362517" w:rsidRDefault="00F848A1" w:rsidP="00BF6BC7">
            <w:pPr>
              <w:keepNext/>
              <w:jc w:val="center"/>
            </w:pPr>
            <w:r w:rsidRPr="00362517">
              <w:rPr>
                <w:sz w:val="22"/>
              </w:rPr>
              <w:t>1.3</w:t>
            </w:r>
          </w:p>
        </w:tc>
        <w:tc>
          <w:tcPr>
            <w:tcW w:w="1530" w:type="dxa"/>
            <w:tcBorders>
              <w:top w:val="nil"/>
              <w:left w:val="nil"/>
              <w:bottom w:val="single" w:sz="8" w:space="0" w:color="auto"/>
              <w:right w:val="single" w:sz="8" w:space="0" w:color="auto"/>
            </w:tcBorders>
            <w:shd w:val="clear" w:color="auto" w:fill="auto"/>
            <w:vAlign w:val="center"/>
            <w:hideMark/>
          </w:tcPr>
          <w:p w14:paraId="5AB19EF3" w14:textId="77777777" w:rsidR="00F848A1" w:rsidRPr="00362517" w:rsidRDefault="00F848A1" w:rsidP="00BF6BC7">
            <w:pPr>
              <w:keepNext/>
              <w:jc w:val="center"/>
            </w:pPr>
          </w:p>
        </w:tc>
        <w:tc>
          <w:tcPr>
            <w:tcW w:w="1574" w:type="dxa"/>
            <w:tcBorders>
              <w:top w:val="nil"/>
              <w:left w:val="nil"/>
              <w:bottom w:val="single" w:sz="8" w:space="0" w:color="auto"/>
              <w:right w:val="single" w:sz="8" w:space="0" w:color="auto"/>
            </w:tcBorders>
            <w:shd w:val="clear" w:color="auto" w:fill="auto"/>
            <w:noWrap/>
            <w:vAlign w:val="center"/>
            <w:hideMark/>
          </w:tcPr>
          <w:p w14:paraId="5AB19EF4" w14:textId="77777777" w:rsidR="00F848A1" w:rsidRPr="00362517" w:rsidRDefault="00F848A1" w:rsidP="00BF6BC7">
            <w:pPr>
              <w:keepNext/>
              <w:jc w:val="center"/>
            </w:pPr>
          </w:p>
        </w:tc>
        <w:tc>
          <w:tcPr>
            <w:tcW w:w="1350" w:type="dxa"/>
            <w:tcBorders>
              <w:top w:val="nil"/>
              <w:left w:val="nil"/>
              <w:bottom w:val="single" w:sz="8" w:space="0" w:color="auto"/>
              <w:right w:val="single" w:sz="8" w:space="0" w:color="auto"/>
            </w:tcBorders>
            <w:shd w:val="clear" w:color="auto" w:fill="auto"/>
            <w:noWrap/>
            <w:vAlign w:val="center"/>
            <w:hideMark/>
          </w:tcPr>
          <w:p w14:paraId="5AB19EF5" w14:textId="77777777" w:rsidR="00F848A1" w:rsidRPr="00362517" w:rsidRDefault="00F848A1" w:rsidP="00BF6BC7">
            <w:pPr>
              <w:keepNext/>
              <w:jc w:val="center"/>
            </w:pPr>
            <w:r w:rsidRPr="00362517">
              <w:rPr>
                <w:sz w:val="22"/>
              </w:rPr>
              <w:t>$9,910,000</w:t>
            </w:r>
          </w:p>
        </w:tc>
        <w:tc>
          <w:tcPr>
            <w:tcW w:w="1350" w:type="dxa"/>
            <w:tcBorders>
              <w:top w:val="nil"/>
              <w:left w:val="nil"/>
              <w:bottom w:val="single" w:sz="8" w:space="0" w:color="auto"/>
              <w:right w:val="double" w:sz="6" w:space="0" w:color="auto"/>
            </w:tcBorders>
            <w:shd w:val="clear" w:color="auto" w:fill="auto"/>
            <w:noWrap/>
            <w:vAlign w:val="center"/>
            <w:hideMark/>
          </w:tcPr>
          <w:p w14:paraId="5AB19EF6" w14:textId="77777777" w:rsidR="00F848A1" w:rsidRPr="00362517" w:rsidRDefault="00F848A1" w:rsidP="00BF6BC7">
            <w:pPr>
              <w:keepNext/>
              <w:jc w:val="center"/>
            </w:pPr>
            <w:r w:rsidRPr="00362517">
              <w:rPr>
                <w:sz w:val="22"/>
              </w:rPr>
              <w:t xml:space="preserve">$12,883,300  </w:t>
            </w:r>
          </w:p>
        </w:tc>
      </w:tr>
      <w:tr w:rsidR="00362517" w:rsidRPr="00362517" w14:paraId="5AB19EFE" w14:textId="77777777" w:rsidTr="0034043F">
        <w:trPr>
          <w:trHeight w:val="353"/>
          <w:jc w:val="center"/>
        </w:trPr>
        <w:tc>
          <w:tcPr>
            <w:tcW w:w="2350" w:type="dxa"/>
            <w:tcBorders>
              <w:top w:val="nil"/>
              <w:left w:val="double" w:sz="6" w:space="0" w:color="auto"/>
              <w:bottom w:val="single" w:sz="8" w:space="0" w:color="auto"/>
              <w:right w:val="single" w:sz="8" w:space="0" w:color="auto"/>
            </w:tcBorders>
            <w:shd w:val="clear" w:color="auto" w:fill="auto"/>
            <w:noWrap/>
            <w:vAlign w:val="center"/>
            <w:hideMark/>
          </w:tcPr>
          <w:p w14:paraId="5AB19EF8" w14:textId="77777777" w:rsidR="00F848A1" w:rsidRPr="00362517" w:rsidRDefault="00F848A1" w:rsidP="00BF6BC7">
            <w:pPr>
              <w:keepNext/>
            </w:pPr>
            <w:r w:rsidRPr="00362517">
              <w:rPr>
                <w:sz w:val="22"/>
              </w:rPr>
              <w:t> </w:t>
            </w:r>
          </w:p>
        </w:tc>
        <w:tc>
          <w:tcPr>
            <w:tcW w:w="1093" w:type="dxa"/>
            <w:tcBorders>
              <w:top w:val="nil"/>
              <w:left w:val="nil"/>
              <w:bottom w:val="single" w:sz="8" w:space="0" w:color="auto"/>
              <w:right w:val="single" w:sz="8" w:space="0" w:color="auto"/>
            </w:tcBorders>
            <w:shd w:val="clear" w:color="auto" w:fill="auto"/>
            <w:noWrap/>
            <w:vAlign w:val="center"/>
            <w:hideMark/>
          </w:tcPr>
          <w:p w14:paraId="5AB19EF9" w14:textId="77777777" w:rsidR="00F848A1" w:rsidRPr="00362517" w:rsidRDefault="00F848A1" w:rsidP="00BF6BC7">
            <w:pPr>
              <w:keepNext/>
              <w:jc w:val="center"/>
            </w:pPr>
          </w:p>
        </w:tc>
        <w:tc>
          <w:tcPr>
            <w:tcW w:w="1530" w:type="dxa"/>
            <w:tcBorders>
              <w:top w:val="nil"/>
              <w:left w:val="nil"/>
              <w:bottom w:val="single" w:sz="8" w:space="0" w:color="auto"/>
              <w:right w:val="single" w:sz="8" w:space="0" w:color="auto"/>
            </w:tcBorders>
            <w:shd w:val="clear" w:color="auto" w:fill="auto"/>
            <w:vAlign w:val="center"/>
            <w:hideMark/>
          </w:tcPr>
          <w:p w14:paraId="5AB19EFA" w14:textId="77777777" w:rsidR="00F848A1" w:rsidRPr="00362517" w:rsidRDefault="00F848A1" w:rsidP="00BF6BC7">
            <w:pPr>
              <w:keepNext/>
              <w:jc w:val="center"/>
            </w:pPr>
          </w:p>
        </w:tc>
        <w:tc>
          <w:tcPr>
            <w:tcW w:w="1574" w:type="dxa"/>
            <w:tcBorders>
              <w:top w:val="nil"/>
              <w:left w:val="nil"/>
              <w:bottom w:val="single" w:sz="8" w:space="0" w:color="auto"/>
              <w:right w:val="single" w:sz="8" w:space="0" w:color="auto"/>
            </w:tcBorders>
            <w:shd w:val="clear" w:color="auto" w:fill="auto"/>
            <w:noWrap/>
            <w:vAlign w:val="center"/>
            <w:hideMark/>
          </w:tcPr>
          <w:p w14:paraId="5AB19EFB" w14:textId="77777777" w:rsidR="00F848A1" w:rsidRPr="00362517" w:rsidRDefault="00F848A1" w:rsidP="00BF6BC7">
            <w:pPr>
              <w:keepNext/>
              <w:jc w:val="center"/>
            </w:pPr>
          </w:p>
        </w:tc>
        <w:tc>
          <w:tcPr>
            <w:tcW w:w="1350" w:type="dxa"/>
            <w:tcBorders>
              <w:top w:val="nil"/>
              <w:left w:val="nil"/>
              <w:bottom w:val="single" w:sz="8" w:space="0" w:color="auto"/>
              <w:right w:val="single" w:sz="8" w:space="0" w:color="auto"/>
            </w:tcBorders>
            <w:shd w:val="clear" w:color="auto" w:fill="auto"/>
            <w:noWrap/>
            <w:vAlign w:val="center"/>
            <w:hideMark/>
          </w:tcPr>
          <w:p w14:paraId="5AB19EFC" w14:textId="77777777" w:rsidR="00F848A1" w:rsidRPr="00362517" w:rsidRDefault="00F848A1" w:rsidP="00BF6BC7">
            <w:pPr>
              <w:keepNext/>
              <w:jc w:val="center"/>
            </w:pPr>
          </w:p>
        </w:tc>
        <w:tc>
          <w:tcPr>
            <w:tcW w:w="1350" w:type="dxa"/>
            <w:tcBorders>
              <w:top w:val="nil"/>
              <w:left w:val="nil"/>
              <w:bottom w:val="single" w:sz="8" w:space="0" w:color="auto"/>
              <w:right w:val="double" w:sz="6" w:space="0" w:color="auto"/>
            </w:tcBorders>
            <w:shd w:val="clear" w:color="auto" w:fill="auto"/>
            <w:noWrap/>
            <w:vAlign w:val="center"/>
            <w:hideMark/>
          </w:tcPr>
          <w:p w14:paraId="5AB19EFD" w14:textId="77777777" w:rsidR="00F848A1" w:rsidRPr="00362517" w:rsidRDefault="00F848A1" w:rsidP="00BF6BC7">
            <w:pPr>
              <w:keepNext/>
              <w:jc w:val="center"/>
            </w:pPr>
          </w:p>
        </w:tc>
      </w:tr>
      <w:tr w:rsidR="00362517" w:rsidRPr="00362517" w14:paraId="5AB19F05" w14:textId="77777777" w:rsidTr="0034043F">
        <w:trPr>
          <w:trHeight w:val="353"/>
          <w:jc w:val="center"/>
        </w:trPr>
        <w:tc>
          <w:tcPr>
            <w:tcW w:w="2350" w:type="dxa"/>
            <w:tcBorders>
              <w:top w:val="nil"/>
              <w:left w:val="double" w:sz="6" w:space="0" w:color="auto"/>
              <w:bottom w:val="single" w:sz="8" w:space="0" w:color="auto"/>
              <w:right w:val="single" w:sz="8" w:space="0" w:color="auto"/>
            </w:tcBorders>
            <w:shd w:val="clear" w:color="auto" w:fill="auto"/>
            <w:noWrap/>
            <w:vAlign w:val="center"/>
            <w:hideMark/>
          </w:tcPr>
          <w:p w14:paraId="5AB19EFF" w14:textId="77777777" w:rsidR="00F848A1" w:rsidRPr="00362517" w:rsidRDefault="00F848A1" w:rsidP="00BF6BC7">
            <w:pPr>
              <w:keepNext/>
              <w:rPr>
                <w:b/>
                <w:bCs/>
              </w:rPr>
            </w:pPr>
            <w:r w:rsidRPr="00362517">
              <w:rPr>
                <w:b/>
                <w:bCs/>
                <w:sz w:val="22"/>
              </w:rPr>
              <w:t>Total</w:t>
            </w:r>
          </w:p>
        </w:tc>
        <w:tc>
          <w:tcPr>
            <w:tcW w:w="1093" w:type="dxa"/>
            <w:tcBorders>
              <w:top w:val="nil"/>
              <w:left w:val="nil"/>
              <w:bottom w:val="single" w:sz="8" w:space="0" w:color="auto"/>
              <w:right w:val="single" w:sz="8" w:space="0" w:color="auto"/>
            </w:tcBorders>
            <w:shd w:val="clear" w:color="auto" w:fill="auto"/>
            <w:noWrap/>
            <w:vAlign w:val="center"/>
            <w:hideMark/>
          </w:tcPr>
          <w:p w14:paraId="5AB19F00" w14:textId="43B88D9F" w:rsidR="00F848A1" w:rsidRPr="00362517" w:rsidRDefault="00F848A1" w:rsidP="00BF6BC7">
            <w:pPr>
              <w:keepNext/>
              <w:jc w:val="center"/>
            </w:pPr>
            <w:r w:rsidRPr="00362517">
              <w:rPr>
                <w:sz w:val="22"/>
              </w:rPr>
              <w:t>1</w:t>
            </w:r>
            <w:r w:rsidR="00803AED" w:rsidRPr="00362517">
              <w:rPr>
                <w:sz w:val="22"/>
              </w:rPr>
              <w:t>56.</w:t>
            </w:r>
            <w:r w:rsidR="00152C88" w:rsidRPr="00362517">
              <w:rPr>
                <w:sz w:val="22"/>
              </w:rPr>
              <w:t>5</w:t>
            </w:r>
          </w:p>
        </w:tc>
        <w:tc>
          <w:tcPr>
            <w:tcW w:w="1530" w:type="dxa"/>
            <w:tcBorders>
              <w:top w:val="nil"/>
              <w:left w:val="nil"/>
              <w:bottom w:val="single" w:sz="8" w:space="0" w:color="auto"/>
              <w:right w:val="single" w:sz="8" w:space="0" w:color="auto"/>
            </w:tcBorders>
            <w:shd w:val="clear" w:color="auto" w:fill="auto"/>
            <w:noWrap/>
            <w:vAlign w:val="center"/>
            <w:hideMark/>
          </w:tcPr>
          <w:p w14:paraId="5AB19F01" w14:textId="77777777" w:rsidR="00F848A1" w:rsidRPr="00362517" w:rsidRDefault="00F848A1" w:rsidP="00BF6BC7">
            <w:pPr>
              <w:keepNext/>
              <w:jc w:val="center"/>
            </w:pPr>
          </w:p>
        </w:tc>
        <w:tc>
          <w:tcPr>
            <w:tcW w:w="1574" w:type="dxa"/>
            <w:tcBorders>
              <w:top w:val="nil"/>
              <w:left w:val="nil"/>
              <w:bottom w:val="single" w:sz="8" w:space="0" w:color="auto"/>
              <w:right w:val="single" w:sz="8" w:space="0" w:color="auto"/>
            </w:tcBorders>
            <w:shd w:val="clear" w:color="auto" w:fill="auto"/>
            <w:noWrap/>
            <w:vAlign w:val="center"/>
            <w:hideMark/>
          </w:tcPr>
          <w:p w14:paraId="5AB19F02" w14:textId="77777777" w:rsidR="00F848A1" w:rsidRPr="00362517" w:rsidRDefault="00F848A1" w:rsidP="00BF6BC7">
            <w:pPr>
              <w:keepNext/>
              <w:jc w:val="center"/>
            </w:pPr>
          </w:p>
        </w:tc>
        <w:tc>
          <w:tcPr>
            <w:tcW w:w="1350" w:type="dxa"/>
            <w:tcBorders>
              <w:top w:val="nil"/>
              <w:left w:val="nil"/>
              <w:bottom w:val="single" w:sz="8" w:space="0" w:color="auto"/>
              <w:right w:val="single" w:sz="8" w:space="0" w:color="auto"/>
            </w:tcBorders>
            <w:shd w:val="clear" w:color="auto" w:fill="auto"/>
            <w:noWrap/>
            <w:vAlign w:val="center"/>
            <w:hideMark/>
          </w:tcPr>
          <w:p w14:paraId="5AB19F03" w14:textId="77777777" w:rsidR="00F848A1" w:rsidRPr="00362517" w:rsidRDefault="00F848A1" w:rsidP="00BF6BC7">
            <w:pPr>
              <w:keepNext/>
              <w:jc w:val="center"/>
            </w:pPr>
          </w:p>
        </w:tc>
        <w:tc>
          <w:tcPr>
            <w:tcW w:w="1350" w:type="dxa"/>
            <w:tcBorders>
              <w:top w:val="nil"/>
              <w:left w:val="nil"/>
              <w:bottom w:val="single" w:sz="8" w:space="0" w:color="auto"/>
              <w:right w:val="double" w:sz="6" w:space="0" w:color="auto"/>
            </w:tcBorders>
            <w:shd w:val="clear" w:color="auto" w:fill="auto"/>
            <w:noWrap/>
            <w:vAlign w:val="center"/>
            <w:hideMark/>
          </w:tcPr>
          <w:p w14:paraId="5AB19F04" w14:textId="1A09B494" w:rsidR="00F848A1" w:rsidRPr="00362517" w:rsidRDefault="00F848A1" w:rsidP="00BF6BC7">
            <w:pPr>
              <w:keepNext/>
              <w:jc w:val="center"/>
            </w:pPr>
            <w:r w:rsidRPr="00362517">
              <w:rPr>
                <w:sz w:val="22"/>
              </w:rPr>
              <w:t>$13,1</w:t>
            </w:r>
            <w:r w:rsidR="00803AED" w:rsidRPr="00362517">
              <w:rPr>
                <w:sz w:val="22"/>
              </w:rPr>
              <w:t>74</w:t>
            </w:r>
            <w:r w:rsidRPr="00362517">
              <w:rPr>
                <w:sz w:val="22"/>
              </w:rPr>
              <w:t>,</w:t>
            </w:r>
            <w:r w:rsidR="00152C88" w:rsidRPr="00362517">
              <w:rPr>
                <w:sz w:val="22"/>
              </w:rPr>
              <w:t>458</w:t>
            </w:r>
            <w:r w:rsidRPr="00362517">
              <w:rPr>
                <w:sz w:val="22"/>
              </w:rPr>
              <w:t xml:space="preserve"> </w:t>
            </w:r>
          </w:p>
        </w:tc>
      </w:tr>
      <w:tr w:rsidR="00362517" w:rsidRPr="00362517" w14:paraId="5AB19F07" w14:textId="77777777" w:rsidTr="0034043F">
        <w:trPr>
          <w:trHeight w:val="273"/>
          <w:jc w:val="center"/>
        </w:trPr>
        <w:tc>
          <w:tcPr>
            <w:tcW w:w="9247" w:type="dxa"/>
            <w:gridSpan w:val="6"/>
            <w:tcBorders>
              <w:top w:val="single" w:sz="8" w:space="0" w:color="auto"/>
              <w:left w:val="double" w:sz="6" w:space="0" w:color="auto"/>
              <w:bottom w:val="nil"/>
              <w:right w:val="double" w:sz="6" w:space="0" w:color="000000"/>
            </w:tcBorders>
            <w:shd w:val="clear" w:color="auto" w:fill="auto"/>
            <w:noWrap/>
            <w:vAlign w:val="center"/>
            <w:hideMark/>
          </w:tcPr>
          <w:p w14:paraId="5AB19F06" w14:textId="77777777" w:rsidR="00F848A1" w:rsidRPr="00362517" w:rsidRDefault="00F848A1" w:rsidP="00BF6BC7">
            <w:pPr>
              <w:keepNext/>
              <w:rPr>
                <w:sz w:val="20"/>
                <w:szCs w:val="20"/>
              </w:rPr>
            </w:pPr>
            <w:r w:rsidRPr="00362517">
              <w:rPr>
                <w:sz w:val="20"/>
                <w:szCs w:val="20"/>
              </w:rPr>
              <w:t>Source: EPA calculations.</w:t>
            </w:r>
          </w:p>
        </w:tc>
      </w:tr>
      <w:tr w:rsidR="00F848A1" w:rsidRPr="00362517" w14:paraId="5AB19F09" w14:textId="77777777" w:rsidTr="0034043F">
        <w:trPr>
          <w:trHeight w:val="353"/>
          <w:jc w:val="center"/>
        </w:trPr>
        <w:tc>
          <w:tcPr>
            <w:tcW w:w="9247" w:type="dxa"/>
            <w:gridSpan w:val="6"/>
            <w:tcBorders>
              <w:top w:val="nil"/>
              <w:left w:val="double" w:sz="6" w:space="0" w:color="auto"/>
              <w:bottom w:val="double" w:sz="6" w:space="0" w:color="auto"/>
              <w:right w:val="double" w:sz="6" w:space="0" w:color="000000"/>
            </w:tcBorders>
            <w:shd w:val="clear" w:color="auto" w:fill="auto"/>
            <w:noWrap/>
            <w:vAlign w:val="center"/>
            <w:hideMark/>
          </w:tcPr>
          <w:p w14:paraId="5AB19F08" w14:textId="105E9703" w:rsidR="00F848A1" w:rsidRPr="00362517" w:rsidRDefault="00F848A1" w:rsidP="00BF6BC7">
            <w:pPr>
              <w:keepNext/>
              <w:rPr>
                <w:sz w:val="20"/>
                <w:szCs w:val="20"/>
              </w:rPr>
            </w:pPr>
          </w:p>
        </w:tc>
      </w:tr>
    </w:tbl>
    <w:p w14:paraId="5AB19F0A" w14:textId="77777777" w:rsidR="00F848A1" w:rsidRPr="00362517" w:rsidRDefault="00F848A1" w:rsidP="00BF6BC7">
      <w:pPr>
        <w:tabs>
          <w:tab w:val="left" w:pos="540"/>
          <w:tab w:val="left" w:pos="1080"/>
          <w:tab w:val="left" w:pos="1620"/>
          <w:tab w:val="left" w:pos="2160"/>
        </w:tabs>
        <w:jc w:val="center"/>
      </w:pPr>
    </w:p>
    <w:p w14:paraId="5AB19F0B" w14:textId="77777777" w:rsidR="00F848A1" w:rsidRPr="00362517" w:rsidRDefault="00F848A1" w:rsidP="00BF6BC7">
      <w:pPr>
        <w:tabs>
          <w:tab w:val="left" w:pos="540"/>
          <w:tab w:val="left" w:pos="1080"/>
          <w:tab w:val="left" w:pos="1620"/>
          <w:tab w:val="left" w:pos="2160"/>
        </w:tabs>
        <w:jc w:val="center"/>
      </w:pPr>
    </w:p>
    <w:p w14:paraId="5AB19F0C" w14:textId="77777777" w:rsidR="00F848A1" w:rsidRPr="00362517" w:rsidRDefault="00F848A1" w:rsidP="00BF6BC7">
      <w:pPr>
        <w:tabs>
          <w:tab w:val="left" w:pos="540"/>
          <w:tab w:val="left" w:pos="1080"/>
          <w:tab w:val="left" w:pos="1620"/>
          <w:tab w:val="left" w:pos="2160"/>
        </w:tabs>
        <w:jc w:val="center"/>
      </w:pPr>
    </w:p>
    <w:tbl>
      <w:tblPr>
        <w:tblW w:w="9247" w:type="dxa"/>
        <w:jc w:val="center"/>
        <w:tblLayout w:type="fixed"/>
        <w:tblLook w:val="04A0" w:firstRow="1" w:lastRow="0" w:firstColumn="1" w:lastColumn="0" w:noHBand="0" w:noVBand="1"/>
      </w:tblPr>
      <w:tblGrid>
        <w:gridCol w:w="2430"/>
        <w:gridCol w:w="1080"/>
        <w:gridCol w:w="1530"/>
        <w:gridCol w:w="1417"/>
        <w:gridCol w:w="1440"/>
        <w:gridCol w:w="1350"/>
      </w:tblGrid>
      <w:tr w:rsidR="00362517" w:rsidRPr="00362517" w14:paraId="5AB19F0E" w14:textId="77777777" w:rsidTr="0034043F">
        <w:trPr>
          <w:trHeight w:val="543"/>
          <w:jc w:val="center"/>
        </w:trPr>
        <w:tc>
          <w:tcPr>
            <w:tcW w:w="9247" w:type="dxa"/>
            <w:gridSpan w:val="6"/>
            <w:tcBorders>
              <w:top w:val="double" w:sz="6" w:space="0" w:color="auto"/>
              <w:left w:val="double" w:sz="6" w:space="0" w:color="auto"/>
              <w:bottom w:val="double" w:sz="6" w:space="0" w:color="auto"/>
              <w:right w:val="double" w:sz="6" w:space="0" w:color="auto"/>
            </w:tcBorders>
            <w:shd w:val="clear" w:color="auto" w:fill="auto"/>
            <w:vAlign w:val="bottom"/>
            <w:hideMark/>
          </w:tcPr>
          <w:p w14:paraId="5AB19F0D" w14:textId="77777777" w:rsidR="00F848A1" w:rsidRPr="00362517" w:rsidRDefault="00F848A1" w:rsidP="00BF6BC7">
            <w:pPr>
              <w:keepNext/>
              <w:rPr>
                <w:b/>
                <w:bCs/>
              </w:rPr>
            </w:pPr>
            <w:r w:rsidRPr="00362517">
              <w:rPr>
                <w:b/>
                <w:bCs/>
                <w:sz w:val="22"/>
                <w:szCs w:val="22"/>
              </w:rPr>
              <w:t>Table 4.5-</w:t>
            </w:r>
            <w:r w:rsidR="00170F74" w:rsidRPr="00362517">
              <w:rPr>
                <w:b/>
                <w:bCs/>
                <w:sz w:val="22"/>
                <w:szCs w:val="22"/>
              </w:rPr>
              <w:t>12</w:t>
            </w:r>
            <w:r w:rsidRPr="00362517">
              <w:rPr>
                <w:b/>
                <w:bCs/>
                <w:sz w:val="22"/>
                <w:szCs w:val="22"/>
              </w:rPr>
              <w:t>: “High-End” Estimate of Avoided Average Annual Costs f</w:t>
            </w:r>
            <w:r w:rsidR="004D74D1" w:rsidRPr="00362517">
              <w:rPr>
                <w:b/>
                <w:bCs/>
                <w:sz w:val="22"/>
                <w:szCs w:val="22"/>
              </w:rPr>
              <w:t>rom</w:t>
            </w:r>
            <w:r w:rsidRPr="00362517">
              <w:rPr>
                <w:b/>
                <w:bCs/>
                <w:sz w:val="22"/>
                <w:szCs w:val="22"/>
              </w:rPr>
              <w:t xml:space="preserve"> Changes to the Certification Rule</w:t>
            </w:r>
          </w:p>
        </w:tc>
      </w:tr>
      <w:tr w:rsidR="00362517" w:rsidRPr="00362517" w14:paraId="5AB19F15" w14:textId="77777777" w:rsidTr="0034043F">
        <w:trPr>
          <w:trHeight w:val="576"/>
          <w:jc w:val="center"/>
        </w:trPr>
        <w:tc>
          <w:tcPr>
            <w:tcW w:w="2430" w:type="dxa"/>
            <w:vMerge w:val="restart"/>
            <w:tcBorders>
              <w:top w:val="nil"/>
              <w:left w:val="double" w:sz="6" w:space="0" w:color="auto"/>
              <w:bottom w:val="double" w:sz="6" w:space="0" w:color="000000"/>
              <w:right w:val="single" w:sz="8" w:space="0" w:color="auto"/>
            </w:tcBorders>
            <w:shd w:val="clear" w:color="auto" w:fill="auto"/>
            <w:vAlign w:val="bottom"/>
            <w:hideMark/>
          </w:tcPr>
          <w:p w14:paraId="5AB19F0F" w14:textId="77777777" w:rsidR="00F848A1" w:rsidRPr="00362517" w:rsidRDefault="00F848A1" w:rsidP="00BF6BC7">
            <w:pPr>
              <w:keepNext/>
              <w:jc w:val="center"/>
              <w:rPr>
                <w:b/>
                <w:bCs/>
              </w:rPr>
            </w:pPr>
            <w:r w:rsidRPr="00362517">
              <w:rPr>
                <w:b/>
                <w:bCs/>
                <w:sz w:val="22"/>
                <w:szCs w:val="22"/>
              </w:rPr>
              <w:t>Clinical Effect</w:t>
            </w:r>
          </w:p>
        </w:tc>
        <w:tc>
          <w:tcPr>
            <w:tcW w:w="1080" w:type="dxa"/>
            <w:vMerge w:val="restart"/>
            <w:tcBorders>
              <w:top w:val="nil"/>
              <w:left w:val="single" w:sz="8" w:space="0" w:color="auto"/>
              <w:bottom w:val="double" w:sz="6" w:space="0" w:color="000000"/>
              <w:right w:val="single" w:sz="8" w:space="0" w:color="auto"/>
            </w:tcBorders>
            <w:shd w:val="clear" w:color="auto" w:fill="auto"/>
            <w:vAlign w:val="bottom"/>
            <w:hideMark/>
          </w:tcPr>
          <w:p w14:paraId="5AB19F10" w14:textId="77777777" w:rsidR="00F848A1" w:rsidRPr="00362517" w:rsidRDefault="00F848A1" w:rsidP="00BF6BC7">
            <w:pPr>
              <w:keepNext/>
              <w:jc w:val="center"/>
              <w:rPr>
                <w:b/>
                <w:bCs/>
              </w:rPr>
            </w:pPr>
            <w:r w:rsidRPr="00362517">
              <w:rPr>
                <w:b/>
                <w:bCs/>
                <w:sz w:val="22"/>
                <w:szCs w:val="22"/>
              </w:rPr>
              <w:t>Avoided Cases per Year</w:t>
            </w:r>
          </w:p>
        </w:tc>
        <w:tc>
          <w:tcPr>
            <w:tcW w:w="1530" w:type="dxa"/>
            <w:vMerge w:val="restart"/>
            <w:tcBorders>
              <w:top w:val="nil"/>
              <w:left w:val="single" w:sz="8" w:space="0" w:color="auto"/>
              <w:bottom w:val="double" w:sz="6" w:space="0" w:color="000000"/>
              <w:right w:val="single" w:sz="8" w:space="0" w:color="auto"/>
            </w:tcBorders>
            <w:shd w:val="clear" w:color="auto" w:fill="auto"/>
            <w:vAlign w:val="bottom"/>
            <w:hideMark/>
          </w:tcPr>
          <w:p w14:paraId="5AB19F11" w14:textId="77777777" w:rsidR="00F848A1" w:rsidRPr="00362517" w:rsidRDefault="00F848A1" w:rsidP="00BF6BC7">
            <w:pPr>
              <w:keepNext/>
              <w:jc w:val="center"/>
              <w:rPr>
                <w:b/>
                <w:bCs/>
              </w:rPr>
            </w:pPr>
            <w:r w:rsidRPr="00362517">
              <w:rPr>
                <w:b/>
                <w:bCs/>
                <w:sz w:val="22"/>
                <w:szCs w:val="22"/>
              </w:rPr>
              <w:t>Medical Costs per Case</w:t>
            </w:r>
          </w:p>
        </w:tc>
        <w:tc>
          <w:tcPr>
            <w:tcW w:w="1417" w:type="dxa"/>
            <w:vMerge w:val="restart"/>
            <w:tcBorders>
              <w:top w:val="nil"/>
              <w:left w:val="single" w:sz="8" w:space="0" w:color="auto"/>
              <w:bottom w:val="double" w:sz="6" w:space="0" w:color="000000"/>
              <w:right w:val="single" w:sz="8" w:space="0" w:color="auto"/>
            </w:tcBorders>
            <w:shd w:val="clear" w:color="auto" w:fill="auto"/>
            <w:vAlign w:val="bottom"/>
            <w:hideMark/>
          </w:tcPr>
          <w:p w14:paraId="5AB19F12" w14:textId="77777777" w:rsidR="00F848A1" w:rsidRPr="00362517" w:rsidRDefault="00F848A1" w:rsidP="00BF6BC7">
            <w:pPr>
              <w:keepNext/>
              <w:jc w:val="center"/>
              <w:rPr>
                <w:b/>
                <w:bCs/>
              </w:rPr>
            </w:pPr>
            <w:r w:rsidRPr="00362517">
              <w:rPr>
                <w:b/>
                <w:bCs/>
                <w:sz w:val="22"/>
                <w:szCs w:val="22"/>
              </w:rPr>
              <w:t>Lost Productivity per Case</w:t>
            </w:r>
          </w:p>
        </w:tc>
        <w:tc>
          <w:tcPr>
            <w:tcW w:w="1440" w:type="dxa"/>
            <w:vMerge w:val="restart"/>
            <w:tcBorders>
              <w:top w:val="nil"/>
              <w:left w:val="single" w:sz="8" w:space="0" w:color="auto"/>
              <w:bottom w:val="double" w:sz="6" w:space="0" w:color="000000"/>
              <w:right w:val="single" w:sz="8" w:space="0" w:color="auto"/>
            </w:tcBorders>
            <w:shd w:val="clear" w:color="auto" w:fill="auto"/>
            <w:vAlign w:val="bottom"/>
            <w:hideMark/>
          </w:tcPr>
          <w:p w14:paraId="5AB19F13" w14:textId="77777777" w:rsidR="00F848A1" w:rsidRPr="00362517" w:rsidRDefault="00F848A1" w:rsidP="00BF6BC7">
            <w:pPr>
              <w:keepNext/>
              <w:jc w:val="center"/>
              <w:rPr>
                <w:b/>
                <w:bCs/>
              </w:rPr>
            </w:pPr>
            <w:r w:rsidRPr="00362517">
              <w:rPr>
                <w:b/>
                <w:bCs/>
                <w:sz w:val="22"/>
                <w:szCs w:val="22"/>
              </w:rPr>
              <w:t>Premature Mortality per Case</w:t>
            </w:r>
          </w:p>
        </w:tc>
        <w:tc>
          <w:tcPr>
            <w:tcW w:w="1350" w:type="dxa"/>
            <w:vMerge w:val="restart"/>
            <w:tcBorders>
              <w:top w:val="nil"/>
              <w:left w:val="single" w:sz="8" w:space="0" w:color="auto"/>
              <w:bottom w:val="double" w:sz="6" w:space="0" w:color="000000"/>
              <w:right w:val="double" w:sz="6" w:space="0" w:color="auto"/>
            </w:tcBorders>
            <w:shd w:val="clear" w:color="auto" w:fill="auto"/>
            <w:vAlign w:val="bottom"/>
            <w:hideMark/>
          </w:tcPr>
          <w:p w14:paraId="5AB19F14" w14:textId="77777777" w:rsidR="00F848A1" w:rsidRPr="00362517" w:rsidRDefault="00F848A1" w:rsidP="00BF6BC7">
            <w:pPr>
              <w:keepNext/>
              <w:jc w:val="center"/>
              <w:rPr>
                <w:b/>
                <w:bCs/>
              </w:rPr>
            </w:pPr>
            <w:r w:rsidRPr="00362517">
              <w:rPr>
                <w:b/>
                <w:bCs/>
                <w:sz w:val="22"/>
                <w:szCs w:val="22"/>
              </w:rPr>
              <w:t>Average Annual Total Cost Avoided</w:t>
            </w:r>
          </w:p>
        </w:tc>
      </w:tr>
      <w:tr w:rsidR="00362517" w:rsidRPr="00362517" w14:paraId="5AB19F1C" w14:textId="77777777" w:rsidTr="0034043F">
        <w:trPr>
          <w:trHeight w:val="353"/>
          <w:jc w:val="center"/>
        </w:trPr>
        <w:tc>
          <w:tcPr>
            <w:tcW w:w="2430" w:type="dxa"/>
            <w:vMerge/>
            <w:tcBorders>
              <w:top w:val="nil"/>
              <w:left w:val="double" w:sz="6" w:space="0" w:color="auto"/>
              <w:bottom w:val="double" w:sz="6" w:space="0" w:color="000000"/>
              <w:right w:val="single" w:sz="8" w:space="0" w:color="auto"/>
            </w:tcBorders>
            <w:vAlign w:val="center"/>
            <w:hideMark/>
          </w:tcPr>
          <w:p w14:paraId="5AB19F16" w14:textId="77777777" w:rsidR="00F848A1" w:rsidRPr="00362517" w:rsidRDefault="00F848A1" w:rsidP="00BF6BC7">
            <w:pPr>
              <w:keepNext/>
              <w:rPr>
                <w:b/>
                <w:bCs/>
              </w:rPr>
            </w:pPr>
          </w:p>
        </w:tc>
        <w:tc>
          <w:tcPr>
            <w:tcW w:w="1080" w:type="dxa"/>
            <w:vMerge/>
            <w:tcBorders>
              <w:top w:val="nil"/>
              <w:left w:val="single" w:sz="8" w:space="0" w:color="auto"/>
              <w:bottom w:val="double" w:sz="6" w:space="0" w:color="000000"/>
              <w:right w:val="single" w:sz="8" w:space="0" w:color="auto"/>
            </w:tcBorders>
            <w:vAlign w:val="center"/>
            <w:hideMark/>
          </w:tcPr>
          <w:p w14:paraId="5AB19F17" w14:textId="77777777" w:rsidR="00F848A1" w:rsidRPr="00362517" w:rsidRDefault="00F848A1" w:rsidP="00BF6BC7">
            <w:pPr>
              <w:keepNext/>
              <w:rPr>
                <w:b/>
                <w:bCs/>
              </w:rPr>
            </w:pPr>
          </w:p>
        </w:tc>
        <w:tc>
          <w:tcPr>
            <w:tcW w:w="1530" w:type="dxa"/>
            <w:vMerge/>
            <w:tcBorders>
              <w:top w:val="nil"/>
              <w:left w:val="single" w:sz="8" w:space="0" w:color="auto"/>
              <w:bottom w:val="double" w:sz="6" w:space="0" w:color="000000"/>
              <w:right w:val="single" w:sz="8" w:space="0" w:color="auto"/>
            </w:tcBorders>
            <w:vAlign w:val="center"/>
            <w:hideMark/>
          </w:tcPr>
          <w:p w14:paraId="5AB19F18" w14:textId="77777777" w:rsidR="00F848A1" w:rsidRPr="00362517" w:rsidRDefault="00F848A1" w:rsidP="00BF6BC7">
            <w:pPr>
              <w:keepNext/>
              <w:rPr>
                <w:b/>
                <w:bCs/>
              </w:rPr>
            </w:pPr>
          </w:p>
        </w:tc>
        <w:tc>
          <w:tcPr>
            <w:tcW w:w="1417" w:type="dxa"/>
            <w:vMerge/>
            <w:tcBorders>
              <w:top w:val="nil"/>
              <w:left w:val="single" w:sz="8" w:space="0" w:color="auto"/>
              <w:bottom w:val="double" w:sz="6" w:space="0" w:color="000000"/>
              <w:right w:val="single" w:sz="8" w:space="0" w:color="auto"/>
            </w:tcBorders>
            <w:vAlign w:val="center"/>
            <w:hideMark/>
          </w:tcPr>
          <w:p w14:paraId="5AB19F19" w14:textId="77777777" w:rsidR="00F848A1" w:rsidRPr="00362517" w:rsidRDefault="00F848A1" w:rsidP="00BF6BC7">
            <w:pPr>
              <w:keepNext/>
              <w:rPr>
                <w:b/>
                <w:bCs/>
              </w:rPr>
            </w:pPr>
          </w:p>
        </w:tc>
        <w:tc>
          <w:tcPr>
            <w:tcW w:w="1440" w:type="dxa"/>
            <w:vMerge/>
            <w:tcBorders>
              <w:top w:val="nil"/>
              <w:left w:val="single" w:sz="8" w:space="0" w:color="auto"/>
              <w:bottom w:val="double" w:sz="6" w:space="0" w:color="000000"/>
              <w:right w:val="single" w:sz="8" w:space="0" w:color="auto"/>
            </w:tcBorders>
            <w:vAlign w:val="center"/>
            <w:hideMark/>
          </w:tcPr>
          <w:p w14:paraId="5AB19F1A" w14:textId="77777777" w:rsidR="00F848A1" w:rsidRPr="00362517" w:rsidRDefault="00F848A1" w:rsidP="00BF6BC7">
            <w:pPr>
              <w:keepNext/>
              <w:rPr>
                <w:b/>
                <w:bCs/>
              </w:rPr>
            </w:pPr>
          </w:p>
        </w:tc>
        <w:tc>
          <w:tcPr>
            <w:tcW w:w="1350" w:type="dxa"/>
            <w:vMerge/>
            <w:tcBorders>
              <w:top w:val="nil"/>
              <w:left w:val="single" w:sz="8" w:space="0" w:color="auto"/>
              <w:bottom w:val="double" w:sz="6" w:space="0" w:color="000000"/>
              <w:right w:val="double" w:sz="6" w:space="0" w:color="auto"/>
            </w:tcBorders>
            <w:vAlign w:val="center"/>
            <w:hideMark/>
          </w:tcPr>
          <w:p w14:paraId="5AB19F1B" w14:textId="77777777" w:rsidR="00F848A1" w:rsidRPr="00362517" w:rsidRDefault="00F848A1" w:rsidP="00BF6BC7">
            <w:pPr>
              <w:keepNext/>
              <w:rPr>
                <w:b/>
                <w:bCs/>
              </w:rPr>
            </w:pPr>
          </w:p>
        </w:tc>
      </w:tr>
      <w:tr w:rsidR="00362517" w:rsidRPr="00362517" w14:paraId="5AB19F23" w14:textId="77777777" w:rsidTr="0034043F">
        <w:trPr>
          <w:trHeight w:val="434"/>
          <w:jc w:val="center"/>
        </w:trPr>
        <w:tc>
          <w:tcPr>
            <w:tcW w:w="2430" w:type="dxa"/>
            <w:tcBorders>
              <w:top w:val="nil"/>
              <w:left w:val="double" w:sz="6" w:space="0" w:color="auto"/>
              <w:bottom w:val="single" w:sz="8" w:space="0" w:color="auto"/>
              <w:right w:val="single" w:sz="8" w:space="0" w:color="auto"/>
            </w:tcBorders>
            <w:shd w:val="clear" w:color="auto" w:fill="auto"/>
            <w:noWrap/>
            <w:vAlign w:val="center"/>
            <w:hideMark/>
          </w:tcPr>
          <w:p w14:paraId="5AB19F1D" w14:textId="77777777" w:rsidR="00F848A1" w:rsidRPr="00362517" w:rsidRDefault="00F848A1" w:rsidP="00BF6BC7">
            <w:pPr>
              <w:keepNext/>
            </w:pPr>
            <w:r w:rsidRPr="00362517">
              <w:rPr>
                <w:sz w:val="22"/>
                <w:szCs w:val="22"/>
              </w:rPr>
              <w:t>Category S-4: Low severity illness or injury</w:t>
            </w:r>
          </w:p>
        </w:tc>
        <w:tc>
          <w:tcPr>
            <w:tcW w:w="1080" w:type="dxa"/>
            <w:tcBorders>
              <w:top w:val="nil"/>
              <w:left w:val="nil"/>
              <w:bottom w:val="single" w:sz="8" w:space="0" w:color="auto"/>
              <w:right w:val="single" w:sz="8" w:space="0" w:color="auto"/>
            </w:tcBorders>
            <w:shd w:val="clear" w:color="auto" w:fill="auto"/>
            <w:noWrap/>
            <w:vAlign w:val="center"/>
            <w:hideMark/>
          </w:tcPr>
          <w:p w14:paraId="5AB19F1E" w14:textId="0E8FE07B" w:rsidR="00F848A1" w:rsidRPr="00362517" w:rsidRDefault="00F848A1" w:rsidP="00BF6BC7">
            <w:pPr>
              <w:keepNext/>
              <w:jc w:val="center"/>
            </w:pPr>
            <w:r w:rsidRPr="00362517">
              <w:rPr>
                <w:sz w:val="22"/>
                <w:szCs w:val="22"/>
              </w:rPr>
              <w:t>1</w:t>
            </w:r>
            <w:r w:rsidR="00803AED" w:rsidRPr="00362517">
              <w:rPr>
                <w:sz w:val="22"/>
                <w:szCs w:val="22"/>
              </w:rPr>
              <w:t>47.7</w:t>
            </w:r>
          </w:p>
        </w:tc>
        <w:tc>
          <w:tcPr>
            <w:tcW w:w="1530" w:type="dxa"/>
            <w:tcBorders>
              <w:top w:val="nil"/>
              <w:left w:val="nil"/>
              <w:bottom w:val="single" w:sz="8" w:space="0" w:color="auto"/>
              <w:right w:val="single" w:sz="8" w:space="0" w:color="auto"/>
            </w:tcBorders>
            <w:shd w:val="clear" w:color="auto" w:fill="auto"/>
            <w:vAlign w:val="center"/>
            <w:hideMark/>
          </w:tcPr>
          <w:p w14:paraId="5AB19F1F" w14:textId="64962CF5" w:rsidR="00F848A1" w:rsidRPr="00362517" w:rsidRDefault="00F848A1" w:rsidP="000E1218">
            <w:pPr>
              <w:keepNext/>
              <w:jc w:val="center"/>
            </w:pPr>
            <w:r w:rsidRPr="00362517">
              <w:rPr>
                <w:sz w:val="22"/>
                <w:szCs w:val="22"/>
              </w:rPr>
              <w:t>$63.</w:t>
            </w:r>
            <w:r w:rsidR="000E1218" w:rsidRPr="00362517">
              <w:rPr>
                <w:sz w:val="22"/>
                <w:szCs w:val="22"/>
              </w:rPr>
              <w:t>7</w:t>
            </w:r>
            <w:r w:rsidR="000E1218">
              <w:rPr>
                <w:sz w:val="22"/>
                <w:szCs w:val="22"/>
              </w:rPr>
              <w:t>8</w:t>
            </w:r>
            <w:r w:rsidR="000E1218" w:rsidRPr="00362517">
              <w:rPr>
                <w:sz w:val="22"/>
                <w:szCs w:val="22"/>
              </w:rPr>
              <w:t xml:space="preserve"> </w:t>
            </w:r>
          </w:p>
        </w:tc>
        <w:tc>
          <w:tcPr>
            <w:tcW w:w="1417" w:type="dxa"/>
            <w:tcBorders>
              <w:top w:val="nil"/>
              <w:left w:val="nil"/>
              <w:bottom w:val="single" w:sz="8" w:space="0" w:color="auto"/>
              <w:right w:val="single" w:sz="8" w:space="0" w:color="auto"/>
            </w:tcBorders>
            <w:shd w:val="clear" w:color="auto" w:fill="auto"/>
            <w:noWrap/>
            <w:vAlign w:val="center"/>
            <w:hideMark/>
          </w:tcPr>
          <w:p w14:paraId="5AB19F20" w14:textId="065A3078" w:rsidR="00F848A1" w:rsidRPr="00362517" w:rsidRDefault="00F848A1" w:rsidP="000E1218">
            <w:pPr>
              <w:keepNext/>
              <w:jc w:val="center"/>
            </w:pPr>
            <w:r w:rsidRPr="00362517">
              <w:rPr>
                <w:sz w:val="22"/>
                <w:szCs w:val="22"/>
              </w:rPr>
              <w:t>$1,</w:t>
            </w:r>
            <w:r w:rsidR="000E1218" w:rsidRPr="00362517">
              <w:rPr>
                <w:sz w:val="22"/>
                <w:szCs w:val="22"/>
              </w:rPr>
              <w:t>28</w:t>
            </w:r>
            <w:r w:rsidR="000E1218">
              <w:rPr>
                <w:sz w:val="22"/>
                <w:szCs w:val="22"/>
              </w:rPr>
              <w:t>9</w:t>
            </w:r>
            <w:r w:rsidRPr="00362517">
              <w:rPr>
                <w:sz w:val="22"/>
                <w:szCs w:val="22"/>
              </w:rPr>
              <w:t>.</w:t>
            </w:r>
            <w:r w:rsidR="000E1218">
              <w:rPr>
                <w:sz w:val="22"/>
                <w:szCs w:val="22"/>
              </w:rPr>
              <w:t>83</w:t>
            </w:r>
          </w:p>
        </w:tc>
        <w:tc>
          <w:tcPr>
            <w:tcW w:w="1440" w:type="dxa"/>
            <w:tcBorders>
              <w:top w:val="nil"/>
              <w:left w:val="nil"/>
              <w:bottom w:val="single" w:sz="8" w:space="0" w:color="auto"/>
              <w:right w:val="single" w:sz="8" w:space="0" w:color="auto"/>
            </w:tcBorders>
            <w:shd w:val="clear" w:color="auto" w:fill="auto"/>
            <w:noWrap/>
            <w:vAlign w:val="center"/>
            <w:hideMark/>
          </w:tcPr>
          <w:p w14:paraId="5AB19F21" w14:textId="77777777" w:rsidR="00F848A1" w:rsidRPr="00362517" w:rsidRDefault="00F848A1" w:rsidP="00BF6BC7">
            <w:pPr>
              <w:keepNext/>
              <w:jc w:val="center"/>
            </w:pPr>
            <w:r w:rsidRPr="00362517">
              <w:rPr>
                <w:sz w:val="22"/>
                <w:szCs w:val="22"/>
              </w:rPr>
              <w:t>$0</w:t>
            </w:r>
          </w:p>
        </w:tc>
        <w:tc>
          <w:tcPr>
            <w:tcW w:w="1350" w:type="dxa"/>
            <w:tcBorders>
              <w:top w:val="nil"/>
              <w:left w:val="nil"/>
              <w:bottom w:val="single" w:sz="8" w:space="0" w:color="auto"/>
              <w:right w:val="double" w:sz="6" w:space="0" w:color="auto"/>
            </w:tcBorders>
            <w:shd w:val="clear" w:color="auto" w:fill="auto"/>
            <w:noWrap/>
            <w:vAlign w:val="center"/>
            <w:hideMark/>
          </w:tcPr>
          <w:p w14:paraId="5AB19F22" w14:textId="3422FFE5" w:rsidR="00F848A1" w:rsidRPr="00362517" w:rsidRDefault="00F848A1" w:rsidP="00BF6BC7">
            <w:pPr>
              <w:keepNext/>
              <w:jc w:val="center"/>
            </w:pPr>
            <w:r w:rsidRPr="00362517">
              <w:rPr>
                <w:sz w:val="22"/>
                <w:szCs w:val="22"/>
              </w:rPr>
              <w:t>$</w:t>
            </w:r>
            <w:r w:rsidR="00635090" w:rsidRPr="00362517">
              <w:rPr>
                <w:sz w:val="22"/>
                <w:szCs w:val="22"/>
              </w:rPr>
              <w:t>199</w:t>
            </w:r>
            <w:r w:rsidRPr="00362517">
              <w:rPr>
                <w:sz w:val="22"/>
                <w:szCs w:val="22"/>
              </w:rPr>
              <w:t>,</w:t>
            </w:r>
            <w:r w:rsidR="00152C88" w:rsidRPr="00362517">
              <w:rPr>
                <w:sz w:val="22"/>
                <w:szCs w:val="22"/>
              </w:rPr>
              <w:t>928</w:t>
            </w:r>
            <w:r w:rsidRPr="00362517">
              <w:rPr>
                <w:sz w:val="22"/>
                <w:szCs w:val="22"/>
              </w:rPr>
              <w:t xml:space="preserve"> </w:t>
            </w:r>
          </w:p>
        </w:tc>
      </w:tr>
      <w:tr w:rsidR="00362517" w:rsidRPr="00362517" w14:paraId="5AB19F2A" w14:textId="77777777" w:rsidTr="0034043F">
        <w:trPr>
          <w:trHeight w:val="353"/>
          <w:jc w:val="center"/>
        </w:trPr>
        <w:tc>
          <w:tcPr>
            <w:tcW w:w="2430" w:type="dxa"/>
            <w:tcBorders>
              <w:top w:val="nil"/>
              <w:left w:val="double" w:sz="6" w:space="0" w:color="auto"/>
              <w:bottom w:val="single" w:sz="8" w:space="0" w:color="auto"/>
              <w:right w:val="single" w:sz="8" w:space="0" w:color="auto"/>
            </w:tcBorders>
            <w:shd w:val="clear" w:color="auto" w:fill="auto"/>
            <w:noWrap/>
            <w:vAlign w:val="center"/>
            <w:hideMark/>
          </w:tcPr>
          <w:p w14:paraId="5AB19F24" w14:textId="77777777" w:rsidR="00F848A1" w:rsidRPr="00362517" w:rsidRDefault="00F848A1" w:rsidP="00BF6BC7">
            <w:pPr>
              <w:keepNext/>
            </w:pPr>
            <w:r w:rsidRPr="00362517">
              <w:rPr>
                <w:sz w:val="22"/>
                <w:szCs w:val="22"/>
              </w:rPr>
              <w:t>Category S-3: Moderate severity illness or injury</w:t>
            </w:r>
          </w:p>
        </w:tc>
        <w:tc>
          <w:tcPr>
            <w:tcW w:w="1080" w:type="dxa"/>
            <w:tcBorders>
              <w:top w:val="nil"/>
              <w:left w:val="nil"/>
              <w:bottom w:val="single" w:sz="8" w:space="0" w:color="auto"/>
              <w:right w:val="single" w:sz="8" w:space="0" w:color="auto"/>
            </w:tcBorders>
            <w:shd w:val="clear" w:color="auto" w:fill="auto"/>
            <w:noWrap/>
            <w:vAlign w:val="center"/>
            <w:hideMark/>
          </w:tcPr>
          <w:p w14:paraId="5AB19F25" w14:textId="6C078023" w:rsidR="00F848A1" w:rsidRPr="00362517" w:rsidRDefault="00F848A1" w:rsidP="00BF6BC7">
            <w:pPr>
              <w:keepNext/>
              <w:jc w:val="center"/>
            </w:pPr>
            <w:r w:rsidRPr="00362517">
              <w:rPr>
                <w:sz w:val="22"/>
                <w:szCs w:val="22"/>
              </w:rPr>
              <w:t>4</w:t>
            </w:r>
            <w:r w:rsidR="00803AED" w:rsidRPr="00362517">
              <w:rPr>
                <w:sz w:val="22"/>
                <w:szCs w:val="22"/>
              </w:rPr>
              <w:t>2</w:t>
            </w:r>
            <w:r w:rsidRPr="00362517">
              <w:rPr>
                <w:sz w:val="22"/>
                <w:szCs w:val="22"/>
              </w:rPr>
              <w:t>.</w:t>
            </w:r>
            <w:r w:rsidR="00152C88" w:rsidRPr="00362517">
              <w:rPr>
                <w:sz w:val="22"/>
                <w:szCs w:val="22"/>
              </w:rPr>
              <w:t>3</w:t>
            </w:r>
          </w:p>
        </w:tc>
        <w:tc>
          <w:tcPr>
            <w:tcW w:w="1530" w:type="dxa"/>
            <w:tcBorders>
              <w:top w:val="nil"/>
              <w:left w:val="nil"/>
              <w:bottom w:val="single" w:sz="8" w:space="0" w:color="auto"/>
              <w:right w:val="single" w:sz="8" w:space="0" w:color="auto"/>
            </w:tcBorders>
            <w:shd w:val="clear" w:color="auto" w:fill="auto"/>
            <w:vAlign w:val="center"/>
            <w:hideMark/>
          </w:tcPr>
          <w:p w14:paraId="5AB19F26" w14:textId="4D021F12" w:rsidR="00F848A1" w:rsidRPr="00362517" w:rsidRDefault="00F848A1" w:rsidP="000E1218">
            <w:pPr>
              <w:keepNext/>
              <w:jc w:val="center"/>
            </w:pPr>
            <w:r w:rsidRPr="00362517">
              <w:rPr>
                <w:sz w:val="22"/>
                <w:szCs w:val="22"/>
              </w:rPr>
              <w:t>$87.</w:t>
            </w:r>
            <w:r w:rsidR="000E1218">
              <w:rPr>
                <w:sz w:val="22"/>
                <w:szCs w:val="22"/>
              </w:rPr>
              <w:t>00</w:t>
            </w:r>
            <w:r w:rsidR="000E1218" w:rsidRPr="00362517">
              <w:rPr>
                <w:sz w:val="22"/>
                <w:szCs w:val="22"/>
              </w:rPr>
              <w:t xml:space="preserve"> </w:t>
            </w:r>
          </w:p>
        </w:tc>
        <w:tc>
          <w:tcPr>
            <w:tcW w:w="1417" w:type="dxa"/>
            <w:tcBorders>
              <w:top w:val="nil"/>
              <w:left w:val="nil"/>
              <w:bottom w:val="single" w:sz="8" w:space="0" w:color="auto"/>
              <w:right w:val="single" w:sz="8" w:space="0" w:color="auto"/>
            </w:tcBorders>
            <w:shd w:val="clear" w:color="auto" w:fill="auto"/>
            <w:noWrap/>
            <w:vAlign w:val="center"/>
            <w:hideMark/>
          </w:tcPr>
          <w:p w14:paraId="5AB19F27" w14:textId="65DD3C01" w:rsidR="00F848A1" w:rsidRPr="00362517" w:rsidRDefault="00F848A1" w:rsidP="000E1218">
            <w:pPr>
              <w:keepNext/>
              <w:jc w:val="center"/>
            </w:pPr>
            <w:r w:rsidRPr="00362517">
              <w:rPr>
                <w:sz w:val="22"/>
                <w:szCs w:val="22"/>
              </w:rPr>
              <w:t>$2,14</w:t>
            </w:r>
            <w:r w:rsidR="000E1218">
              <w:rPr>
                <w:sz w:val="22"/>
                <w:szCs w:val="22"/>
              </w:rPr>
              <w:t>9</w:t>
            </w:r>
            <w:r w:rsidRPr="00362517">
              <w:rPr>
                <w:sz w:val="22"/>
                <w:szCs w:val="22"/>
              </w:rPr>
              <w:t>.</w:t>
            </w:r>
            <w:r w:rsidR="000E1218">
              <w:rPr>
                <w:sz w:val="22"/>
                <w:szCs w:val="22"/>
              </w:rPr>
              <w:t>72</w:t>
            </w:r>
          </w:p>
        </w:tc>
        <w:tc>
          <w:tcPr>
            <w:tcW w:w="1440" w:type="dxa"/>
            <w:tcBorders>
              <w:top w:val="nil"/>
              <w:left w:val="nil"/>
              <w:bottom w:val="single" w:sz="8" w:space="0" w:color="auto"/>
              <w:right w:val="single" w:sz="8" w:space="0" w:color="auto"/>
            </w:tcBorders>
            <w:shd w:val="clear" w:color="auto" w:fill="auto"/>
            <w:noWrap/>
            <w:vAlign w:val="center"/>
            <w:hideMark/>
          </w:tcPr>
          <w:p w14:paraId="5AB19F28" w14:textId="77777777" w:rsidR="00F848A1" w:rsidRPr="00362517" w:rsidRDefault="00F848A1" w:rsidP="00BF6BC7">
            <w:pPr>
              <w:keepNext/>
              <w:jc w:val="center"/>
            </w:pPr>
            <w:r w:rsidRPr="00362517">
              <w:rPr>
                <w:sz w:val="22"/>
                <w:szCs w:val="22"/>
              </w:rPr>
              <w:t>$0</w:t>
            </w:r>
          </w:p>
        </w:tc>
        <w:tc>
          <w:tcPr>
            <w:tcW w:w="1350" w:type="dxa"/>
            <w:tcBorders>
              <w:top w:val="nil"/>
              <w:left w:val="nil"/>
              <w:bottom w:val="single" w:sz="8" w:space="0" w:color="auto"/>
              <w:right w:val="double" w:sz="6" w:space="0" w:color="auto"/>
            </w:tcBorders>
            <w:shd w:val="clear" w:color="auto" w:fill="auto"/>
            <w:noWrap/>
            <w:vAlign w:val="center"/>
            <w:hideMark/>
          </w:tcPr>
          <w:p w14:paraId="5AB19F29" w14:textId="5FD5C204" w:rsidR="00F848A1" w:rsidRPr="00362517" w:rsidRDefault="00F848A1" w:rsidP="00BF6BC7">
            <w:pPr>
              <w:keepNext/>
              <w:jc w:val="center"/>
            </w:pPr>
            <w:r w:rsidRPr="00362517">
              <w:rPr>
                <w:sz w:val="22"/>
                <w:szCs w:val="22"/>
              </w:rPr>
              <w:t>$</w:t>
            </w:r>
            <w:r w:rsidR="00635090" w:rsidRPr="00362517">
              <w:rPr>
                <w:sz w:val="22"/>
                <w:szCs w:val="22"/>
              </w:rPr>
              <w:t>94</w:t>
            </w:r>
            <w:r w:rsidRPr="00362517">
              <w:rPr>
                <w:sz w:val="22"/>
                <w:szCs w:val="22"/>
              </w:rPr>
              <w:t>,</w:t>
            </w:r>
            <w:r w:rsidR="00152C88" w:rsidRPr="00362517">
              <w:rPr>
                <w:sz w:val="22"/>
                <w:szCs w:val="22"/>
              </w:rPr>
              <w:t>613</w:t>
            </w:r>
            <w:r w:rsidRPr="00362517">
              <w:rPr>
                <w:sz w:val="22"/>
                <w:szCs w:val="22"/>
              </w:rPr>
              <w:t xml:space="preserve"> </w:t>
            </w:r>
          </w:p>
        </w:tc>
      </w:tr>
      <w:tr w:rsidR="00362517" w:rsidRPr="00362517" w14:paraId="5AB19F31" w14:textId="77777777" w:rsidTr="0034043F">
        <w:trPr>
          <w:trHeight w:val="353"/>
          <w:jc w:val="center"/>
        </w:trPr>
        <w:tc>
          <w:tcPr>
            <w:tcW w:w="2430" w:type="dxa"/>
            <w:tcBorders>
              <w:top w:val="nil"/>
              <w:left w:val="double" w:sz="6" w:space="0" w:color="auto"/>
              <w:bottom w:val="single" w:sz="8" w:space="0" w:color="auto"/>
              <w:right w:val="single" w:sz="8" w:space="0" w:color="auto"/>
            </w:tcBorders>
            <w:shd w:val="clear" w:color="auto" w:fill="auto"/>
            <w:noWrap/>
            <w:vAlign w:val="center"/>
            <w:hideMark/>
          </w:tcPr>
          <w:p w14:paraId="5AB19F2B" w14:textId="74B61F64" w:rsidR="00F848A1" w:rsidRPr="00362517" w:rsidRDefault="00F848A1" w:rsidP="00BF6BC7">
            <w:pPr>
              <w:keepNext/>
            </w:pPr>
            <w:r w:rsidRPr="00362517">
              <w:rPr>
                <w:sz w:val="22"/>
                <w:szCs w:val="22"/>
              </w:rPr>
              <w:t>Category S-2:</w:t>
            </w:r>
            <w:r w:rsidR="00FF6C94">
              <w:rPr>
                <w:sz w:val="22"/>
                <w:szCs w:val="22"/>
              </w:rPr>
              <w:t xml:space="preserve"> </w:t>
            </w:r>
            <w:r w:rsidRPr="00362517">
              <w:rPr>
                <w:sz w:val="22"/>
                <w:szCs w:val="22"/>
              </w:rPr>
              <w:t xml:space="preserve">High severity illness or injury </w:t>
            </w:r>
          </w:p>
        </w:tc>
        <w:tc>
          <w:tcPr>
            <w:tcW w:w="1080" w:type="dxa"/>
            <w:tcBorders>
              <w:top w:val="nil"/>
              <w:left w:val="nil"/>
              <w:bottom w:val="single" w:sz="8" w:space="0" w:color="auto"/>
              <w:right w:val="single" w:sz="8" w:space="0" w:color="auto"/>
            </w:tcBorders>
            <w:shd w:val="clear" w:color="auto" w:fill="auto"/>
            <w:noWrap/>
            <w:vAlign w:val="center"/>
            <w:hideMark/>
          </w:tcPr>
          <w:p w14:paraId="5AB19F2C" w14:textId="2680EFD7" w:rsidR="00F848A1" w:rsidRPr="00362517" w:rsidRDefault="00803AED" w:rsidP="00BF6BC7">
            <w:pPr>
              <w:keepNext/>
              <w:jc w:val="center"/>
            </w:pPr>
            <w:r w:rsidRPr="00362517">
              <w:rPr>
                <w:sz w:val="22"/>
                <w:szCs w:val="22"/>
              </w:rPr>
              <w:t>5.</w:t>
            </w:r>
            <w:r w:rsidR="00F848A1" w:rsidRPr="00362517">
              <w:rPr>
                <w:sz w:val="22"/>
                <w:szCs w:val="22"/>
              </w:rPr>
              <w:t>6</w:t>
            </w:r>
          </w:p>
        </w:tc>
        <w:tc>
          <w:tcPr>
            <w:tcW w:w="1530" w:type="dxa"/>
            <w:tcBorders>
              <w:top w:val="nil"/>
              <w:left w:val="nil"/>
              <w:bottom w:val="single" w:sz="8" w:space="0" w:color="auto"/>
              <w:right w:val="single" w:sz="8" w:space="0" w:color="auto"/>
            </w:tcBorders>
            <w:shd w:val="clear" w:color="auto" w:fill="auto"/>
            <w:vAlign w:val="center"/>
            <w:hideMark/>
          </w:tcPr>
          <w:p w14:paraId="5AB19F2D" w14:textId="77777777" w:rsidR="00F848A1" w:rsidRPr="00362517" w:rsidRDefault="00F848A1" w:rsidP="00BF6BC7">
            <w:pPr>
              <w:keepNext/>
              <w:jc w:val="center"/>
            </w:pPr>
            <w:r w:rsidRPr="00362517">
              <w:rPr>
                <w:sz w:val="22"/>
                <w:szCs w:val="22"/>
              </w:rPr>
              <w:t xml:space="preserve">$34,699.69 </w:t>
            </w:r>
          </w:p>
        </w:tc>
        <w:tc>
          <w:tcPr>
            <w:tcW w:w="1417" w:type="dxa"/>
            <w:tcBorders>
              <w:top w:val="nil"/>
              <w:left w:val="nil"/>
              <w:bottom w:val="single" w:sz="8" w:space="0" w:color="auto"/>
              <w:right w:val="single" w:sz="8" w:space="0" w:color="auto"/>
            </w:tcBorders>
            <w:shd w:val="clear" w:color="auto" w:fill="auto"/>
            <w:noWrap/>
            <w:vAlign w:val="center"/>
            <w:hideMark/>
          </w:tcPr>
          <w:p w14:paraId="5AB19F2E" w14:textId="74CFEA64" w:rsidR="00F848A1" w:rsidRPr="00362517" w:rsidRDefault="00F848A1" w:rsidP="000E1218">
            <w:pPr>
              <w:keepNext/>
              <w:jc w:val="center"/>
            </w:pPr>
            <w:r w:rsidRPr="00362517">
              <w:rPr>
                <w:sz w:val="22"/>
                <w:szCs w:val="22"/>
              </w:rPr>
              <w:t>$12,</w:t>
            </w:r>
            <w:r w:rsidR="000E1218" w:rsidRPr="00362517">
              <w:rPr>
                <w:sz w:val="22"/>
                <w:szCs w:val="22"/>
              </w:rPr>
              <w:t>8</w:t>
            </w:r>
            <w:r w:rsidR="000E1218">
              <w:rPr>
                <w:sz w:val="22"/>
                <w:szCs w:val="22"/>
              </w:rPr>
              <w:t>98</w:t>
            </w:r>
            <w:r w:rsidRPr="00362517">
              <w:rPr>
                <w:sz w:val="22"/>
                <w:szCs w:val="22"/>
              </w:rPr>
              <w:t>.</w:t>
            </w:r>
            <w:r w:rsidR="000E1218">
              <w:rPr>
                <w:sz w:val="22"/>
                <w:szCs w:val="22"/>
              </w:rPr>
              <w:t>30</w:t>
            </w:r>
          </w:p>
        </w:tc>
        <w:tc>
          <w:tcPr>
            <w:tcW w:w="1440" w:type="dxa"/>
            <w:tcBorders>
              <w:top w:val="nil"/>
              <w:left w:val="nil"/>
              <w:bottom w:val="single" w:sz="8" w:space="0" w:color="auto"/>
              <w:right w:val="single" w:sz="8" w:space="0" w:color="auto"/>
            </w:tcBorders>
            <w:shd w:val="clear" w:color="auto" w:fill="auto"/>
            <w:noWrap/>
            <w:vAlign w:val="center"/>
            <w:hideMark/>
          </w:tcPr>
          <w:p w14:paraId="5AB19F2F" w14:textId="77777777" w:rsidR="00F848A1" w:rsidRPr="00362517" w:rsidRDefault="00F848A1" w:rsidP="00BF6BC7">
            <w:pPr>
              <w:keepNext/>
              <w:jc w:val="center"/>
            </w:pPr>
            <w:r w:rsidRPr="00362517">
              <w:rPr>
                <w:sz w:val="22"/>
                <w:szCs w:val="22"/>
              </w:rPr>
              <w:t>$0</w:t>
            </w:r>
          </w:p>
        </w:tc>
        <w:tc>
          <w:tcPr>
            <w:tcW w:w="1350" w:type="dxa"/>
            <w:tcBorders>
              <w:top w:val="nil"/>
              <w:left w:val="nil"/>
              <w:bottom w:val="single" w:sz="8" w:space="0" w:color="auto"/>
              <w:right w:val="double" w:sz="6" w:space="0" w:color="auto"/>
            </w:tcBorders>
            <w:shd w:val="clear" w:color="auto" w:fill="auto"/>
            <w:noWrap/>
            <w:vAlign w:val="center"/>
            <w:hideMark/>
          </w:tcPr>
          <w:p w14:paraId="5AB19F30" w14:textId="59081CF5" w:rsidR="00F848A1" w:rsidRPr="00362517" w:rsidRDefault="00F848A1" w:rsidP="00BF6BC7">
            <w:pPr>
              <w:keepNext/>
              <w:jc w:val="center"/>
            </w:pPr>
            <w:r w:rsidRPr="00362517">
              <w:rPr>
                <w:sz w:val="22"/>
                <w:szCs w:val="22"/>
              </w:rPr>
              <w:t>$2</w:t>
            </w:r>
            <w:r w:rsidR="00635090" w:rsidRPr="00362517">
              <w:rPr>
                <w:sz w:val="22"/>
                <w:szCs w:val="22"/>
              </w:rPr>
              <w:t>66</w:t>
            </w:r>
            <w:r w:rsidRPr="00362517">
              <w:rPr>
                <w:sz w:val="22"/>
                <w:szCs w:val="22"/>
              </w:rPr>
              <w:t>,</w:t>
            </w:r>
            <w:r w:rsidR="00635090" w:rsidRPr="00362517">
              <w:rPr>
                <w:sz w:val="22"/>
                <w:szCs w:val="22"/>
              </w:rPr>
              <w:t>5</w:t>
            </w:r>
            <w:r w:rsidR="00152C88" w:rsidRPr="00362517">
              <w:rPr>
                <w:sz w:val="22"/>
                <w:szCs w:val="22"/>
              </w:rPr>
              <w:t>49</w:t>
            </w:r>
            <w:r w:rsidRPr="00362517">
              <w:rPr>
                <w:sz w:val="22"/>
                <w:szCs w:val="22"/>
              </w:rPr>
              <w:t xml:space="preserve"> </w:t>
            </w:r>
          </w:p>
        </w:tc>
      </w:tr>
      <w:tr w:rsidR="00362517" w:rsidRPr="00362517" w14:paraId="5AB19F38" w14:textId="77777777" w:rsidTr="0034043F">
        <w:trPr>
          <w:trHeight w:val="353"/>
          <w:jc w:val="center"/>
        </w:trPr>
        <w:tc>
          <w:tcPr>
            <w:tcW w:w="2430" w:type="dxa"/>
            <w:tcBorders>
              <w:top w:val="nil"/>
              <w:left w:val="double" w:sz="6" w:space="0" w:color="auto"/>
              <w:bottom w:val="single" w:sz="8" w:space="0" w:color="auto"/>
              <w:right w:val="single" w:sz="8" w:space="0" w:color="auto"/>
            </w:tcBorders>
            <w:shd w:val="clear" w:color="auto" w:fill="auto"/>
            <w:noWrap/>
            <w:vAlign w:val="center"/>
            <w:hideMark/>
          </w:tcPr>
          <w:p w14:paraId="5AB19F32" w14:textId="77777777" w:rsidR="00F848A1" w:rsidRPr="00362517" w:rsidRDefault="00F848A1" w:rsidP="00BF6BC7">
            <w:pPr>
              <w:keepNext/>
            </w:pPr>
            <w:r w:rsidRPr="00362517">
              <w:rPr>
                <w:sz w:val="22"/>
                <w:szCs w:val="22"/>
              </w:rPr>
              <w:t>Category S-1: Death</w:t>
            </w:r>
          </w:p>
        </w:tc>
        <w:tc>
          <w:tcPr>
            <w:tcW w:w="1080" w:type="dxa"/>
            <w:tcBorders>
              <w:top w:val="nil"/>
              <w:left w:val="nil"/>
              <w:bottom w:val="single" w:sz="8" w:space="0" w:color="auto"/>
              <w:right w:val="single" w:sz="8" w:space="0" w:color="auto"/>
            </w:tcBorders>
            <w:shd w:val="clear" w:color="auto" w:fill="auto"/>
            <w:noWrap/>
            <w:vAlign w:val="center"/>
            <w:hideMark/>
          </w:tcPr>
          <w:p w14:paraId="5AB19F33" w14:textId="675FF0BE" w:rsidR="00F848A1" w:rsidRPr="00362517" w:rsidRDefault="00F848A1" w:rsidP="000E1218">
            <w:pPr>
              <w:keepNext/>
              <w:jc w:val="center"/>
            </w:pPr>
            <w:r w:rsidRPr="00362517">
              <w:rPr>
                <w:sz w:val="22"/>
                <w:szCs w:val="22"/>
              </w:rPr>
              <w:t>2.</w:t>
            </w:r>
            <w:r w:rsidR="000E1218">
              <w:rPr>
                <w:sz w:val="22"/>
                <w:szCs w:val="22"/>
              </w:rPr>
              <w:t>4</w:t>
            </w:r>
          </w:p>
        </w:tc>
        <w:tc>
          <w:tcPr>
            <w:tcW w:w="1530" w:type="dxa"/>
            <w:tcBorders>
              <w:top w:val="nil"/>
              <w:left w:val="nil"/>
              <w:bottom w:val="single" w:sz="8" w:space="0" w:color="auto"/>
              <w:right w:val="single" w:sz="8" w:space="0" w:color="auto"/>
            </w:tcBorders>
            <w:shd w:val="clear" w:color="auto" w:fill="auto"/>
            <w:vAlign w:val="center"/>
            <w:hideMark/>
          </w:tcPr>
          <w:p w14:paraId="5AB19F34" w14:textId="77777777" w:rsidR="00F848A1" w:rsidRPr="00362517" w:rsidRDefault="00F848A1" w:rsidP="00BF6BC7">
            <w:pPr>
              <w:keepNext/>
              <w:jc w:val="center"/>
            </w:pPr>
          </w:p>
        </w:tc>
        <w:tc>
          <w:tcPr>
            <w:tcW w:w="1417" w:type="dxa"/>
            <w:tcBorders>
              <w:top w:val="nil"/>
              <w:left w:val="nil"/>
              <w:bottom w:val="single" w:sz="8" w:space="0" w:color="auto"/>
              <w:right w:val="single" w:sz="8" w:space="0" w:color="auto"/>
            </w:tcBorders>
            <w:shd w:val="clear" w:color="auto" w:fill="auto"/>
            <w:noWrap/>
            <w:vAlign w:val="center"/>
            <w:hideMark/>
          </w:tcPr>
          <w:p w14:paraId="5AB19F35" w14:textId="77777777" w:rsidR="00F848A1" w:rsidRPr="00362517" w:rsidRDefault="00F848A1" w:rsidP="00BF6BC7">
            <w:pPr>
              <w:keepNext/>
              <w:jc w:val="center"/>
            </w:pPr>
          </w:p>
        </w:tc>
        <w:tc>
          <w:tcPr>
            <w:tcW w:w="1440" w:type="dxa"/>
            <w:tcBorders>
              <w:top w:val="nil"/>
              <w:left w:val="nil"/>
              <w:bottom w:val="single" w:sz="8" w:space="0" w:color="auto"/>
              <w:right w:val="single" w:sz="8" w:space="0" w:color="auto"/>
            </w:tcBorders>
            <w:shd w:val="clear" w:color="auto" w:fill="auto"/>
            <w:noWrap/>
            <w:vAlign w:val="center"/>
            <w:hideMark/>
          </w:tcPr>
          <w:p w14:paraId="5AB19F36" w14:textId="77777777" w:rsidR="00F848A1" w:rsidRPr="00362517" w:rsidRDefault="00F848A1" w:rsidP="00BF6BC7">
            <w:pPr>
              <w:keepNext/>
              <w:jc w:val="center"/>
            </w:pPr>
            <w:r w:rsidRPr="00362517">
              <w:rPr>
                <w:sz w:val="22"/>
                <w:szCs w:val="22"/>
              </w:rPr>
              <w:t>$9,910,000</w:t>
            </w:r>
          </w:p>
        </w:tc>
        <w:tc>
          <w:tcPr>
            <w:tcW w:w="1350" w:type="dxa"/>
            <w:tcBorders>
              <w:top w:val="nil"/>
              <w:left w:val="nil"/>
              <w:bottom w:val="single" w:sz="8" w:space="0" w:color="auto"/>
              <w:right w:val="double" w:sz="6" w:space="0" w:color="auto"/>
            </w:tcBorders>
            <w:shd w:val="clear" w:color="auto" w:fill="auto"/>
            <w:noWrap/>
            <w:vAlign w:val="center"/>
            <w:hideMark/>
          </w:tcPr>
          <w:p w14:paraId="5AB19F37" w14:textId="2BFC91A5" w:rsidR="00F848A1" w:rsidRPr="00362517" w:rsidRDefault="00F848A1" w:rsidP="000E1218">
            <w:pPr>
              <w:keepNext/>
              <w:jc w:val="center"/>
            </w:pPr>
            <w:r w:rsidRPr="00362517">
              <w:rPr>
                <w:sz w:val="22"/>
                <w:szCs w:val="22"/>
              </w:rPr>
              <w:t>$</w:t>
            </w:r>
            <w:r w:rsidR="000E1218" w:rsidRPr="00362517">
              <w:rPr>
                <w:sz w:val="22"/>
                <w:szCs w:val="22"/>
              </w:rPr>
              <w:t>2</w:t>
            </w:r>
            <w:r w:rsidR="000E1218">
              <w:rPr>
                <w:sz w:val="22"/>
                <w:szCs w:val="22"/>
              </w:rPr>
              <w:t>4</w:t>
            </w:r>
            <w:r w:rsidRPr="00362517">
              <w:rPr>
                <w:sz w:val="22"/>
                <w:szCs w:val="22"/>
              </w:rPr>
              <w:t>,</w:t>
            </w:r>
            <w:r w:rsidR="000E1218" w:rsidRPr="00362517">
              <w:rPr>
                <w:sz w:val="22"/>
                <w:szCs w:val="22"/>
              </w:rPr>
              <w:t>7</w:t>
            </w:r>
            <w:r w:rsidR="000E1218">
              <w:rPr>
                <w:sz w:val="22"/>
                <w:szCs w:val="22"/>
              </w:rPr>
              <w:t>84</w:t>
            </w:r>
            <w:r w:rsidRPr="00362517">
              <w:rPr>
                <w:sz w:val="22"/>
                <w:szCs w:val="22"/>
              </w:rPr>
              <w:t xml:space="preserve">,000 </w:t>
            </w:r>
          </w:p>
        </w:tc>
      </w:tr>
      <w:tr w:rsidR="00362517" w:rsidRPr="00362517" w14:paraId="5AB19F3F" w14:textId="77777777" w:rsidTr="0034043F">
        <w:trPr>
          <w:trHeight w:val="353"/>
          <w:jc w:val="center"/>
        </w:trPr>
        <w:tc>
          <w:tcPr>
            <w:tcW w:w="2430" w:type="dxa"/>
            <w:tcBorders>
              <w:top w:val="nil"/>
              <w:left w:val="double" w:sz="6" w:space="0" w:color="auto"/>
              <w:bottom w:val="single" w:sz="8" w:space="0" w:color="auto"/>
              <w:right w:val="single" w:sz="8" w:space="0" w:color="auto"/>
            </w:tcBorders>
            <w:shd w:val="clear" w:color="auto" w:fill="auto"/>
            <w:noWrap/>
            <w:vAlign w:val="center"/>
            <w:hideMark/>
          </w:tcPr>
          <w:p w14:paraId="5AB19F39" w14:textId="77777777" w:rsidR="00F848A1" w:rsidRPr="00362517" w:rsidRDefault="00F848A1" w:rsidP="00BF6BC7">
            <w:pPr>
              <w:keepNext/>
            </w:pPr>
            <w:r w:rsidRPr="00362517">
              <w:rPr>
                <w:sz w:val="22"/>
                <w:szCs w:val="22"/>
              </w:rPr>
              <w:t> </w:t>
            </w:r>
          </w:p>
        </w:tc>
        <w:tc>
          <w:tcPr>
            <w:tcW w:w="1080" w:type="dxa"/>
            <w:tcBorders>
              <w:top w:val="nil"/>
              <w:left w:val="nil"/>
              <w:bottom w:val="single" w:sz="8" w:space="0" w:color="auto"/>
              <w:right w:val="single" w:sz="8" w:space="0" w:color="auto"/>
            </w:tcBorders>
            <w:shd w:val="clear" w:color="auto" w:fill="auto"/>
            <w:noWrap/>
            <w:vAlign w:val="center"/>
            <w:hideMark/>
          </w:tcPr>
          <w:p w14:paraId="5AB19F3A" w14:textId="77777777" w:rsidR="00F848A1" w:rsidRPr="00362517" w:rsidRDefault="00F848A1" w:rsidP="00BF6BC7">
            <w:pPr>
              <w:keepNext/>
              <w:jc w:val="center"/>
            </w:pPr>
          </w:p>
        </w:tc>
        <w:tc>
          <w:tcPr>
            <w:tcW w:w="1530" w:type="dxa"/>
            <w:tcBorders>
              <w:top w:val="nil"/>
              <w:left w:val="nil"/>
              <w:bottom w:val="single" w:sz="8" w:space="0" w:color="auto"/>
              <w:right w:val="single" w:sz="8" w:space="0" w:color="auto"/>
            </w:tcBorders>
            <w:shd w:val="clear" w:color="auto" w:fill="auto"/>
            <w:vAlign w:val="center"/>
            <w:hideMark/>
          </w:tcPr>
          <w:p w14:paraId="5AB19F3B" w14:textId="77777777" w:rsidR="00F848A1" w:rsidRPr="00362517" w:rsidRDefault="00F848A1" w:rsidP="00BF6BC7">
            <w:pPr>
              <w:keepNext/>
              <w:jc w:val="center"/>
            </w:pPr>
          </w:p>
        </w:tc>
        <w:tc>
          <w:tcPr>
            <w:tcW w:w="1417" w:type="dxa"/>
            <w:tcBorders>
              <w:top w:val="nil"/>
              <w:left w:val="nil"/>
              <w:bottom w:val="single" w:sz="8" w:space="0" w:color="auto"/>
              <w:right w:val="single" w:sz="8" w:space="0" w:color="auto"/>
            </w:tcBorders>
            <w:shd w:val="clear" w:color="auto" w:fill="auto"/>
            <w:noWrap/>
            <w:vAlign w:val="center"/>
            <w:hideMark/>
          </w:tcPr>
          <w:p w14:paraId="5AB19F3C" w14:textId="77777777" w:rsidR="00F848A1" w:rsidRPr="00362517" w:rsidRDefault="00F848A1" w:rsidP="00BF6BC7">
            <w:pPr>
              <w:keepNext/>
              <w:jc w:val="center"/>
            </w:pPr>
          </w:p>
        </w:tc>
        <w:tc>
          <w:tcPr>
            <w:tcW w:w="1440" w:type="dxa"/>
            <w:tcBorders>
              <w:top w:val="nil"/>
              <w:left w:val="nil"/>
              <w:bottom w:val="single" w:sz="8" w:space="0" w:color="auto"/>
              <w:right w:val="single" w:sz="8" w:space="0" w:color="auto"/>
            </w:tcBorders>
            <w:shd w:val="clear" w:color="auto" w:fill="auto"/>
            <w:noWrap/>
            <w:vAlign w:val="center"/>
            <w:hideMark/>
          </w:tcPr>
          <w:p w14:paraId="5AB19F3D" w14:textId="77777777" w:rsidR="00F848A1" w:rsidRPr="00362517" w:rsidRDefault="00F848A1" w:rsidP="00BF6BC7">
            <w:pPr>
              <w:keepNext/>
              <w:jc w:val="center"/>
            </w:pPr>
          </w:p>
        </w:tc>
        <w:tc>
          <w:tcPr>
            <w:tcW w:w="1350" w:type="dxa"/>
            <w:tcBorders>
              <w:top w:val="nil"/>
              <w:left w:val="nil"/>
              <w:bottom w:val="single" w:sz="8" w:space="0" w:color="auto"/>
              <w:right w:val="double" w:sz="6" w:space="0" w:color="auto"/>
            </w:tcBorders>
            <w:shd w:val="clear" w:color="auto" w:fill="auto"/>
            <w:noWrap/>
            <w:vAlign w:val="center"/>
            <w:hideMark/>
          </w:tcPr>
          <w:p w14:paraId="5AB19F3E" w14:textId="77777777" w:rsidR="00F848A1" w:rsidRPr="00362517" w:rsidRDefault="00F848A1" w:rsidP="00BF6BC7">
            <w:pPr>
              <w:keepNext/>
              <w:jc w:val="center"/>
            </w:pPr>
          </w:p>
        </w:tc>
      </w:tr>
      <w:tr w:rsidR="00362517" w:rsidRPr="00362517" w14:paraId="5AB19F46" w14:textId="77777777" w:rsidTr="0034043F">
        <w:trPr>
          <w:trHeight w:val="353"/>
          <w:jc w:val="center"/>
        </w:trPr>
        <w:tc>
          <w:tcPr>
            <w:tcW w:w="2430" w:type="dxa"/>
            <w:tcBorders>
              <w:top w:val="nil"/>
              <w:left w:val="double" w:sz="6" w:space="0" w:color="auto"/>
              <w:bottom w:val="single" w:sz="8" w:space="0" w:color="auto"/>
              <w:right w:val="single" w:sz="8" w:space="0" w:color="auto"/>
            </w:tcBorders>
            <w:shd w:val="clear" w:color="auto" w:fill="auto"/>
            <w:noWrap/>
            <w:vAlign w:val="center"/>
            <w:hideMark/>
          </w:tcPr>
          <w:p w14:paraId="5AB19F40" w14:textId="77777777" w:rsidR="00F848A1" w:rsidRPr="00362517" w:rsidRDefault="00F848A1" w:rsidP="00BF6BC7">
            <w:pPr>
              <w:keepNext/>
              <w:rPr>
                <w:b/>
                <w:bCs/>
              </w:rPr>
            </w:pPr>
            <w:r w:rsidRPr="00362517">
              <w:rPr>
                <w:b/>
                <w:bCs/>
                <w:sz w:val="22"/>
                <w:szCs w:val="22"/>
              </w:rPr>
              <w:t>Total</w:t>
            </w:r>
          </w:p>
        </w:tc>
        <w:tc>
          <w:tcPr>
            <w:tcW w:w="1080" w:type="dxa"/>
            <w:tcBorders>
              <w:top w:val="nil"/>
              <w:left w:val="nil"/>
              <w:bottom w:val="single" w:sz="8" w:space="0" w:color="auto"/>
              <w:right w:val="single" w:sz="8" w:space="0" w:color="auto"/>
            </w:tcBorders>
            <w:shd w:val="clear" w:color="auto" w:fill="auto"/>
            <w:noWrap/>
            <w:vAlign w:val="center"/>
            <w:hideMark/>
          </w:tcPr>
          <w:p w14:paraId="5AB19F41" w14:textId="136C38D7" w:rsidR="00F848A1" w:rsidRPr="00362517" w:rsidRDefault="00803AED" w:rsidP="000E1218">
            <w:pPr>
              <w:keepNext/>
              <w:jc w:val="center"/>
            </w:pPr>
            <w:r w:rsidRPr="00362517">
              <w:rPr>
                <w:sz w:val="22"/>
                <w:szCs w:val="22"/>
              </w:rPr>
              <w:t>19</w:t>
            </w:r>
            <w:r w:rsidR="00152C88" w:rsidRPr="00362517">
              <w:rPr>
                <w:sz w:val="22"/>
                <w:szCs w:val="22"/>
              </w:rPr>
              <w:t>8</w:t>
            </w:r>
            <w:r w:rsidRPr="00362517">
              <w:rPr>
                <w:sz w:val="22"/>
                <w:szCs w:val="22"/>
              </w:rPr>
              <w:t>.</w:t>
            </w:r>
            <w:r w:rsidR="000E1218">
              <w:rPr>
                <w:sz w:val="22"/>
                <w:szCs w:val="22"/>
              </w:rPr>
              <w:t>0</w:t>
            </w:r>
          </w:p>
        </w:tc>
        <w:tc>
          <w:tcPr>
            <w:tcW w:w="1530" w:type="dxa"/>
            <w:tcBorders>
              <w:top w:val="nil"/>
              <w:left w:val="nil"/>
              <w:bottom w:val="single" w:sz="8" w:space="0" w:color="auto"/>
              <w:right w:val="single" w:sz="8" w:space="0" w:color="auto"/>
            </w:tcBorders>
            <w:shd w:val="clear" w:color="auto" w:fill="auto"/>
            <w:noWrap/>
            <w:vAlign w:val="center"/>
            <w:hideMark/>
          </w:tcPr>
          <w:p w14:paraId="5AB19F42" w14:textId="77777777" w:rsidR="00F848A1" w:rsidRPr="00362517" w:rsidRDefault="00F848A1" w:rsidP="00BF6BC7">
            <w:pPr>
              <w:keepNext/>
              <w:jc w:val="center"/>
            </w:pPr>
          </w:p>
        </w:tc>
        <w:tc>
          <w:tcPr>
            <w:tcW w:w="1417" w:type="dxa"/>
            <w:tcBorders>
              <w:top w:val="nil"/>
              <w:left w:val="nil"/>
              <w:bottom w:val="single" w:sz="8" w:space="0" w:color="auto"/>
              <w:right w:val="single" w:sz="8" w:space="0" w:color="auto"/>
            </w:tcBorders>
            <w:shd w:val="clear" w:color="auto" w:fill="auto"/>
            <w:noWrap/>
            <w:vAlign w:val="center"/>
            <w:hideMark/>
          </w:tcPr>
          <w:p w14:paraId="5AB19F43" w14:textId="77777777" w:rsidR="00F848A1" w:rsidRPr="00362517" w:rsidRDefault="00F848A1" w:rsidP="00BF6BC7">
            <w:pPr>
              <w:keepNext/>
              <w:jc w:val="center"/>
            </w:pPr>
          </w:p>
        </w:tc>
        <w:tc>
          <w:tcPr>
            <w:tcW w:w="1440" w:type="dxa"/>
            <w:tcBorders>
              <w:top w:val="nil"/>
              <w:left w:val="nil"/>
              <w:bottom w:val="single" w:sz="8" w:space="0" w:color="auto"/>
              <w:right w:val="single" w:sz="8" w:space="0" w:color="auto"/>
            </w:tcBorders>
            <w:shd w:val="clear" w:color="auto" w:fill="auto"/>
            <w:noWrap/>
            <w:vAlign w:val="center"/>
            <w:hideMark/>
          </w:tcPr>
          <w:p w14:paraId="5AB19F44" w14:textId="77777777" w:rsidR="00F848A1" w:rsidRPr="00362517" w:rsidRDefault="00F848A1" w:rsidP="00BF6BC7">
            <w:pPr>
              <w:keepNext/>
              <w:jc w:val="center"/>
            </w:pPr>
          </w:p>
        </w:tc>
        <w:tc>
          <w:tcPr>
            <w:tcW w:w="1350" w:type="dxa"/>
            <w:tcBorders>
              <w:top w:val="nil"/>
              <w:left w:val="nil"/>
              <w:bottom w:val="single" w:sz="8" w:space="0" w:color="auto"/>
              <w:right w:val="double" w:sz="6" w:space="0" w:color="auto"/>
            </w:tcBorders>
            <w:shd w:val="clear" w:color="auto" w:fill="auto"/>
            <w:noWrap/>
            <w:vAlign w:val="center"/>
            <w:hideMark/>
          </w:tcPr>
          <w:p w14:paraId="5AB19F45" w14:textId="082C7CDF" w:rsidR="00F848A1" w:rsidRPr="00362517" w:rsidRDefault="00F848A1" w:rsidP="000E1218">
            <w:pPr>
              <w:keepNext/>
              <w:jc w:val="center"/>
            </w:pPr>
            <w:r w:rsidRPr="00362517">
              <w:rPr>
                <w:sz w:val="22"/>
                <w:szCs w:val="22"/>
              </w:rPr>
              <w:t>$</w:t>
            </w:r>
            <w:r w:rsidR="000E1218">
              <w:rPr>
                <w:sz w:val="22"/>
                <w:szCs w:val="22"/>
              </w:rPr>
              <w:t>24</w:t>
            </w:r>
            <w:r w:rsidRPr="00362517">
              <w:rPr>
                <w:sz w:val="22"/>
                <w:szCs w:val="22"/>
              </w:rPr>
              <w:t>,</w:t>
            </w:r>
            <w:r w:rsidR="000E1218" w:rsidRPr="00362517">
              <w:rPr>
                <w:sz w:val="22"/>
                <w:szCs w:val="22"/>
              </w:rPr>
              <w:t>3</w:t>
            </w:r>
            <w:r w:rsidR="000E1218">
              <w:rPr>
                <w:sz w:val="22"/>
                <w:szCs w:val="22"/>
              </w:rPr>
              <w:t>45</w:t>
            </w:r>
            <w:r w:rsidRPr="00362517">
              <w:rPr>
                <w:sz w:val="22"/>
                <w:szCs w:val="22"/>
              </w:rPr>
              <w:t>,</w:t>
            </w:r>
            <w:r w:rsidR="00152C88" w:rsidRPr="00362517">
              <w:rPr>
                <w:sz w:val="22"/>
                <w:szCs w:val="22"/>
              </w:rPr>
              <w:t>090</w:t>
            </w:r>
            <w:r w:rsidRPr="00362517">
              <w:rPr>
                <w:sz w:val="22"/>
                <w:szCs w:val="22"/>
              </w:rPr>
              <w:t xml:space="preserve"> </w:t>
            </w:r>
          </w:p>
        </w:tc>
      </w:tr>
      <w:tr w:rsidR="00362517" w:rsidRPr="00362517" w14:paraId="5AB19F48" w14:textId="77777777" w:rsidTr="0034043F">
        <w:trPr>
          <w:trHeight w:val="273"/>
          <w:jc w:val="center"/>
        </w:trPr>
        <w:tc>
          <w:tcPr>
            <w:tcW w:w="9247" w:type="dxa"/>
            <w:gridSpan w:val="6"/>
            <w:tcBorders>
              <w:top w:val="single" w:sz="8" w:space="0" w:color="auto"/>
              <w:left w:val="double" w:sz="6" w:space="0" w:color="auto"/>
              <w:right w:val="double" w:sz="6" w:space="0" w:color="000000"/>
            </w:tcBorders>
            <w:shd w:val="clear" w:color="auto" w:fill="auto"/>
            <w:noWrap/>
            <w:vAlign w:val="center"/>
            <w:hideMark/>
          </w:tcPr>
          <w:p w14:paraId="5AB19F47" w14:textId="77777777" w:rsidR="00F848A1" w:rsidRPr="00362517" w:rsidRDefault="00F848A1" w:rsidP="00BF6BC7">
            <w:pPr>
              <w:keepNext/>
              <w:rPr>
                <w:sz w:val="20"/>
                <w:szCs w:val="20"/>
              </w:rPr>
            </w:pPr>
            <w:r w:rsidRPr="00362517">
              <w:rPr>
                <w:sz w:val="20"/>
                <w:szCs w:val="20"/>
              </w:rPr>
              <w:t>Source: EPA calculations.</w:t>
            </w:r>
          </w:p>
        </w:tc>
      </w:tr>
      <w:tr w:rsidR="00F848A1" w:rsidRPr="00362517" w14:paraId="5AB19F4A" w14:textId="77777777" w:rsidTr="0034043F">
        <w:trPr>
          <w:trHeight w:val="353"/>
          <w:jc w:val="center"/>
        </w:trPr>
        <w:tc>
          <w:tcPr>
            <w:tcW w:w="9247" w:type="dxa"/>
            <w:gridSpan w:val="6"/>
            <w:tcBorders>
              <w:top w:val="nil"/>
              <w:left w:val="double" w:sz="6" w:space="0" w:color="auto"/>
              <w:bottom w:val="double" w:sz="4" w:space="0" w:color="auto"/>
              <w:right w:val="double" w:sz="6" w:space="0" w:color="000000"/>
            </w:tcBorders>
            <w:shd w:val="clear" w:color="auto" w:fill="auto"/>
            <w:noWrap/>
            <w:vAlign w:val="center"/>
            <w:hideMark/>
          </w:tcPr>
          <w:p w14:paraId="5AB19F49" w14:textId="4E2821F2" w:rsidR="00F848A1" w:rsidRPr="00362517" w:rsidRDefault="00F848A1" w:rsidP="00BF6BC7">
            <w:pPr>
              <w:keepNext/>
              <w:rPr>
                <w:sz w:val="20"/>
                <w:szCs w:val="20"/>
              </w:rPr>
            </w:pPr>
          </w:p>
        </w:tc>
      </w:tr>
    </w:tbl>
    <w:p w14:paraId="5AB19F4B" w14:textId="77777777" w:rsidR="00F848A1" w:rsidRPr="00362517" w:rsidRDefault="00F848A1" w:rsidP="00BF6BC7">
      <w:pPr>
        <w:tabs>
          <w:tab w:val="left" w:pos="540"/>
          <w:tab w:val="left" w:pos="1080"/>
          <w:tab w:val="left" w:pos="1620"/>
          <w:tab w:val="left" w:pos="2160"/>
        </w:tabs>
      </w:pPr>
    </w:p>
    <w:p w14:paraId="5AB19F4C" w14:textId="22D91BA3" w:rsidR="00F848A1" w:rsidRPr="00362517" w:rsidRDefault="00F848A1" w:rsidP="00BF6BC7">
      <w:pPr>
        <w:tabs>
          <w:tab w:val="left" w:pos="540"/>
          <w:tab w:val="left" w:pos="1080"/>
          <w:tab w:val="left" w:pos="1620"/>
          <w:tab w:val="left" w:pos="2160"/>
        </w:tabs>
      </w:pPr>
      <w:r w:rsidRPr="00362517">
        <w:t xml:space="preserve">The annual estimated benefits from avoiding acute effects of pesticide incidents range from $13.2 to </w:t>
      </w:r>
      <w:r w:rsidR="0068091D" w:rsidRPr="00362517">
        <w:t>2</w:t>
      </w:r>
      <w:r w:rsidR="0068091D">
        <w:t>4</w:t>
      </w:r>
      <w:r w:rsidRPr="00362517">
        <w:t>.</w:t>
      </w:r>
      <w:r w:rsidR="007D07DA" w:rsidRPr="00362517">
        <w:t xml:space="preserve">3 </w:t>
      </w:r>
      <w:r w:rsidRPr="00362517">
        <w:t>million.  Over a ten</w:t>
      </w:r>
      <w:r w:rsidR="00924E1E">
        <w:t xml:space="preserve"> </w:t>
      </w:r>
      <w:r w:rsidRPr="00362517">
        <w:t>year period of analysis, the present value of these benefits is between $112 million and $</w:t>
      </w:r>
      <w:r w:rsidR="0068091D" w:rsidRPr="00362517">
        <w:t>2</w:t>
      </w:r>
      <w:r w:rsidR="0068091D">
        <w:t>08</w:t>
      </w:r>
      <w:r w:rsidR="0068091D" w:rsidRPr="00362517">
        <w:t xml:space="preserve"> </w:t>
      </w:r>
      <w:r w:rsidRPr="00362517">
        <w:t>million when a 3 percent discount rate is applied and between $93 million and $</w:t>
      </w:r>
      <w:r w:rsidR="0068091D" w:rsidRPr="00362517">
        <w:t>1</w:t>
      </w:r>
      <w:r w:rsidR="0068091D">
        <w:t>71</w:t>
      </w:r>
      <w:r w:rsidR="0068091D" w:rsidRPr="00362517">
        <w:t xml:space="preserve"> </w:t>
      </w:r>
      <w:r w:rsidRPr="00362517">
        <w:t xml:space="preserve">million when a 7 percent discount rate is applied.  Note that these estimates are based on the number of deaths using additional sources of information to the SENSOR-Pesticides data, as described in Section 4.4.3.1.  Other estimates of the deaths per year, as discussed in that section, would change the total estimates.   </w:t>
      </w:r>
    </w:p>
    <w:p w14:paraId="5AB19F4D" w14:textId="77777777" w:rsidR="00F848A1" w:rsidRPr="00362517" w:rsidRDefault="00F848A1" w:rsidP="00BF6BC7">
      <w:pPr>
        <w:tabs>
          <w:tab w:val="left" w:pos="540"/>
          <w:tab w:val="left" w:pos="1080"/>
          <w:tab w:val="left" w:pos="1620"/>
          <w:tab w:val="left" w:pos="2160"/>
        </w:tabs>
      </w:pPr>
    </w:p>
    <w:p w14:paraId="5AB19F4E" w14:textId="1E5436E4" w:rsidR="00F848A1" w:rsidRPr="00362517" w:rsidRDefault="00F848A1" w:rsidP="00BF6BC7">
      <w:pPr>
        <w:tabs>
          <w:tab w:val="left" w:pos="540"/>
          <w:tab w:val="left" w:pos="1080"/>
          <w:tab w:val="left" w:pos="1620"/>
          <w:tab w:val="left" w:pos="2160"/>
        </w:tabs>
      </w:pPr>
      <w:r w:rsidRPr="00362517">
        <w:t xml:space="preserve">There are limitations to these estimates.  Because of the substantial value associated with preventing a death from RUPs, the estimates are very sensitive to the estimate of deaths prevented, although we present two different estimates here.  Also, as discussed above, we expect that a large proportion of accidental (acute) pesticide poisoning never get reported or investigated for various reasons. All indications are that under-reporting is substantial.  Unreported cases are therefore not included in the poisoning surveillance databases and, hence, not included in this analysis.  This under-reporting will bias estimates of acute benefits downward.  </w:t>
      </w:r>
    </w:p>
    <w:p w14:paraId="5AB19F4F" w14:textId="77777777" w:rsidR="00F848A1" w:rsidRPr="00362517" w:rsidRDefault="00F848A1" w:rsidP="00BF6BC7">
      <w:pPr>
        <w:tabs>
          <w:tab w:val="left" w:pos="540"/>
          <w:tab w:val="left" w:pos="1080"/>
          <w:tab w:val="left" w:pos="1620"/>
          <w:tab w:val="left" w:pos="2160"/>
        </w:tabs>
      </w:pPr>
    </w:p>
    <w:p w14:paraId="5AB19F50" w14:textId="4904DA37" w:rsidR="00F848A1" w:rsidRPr="00362517" w:rsidRDefault="00F848A1" w:rsidP="00BF6BC7">
      <w:pPr>
        <w:tabs>
          <w:tab w:val="left" w:pos="540"/>
          <w:tab w:val="left" w:pos="1080"/>
          <w:tab w:val="left" w:pos="1620"/>
          <w:tab w:val="left" w:pos="2160"/>
        </w:tabs>
      </w:pPr>
      <w:r w:rsidRPr="00362517">
        <w:t xml:space="preserve">In Table 4.4-13, we show the effect of under-reporting at different rates on our monetized estimates of avoiding acute pesticide poisonings.  With 100% reporting (or 0% under-reporting), the actual benefits of acute illnesses are equal to the estimated benefits.  If there is under-reporting, then the actual benefits can be substantially higher.  Table 4.4-13 shows a range of benefit estimates corresponding to different reporting rates (100%, 50%, 25%, 20%, and 10%), which provide a range of values and show the sensitivity to different assumptions about under-reporting.  As an example, if only 10% of cases are reported, and under-reporting is equally likely in all poisoning cases across all severity levels, then the high-end estimate of the value of prevented poisoning due to the rule would be </w:t>
      </w:r>
      <w:r w:rsidR="00632BE9" w:rsidRPr="00362517">
        <w:t xml:space="preserve">about </w:t>
      </w:r>
      <w:r w:rsidRPr="00362517">
        <w:t>$26</w:t>
      </w:r>
      <w:r w:rsidR="00632BE9" w:rsidRPr="00362517">
        <w:t>3</w:t>
      </w:r>
      <w:r w:rsidRPr="00362517">
        <w:t xml:space="preserve"> million per year, substantially higher than those reported above, which assume 100% reporting.  The distribution of health effects associated with these unreported acute exposures are also not known.  If reporting rates vary by severity, in such a way that more severe (and expensive) cases are more likely to be reported, then the effects of under-reporting would be correspondingly lower.  In the </w:t>
      </w:r>
      <w:r w:rsidR="000C0407">
        <w:t>E</w:t>
      </w:r>
      <w:r w:rsidRPr="00362517">
        <w:t xml:space="preserve">conomic </w:t>
      </w:r>
      <w:r w:rsidR="000C0407">
        <w:t>A</w:t>
      </w:r>
      <w:r w:rsidRPr="00362517">
        <w:t>nalysis for the recent WPS rule, EPA’s best estimate for a reporting rate was that about 10% of pesticide incidents might be reported, based on the studies reported in Section 4.4-3, and EPA analysis of reported incidents in SENSOR-Pesticides and California pesticide incident surveillance data.  That incident review included non-RUP pesticides, and many incidents involving farmworkers for which the WPS rule was relevant.  It is possible that underreporting is not as severe for RUP incidents, which may be more likely to affect certified applicators, those they supervise, and their families.  If the reporting rate were 20%, double the 10% rate used for the WPS rule, this would yield annual estimated benefits from reduced RUP exposure of between $65.</w:t>
      </w:r>
      <w:r w:rsidR="00152C88" w:rsidRPr="00362517">
        <w:t>9</w:t>
      </w:r>
      <w:r w:rsidR="00632BE9" w:rsidRPr="00362517">
        <w:t xml:space="preserve"> </w:t>
      </w:r>
      <w:r w:rsidRPr="00362517">
        <w:t>and $131.</w:t>
      </w:r>
      <w:r w:rsidR="00632BE9" w:rsidRPr="00362517">
        <w:t xml:space="preserve">6 </w:t>
      </w:r>
      <w:r w:rsidRPr="00362517">
        <w:t xml:space="preserve">million.  </w:t>
      </w:r>
      <w:r w:rsidR="00DD7E6E">
        <w:t xml:space="preserve">If the reporting rate were 50% for all incidents, similar to the rate for incidents that result in hospitalizations and deaths from food-borne illness suggested by Scallan </w:t>
      </w:r>
      <w:r w:rsidR="00DD7E6E" w:rsidRPr="00A300B8">
        <w:rPr>
          <w:i/>
        </w:rPr>
        <w:t>et al.</w:t>
      </w:r>
      <w:r w:rsidR="00DD7E6E">
        <w:t>, (2011)</w:t>
      </w:r>
      <w:r w:rsidR="00C91D61">
        <w:t xml:space="preserve"> and Mead </w:t>
      </w:r>
      <w:r w:rsidR="00C91D61" w:rsidRPr="00A300B8">
        <w:rPr>
          <w:i/>
        </w:rPr>
        <w:t>et al.</w:t>
      </w:r>
      <w:r w:rsidR="00C91D61">
        <w:t>, (1999)</w:t>
      </w:r>
      <w:r w:rsidR="00DD7E6E">
        <w:t xml:space="preserve">, the annual estimated benefits would be between $26.3 and $48.7 million annually. </w:t>
      </w:r>
    </w:p>
    <w:p w14:paraId="5AB19F51" w14:textId="77777777" w:rsidR="00F848A1" w:rsidRPr="00362517" w:rsidRDefault="00F848A1" w:rsidP="00BF6BC7">
      <w:pPr>
        <w:tabs>
          <w:tab w:val="left" w:pos="540"/>
          <w:tab w:val="left" w:pos="1080"/>
          <w:tab w:val="left" w:pos="1620"/>
          <w:tab w:val="left" w:pos="2160"/>
        </w:tabs>
      </w:pPr>
    </w:p>
    <w:p w14:paraId="5AB19F52" w14:textId="284C1222" w:rsidR="00F848A1" w:rsidRPr="00362517" w:rsidRDefault="00F848A1" w:rsidP="00BF6BC7">
      <w:pPr>
        <w:tabs>
          <w:tab w:val="left" w:pos="540"/>
          <w:tab w:val="left" w:pos="1080"/>
          <w:tab w:val="left" w:pos="1620"/>
          <w:tab w:val="left" w:pos="2160"/>
        </w:tabs>
      </w:pPr>
      <w:r w:rsidRPr="00362517">
        <w:t xml:space="preserve">The estimated cost of the rule is approximately $31.3 million per year, based on a 3% discount rate (see Chapter 3).  If we assume that there is no under-reporting of RUP incidents, then the annual estimated benefits from the rule do not reach that level.  Annual benefits of $31.3 million per year corresponds to a reporting rate of about </w:t>
      </w:r>
      <w:r w:rsidR="005068F7">
        <w:t>78</w:t>
      </w:r>
      <w:r w:rsidRPr="00362517">
        <w:t xml:space="preserve">% for the high-end estimates, or </w:t>
      </w:r>
      <w:r w:rsidR="005068F7">
        <w:t>22</w:t>
      </w:r>
      <w:r w:rsidRPr="00362517">
        <w:t xml:space="preserve">% of incidents not being recorded in the surveillance databases.  </w:t>
      </w:r>
      <w:r w:rsidR="00DD7E6E">
        <w:t xml:space="preserve">It should be noted that </w:t>
      </w:r>
      <w:r w:rsidRPr="00362517">
        <w:t xml:space="preserve">we have made no attempt to measure the willingness to pay to avoid symptoms, which is likely to be substantial; the estimates presented are based on the avoided costs in medical care and lost productivity only.  </w:t>
      </w:r>
    </w:p>
    <w:p w14:paraId="5AB19F53" w14:textId="77777777" w:rsidR="00F848A1" w:rsidRPr="00362517" w:rsidRDefault="00F848A1" w:rsidP="00BF6BC7">
      <w:pPr>
        <w:tabs>
          <w:tab w:val="left" w:pos="540"/>
          <w:tab w:val="left" w:pos="1080"/>
          <w:tab w:val="left" w:pos="1620"/>
          <w:tab w:val="left" w:pos="2160"/>
        </w:tabs>
      </w:pPr>
    </w:p>
    <w:tbl>
      <w:tblPr>
        <w:tblW w:w="4626" w:type="pct"/>
        <w:jc w:val="center"/>
        <w:tblLayout w:type="fixed"/>
        <w:tblLook w:val="04A0" w:firstRow="1" w:lastRow="0" w:firstColumn="1" w:lastColumn="0" w:noHBand="0" w:noVBand="1"/>
      </w:tblPr>
      <w:tblGrid>
        <w:gridCol w:w="1370"/>
        <w:gridCol w:w="1717"/>
        <w:gridCol w:w="1537"/>
        <w:gridCol w:w="1896"/>
        <w:gridCol w:w="2097"/>
      </w:tblGrid>
      <w:tr w:rsidR="00362517" w:rsidRPr="00362517" w14:paraId="5AB19F55" w14:textId="77777777" w:rsidTr="0034043F">
        <w:trPr>
          <w:trHeight w:val="630"/>
          <w:jc w:val="center"/>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5AB19F54" w14:textId="77777777" w:rsidR="00F848A1" w:rsidRPr="00362517" w:rsidRDefault="00F848A1" w:rsidP="00BF6BC7">
            <w:pPr>
              <w:keepNext/>
              <w:rPr>
                <w:b/>
                <w:bCs/>
              </w:rPr>
            </w:pPr>
            <w:r w:rsidRPr="00362517">
              <w:rPr>
                <w:b/>
                <w:bCs/>
              </w:rPr>
              <w:t>Table 4.4-13</w:t>
            </w:r>
            <w:r w:rsidR="00170F74" w:rsidRPr="00362517">
              <w:rPr>
                <w:b/>
                <w:bCs/>
              </w:rPr>
              <w:t>:</w:t>
            </w:r>
            <w:r w:rsidRPr="00362517">
              <w:rPr>
                <w:b/>
                <w:bCs/>
              </w:rPr>
              <w:t xml:space="preserve">  Sensitivity of Annual Quantified Benefit Estimates to Assumptions about Under-reporting</w:t>
            </w:r>
          </w:p>
        </w:tc>
      </w:tr>
      <w:tr w:rsidR="00362517" w:rsidRPr="00362517" w14:paraId="5AB19F5B" w14:textId="77777777" w:rsidTr="0034043F">
        <w:trPr>
          <w:trHeight w:val="1386"/>
          <w:jc w:val="center"/>
        </w:trPr>
        <w:tc>
          <w:tcPr>
            <w:tcW w:w="795" w:type="pct"/>
            <w:tcBorders>
              <w:top w:val="nil"/>
              <w:left w:val="double" w:sz="6" w:space="0" w:color="auto"/>
              <w:bottom w:val="double" w:sz="6" w:space="0" w:color="auto"/>
              <w:right w:val="single" w:sz="8" w:space="0" w:color="auto"/>
            </w:tcBorders>
            <w:shd w:val="clear" w:color="auto" w:fill="auto"/>
            <w:vAlign w:val="center"/>
            <w:hideMark/>
          </w:tcPr>
          <w:p w14:paraId="5AB19F56" w14:textId="77777777" w:rsidR="00F848A1" w:rsidRPr="00362517" w:rsidRDefault="00F848A1" w:rsidP="00BF6BC7">
            <w:pPr>
              <w:keepNext/>
              <w:jc w:val="center"/>
              <w:rPr>
                <w:b/>
                <w:bCs/>
              </w:rPr>
            </w:pPr>
            <w:r w:rsidRPr="00362517">
              <w:rPr>
                <w:b/>
                <w:bCs/>
              </w:rPr>
              <w:t>Share of Cases Reported</w:t>
            </w:r>
          </w:p>
        </w:tc>
        <w:tc>
          <w:tcPr>
            <w:tcW w:w="996" w:type="pct"/>
            <w:tcBorders>
              <w:top w:val="nil"/>
              <w:left w:val="nil"/>
              <w:bottom w:val="double" w:sz="6" w:space="0" w:color="auto"/>
              <w:right w:val="single" w:sz="8" w:space="0" w:color="auto"/>
            </w:tcBorders>
            <w:shd w:val="clear" w:color="auto" w:fill="auto"/>
            <w:vAlign w:val="center"/>
            <w:hideMark/>
          </w:tcPr>
          <w:p w14:paraId="5AB19F57" w14:textId="77777777" w:rsidR="00F848A1" w:rsidRPr="00362517" w:rsidRDefault="00F848A1" w:rsidP="00BF6BC7">
            <w:pPr>
              <w:keepNext/>
              <w:jc w:val="center"/>
              <w:rPr>
                <w:b/>
                <w:bCs/>
              </w:rPr>
            </w:pPr>
            <w:r w:rsidRPr="00362517">
              <w:rPr>
                <w:b/>
                <w:bCs/>
              </w:rPr>
              <w:t>Low-End Estimate of Prevented Cases</w:t>
            </w:r>
          </w:p>
        </w:tc>
        <w:tc>
          <w:tcPr>
            <w:tcW w:w="892" w:type="pct"/>
            <w:tcBorders>
              <w:top w:val="nil"/>
              <w:left w:val="nil"/>
              <w:bottom w:val="double" w:sz="6" w:space="0" w:color="auto"/>
              <w:right w:val="single" w:sz="8" w:space="0" w:color="auto"/>
            </w:tcBorders>
            <w:shd w:val="clear" w:color="auto" w:fill="auto"/>
            <w:vAlign w:val="center"/>
            <w:hideMark/>
          </w:tcPr>
          <w:p w14:paraId="5AB19F58" w14:textId="77777777" w:rsidR="00F848A1" w:rsidRPr="00362517" w:rsidRDefault="00F848A1" w:rsidP="00BF6BC7">
            <w:pPr>
              <w:keepNext/>
              <w:jc w:val="center"/>
              <w:rPr>
                <w:b/>
                <w:bCs/>
              </w:rPr>
            </w:pPr>
            <w:r w:rsidRPr="00362517">
              <w:rPr>
                <w:b/>
                <w:bCs/>
              </w:rPr>
              <w:t>Low-End Estimate of Benefits</w:t>
            </w:r>
          </w:p>
        </w:tc>
        <w:tc>
          <w:tcPr>
            <w:tcW w:w="1100" w:type="pct"/>
            <w:tcBorders>
              <w:top w:val="nil"/>
              <w:left w:val="nil"/>
              <w:bottom w:val="double" w:sz="6" w:space="0" w:color="auto"/>
              <w:right w:val="single" w:sz="8" w:space="0" w:color="auto"/>
            </w:tcBorders>
            <w:shd w:val="clear" w:color="auto" w:fill="auto"/>
            <w:vAlign w:val="center"/>
            <w:hideMark/>
          </w:tcPr>
          <w:p w14:paraId="5AB19F59" w14:textId="77777777" w:rsidR="00F848A1" w:rsidRPr="00362517" w:rsidRDefault="00F848A1" w:rsidP="00BF6BC7">
            <w:pPr>
              <w:keepNext/>
              <w:jc w:val="center"/>
              <w:rPr>
                <w:b/>
                <w:bCs/>
              </w:rPr>
            </w:pPr>
            <w:r w:rsidRPr="00362517">
              <w:rPr>
                <w:b/>
                <w:bCs/>
              </w:rPr>
              <w:t>High-End Estimate of Prevented Cases</w:t>
            </w:r>
          </w:p>
        </w:tc>
        <w:tc>
          <w:tcPr>
            <w:tcW w:w="1217" w:type="pct"/>
            <w:tcBorders>
              <w:top w:val="nil"/>
              <w:left w:val="nil"/>
              <w:bottom w:val="double" w:sz="6" w:space="0" w:color="auto"/>
              <w:right w:val="double" w:sz="6" w:space="0" w:color="auto"/>
            </w:tcBorders>
            <w:shd w:val="clear" w:color="auto" w:fill="auto"/>
            <w:vAlign w:val="center"/>
            <w:hideMark/>
          </w:tcPr>
          <w:p w14:paraId="5AB19F5A" w14:textId="77777777" w:rsidR="00F848A1" w:rsidRPr="00362517" w:rsidRDefault="00F848A1" w:rsidP="00BF6BC7">
            <w:pPr>
              <w:keepNext/>
              <w:jc w:val="center"/>
              <w:rPr>
                <w:b/>
                <w:bCs/>
              </w:rPr>
            </w:pPr>
            <w:r w:rsidRPr="00362517">
              <w:rPr>
                <w:b/>
                <w:bCs/>
              </w:rPr>
              <w:t>High-End Estimate of Benefits</w:t>
            </w:r>
          </w:p>
        </w:tc>
      </w:tr>
      <w:tr w:rsidR="00362517" w:rsidRPr="00362517" w14:paraId="5AB19F61" w14:textId="77777777" w:rsidTr="008D63D6">
        <w:trPr>
          <w:trHeight w:val="345"/>
          <w:jc w:val="center"/>
        </w:trPr>
        <w:tc>
          <w:tcPr>
            <w:tcW w:w="795" w:type="pct"/>
            <w:tcBorders>
              <w:top w:val="nil"/>
              <w:left w:val="double" w:sz="6" w:space="0" w:color="auto"/>
              <w:bottom w:val="single" w:sz="8" w:space="0" w:color="auto"/>
              <w:right w:val="single" w:sz="8" w:space="0" w:color="auto"/>
            </w:tcBorders>
            <w:shd w:val="clear" w:color="auto" w:fill="auto"/>
            <w:noWrap/>
            <w:vAlign w:val="center"/>
            <w:hideMark/>
          </w:tcPr>
          <w:p w14:paraId="5AB19F5C" w14:textId="77777777" w:rsidR="00632BE9" w:rsidRPr="00362517" w:rsidRDefault="00632BE9" w:rsidP="00BF6BC7">
            <w:pPr>
              <w:keepNext/>
              <w:jc w:val="center"/>
            </w:pPr>
            <w:r w:rsidRPr="00362517">
              <w:t>100%</w:t>
            </w:r>
          </w:p>
        </w:tc>
        <w:tc>
          <w:tcPr>
            <w:tcW w:w="996" w:type="pct"/>
            <w:tcBorders>
              <w:top w:val="nil"/>
              <w:left w:val="nil"/>
              <w:bottom w:val="single" w:sz="8" w:space="0" w:color="auto"/>
              <w:right w:val="single" w:sz="8" w:space="0" w:color="auto"/>
            </w:tcBorders>
            <w:shd w:val="clear" w:color="auto" w:fill="auto"/>
            <w:vAlign w:val="center"/>
            <w:hideMark/>
          </w:tcPr>
          <w:p w14:paraId="5AB19F5D" w14:textId="4C93A7A0" w:rsidR="00632BE9" w:rsidRPr="00362517" w:rsidRDefault="00632BE9" w:rsidP="00BF6BC7">
            <w:pPr>
              <w:keepNext/>
              <w:jc w:val="center"/>
            </w:pPr>
            <w:r w:rsidRPr="00362517">
              <w:t>156.</w:t>
            </w:r>
            <w:r w:rsidR="00152C88" w:rsidRPr="00362517">
              <w:t>5</w:t>
            </w:r>
          </w:p>
        </w:tc>
        <w:tc>
          <w:tcPr>
            <w:tcW w:w="892" w:type="pct"/>
            <w:tcBorders>
              <w:top w:val="nil"/>
              <w:left w:val="nil"/>
              <w:bottom w:val="single" w:sz="8" w:space="0" w:color="auto"/>
              <w:right w:val="single" w:sz="8" w:space="0" w:color="auto"/>
            </w:tcBorders>
            <w:shd w:val="clear" w:color="auto" w:fill="auto"/>
            <w:vAlign w:val="center"/>
            <w:hideMark/>
          </w:tcPr>
          <w:p w14:paraId="5AB19F5E" w14:textId="2C3FC2D5" w:rsidR="00632BE9" w:rsidRPr="00362517" w:rsidRDefault="00632BE9" w:rsidP="00BF6BC7">
            <w:pPr>
              <w:keepNext/>
              <w:jc w:val="center"/>
            </w:pPr>
            <w:r w:rsidRPr="00362517">
              <w:t>$13,174,</w:t>
            </w:r>
            <w:r w:rsidR="00152C88" w:rsidRPr="00362517">
              <w:t>458</w:t>
            </w:r>
            <w:r w:rsidRPr="00362517">
              <w:t xml:space="preserve"> </w:t>
            </w:r>
          </w:p>
        </w:tc>
        <w:tc>
          <w:tcPr>
            <w:tcW w:w="1100" w:type="pct"/>
            <w:tcBorders>
              <w:top w:val="nil"/>
              <w:left w:val="nil"/>
              <w:bottom w:val="single" w:sz="8" w:space="0" w:color="auto"/>
              <w:right w:val="single" w:sz="8" w:space="0" w:color="auto"/>
            </w:tcBorders>
            <w:shd w:val="clear" w:color="auto" w:fill="auto"/>
            <w:noWrap/>
            <w:vAlign w:val="center"/>
            <w:hideMark/>
          </w:tcPr>
          <w:p w14:paraId="5AB19F5F" w14:textId="517004AD" w:rsidR="00632BE9" w:rsidRPr="00362517" w:rsidRDefault="00632BE9" w:rsidP="001A076B">
            <w:pPr>
              <w:keepNext/>
              <w:jc w:val="center"/>
            </w:pPr>
            <w:r w:rsidRPr="00362517">
              <w:t>19</w:t>
            </w:r>
            <w:r w:rsidR="00152C88" w:rsidRPr="00362517">
              <w:t>8</w:t>
            </w:r>
            <w:r w:rsidRPr="00362517">
              <w:t>.</w:t>
            </w:r>
            <w:r w:rsidR="001A076B">
              <w:t>0</w:t>
            </w:r>
            <w:r w:rsidR="001A076B" w:rsidRPr="00362517">
              <w:t xml:space="preserve"> </w:t>
            </w:r>
          </w:p>
        </w:tc>
        <w:tc>
          <w:tcPr>
            <w:tcW w:w="1217" w:type="pct"/>
            <w:tcBorders>
              <w:top w:val="nil"/>
              <w:left w:val="nil"/>
              <w:bottom w:val="single" w:sz="8" w:space="0" w:color="auto"/>
              <w:right w:val="double" w:sz="6" w:space="0" w:color="auto"/>
            </w:tcBorders>
            <w:shd w:val="clear" w:color="auto" w:fill="auto"/>
            <w:noWrap/>
            <w:vAlign w:val="center"/>
            <w:hideMark/>
          </w:tcPr>
          <w:p w14:paraId="5AB19F60" w14:textId="5D5E5804" w:rsidR="00632BE9" w:rsidRPr="00362517" w:rsidRDefault="00632BE9" w:rsidP="001A076B">
            <w:pPr>
              <w:keepNext/>
              <w:jc w:val="center"/>
            </w:pPr>
            <w:r w:rsidRPr="00362517">
              <w:t>$2</w:t>
            </w:r>
            <w:r w:rsidR="001A076B">
              <w:t>4</w:t>
            </w:r>
            <w:r w:rsidRPr="00362517">
              <w:t>,3</w:t>
            </w:r>
            <w:r w:rsidR="001A076B">
              <w:t>45</w:t>
            </w:r>
            <w:r w:rsidRPr="00362517">
              <w:t>,</w:t>
            </w:r>
            <w:r w:rsidR="00152C88" w:rsidRPr="00362517">
              <w:t>090</w:t>
            </w:r>
            <w:r w:rsidRPr="00362517">
              <w:t xml:space="preserve"> </w:t>
            </w:r>
          </w:p>
        </w:tc>
      </w:tr>
      <w:tr w:rsidR="00362517" w:rsidRPr="00362517" w14:paraId="5AB19F67" w14:textId="77777777" w:rsidTr="0053433B">
        <w:trPr>
          <w:trHeight w:val="330"/>
          <w:jc w:val="center"/>
        </w:trPr>
        <w:tc>
          <w:tcPr>
            <w:tcW w:w="795" w:type="pct"/>
            <w:tcBorders>
              <w:top w:val="nil"/>
              <w:left w:val="double" w:sz="6" w:space="0" w:color="auto"/>
              <w:bottom w:val="single" w:sz="8" w:space="0" w:color="auto"/>
              <w:right w:val="single" w:sz="8" w:space="0" w:color="auto"/>
            </w:tcBorders>
            <w:shd w:val="clear" w:color="auto" w:fill="auto"/>
            <w:noWrap/>
            <w:vAlign w:val="center"/>
            <w:hideMark/>
          </w:tcPr>
          <w:p w14:paraId="5AB19F62" w14:textId="77777777" w:rsidR="00632BE9" w:rsidRPr="00362517" w:rsidRDefault="00632BE9" w:rsidP="00BF6BC7">
            <w:pPr>
              <w:keepNext/>
              <w:jc w:val="center"/>
            </w:pPr>
            <w:r w:rsidRPr="00362517">
              <w:t>50%</w:t>
            </w:r>
          </w:p>
        </w:tc>
        <w:tc>
          <w:tcPr>
            <w:tcW w:w="996" w:type="pct"/>
            <w:tcBorders>
              <w:top w:val="nil"/>
              <w:left w:val="nil"/>
              <w:bottom w:val="single" w:sz="8" w:space="0" w:color="auto"/>
              <w:right w:val="single" w:sz="8" w:space="0" w:color="auto"/>
            </w:tcBorders>
            <w:shd w:val="clear" w:color="auto" w:fill="auto"/>
            <w:vAlign w:val="center"/>
            <w:hideMark/>
          </w:tcPr>
          <w:p w14:paraId="5AB19F63" w14:textId="6204C22E" w:rsidR="00632BE9" w:rsidRPr="00362517" w:rsidRDefault="00632BE9" w:rsidP="00BF6BC7">
            <w:pPr>
              <w:keepNext/>
              <w:jc w:val="center"/>
            </w:pPr>
            <w:r w:rsidRPr="00362517">
              <w:t>31</w:t>
            </w:r>
            <w:r w:rsidR="00152C88" w:rsidRPr="00362517">
              <w:t>3</w:t>
            </w:r>
            <w:r w:rsidRPr="00362517">
              <w:t>.</w:t>
            </w:r>
            <w:r w:rsidR="00152C88" w:rsidRPr="00362517">
              <w:t>0</w:t>
            </w:r>
          </w:p>
        </w:tc>
        <w:tc>
          <w:tcPr>
            <w:tcW w:w="892" w:type="pct"/>
            <w:tcBorders>
              <w:top w:val="nil"/>
              <w:left w:val="nil"/>
              <w:bottom w:val="single" w:sz="8" w:space="0" w:color="auto"/>
              <w:right w:val="single" w:sz="8" w:space="0" w:color="auto"/>
            </w:tcBorders>
            <w:shd w:val="clear" w:color="auto" w:fill="auto"/>
            <w:vAlign w:val="center"/>
            <w:hideMark/>
          </w:tcPr>
          <w:p w14:paraId="5AB19F64" w14:textId="34C9D96F" w:rsidR="00632BE9" w:rsidRPr="00362517" w:rsidRDefault="00632BE9" w:rsidP="00BF6BC7">
            <w:pPr>
              <w:keepNext/>
              <w:jc w:val="center"/>
            </w:pPr>
            <w:r w:rsidRPr="00362517">
              <w:t>26,348,</w:t>
            </w:r>
            <w:r w:rsidR="00152C88" w:rsidRPr="00362517">
              <w:t>915</w:t>
            </w:r>
          </w:p>
        </w:tc>
        <w:tc>
          <w:tcPr>
            <w:tcW w:w="1100" w:type="pct"/>
            <w:tcBorders>
              <w:top w:val="nil"/>
              <w:left w:val="nil"/>
              <w:bottom w:val="single" w:sz="8" w:space="0" w:color="auto"/>
              <w:right w:val="single" w:sz="8" w:space="0" w:color="auto"/>
            </w:tcBorders>
            <w:shd w:val="clear" w:color="auto" w:fill="auto"/>
            <w:noWrap/>
            <w:vAlign w:val="center"/>
            <w:hideMark/>
          </w:tcPr>
          <w:p w14:paraId="5AB19F65" w14:textId="100600A8" w:rsidR="00632BE9" w:rsidRPr="00362517" w:rsidRDefault="00632BE9" w:rsidP="001A076B">
            <w:pPr>
              <w:keepNext/>
              <w:jc w:val="center"/>
            </w:pPr>
            <w:r w:rsidRPr="00362517">
              <w:t>39</w:t>
            </w:r>
            <w:r w:rsidR="00152C88" w:rsidRPr="00362517">
              <w:t>6</w:t>
            </w:r>
            <w:r w:rsidRPr="00362517">
              <w:t>.</w:t>
            </w:r>
            <w:r w:rsidR="001A076B">
              <w:t>0</w:t>
            </w:r>
            <w:r w:rsidR="001A076B" w:rsidRPr="00362517">
              <w:t xml:space="preserve"> </w:t>
            </w:r>
          </w:p>
        </w:tc>
        <w:tc>
          <w:tcPr>
            <w:tcW w:w="1217" w:type="pct"/>
            <w:tcBorders>
              <w:top w:val="nil"/>
              <w:left w:val="nil"/>
              <w:bottom w:val="single" w:sz="8" w:space="0" w:color="auto"/>
              <w:right w:val="single" w:sz="8" w:space="0" w:color="auto"/>
            </w:tcBorders>
            <w:shd w:val="clear" w:color="auto" w:fill="auto"/>
            <w:noWrap/>
            <w:vAlign w:val="center"/>
            <w:hideMark/>
          </w:tcPr>
          <w:p w14:paraId="5AB19F66" w14:textId="1C179309" w:rsidR="00632BE9" w:rsidRPr="00362517" w:rsidRDefault="001A076B" w:rsidP="001A076B">
            <w:pPr>
              <w:keepNext/>
              <w:jc w:val="center"/>
            </w:pPr>
            <w:r>
              <w:t>48</w:t>
            </w:r>
            <w:r w:rsidR="00632BE9" w:rsidRPr="00362517">
              <w:t>,6</w:t>
            </w:r>
            <w:r>
              <w:t>90</w:t>
            </w:r>
            <w:r w:rsidR="00632BE9" w:rsidRPr="00362517">
              <w:t>,</w:t>
            </w:r>
            <w:r w:rsidR="00152C88" w:rsidRPr="00362517">
              <w:t>180</w:t>
            </w:r>
          </w:p>
        </w:tc>
      </w:tr>
      <w:tr w:rsidR="00362517" w:rsidRPr="00362517" w14:paraId="5AB19F6D" w14:textId="77777777" w:rsidTr="0053433B">
        <w:trPr>
          <w:trHeight w:val="330"/>
          <w:jc w:val="center"/>
        </w:trPr>
        <w:tc>
          <w:tcPr>
            <w:tcW w:w="795" w:type="pct"/>
            <w:tcBorders>
              <w:top w:val="nil"/>
              <w:left w:val="double" w:sz="6" w:space="0" w:color="auto"/>
              <w:bottom w:val="single" w:sz="8" w:space="0" w:color="auto"/>
              <w:right w:val="single" w:sz="8" w:space="0" w:color="auto"/>
            </w:tcBorders>
            <w:shd w:val="clear" w:color="auto" w:fill="auto"/>
            <w:noWrap/>
            <w:vAlign w:val="center"/>
            <w:hideMark/>
          </w:tcPr>
          <w:p w14:paraId="5AB19F68" w14:textId="77777777" w:rsidR="00632BE9" w:rsidRPr="00362517" w:rsidRDefault="00632BE9" w:rsidP="00BF6BC7">
            <w:pPr>
              <w:keepNext/>
              <w:jc w:val="center"/>
            </w:pPr>
            <w:r w:rsidRPr="00362517">
              <w:t>25%</w:t>
            </w:r>
          </w:p>
        </w:tc>
        <w:tc>
          <w:tcPr>
            <w:tcW w:w="996" w:type="pct"/>
            <w:tcBorders>
              <w:top w:val="nil"/>
              <w:left w:val="nil"/>
              <w:bottom w:val="single" w:sz="8" w:space="0" w:color="auto"/>
              <w:right w:val="single" w:sz="8" w:space="0" w:color="auto"/>
            </w:tcBorders>
            <w:shd w:val="clear" w:color="auto" w:fill="auto"/>
            <w:vAlign w:val="center"/>
            <w:hideMark/>
          </w:tcPr>
          <w:p w14:paraId="5AB19F69" w14:textId="18BE1DE7" w:rsidR="00632BE9" w:rsidRPr="00362517" w:rsidRDefault="00632BE9" w:rsidP="00BF6BC7">
            <w:pPr>
              <w:keepNext/>
              <w:jc w:val="center"/>
            </w:pPr>
            <w:r w:rsidRPr="00362517">
              <w:t>62</w:t>
            </w:r>
            <w:r w:rsidR="00152C88" w:rsidRPr="00362517">
              <w:t>6</w:t>
            </w:r>
            <w:r w:rsidRPr="00362517">
              <w:t>.</w:t>
            </w:r>
            <w:r w:rsidR="00152C88" w:rsidRPr="00362517">
              <w:t>0</w:t>
            </w:r>
          </w:p>
        </w:tc>
        <w:tc>
          <w:tcPr>
            <w:tcW w:w="892" w:type="pct"/>
            <w:tcBorders>
              <w:top w:val="nil"/>
              <w:left w:val="nil"/>
              <w:bottom w:val="single" w:sz="8" w:space="0" w:color="auto"/>
              <w:right w:val="single" w:sz="8" w:space="0" w:color="auto"/>
            </w:tcBorders>
            <w:shd w:val="clear" w:color="auto" w:fill="auto"/>
            <w:vAlign w:val="center"/>
            <w:hideMark/>
          </w:tcPr>
          <w:p w14:paraId="5AB19F6A" w14:textId="4C4BB50A" w:rsidR="00632BE9" w:rsidRPr="00362517" w:rsidRDefault="00632BE9" w:rsidP="00BF6BC7">
            <w:pPr>
              <w:keepNext/>
              <w:jc w:val="center"/>
            </w:pPr>
            <w:r w:rsidRPr="00362517">
              <w:t>52,69</w:t>
            </w:r>
            <w:r w:rsidR="00152C88" w:rsidRPr="00362517">
              <w:t>7</w:t>
            </w:r>
            <w:r w:rsidRPr="00362517">
              <w:t>,</w:t>
            </w:r>
            <w:r w:rsidR="00152C88" w:rsidRPr="00362517">
              <w:t>831</w:t>
            </w:r>
          </w:p>
        </w:tc>
        <w:tc>
          <w:tcPr>
            <w:tcW w:w="1100" w:type="pct"/>
            <w:tcBorders>
              <w:top w:val="nil"/>
              <w:left w:val="nil"/>
              <w:bottom w:val="single" w:sz="8" w:space="0" w:color="auto"/>
              <w:right w:val="single" w:sz="8" w:space="0" w:color="auto"/>
            </w:tcBorders>
            <w:shd w:val="clear" w:color="auto" w:fill="auto"/>
            <w:noWrap/>
            <w:vAlign w:val="center"/>
            <w:hideMark/>
          </w:tcPr>
          <w:p w14:paraId="5AB19F6B" w14:textId="4F708713" w:rsidR="00632BE9" w:rsidRPr="00362517" w:rsidRDefault="00632BE9" w:rsidP="00BF6BC7">
            <w:pPr>
              <w:keepNext/>
              <w:jc w:val="center"/>
            </w:pPr>
            <w:r w:rsidRPr="00362517">
              <w:t>79</w:t>
            </w:r>
            <w:r w:rsidR="00152C88" w:rsidRPr="00362517">
              <w:t>2</w:t>
            </w:r>
            <w:r w:rsidRPr="00362517">
              <w:t>.</w:t>
            </w:r>
            <w:r w:rsidR="001A076B">
              <w:t>0</w:t>
            </w:r>
            <w:r w:rsidRPr="00362517">
              <w:t xml:space="preserve"> </w:t>
            </w:r>
          </w:p>
        </w:tc>
        <w:tc>
          <w:tcPr>
            <w:tcW w:w="1217" w:type="pct"/>
            <w:tcBorders>
              <w:top w:val="nil"/>
              <w:left w:val="nil"/>
              <w:bottom w:val="single" w:sz="8" w:space="0" w:color="auto"/>
              <w:right w:val="single" w:sz="8" w:space="0" w:color="auto"/>
            </w:tcBorders>
            <w:shd w:val="clear" w:color="auto" w:fill="auto"/>
            <w:noWrap/>
            <w:vAlign w:val="center"/>
            <w:hideMark/>
          </w:tcPr>
          <w:p w14:paraId="5AB19F6C" w14:textId="6B228AA4" w:rsidR="00632BE9" w:rsidRPr="00362517" w:rsidRDefault="001A076B" w:rsidP="001A076B">
            <w:pPr>
              <w:keepNext/>
              <w:jc w:val="center"/>
            </w:pPr>
            <w:r>
              <w:t>97</w:t>
            </w:r>
            <w:r w:rsidR="00632BE9" w:rsidRPr="00362517">
              <w:t>,</w:t>
            </w:r>
            <w:r>
              <w:t>380</w:t>
            </w:r>
            <w:r w:rsidR="00632BE9" w:rsidRPr="00362517">
              <w:t>,</w:t>
            </w:r>
            <w:r w:rsidR="00152C88" w:rsidRPr="00362517">
              <w:t>359</w:t>
            </w:r>
          </w:p>
        </w:tc>
      </w:tr>
      <w:tr w:rsidR="00362517" w:rsidRPr="00362517" w14:paraId="5AB19F73" w14:textId="77777777" w:rsidTr="0053433B">
        <w:trPr>
          <w:trHeight w:val="330"/>
          <w:jc w:val="center"/>
        </w:trPr>
        <w:tc>
          <w:tcPr>
            <w:tcW w:w="795" w:type="pct"/>
            <w:tcBorders>
              <w:top w:val="nil"/>
              <w:left w:val="double" w:sz="6" w:space="0" w:color="auto"/>
              <w:bottom w:val="single" w:sz="8" w:space="0" w:color="auto"/>
              <w:right w:val="single" w:sz="8" w:space="0" w:color="auto"/>
            </w:tcBorders>
            <w:shd w:val="clear" w:color="auto" w:fill="auto"/>
            <w:noWrap/>
            <w:vAlign w:val="center"/>
            <w:hideMark/>
          </w:tcPr>
          <w:p w14:paraId="5AB19F6E" w14:textId="77777777" w:rsidR="00632BE9" w:rsidRPr="00362517" w:rsidRDefault="00632BE9" w:rsidP="00BF6BC7">
            <w:pPr>
              <w:keepNext/>
              <w:jc w:val="center"/>
            </w:pPr>
            <w:r w:rsidRPr="00362517">
              <w:t>20%</w:t>
            </w:r>
          </w:p>
        </w:tc>
        <w:tc>
          <w:tcPr>
            <w:tcW w:w="996" w:type="pct"/>
            <w:tcBorders>
              <w:top w:val="nil"/>
              <w:left w:val="nil"/>
              <w:bottom w:val="single" w:sz="8" w:space="0" w:color="auto"/>
              <w:right w:val="single" w:sz="8" w:space="0" w:color="auto"/>
            </w:tcBorders>
            <w:shd w:val="clear" w:color="auto" w:fill="auto"/>
            <w:vAlign w:val="center"/>
            <w:hideMark/>
          </w:tcPr>
          <w:p w14:paraId="5AB19F6F" w14:textId="19186E65" w:rsidR="00632BE9" w:rsidRPr="00362517" w:rsidRDefault="00632BE9" w:rsidP="00BF6BC7">
            <w:pPr>
              <w:keepNext/>
              <w:jc w:val="center"/>
            </w:pPr>
            <w:r w:rsidRPr="00362517">
              <w:t>78</w:t>
            </w:r>
            <w:r w:rsidR="00152C88" w:rsidRPr="00362517">
              <w:t>2</w:t>
            </w:r>
            <w:r w:rsidRPr="00362517">
              <w:t>.</w:t>
            </w:r>
            <w:r w:rsidR="00152C88" w:rsidRPr="00362517">
              <w:t>5</w:t>
            </w:r>
          </w:p>
        </w:tc>
        <w:tc>
          <w:tcPr>
            <w:tcW w:w="892" w:type="pct"/>
            <w:tcBorders>
              <w:top w:val="nil"/>
              <w:left w:val="nil"/>
              <w:bottom w:val="single" w:sz="8" w:space="0" w:color="auto"/>
              <w:right w:val="single" w:sz="8" w:space="0" w:color="auto"/>
            </w:tcBorders>
            <w:shd w:val="clear" w:color="auto" w:fill="auto"/>
            <w:vAlign w:val="center"/>
            <w:hideMark/>
          </w:tcPr>
          <w:p w14:paraId="5AB19F70" w14:textId="5AB5D2DA" w:rsidR="00632BE9" w:rsidRPr="00362517" w:rsidRDefault="00632BE9" w:rsidP="00BF6BC7">
            <w:pPr>
              <w:keepNext/>
              <w:jc w:val="center"/>
            </w:pPr>
            <w:r w:rsidRPr="00362517">
              <w:t>65,87</w:t>
            </w:r>
            <w:r w:rsidR="00152C88" w:rsidRPr="00362517">
              <w:t>2</w:t>
            </w:r>
            <w:r w:rsidRPr="00362517">
              <w:t>,</w:t>
            </w:r>
            <w:r w:rsidR="00152C88" w:rsidRPr="00362517">
              <w:t>289</w:t>
            </w:r>
          </w:p>
        </w:tc>
        <w:tc>
          <w:tcPr>
            <w:tcW w:w="1100" w:type="pct"/>
            <w:tcBorders>
              <w:top w:val="nil"/>
              <w:left w:val="nil"/>
              <w:bottom w:val="single" w:sz="8" w:space="0" w:color="auto"/>
              <w:right w:val="single" w:sz="8" w:space="0" w:color="auto"/>
            </w:tcBorders>
            <w:shd w:val="clear" w:color="auto" w:fill="auto"/>
            <w:noWrap/>
            <w:vAlign w:val="center"/>
            <w:hideMark/>
          </w:tcPr>
          <w:p w14:paraId="5AB19F71" w14:textId="1F5E8E82" w:rsidR="00632BE9" w:rsidRPr="00362517" w:rsidRDefault="001A076B" w:rsidP="001A076B">
            <w:pPr>
              <w:keepNext/>
              <w:jc w:val="center"/>
            </w:pPr>
            <w:r w:rsidRPr="00362517">
              <w:t>99</w:t>
            </w:r>
            <w:r>
              <w:t>0</w:t>
            </w:r>
            <w:r w:rsidR="00632BE9" w:rsidRPr="00362517">
              <w:t xml:space="preserve">.0 </w:t>
            </w:r>
          </w:p>
        </w:tc>
        <w:tc>
          <w:tcPr>
            <w:tcW w:w="1217" w:type="pct"/>
            <w:tcBorders>
              <w:top w:val="nil"/>
              <w:left w:val="nil"/>
              <w:bottom w:val="single" w:sz="8" w:space="0" w:color="auto"/>
              <w:right w:val="single" w:sz="8" w:space="0" w:color="auto"/>
            </w:tcBorders>
            <w:shd w:val="clear" w:color="auto" w:fill="auto"/>
            <w:noWrap/>
            <w:vAlign w:val="center"/>
            <w:hideMark/>
          </w:tcPr>
          <w:p w14:paraId="5AB19F72" w14:textId="42014E53" w:rsidR="00632BE9" w:rsidRPr="00362517" w:rsidRDefault="001A076B" w:rsidP="002F0A39">
            <w:pPr>
              <w:keepNext/>
              <w:jc w:val="center"/>
            </w:pPr>
            <w:r w:rsidRPr="00362517">
              <w:t>1</w:t>
            </w:r>
            <w:r>
              <w:t>2</w:t>
            </w:r>
            <w:r w:rsidRPr="00362517">
              <w:t>1</w:t>
            </w:r>
            <w:r w:rsidR="00632BE9" w:rsidRPr="00362517">
              <w:t>,</w:t>
            </w:r>
            <w:r w:rsidR="002F0A39">
              <w:t>725</w:t>
            </w:r>
            <w:r w:rsidR="00632BE9" w:rsidRPr="00362517">
              <w:t>,</w:t>
            </w:r>
            <w:r w:rsidR="00152C88" w:rsidRPr="00362517">
              <w:t>449</w:t>
            </w:r>
          </w:p>
        </w:tc>
      </w:tr>
      <w:tr w:rsidR="00362517" w:rsidRPr="00362517" w14:paraId="5AB19F79" w14:textId="77777777" w:rsidTr="0053433B">
        <w:trPr>
          <w:trHeight w:val="330"/>
          <w:jc w:val="center"/>
        </w:trPr>
        <w:tc>
          <w:tcPr>
            <w:tcW w:w="795" w:type="pct"/>
            <w:tcBorders>
              <w:top w:val="nil"/>
              <w:left w:val="double" w:sz="6" w:space="0" w:color="auto"/>
              <w:bottom w:val="single" w:sz="8" w:space="0" w:color="auto"/>
              <w:right w:val="single" w:sz="8" w:space="0" w:color="auto"/>
            </w:tcBorders>
            <w:shd w:val="clear" w:color="auto" w:fill="auto"/>
            <w:noWrap/>
            <w:vAlign w:val="center"/>
            <w:hideMark/>
          </w:tcPr>
          <w:p w14:paraId="5AB19F74" w14:textId="77777777" w:rsidR="00632BE9" w:rsidRPr="00362517" w:rsidRDefault="00632BE9" w:rsidP="00BF6BC7">
            <w:pPr>
              <w:keepNext/>
              <w:jc w:val="center"/>
            </w:pPr>
            <w:r w:rsidRPr="00362517">
              <w:t>10%</w:t>
            </w:r>
          </w:p>
        </w:tc>
        <w:tc>
          <w:tcPr>
            <w:tcW w:w="996" w:type="pct"/>
            <w:tcBorders>
              <w:top w:val="nil"/>
              <w:left w:val="nil"/>
              <w:bottom w:val="single" w:sz="8" w:space="0" w:color="auto"/>
              <w:right w:val="single" w:sz="8" w:space="0" w:color="auto"/>
            </w:tcBorders>
            <w:shd w:val="clear" w:color="auto" w:fill="auto"/>
            <w:vAlign w:val="center"/>
            <w:hideMark/>
          </w:tcPr>
          <w:p w14:paraId="5AB19F75" w14:textId="71428E0F" w:rsidR="00632BE9" w:rsidRPr="00362517" w:rsidRDefault="00632BE9" w:rsidP="00BF6BC7">
            <w:pPr>
              <w:keepNext/>
              <w:jc w:val="center"/>
            </w:pPr>
            <w:r w:rsidRPr="00362517">
              <w:t>1,56</w:t>
            </w:r>
            <w:r w:rsidR="00152C88" w:rsidRPr="00362517">
              <w:t>5</w:t>
            </w:r>
            <w:r w:rsidRPr="00362517">
              <w:t>.0</w:t>
            </w:r>
          </w:p>
        </w:tc>
        <w:tc>
          <w:tcPr>
            <w:tcW w:w="892" w:type="pct"/>
            <w:tcBorders>
              <w:top w:val="nil"/>
              <w:left w:val="nil"/>
              <w:bottom w:val="single" w:sz="8" w:space="0" w:color="auto"/>
              <w:right w:val="single" w:sz="8" w:space="0" w:color="auto"/>
            </w:tcBorders>
            <w:shd w:val="clear" w:color="auto" w:fill="auto"/>
            <w:vAlign w:val="center"/>
            <w:hideMark/>
          </w:tcPr>
          <w:p w14:paraId="5AB19F76" w14:textId="3B6095E2" w:rsidR="00632BE9" w:rsidRPr="00362517" w:rsidRDefault="00632BE9" w:rsidP="00BF6BC7">
            <w:pPr>
              <w:keepNext/>
              <w:jc w:val="center"/>
            </w:pPr>
            <w:r w:rsidRPr="00362517">
              <w:t>131,74</w:t>
            </w:r>
            <w:r w:rsidR="00152C88" w:rsidRPr="00362517">
              <w:t>4</w:t>
            </w:r>
            <w:r w:rsidRPr="00362517">
              <w:t>,</w:t>
            </w:r>
            <w:r w:rsidR="00152C88" w:rsidRPr="00362517">
              <w:t>577</w:t>
            </w:r>
          </w:p>
        </w:tc>
        <w:tc>
          <w:tcPr>
            <w:tcW w:w="1100" w:type="pct"/>
            <w:tcBorders>
              <w:top w:val="nil"/>
              <w:left w:val="nil"/>
              <w:bottom w:val="single" w:sz="8" w:space="0" w:color="auto"/>
              <w:right w:val="single" w:sz="8" w:space="0" w:color="auto"/>
            </w:tcBorders>
            <w:shd w:val="clear" w:color="auto" w:fill="auto"/>
            <w:noWrap/>
            <w:vAlign w:val="center"/>
            <w:hideMark/>
          </w:tcPr>
          <w:p w14:paraId="5AB19F77" w14:textId="325887FA" w:rsidR="00632BE9" w:rsidRPr="00362517" w:rsidRDefault="00632BE9" w:rsidP="001A076B">
            <w:pPr>
              <w:keepNext/>
              <w:jc w:val="center"/>
            </w:pPr>
            <w:r w:rsidRPr="00362517">
              <w:t>1,</w:t>
            </w:r>
            <w:r w:rsidR="001A076B" w:rsidRPr="00362517">
              <w:t>98</w:t>
            </w:r>
            <w:r w:rsidR="001A076B">
              <w:t>0</w:t>
            </w:r>
            <w:r w:rsidRPr="00362517">
              <w:t xml:space="preserve">.0 </w:t>
            </w:r>
          </w:p>
        </w:tc>
        <w:tc>
          <w:tcPr>
            <w:tcW w:w="1217" w:type="pct"/>
            <w:tcBorders>
              <w:top w:val="nil"/>
              <w:left w:val="nil"/>
              <w:bottom w:val="single" w:sz="8" w:space="0" w:color="auto"/>
              <w:right w:val="single" w:sz="8" w:space="0" w:color="auto"/>
            </w:tcBorders>
            <w:shd w:val="clear" w:color="auto" w:fill="auto"/>
            <w:noWrap/>
            <w:vAlign w:val="center"/>
            <w:hideMark/>
          </w:tcPr>
          <w:p w14:paraId="5AB19F78" w14:textId="5CB891B8" w:rsidR="00632BE9" w:rsidRPr="00362517" w:rsidRDefault="002F0A39" w:rsidP="002F0A39">
            <w:pPr>
              <w:keepNext/>
              <w:jc w:val="center"/>
            </w:pPr>
            <w:r w:rsidRPr="00362517">
              <w:t>2</w:t>
            </w:r>
            <w:r>
              <w:t>43</w:t>
            </w:r>
            <w:r w:rsidR="00632BE9" w:rsidRPr="00362517">
              <w:t>,</w:t>
            </w:r>
            <w:r>
              <w:t>450</w:t>
            </w:r>
            <w:r w:rsidR="00632BE9" w:rsidRPr="00362517">
              <w:t>,</w:t>
            </w:r>
            <w:r w:rsidR="00152C88" w:rsidRPr="00362517">
              <w:t>898</w:t>
            </w:r>
          </w:p>
        </w:tc>
      </w:tr>
      <w:tr w:rsidR="00F848A1" w:rsidRPr="00362517" w14:paraId="5AB19F7B" w14:textId="77777777" w:rsidTr="0034043F">
        <w:trPr>
          <w:trHeight w:val="270"/>
          <w:jc w:val="center"/>
        </w:trPr>
        <w:tc>
          <w:tcPr>
            <w:tcW w:w="5000" w:type="pct"/>
            <w:gridSpan w:val="5"/>
            <w:tcBorders>
              <w:top w:val="single" w:sz="8" w:space="0" w:color="auto"/>
              <w:left w:val="double" w:sz="6" w:space="0" w:color="auto"/>
              <w:bottom w:val="double" w:sz="6" w:space="0" w:color="auto"/>
              <w:right w:val="double" w:sz="6" w:space="0" w:color="000000"/>
            </w:tcBorders>
            <w:shd w:val="clear" w:color="auto" w:fill="auto"/>
            <w:noWrap/>
            <w:vAlign w:val="center"/>
            <w:hideMark/>
          </w:tcPr>
          <w:p w14:paraId="204FF521" w14:textId="77777777" w:rsidR="00F848A1" w:rsidRDefault="00F848A1" w:rsidP="00BF6BC7">
            <w:pPr>
              <w:keepNext/>
              <w:rPr>
                <w:sz w:val="20"/>
                <w:szCs w:val="20"/>
              </w:rPr>
            </w:pPr>
            <w:r w:rsidRPr="00362517">
              <w:rPr>
                <w:sz w:val="20"/>
                <w:szCs w:val="20"/>
              </w:rPr>
              <w:t>Source: EPA Calculations</w:t>
            </w:r>
          </w:p>
          <w:p w14:paraId="5AB19F7A" w14:textId="0FF8A147" w:rsidR="00C6263B" w:rsidRPr="00362517" w:rsidRDefault="00C6263B" w:rsidP="00C6263B">
            <w:pPr>
              <w:keepNext/>
              <w:rPr>
                <w:sz w:val="20"/>
                <w:szCs w:val="20"/>
              </w:rPr>
            </w:pPr>
            <w:r w:rsidRPr="00C6263B">
              <w:rPr>
                <w:sz w:val="20"/>
                <w:szCs w:val="20"/>
              </w:rPr>
              <w:t xml:space="preserve">Note: As discussed in the text, if an additional 10% of the incidents would not be prevented, then with 100% reporting, the appropriate estimates in </w:t>
            </w:r>
            <w:r>
              <w:rPr>
                <w:sz w:val="20"/>
                <w:szCs w:val="20"/>
              </w:rPr>
              <w:t xml:space="preserve">this table </w:t>
            </w:r>
            <w:r w:rsidRPr="00C6263B">
              <w:rPr>
                <w:sz w:val="20"/>
                <w:szCs w:val="20"/>
              </w:rPr>
              <w:t>would be 10% lower, between $11.9 and 21.9 million annually.  With 50% reporting, the estimates would be between $23.7 and $43.8 million annually, and with 20% reporting, between $59.3 and $109.6 million.  Higher assumptions about the percentage of incidents not prevented would cause greater reduction in the benefit estimates.</w:t>
            </w:r>
          </w:p>
        </w:tc>
      </w:tr>
    </w:tbl>
    <w:p w14:paraId="5AB19F7C" w14:textId="77777777" w:rsidR="00F848A1" w:rsidRPr="00362517" w:rsidRDefault="00F848A1" w:rsidP="00BF6BC7">
      <w:pPr>
        <w:tabs>
          <w:tab w:val="left" w:pos="540"/>
          <w:tab w:val="left" w:pos="1080"/>
          <w:tab w:val="left" w:pos="1620"/>
          <w:tab w:val="left" w:pos="2160"/>
        </w:tabs>
      </w:pPr>
    </w:p>
    <w:p w14:paraId="5AB19F7D" w14:textId="76EAC5E1" w:rsidR="00F848A1" w:rsidRDefault="00F848A1" w:rsidP="00BF6BC7">
      <w:pPr>
        <w:tabs>
          <w:tab w:val="left" w:pos="540"/>
          <w:tab w:val="left" w:pos="1080"/>
          <w:tab w:val="left" w:pos="1620"/>
          <w:tab w:val="left" w:pos="2160"/>
        </w:tabs>
      </w:pPr>
      <w:r w:rsidRPr="00362517">
        <w:t>The values shown in Table 4.4-13 assume that under-reporting is equal across all severity levels.  It is plausible that deaths, for example, are less likely to be underreported than less severe events, although the lack of duplication in the available databases discussed above suggests this may not be the case.  Because such a large portion of the overall value is from prevented deaths, different assumptions about reporting rates are important.  For example, if 100% of deaths were reported, a reporting rate of non-fatal incidents of 20% yields high end estimates of about $</w:t>
      </w:r>
      <w:r w:rsidR="002D2A76" w:rsidRPr="00362517">
        <w:t>2</w:t>
      </w:r>
      <w:r w:rsidR="002D2A76">
        <w:t>6</w:t>
      </w:r>
      <w:r w:rsidRPr="00362517">
        <w:t>.</w:t>
      </w:r>
      <w:r w:rsidR="00632BE9" w:rsidRPr="00362517">
        <w:t xml:space="preserve">6 </w:t>
      </w:r>
      <w:r w:rsidRPr="00362517">
        <w:t>million annually</w:t>
      </w:r>
      <w:r w:rsidR="00740FDB">
        <w:t>, while 50% reporting for non-fatal incidents would result in high-end estimates of about $26.0 million</w:t>
      </w:r>
      <w:r w:rsidR="006A5768">
        <w:t xml:space="preserve">; both are </w:t>
      </w:r>
      <w:r w:rsidRPr="00362517">
        <w:t xml:space="preserve">slightly below the estimated cost of the rule.  If 100% of the deaths are reported, then a reporting rate of about </w:t>
      </w:r>
      <w:r w:rsidR="002D2A76">
        <w:t>7</w:t>
      </w:r>
      <w:r w:rsidRPr="00362517">
        <w:t xml:space="preserve">% for non-fatal incidents would yield acute benefits that exceed the cost of the rule.  </w:t>
      </w:r>
    </w:p>
    <w:p w14:paraId="6F2B69ED" w14:textId="3B7AA778" w:rsidR="00545DDE" w:rsidRDefault="00545DDE" w:rsidP="00BF6BC7">
      <w:pPr>
        <w:tabs>
          <w:tab w:val="left" w:pos="540"/>
          <w:tab w:val="left" w:pos="1080"/>
          <w:tab w:val="left" w:pos="1620"/>
          <w:tab w:val="left" w:pos="2160"/>
        </w:tabs>
      </w:pPr>
    </w:p>
    <w:p w14:paraId="6B778D78" w14:textId="1319C557" w:rsidR="00545DDE" w:rsidRPr="00362517" w:rsidRDefault="00545DDE" w:rsidP="004F627C">
      <w:pPr>
        <w:tabs>
          <w:tab w:val="left" w:pos="540"/>
          <w:tab w:val="left" w:pos="1080"/>
          <w:tab w:val="left" w:pos="1620"/>
          <w:tab w:val="left" w:pos="2160"/>
        </w:tabs>
      </w:pPr>
      <w:r>
        <w:t>As mentioned in Section 4.4.2, the estimates of prevented illnesses that underlie the quantified benefit estimates</w:t>
      </w:r>
      <w:r w:rsidR="00F64845">
        <w:t xml:space="preserve"> are based on review of poisoning incidents reported in SENSOR-Pesticides</w:t>
      </w:r>
      <w:r w:rsidR="00CA28EA">
        <w:t>, given that the incidents are within the scope of the rule (e.g., involved an RUP)</w:t>
      </w:r>
      <w:r w:rsidR="00F64845">
        <w:t>.</w:t>
      </w:r>
      <w:r w:rsidR="0048732F">
        <w:t xml:space="preserve">  </w:t>
      </w:r>
      <w:r w:rsidR="004F627C" w:rsidRPr="004F627C">
        <w:t xml:space="preserve">EPA reviewed the incident data and categorized incidents as “preventable,” “possibly preventable,” or “not preventable.”  </w:t>
      </w:r>
      <w:r w:rsidR="004F627C">
        <w:t>The analysis</w:t>
      </w:r>
      <w:r w:rsidR="004F627C" w:rsidRPr="004F627C">
        <w:t xml:space="preserve"> indicate</w:t>
      </w:r>
      <w:r w:rsidR="004F627C">
        <w:t>s</w:t>
      </w:r>
      <w:r w:rsidR="004F627C" w:rsidRPr="004F627C">
        <w:t xml:space="preserve"> that 54% of the incidents would be preventable by the rule changes and an additional 14% would be possibly preventable, or a range of 54% to 68% of the incidents for use in the quantified benefits estimates.  </w:t>
      </w:r>
      <w:r w:rsidR="00CA28EA">
        <w:t>Our approach may underestimate the benefits.  However, i</w:t>
      </w:r>
      <w:r w:rsidR="00187456">
        <w:t>t is possible that some of portion of the incidents EPA determined to be “preventable” or “possibly preventable” would not be prevented.  If some percentage of the incidents were not prevented, then that woul</w:t>
      </w:r>
      <w:r w:rsidR="007F5AA1">
        <w:t xml:space="preserve">d have a linear effect on the benefit estimates.  That is, if an additional 10% of the incidents would not be prevented, then with 100% reporting, the appropriate estimates in Table 4.4-13 would be 10% lower, between $11.9 and 21.9 million annually.  With 50% reporting, the estimates would be between $23.7 and $43.8 million annually, and with 20% reporting, between $59.3 and $109.6 million.  If 20% of those incidents would not be reported, then the difference would be twice as large, </w:t>
      </w:r>
      <w:r w:rsidR="004F627C">
        <w:t xml:space="preserve">with 100% reporting between $10.5 million and $19.5 million; </w:t>
      </w:r>
      <w:r w:rsidR="007F5AA1">
        <w:t>with a 20% reporting rate between $52.7 and $97.4 million annually</w:t>
      </w:r>
      <w:r w:rsidR="004F627C">
        <w:t>;</w:t>
      </w:r>
      <w:r w:rsidR="007F5AA1">
        <w:t xml:space="preserve"> and</w:t>
      </w:r>
      <w:r w:rsidR="00493EFE">
        <w:t>,</w:t>
      </w:r>
      <w:r w:rsidR="007F5AA1">
        <w:t xml:space="preserve"> $21.1 and $39.0 million annually if reporting were only 50%.</w:t>
      </w:r>
    </w:p>
    <w:p w14:paraId="5AB19F7E" w14:textId="77777777" w:rsidR="000F34B3" w:rsidRPr="00362517" w:rsidRDefault="000F34B3" w:rsidP="00BF6BC7">
      <w:pPr>
        <w:tabs>
          <w:tab w:val="left" w:pos="540"/>
          <w:tab w:val="left" w:pos="1080"/>
          <w:tab w:val="left" w:pos="1620"/>
          <w:tab w:val="left" w:pos="2160"/>
        </w:tabs>
      </w:pPr>
    </w:p>
    <w:p w14:paraId="44167F21" w14:textId="2FE47A78" w:rsidR="001515A1" w:rsidRPr="00353923" w:rsidRDefault="00A678B3" w:rsidP="00BF6BC7">
      <w:pPr>
        <w:keepNext/>
      </w:pPr>
      <w:r w:rsidRPr="00362517">
        <w:t>The benefits estimated in this section are annual benefits, but the stream of benefits may not start immediately.  It will take time to revise state plans, which will go into effect while EPA reviews them</w:t>
      </w:r>
      <w:r w:rsidR="002507D4" w:rsidRPr="00362517">
        <w:t xml:space="preserve">.  States have three years to revise their plans, although it may not take all states that long; states can also begin implementation before the three years elapse.  </w:t>
      </w:r>
      <w:r w:rsidR="00C77964" w:rsidRPr="00362517">
        <w:t>As explained in Section 3.4.7.2, for the purpose of estimating the costs of the final revisions, EPA uses a two-year implementation period for cost estimation because it better reflects the costs applicators and small firms will bear.  Because of the delayed implementation will also delay the benefits to the rule; i</w:t>
      </w:r>
      <w:r w:rsidR="00F045AD" w:rsidRPr="00362517">
        <w:t xml:space="preserve">f the benefits from reduced acute illnesses do not begin until after the </w:t>
      </w:r>
      <w:r w:rsidR="00901B8E" w:rsidRPr="00362517">
        <w:t>implementation</w:t>
      </w:r>
      <w:r w:rsidR="00F045AD" w:rsidRPr="00362517">
        <w:t xml:space="preserve">, the annual benefit estimates are not directly comparable to the cost estimates.  If the annual benefits are delayed, then the present value of those benefits can be calculated and annualized in the same manner as the cost estimates in </w:t>
      </w:r>
      <w:r w:rsidR="00170F74" w:rsidRPr="00362517">
        <w:t>Section 3.2.1</w:t>
      </w:r>
      <w:r w:rsidR="00F045AD" w:rsidRPr="00362517">
        <w:t>.</w:t>
      </w:r>
      <w:r w:rsidR="00901B8E" w:rsidRPr="00362517">
        <w:t xml:space="preserve">  If the stream of benefits begin</w:t>
      </w:r>
      <w:r w:rsidR="005068F7">
        <w:t>s</w:t>
      </w:r>
      <w:r w:rsidR="00901B8E" w:rsidRPr="00362517">
        <w:t xml:space="preserve"> in year three to match the implementation schedule from the cost estimates, the annualized benefits based on the low estimated reported in </w:t>
      </w:r>
      <w:r w:rsidR="00901B8E" w:rsidRPr="0088743E">
        <w:t>Tables 4.4-11 are estimated to be about $10.2 million annually when u</w:t>
      </w:r>
      <w:r w:rsidR="00901B8E" w:rsidRPr="00353923">
        <w:t>sing a 3% discount rate, and about $9.8 million annually when using a 7% discount rate.  The high estimate, based on Table 4.4-12 yields annualized benefits of $</w:t>
      </w:r>
      <w:r w:rsidR="00985C0A" w:rsidRPr="00353923">
        <w:t>18.9</w:t>
      </w:r>
      <w:r w:rsidR="0053433B" w:rsidRPr="00353923">
        <w:t xml:space="preserve"> </w:t>
      </w:r>
      <w:r w:rsidR="00901B8E" w:rsidRPr="00353923">
        <w:t>million with a 3% discount rated and $</w:t>
      </w:r>
      <w:r w:rsidR="00985C0A" w:rsidRPr="00353923">
        <w:t>18</w:t>
      </w:r>
      <w:r w:rsidR="00901B8E" w:rsidRPr="00353923">
        <w:t>.</w:t>
      </w:r>
      <w:r w:rsidR="00985C0A" w:rsidRPr="00353923">
        <w:t xml:space="preserve">1 </w:t>
      </w:r>
      <w:r w:rsidR="00901B8E" w:rsidRPr="00353923">
        <w:t xml:space="preserve">million with a 7% discount rate.  These estimates do not account for underreporting, however.  Based on the estimates in Table 4.4-13 with 20% reporting, the annualized benefits based on the low estimate would be about $51.1 million at with a 3% discount rate, and about $48.9 million with 7%.  </w:t>
      </w:r>
      <w:r w:rsidR="001515A1" w:rsidRPr="00353923">
        <w:t>With 20% reporting, t</w:t>
      </w:r>
      <w:r w:rsidR="00901B8E" w:rsidRPr="00353923">
        <w:t>he annualized high end estimate would be about $</w:t>
      </w:r>
      <w:r w:rsidR="00985C0A" w:rsidRPr="00353923">
        <w:t>94.4</w:t>
      </w:r>
      <w:r w:rsidR="0053433B" w:rsidRPr="00353923">
        <w:t xml:space="preserve"> </w:t>
      </w:r>
      <w:r w:rsidR="00901B8E" w:rsidRPr="00353923">
        <w:t>million with a discount rate of 3%, and $</w:t>
      </w:r>
      <w:r w:rsidR="00985C0A" w:rsidRPr="00353923">
        <w:t>90</w:t>
      </w:r>
      <w:r w:rsidR="00901B8E" w:rsidRPr="00353923">
        <w:t>.</w:t>
      </w:r>
      <w:r w:rsidR="00985C0A" w:rsidRPr="00353923">
        <w:t xml:space="preserve">4 </w:t>
      </w:r>
      <w:r w:rsidR="00901B8E" w:rsidRPr="00353923">
        <w:t>million with 7%.</w:t>
      </w:r>
      <w:r w:rsidR="001515A1" w:rsidRPr="00353923">
        <w:t xml:space="preserve">  </w:t>
      </w:r>
      <w:r w:rsidR="0024213E" w:rsidRPr="00353923">
        <w:t>W</w:t>
      </w:r>
      <w:r w:rsidR="001515A1" w:rsidRPr="00353923">
        <w:t xml:space="preserve">ith </w:t>
      </w:r>
      <w:r w:rsidR="001515A1" w:rsidRPr="00E268E3">
        <w:t>50% reporting</w:t>
      </w:r>
      <w:r w:rsidR="001515A1" w:rsidRPr="0088743E">
        <w:t>, the annualized benefits based on the low</w:t>
      </w:r>
      <w:r w:rsidR="006475B1">
        <w:t>-end</w:t>
      </w:r>
      <w:r w:rsidR="001515A1" w:rsidRPr="0088743E">
        <w:t xml:space="preserve"> estimate would be about $2</w:t>
      </w:r>
      <w:r w:rsidR="001515A1" w:rsidRPr="004F017B">
        <w:t>0.4 million at with a 3% discount rate, and about $</w:t>
      </w:r>
      <w:r w:rsidR="001515A1" w:rsidRPr="00353923">
        <w:t>19.6 million with 7%.  With 50% reporting, the annualized high</w:t>
      </w:r>
      <w:r w:rsidR="006475B1">
        <w:t>-</w:t>
      </w:r>
      <w:r w:rsidR="001515A1" w:rsidRPr="00353923">
        <w:t>end estimate would be about $37.8 million with a discount rate of 3%, and $36.2 million with 7%.</w:t>
      </w:r>
      <w:r w:rsidR="00E91968" w:rsidRPr="00353923">
        <w:t xml:space="preserve">  </w:t>
      </w:r>
    </w:p>
    <w:p w14:paraId="39D6F893" w14:textId="77777777" w:rsidR="001515A1" w:rsidRPr="00353923" w:rsidRDefault="001515A1" w:rsidP="00BF6BC7">
      <w:pPr>
        <w:keepNext/>
      </w:pPr>
    </w:p>
    <w:p w14:paraId="5AB19F7F" w14:textId="3B0CBED7" w:rsidR="00E91968" w:rsidRPr="00353923" w:rsidRDefault="00E91968" w:rsidP="00BF6BC7">
      <w:pPr>
        <w:keepNext/>
        <w:rPr>
          <w:bCs/>
        </w:rPr>
      </w:pPr>
      <w:r w:rsidRPr="00353923">
        <w:t xml:space="preserve">There is remaining uncertainty about when the rule will be fully implemented, and delaying the onset of benefits reduces the annualized benefit estimates.  As an example, if the </w:t>
      </w:r>
      <w:r w:rsidRPr="00353923">
        <w:rPr>
          <w:bCs/>
        </w:rPr>
        <w:t>stream of benefits begin</w:t>
      </w:r>
      <w:r w:rsidR="005068F7" w:rsidRPr="00353923">
        <w:rPr>
          <w:bCs/>
        </w:rPr>
        <w:t>s</w:t>
      </w:r>
      <w:r w:rsidRPr="00353923">
        <w:rPr>
          <w:bCs/>
        </w:rPr>
        <w:t xml:space="preserve"> in year four, the low estimates of annualized benefits are estimated to be about $8.8 million annually when using a 3% discount rate, and about $8.3 million annually when using a 7% discount rate.  The high estimate yields annualized benefits of $</w:t>
      </w:r>
      <w:r w:rsidR="002036F3" w:rsidRPr="00353923">
        <w:rPr>
          <w:bCs/>
        </w:rPr>
        <w:t>16</w:t>
      </w:r>
      <w:r w:rsidRPr="00353923">
        <w:rPr>
          <w:bCs/>
        </w:rPr>
        <w:t>.</w:t>
      </w:r>
      <w:r w:rsidR="002036F3" w:rsidRPr="00353923">
        <w:rPr>
          <w:bCs/>
        </w:rPr>
        <w:t xml:space="preserve">3 </w:t>
      </w:r>
      <w:r w:rsidRPr="00353923">
        <w:rPr>
          <w:bCs/>
        </w:rPr>
        <w:t>million with a 3% discount rated and $</w:t>
      </w:r>
      <w:r w:rsidR="002036F3" w:rsidRPr="00353923">
        <w:rPr>
          <w:bCs/>
        </w:rPr>
        <w:t>15</w:t>
      </w:r>
      <w:r w:rsidRPr="00353923">
        <w:rPr>
          <w:bCs/>
        </w:rPr>
        <w:t>.</w:t>
      </w:r>
      <w:r w:rsidR="002036F3" w:rsidRPr="00353923">
        <w:rPr>
          <w:bCs/>
        </w:rPr>
        <w:t xml:space="preserve">2 </w:t>
      </w:r>
      <w:r w:rsidRPr="00353923">
        <w:rPr>
          <w:bCs/>
        </w:rPr>
        <w:t xml:space="preserve">with a 7% discount rate.  </w:t>
      </w:r>
      <w:r w:rsidR="0024213E" w:rsidRPr="00353923">
        <w:rPr>
          <w:bCs/>
        </w:rPr>
        <w:t xml:space="preserve">Assumptions about underreporting would change these estimates.  </w:t>
      </w:r>
      <w:r w:rsidR="0024213E" w:rsidRPr="00E268E3">
        <w:rPr>
          <w:bCs/>
        </w:rPr>
        <w:t xml:space="preserve">With 20% reporting, </w:t>
      </w:r>
      <w:r w:rsidRPr="004F017B">
        <w:rPr>
          <w:bCs/>
        </w:rPr>
        <w:t>, the annualized benefits based on the low estimate would be about $44.</w:t>
      </w:r>
      <w:r w:rsidR="0053433B" w:rsidRPr="00353923">
        <w:rPr>
          <w:bCs/>
        </w:rPr>
        <w:t xml:space="preserve">0 </w:t>
      </w:r>
      <w:r w:rsidRPr="00353923">
        <w:rPr>
          <w:bCs/>
        </w:rPr>
        <w:t>million with a 3% discount rate, and about $41.3 million with 7%.  The annualized high end estimate would be about $</w:t>
      </w:r>
      <w:r w:rsidR="002036F3" w:rsidRPr="00353923">
        <w:rPr>
          <w:bCs/>
        </w:rPr>
        <w:t>81</w:t>
      </w:r>
      <w:r w:rsidRPr="00353923">
        <w:rPr>
          <w:bCs/>
        </w:rPr>
        <w:t>.</w:t>
      </w:r>
      <w:r w:rsidR="002036F3" w:rsidRPr="00353923">
        <w:rPr>
          <w:bCs/>
        </w:rPr>
        <w:t xml:space="preserve">4 </w:t>
      </w:r>
      <w:r w:rsidRPr="00353923">
        <w:rPr>
          <w:bCs/>
        </w:rPr>
        <w:t>million with a discount rate of 3%, and $</w:t>
      </w:r>
      <w:r w:rsidR="002036F3" w:rsidRPr="00353923">
        <w:rPr>
          <w:bCs/>
        </w:rPr>
        <w:t>76</w:t>
      </w:r>
      <w:r w:rsidRPr="00353923">
        <w:rPr>
          <w:bCs/>
        </w:rPr>
        <w:t>.</w:t>
      </w:r>
      <w:r w:rsidR="002036F3" w:rsidRPr="00353923">
        <w:rPr>
          <w:bCs/>
        </w:rPr>
        <w:t xml:space="preserve">2 </w:t>
      </w:r>
      <w:r w:rsidRPr="00353923">
        <w:rPr>
          <w:bCs/>
        </w:rPr>
        <w:t>million with 7%.</w:t>
      </w:r>
      <w:r w:rsidR="0024213E" w:rsidRPr="00353923">
        <w:rPr>
          <w:bCs/>
        </w:rPr>
        <w:t xml:space="preserve">  </w:t>
      </w:r>
      <w:r w:rsidR="0024213E" w:rsidRPr="00353923">
        <w:t xml:space="preserve">With </w:t>
      </w:r>
      <w:r w:rsidR="0024213E" w:rsidRPr="00E268E3">
        <w:t>50% reporting</w:t>
      </w:r>
      <w:r w:rsidR="0024213E" w:rsidRPr="0088743E">
        <w:t>, the annualized benefits based on the low estimate would be about $</w:t>
      </w:r>
      <w:r w:rsidR="0024213E" w:rsidRPr="00353923">
        <w:t>17.6 million at with a 3% discount rate, and about $16.5 million with 7%.  With 50% reporting, the annualized high end estimate would be about $32.5 million with a discount rate of 3%, and $30.5 million with 7%.</w:t>
      </w:r>
    </w:p>
    <w:p w14:paraId="5AB19F81" w14:textId="77777777" w:rsidR="00901B8E" w:rsidRPr="00353923" w:rsidRDefault="00901B8E" w:rsidP="00BF6BC7">
      <w:pPr>
        <w:tabs>
          <w:tab w:val="left" w:pos="540"/>
          <w:tab w:val="left" w:pos="1080"/>
          <w:tab w:val="left" w:pos="1620"/>
          <w:tab w:val="left" w:pos="2160"/>
        </w:tabs>
      </w:pPr>
    </w:p>
    <w:p w14:paraId="5AB19F82" w14:textId="7302037C" w:rsidR="00F848A1" w:rsidRPr="00362517" w:rsidRDefault="00F848A1" w:rsidP="00BF6BC7">
      <w:pPr>
        <w:tabs>
          <w:tab w:val="left" w:pos="540"/>
          <w:tab w:val="left" w:pos="1080"/>
          <w:tab w:val="left" w:pos="1620"/>
          <w:tab w:val="left" w:pos="2160"/>
        </w:tabs>
      </w:pPr>
      <w:r w:rsidRPr="00353923">
        <w:t>All quantitative benefit estimates presented</w:t>
      </w:r>
      <w:r w:rsidRPr="00362517">
        <w:t xml:space="preserve"> in this section include only the effects of reduced illness from acute exposure – the effects of chronic exposure are discussed in the next section, which will </w:t>
      </w:r>
      <w:r w:rsidR="009A3B98" w:rsidRPr="00362517">
        <w:t xml:space="preserve">outline </w:t>
      </w:r>
      <w:r w:rsidRPr="00362517">
        <w:t xml:space="preserve">the potential risks of chronic pesticide exposures to workers, handlers and families, or acute exposures that have developmental effects.  </w:t>
      </w:r>
      <w:r w:rsidR="0024213E">
        <w:t xml:space="preserve">Other benefits that are not related to human health are discussed in Section 4.6. </w:t>
      </w:r>
    </w:p>
    <w:p w14:paraId="5AB19F83" w14:textId="77777777" w:rsidR="00F848A1" w:rsidRPr="00362517" w:rsidRDefault="00F848A1" w:rsidP="00BF6BC7"/>
    <w:p w14:paraId="5AB19F84" w14:textId="77777777" w:rsidR="00F848A1" w:rsidRPr="00362517" w:rsidRDefault="00F848A1" w:rsidP="00BF6BC7"/>
    <w:p w14:paraId="5AB19F85" w14:textId="77777777" w:rsidR="00F848A1" w:rsidRPr="00362517" w:rsidRDefault="00F848A1" w:rsidP="00BF6BC7">
      <w:pPr>
        <w:pStyle w:val="Heading2"/>
        <w:keepLines w:val="0"/>
        <w:numPr>
          <w:ilvl w:val="1"/>
          <w:numId w:val="23"/>
        </w:numPr>
        <w:spacing w:before="120"/>
      </w:pPr>
      <w:bookmarkStart w:id="357" w:name="_Toc393400052"/>
      <w:bookmarkStart w:id="358" w:name="_Toc395177749"/>
      <w:bookmarkStart w:id="359" w:name="_Toc410807827"/>
      <w:r w:rsidRPr="00362517">
        <w:t xml:space="preserve">  </w:t>
      </w:r>
      <w:bookmarkStart w:id="360" w:name="_Toc468872117"/>
      <w:r w:rsidRPr="00362517">
        <w:t>Risks to Human Health from Chronic RUP Exposure</w:t>
      </w:r>
      <w:bookmarkEnd w:id="357"/>
      <w:bookmarkEnd w:id="358"/>
      <w:bookmarkEnd w:id="359"/>
      <w:bookmarkEnd w:id="360"/>
      <w:r w:rsidRPr="00362517">
        <w:t xml:space="preserve">   </w:t>
      </w:r>
    </w:p>
    <w:p w14:paraId="5AB19F86" w14:textId="77777777" w:rsidR="00F848A1" w:rsidRPr="00362517" w:rsidRDefault="00F848A1" w:rsidP="00BF6BC7"/>
    <w:p w14:paraId="5AB19F87" w14:textId="77777777" w:rsidR="00F848A1" w:rsidRPr="00362517" w:rsidRDefault="00F848A1" w:rsidP="00BF6BC7">
      <w:r w:rsidRPr="00362517">
        <w:t xml:space="preserve">In the previous section, estimates of reduced illness from acute exposures to pesticides are presented.  Although these estimates are based on the best available data, there are uncertainties reflected in the estimates, </w:t>
      </w:r>
      <w:r w:rsidRPr="00362517">
        <w:rPr>
          <w:i/>
        </w:rPr>
        <w:t>e.g.</w:t>
      </w:r>
      <w:r w:rsidRPr="00362517">
        <w:t xml:space="preserve">, potential under-reporting.  In addition to these acute effects, there are chronic health effects that may be associated with chronic, generalized pesticide exposure. EPA anticipates that benefits from reduced chronic health effects would accrue primarily to commercial pesticide applicators, since they are most likely to face long-term minor exposures, but there may also be benefits from reduced exposure to applicators’ families and those working under the direct supervision of a certified applicator.  This section will describe the potential chronic health effects to commercial pesticide applicators from pesticide exposure. </w:t>
      </w:r>
    </w:p>
    <w:p w14:paraId="5AB19F88" w14:textId="77777777" w:rsidR="00F848A1" w:rsidRPr="00362517" w:rsidRDefault="00F848A1" w:rsidP="00BF6BC7"/>
    <w:p w14:paraId="5AB19F89" w14:textId="77777777" w:rsidR="00F848A1" w:rsidRPr="00362517" w:rsidRDefault="00F848A1" w:rsidP="00BF6BC7">
      <w:r w:rsidRPr="00362517">
        <w:t>This section presents evidence of well-documented associations between pesticide exposure and certain cancer and non-cancer chronic health effects in the peer-reviewed literature.  It is important to note that EPA is not stating that there is a causal link between certain health outcomes and exposure to specific pesticides.  Available data do not establish a causal link between these exposures and the health outcomes. However, information finding correlations between pesticide exposure and illness is compelling enough to suggest some of the observed statistical associations may at some point in future be determined to be causal in nature. Therefore, overall pesticide exposure reduction through changes to the certification rule may have substantial benefits that cannot be quantified at this time.</w:t>
      </w:r>
    </w:p>
    <w:p w14:paraId="5AB19F8A" w14:textId="77777777" w:rsidR="00F848A1" w:rsidRPr="00362517" w:rsidRDefault="00F848A1" w:rsidP="00BF6BC7"/>
    <w:p w14:paraId="5AB19F8B" w14:textId="77777777" w:rsidR="00F848A1" w:rsidRPr="00362517" w:rsidRDefault="00F848A1" w:rsidP="00BF6BC7">
      <w:r w:rsidRPr="00362517">
        <w:t>While there is limited epidemiological evidence of a definitive causal link between specific pesticide exposures and adverse chronic health outcomes at this time, this section presents evidence of well-documented associations between pesticide exposure and certain cancer and non-cancer chronic health effects in the peer-reviewed literature.  Typically, several epidemiology studies conducted over time, using different study designs, and taking place within different study populations in addition to other streams of scientific evidence are required before researchers can move from a statistical association to a causal determination. The environmental epidemiology literature is growing rapidly in terms of both quantity and quality of pesticide epidemiology studies, and EPA expects additional causal links between pesticide exposure and adverse health outcomes in the human population will be provided over time. However, at this time, EPA is not making definitive causal connections between any one specific pesticide exposure and a specific adverse health outcome.</w:t>
      </w:r>
    </w:p>
    <w:p w14:paraId="5AB19F8C" w14:textId="77777777" w:rsidR="00F848A1" w:rsidRPr="00362517" w:rsidRDefault="00F848A1" w:rsidP="00BF6BC7"/>
    <w:p w14:paraId="5AB19F8D" w14:textId="77777777" w:rsidR="00F848A1" w:rsidRPr="00362517" w:rsidRDefault="00F848A1" w:rsidP="00BF6BC7">
      <w:r w:rsidRPr="00362517">
        <w:t xml:space="preserve">Even though there have been relatively few proven cause and effect associations between real world pesticide exposure and long-term health effects in human populations, many exposure-chronic disease associations have been tested in observational studies and critically evaluated in the scientific peer- reviewed literature, and research is ongoing.  The breadth and depth of this collective research shows the significant interest in public health organizations worldwide on the issue of chronic, long-term health effects of pesticides.  There is a large body of epidemiological evidence and ongoing research on long-term health effects (such as cancer, neurological, respiratory, fertility, behavioral, and other long-term health effects) that may result from pesticide exposure, but the state of the science at this time yields few causal relationships to specific pesticides, which highlights the importance of reduced general pesticide exposure.  </w:t>
      </w:r>
    </w:p>
    <w:p w14:paraId="5AB19F8E" w14:textId="77777777" w:rsidR="00F848A1" w:rsidRPr="00362517" w:rsidRDefault="00F848A1" w:rsidP="00BF6BC7"/>
    <w:p w14:paraId="5AB19F8F" w14:textId="77777777" w:rsidR="00F848A1" w:rsidRPr="00362517" w:rsidRDefault="00F848A1" w:rsidP="00BF6BC7">
      <w:r w:rsidRPr="00362517">
        <w:t>There are several ongoing studies with large agricultural cohorts funded by federal governments in the U.S. and abroad, and studies within these populations suggest several plausible hypotheses to link pesticide exposure to chronic health effects. The most notable of these is the Agricultural Health Study</w:t>
      </w:r>
      <w:r w:rsidRPr="00362517">
        <w:rPr>
          <w:rStyle w:val="FootnoteReference"/>
        </w:rPr>
        <w:footnoteReference w:id="13"/>
      </w:r>
      <w:r w:rsidRPr="00362517">
        <w:t xml:space="preserve"> funded by the National Cancer Institute (NCI), National Institute of Environmental Health Sciences (NIEHS), and co-sponsored by EPA, among other collaborating agencies. This is a study with 89,000 participants in Iowa and North Carolina, including private and commercial pesticide applicators and their spouses. The nature of this powerful epidemiologic study design allows investigators to examine many different adverse health outcomes within the study population, </w:t>
      </w:r>
      <w:r w:rsidRPr="00362517">
        <w:rPr>
          <w:i/>
        </w:rPr>
        <w:t>i.e.</w:t>
      </w:r>
      <w:r w:rsidRPr="00362517">
        <w:t xml:space="preserve">, pesticide exposure is ascertained at the beginning of the study and updated periodically, while health information is continually updated and/or collected over time. Another study cohort in Norway includes over 245,000 people to investigate links between cancer and other diseases and agricultural chemicals (Kristensen </w:t>
      </w:r>
      <w:r w:rsidRPr="00362517">
        <w:rPr>
          <w:i/>
        </w:rPr>
        <w:t>et al</w:t>
      </w:r>
      <w:r w:rsidRPr="00362517">
        <w:t xml:space="preserve">., 1996, Nordby </w:t>
      </w:r>
      <w:r w:rsidRPr="00362517">
        <w:rPr>
          <w:i/>
        </w:rPr>
        <w:t>et al</w:t>
      </w:r>
      <w:r w:rsidRPr="00362517">
        <w:t xml:space="preserve">., 2005).  In France a large study is underway to investigate the links between agricultural work and cancer, with an emphasis on pesticides (Lebailly </w:t>
      </w:r>
      <w:r w:rsidRPr="00362517">
        <w:rPr>
          <w:i/>
        </w:rPr>
        <w:t>et al</w:t>
      </w:r>
      <w:r w:rsidRPr="00362517">
        <w:t xml:space="preserve">., 2006).  The Korean Multi-Center Cancer cohort is collecting pesticide exposure data on tens of thousands of people as part of a large scale study of environmental and genetic factors associated with cancer risk (Yoo </w:t>
      </w:r>
      <w:r w:rsidRPr="00362517">
        <w:rPr>
          <w:i/>
        </w:rPr>
        <w:t>et al</w:t>
      </w:r>
      <w:r w:rsidRPr="00362517">
        <w:t xml:space="preserve">., 2002).  These investigators have initiated a collaborative effort, AGRICOH, which is designed to encourage international collaboration. It encompasses 22 cohorts from nine countries pooling data to study cancer and other disorders that can result from pesticide exposure and other causes (Leon, </w:t>
      </w:r>
      <w:r w:rsidRPr="00362517">
        <w:rPr>
          <w:i/>
        </w:rPr>
        <w:t>et al</w:t>
      </w:r>
      <w:r w:rsidRPr="00362517">
        <w:t xml:space="preserve">., 2011). </w:t>
      </w:r>
    </w:p>
    <w:p w14:paraId="5AB19F90" w14:textId="77777777" w:rsidR="00F848A1" w:rsidRPr="00362517" w:rsidRDefault="00F848A1" w:rsidP="00BF6BC7"/>
    <w:p w14:paraId="5AB19F91" w14:textId="77777777" w:rsidR="00F848A1" w:rsidRPr="00362517" w:rsidRDefault="00F848A1" w:rsidP="00BF6BC7">
      <w:r w:rsidRPr="00362517">
        <w:t xml:space="preserve">A complicating factor when studying chronic health effects is that, over time, EPA and others, such as state governments, have implemented risk mitigation measures including increased requirements for the use of personal protective equipment, revised re-entry intervals, and at times the cancellation of pesticide products or specific pesticide uses. It should be noted that while studies published today contribute to the general body of scientific knowledge, not all epidemiologic research would necessarily have current regulatory relevance, </w:t>
      </w:r>
      <w:r w:rsidRPr="00362517">
        <w:rPr>
          <w:i/>
        </w:rPr>
        <w:t>e.g.</w:t>
      </w:r>
      <w:r w:rsidRPr="00362517">
        <w:t>, if the pesticide was already cancelled or withdrawn from the marketplace. Additionally, changes in pest pressure, agronomic practices, pesticide product formulation changes and other factors may have resulted in significant changes in the use of pesticides over the last several decades, which is the relevant period for investigating chronic effects with typically long latency periods such as cancer.  As a result, studies which reflect past exposure scenarios must be interpreted with caution when applied to current use patterns.</w:t>
      </w:r>
    </w:p>
    <w:p w14:paraId="5AB19F92" w14:textId="77777777" w:rsidR="00F848A1" w:rsidRPr="00362517" w:rsidRDefault="00F848A1" w:rsidP="00BF6BC7"/>
    <w:p w14:paraId="5AB19F93" w14:textId="77777777" w:rsidR="00F848A1" w:rsidRPr="00362517" w:rsidRDefault="00F848A1" w:rsidP="00BF6BC7">
      <w:r w:rsidRPr="00362517">
        <w:t xml:space="preserve">Emerging research suggests that early exposure, either pre-natal or in early childhood, may be linked to chronic health outcomes later in life.  These early life exposures may occur from pesticides that are on the bodies or clothes of commercial pesticide applicators and brought into the applicator home environment.  A number of studies have shown the potential for “take home” exposures, where a commercial applicator or an agricultural worker may bring pesticide residues home on their body or clothing (see Section 4.2.2).  </w:t>
      </w:r>
    </w:p>
    <w:p w14:paraId="5AB19F94" w14:textId="77777777" w:rsidR="00F848A1" w:rsidRPr="00362517" w:rsidRDefault="00F848A1" w:rsidP="00BF6BC7"/>
    <w:p w14:paraId="5AB19F95" w14:textId="77777777" w:rsidR="00F848A1" w:rsidRPr="00362517" w:rsidRDefault="00F848A1" w:rsidP="00BF6BC7">
      <w:pPr>
        <w:rPr>
          <w:u w:val="single"/>
        </w:rPr>
      </w:pPr>
      <w:r w:rsidRPr="00362517">
        <w:t xml:space="preserve">These studies on chronic pesticide exposure and other scientific information are evaluated to determine the potential for individual pesticides to cause adverse long-term health effects in the applicator population and their families. When pesticides are identified as problematic, EPA takes action to mitigate the estimated risks of individual pesticides to human health. However, there are also instances in which there is cause for concern over generalized pesticide exposure (beyond those that can be modeled using aggregate and/or cumulative risk assessment practices).  The rule changes are also designed to protect against commercial pesticide applicator exposures from all RUPs even when the causal link between individual pesticides and specific health outcomes is not demonstrated. </w:t>
      </w:r>
    </w:p>
    <w:p w14:paraId="5AB19F96" w14:textId="77777777" w:rsidR="00F848A1" w:rsidRPr="00362517" w:rsidRDefault="00F848A1" w:rsidP="00BF6BC7"/>
    <w:p w14:paraId="5AB19F97" w14:textId="77777777" w:rsidR="00F848A1" w:rsidRPr="00362517" w:rsidRDefault="00F848A1" w:rsidP="00BF6BC7">
      <w:r w:rsidRPr="00362517">
        <w:t xml:space="preserve">In this section, EPA summarizes research on potential chronic health effects that result from pesticide exposure.  These case study examples are selected for discussion here because they meet EPA data quality standards, and due to either the relative strength and plausibility of the hypothesized link, the number of studies available, or the relatively high prevalence of either the health outcome or a particular pesticide exposure.  Overall, the totality of reported findings suggests long term health benefits from the rule, but, due to the state of scientific research and measures of chronic exposure at this time, estimates of the quantitative benefits from the proposal are not possible. </w:t>
      </w:r>
    </w:p>
    <w:p w14:paraId="5AB19F98" w14:textId="77777777" w:rsidR="00F848A1" w:rsidRPr="00362517" w:rsidRDefault="00F848A1" w:rsidP="00BF6BC7">
      <w:pPr>
        <w:rPr>
          <w:lang w:eastAsia="ja-JP"/>
        </w:rPr>
      </w:pPr>
    </w:p>
    <w:p w14:paraId="5AB19F99" w14:textId="77777777" w:rsidR="00F848A1" w:rsidRPr="00362517" w:rsidRDefault="00F848A1" w:rsidP="00BF6BC7">
      <w:pPr>
        <w:rPr>
          <w:lang w:eastAsia="ja-JP"/>
        </w:rPr>
      </w:pPr>
    </w:p>
    <w:p w14:paraId="5AB19F9A" w14:textId="77777777" w:rsidR="00F848A1" w:rsidRPr="00362517" w:rsidRDefault="00F848A1" w:rsidP="00BF6BC7">
      <w:pPr>
        <w:pStyle w:val="Heading3"/>
        <w:keepNext w:val="0"/>
        <w:keepLines w:val="0"/>
        <w:numPr>
          <w:ilvl w:val="2"/>
          <w:numId w:val="23"/>
        </w:numPr>
        <w:spacing w:before="120"/>
      </w:pPr>
      <w:bookmarkStart w:id="361" w:name="_Toc393400053"/>
      <w:bookmarkStart w:id="362" w:name="_Toc395177750"/>
      <w:bookmarkStart w:id="363" w:name="_Toc410807828"/>
      <w:bookmarkStart w:id="364" w:name="_Toc468872118"/>
      <w:r w:rsidRPr="00362517">
        <w:t>Cancer Risks</w:t>
      </w:r>
      <w:bookmarkEnd w:id="361"/>
      <w:bookmarkEnd w:id="362"/>
      <w:bookmarkEnd w:id="363"/>
      <w:bookmarkEnd w:id="364"/>
    </w:p>
    <w:p w14:paraId="5AB19F9B" w14:textId="77777777" w:rsidR="00F848A1" w:rsidRPr="00362517" w:rsidRDefault="00F848A1" w:rsidP="00BF6BC7">
      <w:pPr>
        <w:keepNext/>
        <w:tabs>
          <w:tab w:val="left" w:pos="540"/>
          <w:tab w:val="left" w:pos="1080"/>
          <w:tab w:val="left" w:pos="1620"/>
          <w:tab w:val="left" w:pos="2160"/>
        </w:tabs>
      </w:pPr>
    </w:p>
    <w:p w14:paraId="5AB19F9C" w14:textId="77777777" w:rsidR="00F848A1" w:rsidRPr="00362517" w:rsidRDefault="00F848A1" w:rsidP="00BF6BC7">
      <w:pPr>
        <w:keepNext/>
        <w:tabs>
          <w:tab w:val="left" w:pos="540"/>
          <w:tab w:val="left" w:pos="1080"/>
          <w:tab w:val="left" w:pos="1620"/>
          <w:tab w:val="left" w:pos="2160"/>
        </w:tabs>
      </w:pPr>
      <w:r w:rsidRPr="00362517">
        <w:t xml:space="preserve">Although only a small number of pesticides have been determined to be human carcinogens by various peer-review bodies, there is a wide range of literature demonstrating statistical associations between pesticide exposure and some anatomical cancer sites, with plausible biological mechanisms in experimental toxicology studies. Many studies have evaluated other possible links between pesticide exposure and cancer. While it is premature to state there is a causal association between the studied pesticides and cancer in the applicator population, EPA presents this information to demonstrate the growing body of knowledge as to possible chronic health effects of pesticide exposure. </w:t>
      </w:r>
    </w:p>
    <w:p w14:paraId="5AB19F9D" w14:textId="77777777" w:rsidR="00F848A1" w:rsidRPr="00362517" w:rsidRDefault="00F848A1" w:rsidP="00BF6BC7">
      <w:pPr>
        <w:tabs>
          <w:tab w:val="left" w:pos="540"/>
          <w:tab w:val="left" w:pos="1080"/>
          <w:tab w:val="left" w:pos="1620"/>
          <w:tab w:val="left" w:pos="2160"/>
        </w:tabs>
      </w:pPr>
    </w:p>
    <w:p w14:paraId="5AB19F9E" w14:textId="77777777" w:rsidR="00F848A1" w:rsidRPr="00362517" w:rsidRDefault="00F848A1" w:rsidP="00BF6BC7">
      <w:pPr>
        <w:tabs>
          <w:tab w:val="left" w:pos="540"/>
          <w:tab w:val="left" w:pos="1080"/>
          <w:tab w:val="left" w:pos="1620"/>
          <w:tab w:val="left" w:pos="2160"/>
        </w:tabs>
      </w:pPr>
      <w:r w:rsidRPr="00362517">
        <w:t xml:space="preserve">Synthesizing across the studies of the carcinogenic potential of pesticide exposure, review articles and meta-analytic results indicate evidence of an association between various pesticide exposure and lymphohematopoetic cancers (non-Hodgkin’s lymphoma (NHL) and leukemia specifically); among solid tumors (brain and prostate cancers); and, some evidence of pediatric cancer risk in association with either </w:t>
      </w:r>
      <w:r w:rsidRPr="00362517">
        <w:rPr>
          <w:i/>
          <w:iCs/>
        </w:rPr>
        <w:t xml:space="preserve">in utero </w:t>
      </w:r>
      <w:r w:rsidRPr="00362517">
        <w:t xml:space="preserve">exposure or parental pesticide occupational exposure (Bassil </w:t>
      </w:r>
      <w:r w:rsidRPr="00362517">
        <w:rPr>
          <w:i/>
        </w:rPr>
        <w:t>et al</w:t>
      </w:r>
      <w:r w:rsidRPr="00362517">
        <w:t xml:space="preserve">.; 2007; Blair and Beane-Freeman 2009; Koutros </w:t>
      </w:r>
      <w:r w:rsidRPr="00362517">
        <w:rPr>
          <w:i/>
        </w:rPr>
        <w:t>et al</w:t>
      </w:r>
      <w:r w:rsidRPr="00362517">
        <w:t xml:space="preserve">., 2010a; Van Maele </w:t>
      </w:r>
      <w:r w:rsidRPr="00362517">
        <w:rPr>
          <w:i/>
        </w:rPr>
        <w:t>et al</w:t>
      </w:r>
      <w:r w:rsidRPr="00362517">
        <w:t xml:space="preserve">.; 2011; Wigle </w:t>
      </w:r>
      <w:r w:rsidRPr="00362517">
        <w:rPr>
          <w:i/>
        </w:rPr>
        <w:t>et al</w:t>
      </w:r>
      <w:r w:rsidRPr="00362517">
        <w:t xml:space="preserve">., 2009; Turner </w:t>
      </w:r>
      <w:r w:rsidRPr="00362517">
        <w:rPr>
          <w:i/>
        </w:rPr>
        <w:t>et al</w:t>
      </w:r>
      <w:r w:rsidRPr="00362517">
        <w:t xml:space="preserve">., 2009; Alavanja and Bonner, 2012; and Alavanja </w:t>
      </w:r>
      <w:r w:rsidRPr="00362517">
        <w:rPr>
          <w:i/>
        </w:rPr>
        <w:t>et al</w:t>
      </w:r>
      <w:r w:rsidRPr="00362517">
        <w:t xml:space="preserve">., 2013).  This section will discuss some of the evidence for the possible connection between pesticide exposure and these cancer effects.   </w:t>
      </w:r>
    </w:p>
    <w:p w14:paraId="5AB19F9F" w14:textId="77777777" w:rsidR="00F848A1" w:rsidRPr="00362517" w:rsidRDefault="00F848A1" w:rsidP="00BF6BC7">
      <w:pPr>
        <w:tabs>
          <w:tab w:val="left" w:pos="540"/>
          <w:tab w:val="left" w:pos="1080"/>
          <w:tab w:val="left" w:pos="1620"/>
          <w:tab w:val="left" w:pos="2160"/>
        </w:tabs>
      </w:pPr>
    </w:p>
    <w:p w14:paraId="5AB19FA0" w14:textId="77777777" w:rsidR="00F848A1" w:rsidRPr="00362517" w:rsidRDefault="00F848A1" w:rsidP="00BF6BC7">
      <w:pPr>
        <w:tabs>
          <w:tab w:val="left" w:pos="540"/>
          <w:tab w:val="left" w:pos="1080"/>
          <w:tab w:val="left" w:pos="1620"/>
          <w:tab w:val="left" w:pos="2160"/>
        </w:tabs>
      </w:pPr>
      <w:r w:rsidRPr="00362517">
        <w:t xml:space="preserve">Blair and Beane-Freeman (2009) provide a review of epidemiologic studies of cancer among agricultural populations.  They report that meta-analyses of mortality surveys of farmers find excesses of several cancers, including those of the connective tissue, NHL and multiple myeloma and cancers of the skin, stomach and brain and deficits for total mortality, heart disease, total cancer, and cancers of the esophagus, colon, lung and bladder. They reported that meta-analyses of studies of individual cancers show the importance of identifying specific exposures that lead to these cancers.  It should also be noted, however, that these authors conclude factors other than pesticide exposures may partially explain the observed increased risk of cancer among those engaged in agriculture (Blair and Beane-Freeman 2009).  Initial evidence of a possible association between various pesticide exposures and cancers of the lung, colon, prostate, bladder and pancreas have also been published by the AHS researchers (for example, Alavanja </w:t>
      </w:r>
      <w:r w:rsidRPr="00362517">
        <w:rPr>
          <w:i/>
          <w:iCs/>
        </w:rPr>
        <w:t>et al</w:t>
      </w:r>
      <w:r w:rsidRPr="00362517">
        <w:t xml:space="preserve">., 2004 for lung cancer, Lee </w:t>
      </w:r>
      <w:r w:rsidRPr="00362517">
        <w:rPr>
          <w:i/>
          <w:iCs/>
        </w:rPr>
        <w:t>et al</w:t>
      </w:r>
      <w:r w:rsidRPr="00362517">
        <w:t xml:space="preserve">., 2007 for colon cancer, Andreotti </w:t>
      </w:r>
      <w:r w:rsidRPr="00362517">
        <w:rPr>
          <w:i/>
          <w:iCs/>
        </w:rPr>
        <w:t>et al</w:t>
      </w:r>
      <w:r w:rsidRPr="00362517">
        <w:t>.,  2009 for pancreatic cancer).</w:t>
      </w:r>
    </w:p>
    <w:p w14:paraId="5AB19FA1" w14:textId="77777777" w:rsidR="00F848A1" w:rsidRPr="00362517" w:rsidRDefault="00F848A1" w:rsidP="00BF6BC7">
      <w:pPr>
        <w:tabs>
          <w:tab w:val="left" w:pos="540"/>
          <w:tab w:val="left" w:pos="1080"/>
          <w:tab w:val="left" w:pos="1620"/>
          <w:tab w:val="left" w:pos="2160"/>
        </w:tabs>
      </w:pPr>
    </w:p>
    <w:p w14:paraId="5AB19FA2" w14:textId="77777777" w:rsidR="00F848A1" w:rsidRPr="00362517" w:rsidRDefault="00F848A1" w:rsidP="00BF6BC7">
      <w:pPr>
        <w:tabs>
          <w:tab w:val="left" w:pos="540"/>
          <w:tab w:val="left" w:pos="1080"/>
          <w:tab w:val="left" w:pos="1620"/>
          <w:tab w:val="left" w:pos="2160"/>
        </w:tabs>
        <w:spacing w:before="120"/>
        <w:rPr>
          <w:i/>
          <w:iCs/>
        </w:rPr>
      </w:pPr>
      <w:r w:rsidRPr="00362517">
        <w:rPr>
          <w:i/>
          <w:iCs/>
        </w:rPr>
        <w:t xml:space="preserve">Lymphohematopoetic Cancers </w:t>
      </w:r>
    </w:p>
    <w:p w14:paraId="5AB19FA3" w14:textId="77777777" w:rsidR="00F848A1" w:rsidRPr="00362517" w:rsidRDefault="00F848A1" w:rsidP="00BF6BC7">
      <w:pPr>
        <w:tabs>
          <w:tab w:val="left" w:pos="540"/>
          <w:tab w:val="left" w:pos="1080"/>
          <w:tab w:val="left" w:pos="1620"/>
          <w:tab w:val="left" w:pos="2160"/>
        </w:tabs>
      </w:pPr>
    </w:p>
    <w:p w14:paraId="5AB19FA4" w14:textId="77777777" w:rsidR="00F848A1" w:rsidRPr="00362517" w:rsidRDefault="00F848A1" w:rsidP="00BF6BC7">
      <w:pPr>
        <w:tabs>
          <w:tab w:val="left" w:pos="540"/>
          <w:tab w:val="left" w:pos="1080"/>
          <w:tab w:val="left" w:pos="1620"/>
          <w:tab w:val="left" w:pos="2160"/>
        </w:tabs>
      </w:pPr>
      <w:r w:rsidRPr="00362517">
        <w:t xml:space="preserve">Over time, evidence of a link between pesticide exposure and blood cancers has increased. For example, since the 1980s several studies have illustrated a possible link between pesticide exposure and various lymphohematopoetic cancers (Zahm and Ward, 1998, Zahm </w:t>
      </w:r>
      <w:r w:rsidRPr="00362517">
        <w:rPr>
          <w:i/>
        </w:rPr>
        <w:t>et al</w:t>
      </w:r>
      <w:r w:rsidRPr="00362517">
        <w:t xml:space="preserve">., 1997).  Incidence of NHL and other blood cancers have increased between 1973 -1990, a time period coincident with an increased use of pesticides as well as other environmental chemicals (Hardell </w:t>
      </w:r>
      <w:r w:rsidRPr="00362517">
        <w:rPr>
          <w:i/>
        </w:rPr>
        <w:t>et al</w:t>
      </w:r>
      <w:r w:rsidRPr="00362517">
        <w:t xml:space="preserve">., 2003). While biological mechanisms remain to be determined (for example, Chiu and Blair 2009), the role of a particular chromosomal translocation (t14:18) has been implicated, possibly as a result of pesticide exposure; however, this is not known with certainty at this time. Comparing rates of new blood cancers among pesticide applicators relative to the general population, Koutros, </w:t>
      </w:r>
      <w:r w:rsidRPr="00362517">
        <w:rPr>
          <w:i/>
        </w:rPr>
        <w:t>et al</w:t>
      </w:r>
      <w:r w:rsidRPr="00362517">
        <w:t xml:space="preserve">. (2010a) reports higher incidence rates for multiple myeloma and lymphoma.  Eriksson </w:t>
      </w:r>
      <w:r w:rsidRPr="00362517">
        <w:rPr>
          <w:i/>
        </w:rPr>
        <w:t>et al</w:t>
      </w:r>
      <w:r w:rsidRPr="00362517">
        <w:t xml:space="preserve">. (2008) reported elevated rates of NHL among herbicide users in a population-based case-control study in Sweden (Eriksson </w:t>
      </w:r>
      <w:r w:rsidRPr="00362517">
        <w:rPr>
          <w:i/>
        </w:rPr>
        <w:t>et al</w:t>
      </w:r>
      <w:r w:rsidRPr="00362517">
        <w:t>., 2008). There may be a link between pesticide exposure and these cancers; however, additional research is necessary to understand whether the link is causal in nature, and the degree to which pesticide exposures and other farm related exposures may contribute to the risk of these cancers.</w:t>
      </w:r>
    </w:p>
    <w:p w14:paraId="5AB19FA5" w14:textId="77777777" w:rsidR="00F848A1" w:rsidRPr="00362517" w:rsidRDefault="00F848A1" w:rsidP="00BF6BC7">
      <w:pPr>
        <w:tabs>
          <w:tab w:val="left" w:pos="540"/>
          <w:tab w:val="left" w:pos="1080"/>
          <w:tab w:val="left" w:pos="1620"/>
          <w:tab w:val="left" w:pos="2160"/>
        </w:tabs>
      </w:pPr>
    </w:p>
    <w:p w14:paraId="5AB19FA6" w14:textId="77777777" w:rsidR="00F848A1" w:rsidRPr="00362517" w:rsidRDefault="00F848A1" w:rsidP="00BF6BC7">
      <w:pPr>
        <w:tabs>
          <w:tab w:val="left" w:pos="540"/>
          <w:tab w:val="left" w:pos="1080"/>
          <w:tab w:val="left" w:pos="1620"/>
          <w:tab w:val="left" w:pos="2160"/>
        </w:tabs>
      </w:pPr>
      <w:r w:rsidRPr="00362517">
        <w:t xml:space="preserve">In a review by Bassil </w:t>
      </w:r>
      <w:r w:rsidRPr="00362517">
        <w:rPr>
          <w:i/>
        </w:rPr>
        <w:t>et al</w:t>
      </w:r>
      <w:r w:rsidRPr="00362517">
        <w:t xml:space="preserve">. (2007), 14 out of 16 papers examining the association between leukemia and pesticides found a positive result. Of the 16 papers, 8 were case-control studies with statistically significant results. Several case-control studies looked at children that had been exposed to pesticides and found increased rates of all types of leukemia for children whose parents used insecticides on the garden and on indoor plants and from those mothers exposed while pregnant (Bassil </w:t>
      </w:r>
      <w:r w:rsidRPr="00362517">
        <w:rPr>
          <w:i/>
        </w:rPr>
        <w:t>et al</w:t>
      </w:r>
      <w:r w:rsidRPr="00362517">
        <w:t xml:space="preserve">., 2007).  These authors note several limitations of each of the studies included in the systematic review, and note they were not able to assess whether publication bias was a factor in the results of this review. </w:t>
      </w:r>
    </w:p>
    <w:p w14:paraId="5AB19FA7" w14:textId="77777777" w:rsidR="00F848A1" w:rsidRPr="00362517" w:rsidRDefault="00F848A1" w:rsidP="00BF6BC7">
      <w:pPr>
        <w:tabs>
          <w:tab w:val="left" w:pos="540"/>
          <w:tab w:val="left" w:pos="1080"/>
          <w:tab w:val="left" w:pos="1620"/>
          <w:tab w:val="left" w:pos="2160"/>
        </w:tabs>
      </w:pPr>
    </w:p>
    <w:p w14:paraId="5AB19FA8" w14:textId="77777777" w:rsidR="00F848A1" w:rsidRPr="00362517" w:rsidRDefault="00F848A1" w:rsidP="00BF6BC7">
      <w:pPr>
        <w:tabs>
          <w:tab w:val="left" w:pos="540"/>
          <w:tab w:val="left" w:pos="1080"/>
          <w:tab w:val="left" w:pos="1620"/>
          <w:tab w:val="left" w:pos="2160"/>
        </w:tabs>
      </w:pPr>
      <w:r w:rsidRPr="00362517">
        <w:t xml:space="preserve">In the Bassil </w:t>
      </w:r>
      <w:r w:rsidRPr="00362517">
        <w:rPr>
          <w:i/>
        </w:rPr>
        <w:t>et al</w:t>
      </w:r>
      <w:r w:rsidRPr="00362517">
        <w:t xml:space="preserve">. (2007) review, 27 studies met their criteria for inclusion into their review that examined the association between pesticide exposure and NHL, and 23 found an association. For the case-control studies in this review, 12 of 14 papers had positive associations and 8 of those associations were statistically significant. In one study that examined children’s exposure to pesticides, elevated odds ratios for NHL were found in children who lived in homes where pesticides were used most days for professional home extermination, when children had direct postnatal exposure or when children had parents that were occupationally exposed. The elevated risks found were over several classes of pesticides (Bassil </w:t>
      </w:r>
      <w:r w:rsidRPr="00362517">
        <w:rPr>
          <w:i/>
        </w:rPr>
        <w:t>et al</w:t>
      </w:r>
      <w:r w:rsidRPr="00362517">
        <w:t>., 2007).</w:t>
      </w:r>
    </w:p>
    <w:p w14:paraId="5AB19FA9" w14:textId="77777777" w:rsidR="00F848A1" w:rsidRPr="00362517" w:rsidRDefault="00F848A1" w:rsidP="00BF6BC7">
      <w:pPr>
        <w:tabs>
          <w:tab w:val="left" w:pos="540"/>
          <w:tab w:val="left" w:pos="1080"/>
          <w:tab w:val="left" w:pos="1620"/>
          <w:tab w:val="left" w:pos="2160"/>
        </w:tabs>
      </w:pPr>
    </w:p>
    <w:p w14:paraId="5AB19FAA" w14:textId="77777777" w:rsidR="00F848A1" w:rsidRPr="00362517" w:rsidRDefault="00F848A1" w:rsidP="00BF6BC7">
      <w:pPr>
        <w:tabs>
          <w:tab w:val="left" w:pos="540"/>
          <w:tab w:val="left" w:pos="1080"/>
          <w:tab w:val="left" w:pos="1620"/>
          <w:tab w:val="left" w:pos="2160"/>
        </w:tabs>
      </w:pPr>
      <w:r w:rsidRPr="00362517">
        <w:t xml:space="preserve">Wigle </w:t>
      </w:r>
      <w:r w:rsidRPr="00362517">
        <w:rPr>
          <w:i/>
        </w:rPr>
        <w:t>et al</w:t>
      </w:r>
      <w:r w:rsidRPr="00362517">
        <w:t>. (2008) conducted a review of studies investigating links between occupational exposure to pesticides and leukemia in farmworkers’ children.  They found no evidence of a direct link between children’s leukemia and all parents’ occupational exposure, but they report an association between a mother’s occupational exposure to general pesticides and insecticides and their children’s risk of leukemia, with an association slightly higher for farm and other related exposures.</w:t>
      </w:r>
    </w:p>
    <w:p w14:paraId="5AB19FAB" w14:textId="77777777" w:rsidR="00F848A1" w:rsidRPr="00362517" w:rsidRDefault="00F848A1" w:rsidP="00BF6BC7">
      <w:pPr>
        <w:tabs>
          <w:tab w:val="left" w:pos="540"/>
          <w:tab w:val="left" w:pos="1080"/>
          <w:tab w:val="left" w:pos="1620"/>
          <w:tab w:val="left" w:pos="2160"/>
        </w:tabs>
      </w:pPr>
    </w:p>
    <w:p w14:paraId="5AB19FAC" w14:textId="77777777" w:rsidR="00F848A1" w:rsidRPr="00362517" w:rsidRDefault="00F848A1" w:rsidP="00BF6BC7">
      <w:pPr>
        <w:keepNext/>
        <w:tabs>
          <w:tab w:val="left" w:pos="540"/>
          <w:tab w:val="left" w:pos="1080"/>
          <w:tab w:val="left" w:pos="1620"/>
          <w:tab w:val="left" w:pos="2160"/>
        </w:tabs>
        <w:spacing w:before="120"/>
        <w:rPr>
          <w:i/>
          <w:iCs/>
        </w:rPr>
      </w:pPr>
      <w:r w:rsidRPr="00362517">
        <w:rPr>
          <w:i/>
          <w:iCs/>
        </w:rPr>
        <w:t xml:space="preserve">Prostate Cancer </w:t>
      </w:r>
    </w:p>
    <w:p w14:paraId="5AB19FAD" w14:textId="77777777" w:rsidR="00F848A1" w:rsidRPr="00362517" w:rsidRDefault="00F848A1" w:rsidP="00BF6BC7">
      <w:pPr>
        <w:keepNext/>
        <w:tabs>
          <w:tab w:val="left" w:pos="540"/>
          <w:tab w:val="left" w:pos="1080"/>
          <w:tab w:val="left" w:pos="1620"/>
          <w:tab w:val="left" w:pos="2160"/>
        </w:tabs>
      </w:pPr>
    </w:p>
    <w:p w14:paraId="5AB19FAE" w14:textId="77777777" w:rsidR="00F848A1" w:rsidRPr="00362517" w:rsidRDefault="00F848A1" w:rsidP="00BF6BC7">
      <w:pPr>
        <w:keepNext/>
        <w:tabs>
          <w:tab w:val="left" w:pos="540"/>
          <w:tab w:val="left" w:pos="1080"/>
          <w:tab w:val="left" w:pos="1620"/>
          <w:tab w:val="left" w:pos="2160"/>
        </w:tabs>
      </w:pPr>
      <w:r w:rsidRPr="00362517">
        <w:t xml:space="preserve">For decades, studies have suggested an increased risk of prostate cancer among farmers. Farmers are generally more healthy than the overall population, with lower rates of cardiovascular disease, diabetes, mortality, etc. (Blair </w:t>
      </w:r>
      <w:r w:rsidRPr="00362517">
        <w:rPr>
          <w:i/>
        </w:rPr>
        <w:t>et al.</w:t>
      </w:r>
      <w:r w:rsidRPr="00362517">
        <w:t xml:space="preserve">, 2005).  However, farmers have an increased risk of prostate cancer, which may be explained by pesticide exposure, or possibly by other farm- or non-farm related exposures. Comparing the incidence of prostate cancer in farmers with members of the general population, researchers have estimated that farmers have a roughly 20% increased risk of this cancer (Koutros </w:t>
      </w:r>
      <w:r w:rsidRPr="00362517">
        <w:rPr>
          <w:i/>
        </w:rPr>
        <w:t>et al</w:t>
      </w:r>
      <w:r w:rsidRPr="00362517">
        <w:t xml:space="preserve">., 2010a). Case-control analysis within the AHS suggest exposure to several organophosphate pesticides may be related to prostate cancer, but only among men with a family history of the disease (Alavanja </w:t>
      </w:r>
      <w:r w:rsidRPr="00362517">
        <w:rPr>
          <w:i/>
        </w:rPr>
        <w:t>et al</w:t>
      </w:r>
      <w:r w:rsidRPr="00362517">
        <w:t xml:space="preserve">., 2003). Additional follow-up within the AHS cohort corroborates this initial finding (Mahajan </w:t>
      </w:r>
      <w:r w:rsidRPr="00362517">
        <w:rPr>
          <w:i/>
        </w:rPr>
        <w:t>et al</w:t>
      </w:r>
      <w:r w:rsidRPr="00362517">
        <w:t xml:space="preserve">., 2006 and 2007; Christensen </w:t>
      </w:r>
      <w:r w:rsidRPr="00362517">
        <w:rPr>
          <w:i/>
        </w:rPr>
        <w:t>et al</w:t>
      </w:r>
      <w:r w:rsidRPr="00362517">
        <w:t xml:space="preserve">., 2010). The association of prostate cancer with exposure to certain pesticides varies by family history of prostate cancer, and molecular epidemiology studies are underway that may shed light as to the potential role of genetic variation in the association. This work is not yet complete.  However, initial investigations recently released indicate that a genetic variation in genetic region </w:t>
      </w:r>
      <w:r w:rsidRPr="00362517">
        <w:rPr>
          <w:i/>
        </w:rPr>
        <w:t xml:space="preserve">8q24 </w:t>
      </w:r>
      <w:r w:rsidRPr="00362517">
        <w:t xml:space="preserve">may partially explain the association between pesticide exposure and prostate cancer (Koutros </w:t>
      </w:r>
      <w:r w:rsidRPr="00362517">
        <w:rPr>
          <w:i/>
        </w:rPr>
        <w:t>et al</w:t>
      </w:r>
      <w:r w:rsidRPr="00362517">
        <w:t xml:space="preserve">., 2010b).  Since these genetic variations do not fully explain the cancer relationships within a family, other shared environmental exposures may play an important role. Overall, however, across studies published, results are not consistent, possibly due to differing study designs used.  </w:t>
      </w:r>
    </w:p>
    <w:p w14:paraId="5AB19FAF" w14:textId="77777777" w:rsidR="00F848A1" w:rsidRPr="00362517" w:rsidRDefault="00F848A1" w:rsidP="00BF6BC7">
      <w:pPr>
        <w:tabs>
          <w:tab w:val="left" w:pos="540"/>
          <w:tab w:val="left" w:pos="1080"/>
          <w:tab w:val="left" w:pos="1620"/>
          <w:tab w:val="left" w:pos="2160"/>
        </w:tabs>
      </w:pPr>
    </w:p>
    <w:p w14:paraId="5AB19FB0" w14:textId="77777777" w:rsidR="00F848A1" w:rsidRPr="00362517" w:rsidRDefault="00F848A1" w:rsidP="00BF6BC7">
      <w:r w:rsidRPr="00362517">
        <w:t xml:space="preserve">Recently, AHS researchers produced a new analysis of pesticide exposure and prostate cancer, this time focusing upon more aggressive cases of the disease (Koutros </w:t>
      </w:r>
      <w:r w:rsidRPr="00362517">
        <w:rPr>
          <w:i/>
        </w:rPr>
        <w:t>et al</w:t>
      </w:r>
      <w:r w:rsidRPr="00362517">
        <w:t>. 2012).  For the purposes of this study, aggressive prostate cancer was defined as a distant stage (tumor tissue outside of prostate), and advanced grade (more poorly differentiated cell structure) indicative of a more advanced disease. Researchers observed an increased risk of aggressive prostate cancer among those who reported using higher amounts of four pesticides over their working lifetime.  This work supports previous analyses noting links between specific organophosphate pesticides and prostate cancer. It also extends an understanding of the possibility of a link with the aggressive form of the disease, which is thought to have a different set of causal factors than slow-growing tumors. This is the first study on an aggressive disease, and more work is needed to distinguish clear causal pathways.  However, the study is supportive of previous work concerning an apparent increased risk of prostate cancer among pesticide applicators enrolled in the AHS.</w:t>
      </w:r>
    </w:p>
    <w:p w14:paraId="5AB19FB1" w14:textId="77777777" w:rsidR="00F848A1" w:rsidRPr="00362517" w:rsidRDefault="00F848A1" w:rsidP="00BF6BC7">
      <w:pPr>
        <w:tabs>
          <w:tab w:val="left" w:pos="540"/>
          <w:tab w:val="left" w:pos="1080"/>
          <w:tab w:val="left" w:pos="1620"/>
          <w:tab w:val="left" w:pos="2160"/>
        </w:tabs>
      </w:pPr>
    </w:p>
    <w:p w14:paraId="5AB19FB2" w14:textId="77777777" w:rsidR="00F848A1" w:rsidRPr="00362517" w:rsidRDefault="00F848A1" w:rsidP="00BF6BC7">
      <w:pPr>
        <w:keepNext/>
        <w:tabs>
          <w:tab w:val="left" w:pos="540"/>
          <w:tab w:val="left" w:pos="1080"/>
          <w:tab w:val="left" w:pos="1620"/>
          <w:tab w:val="left" w:pos="2160"/>
        </w:tabs>
        <w:spacing w:before="120"/>
        <w:rPr>
          <w:i/>
        </w:rPr>
      </w:pPr>
      <w:r w:rsidRPr="00362517">
        <w:rPr>
          <w:i/>
        </w:rPr>
        <w:t>Lung Cancer</w:t>
      </w:r>
    </w:p>
    <w:p w14:paraId="5AB19FB3" w14:textId="77777777" w:rsidR="00F848A1" w:rsidRPr="00362517" w:rsidRDefault="00F848A1" w:rsidP="00BF6BC7">
      <w:pPr>
        <w:keepNext/>
        <w:tabs>
          <w:tab w:val="left" w:pos="540"/>
          <w:tab w:val="left" w:pos="1080"/>
          <w:tab w:val="left" w:pos="1620"/>
          <w:tab w:val="left" w:pos="2160"/>
        </w:tabs>
      </w:pPr>
    </w:p>
    <w:p w14:paraId="5AB19FB4" w14:textId="77777777" w:rsidR="00F848A1" w:rsidRPr="00362517" w:rsidRDefault="00F848A1" w:rsidP="00BF6BC7">
      <w:pPr>
        <w:keepNext/>
      </w:pPr>
      <w:r w:rsidRPr="00362517">
        <w:t xml:space="preserve">Alavanja </w:t>
      </w:r>
      <w:r w:rsidRPr="00362517">
        <w:rPr>
          <w:i/>
        </w:rPr>
        <w:t>et al</w:t>
      </w:r>
      <w:r w:rsidRPr="00362517">
        <w:t>.</w:t>
      </w:r>
      <w:r w:rsidRPr="00362517">
        <w:rPr>
          <w:i/>
        </w:rPr>
        <w:t xml:space="preserve"> </w:t>
      </w:r>
      <w:r w:rsidRPr="00362517">
        <w:t xml:space="preserve">(2004), reported a positive association between four pesticides and pesticide exposure among the AHS cohort. In this study, exposure to these pesticides was associated with lung cancer risk in the cohort, despite the fact that, in general the lung cancer risk for the cohort is lower than the population as a whole. Other studies have also shown an association between pesticides and lung cancer in the AHS cohort (Beane-Freeman </w:t>
      </w:r>
      <w:r w:rsidRPr="00362517">
        <w:rPr>
          <w:i/>
        </w:rPr>
        <w:t>et al.,</w:t>
      </w:r>
      <w:r w:rsidRPr="00362517">
        <w:t xml:space="preserve"> 2005; Lee </w:t>
      </w:r>
      <w:r w:rsidRPr="00362517">
        <w:rPr>
          <w:i/>
        </w:rPr>
        <w:t>et al.,</w:t>
      </w:r>
      <w:r w:rsidRPr="00362517">
        <w:t xml:space="preserve"> 2004).</w:t>
      </w:r>
    </w:p>
    <w:p w14:paraId="5AB19FB5" w14:textId="77777777" w:rsidR="00F848A1" w:rsidRPr="00362517" w:rsidRDefault="00F848A1" w:rsidP="00BF6BC7">
      <w:pPr>
        <w:rPr>
          <w:lang w:eastAsia="ja-JP"/>
        </w:rPr>
      </w:pPr>
    </w:p>
    <w:p w14:paraId="5AB19FB6" w14:textId="77777777" w:rsidR="00F848A1" w:rsidRPr="00362517" w:rsidRDefault="00F848A1" w:rsidP="00BF6BC7">
      <w:pPr>
        <w:pStyle w:val="Heading3"/>
        <w:keepNext w:val="0"/>
        <w:keepLines w:val="0"/>
        <w:numPr>
          <w:ilvl w:val="2"/>
          <w:numId w:val="23"/>
        </w:numPr>
        <w:spacing w:before="120"/>
      </w:pPr>
      <w:bookmarkStart w:id="365" w:name="_Toc393400054"/>
      <w:bookmarkStart w:id="366" w:name="_Toc395177751"/>
      <w:bookmarkStart w:id="367" w:name="_Toc410807829"/>
      <w:bookmarkStart w:id="368" w:name="_Toc468872119"/>
      <w:r w:rsidRPr="00362517">
        <w:t>Non-Cancer Health Effects</w:t>
      </w:r>
      <w:bookmarkEnd w:id="365"/>
      <w:bookmarkEnd w:id="366"/>
      <w:bookmarkEnd w:id="367"/>
      <w:bookmarkEnd w:id="368"/>
    </w:p>
    <w:p w14:paraId="5AB19FB7" w14:textId="77777777" w:rsidR="00F848A1" w:rsidRPr="00362517" w:rsidRDefault="00F848A1" w:rsidP="00BF6BC7">
      <w:pPr>
        <w:tabs>
          <w:tab w:val="left" w:pos="540"/>
          <w:tab w:val="left" w:pos="1080"/>
          <w:tab w:val="left" w:pos="1620"/>
          <w:tab w:val="left" w:pos="2160"/>
          <w:tab w:val="num" w:pos="2740"/>
        </w:tabs>
      </w:pPr>
    </w:p>
    <w:p w14:paraId="5AB19FB8" w14:textId="77777777" w:rsidR="00F848A1" w:rsidRPr="00362517" w:rsidRDefault="00F848A1" w:rsidP="00BF6BC7">
      <w:pPr>
        <w:tabs>
          <w:tab w:val="left" w:pos="540"/>
          <w:tab w:val="left" w:pos="1080"/>
          <w:tab w:val="left" w:pos="1620"/>
          <w:tab w:val="left" w:pos="2160"/>
          <w:tab w:val="num" w:pos="2740"/>
        </w:tabs>
      </w:pPr>
      <w:r w:rsidRPr="00362517">
        <w:t>Many epidemiological studies have reported associations between non-cancer chronic health problems and pesticide exposure; however, none have been determined to be causal in nature at this time. Preliminary investigations have identified elevated risks of respiratory and neurological effects; as these are preliminary investigations, other explanations for these effects cannot be eliminated at this time.  However, some of the more plausible hypotheses involve a potential role of pesticide exposure and some neurological outcomes in adults such as Parkinson’s disease and general neurological health (discussed below).  To the extent that the changes to the certification rule reduce chronic exposure to pesticides, they may reduce the incidence of these chronic health effects as well.</w:t>
      </w:r>
    </w:p>
    <w:p w14:paraId="5AB19FB9" w14:textId="77777777" w:rsidR="00F848A1" w:rsidRPr="00362517" w:rsidRDefault="00F848A1" w:rsidP="00BF6BC7">
      <w:pPr>
        <w:tabs>
          <w:tab w:val="left" w:pos="540"/>
          <w:tab w:val="left" w:pos="1080"/>
          <w:tab w:val="left" w:pos="1620"/>
          <w:tab w:val="left" w:pos="2160"/>
          <w:tab w:val="num" w:pos="2740"/>
        </w:tabs>
      </w:pPr>
    </w:p>
    <w:p w14:paraId="5AB19FBA" w14:textId="77777777" w:rsidR="00F848A1" w:rsidRPr="00362517" w:rsidRDefault="00F848A1" w:rsidP="00BF6BC7">
      <w:pPr>
        <w:tabs>
          <w:tab w:val="left" w:pos="540"/>
          <w:tab w:val="left" w:pos="1080"/>
          <w:tab w:val="left" w:pos="1620"/>
          <w:tab w:val="left" w:pos="2160"/>
        </w:tabs>
        <w:spacing w:before="120"/>
        <w:rPr>
          <w:i/>
          <w:iCs/>
        </w:rPr>
      </w:pPr>
      <w:r w:rsidRPr="00362517">
        <w:rPr>
          <w:i/>
          <w:iCs/>
        </w:rPr>
        <w:t>Neurological Function</w:t>
      </w:r>
    </w:p>
    <w:p w14:paraId="5AB19FBB" w14:textId="77777777" w:rsidR="00F848A1" w:rsidRPr="00362517" w:rsidRDefault="00F848A1" w:rsidP="00BF6BC7">
      <w:pPr>
        <w:tabs>
          <w:tab w:val="left" w:pos="540"/>
          <w:tab w:val="left" w:pos="1080"/>
          <w:tab w:val="left" w:pos="1620"/>
          <w:tab w:val="left" w:pos="2160"/>
        </w:tabs>
      </w:pPr>
    </w:p>
    <w:p w14:paraId="5AB19FBC" w14:textId="1C93C0EB" w:rsidR="00F848A1" w:rsidRPr="00362517" w:rsidRDefault="00F848A1" w:rsidP="00BF6BC7">
      <w:pPr>
        <w:tabs>
          <w:tab w:val="left" w:pos="540"/>
          <w:tab w:val="left" w:pos="1080"/>
          <w:tab w:val="left" w:pos="1620"/>
          <w:tab w:val="left" w:pos="2160"/>
        </w:tabs>
      </w:pPr>
      <w:r w:rsidRPr="00362517">
        <w:t xml:space="preserve">The possible connection between pesticide use and symptoms of Parkinson’s disease has spurred a great deal of research. Using the AHS cohort, Kamel </w:t>
      </w:r>
      <w:r w:rsidRPr="00362517">
        <w:rPr>
          <w:i/>
        </w:rPr>
        <w:t>et al</w:t>
      </w:r>
      <w:r w:rsidRPr="00362517">
        <w:t xml:space="preserve">. (2007), investigated the hypothesis that Parkinson’s disease is associated with pesticide exposure. Study participants included licensed private pesticide applicators and spouses, enrolled in the AHS from 1993 through 1997 and contacted for a follow-up study from 1999 through 2003. They report a positive association of Parkinson’s disease in those who reported ever using pesticides, and a “strong association” with </w:t>
      </w:r>
      <w:r w:rsidR="009A3B98" w:rsidRPr="00362517">
        <w:t>Parkinson’s disease</w:t>
      </w:r>
      <w:r w:rsidRPr="00362517">
        <w:t xml:space="preserve"> for those who personally applied pesticides. Cumulative lifetime days of use was associated with a dose-response relationship in cases diagnosed after the beginning of the study, but there was no association with a dose-response function and cases diagnosed prior to the study.  This study has recently been updated with physician-diagnosed cases of Parkinson’s disease, as opposed to participant self-reporting of Parkinson’s disease, and authors reported statistically significant 2.5-fold increased odds of Parkinson’s disease if participants used either paraquat or rotenone (Tanner </w:t>
      </w:r>
      <w:r w:rsidRPr="00362517">
        <w:rPr>
          <w:i/>
        </w:rPr>
        <w:t>et al</w:t>
      </w:r>
      <w:r w:rsidRPr="00362517">
        <w:t>., 2011).</w:t>
      </w:r>
    </w:p>
    <w:p w14:paraId="5AB19FBD" w14:textId="77777777" w:rsidR="00F848A1" w:rsidRPr="00362517" w:rsidRDefault="00F848A1" w:rsidP="00BF6BC7">
      <w:pPr>
        <w:tabs>
          <w:tab w:val="left" w:pos="540"/>
          <w:tab w:val="left" w:pos="1080"/>
          <w:tab w:val="left" w:pos="1620"/>
          <w:tab w:val="left" w:pos="2160"/>
        </w:tabs>
      </w:pPr>
    </w:p>
    <w:p w14:paraId="5AB19FBE" w14:textId="0D42D3F1" w:rsidR="00F848A1" w:rsidRPr="00362517" w:rsidRDefault="00F848A1" w:rsidP="00BF6BC7">
      <w:pPr>
        <w:tabs>
          <w:tab w:val="left" w:pos="540"/>
          <w:tab w:val="left" w:pos="1080"/>
          <w:tab w:val="left" w:pos="1620"/>
          <w:tab w:val="left" w:pos="2160"/>
        </w:tabs>
      </w:pPr>
      <w:r w:rsidRPr="00362517">
        <w:t xml:space="preserve">In a review study on the non-cancer effects of pesticides mentioned earlier, Sanborn </w:t>
      </w:r>
      <w:r w:rsidRPr="00362517">
        <w:rPr>
          <w:i/>
        </w:rPr>
        <w:t>et al</w:t>
      </w:r>
      <w:r w:rsidRPr="00362517">
        <w:t xml:space="preserve">. (2007) evaluated prior work on the association between Parkinson’s symptoms and pesticide exposure, and reported a positive association in 15 out of the 26 studies reviewed.  The authors conclude that these studies “provide remarkably consistent evidence of a relationship between </w:t>
      </w:r>
      <w:r w:rsidR="007057D5" w:rsidRPr="00362517">
        <w:t>Parkinson’s disease</w:t>
      </w:r>
      <w:r w:rsidRPr="00362517">
        <w:t xml:space="preserve"> and past exposures of pesticides on the job.”</w:t>
      </w:r>
    </w:p>
    <w:p w14:paraId="5AB19FBF" w14:textId="77777777" w:rsidR="00F848A1" w:rsidRPr="00362517" w:rsidRDefault="00F848A1" w:rsidP="00BF6BC7">
      <w:pPr>
        <w:tabs>
          <w:tab w:val="left" w:pos="540"/>
          <w:tab w:val="left" w:pos="1080"/>
          <w:tab w:val="left" w:pos="1620"/>
          <w:tab w:val="left" w:pos="2160"/>
        </w:tabs>
      </w:pPr>
    </w:p>
    <w:p w14:paraId="5AB19FC0" w14:textId="77777777" w:rsidR="00F848A1" w:rsidRPr="00362517" w:rsidRDefault="00F848A1" w:rsidP="00BF6BC7">
      <w:pPr>
        <w:keepNext/>
        <w:tabs>
          <w:tab w:val="left" w:pos="540"/>
          <w:tab w:val="left" w:pos="1080"/>
          <w:tab w:val="left" w:pos="1620"/>
          <w:tab w:val="left" w:pos="2160"/>
        </w:tabs>
      </w:pPr>
      <w:r w:rsidRPr="00362517">
        <w:t xml:space="preserve">Sanborn </w:t>
      </w:r>
      <w:r w:rsidRPr="00362517">
        <w:rPr>
          <w:i/>
        </w:rPr>
        <w:t>et al</w:t>
      </w:r>
      <w:r w:rsidRPr="00362517">
        <w:t xml:space="preserve">. (2007) examined the non-cancer health effects of pesticides in a review, and found most (39/41) studies displayed an increase in one or more neurological abnormalities in association with pesticide exposure. These outcomes ranged from neurodevelopmental effects in preschool children, general malaise and mild cognitive function, minor psychological morbidity, depression, suicide and death from mental disorders (Sanborn </w:t>
      </w:r>
      <w:r w:rsidRPr="00362517">
        <w:rPr>
          <w:i/>
        </w:rPr>
        <w:t>et al</w:t>
      </w:r>
      <w:r w:rsidRPr="00362517">
        <w:t xml:space="preserve">., 2007).  Kamel </w:t>
      </w:r>
      <w:r w:rsidRPr="00362517">
        <w:rPr>
          <w:i/>
        </w:rPr>
        <w:t>et al</w:t>
      </w:r>
      <w:r w:rsidRPr="00362517">
        <w:t>. (2007), using the AHS cohort, found associations between neurological symptoms and lifetime pesticide exposure, with the greatest association for organophosphate pesticides.</w:t>
      </w:r>
    </w:p>
    <w:p w14:paraId="5AB19FC1" w14:textId="77777777" w:rsidR="00F848A1" w:rsidRPr="00362517" w:rsidRDefault="00F848A1" w:rsidP="00BF6BC7">
      <w:pPr>
        <w:tabs>
          <w:tab w:val="left" w:pos="540"/>
          <w:tab w:val="left" w:pos="1080"/>
          <w:tab w:val="left" w:pos="1620"/>
          <w:tab w:val="left" w:pos="2160"/>
        </w:tabs>
      </w:pPr>
    </w:p>
    <w:p w14:paraId="5AB19FC2" w14:textId="77777777" w:rsidR="00F848A1" w:rsidRPr="00362517" w:rsidRDefault="00F848A1" w:rsidP="00BF6BC7">
      <w:pPr>
        <w:tabs>
          <w:tab w:val="left" w:pos="540"/>
          <w:tab w:val="left" w:pos="1080"/>
          <w:tab w:val="left" w:pos="1620"/>
          <w:tab w:val="left" w:pos="2160"/>
        </w:tabs>
      </w:pPr>
      <w:r w:rsidRPr="00362517">
        <w:t xml:space="preserve">Research on the neurological effects of pesticide exposure continues.  Three recent studies (Rauh </w:t>
      </w:r>
      <w:r w:rsidRPr="00362517">
        <w:rPr>
          <w:i/>
        </w:rPr>
        <w:t>et al.</w:t>
      </w:r>
      <w:r w:rsidRPr="00362517">
        <w:t xml:space="preserve">, 2011; Engel </w:t>
      </w:r>
      <w:r w:rsidRPr="00362517">
        <w:rPr>
          <w:i/>
        </w:rPr>
        <w:t>et al.</w:t>
      </w:r>
      <w:r w:rsidRPr="00362517">
        <w:t xml:space="preserve">, 2011; and Bouchard </w:t>
      </w:r>
      <w:r w:rsidRPr="00362517">
        <w:rPr>
          <w:i/>
        </w:rPr>
        <w:t>et al.</w:t>
      </w:r>
      <w:r w:rsidRPr="00362517">
        <w:t xml:space="preserve">, 2011) have investigated the relationship between prenatal exposure to organophosphate pesticides and neurological effects in children through the age of 7 years.  Another recent study (Rohlman </w:t>
      </w:r>
      <w:r w:rsidRPr="00362517">
        <w:rPr>
          <w:i/>
        </w:rPr>
        <w:t>et al</w:t>
      </w:r>
      <w:r w:rsidRPr="00362517">
        <w:t xml:space="preserve">., 2011) reviews the possible relationship between adult occupational exposure to pesticides and adverse neurological symptoms.  Despite the associations reported in the reviewed literature, the authors acknowledge uncertainties present in the data at this time which limit causal inference including a clear biologically plausible mechanism of action, among other study characteristics. </w:t>
      </w:r>
    </w:p>
    <w:p w14:paraId="5AB19FC3" w14:textId="77777777" w:rsidR="00F848A1" w:rsidRPr="00362517" w:rsidRDefault="00F848A1" w:rsidP="00BF6BC7">
      <w:pPr>
        <w:rPr>
          <w:lang w:eastAsia="ja-JP"/>
        </w:rPr>
      </w:pPr>
    </w:p>
    <w:p w14:paraId="5AB19FC4" w14:textId="77777777" w:rsidR="00F848A1" w:rsidRPr="00362517" w:rsidRDefault="00F848A1" w:rsidP="00BF6BC7">
      <w:pPr>
        <w:keepNext/>
        <w:spacing w:before="120"/>
        <w:rPr>
          <w:i/>
          <w:lang w:eastAsia="ja-JP"/>
        </w:rPr>
      </w:pPr>
      <w:r w:rsidRPr="00362517">
        <w:rPr>
          <w:i/>
          <w:lang w:eastAsia="ja-JP"/>
        </w:rPr>
        <w:t>Respiratory Function</w:t>
      </w:r>
    </w:p>
    <w:p w14:paraId="5AB19FC5" w14:textId="77777777" w:rsidR="00F848A1" w:rsidRPr="00362517" w:rsidRDefault="00F848A1" w:rsidP="00BF6BC7">
      <w:pPr>
        <w:keepNext/>
        <w:rPr>
          <w:lang w:eastAsia="ja-JP"/>
        </w:rPr>
      </w:pPr>
    </w:p>
    <w:p w14:paraId="5AB19FC6" w14:textId="77777777" w:rsidR="00F848A1" w:rsidRPr="00362517" w:rsidRDefault="00F848A1" w:rsidP="00BF6BC7">
      <w:pPr>
        <w:keepNext/>
        <w:rPr>
          <w:lang w:eastAsia="ja-JP"/>
        </w:rPr>
      </w:pPr>
      <w:r w:rsidRPr="00362517">
        <w:t>Several studies have shown associations between pesticide exposure</w:t>
      </w:r>
      <w:r w:rsidRPr="00362517" w:rsidDel="007C2E54">
        <w:t xml:space="preserve"> </w:t>
      </w:r>
      <w:r w:rsidRPr="00362517">
        <w:t xml:space="preserve">and both permanent and transitory (but chronic) respiratory effects. Asthma is a temporary inflammation of the lungs, often caused by an environmental trigger, which leads to coughing, wheezing and shortness of breath. Although the symptoms of asthma last for minutes or days, being susceptible to asthma attacks is a lifelong problem, and several studies have shown an association between pesticide exposure and asthma.  Hoppin </w:t>
      </w:r>
      <w:r w:rsidRPr="00362517">
        <w:rPr>
          <w:i/>
        </w:rPr>
        <w:t>et al</w:t>
      </w:r>
      <w:r w:rsidRPr="00362517">
        <w:t xml:space="preserve">. (2008) reported an association between exposure to a range of pesticides and asthma in farm women, despite the fact that growing up on a farm reduced the likelihood of asthma attacks. This study focuses on the spouses of pesticide applicators and may show an important effect from generalized agricultural pesticide exposure to families, rather than exposure as a pesticide applicator.  An association has been reported for children, as well. Salam </w:t>
      </w:r>
      <w:r w:rsidRPr="00362517">
        <w:rPr>
          <w:i/>
        </w:rPr>
        <w:t>et al</w:t>
      </w:r>
      <w:r w:rsidRPr="00362517">
        <w:t xml:space="preserve">. (2004) describe a range of risk factors related to childhood asthma. Among those risk factors were pesticides, and other farm exposures. The effects were largest for children with early onset asthma. An international study on childhood exposure to pesticides in Lebanon (Salameh </w:t>
      </w:r>
      <w:r w:rsidRPr="00362517">
        <w:rPr>
          <w:i/>
        </w:rPr>
        <w:t>et al</w:t>
      </w:r>
      <w:r w:rsidRPr="00362517">
        <w:t>., 2003) also reports a relationship between exposure and respiratory symptoms.</w:t>
      </w:r>
      <w:r w:rsidRPr="00362517">
        <w:br/>
      </w:r>
      <w:r w:rsidRPr="00362517">
        <w:br/>
        <w:t xml:space="preserve">Chronic bronchitis is an inflammation of the air passages of the lungs. While acute bronchitis usually has symptoms over a short term, chronic bronchitis is a recurring chronic obstructive pulmonary disease that makes it difficult to breathe for months at a time, with coughing that expels sputum from the airways.  Hoppin </w:t>
      </w:r>
      <w:r w:rsidRPr="00362517">
        <w:rPr>
          <w:i/>
        </w:rPr>
        <w:t>et al</w:t>
      </w:r>
      <w:r w:rsidRPr="00362517">
        <w:t>. (2007) reports a statistically significant association between eleven pesticides and chronic bronchitis among the AHS cohort – an association that was stronger among those with a high pesticide exposure event.</w:t>
      </w:r>
    </w:p>
    <w:p w14:paraId="5AB19FC7" w14:textId="77777777" w:rsidR="00F848A1" w:rsidRPr="00362517" w:rsidRDefault="00F848A1" w:rsidP="00BF6BC7">
      <w:pPr>
        <w:rPr>
          <w:lang w:eastAsia="ja-JP"/>
        </w:rPr>
      </w:pPr>
    </w:p>
    <w:p w14:paraId="5AB19FC8" w14:textId="6086FD70" w:rsidR="00F848A1" w:rsidRPr="00362517" w:rsidRDefault="00F848A1" w:rsidP="00BF6BC7">
      <w:pPr>
        <w:pStyle w:val="Heading3"/>
        <w:keepNext w:val="0"/>
        <w:keepLines w:val="0"/>
        <w:numPr>
          <w:ilvl w:val="2"/>
          <w:numId w:val="23"/>
        </w:numPr>
        <w:spacing w:before="120"/>
      </w:pPr>
      <w:bookmarkStart w:id="369" w:name="_Toc468872120"/>
      <w:bookmarkStart w:id="370" w:name="_Toc393400055"/>
      <w:bookmarkStart w:id="371" w:name="_Toc395177752"/>
      <w:bookmarkStart w:id="372" w:name="_Toc410807830"/>
      <w:r w:rsidRPr="00362517">
        <w:t xml:space="preserve">Summary of </w:t>
      </w:r>
      <w:r w:rsidR="003E4330" w:rsidRPr="00362517">
        <w:t>Risks from Chronic Exposure and the Benefits of Reduced Exposure</w:t>
      </w:r>
      <w:bookmarkEnd w:id="369"/>
      <w:r w:rsidR="003E4330" w:rsidRPr="00362517">
        <w:t xml:space="preserve"> </w:t>
      </w:r>
      <w:bookmarkEnd w:id="370"/>
      <w:bookmarkEnd w:id="371"/>
      <w:bookmarkEnd w:id="372"/>
    </w:p>
    <w:p w14:paraId="5AB19FC9" w14:textId="77777777" w:rsidR="00F848A1" w:rsidRPr="00362517" w:rsidRDefault="00F848A1" w:rsidP="00BF6BC7">
      <w:pPr>
        <w:tabs>
          <w:tab w:val="left" w:pos="540"/>
          <w:tab w:val="left" w:pos="1080"/>
          <w:tab w:val="left" w:pos="1620"/>
          <w:tab w:val="left" w:pos="2160"/>
        </w:tabs>
      </w:pPr>
    </w:p>
    <w:p w14:paraId="5AB19FCA" w14:textId="2F4CB3E5" w:rsidR="00F848A1" w:rsidRPr="00362517" w:rsidRDefault="005201B8" w:rsidP="00BF6BC7">
      <w:r w:rsidRPr="005201B8">
        <w:t>In Section 4.4, a quantified estimate of the benefits from reduced human health incidents due to the rule changes is provided, but these quantified estimates are based only on the value of reduced illness from acute occupational RUP exposure.  The quantified estimates are limited to these effects because sufficient data on illness from acute RUP exposure exists to make a reasonable estimate.  The estimates, however, do not quantify many real health benefits that may result from the rule, but for which sufficient data are not available to estimate the monetary value of these benefits. Such non-quantifiable benefits may result from a reduction in the effects described in prior sections that are not easily observed and reported.  Because of insufficient information on the rates of illness, the reduction in exposure that would result from the rule changes, and the dose/response relationship between exposure and illness, the value of reducing pesticide exposure that may have reproductive effects for women is difficult to quantify.  Acute exposure to pregnant women or chronic exposure to families could result in lifelong developmental, neurological, and behavioral effects in children, and it is challenging to quantify the benefits from the rule changes that may reduce these effects.</w:t>
      </w:r>
      <w:r>
        <w:t xml:space="preserve">  </w:t>
      </w:r>
      <w:r w:rsidR="00F848A1" w:rsidRPr="00362517">
        <w:t xml:space="preserve">Overall, the epidemiological or human study data discussed in the </w:t>
      </w:r>
      <w:r>
        <w:t>Section 4.5</w:t>
      </w:r>
      <w:r w:rsidR="00F848A1" w:rsidRPr="00362517">
        <w:t xml:space="preserve"> do not suggest a clear cause-effect relation between specific pesticide exposure and certain chronic health outcomes.  However, the totality of national and international research efforts showing positive associations between pesticide exposure and certain chronic health outcome in conjunction with plausible hypotheses, taken together, suggest that pesticide exposure may result in chronic adverse health effects beyond those identified through a review of incidents involving acute illness.  </w:t>
      </w:r>
    </w:p>
    <w:p w14:paraId="5AB19FCB" w14:textId="77777777" w:rsidR="00F848A1" w:rsidRPr="00362517" w:rsidRDefault="00F848A1" w:rsidP="00BF6BC7">
      <w:pPr>
        <w:rPr>
          <w:rFonts w:eastAsia="Calibri"/>
        </w:rPr>
      </w:pPr>
    </w:p>
    <w:p w14:paraId="5AB19FCC" w14:textId="77777777" w:rsidR="00F848A1" w:rsidRPr="00362517" w:rsidRDefault="00F848A1" w:rsidP="00BF6BC7">
      <w:pPr>
        <w:keepNext/>
      </w:pPr>
      <w:r w:rsidRPr="00362517">
        <w:t xml:space="preserve">The changes to the certification rule are designed to reduce occupational exposure to all RUPs, as well as reduce non-occupational exposure to the families of certified applicators and the general public.  There is sufficient evidence in the peer-reviewed literature to suggest that reducing pesticide exposure would result in a benefit to public health through reduced chronic illness.  In general, while there is sufficient evidence to suggest associations between exposure and illness, the literature does not provide sufficient data to quantify health effects of specific pesticides for use in a benefits analysis.  The totality of findings suggests the rule changes are a way to reduce overall pesticide exposure, which will result in an overall benefit to health. </w:t>
      </w:r>
    </w:p>
    <w:p w14:paraId="5AB19FCD" w14:textId="77777777" w:rsidR="00F848A1" w:rsidRPr="00362517" w:rsidRDefault="00F848A1" w:rsidP="00BF6BC7">
      <w:pPr>
        <w:rPr>
          <w:rFonts w:eastAsia="Calibri"/>
        </w:rPr>
      </w:pPr>
    </w:p>
    <w:p w14:paraId="5AB19FD0" w14:textId="77777777" w:rsidR="00F848A1" w:rsidRPr="00362517" w:rsidRDefault="00F848A1" w:rsidP="00BF6BC7">
      <w:r w:rsidRPr="00362517">
        <w:t xml:space="preserve">The health effects potentially caused by occupational pesticide exposure can have dramatic effects on the health and welfare of those who suffer these diseases. These illnesses do not only affect those who become ill, but they also may require extensive caregiving by family members or others. It is also important not to underestimate the effects on those stricken with illness. Parkinson’s disease, for example is a progressive disease characterized by tremors, rigidity and stiffness of the limbs, instability and falling, all of which result in difficulty performing everyday functions (Parkinson’s Disease Foundation, 2011). Non-Hodgkins lymphoma is a cancer that starts in the immune system, with symptoms of swollen lymph nodes, weight loss, fever, weakness, respiratory distress, drenching night sweats, and pain. Treatment for NHL, has a range of side effects that can also generate substantial symptoms (National Cancer Institute, 2007). In addition to the symptoms of NHL and the treatment, the disease is often fatal. The five year survival rate for NHL is only 70.2%, meaning that almost 30% of people diagnosed with NHL in 2003 died within five years (National Cancer Institute, 2011). </w:t>
      </w:r>
    </w:p>
    <w:p w14:paraId="5AB19FD1" w14:textId="77777777" w:rsidR="00F848A1" w:rsidRPr="00362517" w:rsidRDefault="00F848A1" w:rsidP="00BF6BC7"/>
    <w:p w14:paraId="5AB19FD2" w14:textId="77777777" w:rsidR="00F848A1" w:rsidRPr="00362517" w:rsidRDefault="00F848A1" w:rsidP="00BF6BC7">
      <w:r w:rsidRPr="00362517">
        <w:t xml:space="preserve">Because of the uncertainties in the number of chronic illnesses that may be caused by, and therefore prevented by reduced pesticide exposure, it is impossible to derive quantified estimates of pesticide-specific benefits from illness reduction.  In the U.S., health care costs for chronic disease are high, in addition to the direct human cost of illness mentioned in the previous paragraph.  As examples, the additional medical costs for a patient suffering from Parkinson’s disease have been estimated at over $10,000 annually (Huse </w:t>
      </w:r>
      <w:r w:rsidRPr="00362517">
        <w:rPr>
          <w:i/>
        </w:rPr>
        <w:t>et al</w:t>
      </w:r>
      <w:r w:rsidRPr="00362517">
        <w:t xml:space="preserve">., 2005).  NHL treatment costs have been estimated at over $5,800 monthly for aggressive NHL, and over $3,800 monthly for slower-growing NHL (Kutikova, </w:t>
      </w:r>
      <w:r w:rsidRPr="00362517">
        <w:rPr>
          <w:i/>
        </w:rPr>
        <w:t>et al.</w:t>
      </w:r>
      <w:r w:rsidRPr="00362517">
        <w:t xml:space="preserve">, 2006).  For prostate cancer, average cost of treatment over 5 and half years of the study was over $42,500 (Wilson </w:t>
      </w:r>
      <w:r w:rsidRPr="00362517">
        <w:rPr>
          <w:i/>
        </w:rPr>
        <w:t>et al</w:t>
      </w:r>
      <w:r w:rsidRPr="00362517">
        <w:t xml:space="preserve">., 2006).  These costs are only treatment costs, which is an underestimate of the true cost of illness.  </w:t>
      </w:r>
    </w:p>
    <w:p w14:paraId="5AB19FD3" w14:textId="77777777" w:rsidR="00F848A1" w:rsidRPr="00362517" w:rsidRDefault="00F848A1" w:rsidP="00BF6BC7"/>
    <w:p w14:paraId="5AB19FD4" w14:textId="77777777" w:rsidR="00F848A1" w:rsidRPr="00362517" w:rsidRDefault="00F848A1" w:rsidP="00BF6BC7">
      <w:r w:rsidRPr="00362517">
        <w:t>EPA’s preferred approach for valuation of reduced risk is to use an estimate of “willingness to pay” (WTP) to reduce the risk of experiencing an illness (EPA, 2010).  As described in Freeman (2003), this measure consists of four components:</w:t>
      </w:r>
    </w:p>
    <w:p w14:paraId="5AB19FD5" w14:textId="77777777" w:rsidR="00F848A1" w:rsidRPr="00362517" w:rsidRDefault="00F848A1" w:rsidP="00BF6BC7"/>
    <w:p w14:paraId="5AB19FD6" w14:textId="77777777" w:rsidR="00F848A1" w:rsidRPr="00362517" w:rsidRDefault="00F848A1" w:rsidP="00BF6BC7">
      <w:pPr>
        <w:pStyle w:val="ListParagraph"/>
        <w:numPr>
          <w:ilvl w:val="0"/>
          <w:numId w:val="17"/>
        </w:numPr>
      </w:pPr>
      <w:r w:rsidRPr="00362517">
        <w:t>“Averting costs” to reduce the risk of illness;</w:t>
      </w:r>
    </w:p>
    <w:p w14:paraId="5AB19FD7" w14:textId="77777777" w:rsidR="00F848A1" w:rsidRPr="00362517" w:rsidRDefault="00F848A1" w:rsidP="00BF6BC7">
      <w:pPr>
        <w:pStyle w:val="ListParagraph"/>
        <w:numPr>
          <w:ilvl w:val="0"/>
          <w:numId w:val="17"/>
        </w:numPr>
      </w:pPr>
      <w:r w:rsidRPr="00362517">
        <w:t>“Mitigating costs” for treatments such as medical care and medication;</w:t>
      </w:r>
    </w:p>
    <w:p w14:paraId="5AB19FD8" w14:textId="77777777" w:rsidR="00F848A1" w:rsidRPr="00362517" w:rsidRDefault="00F848A1" w:rsidP="00BF6BC7">
      <w:pPr>
        <w:pStyle w:val="ListParagraph"/>
        <w:numPr>
          <w:ilvl w:val="0"/>
          <w:numId w:val="17"/>
        </w:numPr>
      </w:pPr>
      <w:r w:rsidRPr="00362517">
        <w:t>Indirect costs such as lost time from paid work, maintaining a home, and pursuing leisure activities; and</w:t>
      </w:r>
    </w:p>
    <w:p w14:paraId="5AB19FD9" w14:textId="77777777" w:rsidR="00F848A1" w:rsidRPr="00362517" w:rsidRDefault="00F848A1" w:rsidP="00BF6BC7">
      <w:pPr>
        <w:pStyle w:val="ListParagraph"/>
        <w:numPr>
          <w:ilvl w:val="0"/>
          <w:numId w:val="17"/>
        </w:numPr>
      </w:pPr>
      <w:r w:rsidRPr="00362517">
        <w:t>Less easily measured but equally real costs of discomfort, anxiety, pain, and suffering.</w:t>
      </w:r>
    </w:p>
    <w:p w14:paraId="5AB19FDA" w14:textId="77777777" w:rsidR="00F848A1" w:rsidRPr="00362517" w:rsidRDefault="00F848A1" w:rsidP="00BF6BC7"/>
    <w:p w14:paraId="5AB19FDB" w14:textId="77777777" w:rsidR="00F848A1" w:rsidRPr="00362517" w:rsidRDefault="00F848A1" w:rsidP="00BF6BC7">
      <w:r w:rsidRPr="00362517">
        <w:t>WTP represents the amount of money that an individual or group would pay to receive the benefits resulting from a policy change, without being made worse off.  There are other values excluded by using WTP as the metric.  WTP is usually characterized as a WTP for improved health outcomes for oneself, which is true here, as well.  This does ignore that people may also value the health of others, and place some value on seeing others protected.</w:t>
      </w:r>
    </w:p>
    <w:p w14:paraId="5AB19FDC" w14:textId="77777777" w:rsidR="00F848A1" w:rsidRPr="00362517" w:rsidRDefault="00F848A1" w:rsidP="00BF6BC7"/>
    <w:p w14:paraId="5AB19FDD" w14:textId="64E17139" w:rsidR="00F848A1" w:rsidRPr="00362517" w:rsidRDefault="00F848A1" w:rsidP="00BF6BC7">
      <w:r w:rsidRPr="00362517">
        <w:t>As with the estimated value of prevented acute illness in Section 4.</w:t>
      </w:r>
      <w:r w:rsidR="00985F74" w:rsidRPr="00362517">
        <w:t>4</w:t>
      </w:r>
      <w:r w:rsidRPr="00362517">
        <w:t>, we are unable to use the WTP to value prevented chronic illnesses, but the WTP for these serious chronic illnesses is surely much higher than the cost of illness estimates provided above.  This indicates that prevention of these illnesses would have substantial value.</w:t>
      </w:r>
    </w:p>
    <w:p w14:paraId="5AB19FDE" w14:textId="77777777" w:rsidR="00F848A1" w:rsidRPr="00362517" w:rsidRDefault="00F848A1" w:rsidP="00BF6BC7"/>
    <w:p w14:paraId="5AB19FDF" w14:textId="77777777" w:rsidR="00F848A1" w:rsidRPr="00362517" w:rsidRDefault="00F848A1" w:rsidP="00BF6BC7">
      <w:pPr>
        <w:pStyle w:val="Heading2"/>
        <w:keepLines w:val="0"/>
        <w:numPr>
          <w:ilvl w:val="1"/>
          <w:numId w:val="23"/>
        </w:numPr>
        <w:spacing w:before="120"/>
      </w:pPr>
      <w:r w:rsidRPr="00362517">
        <w:t xml:space="preserve"> </w:t>
      </w:r>
      <w:bookmarkStart w:id="373" w:name="_Toc468872121"/>
      <w:r w:rsidRPr="00362517">
        <w:t xml:space="preserve">Non-Quantified Benefits of Avoiding </w:t>
      </w:r>
      <w:r w:rsidR="00373B6D" w:rsidRPr="00362517">
        <w:t xml:space="preserve">Ecological </w:t>
      </w:r>
      <w:r w:rsidRPr="00362517">
        <w:t>RUP Incidents</w:t>
      </w:r>
      <w:bookmarkEnd w:id="373"/>
    </w:p>
    <w:p w14:paraId="5AB19FE0" w14:textId="77777777" w:rsidR="00F848A1" w:rsidRPr="00362517" w:rsidRDefault="00F848A1" w:rsidP="00BF6BC7"/>
    <w:p w14:paraId="5A3E0892" w14:textId="0584CE38" w:rsidR="00E57788" w:rsidRPr="00362517" w:rsidRDefault="00626F50" w:rsidP="00BF6BC7">
      <w:r>
        <w:t xml:space="preserve">In Section 4.4, quantified estimates of the value of reduced illnesses from acute pesticide exposure.  In Section 4.5, </w:t>
      </w:r>
      <w:r w:rsidRPr="00626F50">
        <w:t xml:space="preserve">Other non-quantifiable benefits </w:t>
      </w:r>
      <w:r>
        <w:t xml:space="preserve">to human health </w:t>
      </w:r>
      <w:r w:rsidRPr="00626F50">
        <w:t>from reduced chronic exposures were presented</w:t>
      </w:r>
      <w:r>
        <w:t xml:space="preserve">.  </w:t>
      </w:r>
      <w:r w:rsidR="00E57788" w:rsidRPr="00362517">
        <w:t xml:space="preserve">In this section, EPA concludes the rule benefits discussion with non-quantifiable ecological benefits from reduced RUP exposure to non-target plants and animals.  </w:t>
      </w:r>
    </w:p>
    <w:p w14:paraId="18DBC08E" w14:textId="77777777" w:rsidR="00E57788" w:rsidRPr="00362517" w:rsidRDefault="00E57788" w:rsidP="00BF6BC7"/>
    <w:p w14:paraId="5AB19FE7" w14:textId="5773AAAE" w:rsidR="00F848A1" w:rsidRPr="00362517" w:rsidRDefault="00E57788" w:rsidP="00BF6BC7">
      <w:r w:rsidRPr="00362517">
        <w:t xml:space="preserve"> </w:t>
      </w:r>
      <w:r w:rsidR="00F848A1" w:rsidRPr="00362517">
        <w:t xml:space="preserve">In addition to the benefits to human health, the changes would also be expected to reduce environmental damage associated with RUP use by reducing the incidents of RUP misuse and other errors.  This section will discuss the harm that RUP misuse and other errors can cause to non-target animals, wild plants and crops, and the ways which the changes would reduce the environmental costs of misuse and other errors.  </w:t>
      </w:r>
    </w:p>
    <w:p w14:paraId="5AB19FE8" w14:textId="77777777" w:rsidR="00F848A1" w:rsidRPr="00362517" w:rsidRDefault="00F848A1" w:rsidP="00BF6BC7"/>
    <w:p w14:paraId="5AB19FE9" w14:textId="77777777" w:rsidR="00F848A1" w:rsidRPr="00362517" w:rsidRDefault="00F848A1" w:rsidP="00BF6BC7">
      <w:r w:rsidRPr="00362517">
        <w:t xml:space="preserve">It is difficult to get an accurate picture of how much damage to plants, animals and crops is caused by RUP misuse and misapplication.  Although EPA maintains databases of pesticide-related incidents, these data are insufficient to reliably estimate the number of incidents that may be prevented by the rule.  In addition, the available information is generally insufficient to reliably estimate the cost of incidents, even when they have been reported.  Because of these inadequacies, we will use the available data to provide a qualitative discussion of the kind of environmental incidents that are caused by misuse of RUPs, and whether the incidents can be prevented by the rule.  </w:t>
      </w:r>
    </w:p>
    <w:p w14:paraId="5AB19FEA" w14:textId="77777777" w:rsidR="00F848A1" w:rsidRPr="00362517" w:rsidRDefault="00F848A1" w:rsidP="00BF6BC7"/>
    <w:p w14:paraId="5AB19FEB" w14:textId="77777777" w:rsidR="00F848A1" w:rsidRPr="00362517" w:rsidRDefault="00F848A1" w:rsidP="00BF6BC7">
      <w:pPr>
        <w:rPr>
          <w:i/>
        </w:rPr>
      </w:pPr>
      <w:r w:rsidRPr="00362517">
        <w:rPr>
          <w:i/>
        </w:rPr>
        <w:t xml:space="preserve">Data  </w:t>
      </w:r>
    </w:p>
    <w:p w14:paraId="5AB19FEC" w14:textId="77777777" w:rsidR="00F848A1" w:rsidRPr="00362517" w:rsidRDefault="00F848A1" w:rsidP="00BF6BC7"/>
    <w:p w14:paraId="5AB19FED" w14:textId="77777777" w:rsidR="00F848A1" w:rsidRPr="00362517" w:rsidRDefault="00F848A1" w:rsidP="00BF6BC7">
      <w:r w:rsidRPr="00362517">
        <w:t>Ecological incident data are used by EPA’s Office of Pesticide Programs (OPP), as a line of evidence (in a weight-of-evidence approach) for making risk conclusions in pesticide risk assessments.  Incident data can provide important information on what can happen to non-target plants and wildlife when a pesticide is used in the ‘real world’, and they can help support or refute risk predictions based on laboratory data.</w:t>
      </w:r>
    </w:p>
    <w:p w14:paraId="5AB19FEE" w14:textId="77777777" w:rsidR="00F848A1" w:rsidRPr="00362517" w:rsidRDefault="00F848A1" w:rsidP="00BF6BC7"/>
    <w:p w14:paraId="5AB19FEF" w14:textId="77777777" w:rsidR="00F848A1" w:rsidRPr="00362517" w:rsidRDefault="00F848A1" w:rsidP="00BF6BC7">
      <w:r w:rsidRPr="00362517">
        <w:t>The primary sources of ecological incident information available to EPA for this analysis are the Incident Data System (IDS) and the Ecological Incident Information System (EIIS), both databases that are maintained by EPA</w:t>
      </w:r>
      <w:r w:rsidRPr="00362517">
        <w:rPr>
          <w:rStyle w:val="FootnoteReference"/>
        </w:rPr>
        <w:footnoteReference w:id="14"/>
      </w:r>
      <w:r w:rsidRPr="00362517">
        <w:t xml:space="preserve">.  These databases contain information from pesticide incident reports from a variety of sources.  Some are submitted directly to OPP by pesticide registrants, the public, and state, federal, and local government agencies, and others are from information available through other sources, such as the United States Geological Survey’s Contaminant Exposure and Effects – Terrestrial Vertebrate Database, the American Bird Conservancy’s Avian Incident Monitoring System, the open literature and media accounts.  </w:t>
      </w:r>
    </w:p>
    <w:p w14:paraId="5AB19FF0" w14:textId="77777777" w:rsidR="00F848A1" w:rsidRPr="00362517" w:rsidRDefault="00F848A1" w:rsidP="00BF6BC7"/>
    <w:p w14:paraId="5AB19FF1" w14:textId="77777777" w:rsidR="00F848A1" w:rsidRPr="00362517" w:rsidRDefault="00F848A1" w:rsidP="00BF6BC7">
      <w:r w:rsidRPr="00362517">
        <w:t>The IDS database includes all pesticide incidents involving humans, wildlife, pets, and other domestic animals of which OPP is aware.  IDS is primarily used by OPP to track the total number of all incidents (human, wildlife, etc.) that may have been caused by a pesticide.  The EIIS database contains information on pesticide incidents involving primarily plants, non-domesticated birds and mammals, fish, and honey bees.  Information from ecological incident reports is only included in the EIIS if the reports contain, at a minimum, information on a specific pesticide, the effects, and the identity of the wildlife or plants involved in the incident.  For this analysis, EPA uses the EIIS database, because information on the specific pesticide (and whether it was an RUP) and the specific events are essential to understanding the circumstances of an incident and whether or not it would be preventable.</w:t>
      </w:r>
    </w:p>
    <w:p w14:paraId="5AB19FF2" w14:textId="77777777" w:rsidR="00F848A1" w:rsidRPr="00362517" w:rsidRDefault="00F848A1" w:rsidP="00BF6BC7">
      <w:r w:rsidRPr="00362517">
        <w:t xml:space="preserve">  </w:t>
      </w:r>
    </w:p>
    <w:p w14:paraId="5AB19FF3" w14:textId="77777777" w:rsidR="00F848A1" w:rsidRPr="00362517" w:rsidRDefault="00F848A1" w:rsidP="00BF6BC7">
      <w:r w:rsidRPr="00362517">
        <w:t>Incidents in the EIIS are given a certainty index classification [i.e., ‘unrelated’, ‘unlikely’, ‘possible’, ‘probable’, ‘highly probable’– and the relatively new classification of ‘exposure only’ (residues detected but no effects noted)].  The certainty level indicates the likelihood that a particular pesticide caused the observed effects.  In general, “highly probable” incidents require residues and/or clear circumstances linking the exposure to the effects.  “Probable” incidents include those where residues are not available and/or circumstances are slightly less conclusive than for “highly probable.” “Possible” incidents are those where there was exposure to multiple chemicals, and it is not clear which one was the primary causal factor, although circumstances surrounding the incident and toxicological properties of the pesticide suggest a possible causal relationship.  “Unlikely” incidents are those for which evidence suggests that another pesticide or another stressor was the primary cause of the effect, but contribution by the given chemical cannot be completely ruled out.  Finally, “unrelated” incidents are those in which evidence clearly indicates that another stressor besides the given pesticide caused the effects.  Each incident in the EIIS is also given a legality of use classification [‘registered use’ (the label directions were followed), ‘misuse’ [label directions were not followed; for example, the application involved (accidental or intentional) higher than labeled rates, non-labeled application sites, or the intentional targeting on non-labeled species], or ‘unknown’ (it is not known whether or not the label directions were followed)].</w:t>
      </w:r>
    </w:p>
    <w:p w14:paraId="5AB19FF4" w14:textId="77777777" w:rsidR="00F848A1" w:rsidRPr="00362517" w:rsidRDefault="00F848A1" w:rsidP="00BF6BC7"/>
    <w:p w14:paraId="5AB19FF5" w14:textId="77777777" w:rsidR="00F848A1" w:rsidRPr="00362517" w:rsidRDefault="00F848A1" w:rsidP="00BF6BC7">
      <w:r w:rsidRPr="00362517">
        <w:t>As with most reporting of pesticide incidents, ecological incidents are subject to under-reporting.  Ecological incident data are not systematically collected, and, thus, they may not be representative of unreported incidents.  The collection of incident data is largely opportunistic, and reported incidents represent a very small portion of the actual incidents that likely occur (Vyas, 1999).  The following steps typically need to occur for OPP to receive information on a pesticide incident involving wildlife:</w:t>
      </w:r>
    </w:p>
    <w:p w14:paraId="5AB19FF6" w14:textId="77777777" w:rsidR="00F848A1" w:rsidRPr="00362517" w:rsidRDefault="00F848A1" w:rsidP="00BF6BC7"/>
    <w:p w14:paraId="5AB19FF7" w14:textId="77777777" w:rsidR="00F848A1" w:rsidRPr="00362517" w:rsidRDefault="00F848A1" w:rsidP="00BF6BC7">
      <w:r w:rsidRPr="00362517">
        <w:t>Step 1: Seeing an Incident:</w:t>
      </w:r>
    </w:p>
    <w:p w14:paraId="5AB19FF8" w14:textId="77777777" w:rsidR="00F848A1" w:rsidRPr="00362517" w:rsidRDefault="00F848A1" w:rsidP="00BF6BC7">
      <w:pPr>
        <w:pStyle w:val="ListParagraph"/>
      </w:pPr>
    </w:p>
    <w:p w14:paraId="5AB19FF9" w14:textId="77777777" w:rsidR="00F848A1" w:rsidRPr="00362517" w:rsidRDefault="00F848A1" w:rsidP="00BF6BC7">
      <w:r w:rsidRPr="00362517">
        <w:t xml:space="preserve">For one, damage from misuse of an RUP, such as a dead animal or plant damage, must be seen to be reported.  Many animals that are sick and/or dying will hide as a predator-avoidance response, making it more difficult to find their remains if they die while hidden.  If an affected animal is killed by a predator, it is often consumed immediately.  Carcasses of animals not killed by a predator and not consumed immediately can be removed fairly quickly from the environment (within hours of death) by scavengers and/or more slowly (within days of death) via decomposition.  Therefore, it can be surprisingly difficult to find dead animals and most animals that die (for any reason), are likely not ever seen by someone before they are scavenged or they decompose.  Carcass recovery efficiency rates, even for trained individuals searching for carcasses in a known, limited area, are often well below 100% (Madrigal et al., 1996 reported recovering only about two-thirds of bird carcasses placed in the study zone).  Although plants do not move or disappear from the environment the same way that animals do, any damage to non-target plants must be noticed, which may be rare.  Damage to crop plants is more likely to be noticed, since they are monitored by farmers.  </w:t>
      </w:r>
    </w:p>
    <w:p w14:paraId="5AB19FFA" w14:textId="77777777" w:rsidR="00F848A1" w:rsidRPr="00362517" w:rsidRDefault="00F848A1" w:rsidP="00BF6BC7"/>
    <w:p w14:paraId="5AB19FFB" w14:textId="77777777" w:rsidR="00F848A1" w:rsidRPr="00362517" w:rsidRDefault="00F848A1" w:rsidP="00BF6BC7">
      <w:pPr>
        <w:keepNext/>
      </w:pPr>
      <w:r w:rsidRPr="00362517">
        <w:t>Step 2: Reporting an Incident:</w:t>
      </w:r>
    </w:p>
    <w:p w14:paraId="5AB19FFC" w14:textId="77777777" w:rsidR="00F848A1" w:rsidRPr="00362517" w:rsidRDefault="00F848A1" w:rsidP="00BF6BC7">
      <w:pPr>
        <w:keepNext/>
      </w:pPr>
    </w:p>
    <w:p w14:paraId="5AB19FFD" w14:textId="77777777" w:rsidR="00F848A1" w:rsidRPr="00362517" w:rsidRDefault="00F848A1" w:rsidP="00BF6BC7">
      <w:pPr>
        <w:keepNext/>
      </w:pPr>
      <w:r w:rsidRPr="00362517">
        <w:t xml:space="preserve">Even when an incident is noticed, it is unlikely to be reported to anyone.  There are several reasons why incident reporting is unlikely.  For example, the incident observer may not realize the importance of reporting the incident or they may not know to whom to report it.  Motivation can be an important consideration for someone reporting an incident.  People may be more likely to report an incident if the effects impact them economically (e.g., if the incident involves crop damage or a bee kill) or personally (e.g., it involves a pet or plants in their yard) than if it involves a wild animal.  Additionally, if only one or two dead animals are found, it may be assumed that the animals simply died from natural causes. </w:t>
      </w:r>
    </w:p>
    <w:p w14:paraId="5AB19FFE" w14:textId="77777777" w:rsidR="00F848A1" w:rsidRPr="00362517" w:rsidRDefault="00F848A1" w:rsidP="00BF6BC7"/>
    <w:p w14:paraId="5AB19FFF" w14:textId="77777777" w:rsidR="00F848A1" w:rsidRPr="00362517" w:rsidRDefault="00F848A1" w:rsidP="00BF6BC7">
      <w:pPr>
        <w:keepNext/>
      </w:pPr>
      <w:r w:rsidRPr="00362517">
        <w:t>Step 3: Linking an Incident to a Pesticide:</w:t>
      </w:r>
    </w:p>
    <w:p w14:paraId="5AB1A000" w14:textId="77777777" w:rsidR="00F848A1" w:rsidRPr="00362517" w:rsidRDefault="00F848A1" w:rsidP="00BF6BC7">
      <w:pPr>
        <w:keepNext/>
      </w:pPr>
    </w:p>
    <w:p w14:paraId="5AB1A001" w14:textId="77777777" w:rsidR="00F848A1" w:rsidRPr="00362517" w:rsidRDefault="00F848A1" w:rsidP="00BF6BC7">
      <w:pPr>
        <w:keepNext/>
      </w:pPr>
      <w:r w:rsidRPr="00362517">
        <w:t>For an incident to be considered a pesticide incident, it must be linked to a pesticide exposure.  Incidents are most likely to be associated with a pesticide if the effect is close in time and space to an application.  For slower acting chemicals, affected animals may move from the site of exposure and likely will not die near the pesticide application site (Stroud and Kuncir, 2005), making it difficult to link the deaths to a specific pesticide.  Typically, only severe acute toxic effects are observed (principally mortality) and chronic effects (e.g., effects to reproduction or growth) usually are not observed.  Weakened and sick animals may be preyed upon, hit by cars, die of disease, etc., and their deaths may not necessarily be attributed to a pesticide, even if it is a major factor in their deaths.  Additionally, with the exception of honey bees and crayfish, effects to invertebrates are not typically reported.  Because incident investigations can be very complex and resource intensive (Stroud and Kuncir, 2005), even if a dead animal is reported, and the death is suspected to be caused by a pesticide, the incident may not be investigated due to limited resources.</w:t>
      </w:r>
    </w:p>
    <w:p w14:paraId="5AB1A002" w14:textId="77777777" w:rsidR="00F848A1" w:rsidRPr="00362517" w:rsidRDefault="00F848A1" w:rsidP="00BF6BC7"/>
    <w:p w14:paraId="5AB1A003" w14:textId="77777777" w:rsidR="00F848A1" w:rsidRPr="00362517" w:rsidRDefault="00F848A1" w:rsidP="00BF6BC7">
      <w:r w:rsidRPr="00362517">
        <w:t>Step 4: Submitting an Incident Report to OPP:</w:t>
      </w:r>
    </w:p>
    <w:p w14:paraId="5AB1A004" w14:textId="77777777" w:rsidR="00F848A1" w:rsidRPr="00362517" w:rsidRDefault="00F848A1" w:rsidP="00BF6BC7"/>
    <w:p w14:paraId="5AB1A005" w14:textId="77777777" w:rsidR="00F848A1" w:rsidRPr="00362517" w:rsidRDefault="00F848A1" w:rsidP="00BF6BC7">
      <w:r w:rsidRPr="00362517">
        <w:t xml:space="preserve">Incidents reported to local or municipal authorities or independent wildlife rescue organizations are unlikely to ever be forwarded to OPP.  Some state agencies and some wildlife rescue organizations routinely report incidents to OPP (for example California and New York), but most do not.  Therefore, even if a carcass is found and reported to local authorities, and an investigation concludes that the death was due to a pesticide, the incident report may not be submitted to OPP.  Reporting by non-registrants is completely voluntary and information on ecological incidents can be gathered by a wide variety of government agencies (e.g., federal, state, and local) and private organizations (e.g., toxicology laboratories and wildlife rehabilitation centers).  Not all of these agencies/organizations may know to submit information on ecological incidents to OPP; may not know how to submit the information to the OPP; or may simply choose not to submit the data to OPP (especially if it involves a case going through litigation or some enforcement action).  </w:t>
      </w:r>
    </w:p>
    <w:p w14:paraId="5AB1A006" w14:textId="77777777" w:rsidR="00F848A1" w:rsidRPr="00362517" w:rsidRDefault="00F848A1" w:rsidP="00BF6BC7"/>
    <w:p w14:paraId="5AB1A007" w14:textId="77777777" w:rsidR="00F848A1" w:rsidRPr="00362517" w:rsidRDefault="00F848A1" w:rsidP="00BF6BC7">
      <w:r w:rsidRPr="00362517">
        <w:t>Although pesticide registrants are required to report adverse effect incidents under FIFRA, a registrant cannot report incidents it is unaware of, or that do not appear related to its pesticides.  Furthermore, the reporting requirements defined in FIFRA</w:t>
      </w:r>
      <w:r w:rsidRPr="00362517">
        <w:rPr>
          <w:rStyle w:val="FootnoteReference"/>
        </w:rPr>
        <w:footnoteReference w:id="15"/>
      </w:r>
      <w:r w:rsidRPr="00362517">
        <w:t xml:space="preserve"> allow registrants to aggregately report all ‘minor’ ecological incidents.  Incidents that can be aggregately reported include incidents that involve fewer than 200 birds or 5 mammals.  The aggregate incident reports lack details including information on effects, specific taxa involved, and descriptions of use; therefore, aggregate incident reports are not included in the EIIS, but they are included in the IDS.  </w:t>
      </w:r>
    </w:p>
    <w:p w14:paraId="5AB1A008" w14:textId="77777777" w:rsidR="00F848A1" w:rsidRPr="00362517" w:rsidRDefault="00F848A1" w:rsidP="00BF6BC7">
      <w:r w:rsidRPr="00362517">
        <w:t xml:space="preserve"> </w:t>
      </w:r>
    </w:p>
    <w:p w14:paraId="5AB1A009" w14:textId="77777777" w:rsidR="00F848A1" w:rsidRPr="00362517" w:rsidRDefault="00F848A1" w:rsidP="00BF6BC7">
      <w:r w:rsidRPr="00362517">
        <w:t xml:space="preserve">Overall, because of the many ways that reporting of an incident to OPP can fail, it is likely that only a small fraction of the pesticide ecological incidents that occur are ever recorded.  Because the incident data in the EIIS are not systematically collected and likely represent a very small fraction of the incidents that actually occur, these data are likely an underestimate of damage from misuse and other errors by certified applicators.  For these reasons, no attempt is made to quantify the benefits from reduced ecological damage caused by RUPs for the rule; the discussion here will be qualitative.  Incident data, however, do provide evidence that exposure from misuse of RUPs can result in field-observable effects.      </w:t>
      </w:r>
    </w:p>
    <w:p w14:paraId="5AB1A00A" w14:textId="77777777" w:rsidR="00F848A1" w:rsidRPr="00362517" w:rsidRDefault="00F848A1" w:rsidP="00BF6BC7"/>
    <w:p w14:paraId="5AB1A00B" w14:textId="77777777" w:rsidR="00F848A1" w:rsidRPr="00362517" w:rsidRDefault="00F848A1" w:rsidP="00BF6BC7">
      <w:pPr>
        <w:rPr>
          <w:i/>
        </w:rPr>
      </w:pPr>
      <w:r w:rsidRPr="00362517">
        <w:rPr>
          <w:i/>
        </w:rPr>
        <w:t>Method</w:t>
      </w:r>
      <w:r w:rsidRPr="00362517">
        <w:rPr>
          <w:i/>
        </w:rPr>
        <w:tab/>
      </w:r>
    </w:p>
    <w:p w14:paraId="5AB1A00C" w14:textId="77777777" w:rsidR="00F848A1" w:rsidRPr="00362517" w:rsidRDefault="00F848A1" w:rsidP="00BF6BC7">
      <w:pPr>
        <w:rPr>
          <w:i/>
        </w:rPr>
      </w:pPr>
    </w:p>
    <w:p w14:paraId="5AB1A00D" w14:textId="24DB0A09" w:rsidR="00F848A1" w:rsidRPr="00362517" w:rsidRDefault="00F848A1" w:rsidP="00BF6BC7">
      <w:r w:rsidRPr="00362517">
        <w:t>To characterize the potential value of reduced RUP incidents, even qualitatively, requires classifying the EIIS data to retain only those incidents that the rule changes would prevent.  First, a team of OPP staff compiled a list of all RUP pesticides products and active ingredients.  Many active ingredients have some pesticide products that are RUPs and others, with different use patterns or concentrations that are not.  The EIIS database was searched for incidents in which one of the RUPs active ingredients was identified as the causal agent for the years 2009 - 2013.  In some cases, the pesticide product was identified, so a definite determination about whether the incident involved a</w:t>
      </w:r>
      <w:r w:rsidR="00CA28EA">
        <w:t>n</w:t>
      </w:r>
      <w:r w:rsidRPr="00362517">
        <w:t xml:space="preserve"> RUP could be made.  If the causal agent was only identified as an active ingredient, the incident was included if a majority of the products containing it were RUPs, if information about the intended use made it clear that the product used was an RUP, or if the pesticide was applied by a certified applicator.  Once the incidents related to RUPs were identified and available information gathered, EPA staff reviewed the cause of the incidents and by consensus determined whether they would have been likely or probably prevented by the rule.  The main reason EPA expects the rule to prevent incidents like these is that raising the standards for initial certification and more frequent training would ensure that applicators and those under their supervision would more carefully follow pesticide label instructions, take proper care to prevent harm, and generally have a higher level of competency.  The team of OPP staff classified the RUP- and certified applicator-related incidents into the following categories:</w:t>
      </w:r>
    </w:p>
    <w:p w14:paraId="5AB1A00E" w14:textId="77777777" w:rsidR="00F848A1" w:rsidRPr="00362517" w:rsidRDefault="00F848A1" w:rsidP="00BF6BC7"/>
    <w:p w14:paraId="5AB1A00F" w14:textId="77777777" w:rsidR="00F848A1" w:rsidRPr="00362517" w:rsidRDefault="00F848A1" w:rsidP="00BF6BC7">
      <w:pPr>
        <w:pStyle w:val="ListParagraph"/>
        <w:numPr>
          <w:ilvl w:val="0"/>
          <w:numId w:val="18"/>
        </w:numPr>
        <w:spacing w:after="160" w:line="252" w:lineRule="auto"/>
      </w:pPr>
      <w:r w:rsidRPr="00362517">
        <w:t>Preventable incidents: Incidents where there was a clear link between the application/applicator and the effect and the information demonstrated an error by the applicator or applicator incompetency.</w:t>
      </w:r>
    </w:p>
    <w:p w14:paraId="5AB1A010" w14:textId="77777777" w:rsidR="00F848A1" w:rsidRPr="00362517" w:rsidRDefault="00F848A1" w:rsidP="00BF6BC7">
      <w:pPr>
        <w:pStyle w:val="ListParagraph"/>
        <w:numPr>
          <w:ilvl w:val="0"/>
          <w:numId w:val="18"/>
        </w:numPr>
        <w:spacing w:after="160" w:line="252" w:lineRule="auto"/>
      </w:pPr>
      <w:r w:rsidRPr="00362517">
        <w:t xml:space="preserve">Possibly preventable incidents:  Incidents where there was a clear link between the application/applicator and the effect and there was a significant impact so an applicator error seemed likely but the available information did not identify any applicator errors.  </w:t>
      </w:r>
    </w:p>
    <w:p w14:paraId="5AB1A011" w14:textId="77777777" w:rsidR="00F848A1" w:rsidRPr="00362517" w:rsidRDefault="00F848A1" w:rsidP="00BF6BC7">
      <w:pPr>
        <w:pStyle w:val="ListParagraph"/>
        <w:numPr>
          <w:ilvl w:val="0"/>
          <w:numId w:val="18"/>
        </w:numPr>
        <w:spacing w:after="160" w:line="252" w:lineRule="auto"/>
      </w:pPr>
      <w:r w:rsidRPr="00362517">
        <w:t xml:space="preserve">Incidents where there is not enough information: Incidents where there was a clear link between the application/applicator and the effect and an applicator error was possible but the available information did not identify any applicator errors.  </w:t>
      </w:r>
    </w:p>
    <w:p w14:paraId="5AB1A012" w14:textId="77777777" w:rsidR="00F848A1" w:rsidRPr="00362517" w:rsidRDefault="00F848A1" w:rsidP="00BF6BC7">
      <w:pPr>
        <w:pStyle w:val="ListParagraph"/>
        <w:numPr>
          <w:ilvl w:val="0"/>
          <w:numId w:val="18"/>
        </w:numPr>
        <w:spacing w:after="160" w:line="252" w:lineRule="auto"/>
      </w:pPr>
      <w:r w:rsidRPr="00362517">
        <w:t>Not preventable incidents: Incidents that did not meet any of the above criteria, such as incidents where there was no clear link between the application/applicator and the effect, incidents where there was no evidence of applicator error or if there just was not enough information.</w:t>
      </w:r>
    </w:p>
    <w:p w14:paraId="5AB1A013" w14:textId="77777777" w:rsidR="00F848A1" w:rsidRPr="00362517" w:rsidRDefault="00F848A1" w:rsidP="00BF6BC7">
      <w:r w:rsidRPr="00362517">
        <w:t xml:space="preserve">Only incidents that were definitely related to RUP use and considered preventable or possibly preventable are reported below.  The incidents often do not have sufficient information to quantify the damage.  For example, some of the incidents reported damage to a crop from misuse or misapplication, but the information is insufficient to determine the actual loss to growers.  Even when damage to crop plants may result in total yield loss, the response by the grower to the problem has not been identified.  They could choose to accept the yield loss, or replant the crop, or to plant another crop, which might reduce the losses below those of total yield loss.  In the narrative about the incident, the crop damage is described (e.g. stunting, reduced yields, bleaching, leaf burn, etc.), but even when the information has been confirmed by agronomists or other experts, the actual yield loss has not been quantified.  </w:t>
      </w:r>
    </w:p>
    <w:p w14:paraId="5AB1A014" w14:textId="77777777" w:rsidR="00F848A1" w:rsidRPr="00362517" w:rsidRDefault="00F848A1" w:rsidP="00BF6BC7"/>
    <w:p w14:paraId="5AB1A015" w14:textId="77777777" w:rsidR="00F848A1" w:rsidRPr="00362517" w:rsidRDefault="00F848A1" w:rsidP="00BF6BC7">
      <w:r w:rsidRPr="00362517">
        <w:t xml:space="preserve">For the non-crop damage, such as the deaths of wild animals, in addition to the difficulty in identifying the numbers of animals affected, it is very difficult to provide a value for the potential losses.  For example, if a substantial number of bald eagles are killed in a preventable incident (as we see in the data), to quantify the value of preventing that incident, we would need to know the value of those eagles to society, which is difficult to determine.  </w:t>
      </w:r>
    </w:p>
    <w:p w14:paraId="5AB1A016" w14:textId="77777777" w:rsidR="00F848A1" w:rsidRPr="00362517" w:rsidRDefault="00F848A1" w:rsidP="00BF6BC7"/>
    <w:p w14:paraId="5AB1A017" w14:textId="77777777" w:rsidR="00F848A1" w:rsidRPr="00362517" w:rsidRDefault="00F848A1" w:rsidP="00BF6BC7">
      <w:r w:rsidRPr="00362517">
        <w:t xml:space="preserve">Loosely speaking, environmental amenities can have multiple sources of value.  Economists often categorize some of these as a “use value,” where people gain value from somehow using or interacting with the resource, such as visiting a beach, catching a fish, or observing wild birds.  Another category is “non-use value,” because these environmental goods have value to society beyond their use to people.  These non-use values for the preservation of environmental goods have several sources, including that people may want the option to have the goods available in the future, or the value that people place on maintaining the good for future generations, or value placed by society for the mere existence of environmental goods.  Non-use values may comprise a substantial fraction of total values for some wildlife species – especially for charismatic species, threatened or endangered species, or species that are not popular targets for hunting or wildlife viewing – that have been harmed by misuse of RUPs, and these values are difficult to estimate.  A standard approach would be to use a stated-preference method, like contingent valuation (EPA 2010a) to estimate the societal willingness to pay to preserve the animals or plants that were harmed in preventable RUP incidents.  This is not done for this analysis because a high-quality contingent valuation study is very time consuming and expensive, and more importantly, the environmental damage here is very diffuse, involving different types of plants and animals in all parts of the country, whereas the most reliable contingent valuation work involves very concrete choices in a specific location. </w:t>
      </w:r>
    </w:p>
    <w:p w14:paraId="5AB1A018" w14:textId="77777777" w:rsidR="00F848A1" w:rsidRPr="00362517" w:rsidRDefault="00F848A1" w:rsidP="00BF6BC7">
      <w:r w:rsidRPr="00362517">
        <w:t xml:space="preserve"> </w:t>
      </w:r>
    </w:p>
    <w:p w14:paraId="5AB1A019" w14:textId="77777777" w:rsidR="00F848A1" w:rsidRPr="00362517" w:rsidRDefault="00F848A1" w:rsidP="00BF6BC7">
      <w:r w:rsidRPr="00362517">
        <w:t xml:space="preserve">An alternative is benefits transfer, where the benefits of preserving environmental goods have been estimated in one context, and we can adjust or apply those benefit estimates for the relevant context.  In our case, we are unable to find specific values for the many incidents that can be used for benefits transfer.  As an example, consider the loss of a bald eagle.  There are estimates of the societal value of preserving bald eagles.  Two studies from the literature (Stevens </w:t>
      </w:r>
      <w:r w:rsidRPr="00362517">
        <w:rPr>
          <w:i/>
        </w:rPr>
        <w:t>et al</w:t>
      </w:r>
      <w:r w:rsidRPr="00362517">
        <w:t>., 1991, or Boyle and Bishop 1987) report household estimates that range from $21.11 to $42.21 in 2006 dollars.  This indicates substantial societal value for eagles, and aggregated across households in a region or the United States would result in a very large number ($34 billion for the 115 million households in the US).  However, the values that are reported, and which were estimated using the underlying contingent valuation studies was a willingness to pay to maintain the existence of eagles in a specific state; no attempt was made to estimate the value of protecting individual eagles, as we have here.</w:t>
      </w:r>
    </w:p>
    <w:p w14:paraId="5AB1A01A" w14:textId="77777777" w:rsidR="00F848A1" w:rsidRPr="00362517" w:rsidRDefault="00F848A1" w:rsidP="00BF6BC7">
      <w:r w:rsidRPr="00362517">
        <w:t xml:space="preserve">  </w:t>
      </w:r>
    </w:p>
    <w:p w14:paraId="5AB1A01B" w14:textId="77777777" w:rsidR="00F848A1" w:rsidRPr="00362517" w:rsidRDefault="00F848A1" w:rsidP="00BF6BC7">
      <w:r w:rsidRPr="00362517">
        <w:t>However, we could use these estimates, after adjusting them to transform estimates for eagles as a whole into estimates for individual eagles.  The non-use value for eagles could be defined as:</w:t>
      </w:r>
    </w:p>
    <w:p w14:paraId="5AB1A01C" w14:textId="77777777" w:rsidR="00F848A1" w:rsidRPr="00362517" w:rsidRDefault="00F848A1" w:rsidP="00BF6BC7"/>
    <w:p w14:paraId="5AB1A01D" w14:textId="77777777" w:rsidR="00F848A1" w:rsidRPr="00362517" w:rsidRDefault="00F848A1" w:rsidP="00BF6BC7">
      <w:pPr>
        <w:jc w:val="center"/>
      </w:pPr>
      <w:r w:rsidRPr="00362517">
        <w:t xml:space="preserve">Non-use value = </w:t>
      </w:r>
      <m:oMath>
        <m:r>
          <w:rPr>
            <w:rFonts w:ascii="Cambria Math" w:hAnsi="Cambria Math" w:cs="Calibri"/>
          </w:rPr>
          <m:t>∆N*</m:t>
        </m:r>
        <m:f>
          <m:fPr>
            <m:ctrlPr>
              <w:rPr>
                <w:rFonts w:ascii="Cambria Math" w:hAnsi="Cambria Math" w:cs="Calibri"/>
                <w:i/>
              </w:rPr>
            </m:ctrlPr>
          </m:fPr>
          <m:num>
            <m:r>
              <w:rPr>
                <w:rFonts w:ascii="Cambria Math" w:hAnsi="Cambria Math" w:cs="Calibri"/>
              </w:rPr>
              <m:t>∆P</m:t>
            </m:r>
          </m:num>
          <m:den>
            <m:r>
              <w:rPr>
                <w:rFonts w:ascii="Cambria Math" w:hAnsi="Cambria Math" w:cs="Calibri"/>
              </w:rPr>
              <m:t>∆N</m:t>
            </m:r>
          </m:den>
        </m:f>
        <m:r>
          <w:rPr>
            <w:rFonts w:ascii="Cambria Math" w:hAnsi="Cambria Math" w:cs="Calibri"/>
          </w:rPr>
          <m:t>*</m:t>
        </m:r>
        <m:sSub>
          <m:sSubPr>
            <m:ctrlPr>
              <w:rPr>
                <w:rFonts w:ascii="Cambria Math" w:hAnsi="Cambria Math" w:cs="Calibri"/>
                <w:i/>
              </w:rPr>
            </m:ctrlPr>
          </m:sSubPr>
          <m:e>
            <m:r>
              <w:rPr>
                <w:rFonts w:ascii="Cambria Math" w:hAnsi="Cambria Math" w:cs="Calibri"/>
              </w:rPr>
              <m:t>WTP</m:t>
            </m:r>
          </m:e>
          <m:sub>
            <m:r>
              <w:rPr>
                <w:rFonts w:ascii="Cambria Math" w:hAnsi="Cambria Math" w:cs="Calibri"/>
              </w:rPr>
              <m:t>X</m:t>
            </m:r>
          </m:sub>
        </m:sSub>
        <m:r>
          <w:rPr>
            <w:rFonts w:ascii="Cambria Math" w:hAnsi="Cambria Math" w:cs="Calibri"/>
          </w:rPr>
          <m:t>*</m:t>
        </m:r>
        <m:sSub>
          <m:sSubPr>
            <m:ctrlPr>
              <w:rPr>
                <w:rFonts w:ascii="Cambria Math" w:hAnsi="Cambria Math" w:cs="Calibri"/>
                <w:i/>
              </w:rPr>
            </m:ctrlPr>
          </m:sSubPr>
          <m:e>
            <m:r>
              <w:rPr>
                <w:rFonts w:ascii="Cambria Math" w:hAnsi="Cambria Math" w:cs="Calibri"/>
              </w:rPr>
              <m:t>H</m:t>
            </m:r>
          </m:e>
          <m:sub>
            <m:r>
              <w:rPr>
                <w:rFonts w:ascii="Cambria Math" w:hAnsi="Cambria Math" w:cs="Calibri"/>
              </w:rPr>
              <m:t>region</m:t>
            </m:r>
          </m:sub>
        </m:sSub>
      </m:oMath>
    </w:p>
    <w:p w14:paraId="5AB1A01E" w14:textId="77777777" w:rsidR="00F848A1" w:rsidRPr="00362517" w:rsidRDefault="00F848A1" w:rsidP="00BF6BC7"/>
    <w:p w14:paraId="5AB1A01F" w14:textId="77777777" w:rsidR="00F848A1" w:rsidRPr="00362517" w:rsidRDefault="00F848A1" w:rsidP="00BF6BC7">
      <w:r w:rsidRPr="00362517">
        <w:t xml:space="preserve">Where </w:t>
      </w:r>
      <w:r w:rsidRPr="00362517">
        <w:rPr>
          <w:i/>
        </w:rPr>
        <w:t>∆N</w:t>
      </w:r>
      <w:r w:rsidRPr="00362517">
        <w:t xml:space="preserve"> is the number of eagles saved per year, </w:t>
      </w:r>
      <w:r w:rsidRPr="00362517">
        <w:rPr>
          <w:i/>
        </w:rPr>
        <w:t>∆P/∆N</w:t>
      </w:r>
      <w:r w:rsidRPr="00362517">
        <w:t xml:space="preserve"> is the change in extinction probability for the population per the number of saved eagles per year, </w:t>
      </w:r>
      <w:r w:rsidRPr="00362517">
        <w:rPr>
          <w:i/>
        </w:rPr>
        <w:t>WTP</w:t>
      </w:r>
      <w:r w:rsidRPr="00362517">
        <w:rPr>
          <w:i/>
        </w:rPr>
        <w:softHyphen/>
      </w:r>
      <w:r w:rsidRPr="00362517">
        <w:rPr>
          <w:i/>
          <w:vertAlign w:val="subscript"/>
        </w:rPr>
        <w:t>X</w:t>
      </w:r>
      <w:r w:rsidRPr="00362517">
        <w:t xml:space="preserve"> is the willingness to pay to prevent the (local) extinction of the species, and </w:t>
      </w:r>
      <w:r w:rsidRPr="00362517">
        <w:rPr>
          <w:i/>
        </w:rPr>
        <w:t>H</w:t>
      </w:r>
      <w:r w:rsidRPr="00362517">
        <w:rPr>
          <w:i/>
          <w:vertAlign w:val="subscript"/>
        </w:rPr>
        <w:t>Region</w:t>
      </w:r>
      <w:r w:rsidRPr="00362517">
        <w:t xml:space="preserve"> is the number of households in the region.  Incident reports may shed light on </w:t>
      </w:r>
      <w:r w:rsidRPr="00362517">
        <w:rPr>
          <w:i/>
        </w:rPr>
        <w:t>∆N</w:t>
      </w:r>
      <w:r w:rsidRPr="00362517">
        <w:t xml:space="preserve">, but of course the ability to account for under-reporting is important, and we have no information on under-reporting.  </w:t>
      </w:r>
      <w:r w:rsidRPr="00362517">
        <w:rPr>
          <w:i/>
        </w:rPr>
        <w:t>WTP</w:t>
      </w:r>
      <w:r w:rsidRPr="00362517">
        <w:rPr>
          <w:i/>
        </w:rPr>
        <w:softHyphen/>
      </w:r>
      <w:r w:rsidRPr="00362517">
        <w:rPr>
          <w:i/>
          <w:vertAlign w:val="subscript"/>
        </w:rPr>
        <w:t>X</w:t>
      </w:r>
      <w:r w:rsidRPr="00362517">
        <w:t xml:space="preserve"> for eagles and a handful of other species in the incident data may be gleaned from the literature, but estimates </w:t>
      </w:r>
      <w:r w:rsidRPr="00362517">
        <w:rPr>
          <w:i/>
        </w:rPr>
        <w:t>∆P/∆N</w:t>
      </w:r>
      <w:r w:rsidRPr="00362517">
        <w:t xml:space="preserve"> would be at best speculative.  </w:t>
      </w:r>
    </w:p>
    <w:p w14:paraId="5AB1A020" w14:textId="77777777" w:rsidR="00F848A1" w:rsidRPr="00362517" w:rsidRDefault="00F848A1" w:rsidP="00BF6BC7"/>
    <w:p w14:paraId="5AB1A021" w14:textId="77777777" w:rsidR="00F848A1" w:rsidRPr="00362517" w:rsidRDefault="00F848A1" w:rsidP="00BF6BC7">
      <w:r w:rsidRPr="00362517">
        <w:t xml:space="preserve">Because of the challenge of providing reliable estimates of the value of preventing ecological damage from RUP incidents, we make no attempt to quantify them here.  Below we provide information on the types of incidents that can be prevented by changes to the Certification standards, based on the incident data that are available.  </w:t>
      </w:r>
    </w:p>
    <w:p w14:paraId="5AB1A022" w14:textId="77777777" w:rsidR="00F848A1" w:rsidRPr="00362517" w:rsidRDefault="00F848A1" w:rsidP="00BF6BC7">
      <w:pPr>
        <w:rPr>
          <w:i/>
        </w:rPr>
      </w:pPr>
    </w:p>
    <w:p w14:paraId="5AB1A023" w14:textId="77777777" w:rsidR="00F848A1" w:rsidRPr="00362517" w:rsidRDefault="00F848A1" w:rsidP="00BF6BC7">
      <w:pPr>
        <w:rPr>
          <w:i/>
        </w:rPr>
      </w:pPr>
      <w:r w:rsidRPr="00362517">
        <w:rPr>
          <w:i/>
        </w:rPr>
        <w:t>Incidents</w:t>
      </w:r>
    </w:p>
    <w:p w14:paraId="5AB1A024" w14:textId="77777777" w:rsidR="00F848A1" w:rsidRPr="00362517" w:rsidRDefault="00F848A1" w:rsidP="00BF6BC7"/>
    <w:p w14:paraId="5AB1A025" w14:textId="52E7F430" w:rsidR="00F848A1" w:rsidRPr="00362517" w:rsidRDefault="00F848A1" w:rsidP="00BF6BC7">
      <w:r w:rsidRPr="00362517">
        <w:t xml:space="preserve">The EIIS data were queried in two passes, the first for the period 2009 – 2010, because it matched the period used for the human incident data, and later for 2011 – 2013, to see whether the data were similar, and to have a larger sample if the incidents varied significantly from year to year.  There were total of 245 incidents returned when the EIIS was queried for incidents that were probably related to an RUP.  The incidents that are described here are those that EPA staff determined were related to an RUP (some active ingredients have RUP and non-RUP products), and the incident was deemed “preventable” or “possibly preventable” by the rule changes using the above criteria.  As shown in Table </w:t>
      </w:r>
      <w:r w:rsidR="004C5263">
        <w:t>4.6-1</w:t>
      </w:r>
      <w:r w:rsidRPr="00362517">
        <w:t xml:space="preserve">, there were a total of 68 RUP incidents recorded in EIIS deemed preventable or likely preventable.  There were 16 preventable or possibly preventable incidents involving fish or other aquatic animals, such as crayfish, 5 involving birds, 12 involving mammals (dogs, coyote, and fox), 7 incidents involving damage to bee colonies, and 28 involving crop damage.  The table also shows the number of organisms affected by the incidents.  There were more incidents related to RUPs available, but these were either determined to be unlikely to be prevented by the rule, or there was not enough information to make a determination.  It is worth mentioning that these are the incidents remaining after the screening process, and that there is likely significant under-reporting of ecological incidents.        </w:t>
      </w:r>
    </w:p>
    <w:p w14:paraId="5AB1A026" w14:textId="77777777" w:rsidR="00F848A1" w:rsidRPr="00362517" w:rsidRDefault="00F848A1" w:rsidP="00BF6BC7"/>
    <w:tbl>
      <w:tblPr>
        <w:tblW w:w="6660" w:type="dxa"/>
        <w:jc w:val="center"/>
        <w:tblLook w:val="04A0" w:firstRow="1" w:lastRow="0" w:firstColumn="1" w:lastColumn="0" w:noHBand="0" w:noVBand="1"/>
      </w:tblPr>
      <w:tblGrid>
        <w:gridCol w:w="2790"/>
        <w:gridCol w:w="1530"/>
        <w:gridCol w:w="2340"/>
      </w:tblGrid>
      <w:tr w:rsidR="00362517" w:rsidRPr="00362517" w14:paraId="5AB1A028" w14:textId="77777777" w:rsidTr="0034043F">
        <w:trPr>
          <w:trHeight w:val="315"/>
          <w:jc w:val="center"/>
        </w:trPr>
        <w:tc>
          <w:tcPr>
            <w:tcW w:w="6660" w:type="dxa"/>
            <w:gridSpan w:val="3"/>
            <w:tcBorders>
              <w:top w:val="single" w:sz="4" w:space="0" w:color="auto"/>
              <w:left w:val="single" w:sz="4" w:space="0" w:color="auto"/>
              <w:bottom w:val="single" w:sz="4" w:space="0" w:color="auto"/>
              <w:right w:val="single" w:sz="4" w:space="0" w:color="auto"/>
            </w:tcBorders>
          </w:tcPr>
          <w:p w14:paraId="5AB1A027" w14:textId="22FBBB0E" w:rsidR="00F848A1" w:rsidRPr="00362517" w:rsidRDefault="00F848A1" w:rsidP="00BF6BC7">
            <w:pPr>
              <w:keepNext/>
              <w:rPr>
                <w:rFonts w:cs="Calibri"/>
              </w:rPr>
            </w:pPr>
            <w:r w:rsidRPr="00362517">
              <w:rPr>
                <w:rFonts w:cs="Calibri"/>
              </w:rPr>
              <w:t xml:space="preserve">Table </w:t>
            </w:r>
            <w:r w:rsidR="00A76ABC" w:rsidRPr="00362517">
              <w:rPr>
                <w:rFonts w:cs="Calibri"/>
              </w:rPr>
              <w:t>4</w:t>
            </w:r>
            <w:r w:rsidRPr="00362517">
              <w:rPr>
                <w:rFonts w:cs="Calibri"/>
              </w:rPr>
              <w:t>.</w:t>
            </w:r>
            <w:r w:rsidR="00A76ABC" w:rsidRPr="00362517">
              <w:rPr>
                <w:rFonts w:cs="Calibri"/>
              </w:rPr>
              <w:t>6</w:t>
            </w:r>
            <w:r w:rsidRPr="00362517">
              <w:rPr>
                <w:rFonts w:cs="Calibri"/>
              </w:rPr>
              <w:t>-1.  Preventable Incidents from the EIIS Database, 2009 – 2013</w:t>
            </w:r>
          </w:p>
        </w:tc>
      </w:tr>
      <w:tr w:rsidR="00362517" w:rsidRPr="00362517" w14:paraId="5AB1A02C" w14:textId="77777777" w:rsidTr="0034043F">
        <w:trPr>
          <w:trHeight w:val="315"/>
          <w:jc w:val="center"/>
        </w:trPr>
        <w:tc>
          <w:tcPr>
            <w:tcW w:w="2790" w:type="dxa"/>
            <w:tcBorders>
              <w:top w:val="single" w:sz="4" w:space="0" w:color="auto"/>
              <w:left w:val="single" w:sz="4" w:space="0" w:color="auto"/>
              <w:bottom w:val="single" w:sz="4" w:space="0" w:color="auto"/>
              <w:right w:val="nil"/>
            </w:tcBorders>
            <w:vAlign w:val="bottom"/>
          </w:tcPr>
          <w:p w14:paraId="5AB1A029" w14:textId="77777777" w:rsidR="00F848A1" w:rsidRPr="00362517" w:rsidRDefault="00F848A1" w:rsidP="00BF6BC7">
            <w:pPr>
              <w:keepNext/>
              <w:jc w:val="center"/>
              <w:rPr>
                <w:rFonts w:cs="Calibri"/>
              </w:rPr>
            </w:pPr>
            <w:r w:rsidRPr="00362517">
              <w:rPr>
                <w:rFonts w:cs="Calibri"/>
              </w:rPr>
              <w:t>Affected Organism</w:t>
            </w:r>
          </w:p>
        </w:tc>
        <w:tc>
          <w:tcPr>
            <w:tcW w:w="1530" w:type="dxa"/>
            <w:tcBorders>
              <w:top w:val="single" w:sz="4" w:space="0" w:color="auto"/>
              <w:left w:val="nil"/>
              <w:bottom w:val="single" w:sz="4" w:space="0" w:color="auto"/>
              <w:right w:val="nil"/>
            </w:tcBorders>
            <w:shd w:val="clear" w:color="auto" w:fill="auto"/>
            <w:noWrap/>
            <w:vAlign w:val="bottom"/>
            <w:hideMark/>
          </w:tcPr>
          <w:p w14:paraId="5AB1A02A" w14:textId="77777777" w:rsidR="00F848A1" w:rsidRPr="00362517" w:rsidRDefault="00F848A1" w:rsidP="00BF6BC7">
            <w:pPr>
              <w:keepNext/>
              <w:jc w:val="center"/>
              <w:rPr>
                <w:rFonts w:cs="Calibri"/>
              </w:rPr>
            </w:pPr>
            <w:r w:rsidRPr="00362517">
              <w:rPr>
                <w:rFonts w:cs="Calibri"/>
              </w:rPr>
              <w:t>Number of Incidents Reported</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5AB1A02B" w14:textId="77777777" w:rsidR="00F848A1" w:rsidRPr="00362517" w:rsidRDefault="00F848A1" w:rsidP="00BF6BC7">
            <w:pPr>
              <w:keepNext/>
              <w:jc w:val="center"/>
              <w:rPr>
                <w:rFonts w:cs="Calibri"/>
                <w:sz w:val="20"/>
                <w:szCs w:val="20"/>
              </w:rPr>
            </w:pPr>
            <w:r w:rsidRPr="00362517">
              <w:rPr>
                <w:rFonts w:cs="Calibri"/>
                <w:sz w:val="20"/>
                <w:szCs w:val="20"/>
              </w:rPr>
              <w:t>Quantity Affected</w:t>
            </w:r>
          </w:p>
        </w:tc>
      </w:tr>
      <w:tr w:rsidR="00362517" w:rsidRPr="00362517" w14:paraId="5AB1A030" w14:textId="77777777" w:rsidTr="0034043F">
        <w:trPr>
          <w:trHeight w:val="315"/>
          <w:jc w:val="center"/>
        </w:trPr>
        <w:tc>
          <w:tcPr>
            <w:tcW w:w="2790" w:type="dxa"/>
            <w:tcBorders>
              <w:top w:val="single" w:sz="4" w:space="0" w:color="auto"/>
              <w:left w:val="single" w:sz="4" w:space="0" w:color="auto"/>
              <w:bottom w:val="nil"/>
              <w:right w:val="nil"/>
            </w:tcBorders>
            <w:vAlign w:val="center"/>
          </w:tcPr>
          <w:p w14:paraId="5AB1A02D" w14:textId="77777777" w:rsidR="00F848A1" w:rsidRPr="00362517" w:rsidRDefault="00F848A1" w:rsidP="00BF6BC7">
            <w:pPr>
              <w:keepNext/>
              <w:jc w:val="center"/>
              <w:rPr>
                <w:rFonts w:cs="Calibri"/>
              </w:rPr>
            </w:pPr>
            <w:r w:rsidRPr="00362517">
              <w:rPr>
                <w:rFonts w:cs="Calibri"/>
              </w:rPr>
              <w:t>Fish and Aquatic Animals</w:t>
            </w:r>
          </w:p>
        </w:tc>
        <w:tc>
          <w:tcPr>
            <w:tcW w:w="1530" w:type="dxa"/>
            <w:tcBorders>
              <w:top w:val="single" w:sz="4" w:space="0" w:color="auto"/>
              <w:left w:val="nil"/>
              <w:bottom w:val="nil"/>
              <w:right w:val="nil"/>
            </w:tcBorders>
            <w:shd w:val="clear" w:color="auto" w:fill="auto"/>
            <w:noWrap/>
            <w:vAlign w:val="center"/>
            <w:hideMark/>
          </w:tcPr>
          <w:p w14:paraId="5AB1A02E" w14:textId="77777777" w:rsidR="00F848A1" w:rsidRPr="00362517" w:rsidRDefault="00F848A1" w:rsidP="00BF6BC7">
            <w:pPr>
              <w:keepNext/>
              <w:jc w:val="center"/>
              <w:rPr>
                <w:rFonts w:cs="Calibri"/>
              </w:rPr>
            </w:pPr>
            <w:r w:rsidRPr="00362517">
              <w:rPr>
                <w:rFonts w:cs="Calibri"/>
              </w:rPr>
              <w:t>16</w:t>
            </w:r>
          </w:p>
        </w:tc>
        <w:tc>
          <w:tcPr>
            <w:tcW w:w="2340" w:type="dxa"/>
            <w:tcBorders>
              <w:top w:val="single" w:sz="4" w:space="0" w:color="auto"/>
              <w:left w:val="nil"/>
              <w:bottom w:val="nil"/>
              <w:right w:val="single" w:sz="4" w:space="0" w:color="auto"/>
            </w:tcBorders>
            <w:shd w:val="clear" w:color="auto" w:fill="auto"/>
            <w:noWrap/>
            <w:vAlign w:val="center"/>
            <w:hideMark/>
          </w:tcPr>
          <w:p w14:paraId="5AB1A02F" w14:textId="77777777" w:rsidR="00F848A1" w:rsidRPr="00362517" w:rsidRDefault="00F848A1" w:rsidP="00BF6BC7">
            <w:pPr>
              <w:keepNext/>
              <w:jc w:val="center"/>
              <w:rPr>
                <w:rFonts w:cs="Calibri"/>
              </w:rPr>
            </w:pPr>
            <w:r w:rsidRPr="00362517">
              <w:rPr>
                <w:rFonts w:cs="Calibri"/>
              </w:rPr>
              <w:t>23,633 Killed</w:t>
            </w:r>
          </w:p>
        </w:tc>
      </w:tr>
      <w:tr w:rsidR="00362517" w:rsidRPr="00362517" w14:paraId="5AB1A034" w14:textId="77777777" w:rsidTr="0034043F">
        <w:trPr>
          <w:trHeight w:val="315"/>
          <w:jc w:val="center"/>
        </w:trPr>
        <w:tc>
          <w:tcPr>
            <w:tcW w:w="2790" w:type="dxa"/>
            <w:tcBorders>
              <w:top w:val="nil"/>
              <w:left w:val="single" w:sz="4" w:space="0" w:color="auto"/>
              <w:bottom w:val="nil"/>
              <w:right w:val="nil"/>
            </w:tcBorders>
            <w:vAlign w:val="center"/>
          </w:tcPr>
          <w:p w14:paraId="5AB1A031" w14:textId="77777777" w:rsidR="00F848A1" w:rsidRPr="00362517" w:rsidRDefault="00F848A1" w:rsidP="00BF6BC7">
            <w:pPr>
              <w:keepNext/>
              <w:jc w:val="center"/>
              <w:rPr>
                <w:rFonts w:cs="Calibri"/>
              </w:rPr>
            </w:pPr>
            <w:r w:rsidRPr="00362517">
              <w:rPr>
                <w:rFonts w:cs="Calibri"/>
              </w:rPr>
              <w:t>Birds</w:t>
            </w:r>
          </w:p>
        </w:tc>
        <w:tc>
          <w:tcPr>
            <w:tcW w:w="1530" w:type="dxa"/>
            <w:tcBorders>
              <w:top w:val="nil"/>
              <w:left w:val="nil"/>
              <w:bottom w:val="nil"/>
              <w:right w:val="nil"/>
            </w:tcBorders>
            <w:shd w:val="clear" w:color="auto" w:fill="auto"/>
            <w:noWrap/>
            <w:vAlign w:val="center"/>
            <w:hideMark/>
          </w:tcPr>
          <w:p w14:paraId="5AB1A032" w14:textId="77777777" w:rsidR="00F848A1" w:rsidRPr="00362517" w:rsidRDefault="00F848A1" w:rsidP="00BF6BC7">
            <w:pPr>
              <w:keepNext/>
              <w:jc w:val="center"/>
              <w:rPr>
                <w:rFonts w:cs="Calibri"/>
              </w:rPr>
            </w:pPr>
            <w:r w:rsidRPr="00362517">
              <w:rPr>
                <w:rFonts w:cs="Calibri"/>
              </w:rPr>
              <w:t>5</w:t>
            </w:r>
          </w:p>
        </w:tc>
        <w:tc>
          <w:tcPr>
            <w:tcW w:w="2340" w:type="dxa"/>
            <w:tcBorders>
              <w:top w:val="nil"/>
              <w:left w:val="nil"/>
              <w:bottom w:val="nil"/>
              <w:right w:val="single" w:sz="4" w:space="0" w:color="auto"/>
            </w:tcBorders>
            <w:shd w:val="clear" w:color="auto" w:fill="auto"/>
            <w:noWrap/>
            <w:vAlign w:val="center"/>
            <w:hideMark/>
          </w:tcPr>
          <w:p w14:paraId="5AB1A033" w14:textId="77777777" w:rsidR="00F848A1" w:rsidRPr="00362517" w:rsidRDefault="00F848A1" w:rsidP="00BF6BC7">
            <w:pPr>
              <w:keepNext/>
              <w:jc w:val="center"/>
              <w:rPr>
                <w:rFonts w:cs="Calibri"/>
              </w:rPr>
            </w:pPr>
            <w:r w:rsidRPr="00362517">
              <w:rPr>
                <w:rFonts w:cs="Calibri"/>
              </w:rPr>
              <w:t>504 Killed</w:t>
            </w:r>
          </w:p>
        </w:tc>
      </w:tr>
      <w:tr w:rsidR="00362517" w:rsidRPr="00362517" w14:paraId="5AB1A038" w14:textId="77777777" w:rsidTr="0034043F">
        <w:trPr>
          <w:trHeight w:val="315"/>
          <w:jc w:val="center"/>
        </w:trPr>
        <w:tc>
          <w:tcPr>
            <w:tcW w:w="2790" w:type="dxa"/>
            <w:tcBorders>
              <w:top w:val="nil"/>
              <w:left w:val="single" w:sz="4" w:space="0" w:color="auto"/>
              <w:bottom w:val="nil"/>
              <w:right w:val="nil"/>
            </w:tcBorders>
            <w:vAlign w:val="center"/>
          </w:tcPr>
          <w:p w14:paraId="5AB1A035" w14:textId="77777777" w:rsidR="00F848A1" w:rsidRPr="00362517" w:rsidRDefault="00F848A1" w:rsidP="00BF6BC7">
            <w:pPr>
              <w:keepNext/>
              <w:jc w:val="center"/>
              <w:rPr>
                <w:rFonts w:cs="Calibri"/>
              </w:rPr>
            </w:pPr>
            <w:r w:rsidRPr="00362517">
              <w:rPr>
                <w:rFonts w:cs="Calibri"/>
              </w:rPr>
              <w:t>Mammals</w:t>
            </w:r>
          </w:p>
        </w:tc>
        <w:tc>
          <w:tcPr>
            <w:tcW w:w="1530" w:type="dxa"/>
            <w:tcBorders>
              <w:top w:val="nil"/>
              <w:left w:val="nil"/>
              <w:bottom w:val="nil"/>
              <w:right w:val="nil"/>
            </w:tcBorders>
            <w:shd w:val="clear" w:color="auto" w:fill="auto"/>
            <w:noWrap/>
            <w:vAlign w:val="center"/>
            <w:hideMark/>
          </w:tcPr>
          <w:p w14:paraId="5AB1A036" w14:textId="77777777" w:rsidR="00F848A1" w:rsidRPr="00362517" w:rsidRDefault="00F848A1" w:rsidP="00BF6BC7">
            <w:pPr>
              <w:keepNext/>
              <w:jc w:val="center"/>
              <w:rPr>
                <w:rFonts w:cs="Calibri"/>
              </w:rPr>
            </w:pPr>
            <w:r w:rsidRPr="00362517">
              <w:rPr>
                <w:rFonts w:cs="Calibri"/>
              </w:rPr>
              <w:t>12</w:t>
            </w:r>
          </w:p>
        </w:tc>
        <w:tc>
          <w:tcPr>
            <w:tcW w:w="2340" w:type="dxa"/>
            <w:tcBorders>
              <w:top w:val="nil"/>
              <w:left w:val="nil"/>
              <w:bottom w:val="nil"/>
              <w:right w:val="single" w:sz="4" w:space="0" w:color="auto"/>
            </w:tcBorders>
            <w:shd w:val="clear" w:color="auto" w:fill="auto"/>
            <w:noWrap/>
            <w:vAlign w:val="center"/>
            <w:hideMark/>
          </w:tcPr>
          <w:p w14:paraId="5AB1A037" w14:textId="77777777" w:rsidR="00F848A1" w:rsidRPr="00362517" w:rsidRDefault="00F848A1" w:rsidP="00BF6BC7">
            <w:pPr>
              <w:keepNext/>
              <w:jc w:val="center"/>
              <w:rPr>
                <w:rFonts w:cs="Calibri"/>
              </w:rPr>
            </w:pPr>
            <w:r w:rsidRPr="00362517">
              <w:rPr>
                <w:rFonts w:cs="Calibri"/>
              </w:rPr>
              <w:t>23 Killed</w:t>
            </w:r>
          </w:p>
        </w:tc>
      </w:tr>
      <w:tr w:rsidR="00362517" w:rsidRPr="00362517" w14:paraId="5AB1A03C" w14:textId="77777777" w:rsidTr="0034043F">
        <w:trPr>
          <w:trHeight w:val="315"/>
          <w:jc w:val="center"/>
        </w:trPr>
        <w:tc>
          <w:tcPr>
            <w:tcW w:w="2790" w:type="dxa"/>
            <w:tcBorders>
              <w:top w:val="nil"/>
              <w:left w:val="single" w:sz="4" w:space="0" w:color="auto"/>
              <w:right w:val="nil"/>
            </w:tcBorders>
            <w:vAlign w:val="center"/>
          </w:tcPr>
          <w:p w14:paraId="5AB1A039" w14:textId="77777777" w:rsidR="00F848A1" w:rsidRPr="00362517" w:rsidRDefault="00F848A1" w:rsidP="00BF6BC7">
            <w:pPr>
              <w:keepNext/>
              <w:jc w:val="center"/>
              <w:rPr>
                <w:rFonts w:cs="Calibri"/>
              </w:rPr>
            </w:pPr>
            <w:r w:rsidRPr="00362517">
              <w:rPr>
                <w:rFonts w:cs="Calibri"/>
              </w:rPr>
              <w:t>Bees</w:t>
            </w:r>
          </w:p>
        </w:tc>
        <w:tc>
          <w:tcPr>
            <w:tcW w:w="1530" w:type="dxa"/>
            <w:tcBorders>
              <w:top w:val="nil"/>
              <w:left w:val="nil"/>
              <w:right w:val="nil"/>
            </w:tcBorders>
            <w:shd w:val="clear" w:color="auto" w:fill="auto"/>
            <w:noWrap/>
            <w:vAlign w:val="center"/>
            <w:hideMark/>
          </w:tcPr>
          <w:p w14:paraId="5AB1A03A" w14:textId="77777777" w:rsidR="00F848A1" w:rsidRPr="00362517" w:rsidRDefault="00F848A1" w:rsidP="00BF6BC7">
            <w:pPr>
              <w:keepNext/>
              <w:jc w:val="center"/>
              <w:rPr>
                <w:rFonts w:cs="Calibri"/>
              </w:rPr>
            </w:pPr>
            <w:r w:rsidRPr="00362517">
              <w:rPr>
                <w:rFonts w:cs="Calibri"/>
              </w:rPr>
              <w:t>7</w:t>
            </w:r>
          </w:p>
        </w:tc>
        <w:tc>
          <w:tcPr>
            <w:tcW w:w="2340" w:type="dxa"/>
            <w:tcBorders>
              <w:top w:val="nil"/>
              <w:left w:val="nil"/>
              <w:right w:val="single" w:sz="4" w:space="0" w:color="auto"/>
            </w:tcBorders>
            <w:shd w:val="clear" w:color="auto" w:fill="auto"/>
            <w:noWrap/>
            <w:vAlign w:val="center"/>
            <w:hideMark/>
          </w:tcPr>
          <w:p w14:paraId="5AB1A03B" w14:textId="77777777" w:rsidR="00F848A1" w:rsidRPr="00362517" w:rsidRDefault="00F848A1" w:rsidP="00BF6BC7">
            <w:pPr>
              <w:keepNext/>
              <w:jc w:val="center"/>
              <w:rPr>
                <w:rFonts w:cs="Calibri"/>
              </w:rPr>
            </w:pPr>
            <w:r w:rsidRPr="00362517">
              <w:rPr>
                <w:rFonts w:cs="Calibri"/>
              </w:rPr>
              <w:t>394 Colonies Killed</w:t>
            </w:r>
          </w:p>
        </w:tc>
      </w:tr>
      <w:tr w:rsidR="00362517" w:rsidRPr="00362517" w14:paraId="5AB1A040" w14:textId="77777777" w:rsidTr="0034043F">
        <w:trPr>
          <w:trHeight w:val="315"/>
          <w:jc w:val="center"/>
        </w:trPr>
        <w:tc>
          <w:tcPr>
            <w:tcW w:w="2790" w:type="dxa"/>
            <w:tcBorders>
              <w:top w:val="nil"/>
              <w:left w:val="single" w:sz="4" w:space="0" w:color="auto"/>
              <w:bottom w:val="single" w:sz="4" w:space="0" w:color="auto"/>
              <w:right w:val="nil"/>
            </w:tcBorders>
            <w:vAlign w:val="center"/>
          </w:tcPr>
          <w:p w14:paraId="5AB1A03D" w14:textId="77777777" w:rsidR="00F848A1" w:rsidRPr="00362517" w:rsidRDefault="00F848A1" w:rsidP="00BF6BC7">
            <w:pPr>
              <w:keepNext/>
              <w:jc w:val="center"/>
              <w:rPr>
                <w:rFonts w:cs="Calibri"/>
              </w:rPr>
            </w:pPr>
            <w:r w:rsidRPr="00362517">
              <w:rPr>
                <w:rFonts w:cs="Calibri"/>
              </w:rPr>
              <w:t>Crops</w:t>
            </w:r>
          </w:p>
        </w:tc>
        <w:tc>
          <w:tcPr>
            <w:tcW w:w="1530" w:type="dxa"/>
            <w:tcBorders>
              <w:top w:val="nil"/>
              <w:left w:val="nil"/>
              <w:bottom w:val="single" w:sz="4" w:space="0" w:color="auto"/>
              <w:right w:val="nil"/>
            </w:tcBorders>
            <w:shd w:val="clear" w:color="auto" w:fill="auto"/>
            <w:noWrap/>
            <w:vAlign w:val="center"/>
            <w:hideMark/>
          </w:tcPr>
          <w:p w14:paraId="5AB1A03E" w14:textId="77777777" w:rsidR="00F848A1" w:rsidRPr="00362517" w:rsidRDefault="00F848A1" w:rsidP="00BF6BC7">
            <w:pPr>
              <w:keepNext/>
              <w:jc w:val="center"/>
              <w:rPr>
                <w:rFonts w:cs="Calibri"/>
              </w:rPr>
            </w:pPr>
            <w:r w:rsidRPr="00362517">
              <w:rPr>
                <w:rFonts w:cs="Calibri"/>
              </w:rPr>
              <w:t>28</w:t>
            </w:r>
          </w:p>
        </w:tc>
        <w:tc>
          <w:tcPr>
            <w:tcW w:w="2340" w:type="dxa"/>
            <w:tcBorders>
              <w:top w:val="nil"/>
              <w:left w:val="nil"/>
              <w:bottom w:val="single" w:sz="4" w:space="0" w:color="auto"/>
              <w:right w:val="single" w:sz="4" w:space="0" w:color="auto"/>
            </w:tcBorders>
            <w:shd w:val="clear" w:color="auto" w:fill="auto"/>
            <w:noWrap/>
            <w:vAlign w:val="center"/>
            <w:hideMark/>
          </w:tcPr>
          <w:p w14:paraId="5AB1A03F" w14:textId="77777777" w:rsidR="00F848A1" w:rsidRPr="00362517" w:rsidRDefault="00F848A1" w:rsidP="00BF6BC7">
            <w:pPr>
              <w:keepNext/>
              <w:jc w:val="center"/>
              <w:rPr>
                <w:rFonts w:cs="Calibri"/>
              </w:rPr>
            </w:pPr>
            <w:r w:rsidRPr="00362517">
              <w:rPr>
                <w:rFonts w:cs="Calibri"/>
              </w:rPr>
              <w:t>6,637 Acres Damaged</w:t>
            </w:r>
          </w:p>
        </w:tc>
      </w:tr>
      <w:tr w:rsidR="00F848A1" w:rsidRPr="00362517" w14:paraId="5AB1A042" w14:textId="77777777" w:rsidTr="0034043F">
        <w:trPr>
          <w:trHeight w:val="315"/>
          <w:jc w:val="center"/>
        </w:trPr>
        <w:tc>
          <w:tcPr>
            <w:tcW w:w="6660" w:type="dxa"/>
            <w:gridSpan w:val="3"/>
            <w:tcBorders>
              <w:top w:val="single" w:sz="4" w:space="0" w:color="auto"/>
              <w:left w:val="single" w:sz="4" w:space="0" w:color="auto"/>
              <w:bottom w:val="single" w:sz="4" w:space="0" w:color="auto"/>
              <w:right w:val="single" w:sz="4" w:space="0" w:color="auto"/>
            </w:tcBorders>
            <w:vAlign w:val="bottom"/>
          </w:tcPr>
          <w:p w14:paraId="5AB1A041" w14:textId="77777777" w:rsidR="00F848A1" w:rsidRPr="00362517" w:rsidRDefault="00F848A1" w:rsidP="00BF6BC7">
            <w:pPr>
              <w:keepNext/>
              <w:rPr>
                <w:rFonts w:cs="Calibri"/>
                <w:sz w:val="20"/>
                <w:szCs w:val="20"/>
              </w:rPr>
            </w:pPr>
            <w:r w:rsidRPr="00362517">
              <w:rPr>
                <w:rFonts w:cs="Calibri"/>
                <w:sz w:val="20"/>
                <w:szCs w:val="20"/>
              </w:rPr>
              <w:t xml:space="preserve">Source:  EPA EIIS Database; EPA staff determined preventability.  </w:t>
            </w:r>
          </w:p>
        </w:tc>
      </w:tr>
    </w:tbl>
    <w:p w14:paraId="5AB1A043" w14:textId="77777777" w:rsidR="00F848A1" w:rsidRPr="00362517" w:rsidRDefault="00F848A1" w:rsidP="00BF6BC7"/>
    <w:p w14:paraId="5AB1A044" w14:textId="075AC4C6" w:rsidR="00F848A1" w:rsidRPr="00362517" w:rsidRDefault="00F848A1" w:rsidP="00BF6BC7">
      <w:r w:rsidRPr="00362517">
        <w:t xml:space="preserve">As shown in Table </w:t>
      </w:r>
      <w:r w:rsidR="00A76ABC" w:rsidRPr="00362517">
        <w:t>4</w:t>
      </w:r>
      <w:r w:rsidRPr="00362517">
        <w:t>.</w:t>
      </w:r>
      <w:r w:rsidR="00A76ABC" w:rsidRPr="00362517">
        <w:t>6</w:t>
      </w:r>
      <w:r w:rsidRPr="00362517">
        <w:t xml:space="preserve">-1, there were 28 reported preventable or possibly preventable incidents involving crop damage.  As mentioned above, because we do not know how the damage ultimately affected yield, we are unable to determine the value of preventing incidents like these.  These crop incidents typically involve applicator error that more frequent training on the importance of following label requirements would be able to prevent.  The type of errors found include applying pesticides when weather conditions are not appropriate for the pesticide, contamination or improper cleaning of application equipment, the wrong active ingredient is applied to the crop, incorrect rate or timing of the application.  The crops involved were mostly corn, including sweet corn.  Five of the incidents involve a popcorn crop, all in 2011, and four of them occurred in two adjacent counties in Indiana.    </w:t>
      </w:r>
    </w:p>
    <w:p w14:paraId="5AB1A045" w14:textId="77777777" w:rsidR="00F848A1" w:rsidRPr="00362517" w:rsidRDefault="00F848A1" w:rsidP="00BF6BC7"/>
    <w:p w14:paraId="5AB1A046" w14:textId="77777777" w:rsidR="00F848A1" w:rsidRPr="00362517" w:rsidRDefault="00F848A1" w:rsidP="00BF6BC7">
      <w:r w:rsidRPr="00362517">
        <w:t xml:space="preserve">Although we are unable to estimate the damage caused by these preventable incidents, it is possible to put an upper bound on some of them, as an example.  If we were to assume the crops were a total loss, then in some cases we could multiply the expected yield by the price growers received that year to find an estimate of the total revenue lost to the grower.  For example, a total for 367 acres of popcorn were reported damaged in Indiana.  If the 367 acres of popcorn were to achieve the 2011 average yield for Indiana of 4,000 pounds per acre (NASS, 2012) at the 2011 average price (NASS, 2012) of $0.258 per pound (2011 was a relatively high value year) would have netted a grower $1,032 per acre (over $378,000 for the total area), which would be the lost revenue in Indiana.  Of course, if the crop were lost, there would be some savings in unneeded harvest activities, etc., but this is a substantial loss to growers.  If yield were reduced somewhat, rather than fully, the losses would be somewhat lower.  </w:t>
      </w:r>
    </w:p>
    <w:p w14:paraId="5AB1A047" w14:textId="77777777" w:rsidR="00F848A1" w:rsidRPr="00362517" w:rsidRDefault="00F848A1" w:rsidP="00BF6BC7"/>
    <w:p w14:paraId="5AB1A048" w14:textId="77777777" w:rsidR="00F848A1" w:rsidRPr="00362517" w:rsidRDefault="00F848A1" w:rsidP="00BF6BC7">
      <w:r w:rsidRPr="00362517">
        <w:t xml:space="preserve">Similarly, for field corn, the average incident involved 238 acres.  At 2013 yields and prices (158.8 bushels per acre (NASS, 2014a) and $4.50 per bushel (NASS, 2014b)), preventing the average incident could save revenue to the grower of up to $170,000.  These example numbers show that misuse incidents involving RUPs can be very costly, and avoiding the incidents potentially has substantial value.  </w:t>
      </w:r>
    </w:p>
    <w:p w14:paraId="5AB1A049" w14:textId="77777777" w:rsidR="00F848A1" w:rsidRPr="00362517" w:rsidRDefault="00F848A1" w:rsidP="00BF6BC7"/>
    <w:p w14:paraId="5AB1A04A" w14:textId="4D1E70EC" w:rsidR="00F848A1" w:rsidRPr="00362517" w:rsidRDefault="00F848A1" w:rsidP="00BF6BC7">
      <w:r w:rsidRPr="00362517">
        <w:t xml:space="preserve">As shown in Table </w:t>
      </w:r>
      <w:r w:rsidR="00A76ABC" w:rsidRPr="00362517">
        <w:t>4</w:t>
      </w:r>
      <w:r w:rsidRPr="00362517">
        <w:t>.</w:t>
      </w:r>
      <w:r w:rsidR="00A76ABC" w:rsidRPr="00362517">
        <w:t>6</w:t>
      </w:r>
      <w:r w:rsidRPr="00362517">
        <w:t xml:space="preserve">-1, the EIIS data show 7 reported preventable incidents involving RUPs that killed colonies of bees.  In two of the incidents, there was insufficient information to determine how many colonies were harmed, although the beekeeper reported mortality (reported as 50% mortality in one case).  These two incidents are included in the count of 7, but not the count of colonies harmed.  In all cases, the bees were killed by misapplication of RUPs, when the applicator applied the pesticide to the area where bees were actively foraging or allowed the pesticide to drift into areas where significant numbers of bees were present.  It is difficult to know the value of the colonies destroyed in the preventable incidents that show up in the EIIS data.  The value of a bee colony can be thought of in several ways, all of which are incomplete.  One is the replacement cost for the colony, which includes purchasing of new bees, and possibly new hives and frames, if the beekeeper is concerned about past contamination.  According to Rucker and Thurman (2012), the cost of a new packet of bees which includes a queen is about $50.  This could be considered the rough cost of replacing a colony, but it ignores the lost value of ecosystem services.  The first of these is the loss of honey production for the beekeeper.  Depending on how late in the year the new colony is established, there may be a substantial reduction in the honey produced by the bees.  Average yield per colony in the US for 2012 was 56 pounds, with a value of about $1.99 per pound, or about $112 per colony, which could be lost if the colony could not produce enough honey to maintain itself and allow harvesting (Rucker and Thurman, 2012).  Another important service that bees provide is pollination services, critical to U.S. agriculture.  Beekeepers are contracted to provide bees for pollination for some crops, and the price they are paid for this service varies by the crop.  Among the more valuable crops that depend on pollination services are almonds, which in recent years paid beekeepers about $140 per colony (Rucker </w:t>
      </w:r>
      <w:r w:rsidRPr="00362517">
        <w:rPr>
          <w:i/>
        </w:rPr>
        <w:t>et al.</w:t>
      </w:r>
      <w:r w:rsidRPr="00362517">
        <w:t>, 2012).  This represents a revenue source for beekeepers, but it may not reflect the losses to growers if pollination is not available during the essential time when plants are flowering.  At a very conservative estimate of $100 per hive, the reported loss of hives would have a value of over $39,000.</w:t>
      </w:r>
    </w:p>
    <w:p w14:paraId="5AB1A04B" w14:textId="77777777" w:rsidR="00F848A1" w:rsidRPr="00362517" w:rsidRDefault="00F848A1" w:rsidP="00BF6BC7"/>
    <w:p w14:paraId="5AB1A04C" w14:textId="77777777" w:rsidR="00F848A1" w:rsidRPr="00362517" w:rsidRDefault="00F848A1" w:rsidP="00BF6BC7">
      <w:r w:rsidRPr="00362517">
        <w:t xml:space="preserve">The remainder of the preventable incidents from the EIIS data are animals, generally counted after they have died.  The mammal incidents include the killing of 14 dogs, at least six coyotes and two fox.  Five of the coyotes were killed in one incident, due to improper disposal of RUP containers, but it is possible that they were killed intentionally, which would be a misuse of an RUP.  The other coyote incident involved a farmer baiting for raccoons to protect a corn crop in Connecticut.  The farmer used an RUP insecticide, which resulted in the deaths of the coyote and a dog, and severe injury to another dog.  This was a case where the RUP was mishandled several ways, including off-label use and distributed to noncertified applicators.  There were substantial fines in this case, of $55,000 to the distributor and $15,000 to the farmer, although the fines to the distributor also included distribution to other noncertified applicators.  In a similar incident in Missouri, a man baiting for coyote used an RUP insecticide, which resulted in the death of three crows, a red-tailed hawk, three dogs, a gray fox, a skunk and “several” coyotes.  </w:t>
      </w:r>
    </w:p>
    <w:p w14:paraId="5AB1A04D" w14:textId="77777777" w:rsidR="00F848A1" w:rsidRPr="00362517" w:rsidRDefault="00F848A1" w:rsidP="00BF6BC7"/>
    <w:p w14:paraId="5AB1A04E" w14:textId="77777777" w:rsidR="00F848A1" w:rsidRPr="00362517" w:rsidRDefault="00F848A1" w:rsidP="00BF6BC7">
      <w:r w:rsidRPr="00362517">
        <w:t xml:space="preserve">The remainder of the mammal incidents were the killing of dogs and one fox.  In all cases, they were killed by predacides.  In most cases, these incidents were caused by applicators not following the label instructions, which have clear use restrictions to protect dogs.  One of the cases involves a landowner lacing deer meat with predacides to protect deer from coyote, but where a dog actually consumed the poison.  In this case, the RUP compound was distributed illegally, and applied by someone without following label instructions.   </w:t>
      </w:r>
    </w:p>
    <w:p w14:paraId="5AB1A04F" w14:textId="77777777" w:rsidR="00F848A1" w:rsidRPr="00362517" w:rsidRDefault="00F848A1" w:rsidP="00BF6BC7"/>
    <w:p w14:paraId="5AB1A050" w14:textId="5968B881" w:rsidR="00F848A1" w:rsidRPr="00362517" w:rsidRDefault="00F848A1" w:rsidP="00BF6BC7">
      <w:r w:rsidRPr="00362517">
        <w:t xml:space="preserve">Most of the deaths of aquatic animals came from the application of RUPs to control lamprey.  These events typically resulted in the deaths of hundreds of non-target fish, because the conditions of the application were insufficiently monitored or the application rate was too high.  One case from California was a result of confusion in the appropriate rate of application, which allowed the chemical to move downstream at high concentration beyond the irrigation canal targeted for treatment, resulting in the deaths of several hundred fish, along with crayfish and tadpoles.  Because of the vague description of the numbers killed, these were not counted in Table </w:t>
      </w:r>
      <w:r w:rsidR="00A76ABC" w:rsidRPr="00362517">
        <w:t>4</w:t>
      </w:r>
      <w:r w:rsidRPr="00362517">
        <w:t>.</w:t>
      </w:r>
      <w:r w:rsidR="00A76ABC" w:rsidRPr="00362517">
        <w:t>6</w:t>
      </w:r>
      <w:r w:rsidRPr="00362517">
        <w:t xml:space="preserve">-1, although the incident was.  The final case with aquatic impacts involves non-aquatic applications of RUPs that ended up killing aquatic animals.  The disposal ran into an adjacent creek, resulting in the deaths of approximately 6,000 fish, 600 crayfish, and four aquatic snakes.  There are some estimates in the literature that provide a starting place for valuation for fish, but these typically provide estimated values for maintaining populations of well-known fish, like salmon, rather than individual aquatic animals from these RUP incidents.  A 2006 meta-analysis of willingness to pay per fish based on recreational fishing reported a mean value of about $17 per fish protected, but the range of estimates in the underlying studies, even after outliers were removed was from under five cents to over $300 per fish (Johnston </w:t>
      </w:r>
      <w:r w:rsidRPr="00362517">
        <w:rPr>
          <w:i/>
        </w:rPr>
        <w:t>et al.</w:t>
      </w:r>
      <w:r w:rsidRPr="00362517">
        <w:t xml:space="preserve">, 2006), which highlights the amount of uncertainty in estimates of aquatic valuation. </w:t>
      </w:r>
    </w:p>
    <w:p w14:paraId="5AB1A051" w14:textId="77777777" w:rsidR="00F848A1" w:rsidRPr="00362517" w:rsidRDefault="00F848A1" w:rsidP="00BF6BC7"/>
    <w:p w14:paraId="5AB1A052" w14:textId="77777777" w:rsidR="00F848A1" w:rsidRPr="00362517" w:rsidRDefault="00F848A1" w:rsidP="00BF6BC7">
      <w:r w:rsidRPr="00362517">
        <w:t xml:space="preserve">For birds, there are five incidents involving bird fatalities, one of which was already described above that resulted in the death of three crows and one hawk in addition to several mammals.  Two of the remaining incidents, both in 2009, stem from a rodenticide being applied in a faulty and careless manner which resulted in the deaths of a total of 30 dead geese in Oregon.  Fifty Brewer’s blackbirds and grackles were killed in an urban area of Sacramento, California in 2010.  Although the pesticide was targeting these types of birds, it is designed to frighten rather than kill most of the birds, and the application was in an inappropriate area.  The final bird kill was substantial, and very well documented.  An RUP was used for a rat eradication project on an island in Alaska, and misuse resulted in the deaths of 420 birds, of which 219 were identified.  The birds were killed because, although the label requires picking up spilled bait and any animal carcasses to prevent killing of non-target animals, this was not done until months after the application.  There were many birds killed in this incident: 157 gulls, 41 bald eagles, one peregrine falcon, along with many others.  As with the other species involved in RUP incidents, it is difficult to find estimates of the value of individual birds, but it is clear that they have substantial societal value, both among recreational bird observers and the general public.  There are available estimates for protecting populations of birds, and they confirm the substantial value for protecting these animals.  Kotchen and Reiling (2000) report a mean annual willingness to pay per household (in Maine) of about $26 (1997 dollars) to protect the population of peregrine falcon.  Richardson and Loomis (2009) report annual mean willingness to pay per household in their meta-analysis of contingent valuation studies.  These include bald eagles, which were one of the species in the above incidents, for which they reported the mean values for maintaining the population of bald eagles: studies that report an average value of $39 (2006 dollars) per household per year, and studies that report a lump sum, or an average value of $297 (2006 dollars) per household per year.  These estimates are based on protecting populations of birds at a regional level, so it is difficult to translate losses of individual birds into extinction probabilities that these estimates reflect.  </w:t>
      </w:r>
    </w:p>
    <w:p w14:paraId="5AB1A053" w14:textId="77777777" w:rsidR="00F848A1" w:rsidRPr="00362517" w:rsidRDefault="00F848A1" w:rsidP="00BF6BC7"/>
    <w:p w14:paraId="5AB1A054" w14:textId="77777777" w:rsidR="00F848A1" w:rsidRPr="00362517" w:rsidRDefault="00F848A1" w:rsidP="00BF6BC7">
      <w:r w:rsidRPr="00362517">
        <w:t xml:space="preserve">In all the cases involving wildlife, EPA is unable to estimate the value of these preventable losses described above, although they could be substantial.  The provisions to the rule could help to prevent incidents like these.  </w:t>
      </w:r>
    </w:p>
    <w:p w14:paraId="5AB1A055" w14:textId="77777777" w:rsidR="00F848A1" w:rsidRPr="00362517" w:rsidRDefault="00F848A1" w:rsidP="00BF6BC7"/>
    <w:p w14:paraId="5AB1A056" w14:textId="77777777" w:rsidR="00F848A1" w:rsidRPr="00362517" w:rsidRDefault="00F848A1" w:rsidP="00BF6BC7">
      <w:r w:rsidRPr="00362517">
        <w:t xml:space="preserve">These incidents likely represent a small percentage of the actual ecological incidents caused by certified applicator errors.  In addition to the reasons for under-reporting mentioned earlier, the approach used to search the EIIS database only captured the incidents that occurred from 2009 through 2013.  An example of under-reporting involves deaths of geese in Oregon from zinc phosphide poisoning.  EPA’s search of 2009 – 2013 incidents identified two of these cases during 2009.  By limiting ourselves to that time period, this analysis did not capture a number of similar incidents.  A paper published in the Journal of Veterinary Diagnostic Investigation discussed investigations of ten goose mortality events in Oregon from 2004 to 2008.  The number of birds impacted in these incidents ranged from 5 to over 300 birds (Bildfell, </w:t>
      </w:r>
      <w:r w:rsidRPr="00362517">
        <w:rPr>
          <w:i/>
        </w:rPr>
        <w:t>et al</w:t>
      </w:r>
      <w:r w:rsidRPr="00362517">
        <w:t>., 2013).</w:t>
      </w:r>
    </w:p>
    <w:p w14:paraId="5AB1A057" w14:textId="77777777" w:rsidR="00F848A1" w:rsidRPr="00362517" w:rsidRDefault="00F848A1" w:rsidP="00BF6BC7"/>
    <w:p w14:paraId="5AB1A058" w14:textId="77777777" w:rsidR="00DE6AAE" w:rsidRPr="00362517" w:rsidRDefault="00DE6AAE" w:rsidP="00BF6BC7">
      <w:pPr>
        <w:spacing w:after="160" w:line="259" w:lineRule="auto"/>
      </w:pPr>
    </w:p>
    <w:p w14:paraId="5AB1A059" w14:textId="77777777" w:rsidR="00DE6AAE" w:rsidRPr="00362517" w:rsidRDefault="00DE6AAE" w:rsidP="00BF6BC7">
      <w:pPr>
        <w:spacing w:after="160" w:line="259" w:lineRule="auto"/>
      </w:pPr>
    </w:p>
    <w:p w14:paraId="5AB1A05A" w14:textId="77777777" w:rsidR="00DE6AAE" w:rsidRPr="00362517" w:rsidRDefault="00DE6AAE" w:rsidP="00BF6BC7">
      <w:pPr>
        <w:spacing w:after="160" w:line="259" w:lineRule="auto"/>
      </w:pPr>
    </w:p>
    <w:p w14:paraId="5AB1A05B" w14:textId="77777777" w:rsidR="00DE6AAE" w:rsidRPr="00362517" w:rsidRDefault="00DE6AAE" w:rsidP="00BF6BC7">
      <w:pPr>
        <w:spacing w:after="160" w:line="259" w:lineRule="auto"/>
      </w:pPr>
      <w:r w:rsidRPr="00362517">
        <w:br w:type="page"/>
      </w:r>
    </w:p>
    <w:p w14:paraId="5AB1A05C" w14:textId="77777777" w:rsidR="001D5A4D" w:rsidRPr="00362517" w:rsidRDefault="001D5A4D" w:rsidP="00BF6BC7">
      <w:pPr>
        <w:pStyle w:val="Heading1"/>
      </w:pPr>
      <w:bookmarkStart w:id="374" w:name="_Toc425855742"/>
      <w:bookmarkStart w:id="375" w:name="_Toc468872122"/>
      <w:r w:rsidRPr="00362517">
        <w:t>Chapter 5.  Paperwork Burden</w:t>
      </w:r>
      <w:bookmarkEnd w:id="374"/>
      <w:r w:rsidRPr="00362517">
        <w:t xml:space="preserve"> Requirements</w:t>
      </w:r>
      <w:bookmarkEnd w:id="375"/>
    </w:p>
    <w:p w14:paraId="5AB1A05D" w14:textId="77777777" w:rsidR="001D5A4D" w:rsidRPr="00362517" w:rsidRDefault="001D5A4D" w:rsidP="00BF6BC7"/>
    <w:p w14:paraId="5AB1A05E" w14:textId="77777777" w:rsidR="00E86BD6" w:rsidRPr="00362517" w:rsidRDefault="00E86BD6" w:rsidP="00BF6BC7">
      <w:r w:rsidRPr="00362517">
        <w:t>Associated with changes in the certification and training requirements, the affected entities are subject to paperwork burden.  The Paperwork Reduction Act requires federal agencies to estimate the burden of complying with regulations that require firms or individuals to file reports, maintain records, or otherwise incur a paperwork burden.  Agencies are likewise required to estimate their resources expended.  Because of the substantial changes in certification and training requirements, EPA developed a new Information Collection Request (ICR) entitled, “</w:t>
      </w:r>
      <w:r w:rsidRPr="00362517">
        <w:rPr>
          <w:bCs/>
        </w:rPr>
        <w:t>Pesticides; Certification of Pesticide Applicators; Final Rule [RIN 2070-AJ20]”</w:t>
      </w:r>
      <w:r w:rsidRPr="00362517">
        <w:t xml:space="preserve"> in conjunction with this action, using the same parameters and data as utilized in this Economic Analysis.   </w:t>
      </w:r>
    </w:p>
    <w:p w14:paraId="5AB1A05F" w14:textId="77777777" w:rsidR="00E86BD6" w:rsidRPr="00362517" w:rsidRDefault="00E86BD6" w:rsidP="00BF6BC7"/>
    <w:p w14:paraId="5AB1A060" w14:textId="77777777" w:rsidR="00E86BD6" w:rsidRPr="00362517" w:rsidRDefault="00E86BD6" w:rsidP="00BF6BC7">
      <w:pPr>
        <w:pStyle w:val="BodyText"/>
      </w:pPr>
      <w:r w:rsidRPr="00362517">
        <w:t xml:space="preserve">The rule-related ICR addresses various the paperwork requirements contained in the final rule, including: </w:t>
      </w:r>
    </w:p>
    <w:p w14:paraId="5AB1A061" w14:textId="77777777" w:rsidR="00E86BD6" w:rsidRPr="00362517" w:rsidRDefault="00E86BD6" w:rsidP="00BF6BC7">
      <w:pPr>
        <w:pStyle w:val="BodyText"/>
        <w:widowControl w:val="0"/>
        <w:numPr>
          <w:ilvl w:val="0"/>
          <w:numId w:val="20"/>
        </w:numPr>
      </w:pPr>
      <w:r w:rsidRPr="00362517">
        <w:t xml:space="preserve">Annual reports required from </w:t>
      </w:r>
      <w:r w:rsidR="00F961BD" w:rsidRPr="00362517">
        <w:t>certifying authorities</w:t>
      </w:r>
      <w:r w:rsidRPr="00362517">
        <w:t xml:space="preserve"> with EPA approved certification programs</w:t>
      </w:r>
    </w:p>
    <w:p w14:paraId="5AB1A062" w14:textId="77777777" w:rsidR="00E86BD6" w:rsidRPr="00362517" w:rsidRDefault="00E86BD6" w:rsidP="00BF6BC7">
      <w:pPr>
        <w:pStyle w:val="BodyText"/>
        <w:widowControl w:val="0"/>
        <w:numPr>
          <w:ilvl w:val="0"/>
          <w:numId w:val="20"/>
        </w:numPr>
      </w:pPr>
      <w:r w:rsidRPr="00362517">
        <w:t>Pesticide dealer record keeping</w:t>
      </w:r>
    </w:p>
    <w:p w14:paraId="5AB1A063" w14:textId="77777777" w:rsidR="00E86BD6" w:rsidRPr="00362517" w:rsidRDefault="00E86BD6" w:rsidP="00BF6BC7">
      <w:pPr>
        <w:pStyle w:val="BodyText"/>
        <w:widowControl w:val="0"/>
        <w:numPr>
          <w:ilvl w:val="0"/>
          <w:numId w:val="20"/>
        </w:numPr>
      </w:pPr>
      <w:r w:rsidRPr="00362517">
        <w:t xml:space="preserve">Commercial applicator records for </w:t>
      </w:r>
      <w:r w:rsidR="00F961BD" w:rsidRPr="00362517">
        <w:t>certifying authorities</w:t>
      </w:r>
    </w:p>
    <w:p w14:paraId="5AB1A064" w14:textId="77777777" w:rsidR="00E86BD6" w:rsidRPr="00362517" w:rsidRDefault="00E86BD6" w:rsidP="00BF6BC7">
      <w:pPr>
        <w:pStyle w:val="BodyText"/>
        <w:widowControl w:val="0"/>
        <w:numPr>
          <w:ilvl w:val="0"/>
          <w:numId w:val="20"/>
        </w:numPr>
      </w:pPr>
      <w:r w:rsidRPr="00362517">
        <w:t xml:space="preserve">Certified applicator training </w:t>
      </w:r>
      <w:r w:rsidR="00F961BD" w:rsidRPr="00362517">
        <w:t xml:space="preserve">and exams </w:t>
      </w:r>
      <w:r w:rsidRPr="00362517">
        <w:t>for both private and commercial applicators including</w:t>
      </w:r>
      <w:r w:rsidR="00F961BD" w:rsidRPr="00362517">
        <w:t xml:space="preserve"> keeping </w:t>
      </w:r>
      <w:r w:rsidRPr="00362517">
        <w:t>records</w:t>
      </w:r>
    </w:p>
    <w:p w14:paraId="5AB1A065" w14:textId="77777777" w:rsidR="00E86BD6" w:rsidRPr="00362517" w:rsidRDefault="00E86BD6" w:rsidP="00BF6BC7">
      <w:pPr>
        <w:pStyle w:val="BodyText"/>
        <w:widowControl w:val="0"/>
        <w:numPr>
          <w:ilvl w:val="0"/>
          <w:numId w:val="20"/>
        </w:numPr>
      </w:pPr>
      <w:r w:rsidRPr="00362517">
        <w:t>Noncertified applicator training record keeping</w:t>
      </w:r>
    </w:p>
    <w:p w14:paraId="5AB1A066" w14:textId="77777777" w:rsidR="00E86BD6" w:rsidRPr="00362517" w:rsidRDefault="00E86BD6" w:rsidP="00BF6BC7">
      <w:pPr>
        <w:pStyle w:val="BodyText"/>
        <w:widowControl w:val="0"/>
        <w:numPr>
          <w:ilvl w:val="0"/>
          <w:numId w:val="20"/>
        </w:numPr>
      </w:pPr>
      <w:r w:rsidRPr="00362517">
        <w:t>State plan revisions.</w:t>
      </w:r>
    </w:p>
    <w:p w14:paraId="5AB1A067" w14:textId="77777777" w:rsidR="00E86BD6" w:rsidRPr="00362517" w:rsidRDefault="00E86BD6" w:rsidP="00BF6BC7"/>
    <w:p w14:paraId="5AB1A069" w14:textId="76B678D6" w:rsidR="00F961BD" w:rsidRPr="00362517" w:rsidRDefault="00E86BD6" w:rsidP="00BF6BC7">
      <w:r w:rsidRPr="00362517">
        <w:t xml:space="preserve">The total estimated annual respondent burden for this ICR renewal for respondents is </w:t>
      </w:r>
      <w:r w:rsidRPr="00362517">
        <w:rPr>
          <w:bCs/>
        </w:rPr>
        <w:t>3,</w:t>
      </w:r>
      <w:r w:rsidR="00CB47AF">
        <w:rPr>
          <w:bCs/>
        </w:rPr>
        <w:t>601</w:t>
      </w:r>
      <w:r w:rsidRPr="00362517">
        <w:rPr>
          <w:bCs/>
        </w:rPr>
        <w:t>,</w:t>
      </w:r>
      <w:r w:rsidR="00CB47AF">
        <w:rPr>
          <w:bCs/>
        </w:rPr>
        <w:t>796</w:t>
      </w:r>
      <w:r w:rsidRPr="00362517">
        <w:rPr>
          <w:bCs/>
        </w:rPr>
        <w:t xml:space="preserve"> </w:t>
      </w:r>
      <w:r w:rsidRPr="00362517">
        <w:t xml:space="preserve">hours.  This is an increase of </w:t>
      </w:r>
      <w:r w:rsidRPr="00362517">
        <w:rPr>
          <w:bCs/>
          <w:iCs/>
        </w:rPr>
        <w:t>2,</w:t>
      </w:r>
      <w:r w:rsidR="00CB47AF">
        <w:rPr>
          <w:bCs/>
          <w:iCs/>
        </w:rPr>
        <w:t>281</w:t>
      </w:r>
      <w:r w:rsidRPr="00362517">
        <w:rPr>
          <w:bCs/>
          <w:iCs/>
        </w:rPr>
        <w:t>,</w:t>
      </w:r>
      <w:r w:rsidR="00CB47AF">
        <w:rPr>
          <w:bCs/>
          <w:iCs/>
        </w:rPr>
        <w:t>542</w:t>
      </w:r>
      <w:r w:rsidR="00CB47AF" w:rsidRPr="00362517">
        <w:rPr>
          <w:bCs/>
          <w:iCs/>
        </w:rPr>
        <w:t xml:space="preserve"> </w:t>
      </w:r>
      <w:r w:rsidRPr="00362517">
        <w:t>from the 1,</w:t>
      </w:r>
      <w:r w:rsidR="00CB47AF">
        <w:t>320</w:t>
      </w:r>
      <w:r w:rsidRPr="00362517">
        <w:t>,</w:t>
      </w:r>
      <w:r w:rsidR="00CB47AF">
        <w:t>254</w:t>
      </w:r>
      <w:r w:rsidR="00CB47AF" w:rsidRPr="00362517">
        <w:t xml:space="preserve"> </w:t>
      </w:r>
      <w:r w:rsidRPr="00362517">
        <w:t xml:space="preserve">total burden hours in the ICR approved by OMB under OMB Control No. 2070-0029. The increase in burden is due to both program changes and adjustments made in assumptions and data used to calculate the time and frequency of required information exchange.  The program changes and modifications include rule familiarization; revision and submission of RUP certification plans; </w:t>
      </w:r>
      <w:r w:rsidR="00F961BD" w:rsidRPr="00362517">
        <w:t>training records for noncertified applicators under the direct supervision of commercial applicators; and record keeping of RUP sales by pesticide dealers. Adjustment to the baseline costs and hours from the proposed rule ICR are also made where appropriate, due to improved information available on the number of respondents, updated wage rates and to more fully account for activities.  Respondent records are not required to be submitted to the Agency. They are to be retained on the establishment and made accessible for inspection.</w:t>
      </w:r>
    </w:p>
    <w:p w14:paraId="5AB1A06A" w14:textId="77777777" w:rsidR="00E86BD6" w:rsidRPr="00362517" w:rsidRDefault="00E86BD6" w:rsidP="00BF6BC7"/>
    <w:p w14:paraId="5AB1A06B" w14:textId="77777777" w:rsidR="00E86BD6" w:rsidRPr="00362517" w:rsidRDefault="00E86BD6" w:rsidP="00BF6BC7">
      <w:r w:rsidRPr="00362517">
        <w:t xml:space="preserve">The estimated </w:t>
      </w:r>
      <w:r w:rsidR="00F961BD" w:rsidRPr="00362517">
        <w:t xml:space="preserve">paperwork and information exchange </w:t>
      </w:r>
      <w:r w:rsidRPr="00362517">
        <w:t xml:space="preserve">burden represents the total to comply with the full suite of requirements for certification and training, including all final revisions and those that are unchanged by this rule. This differs from the estimated incremental cost of the final rule, estimated in the Economic Analysis, which only considers the net cost of the revisions. </w:t>
      </w:r>
    </w:p>
    <w:p w14:paraId="5AB1A06C" w14:textId="77777777" w:rsidR="00E86BD6" w:rsidRPr="00362517" w:rsidRDefault="00E86BD6" w:rsidP="00BF6BC7"/>
    <w:p w14:paraId="5AB1A06D" w14:textId="48D23773" w:rsidR="001D5A4D" w:rsidRPr="00362517" w:rsidRDefault="00E86BD6" w:rsidP="00BF6BC7">
      <w:r w:rsidRPr="00362517">
        <w:t xml:space="preserve">The total estimated annual Agency burden for this ICR renewal for respondents is </w:t>
      </w:r>
      <w:r w:rsidRPr="00362517">
        <w:rPr>
          <w:bCs/>
        </w:rPr>
        <w:t>7,</w:t>
      </w:r>
      <w:r w:rsidR="00CB47AF">
        <w:rPr>
          <w:bCs/>
        </w:rPr>
        <w:t>572</w:t>
      </w:r>
      <w:r w:rsidR="00CB47AF" w:rsidRPr="00362517">
        <w:rPr>
          <w:bCs/>
        </w:rPr>
        <w:t xml:space="preserve"> </w:t>
      </w:r>
      <w:r w:rsidRPr="00362517">
        <w:t xml:space="preserve">hours.  This is an increase of </w:t>
      </w:r>
      <w:r w:rsidR="00CB47AF">
        <w:rPr>
          <w:bCs/>
          <w:iCs/>
        </w:rPr>
        <w:t>5</w:t>
      </w:r>
      <w:r w:rsidRPr="00362517">
        <w:rPr>
          <w:bCs/>
          <w:iCs/>
        </w:rPr>
        <w:t>,</w:t>
      </w:r>
      <w:r w:rsidR="00CB47AF">
        <w:rPr>
          <w:bCs/>
          <w:iCs/>
        </w:rPr>
        <w:t>237</w:t>
      </w:r>
      <w:r w:rsidR="00CB47AF" w:rsidRPr="00362517">
        <w:rPr>
          <w:bCs/>
          <w:iCs/>
        </w:rPr>
        <w:t xml:space="preserve"> </w:t>
      </w:r>
      <w:r w:rsidRPr="00362517">
        <w:t xml:space="preserve">from the 2,335 total burden hours in the ICR approved by OMB under OMB Control No. 2070-0029.  The increase in burden is due to program changes, adjustments made in assumptions and updates to the data used to calculate the time and frequency of required information exchange.  The main program change includes review of the various State, Territory, Federal Agency and Tribal </w:t>
      </w:r>
      <w:r w:rsidRPr="00362517">
        <w:rPr>
          <w:bCs/>
        </w:rPr>
        <w:t>certification p</w:t>
      </w:r>
      <w:r w:rsidRPr="00362517">
        <w:t xml:space="preserve">lans that </w:t>
      </w:r>
      <w:r w:rsidR="00F961BD" w:rsidRPr="00362517">
        <w:t>are</w:t>
      </w:r>
      <w:r w:rsidRPr="00362517">
        <w:t xml:space="preserve"> required to be submitted to the Agency.  Adjustment to the baseline costs and hours from the previous proposed rule ICR are also made where appropriate, due to </w:t>
      </w:r>
      <w:r w:rsidR="00F961BD" w:rsidRPr="00362517">
        <w:t xml:space="preserve">improved </w:t>
      </w:r>
      <w:r w:rsidRPr="00362517">
        <w:t>information available on wage rates and to more fully account for activities.</w:t>
      </w:r>
    </w:p>
    <w:p w14:paraId="5AB1A06E" w14:textId="77777777" w:rsidR="00DE6AAE" w:rsidRPr="00362517" w:rsidRDefault="00DE6AAE" w:rsidP="00BF6BC7">
      <w:pPr>
        <w:spacing w:after="160" w:line="259" w:lineRule="auto"/>
      </w:pPr>
    </w:p>
    <w:p w14:paraId="5AB1A06F" w14:textId="77777777" w:rsidR="00DE6AAE" w:rsidRPr="00362517" w:rsidRDefault="00DE6AAE" w:rsidP="00BF6BC7">
      <w:pPr>
        <w:spacing w:after="160" w:line="259" w:lineRule="auto"/>
      </w:pPr>
    </w:p>
    <w:p w14:paraId="5AB1A070" w14:textId="77777777" w:rsidR="00DE6AAE" w:rsidRPr="00362517" w:rsidRDefault="00DE6AAE" w:rsidP="00BF6BC7">
      <w:pPr>
        <w:spacing w:after="160" w:line="259" w:lineRule="auto"/>
      </w:pPr>
      <w:r w:rsidRPr="00362517">
        <w:br w:type="page"/>
      </w:r>
    </w:p>
    <w:p w14:paraId="5AB1A071" w14:textId="77777777" w:rsidR="0029334D" w:rsidRPr="00362517" w:rsidRDefault="0029334D" w:rsidP="00BF6BC7">
      <w:pPr>
        <w:pStyle w:val="Heading1"/>
      </w:pPr>
      <w:bookmarkStart w:id="376" w:name="_Toc393400057"/>
      <w:bookmarkStart w:id="377" w:name="_Toc395177755"/>
      <w:bookmarkStart w:id="378" w:name="_Toc410807832"/>
      <w:bookmarkStart w:id="379" w:name="_Toc468872123"/>
      <w:r w:rsidRPr="00362517">
        <w:t>References</w:t>
      </w:r>
      <w:bookmarkEnd w:id="376"/>
      <w:bookmarkEnd w:id="377"/>
      <w:bookmarkEnd w:id="378"/>
      <w:bookmarkEnd w:id="379"/>
    </w:p>
    <w:p w14:paraId="5AB1A072" w14:textId="77777777" w:rsidR="0029334D" w:rsidRPr="00362517" w:rsidRDefault="0029334D" w:rsidP="00BF6BC7"/>
    <w:p w14:paraId="5AB1A073" w14:textId="77777777" w:rsidR="0029334D" w:rsidRPr="00362517" w:rsidRDefault="0029334D" w:rsidP="00BF6BC7"/>
    <w:p w14:paraId="5AB1A074" w14:textId="008EAC25" w:rsidR="00C93033" w:rsidRPr="00362517" w:rsidRDefault="00C93033" w:rsidP="00BF6BC7">
      <w:pPr>
        <w:spacing w:after="120"/>
        <w:ind w:left="720" w:hangingChars="300" w:hanging="720"/>
      </w:pPr>
      <w:r w:rsidRPr="00362517">
        <w:t xml:space="preserve">Abdel Rasoul, GM, </w:t>
      </w:r>
      <w:r w:rsidR="00852FAF">
        <w:t xml:space="preserve">ME </w:t>
      </w:r>
      <w:r w:rsidRPr="00362517">
        <w:t xml:space="preserve">Abou Salem, </w:t>
      </w:r>
      <w:r w:rsidR="00852FAF">
        <w:t xml:space="preserve">AF </w:t>
      </w:r>
      <w:r w:rsidRPr="00362517">
        <w:t xml:space="preserve">Mechael, </w:t>
      </w:r>
      <w:r w:rsidR="00852FAF">
        <w:t xml:space="preserve">OM </w:t>
      </w:r>
      <w:r w:rsidRPr="00362517">
        <w:t xml:space="preserve">Hedy, </w:t>
      </w:r>
      <w:r w:rsidR="00852FAF">
        <w:t xml:space="preserve">DS </w:t>
      </w:r>
      <w:r w:rsidRPr="00362517">
        <w:t xml:space="preserve">Rohlman, </w:t>
      </w:r>
      <w:r w:rsidR="00852FAF">
        <w:t xml:space="preserve">AA </w:t>
      </w:r>
      <w:r w:rsidRPr="00362517">
        <w:t>Ismail</w:t>
      </w:r>
      <w:r w:rsidR="00841415">
        <w:t>.</w:t>
      </w:r>
      <w:r w:rsidRPr="00362517">
        <w:t xml:space="preserve"> </w:t>
      </w:r>
      <w:r w:rsidR="00450F7C">
        <w:t xml:space="preserve">2008. </w:t>
      </w:r>
      <w:r w:rsidR="00852FAF">
        <w:t xml:space="preserve"> </w:t>
      </w:r>
      <w:r w:rsidRPr="00362517">
        <w:t xml:space="preserve">Effects of occupational pesticide exposure on children applying pesticides, </w:t>
      </w:r>
      <w:r w:rsidRPr="00362517">
        <w:rPr>
          <w:i/>
        </w:rPr>
        <w:t>NeuroToxicology</w:t>
      </w:r>
      <w:r w:rsidR="00841415">
        <w:rPr>
          <w:i/>
        </w:rPr>
        <w:t>.</w:t>
      </w:r>
      <w:r w:rsidRPr="00362517">
        <w:t xml:space="preserve"> 29</w:t>
      </w:r>
      <w:r w:rsidR="00852FAF">
        <w:t>:</w:t>
      </w:r>
      <w:r w:rsidRPr="00362517">
        <w:t xml:space="preserve">  833–838</w:t>
      </w:r>
      <w:r w:rsidR="00852FAF">
        <w:t>.</w:t>
      </w:r>
      <w:r w:rsidRPr="00362517">
        <w:t xml:space="preserve"> </w:t>
      </w:r>
    </w:p>
    <w:p w14:paraId="5AB1A075" w14:textId="7C6EC8B3" w:rsidR="00C93033" w:rsidRPr="00362517" w:rsidRDefault="00C93033" w:rsidP="00BF6BC7">
      <w:pPr>
        <w:spacing w:after="120"/>
        <w:ind w:left="720" w:hangingChars="300" w:hanging="720"/>
      </w:pPr>
      <w:r w:rsidRPr="00362517">
        <w:t xml:space="preserve"> Alavanja, MC, M Dosemeci, C Samanic, J Lubin, CF Lynch, C Knott, J Barker, JA Hoppin, DP Sandler, J Coble, K Thomas, and A Blair.  2004.  Pesticides and lung cancer risk in the agricultural health study cohort.  </w:t>
      </w:r>
      <w:r w:rsidRPr="00E268E3">
        <w:rPr>
          <w:i/>
        </w:rPr>
        <w:t>Am J Epidemiol</w:t>
      </w:r>
      <w:r w:rsidR="00450F7C" w:rsidRPr="00E268E3">
        <w:rPr>
          <w:i/>
        </w:rPr>
        <w:t>.</w:t>
      </w:r>
      <w:r w:rsidRPr="00362517">
        <w:t xml:space="preserve"> 160:</w:t>
      </w:r>
      <w:r w:rsidR="00841415">
        <w:t xml:space="preserve">  </w:t>
      </w:r>
      <w:r w:rsidRPr="00362517">
        <w:t>876-85.</w:t>
      </w:r>
    </w:p>
    <w:p w14:paraId="5AB1A076" w14:textId="3AA3CB95" w:rsidR="00C93033" w:rsidRPr="00362517" w:rsidRDefault="00C93033" w:rsidP="00BF6BC7">
      <w:pPr>
        <w:spacing w:after="120"/>
        <w:ind w:left="720" w:hanging="720"/>
      </w:pPr>
      <w:r w:rsidRPr="00362517">
        <w:t>Alavanja, MC, and MR Bonner.  2012.  Occupational Pesticide Exposures and Cancer Risk: A Review, Journal of Toxicology and Environmental Health, Part B: Critical Reviews, 15</w:t>
      </w:r>
      <w:r w:rsidR="00852FAF">
        <w:t>(</w:t>
      </w:r>
      <w:r w:rsidRPr="00362517">
        <w:t>4</w:t>
      </w:r>
      <w:r w:rsidR="00852FAF">
        <w:t>).</w:t>
      </w:r>
      <w:r w:rsidRPr="00362517">
        <w:t xml:space="preserve"> </w:t>
      </w:r>
      <w:r w:rsidR="00852FAF">
        <w:t xml:space="preserve">Available at: </w:t>
      </w:r>
      <w:hyperlink r:id="rId18" w:history="1">
        <w:r w:rsidRPr="00362517">
          <w:rPr>
            <w:rStyle w:val="Hyperlink"/>
            <w:rFonts w:eastAsiaTheme="majorEastAsia"/>
            <w:color w:val="auto"/>
          </w:rPr>
          <w:t>http://www.ncbi.nlm.nih.gov/pubmed/22571220</w:t>
        </w:r>
      </w:hyperlink>
      <w:r w:rsidRPr="00362517">
        <w:rPr>
          <w:rStyle w:val="Hyperlink"/>
          <w:rFonts w:eastAsiaTheme="majorEastAsia"/>
          <w:color w:val="auto"/>
        </w:rPr>
        <w:t>.</w:t>
      </w:r>
    </w:p>
    <w:p w14:paraId="5AB1A077" w14:textId="53FC9120" w:rsidR="00C93033" w:rsidRPr="00362517" w:rsidRDefault="00C93033" w:rsidP="00BF6BC7">
      <w:pPr>
        <w:spacing w:after="120"/>
        <w:ind w:left="720" w:hanging="720"/>
      </w:pPr>
      <w:r w:rsidRPr="00362517">
        <w:t>Alavanja, MC, MK Ross, and MR Bonner.  2013.  Increased cancer burden among pesticide applicators and others due to pesticide exposure</w:t>
      </w:r>
      <w:r w:rsidR="00841415">
        <w:t>.</w:t>
      </w:r>
      <w:r w:rsidRPr="00362517">
        <w:t xml:space="preserve"> CA: A Cancer Journal for Clinicians</w:t>
      </w:r>
      <w:r w:rsidR="00841415">
        <w:t>.</w:t>
      </w:r>
      <w:r w:rsidRPr="00362517">
        <w:t xml:space="preserve"> </w:t>
      </w:r>
      <w:r w:rsidR="00841415">
        <w:t xml:space="preserve"> </w:t>
      </w:r>
      <w:r w:rsidR="00841415" w:rsidRPr="00362517">
        <w:t>January 15</w:t>
      </w:r>
      <w:r w:rsidRPr="00362517">
        <w:t xml:space="preserve">.  </w:t>
      </w:r>
    </w:p>
    <w:p w14:paraId="5AB1A078" w14:textId="4CDFAD75" w:rsidR="00C93033" w:rsidRPr="00362517" w:rsidRDefault="00C93033" w:rsidP="00BF6BC7">
      <w:pPr>
        <w:spacing w:after="120"/>
        <w:ind w:left="720" w:hangingChars="300" w:hanging="720"/>
      </w:pPr>
      <w:r w:rsidRPr="00362517">
        <w:t>Alavanja</w:t>
      </w:r>
      <w:r w:rsidR="00376CD1">
        <w:t>,</w:t>
      </w:r>
      <w:r w:rsidRPr="00362517">
        <w:t xml:space="preserve"> MC, </w:t>
      </w:r>
      <w:r w:rsidR="00376CD1">
        <w:t xml:space="preserve">C </w:t>
      </w:r>
      <w:r w:rsidRPr="00362517">
        <w:t xml:space="preserve">Samanic, </w:t>
      </w:r>
      <w:r w:rsidR="00376CD1">
        <w:t xml:space="preserve">M </w:t>
      </w:r>
      <w:r w:rsidRPr="00362517">
        <w:t xml:space="preserve">Dosemeci, </w:t>
      </w:r>
      <w:r w:rsidR="00376CD1">
        <w:t xml:space="preserve">J </w:t>
      </w:r>
      <w:r w:rsidRPr="00362517">
        <w:t xml:space="preserve">Lubin, </w:t>
      </w:r>
      <w:r w:rsidR="00376CD1">
        <w:t xml:space="preserve">R </w:t>
      </w:r>
      <w:r w:rsidRPr="00362517">
        <w:t xml:space="preserve">Tarone, </w:t>
      </w:r>
      <w:r w:rsidR="00376CD1">
        <w:t xml:space="preserve">CF </w:t>
      </w:r>
      <w:r w:rsidRPr="00362517">
        <w:t xml:space="preserve">Lynch, </w:t>
      </w:r>
      <w:r w:rsidR="00376CD1">
        <w:t xml:space="preserve">C </w:t>
      </w:r>
      <w:r w:rsidRPr="00362517">
        <w:t xml:space="preserve">Knott, </w:t>
      </w:r>
      <w:r w:rsidR="00376CD1">
        <w:t xml:space="preserve">K </w:t>
      </w:r>
      <w:r w:rsidRPr="00362517">
        <w:t>Thomas,</w:t>
      </w:r>
      <w:r w:rsidR="00376CD1">
        <w:t xml:space="preserve"> JA</w:t>
      </w:r>
      <w:r w:rsidRPr="00362517">
        <w:t xml:space="preserve"> Hoppin, </w:t>
      </w:r>
      <w:r w:rsidR="00376CD1">
        <w:t xml:space="preserve">J </w:t>
      </w:r>
      <w:r w:rsidRPr="00362517">
        <w:t xml:space="preserve">Barker, </w:t>
      </w:r>
      <w:r w:rsidR="00376CD1">
        <w:t xml:space="preserve">J </w:t>
      </w:r>
      <w:r w:rsidRPr="00362517">
        <w:t xml:space="preserve">Coble, </w:t>
      </w:r>
      <w:r w:rsidR="00376CD1">
        <w:t xml:space="preserve">DP </w:t>
      </w:r>
      <w:r w:rsidRPr="00362517">
        <w:t xml:space="preserve">Sandler, </w:t>
      </w:r>
      <w:r w:rsidR="00376CD1">
        <w:t xml:space="preserve">A </w:t>
      </w:r>
      <w:r w:rsidRPr="00362517">
        <w:t xml:space="preserve">Blair. </w:t>
      </w:r>
      <w:r w:rsidR="00841415">
        <w:t xml:space="preserve"> </w:t>
      </w:r>
      <w:r w:rsidR="008048AD">
        <w:t xml:space="preserve">2003.  </w:t>
      </w:r>
      <w:r w:rsidRPr="00362517">
        <w:t>Use of agricultural pesticides and prostate cancer risk in the Agricultural Health Study cohort, Am J Epidemiol. 157(9):</w:t>
      </w:r>
      <w:r w:rsidR="00852FAF">
        <w:t xml:space="preserve">  </w:t>
      </w:r>
      <w:r w:rsidRPr="00362517">
        <w:t>800-14</w:t>
      </w:r>
      <w:r w:rsidR="008048AD">
        <w:t>, May 1</w:t>
      </w:r>
      <w:r w:rsidRPr="00362517">
        <w:t>.</w:t>
      </w:r>
    </w:p>
    <w:p w14:paraId="432CC4F3" w14:textId="7FEE2861" w:rsidR="005C7569" w:rsidRPr="00E268E3" w:rsidRDefault="005C7569" w:rsidP="00BF6BC7">
      <w:pPr>
        <w:spacing w:after="120"/>
        <w:ind w:left="720" w:hangingChars="300" w:hanging="720"/>
        <w:rPr>
          <w:u w:val="single"/>
        </w:rPr>
      </w:pPr>
      <w:r w:rsidRPr="00362517">
        <w:t>Anderson</w:t>
      </w:r>
      <w:r w:rsidR="00376CD1">
        <w:t>, M</w:t>
      </w:r>
      <w:r w:rsidRPr="00362517">
        <w:t>. Technology Device Ownership: 2015. Pew Research Center, October</w:t>
      </w:r>
      <w:r w:rsidR="00841415">
        <w:t>. A</w:t>
      </w:r>
      <w:r w:rsidRPr="00362517">
        <w:t xml:space="preserve">vailable at: </w:t>
      </w:r>
      <w:r w:rsidRPr="00E268E3">
        <w:rPr>
          <w:u w:val="single"/>
        </w:rPr>
        <w:t xml:space="preserve">http://www.pewinternet.org/2015/10/29/technology-device-ownership-2015 </w:t>
      </w:r>
    </w:p>
    <w:p w14:paraId="5AB1A079" w14:textId="7104B181" w:rsidR="00C93033" w:rsidRPr="00362517" w:rsidRDefault="00C93033" w:rsidP="00BF6BC7">
      <w:pPr>
        <w:spacing w:after="120"/>
        <w:ind w:left="720" w:hangingChars="300" w:hanging="720"/>
      </w:pPr>
      <w:r w:rsidRPr="00362517">
        <w:t>Anger</w:t>
      </w:r>
      <w:r w:rsidR="00376CD1">
        <w:t>,</w:t>
      </w:r>
      <w:r w:rsidRPr="00362517">
        <w:t xml:space="preserve"> WK, Patterson L, Fuchs M, Will LL, Rohlman, DS</w:t>
      </w:r>
      <w:r w:rsidR="00852FAF">
        <w:t>.</w:t>
      </w:r>
      <w:r w:rsidR="00841415">
        <w:t xml:space="preserve"> </w:t>
      </w:r>
      <w:r w:rsidR="008048AD">
        <w:t xml:space="preserve"> 2009.</w:t>
      </w:r>
      <w:r w:rsidRPr="00362517">
        <w:t xml:space="preserve"> </w:t>
      </w:r>
      <w:r w:rsidR="008048AD">
        <w:t xml:space="preserve"> </w:t>
      </w:r>
      <w:r w:rsidRPr="00362517">
        <w:t>Learning and Recall of Worker Protection Standard (WPS) Training in Vineyard Workers</w:t>
      </w:r>
      <w:r w:rsidR="00841415">
        <w:t xml:space="preserve">. </w:t>
      </w:r>
      <w:r w:rsidRPr="00362517">
        <w:t xml:space="preserve"> </w:t>
      </w:r>
      <w:r w:rsidRPr="00362517">
        <w:rPr>
          <w:i/>
          <w:iCs/>
        </w:rPr>
        <w:t>Journal of Agromedicine</w:t>
      </w:r>
      <w:r w:rsidR="00841415">
        <w:t>.</w:t>
      </w:r>
      <w:r w:rsidRPr="00362517">
        <w:t xml:space="preserve"> </w:t>
      </w:r>
      <w:r w:rsidR="00841415">
        <w:t xml:space="preserve">2009.  </w:t>
      </w:r>
      <w:r w:rsidRPr="00362517">
        <w:t>14:</w:t>
      </w:r>
      <w:r w:rsidR="00852FAF">
        <w:t xml:space="preserve">  </w:t>
      </w:r>
      <w:r w:rsidRPr="00362517">
        <w:t>336–344.</w:t>
      </w:r>
    </w:p>
    <w:p w14:paraId="56F5857F" w14:textId="05B9AD10" w:rsidR="0032463D" w:rsidRPr="00362517" w:rsidRDefault="0032463D" w:rsidP="00BF6BC7">
      <w:pPr>
        <w:spacing w:after="120"/>
        <w:ind w:left="720" w:hangingChars="300" w:hanging="720"/>
      </w:pPr>
      <w:r w:rsidRPr="00362517">
        <w:t>Amazon.com</w:t>
      </w:r>
      <w:r w:rsidR="00852FAF">
        <w:t>.</w:t>
      </w:r>
      <w:r w:rsidRPr="00362517">
        <w:t xml:space="preserve"> 2016.  Cost of three different models of two way radios, Midland GXT1000VP4, Motorola MH230R, and Olympia R300 radios.  Retrieved August 9.  </w:t>
      </w:r>
    </w:p>
    <w:p w14:paraId="5AB1A07A" w14:textId="1BFA70C7" w:rsidR="00C93033" w:rsidRPr="00362517" w:rsidRDefault="00C93033" w:rsidP="00BF6BC7">
      <w:pPr>
        <w:spacing w:after="120"/>
        <w:ind w:left="720" w:hangingChars="300" w:hanging="720"/>
      </w:pPr>
      <w:r w:rsidRPr="00362517">
        <w:t>American Association of Poison Control Centers.  2000 – 2013.  Annual Reports from 1999 – 2012</w:t>
      </w:r>
      <w:r w:rsidR="00841415">
        <w:t>.</w:t>
      </w:r>
      <w:r w:rsidRPr="00362517">
        <w:t xml:space="preserve"> </w:t>
      </w:r>
      <w:r w:rsidR="00852FAF">
        <w:t>A</w:t>
      </w:r>
      <w:r w:rsidRPr="00362517">
        <w:t xml:space="preserve">vailable </w:t>
      </w:r>
      <w:r w:rsidR="00852FAF">
        <w:t>at:</w:t>
      </w:r>
      <w:r w:rsidRPr="00362517">
        <w:t xml:space="preserve"> </w:t>
      </w:r>
      <w:r w:rsidRPr="00E268E3">
        <w:rPr>
          <w:u w:val="single"/>
        </w:rPr>
        <w:t>http://www.aapcc.org/annual-reports/</w:t>
      </w:r>
    </w:p>
    <w:p w14:paraId="5AB1A07B" w14:textId="71C54640" w:rsidR="00C93033" w:rsidRPr="00362517" w:rsidRDefault="00C93033" w:rsidP="00BF6BC7">
      <w:pPr>
        <w:spacing w:after="120"/>
        <w:ind w:left="720" w:hangingChars="300" w:hanging="720"/>
      </w:pPr>
      <w:r w:rsidRPr="00362517">
        <w:t>Arizona, Office of the Auditor General</w:t>
      </w:r>
      <w:r w:rsidR="008048AD">
        <w:t>.</w:t>
      </w:r>
      <w:r w:rsidRPr="00362517">
        <w:t xml:space="preserve"> 1990.  </w:t>
      </w:r>
      <w:r w:rsidRPr="00362517">
        <w:rPr>
          <w:i/>
        </w:rPr>
        <w:t>Audit of the Arizona Department of Health Services’ Activities Related to Agricultural Pesticides.</w:t>
      </w:r>
    </w:p>
    <w:p w14:paraId="5AB1A07C" w14:textId="7DDC35A4" w:rsidR="00C93033" w:rsidRPr="00362517" w:rsidRDefault="00C93033" w:rsidP="00BF6BC7">
      <w:pPr>
        <w:spacing w:after="120"/>
        <w:ind w:left="720" w:hangingChars="300" w:hanging="720"/>
      </w:pPr>
      <w:r w:rsidRPr="00362517">
        <w:t xml:space="preserve">Atwood, D, C. Cook, N. Mallampalli, C. Myers, C. Hanson, M. Kaul, A. Lee, and S. Smearman.  2015.  </w:t>
      </w:r>
      <w:r w:rsidRPr="00362517">
        <w:rPr>
          <w:i/>
        </w:rPr>
        <w:t>Analysis of the Small Business Impacts of Revoking Chlorpyrifos Food Tolerances</w:t>
      </w:r>
      <w:r w:rsidRPr="00362517">
        <w:t xml:space="preserve">.  Biological and Economic Analysis Division, Office of Pesticide Programs, U.S. EPA.  </w:t>
      </w:r>
      <w:r w:rsidR="008048AD">
        <w:t xml:space="preserve">p. </w:t>
      </w:r>
      <w:r w:rsidRPr="00362517">
        <w:t>53.  Available at</w:t>
      </w:r>
      <w:r w:rsidR="00CC4E34">
        <w:t>:</w:t>
      </w:r>
      <w:r w:rsidRPr="00362517">
        <w:t xml:space="preserve"> </w:t>
      </w:r>
      <w:r w:rsidR="00CC4E34" w:rsidRPr="007C4D4A">
        <w:rPr>
          <w:u w:val="single"/>
        </w:rPr>
        <w:t>http://</w:t>
      </w:r>
      <w:r w:rsidRPr="00E268E3">
        <w:rPr>
          <w:u w:val="single"/>
        </w:rPr>
        <w:t>www.regulations.gov</w:t>
      </w:r>
      <w:r w:rsidRPr="00362517">
        <w:t>, docket EPA-HQ-OPP-2015-0653, document 0002.</w:t>
      </w:r>
    </w:p>
    <w:p w14:paraId="5AB1A07D" w14:textId="0402DCCD" w:rsidR="00C93033" w:rsidRPr="00362517" w:rsidRDefault="00C93033" w:rsidP="00BF6BC7">
      <w:pPr>
        <w:spacing w:after="120"/>
        <w:ind w:left="720" w:hangingChars="300" w:hanging="720"/>
      </w:pPr>
      <w:r w:rsidRPr="00362517">
        <w:t>Azaroff</w:t>
      </w:r>
      <w:r w:rsidR="00376CD1">
        <w:t>,</w:t>
      </w:r>
      <w:r w:rsidRPr="00362517">
        <w:t xml:space="preserve"> LS, C Levenstein, and DH Wegman.  2002.  Occupational injury and illness surveillance: conceptual filters explain underreporting.</w:t>
      </w:r>
      <w:r w:rsidR="008048AD">
        <w:t xml:space="preserve">  </w:t>
      </w:r>
      <w:r w:rsidRPr="00362517">
        <w:rPr>
          <w:i/>
        </w:rPr>
        <w:t>American Journal of Public Health</w:t>
      </w:r>
      <w:r w:rsidR="00841415">
        <w:t>.</w:t>
      </w:r>
      <w:r w:rsidRPr="00362517">
        <w:t xml:space="preserve"> </w:t>
      </w:r>
      <w:r w:rsidR="008048AD">
        <w:t xml:space="preserve"> </w:t>
      </w:r>
      <w:r w:rsidRPr="00362517">
        <w:t>92: 1421–1429.</w:t>
      </w:r>
    </w:p>
    <w:p w14:paraId="5AB1A07E" w14:textId="7CDD60A3" w:rsidR="00C93033" w:rsidRPr="00362517" w:rsidRDefault="00C93033" w:rsidP="00BF6BC7">
      <w:pPr>
        <w:spacing w:after="120"/>
        <w:ind w:left="720" w:hangingChars="300" w:hanging="720"/>
      </w:pPr>
      <w:r w:rsidRPr="00362517">
        <w:t xml:space="preserve">Baker, EL, JM Melius, and JD Millar.  2009.  Surveillance of Occupation Illness and Injury in the United States: Current Perspectives and Future Directions, </w:t>
      </w:r>
      <w:r w:rsidRPr="00E268E3">
        <w:rPr>
          <w:i/>
        </w:rPr>
        <w:t>Journal of Public Health Policy</w:t>
      </w:r>
      <w:r w:rsidR="008048AD">
        <w:t>.</w:t>
      </w:r>
      <w:r w:rsidRPr="00362517">
        <w:t xml:space="preserve"> Summer:</w:t>
      </w:r>
      <w:r w:rsidR="00376CD1">
        <w:t xml:space="preserve"> </w:t>
      </w:r>
      <w:r w:rsidRPr="00362517">
        <w:t>9(2).</w:t>
      </w:r>
    </w:p>
    <w:p w14:paraId="5AB1A07F" w14:textId="5688ED82" w:rsidR="00C93033" w:rsidRPr="00362517" w:rsidRDefault="00C93033" w:rsidP="00BF6BC7">
      <w:pPr>
        <w:spacing w:after="120"/>
        <w:ind w:left="720" w:hangingChars="300" w:hanging="720"/>
      </w:pPr>
      <w:r w:rsidRPr="00362517">
        <w:t>Bassil</w:t>
      </w:r>
      <w:r w:rsidR="00376CD1">
        <w:t>,</w:t>
      </w:r>
      <w:r w:rsidRPr="00362517">
        <w:t xml:space="preserve"> KL, C Vakil, M Sanborn, DC Cole, JS Kaur, and KJ Kerr.  2007.  Cancer health effects of pesticides: systematic review. </w:t>
      </w:r>
      <w:r w:rsidRPr="00E268E3">
        <w:rPr>
          <w:i/>
        </w:rPr>
        <w:t>Can Fam Physician</w:t>
      </w:r>
      <w:r w:rsidR="008048AD">
        <w:t>.</w:t>
      </w:r>
      <w:r w:rsidRPr="00362517">
        <w:t xml:space="preserve"> 53(10): 1704-11.</w:t>
      </w:r>
    </w:p>
    <w:p w14:paraId="5AB1A080" w14:textId="3CBA4BAB" w:rsidR="00C93033" w:rsidRPr="00362517" w:rsidRDefault="00C93033" w:rsidP="00BF6BC7">
      <w:pPr>
        <w:spacing w:after="120"/>
        <w:ind w:left="720" w:hangingChars="300" w:hanging="720"/>
      </w:pPr>
      <w:r w:rsidRPr="00362517">
        <w:t xml:space="preserve">Beamer, P, R Canales, A Bradman, and J Leckie.  2009.  Farmworker Children's Residential Non-dietary Exposure Estimates from Micro-level Activity Time Series. </w:t>
      </w:r>
      <w:r w:rsidRPr="00E268E3">
        <w:rPr>
          <w:i/>
        </w:rPr>
        <w:t>Environmental International</w:t>
      </w:r>
      <w:r w:rsidR="00F04DF4">
        <w:rPr>
          <w:i/>
        </w:rPr>
        <w:t>.</w:t>
      </w:r>
      <w:r w:rsidRPr="00362517">
        <w:t xml:space="preserve"> 35</w:t>
      </w:r>
      <w:r w:rsidR="008048AD">
        <w:t>(</w:t>
      </w:r>
      <w:r w:rsidRPr="00362517">
        <w:t>8</w:t>
      </w:r>
      <w:r w:rsidR="008048AD">
        <w:t>)</w:t>
      </w:r>
      <w:r w:rsidRPr="00362517">
        <w:t>: 1202-209.</w:t>
      </w:r>
    </w:p>
    <w:p w14:paraId="5AB1A081" w14:textId="4B318599" w:rsidR="00C93033" w:rsidRPr="00362517" w:rsidRDefault="00C93033" w:rsidP="00BF6BC7">
      <w:pPr>
        <w:spacing w:after="120"/>
        <w:ind w:left="720" w:hanging="720"/>
      </w:pPr>
      <w:r w:rsidRPr="00362517">
        <w:t>Beane-Freeman</w:t>
      </w:r>
      <w:r w:rsidR="00376CD1">
        <w:t>,</w:t>
      </w:r>
      <w:r w:rsidRPr="00362517">
        <w:t xml:space="preserve"> LE, MR Bonner, A Blair, JA Hoppin, DP Sandler, JH Lubin, </w:t>
      </w:r>
      <w:r w:rsidRPr="00E268E3">
        <w:t>et al</w:t>
      </w:r>
      <w:r w:rsidRPr="009931A6">
        <w:t>.</w:t>
      </w:r>
      <w:r w:rsidRPr="00362517">
        <w:t xml:space="preserve">  2005.  Cancer incidence among male pesticide applicators in the Agricultural Health Study cohort exposed to diazinon. </w:t>
      </w:r>
      <w:r w:rsidRPr="00362517">
        <w:rPr>
          <w:i/>
        </w:rPr>
        <w:t xml:space="preserve">Am J Epidemiol </w:t>
      </w:r>
      <w:r w:rsidRPr="00362517">
        <w:t>162:1070–1079.</w:t>
      </w:r>
    </w:p>
    <w:p w14:paraId="5AB1A082" w14:textId="5EA3423B" w:rsidR="00C93033" w:rsidRPr="00362517" w:rsidRDefault="00C93033" w:rsidP="00BF6BC7">
      <w:pPr>
        <w:spacing w:after="120"/>
        <w:ind w:left="720" w:hangingChars="300" w:hanging="720"/>
      </w:pPr>
      <w:r w:rsidRPr="00362517">
        <w:t xml:space="preserve">Blair, A, DP Sandler, R Tarone, J Lubin, K Thomas, JA Hoppin, and MC Alavanja.  2005.  Mortality among participants in the agricultural health study. </w:t>
      </w:r>
      <w:r w:rsidRPr="00E268E3">
        <w:rPr>
          <w:i/>
        </w:rPr>
        <w:t>Annals of epidemiology</w:t>
      </w:r>
      <w:r w:rsidR="008048AD">
        <w:t>.</w:t>
      </w:r>
      <w:r w:rsidRPr="00362517">
        <w:t xml:space="preserve"> 15(4)</w:t>
      </w:r>
      <w:r w:rsidR="008048AD">
        <w:t xml:space="preserve">: </w:t>
      </w:r>
      <w:r w:rsidRPr="00362517">
        <w:t xml:space="preserve"> 279-285.</w:t>
      </w:r>
    </w:p>
    <w:p w14:paraId="5AB1A083" w14:textId="40D38F52" w:rsidR="00C93033" w:rsidRPr="00362517" w:rsidRDefault="00C93033" w:rsidP="00BF6BC7">
      <w:pPr>
        <w:spacing w:after="120"/>
        <w:ind w:left="720" w:hangingChars="300" w:hanging="720"/>
      </w:pPr>
      <w:r w:rsidRPr="00362517">
        <w:t xml:space="preserve">Blair, A, and L Beane-Freeman.  2009.  Epidemiologic Studies of Cancer in Agricultural Populations: Observations and Future Directions </w:t>
      </w:r>
      <w:r w:rsidRPr="00362517">
        <w:rPr>
          <w:i/>
        </w:rPr>
        <w:t>J Agromedicine</w:t>
      </w:r>
      <w:r w:rsidRPr="00362517">
        <w:t xml:space="preserve">. 14(2): 125–131. </w:t>
      </w:r>
    </w:p>
    <w:p w14:paraId="5AB1A084" w14:textId="7893D439" w:rsidR="00C93033" w:rsidRPr="00362517" w:rsidRDefault="00C93033" w:rsidP="00BF6BC7">
      <w:pPr>
        <w:spacing w:after="120"/>
        <w:ind w:left="720" w:hangingChars="300" w:hanging="720"/>
      </w:pPr>
      <w:r w:rsidRPr="00362517">
        <w:t>Bildfell</w:t>
      </w:r>
      <w:r w:rsidR="00376CD1">
        <w:t>,</w:t>
      </w:r>
      <w:r w:rsidRPr="00362517">
        <w:t xml:space="preserve"> RJ, Rumbeiha WK, Schuler KL, Meteyer CU, Wolff PL, and Gillin CM. </w:t>
      </w:r>
      <w:r w:rsidR="008048AD">
        <w:t xml:space="preserve">2013. </w:t>
      </w:r>
      <w:r w:rsidRPr="00362517">
        <w:t xml:space="preserve">A review of episodes of zinc phosphide toxicosis in wild geese (Branta spp.) in Oregon (2004-2011).  </w:t>
      </w:r>
      <w:r w:rsidRPr="00362517">
        <w:rPr>
          <w:i/>
        </w:rPr>
        <w:t>Journal of Veterinary Diagnostic Investigation</w:t>
      </w:r>
      <w:r w:rsidR="008048AD">
        <w:t>.</w:t>
      </w:r>
      <w:r w:rsidRPr="00362517">
        <w:t xml:space="preserve"> 25: 162.  </w:t>
      </w:r>
    </w:p>
    <w:p w14:paraId="5AB1A085" w14:textId="1ED8209F" w:rsidR="00C93033" w:rsidRPr="00E268E3" w:rsidRDefault="00C93033" w:rsidP="00BF6BC7">
      <w:pPr>
        <w:spacing w:after="120"/>
        <w:ind w:left="720" w:hangingChars="300" w:hanging="720"/>
        <w:rPr>
          <w:u w:val="single"/>
        </w:rPr>
      </w:pPr>
      <w:r w:rsidRPr="00362517">
        <w:t>Blondel, J</w:t>
      </w:r>
      <w:r w:rsidR="00376CD1">
        <w:t>,</w:t>
      </w:r>
      <w:r w:rsidRPr="00362517">
        <w:t xml:space="preserve"> and M Spann.  Review of the methyl parathion incident reports DP Barcode D242333, Chemical #053501, Reregistration Case #0153.  </w:t>
      </w:r>
      <w:r w:rsidRPr="00E268E3">
        <w:rPr>
          <w:u w:val="single"/>
        </w:rPr>
        <w:t>http://www.epa.gov/opp00001/chem_search/cleared_reviews/csr_PC-053501_5-Feb-98_039.pdf</w:t>
      </w:r>
    </w:p>
    <w:p w14:paraId="5AB1A086" w14:textId="77777777" w:rsidR="00C93033" w:rsidRPr="00362517" w:rsidRDefault="00C93033" w:rsidP="00BF6BC7">
      <w:pPr>
        <w:spacing w:after="120"/>
        <w:ind w:left="720" w:hanging="720"/>
      </w:pPr>
      <w:r w:rsidRPr="00362517">
        <w:t xml:space="preserve">BLS. 2016a.  Occupational Employment Statistics, May 2015 National Industry-Specific Occupational Employment and Wage Estimates: Sector 11 – Agriculture, Forestry, and Hunting. Updated March 30, 2016.  Retrieved 6/19/2016: </w:t>
      </w:r>
      <w:r w:rsidRPr="00E268E3">
        <w:rPr>
          <w:u w:val="single"/>
        </w:rPr>
        <w:t>http://www.bls.gov/oes/current/naics2_11.htm</w:t>
      </w:r>
    </w:p>
    <w:p w14:paraId="5AB1A087" w14:textId="02BD2211" w:rsidR="00C93033" w:rsidRPr="00362517" w:rsidRDefault="00C93033" w:rsidP="00BF6BC7">
      <w:pPr>
        <w:spacing w:after="120"/>
        <w:ind w:left="720" w:hanging="720"/>
      </w:pPr>
      <w:r w:rsidRPr="00362517">
        <w:t>BLS.  2016b. Current Population Survey: Persons at work in agriculture and nonagricultural industries by hours of work.  Bureau of Labor Statistics, U.S. Department of Labor.</w:t>
      </w:r>
      <w:r w:rsidRPr="00362517">
        <w:cr/>
        <w:t xml:space="preserve"> </w:t>
      </w:r>
      <w:r w:rsidR="00F6314C">
        <w:t xml:space="preserve">Available at:  </w:t>
      </w:r>
      <w:hyperlink r:id="rId19" w:history="1">
        <w:r w:rsidRPr="00362517">
          <w:rPr>
            <w:rStyle w:val="Hyperlink"/>
            <w:color w:val="auto"/>
          </w:rPr>
          <w:t>http://www.bls.gov/cps/cpsaat19.pdf</w:t>
        </w:r>
      </w:hyperlink>
    </w:p>
    <w:p w14:paraId="5AB1A088" w14:textId="40D13EA1" w:rsidR="003B4952" w:rsidRPr="00362517" w:rsidRDefault="003B4952" w:rsidP="00BF6BC7">
      <w:pPr>
        <w:spacing w:after="120"/>
        <w:ind w:left="720" w:hanging="720"/>
      </w:pPr>
      <w:r w:rsidRPr="00362517">
        <w:t>BLS.  2015.  Occupational Employment Statistics, OES Research Estimates by State and Industry, May 2014, May 2013, and May 2012.  Bureau of Labor Statistics, U.S. Department of Labor.  Available at</w:t>
      </w:r>
      <w:r w:rsidR="00F6314C">
        <w:t>:</w:t>
      </w:r>
      <w:r w:rsidRPr="00362517">
        <w:t xml:space="preserve"> </w:t>
      </w:r>
      <w:r w:rsidRPr="00E268E3">
        <w:rPr>
          <w:u w:val="single"/>
        </w:rPr>
        <w:t>http://www.bls.gov/oes/2014/may/oes_research_estimates.htm</w:t>
      </w:r>
      <w:r w:rsidRPr="00362517">
        <w:t>.  Accessed March 2016.</w:t>
      </w:r>
    </w:p>
    <w:p w14:paraId="5AB1A089" w14:textId="115DEE90" w:rsidR="00C93033" w:rsidRPr="00362517" w:rsidRDefault="00C93033" w:rsidP="00BF6BC7">
      <w:pPr>
        <w:spacing w:after="120"/>
        <w:ind w:left="720" w:hanging="720"/>
      </w:pPr>
      <w:r w:rsidRPr="00362517">
        <w:t xml:space="preserve">BLS.  2014. American Time Use Survey.  Bureau of Labor Statistics, U.S. Department of Labor.    </w:t>
      </w:r>
      <w:r w:rsidR="008048AD">
        <w:t xml:space="preserve">Available at:  </w:t>
      </w:r>
      <w:r w:rsidRPr="00E268E3">
        <w:rPr>
          <w:u w:val="single"/>
        </w:rPr>
        <w:t>http://www.bls.gov/news.release/pdf/atus.pdf</w:t>
      </w:r>
    </w:p>
    <w:p w14:paraId="5AB1A08A" w14:textId="1522B590" w:rsidR="00C93033" w:rsidRPr="00362517" w:rsidRDefault="00C93033" w:rsidP="00BF6BC7">
      <w:pPr>
        <w:spacing w:after="120"/>
        <w:ind w:left="720" w:hanging="720"/>
      </w:pPr>
      <w:r w:rsidRPr="00362517">
        <w:t xml:space="preserve">BLS. 2013b. </w:t>
      </w:r>
      <w:r w:rsidRPr="00362517">
        <w:rPr>
          <w:i/>
        </w:rPr>
        <w:t>Economic News Release: Table 2. Civilian workers, by occupational and industry group</w:t>
      </w:r>
      <w:r w:rsidRPr="00362517">
        <w:t xml:space="preserve">.  Bureau of Labor Statistics, U.S. Department of Labor.  </w:t>
      </w:r>
      <w:r w:rsidR="008048AD">
        <w:t xml:space="preserve">Available at:  </w:t>
      </w:r>
      <w:hyperlink r:id="rId20" w:history="1">
        <w:r w:rsidRPr="00362517">
          <w:rPr>
            <w:rStyle w:val="Hyperlink"/>
            <w:rFonts w:eastAsiaTheme="majorEastAsia"/>
            <w:color w:val="auto"/>
          </w:rPr>
          <w:t>http://www.bls.gov/news.release/ecec.t02.htm</w:t>
        </w:r>
      </w:hyperlink>
    </w:p>
    <w:p w14:paraId="5AB1A08B" w14:textId="646826B6" w:rsidR="00C93033" w:rsidRPr="00362517" w:rsidRDefault="00C93033" w:rsidP="00BF6BC7">
      <w:pPr>
        <w:spacing w:after="120"/>
        <w:ind w:left="720" w:hanging="720"/>
      </w:pPr>
      <w:r w:rsidRPr="00362517">
        <w:t>Bouchard</w:t>
      </w:r>
      <w:r w:rsidR="00376CD1">
        <w:t>,</w:t>
      </w:r>
      <w:r w:rsidRPr="00362517">
        <w:t xml:space="preserve"> MF, DC Bellinger, RO Wright, and MG Weisskopf.  2010.  Attention-deficit/hyperactivity disorder and urinary metabolites of organophosphate pesticides. </w:t>
      </w:r>
      <w:r w:rsidRPr="00362517">
        <w:rPr>
          <w:i/>
        </w:rPr>
        <w:t>Pediatrics</w:t>
      </w:r>
      <w:r w:rsidRPr="00362517">
        <w:t>. 125(6):</w:t>
      </w:r>
      <w:r w:rsidR="008048AD">
        <w:t xml:space="preserve">  </w:t>
      </w:r>
      <w:r w:rsidRPr="00362517">
        <w:t>e1270-7</w:t>
      </w:r>
      <w:r w:rsidR="008048AD">
        <w:t>, June</w:t>
      </w:r>
      <w:r w:rsidRPr="00362517">
        <w:t>. Epub 2010 May 17. PubMed PMID: 20478945.</w:t>
      </w:r>
    </w:p>
    <w:p w14:paraId="5AB1A08C" w14:textId="470E765F" w:rsidR="00C93033" w:rsidRPr="00362517" w:rsidRDefault="00C93033" w:rsidP="00BF6BC7">
      <w:pPr>
        <w:spacing w:after="120"/>
        <w:ind w:left="720" w:hangingChars="300" w:hanging="720"/>
      </w:pPr>
      <w:r w:rsidRPr="00362517">
        <w:t>Bouchard MF, Chevrier J, Harley KG, Kogut K, Vedar M, Calderon N, Trujillo C, Johnson C, Bradman A, Barr DB, Eskenazi B.</w:t>
      </w:r>
      <w:r w:rsidR="008048AD">
        <w:t xml:space="preserve"> 2011. </w:t>
      </w:r>
      <w:r w:rsidRPr="00362517">
        <w:t xml:space="preserve"> Prenatal exposure to organophosphate pesticides and IQ in 7-year-old children, </w:t>
      </w:r>
      <w:r w:rsidRPr="00E268E3">
        <w:rPr>
          <w:i/>
        </w:rPr>
        <w:t>Environ Health Perspect</w:t>
      </w:r>
      <w:r w:rsidRPr="00362517">
        <w:t>.</w:t>
      </w:r>
      <w:r w:rsidR="008048AD">
        <w:t xml:space="preserve">  </w:t>
      </w:r>
      <w:r w:rsidRPr="00362517">
        <w:t>119(8):</w:t>
      </w:r>
      <w:r w:rsidR="008048AD">
        <w:t xml:space="preserve">  </w:t>
      </w:r>
      <w:r w:rsidRPr="00362517">
        <w:t>1189-95</w:t>
      </w:r>
      <w:r w:rsidR="008048AD">
        <w:t>, August</w:t>
      </w:r>
      <w:r w:rsidRPr="00362517">
        <w:t>.</w:t>
      </w:r>
    </w:p>
    <w:p w14:paraId="5AB1A08D" w14:textId="77777777" w:rsidR="00C93033" w:rsidRPr="00362517" w:rsidRDefault="00C93033" w:rsidP="00BF6BC7">
      <w:pPr>
        <w:spacing w:after="120"/>
        <w:ind w:left="720" w:hangingChars="300" w:hanging="720"/>
      </w:pPr>
      <w:r w:rsidRPr="00362517">
        <w:t xml:space="preserve">Boyle, K.J. and R.C. Bishop.  1987.  Valuing Wildlife in Benefit-Cost Analyses:  A Case Study Involving Endangered Species.  Water Resources Research 23(5):  943-950.  </w:t>
      </w:r>
    </w:p>
    <w:p w14:paraId="5AB1A08E" w14:textId="77777777" w:rsidR="00C93033" w:rsidRPr="00362517" w:rsidRDefault="00C93033" w:rsidP="00BF6BC7">
      <w:pPr>
        <w:spacing w:after="120"/>
        <w:ind w:left="720" w:hangingChars="300" w:hanging="720"/>
      </w:pPr>
      <w:r w:rsidRPr="00362517">
        <w:t xml:space="preserve">Bronstein J, P Carvey, H Chen, D Cory-Slechta, D DiMonte, J Duda, P English, S Goldman, S Grate, J Hansen, J Hoppin, S Jewell, F Kamel, W Koroshetz, JW Langston, G Logroscino, L Nelson, B Ravina, W Rocca, GW Ross, T Schettler, M Schwarzschild, B Scott, R Seegal, A Singleton, K Steenland, CM Tanner, S Van Den Eeden, M Weisskopf.  2009.  Meeting report: consensus statement-Parkinson's disease and the environment: collaborative on health and the environment and Parkinson's Action Network (CHE PAN) conference 26–28 June 2007. </w:t>
      </w:r>
      <w:r w:rsidRPr="00362517">
        <w:rPr>
          <w:i/>
        </w:rPr>
        <w:t>Environ. Health Perspect</w:t>
      </w:r>
      <w:r w:rsidRPr="00362517">
        <w:t>. 117, 117–121</w:t>
      </w:r>
    </w:p>
    <w:p w14:paraId="5AB1A08F" w14:textId="10DFFEEB" w:rsidR="00C93033" w:rsidRPr="00362517" w:rsidRDefault="00C93033" w:rsidP="00BF6BC7">
      <w:pPr>
        <w:spacing w:after="120"/>
        <w:ind w:left="720" w:hangingChars="300" w:hanging="720"/>
      </w:pPr>
      <w:r w:rsidRPr="00362517">
        <w:t xml:space="preserve">Calvert GM, LN Mehler, R Rosales, L Baum, C Thomsen, D Male, O Shafey, R Das, M Lackovic, and E Arvizu.  2003  Acute pesticide-related illnesses among working youths, 1988-1999. </w:t>
      </w:r>
      <w:r w:rsidRPr="00362517">
        <w:rPr>
          <w:i/>
        </w:rPr>
        <w:t>Am J Public Health</w:t>
      </w:r>
      <w:r w:rsidR="008048AD">
        <w:t>.</w:t>
      </w:r>
      <w:r w:rsidRPr="00362517">
        <w:t xml:space="preserve"> 93:605-610.</w:t>
      </w:r>
    </w:p>
    <w:p w14:paraId="5AB1A090" w14:textId="7C434021" w:rsidR="00C93033" w:rsidRPr="00362517" w:rsidRDefault="00C93033" w:rsidP="00BF6BC7">
      <w:pPr>
        <w:spacing w:after="120"/>
        <w:ind w:left="720" w:hanging="720"/>
      </w:pPr>
      <w:r w:rsidRPr="00362517">
        <w:t xml:space="preserve">Calvert, G, J Karnik, L Mehler, J Beckman, B Morrissey, J Sievert, R Barrett, M Lackovic, L Mabee, A Schwartz, Y Mitchell, and S Moraga-McHaley.  2008.  Acute pesticide poisoning among agricultural workers in the United States, 1998-2005.  </w:t>
      </w:r>
      <w:r w:rsidRPr="00362517">
        <w:rPr>
          <w:i/>
        </w:rPr>
        <w:t>American Journal of Industrial Medicine</w:t>
      </w:r>
      <w:r w:rsidR="008048AD">
        <w:t>.</w:t>
      </w:r>
      <w:r w:rsidRPr="00362517">
        <w:t xml:space="preserve"> 51(12): 883-898.</w:t>
      </w:r>
    </w:p>
    <w:p w14:paraId="5AB1A091" w14:textId="202EF1EB" w:rsidR="00C93033" w:rsidRPr="00362517" w:rsidRDefault="00C93033" w:rsidP="00BF6BC7">
      <w:pPr>
        <w:spacing w:after="120"/>
        <w:ind w:left="720" w:hangingChars="300" w:hanging="720"/>
      </w:pPr>
      <w:r w:rsidRPr="00362517">
        <w:t>Capinera, John L.</w:t>
      </w:r>
      <w:r w:rsidRPr="00362517">
        <w:rPr>
          <w:i/>
        </w:rPr>
        <w:t xml:space="preserve"> </w:t>
      </w:r>
      <w:r w:rsidR="009931A6" w:rsidRPr="009931A6">
        <w:t>2011</w:t>
      </w:r>
      <w:r w:rsidR="009931A6">
        <w:t xml:space="preserve">. </w:t>
      </w:r>
      <w:r w:rsidRPr="009931A6">
        <w:t xml:space="preserve">Insecticides and Wildlife, </w:t>
      </w:r>
      <w:r w:rsidRPr="00362517">
        <w:t>University of Florida IFAS Extensions</w:t>
      </w:r>
      <w:r w:rsidR="009931A6">
        <w:t>.</w:t>
      </w:r>
      <w:r w:rsidRPr="00362517">
        <w:t xml:space="preserve"> October.  Available </w:t>
      </w:r>
      <w:r w:rsidR="008048AD">
        <w:t>at</w:t>
      </w:r>
      <w:r w:rsidRPr="00362517">
        <w:t xml:space="preserve">: </w:t>
      </w:r>
      <w:r w:rsidRPr="00E268E3">
        <w:rPr>
          <w:u w:val="single"/>
        </w:rPr>
        <w:t xml:space="preserve">http://edis.ifas.ufl.edu/pdffiles/IN/IN88100.pdf </w:t>
      </w:r>
    </w:p>
    <w:p w14:paraId="5AB1A092" w14:textId="682533F6" w:rsidR="00C93033" w:rsidRPr="00362517" w:rsidRDefault="00C93033" w:rsidP="00BF6BC7">
      <w:pPr>
        <w:spacing w:after="120"/>
        <w:ind w:left="720" w:hangingChars="300" w:hanging="720"/>
      </w:pPr>
      <w:r w:rsidRPr="00362517">
        <w:t xml:space="preserve">Chafee-Bahamon, C, DL Caplan, and FH Lovejoy, Jr.  1983.  Patterns in Hospitals' Use of a Regional Poison Information Center. </w:t>
      </w:r>
      <w:r w:rsidRPr="00362517">
        <w:rPr>
          <w:i/>
        </w:rPr>
        <w:t>American Journal of Public Heath</w:t>
      </w:r>
      <w:r w:rsidRPr="00362517">
        <w:t xml:space="preserve"> 73</w:t>
      </w:r>
      <w:r w:rsidR="008048AD">
        <w:t>(</w:t>
      </w:r>
      <w:r w:rsidRPr="00362517">
        <w:t>4</w:t>
      </w:r>
      <w:r w:rsidR="008048AD">
        <w:t>)</w:t>
      </w:r>
      <w:r w:rsidRPr="00362517">
        <w:t>: 396-400.</w:t>
      </w:r>
    </w:p>
    <w:p w14:paraId="5AB1A093" w14:textId="76475176" w:rsidR="00C93033" w:rsidRPr="00362517" w:rsidRDefault="00C93033" w:rsidP="00BF6BC7">
      <w:pPr>
        <w:spacing w:after="120"/>
        <w:ind w:left="720" w:hangingChars="300" w:hanging="720"/>
      </w:pPr>
      <w:r w:rsidRPr="00362517">
        <w:t xml:space="preserve">Chiu BC, and A Blair.  2009.  Pesticides, chromosomal aberrations, and non-Hodgkin's lymphoma.  </w:t>
      </w:r>
      <w:r w:rsidRPr="00362517">
        <w:rPr>
          <w:i/>
        </w:rPr>
        <w:t>JAgromedicine</w:t>
      </w:r>
      <w:r w:rsidRPr="00362517">
        <w:t>. 14(2):</w:t>
      </w:r>
      <w:r w:rsidR="008048AD">
        <w:t xml:space="preserve">  </w:t>
      </w:r>
      <w:r w:rsidRPr="00362517">
        <w:t>250-5. Review. PubMed PMID: 19437285; PubMed Central PMCID: PMC2790329</w:t>
      </w:r>
    </w:p>
    <w:p w14:paraId="5AB1A094" w14:textId="5F793E9E" w:rsidR="00C93033" w:rsidRPr="00362517" w:rsidRDefault="00C93033" w:rsidP="00BF6BC7">
      <w:pPr>
        <w:spacing w:after="120"/>
        <w:ind w:left="720" w:hangingChars="300" w:hanging="720"/>
      </w:pPr>
      <w:r w:rsidRPr="00362517">
        <w:t xml:space="preserve">Christensen, CH, EA Platz, G Andreotti, A Blair, JA Hoppin, S Koutros, CF Lynch, DP Sandler, and MC Alavanja.  2010.  Coumaphos exposure and incident cancer among male participants in the Agricultural Health Study (AHS). </w:t>
      </w:r>
      <w:r w:rsidRPr="00362517">
        <w:rPr>
          <w:i/>
        </w:rPr>
        <w:t>Environ Health Perspect</w:t>
      </w:r>
      <w:r w:rsidR="00F6314C">
        <w:t>.</w:t>
      </w:r>
      <w:r w:rsidRPr="00362517">
        <w:t xml:space="preserve"> 118(1):</w:t>
      </w:r>
      <w:r w:rsidR="008048AD">
        <w:t xml:space="preserve">  </w:t>
      </w:r>
      <w:r w:rsidRPr="00362517">
        <w:t>92-6.</w:t>
      </w:r>
    </w:p>
    <w:p w14:paraId="5AB1A095" w14:textId="1BDEBE45" w:rsidR="00C93033" w:rsidRPr="00362517" w:rsidRDefault="00C93033" w:rsidP="00BF6BC7">
      <w:pPr>
        <w:spacing w:after="120"/>
        <w:ind w:left="720" w:hangingChars="300" w:hanging="720"/>
      </w:pPr>
      <w:r w:rsidRPr="00362517">
        <w:t xml:space="preserve">Coronado, G D, et al. </w:t>
      </w:r>
      <w:r w:rsidR="008048AD">
        <w:t xml:space="preserve">2006.  </w:t>
      </w:r>
      <w:r w:rsidRPr="00362517">
        <w:t>Organophosphate Pesticide Exposure and Work in Pome Fruit: Evidence for the Take-home Pesticide Pathway.”</w:t>
      </w:r>
      <w:r w:rsidRPr="00E268E3">
        <w:rPr>
          <w:i/>
        </w:rPr>
        <w:t xml:space="preserve"> Environ Health Perspect</w:t>
      </w:r>
      <w:r w:rsidR="008048AD" w:rsidRPr="00E268E3">
        <w:rPr>
          <w:i/>
        </w:rPr>
        <w:t>.</w:t>
      </w:r>
      <w:r w:rsidRPr="00362517">
        <w:t xml:space="preserve"> 114</w:t>
      </w:r>
      <w:r w:rsidR="008048AD">
        <w:t>(</w:t>
      </w:r>
      <w:r w:rsidRPr="00362517">
        <w:t>7</w:t>
      </w:r>
      <w:r w:rsidR="008048AD">
        <w:t>)</w:t>
      </w:r>
      <w:r w:rsidRPr="00362517">
        <w:t>: 999-1006.</w:t>
      </w:r>
    </w:p>
    <w:p w14:paraId="5AB1A096" w14:textId="6CFEC023" w:rsidR="00C93033" w:rsidRPr="00362517" w:rsidRDefault="00C93033" w:rsidP="00BF6BC7">
      <w:pPr>
        <w:spacing w:after="120"/>
        <w:ind w:left="720" w:hangingChars="300" w:hanging="720"/>
      </w:pPr>
      <w:r w:rsidRPr="00362517">
        <w:t>CPARD.  201</w:t>
      </w:r>
      <w:r w:rsidR="00464C33" w:rsidRPr="00362517">
        <w:t>5</w:t>
      </w:r>
      <w:r w:rsidRPr="00362517">
        <w:t xml:space="preserve">.  Certification Plan and Reporting Database maintained by the National Association of State Departments of Agriculture and EPA at the Washington State University website.  </w:t>
      </w:r>
      <w:r w:rsidR="008048AD">
        <w:t xml:space="preserve">Available at: </w:t>
      </w:r>
      <w:hyperlink r:id="rId21" w:history="1">
        <w:r w:rsidRPr="00362517">
          <w:rPr>
            <w:rStyle w:val="Hyperlink"/>
            <w:rFonts w:eastAsiaTheme="majorEastAsia"/>
            <w:color w:val="auto"/>
          </w:rPr>
          <w:t>http://cpard.wsu.edu/</w:t>
        </w:r>
      </w:hyperlink>
      <w:r w:rsidRPr="00362517">
        <w:t>.</w:t>
      </w:r>
    </w:p>
    <w:p w14:paraId="5AB1A097" w14:textId="3B72DE69" w:rsidR="00C93033" w:rsidRPr="00362517" w:rsidRDefault="00C93033" w:rsidP="00BF6BC7">
      <w:pPr>
        <w:spacing w:after="120"/>
        <w:ind w:left="720" w:hangingChars="300" w:hanging="720"/>
      </w:pPr>
      <w:r w:rsidRPr="00362517">
        <w:t xml:space="preserve">Curl, CL, et al. </w:t>
      </w:r>
      <w:r w:rsidR="008048AD">
        <w:t>2002</w:t>
      </w:r>
      <w:r w:rsidRPr="00362517">
        <w:t xml:space="preserve">Evaluation of Take-home Organophosphorus Pesticide Exposure Among Agricultural Workers and their Children. </w:t>
      </w:r>
      <w:r w:rsidR="008048AD">
        <w:t xml:space="preserve"> </w:t>
      </w:r>
      <w:r w:rsidRPr="00E268E3">
        <w:rPr>
          <w:i/>
        </w:rPr>
        <w:t>Environ Health Perspect</w:t>
      </w:r>
      <w:r w:rsidR="00F6314C" w:rsidRPr="00E268E3">
        <w:rPr>
          <w:i/>
        </w:rPr>
        <w:t>.</w:t>
      </w:r>
      <w:r w:rsidRPr="00362517">
        <w:t xml:space="preserve"> 110</w:t>
      </w:r>
      <w:r w:rsidR="008048AD">
        <w:t>(</w:t>
      </w:r>
      <w:r w:rsidRPr="00362517">
        <w:t>1</w:t>
      </w:r>
      <w:r w:rsidR="008048AD">
        <w:t>)</w:t>
      </w:r>
      <w:r w:rsidRPr="00362517">
        <w:t>2: A787-A792.</w:t>
      </w:r>
    </w:p>
    <w:p w14:paraId="5AB1A098" w14:textId="3C034453" w:rsidR="00C93033" w:rsidRPr="00362517" w:rsidRDefault="00C93033" w:rsidP="00BF6BC7">
      <w:pPr>
        <w:spacing w:after="120"/>
        <w:ind w:left="720" w:hangingChars="300" w:hanging="720"/>
      </w:pPr>
      <w:r w:rsidRPr="00362517">
        <w:t>Curwin BD, MJ Hein, WT Sanderson, MG Nishioka, SJ Reynolds, EM Ward, and MC Alavanja.  2005.  Pesticide contamination inside farm and nonfarm homes, .</w:t>
      </w:r>
      <w:r w:rsidRPr="00362517">
        <w:rPr>
          <w:i/>
        </w:rPr>
        <w:t>J Occup Environ Hyg</w:t>
      </w:r>
      <w:r w:rsidRPr="00362517">
        <w:t>. 2(7):</w:t>
      </w:r>
      <w:r w:rsidR="008048AD">
        <w:t xml:space="preserve">  </w:t>
      </w:r>
      <w:r w:rsidRPr="00362517">
        <w:t>357-67, July.</w:t>
      </w:r>
    </w:p>
    <w:p w14:paraId="5AB1A099" w14:textId="0D4C2E67" w:rsidR="00C93033" w:rsidRPr="00362517" w:rsidRDefault="00C93033" w:rsidP="00BF6BC7">
      <w:pPr>
        <w:spacing w:after="120"/>
        <w:ind w:left="720" w:hangingChars="300" w:hanging="720"/>
      </w:pPr>
      <w:r w:rsidRPr="00362517">
        <w:t xml:space="preserve">Curwin, BD, MJ Hein, WT Sanderson, C Striley, D Heederik, H Kromhout, SJ Reynolds, and MC Alavanja.  2007.  Pesticide dose estimates for children of Iowa farmers and non-farmers, </w:t>
      </w:r>
      <w:r w:rsidRPr="00362517">
        <w:rPr>
          <w:i/>
        </w:rPr>
        <w:t>Environmental Research</w:t>
      </w:r>
      <w:r w:rsidR="008048AD">
        <w:t>.</w:t>
      </w:r>
      <w:r w:rsidRPr="00362517">
        <w:t xml:space="preserve"> 105</w:t>
      </w:r>
      <w:r w:rsidR="008048AD">
        <w:t>(</w:t>
      </w:r>
      <w:r w:rsidRPr="00362517">
        <w:t>3</w:t>
      </w:r>
      <w:r w:rsidR="008048AD">
        <w:t xml:space="preserve">):  </w:t>
      </w:r>
      <w:r w:rsidRPr="00362517">
        <w:t xml:space="preserve"> 307-315</w:t>
      </w:r>
      <w:r w:rsidR="008048AD">
        <w:t>.  November.</w:t>
      </w:r>
    </w:p>
    <w:p w14:paraId="5AB1A09A" w14:textId="3E9CCFD4" w:rsidR="00C93033" w:rsidRPr="00362517" w:rsidRDefault="00C93033" w:rsidP="00BF6BC7">
      <w:pPr>
        <w:spacing w:after="120"/>
        <w:ind w:left="720" w:hangingChars="300" w:hanging="720"/>
      </w:pPr>
      <w:r w:rsidRPr="00362517">
        <w:t xml:space="preserve">CTAG. 1999.  </w:t>
      </w:r>
      <w:r w:rsidRPr="00E268E3">
        <w:t>Pesticide Safety in the 21</w:t>
      </w:r>
      <w:r w:rsidRPr="00E268E3">
        <w:rPr>
          <w:vertAlign w:val="superscript"/>
        </w:rPr>
        <w:t>st</w:t>
      </w:r>
      <w:r w:rsidRPr="00E268E3">
        <w:t xml:space="preserve"> Century: The Findings and Proposals of the Certification &amp; Training Assessment Group</w:t>
      </w:r>
      <w:r w:rsidRPr="009931A6">
        <w:t xml:space="preserve">.  </w:t>
      </w:r>
      <w:r w:rsidRPr="00362517">
        <w:t xml:space="preserve">January.  </w:t>
      </w:r>
      <w:r w:rsidR="008048AD">
        <w:t xml:space="preserve">Available at: </w:t>
      </w:r>
      <w:r w:rsidRPr="00E268E3">
        <w:rPr>
          <w:u w:val="single"/>
        </w:rPr>
        <w:t>http://pep.wsu.edu/ctag/pdf/1999_21stCentRpt.pdf</w:t>
      </w:r>
      <w:r w:rsidRPr="00362517">
        <w:t xml:space="preserve">  </w:t>
      </w:r>
    </w:p>
    <w:p w14:paraId="5AB1A09B" w14:textId="51C0B9FB" w:rsidR="00C93033" w:rsidRPr="00362517" w:rsidRDefault="00C93033" w:rsidP="00BF6BC7">
      <w:pPr>
        <w:spacing w:after="120"/>
        <w:ind w:left="720" w:hangingChars="300" w:hanging="720"/>
      </w:pPr>
      <w:r w:rsidRPr="00362517">
        <w:t xml:space="preserve">D&amp;B. 2014. Database of business information maintained by Hoover’s Inc., a Dun and Bradstreet Company. </w:t>
      </w:r>
      <w:r w:rsidR="008048AD">
        <w:t xml:space="preserve">Available at: </w:t>
      </w:r>
      <w:hyperlink r:id="rId22" w:history="1">
        <w:r w:rsidRPr="00362517">
          <w:rPr>
            <w:rStyle w:val="Hyperlink"/>
            <w:color w:val="auto"/>
          </w:rPr>
          <w:t>http://www.hoovers.com/</w:t>
        </w:r>
      </w:hyperlink>
      <w:r w:rsidRPr="00362517">
        <w:t>.</w:t>
      </w:r>
    </w:p>
    <w:p w14:paraId="5AB1A09C" w14:textId="27524101" w:rsidR="00C93033" w:rsidRPr="00362517" w:rsidRDefault="00C93033" w:rsidP="00BF6BC7">
      <w:pPr>
        <w:spacing w:after="120"/>
        <w:ind w:left="720" w:hangingChars="300" w:hanging="720"/>
      </w:pPr>
      <w:r w:rsidRPr="00362517">
        <w:t xml:space="preserve">Das R, A Steege, S Baron, J Beckman, R Harrison.  2001.  Pesticide-related illness among migrant farm workers in the United States. </w:t>
      </w:r>
      <w:r w:rsidRPr="00362517">
        <w:rPr>
          <w:i/>
        </w:rPr>
        <w:t>Int J Occup Environ Health</w:t>
      </w:r>
      <w:r w:rsidR="008048AD">
        <w:rPr>
          <w:i/>
        </w:rPr>
        <w:t>.</w:t>
      </w:r>
      <w:r w:rsidRPr="00362517">
        <w:rPr>
          <w:i/>
        </w:rPr>
        <w:t xml:space="preserve"> </w:t>
      </w:r>
      <w:r w:rsidRPr="00362517">
        <w:t>7:</w:t>
      </w:r>
      <w:r w:rsidR="008048AD">
        <w:t xml:space="preserve">  </w:t>
      </w:r>
      <w:r w:rsidRPr="00362517">
        <w:t>303-312.</w:t>
      </w:r>
    </w:p>
    <w:p w14:paraId="5AB1A09D" w14:textId="0A5D778B" w:rsidR="00C93033" w:rsidRPr="00362517" w:rsidRDefault="00C93033" w:rsidP="00BF6BC7">
      <w:pPr>
        <w:spacing w:after="120"/>
        <w:ind w:left="720" w:hangingChars="300" w:hanging="720"/>
      </w:pPr>
      <w:r w:rsidRPr="00362517">
        <w:t xml:space="preserve">Dayan J, A Bernard, B Olliac, AS Mailhes, and S Kermarrec.  2010.  Adolescent brain development, risk-taking and vulnerability to addiction, </w:t>
      </w:r>
      <w:r w:rsidRPr="00362517">
        <w:rPr>
          <w:i/>
        </w:rPr>
        <w:t>Journal of Physiology</w:t>
      </w:r>
      <w:r w:rsidRPr="00362517">
        <w:t>-Paris</w:t>
      </w:r>
      <w:r w:rsidR="008048AD">
        <w:t>.</w:t>
      </w:r>
      <w:r w:rsidRPr="00362517">
        <w:t xml:space="preserve"> 104 </w:t>
      </w:r>
      <w:r w:rsidR="008048AD">
        <w:t>(</w:t>
      </w:r>
      <w:r w:rsidRPr="00362517">
        <w:t>5</w:t>
      </w:r>
      <w:r w:rsidR="008048AD">
        <w:t xml:space="preserve">):  </w:t>
      </w:r>
      <w:r w:rsidRPr="00362517">
        <w:t>279-286</w:t>
      </w:r>
      <w:r w:rsidR="008048AD">
        <w:t>, November</w:t>
      </w:r>
      <w:r w:rsidRPr="00362517">
        <w:t xml:space="preserve">. </w:t>
      </w:r>
    </w:p>
    <w:p w14:paraId="5AB1A09E" w14:textId="3EBFB915" w:rsidR="00C93033" w:rsidRPr="00362517" w:rsidRDefault="00C93033" w:rsidP="00BF6BC7">
      <w:pPr>
        <w:spacing w:after="120"/>
        <w:ind w:left="720" w:hangingChars="300" w:hanging="720"/>
        <w:rPr>
          <w:u w:val="single"/>
        </w:rPr>
      </w:pPr>
      <w:r w:rsidRPr="00362517">
        <w:t xml:space="preserve">DoL.  2005.  </w:t>
      </w:r>
      <w:r w:rsidRPr="00362517">
        <w:rPr>
          <w:i/>
          <w:iCs/>
        </w:rPr>
        <w:t>National Agricultural Workers Survey (NAWS) 2001-2002 A Demographic and Employment Profile of United States Farm Workers Research Report No. 9</w:t>
      </w:r>
      <w:r w:rsidRPr="00362517">
        <w:t xml:space="preserve">, Office of the Assistant Secretary for Policy, Office of Programmatic Policy, U.S. Department of Labor, March.  Available </w:t>
      </w:r>
      <w:r w:rsidR="008048AD">
        <w:t>at</w:t>
      </w:r>
      <w:r w:rsidRPr="00362517">
        <w:t xml:space="preserve">: </w:t>
      </w:r>
      <w:hyperlink r:id="rId23" w:history="1">
        <w:r w:rsidRPr="00362517">
          <w:rPr>
            <w:u w:val="single"/>
          </w:rPr>
          <w:t>http://www.doleta.gov/agworker/report9/naws_rpt9.pdf</w:t>
        </w:r>
      </w:hyperlink>
    </w:p>
    <w:p w14:paraId="5AB1A09F" w14:textId="5C2C2D33" w:rsidR="00FC19A8" w:rsidRPr="008048AD" w:rsidRDefault="00FC19A8" w:rsidP="00BF6BC7">
      <w:pPr>
        <w:spacing w:after="120"/>
        <w:ind w:left="720" w:hangingChars="300" w:hanging="720"/>
      </w:pPr>
      <w:r w:rsidRPr="00E268E3">
        <w:t xml:space="preserve">DoL, 2011. Special tabulation from the </w:t>
      </w:r>
      <w:r w:rsidRPr="00E268E3">
        <w:rPr>
          <w:i/>
        </w:rPr>
        <w:t>National Agricultural Workers Survey</w:t>
      </w:r>
      <w:r w:rsidRPr="00E268E3">
        <w:t xml:space="preserve">, Pesticide Handlers, Percent and Ages, 2002-2009.  </w:t>
      </w:r>
      <w:r w:rsidR="00BB2DA0" w:rsidRPr="00E268E3">
        <w:t>April 26.</w:t>
      </w:r>
    </w:p>
    <w:p w14:paraId="5AB1A0A0" w14:textId="25CEDDD0" w:rsidR="00C93033" w:rsidRPr="00362517" w:rsidRDefault="00C93033" w:rsidP="00BF6BC7">
      <w:pPr>
        <w:spacing w:after="120"/>
        <w:ind w:left="720" w:hangingChars="300" w:hanging="720"/>
      </w:pPr>
      <w:r w:rsidRPr="00362517">
        <w:t xml:space="preserve">Engel SM, GS Berkowitz, DB Barr, SL Teitelbaum, J Siskind, SJ Meisel, JG Wetmur, and MS Wolff.  2007.  Prenatal organophosphate metabolite and organochlorine levels and performance on the Brazelton Neonatal Behavioral Assessment Scale in a multiethnic pregnancy cohort. </w:t>
      </w:r>
      <w:r w:rsidRPr="00362517">
        <w:rPr>
          <w:i/>
        </w:rPr>
        <w:t>Am J Epidemiol</w:t>
      </w:r>
      <w:r w:rsidRPr="00362517">
        <w:t>. 165(12):</w:t>
      </w:r>
      <w:r w:rsidR="008048AD">
        <w:t xml:space="preserve">  </w:t>
      </w:r>
      <w:r w:rsidRPr="00362517">
        <w:t xml:space="preserve">1397-404. </w:t>
      </w:r>
    </w:p>
    <w:p w14:paraId="5AB1A0A1" w14:textId="4B059E46" w:rsidR="00C93033" w:rsidRPr="00362517" w:rsidRDefault="00C93033" w:rsidP="00BF6BC7">
      <w:pPr>
        <w:spacing w:after="120"/>
        <w:ind w:left="720" w:hangingChars="300" w:hanging="720"/>
      </w:pPr>
      <w:r w:rsidRPr="00362517">
        <w:t>Engel SM, Wetmur J, Chen J, Zhu C, Barr DB, Canfield RL, Wolff MS.</w:t>
      </w:r>
      <w:r w:rsidR="008048AD">
        <w:t xml:space="preserve"> 2011.</w:t>
      </w:r>
      <w:r w:rsidRPr="00362517">
        <w:t xml:space="preserve">  Prenatal exposure to organophosphates, paraoxonase 1, and cognitive development in childhood,  E</w:t>
      </w:r>
      <w:r w:rsidRPr="00E268E3">
        <w:rPr>
          <w:i/>
        </w:rPr>
        <w:t>nviron Health Perspect.</w:t>
      </w:r>
      <w:r w:rsidRPr="00362517">
        <w:t xml:space="preserve"> 119(8):</w:t>
      </w:r>
      <w:r w:rsidR="008048AD">
        <w:t xml:space="preserve">  </w:t>
      </w:r>
      <w:r w:rsidRPr="00362517">
        <w:t>1182-8</w:t>
      </w:r>
      <w:r w:rsidR="008048AD">
        <w:t>, August</w:t>
      </w:r>
      <w:r w:rsidRPr="00362517">
        <w:t xml:space="preserve">.  </w:t>
      </w:r>
    </w:p>
    <w:p w14:paraId="5AB1A0A2" w14:textId="3195D1E0" w:rsidR="00C93033" w:rsidRPr="00362517" w:rsidRDefault="00C93033" w:rsidP="00BF6BC7">
      <w:pPr>
        <w:spacing w:after="120"/>
        <w:ind w:left="720" w:hanging="720"/>
      </w:pPr>
      <w:r w:rsidRPr="00362517">
        <w:t>EPA. 2016.  Personal Communication with Kelly Maguire, US Environmental Protection Agency, National Center for Environmental Economics.  February, 29.</w:t>
      </w:r>
    </w:p>
    <w:p w14:paraId="5AB1A0A3" w14:textId="77777777" w:rsidR="00C93033" w:rsidRPr="00362517" w:rsidRDefault="00C93033" w:rsidP="00BF6BC7">
      <w:pPr>
        <w:spacing w:after="120"/>
        <w:ind w:left="720" w:hanging="720"/>
      </w:pPr>
      <w:r w:rsidRPr="00362517">
        <w:t xml:space="preserve">EPA. 2015a. Pesticides; Agricultural Worker Protection Standard Revisions.  November 2, 2015.  </w:t>
      </w:r>
      <w:r w:rsidRPr="00E268E3">
        <w:rPr>
          <w:u w:val="single"/>
        </w:rPr>
        <w:t xml:space="preserve">https://www.regulations.gov/contentStreamer?documentId=EPA-HQ-OPP-2011-0184-2510&amp;disposition=attachment&amp;contentType=pdf </w:t>
      </w:r>
      <w:r w:rsidRPr="00362517">
        <w:t xml:space="preserve">  </w:t>
      </w:r>
    </w:p>
    <w:p w14:paraId="5AB1A0A4" w14:textId="10D0FDB6" w:rsidR="00C93033" w:rsidRPr="00362517" w:rsidRDefault="00C93033" w:rsidP="00BF6BC7">
      <w:pPr>
        <w:spacing w:after="120"/>
        <w:ind w:left="720" w:hanging="720"/>
      </w:pPr>
      <w:r w:rsidRPr="00362517">
        <w:t xml:space="preserve">EPA. 2015b. Economic Analysis of Proposed Amendments to 40 CFR Part 171: Certification of Pesticide Applicators.  August 24.  Available </w:t>
      </w:r>
      <w:r w:rsidR="008048AD">
        <w:t>at:</w:t>
      </w:r>
      <w:r w:rsidRPr="00362517">
        <w:t xml:space="preserve"> </w:t>
      </w:r>
      <w:hyperlink r:id="rId24" w:history="1">
        <w:r w:rsidR="00FE6C30" w:rsidRPr="00362517">
          <w:rPr>
            <w:rStyle w:val="Hyperlink"/>
            <w:color w:val="auto"/>
          </w:rPr>
          <w:t>https://www.regulations.gov/document?D=EPA-HQ-OPP-2011-0183-0043</w:t>
        </w:r>
      </w:hyperlink>
    </w:p>
    <w:p w14:paraId="5AB1A0A5" w14:textId="3CA1F181" w:rsidR="00FE6C30" w:rsidRPr="00E268E3" w:rsidRDefault="00FE6C30" w:rsidP="00BF6BC7">
      <w:pPr>
        <w:spacing w:after="120"/>
        <w:ind w:left="720" w:hanging="720"/>
        <w:rPr>
          <w:u w:val="single"/>
        </w:rPr>
      </w:pPr>
      <w:r w:rsidRPr="00362517">
        <w:t xml:space="preserve">EPA. 2015c. Economic Analysis of the Agricultural Worker Protection Standard Revisions.  November 12, 2015.  Available </w:t>
      </w:r>
      <w:r w:rsidR="00F6314C">
        <w:t>at</w:t>
      </w:r>
      <w:r w:rsidRPr="00362517">
        <w:t xml:space="preserve">: </w:t>
      </w:r>
      <w:r w:rsidRPr="00E268E3">
        <w:rPr>
          <w:u w:val="single"/>
        </w:rPr>
        <w:t>https://www.regulations.gov/document?D=EPA-HQ-OPP-2011-0184-2522</w:t>
      </w:r>
    </w:p>
    <w:p w14:paraId="5AB1A0A6" w14:textId="77777777" w:rsidR="00C93033" w:rsidRPr="00362517" w:rsidRDefault="00C93033" w:rsidP="00BF6BC7">
      <w:pPr>
        <w:spacing w:after="120"/>
        <w:ind w:left="720" w:hanging="720"/>
      </w:pPr>
      <w:r w:rsidRPr="00362517">
        <w:t xml:space="preserve">EPA.  2014b. Personal communication with North Carolina, California, Indiana, Wyoming and Florida on the subject of communication between certified applicators and noncertified applicators under their direct supervision.  </w:t>
      </w:r>
    </w:p>
    <w:p w14:paraId="5AB1A0A7" w14:textId="2BBAB928" w:rsidR="00C93033" w:rsidRPr="00362517" w:rsidRDefault="00C93033" w:rsidP="00BF6BC7">
      <w:pPr>
        <w:spacing w:after="120"/>
        <w:ind w:left="720" w:hanging="720"/>
      </w:pPr>
      <w:r w:rsidRPr="00362517">
        <w:t xml:space="preserve">EPA.  2014c.  National Assessment of the Pesticide Worker Safety Program.  </w:t>
      </w:r>
      <w:r w:rsidR="008048AD">
        <w:t>Available at</w:t>
      </w:r>
      <w:r w:rsidRPr="00362517">
        <w:t xml:space="preserve">: </w:t>
      </w:r>
      <w:hyperlink r:id="rId25" w:history="1">
        <w:r w:rsidRPr="00362517">
          <w:rPr>
            <w:rStyle w:val="Hyperlink"/>
            <w:rFonts w:eastAsiaTheme="majorEastAsia"/>
            <w:color w:val="auto"/>
          </w:rPr>
          <w:t>http://www.epa.gov/pesticides/safety/workshops.htm</w:t>
        </w:r>
      </w:hyperlink>
    </w:p>
    <w:p w14:paraId="5AB1A0A8" w14:textId="77777777" w:rsidR="00C93033" w:rsidRPr="00362517" w:rsidRDefault="00C93033" w:rsidP="00BF6BC7">
      <w:pPr>
        <w:spacing w:after="120"/>
        <w:ind w:left="720" w:hanging="720"/>
      </w:pPr>
      <w:r w:rsidRPr="00362517">
        <w:t>EPA.  2014d.  Proprietary data on pesticide use.</w:t>
      </w:r>
    </w:p>
    <w:p w14:paraId="5AB1A0A9" w14:textId="355DFE76" w:rsidR="00C93033" w:rsidRPr="00362517" w:rsidRDefault="00C93033" w:rsidP="00BF6BC7">
      <w:pPr>
        <w:spacing w:after="120"/>
        <w:ind w:left="720" w:hanging="720"/>
      </w:pPr>
      <w:r w:rsidRPr="00362517">
        <w:t xml:space="preserve">EPA.  2012.  </w:t>
      </w:r>
      <w:r w:rsidRPr="00E268E3">
        <w:t xml:space="preserve">Transmittal of Meeting Minutes of the FIFRA Scientific Advisory Panel Meeting held April 10 – 12, 2012 on Chlorpyrifos Health Effects. </w:t>
      </w:r>
      <w:r w:rsidRPr="009931A6">
        <w:t xml:space="preserve"> </w:t>
      </w:r>
      <w:r w:rsidRPr="00362517">
        <w:t xml:space="preserve">Memorandum, July 11.  </w:t>
      </w:r>
      <w:r w:rsidR="00CC4E34">
        <w:t xml:space="preserve">Available at: </w:t>
      </w:r>
      <w:r w:rsidRPr="00E268E3">
        <w:rPr>
          <w:u w:val="single"/>
        </w:rPr>
        <w:t>http://www.epa.gov/scipoly/sap/meetings/2012/april/041012minutes.pdf</w:t>
      </w:r>
    </w:p>
    <w:p w14:paraId="5AB1A0AA" w14:textId="48B0DF39" w:rsidR="00C93033" w:rsidRPr="00362517" w:rsidRDefault="00C93033" w:rsidP="00BF6BC7">
      <w:pPr>
        <w:spacing w:after="120"/>
        <w:ind w:left="720" w:hangingChars="300" w:hanging="720"/>
      </w:pPr>
      <w:r w:rsidRPr="00362517">
        <w:t>EPA</w:t>
      </w:r>
      <w:r w:rsidR="002B4CD0">
        <w:t>.</w:t>
      </w:r>
      <w:r w:rsidRPr="00362517">
        <w:t xml:space="preserve"> 2011.  Environmental and Economic Benefits Analysis for Proposed Section 316(b) Existing Facilities Rule.  EPA 821-R-11-002</w:t>
      </w:r>
      <w:r w:rsidR="002B4CD0">
        <w:t>.</w:t>
      </w:r>
      <w:r w:rsidRPr="00362517">
        <w:t xml:space="preserve"> March 28.  </w:t>
      </w:r>
      <w:r w:rsidR="00CC4E34">
        <w:t xml:space="preserve">Available at: </w:t>
      </w:r>
      <w:r w:rsidRPr="00362517">
        <w:t>http://water.epa.gov/lawsregs/lawsguidance/cwa/316b/upload/environbenefits.pdf</w:t>
      </w:r>
    </w:p>
    <w:p w14:paraId="5AB1A0AB" w14:textId="77777777" w:rsidR="00C93033" w:rsidRPr="00362517" w:rsidRDefault="00C93033" w:rsidP="00BF6BC7">
      <w:pPr>
        <w:spacing w:after="120"/>
        <w:ind w:left="720" w:hangingChars="300" w:hanging="720"/>
      </w:pPr>
      <w:r w:rsidRPr="00362517">
        <w:t xml:space="preserve">EPA.  2010a. </w:t>
      </w:r>
      <w:r w:rsidRPr="00E268E3">
        <w:t>Guidelines for Preparing Economic Analyses</w:t>
      </w:r>
      <w:r w:rsidRPr="009931A6">
        <w:t>.  U.S.</w:t>
      </w:r>
      <w:r w:rsidRPr="00362517">
        <w:t xml:space="preserve"> Environmental Protection Agency.  </w:t>
      </w:r>
      <w:hyperlink r:id="rId26" w:history="1">
        <w:r w:rsidRPr="00362517">
          <w:rPr>
            <w:rStyle w:val="Hyperlink"/>
            <w:rFonts w:eastAsiaTheme="majorEastAsia"/>
            <w:color w:val="auto"/>
          </w:rPr>
          <w:t>http://yosemite.epa.gov/ee/epa/eed.nsf/pages/Guidelines.html/$file/Guidelines.pdf</w:t>
        </w:r>
      </w:hyperlink>
    </w:p>
    <w:p w14:paraId="5AB1A0AC" w14:textId="44705E41" w:rsidR="00C93033" w:rsidRPr="00362517" w:rsidRDefault="00C93033" w:rsidP="00BF6BC7">
      <w:pPr>
        <w:spacing w:after="120"/>
        <w:ind w:left="720" w:hanging="720"/>
      </w:pPr>
      <w:r w:rsidRPr="00362517">
        <w:t xml:space="preserve">EPA.  2008a.  </w:t>
      </w:r>
      <w:r w:rsidRPr="00362517">
        <w:rPr>
          <w:i/>
        </w:rPr>
        <w:t>EIIS Incident Report: I018678-001</w:t>
      </w:r>
      <w:r w:rsidRPr="00362517">
        <w:t xml:space="preserve">.  Report on fish kill from acrolein on the Cub River, Idaho, updated March 5.  </w:t>
      </w:r>
    </w:p>
    <w:p w14:paraId="5AB1A0AD" w14:textId="25DCC792" w:rsidR="00C93033" w:rsidRPr="00362517" w:rsidRDefault="00C93033" w:rsidP="00BF6BC7">
      <w:pPr>
        <w:spacing w:after="120"/>
        <w:ind w:left="720" w:hangingChars="300" w:hanging="720"/>
      </w:pPr>
      <w:r w:rsidRPr="00362517">
        <w:t xml:space="preserve">EPA.  2008b.  Child-Specific Exposure Factors Handbook.  September 2008.  </w:t>
      </w:r>
      <w:r w:rsidRPr="00E268E3">
        <w:rPr>
          <w:u w:val="single"/>
        </w:rPr>
        <w:t xml:space="preserve">http://ofmpub.epa.gov/eims/eimscomm.getfile?p_download_id=484738  </w:t>
      </w:r>
      <w:r w:rsidRPr="00362517">
        <w:t xml:space="preserve"> </w:t>
      </w:r>
    </w:p>
    <w:p w14:paraId="5AB1A0AE" w14:textId="21E0EB5B" w:rsidR="00C93033" w:rsidRPr="00362517" w:rsidRDefault="00C93033" w:rsidP="00BF6BC7">
      <w:pPr>
        <w:spacing w:after="120"/>
        <w:ind w:left="720" w:hangingChars="300" w:hanging="720"/>
      </w:pPr>
      <w:r w:rsidRPr="00362517">
        <w:t xml:space="preserve">EPA.  2007.  </w:t>
      </w:r>
      <w:r w:rsidRPr="00E268E3">
        <w:rPr>
          <w:iCs/>
        </w:rPr>
        <w:t>OPP Report on Incident Information: The Baselin</w:t>
      </w:r>
      <w:r w:rsidRPr="00362517">
        <w:rPr>
          <w:i/>
          <w:iCs/>
        </w:rPr>
        <w:t>e</w:t>
      </w:r>
      <w:r w:rsidRPr="00362517">
        <w:t xml:space="preserve">.  Office of Pesticide Programs, U.S. Environmental Protection Agency.  Available </w:t>
      </w:r>
      <w:r w:rsidR="002B4CD0">
        <w:t>at</w:t>
      </w:r>
      <w:r w:rsidRPr="00362517">
        <w:t xml:space="preserve">: </w:t>
      </w:r>
      <w:hyperlink r:id="rId27" w:history="1">
        <w:r w:rsidRPr="00362517">
          <w:rPr>
            <w:rStyle w:val="Hyperlink"/>
            <w:rFonts w:eastAsiaTheme="majorEastAsia"/>
            <w:color w:val="auto"/>
          </w:rPr>
          <w:t>http://www.epa.gov/pesticides/ppdc/2007/oct2007/session10-finalrpt.pdf</w:t>
        </w:r>
      </w:hyperlink>
      <w:r w:rsidRPr="00362517">
        <w:t>.</w:t>
      </w:r>
    </w:p>
    <w:p w14:paraId="5AB1A0AF" w14:textId="4CB1C831" w:rsidR="00C93033" w:rsidRPr="00362517" w:rsidRDefault="00C93033" w:rsidP="00BF6BC7">
      <w:pPr>
        <w:spacing w:after="120"/>
        <w:ind w:left="720" w:hangingChars="300" w:hanging="720"/>
      </w:pPr>
      <w:r w:rsidRPr="00362517">
        <w:t xml:space="preserve">EPA.  2006.  </w:t>
      </w:r>
      <w:r w:rsidRPr="00E268E3">
        <w:t>EPA Interim National Program Guidance for EPA Regional Offices on EPA’s Pesticide Applicator Certification Program (40 CFR Part 171</w:t>
      </w:r>
      <w:r w:rsidRPr="009931A6">
        <w:t xml:space="preserve">).  </w:t>
      </w:r>
      <w:r w:rsidRPr="00362517">
        <w:t>July.</w:t>
      </w:r>
    </w:p>
    <w:p w14:paraId="5AB1A0B0" w14:textId="51FEE030" w:rsidR="00C93033" w:rsidRPr="00362517" w:rsidRDefault="00C93033" w:rsidP="00BF6BC7">
      <w:pPr>
        <w:spacing w:after="120"/>
        <w:ind w:left="720" w:hangingChars="300" w:hanging="720"/>
      </w:pPr>
      <w:r w:rsidRPr="00362517">
        <w:t xml:space="preserve">EPA. 2002. </w:t>
      </w:r>
      <w:r w:rsidRPr="00362517">
        <w:rPr>
          <w:i/>
        </w:rPr>
        <w:t>Children Are at Greater Risks from Pesticide Exposure</w:t>
      </w:r>
      <w:r w:rsidRPr="00362517">
        <w:t>, Office of Pesticide Programs, U.S. Environmental Protection Agency, January 2002. A</w:t>
      </w:r>
      <w:r w:rsidR="002B4CD0">
        <w:t>vailable a</w:t>
      </w:r>
      <w:r w:rsidRPr="00362517">
        <w:t>t</w:t>
      </w:r>
      <w:r w:rsidR="002B4CD0">
        <w:t>:</w:t>
      </w:r>
      <w:r w:rsidRPr="00362517">
        <w:t xml:space="preserve"> </w:t>
      </w:r>
      <w:hyperlink r:id="rId28" w:history="1">
        <w:r w:rsidRPr="00362517">
          <w:rPr>
            <w:rStyle w:val="Hyperlink"/>
            <w:color w:val="auto"/>
          </w:rPr>
          <w:t>http://www.epa.gov/opp00001/factsheets/kidpesticide.htm</w:t>
        </w:r>
      </w:hyperlink>
    </w:p>
    <w:p w14:paraId="5AB1A0B1" w14:textId="667AA721" w:rsidR="00C93033" w:rsidRPr="00362517" w:rsidRDefault="00C93033" w:rsidP="00BF6BC7">
      <w:pPr>
        <w:spacing w:after="120"/>
        <w:ind w:left="720" w:hangingChars="300" w:hanging="720"/>
      </w:pPr>
      <w:r w:rsidRPr="00362517">
        <w:t xml:space="preserve">Eriksson M, L Hardell, M Carlberg, and M Akerman.  2008.  Pesticide exposure as risk factor for non-Hodgkin lymphoma including histopathological subgroup analysis. </w:t>
      </w:r>
      <w:r w:rsidRPr="00362517">
        <w:rPr>
          <w:i/>
        </w:rPr>
        <w:t>Int J Cancer</w:t>
      </w:r>
      <w:r w:rsidRPr="00362517">
        <w:t>. 123(7):</w:t>
      </w:r>
      <w:r w:rsidR="002B4CD0">
        <w:t xml:space="preserve">  </w:t>
      </w:r>
      <w:r w:rsidRPr="00362517">
        <w:t>1657-63</w:t>
      </w:r>
      <w:r w:rsidR="002B4CD0">
        <w:t>,</w:t>
      </w:r>
      <w:r w:rsidRPr="00362517">
        <w:t xml:space="preserve"> Oct 1.</w:t>
      </w:r>
    </w:p>
    <w:p w14:paraId="5AB1A0B2" w14:textId="69F9D606" w:rsidR="00C93033" w:rsidRPr="00362517" w:rsidRDefault="00C93033" w:rsidP="00BF6BC7">
      <w:pPr>
        <w:spacing w:after="120"/>
        <w:ind w:left="720" w:hangingChars="300" w:hanging="720"/>
      </w:pPr>
      <w:r w:rsidRPr="00362517">
        <w:t>ERS.  2000.  Farm Resource Regions.  Economic Research Service, U.S. Department of Agriculture.  September.  Available at</w:t>
      </w:r>
      <w:r w:rsidR="002B4CD0">
        <w:t xml:space="preserve">: </w:t>
      </w:r>
      <w:r w:rsidRPr="00362517">
        <w:t xml:space="preserve"> </w:t>
      </w:r>
      <w:hyperlink r:id="rId29" w:history="1">
        <w:r w:rsidRPr="00362517">
          <w:rPr>
            <w:rStyle w:val="Hyperlink"/>
            <w:rFonts w:eastAsiaTheme="majorEastAsia"/>
            <w:color w:val="auto"/>
          </w:rPr>
          <w:t>http://www.ers.usda.gov/media/926929/aib-760_002.pdf</w:t>
        </w:r>
      </w:hyperlink>
      <w:r w:rsidRPr="00362517">
        <w:t>.</w:t>
      </w:r>
    </w:p>
    <w:p w14:paraId="5AB1A0B3" w14:textId="698AE0FF" w:rsidR="00C93033" w:rsidRPr="00362517" w:rsidRDefault="00C93033" w:rsidP="00BF6BC7">
      <w:pPr>
        <w:spacing w:after="120"/>
        <w:ind w:left="720" w:hangingChars="300" w:hanging="720"/>
      </w:pPr>
      <w:r w:rsidRPr="00362517">
        <w:t xml:space="preserve">Eskenazi, B, AR Marks, A Bradman, K Harley, DB Barr, C Johnson, N Morga, and NP Jewell.  2007.  Environmental organophosphate pesticide exposure and neurodevelopment in young Mexican-American children. </w:t>
      </w:r>
      <w:r w:rsidRPr="00362517">
        <w:rPr>
          <w:i/>
        </w:rPr>
        <w:t>Health Perspect</w:t>
      </w:r>
      <w:r w:rsidRPr="00362517">
        <w:t>. 115:</w:t>
      </w:r>
      <w:r w:rsidR="002B4CD0">
        <w:t xml:space="preserve">  </w:t>
      </w:r>
      <w:r w:rsidRPr="00362517">
        <w:t>792–798.</w:t>
      </w:r>
    </w:p>
    <w:p w14:paraId="5AB1A0B4" w14:textId="21163938" w:rsidR="00C93033" w:rsidRPr="00362517" w:rsidRDefault="00C93033" w:rsidP="00BF6BC7">
      <w:pPr>
        <w:spacing w:after="120"/>
        <w:ind w:left="720" w:hangingChars="300" w:hanging="720"/>
      </w:pPr>
      <w:r w:rsidRPr="00362517">
        <w:t>Fortenberry GZ and Calvert GM</w:t>
      </w:r>
      <w:r w:rsidR="002B4CD0">
        <w:t>.  2014.</w:t>
      </w:r>
      <w:r w:rsidRPr="00362517">
        <w:t xml:space="preserve"> Identifying contributing factors associated with restricted use pesticides (RUPs), unpublished document, April 22.</w:t>
      </w:r>
    </w:p>
    <w:p w14:paraId="5AB1A0B5" w14:textId="25E9116B" w:rsidR="00F7034A" w:rsidRPr="00362517" w:rsidRDefault="00F7034A" w:rsidP="00BF6BC7">
      <w:pPr>
        <w:spacing w:after="120"/>
        <w:ind w:left="720" w:hangingChars="300" w:hanging="720"/>
      </w:pPr>
      <w:r w:rsidRPr="00362517">
        <w:t>Fortenberry, GZ, J Beckman, A Schwartz, JBPrado, LS</w:t>
      </w:r>
      <w:r w:rsidR="00D019A5">
        <w:t xml:space="preserve"> </w:t>
      </w:r>
      <w:r w:rsidRPr="00362517">
        <w:t xml:space="preserve">Graham, S Higgins, M Lackovic, P Mulay, H Bojes, J Waltz, Y Mitchell, Kathy Leinenkugel, Michel S. Oriel, Elizabeth Evans, Geoffrey M Calvert. Magnitude and characteristics of acute paraquat- and diquat- related illnesses in the US: 1998–2013, </w:t>
      </w:r>
      <w:r w:rsidRPr="00362517">
        <w:rPr>
          <w:i/>
        </w:rPr>
        <w:t>Environmental Research</w:t>
      </w:r>
      <w:r w:rsidR="00D019A5">
        <w:t>.</w:t>
      </w:r>
      <w:r w:rsidRPr="00362517">
        <w:t xml:space="preserve"> 146, April</w:t>
      </w:r>
      <w:r w:rsidR="0097587A" w:rsidRPr="00362517">
        <w:t xml:space="preserve">.  </w:t>
      </w:r>
    </w:p>
    <w:p w14:paraId="5AB1A0B6" w14:textId="77777777" w:rsidR="00C93033" w:rsidRPr="00362517" w:rsidRDefault="00C93033" w:rsidP="00BF6BC7">
      <w:pPr>
        <w:spacing w:after="120"/>
        <w:ind w:left="720" w:hangingChars="300" w:hanging="720"/>
      </w:pPr>
      <w:r w:rsidRPr="00362517">
        <w:t xml:space="preserve">Freeman III, A.M. 2003. The Measurement of Environmental and Resource Values: Theory and Methods. 2nd Ed. Washington, DC: Resources for the Future. </w:t>
      </w:r>
    </w:p>
    <w:p w14:paraId="5AB1A0B7" w14:textId="7D8BD13A" w:rsidR="00C93033" w:rsidRPr="00362517" w:rsidRDefault="00C93033" w:rsidP="00BF6BC7">
      <w:pPr>
        <w:spacing w:after="120"/>
        <w:ind w:left="720" w:hangingChars="300" w:hanging="720"/>
      </w:pPr>
      <w:r w:rsidRPr="00362517">
        <w:t xml:space="preserve">Golub, MS.  2000.  Adolescent Health and the Environment, </w:t>
      </w:r>
      <w:r w:rsidRPr="00362517">
        <w:rPr>
          <w:i/>
        </w:rPr>
        <w:t>Environmental Health Perspectives</w:t>
      </w:r>
      <w:r w:rsidRPr="00362517">
        <w:t>, 108</w:t>
      </w:r>
      <w:r w:rsidR="00D019A5">
        <w:t>(</w:t>
      </w:r>
      <w:r w:rsidRPr="00362517">
        <w:t>4</w:t>
      </w:r>
      <w:r w:rsidR="00D019A5">
        <w:t>)</w:t>
      </w:r>
      <w:r w:rsidRPr="00362517">
        <w:t xml:space="preserve"> </w:t>
      </w:r>
      <w:r w:rsidR="00D019A5">
        <w:t>:</w:t>
      </w:r>
      <w:r w:rsidRPr="00362517">
        <w:t xml:space="preserve"> 355-362</w:t>
      </w:r>
      <w:r w:rsidR="00D019A5">
        <w:t xml:space="preserve">, </w:t>
      </w:r>
      <w:r w:rsidR="00D019A5" w:rsidRPr="00362517">
        <w:t>Apr</w:t>
      </w:r>
      <w:r w:rsidR="00D019A5">
        <w:t>il</w:t>
      </w:r>
      <w:r w:rsidRPr="00362517">
        <w:t>.</w:t>
      </w:r>
    </w:p>
    <w:p w14:paraId="5AB1A0B8" w14:textId="7A071566" w:rsidR="00C93033" w:rsidRPr="00362517" w:rsidRDefault="00C93033" w:rsidP="00BF6BC7">
      <w:pPr>
        <w:spacing w:after="120"/>
        <w:ind w:left="720" w:hangingChars="300" w:hanging="720"/>
      </w:pPr>
      <w:r w:rsidRPr="00362517">
        <w:t xml:space="preserve">Harchelroad F, RF Clark, B Dean, and EP Krenzelok.  1990.  Treated vs. reported toxic exposures: discrepancies between a poison control center and a member hospital. </w:t>
      </w:r>
      <w:r w:rsidRPr="00362517">
        <w:rPr>
          <w:i/>
        </w:rPr>
        <w:t xml:space="preserve">Vet Hum Toxicol. </w:t>
      </w:r>
      <w:r w:rsidRPr="00362517">
        <w:t>32(2):</w:t>
      </w:r>
      <w:r w:rsidR="00D019A5">
        <w:t xml:space="preserve">  </w:t>
      </w:r>
      <w:r w:rsidRPr="00362517">
        <w:t>156-9, April.</w:t>
      </w:r>
    </w:p>
    <w:p w14:paraId="5AB1A0B9" w14:textId="185F087C" w:rsidR="00C93033" w:rsidRPr="00362517" w:rsidRDefault="00C93033" w:rsidP="00BF6BC7">
      <w:pPr>
        <w:spacing w:after="120"/>
        <w:ind w:left="720" w:hangingChars="300" w:hanging="720"/>
      </w:pPr>
      <w:r w:rsidRPr="00362517">
        <w:t xml:space="preserve">Hardell, L, and M Erikkson.  2003.  Is the Decline of the Increasing Incidence of Non-Hodgkin Lymphoma in Sweden and Other Countries a Result of Cancer Preventive Measures? </w:t>
      </w:r>
      <w:r w:rsidRPr="00362517">
        <w:rPr>
          <w:i/>
        </w:rPr>
        <w:t>Environmental Health Perspectives</w:t>
      </w:r>
      <w:r w:rsidRPr="00362517">
        <w:t xml:space="preserve"> </w:t>
      </w:r>
      <w:r w:rsidR="00D019A5">
        <w:t>.</w:t>
      </w:r>
      <w:r w:rsidRPr="00362517">
        <w:t>111</w:t>
      </w:r>
      <w:r w:rsidR="00D019A5">
        <w:t>(</w:t>
      </w:r>
      <w:r w:rsidRPr="00362517">
        <w:t>14</w:t>
      </w:r>
      <w:r w:rsidR="00D019A5">
        <w:t>)</w:t>
      </w:r>
      <w:r w:rsidRPr="00362517">
        <w:t xml:space="preserve"> : 1704-706.</w:t>
      </w:r>
    </w:p>
    <w:p w14:paraId="5AB1A0BA" w14:textId="689A3652" w:rsidR="00C93033" w:rsidRPr="00362517" w:rsidRDefault="00C93033" w:rsidP="00BF6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922" w:hanging="922"/>
      </w:pPr>
      <w:r w:rsidRPr="00362517">
        <w:t>Helfrich, LA., DL Weigmann, P</w:t>
      </w:r>
      <w:r w:rsidR="00D019A5">
        <w:t xml:space="preserve"> </w:t>
      </w:r>
      <w:r w:rsidRPr="00362517">
        <w:t xml:space="preserve">Hipkins, ER Stinson.  2009.  </w:t>
      </w:r>
      <w:r w:rsidRPr="00362517">
        <w:rPr>
          <w:i/>
        </w:rPr>
        <w:t>Pesticides and Aquatic Animals: A Guide to Reducing Impacts on Aquatic Systems.</w:t>
      </w:r>
      <w:r w:rsidRPr="00362517">
        <w:t xml:space="preserve">  Virginia Polytechnic Institute and State University, Publication 420-013.  Available </w:t>
      </w:r>
      <w:r w:rsidR="00D019A5">
        <w:t>at</w:t>
      </w:r>
      <w:r w:rsidRPr="00362517">
        <w:t>:</w:t>
      </w:r>
      <w:r w:rsidR="00F6314C">
        <w:t xml:space="preserve"> </w:t>
      </w:r>
      <w:r w:rsidRPr="00362517">
        <w:t xml:space="preserve"> </w:t>
      </w:r>
      <w:hyperlink r:id="rId30" w:history="1">
        <w:r w:rsidRPr="00362517">
          <w:rPr>
            <w:rStyle w:val="Hyperlink"/>
            <w:color w:val="auto"/>
          </w:rPr>
          <w:t>https://pubs.ext.vt.edu/420/420-013/420-013_pdf.pdf</w:t>
        </w:r>
      </w:hyperlink>
    </w:p>
    <w:p w14:paraId="5AB1A0BB" w14:textId="2FEF8295" w:rsidR="00C93033" w:rsidRPr="00362517" w:rsidRDefault="00C93033" w:rsidP="00BF6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922" w:hanging="922"/>
      </w:pPr>
      <w:r w:rsidRPr="00362517">
        <w:t xml:space="preserve">Hoppin JA, DM Umbach, SJ London, PK Henneberger, GJ Kullman, MC Alavanja, and DP Sandler.  2008.  Pesticides and atopic and nonatopic asthma among farm women in the Agricultural Health Study. </w:t>
      </w:r>
      <w:r w:rsidRPr="00362517">
        <w:rPr>
          <w:i/>
        </w:rPr>
        <w:t>Am J Respir Crit Care Med</w:t>
      </w:r>
      <w:r w:rsidRPr="00362517">
        <w:t>. 177(1):</w:t>
      </w:r>
      <w:r w:rsidR="00D019A5">
        <w:t xml:space="preserve">  </w:t>
      </w:r>
      <w:r w:rsidRPr="00362517">
        <w:t>11-8, Jan</w:t>
      </w:r>
      <w:r w:rsidR="00D019A5">
        <w:t>uary</w:t>
      </w:r>
      <w:r w:rsidRPr="00362517">
        <w:t xml:space="preserve"> 1.  A</w:t>
      </w:r>
      <w:r w:rsidR="00D019A5">
        <w:t>vailable a</w:t>
      </w:r>
      <w:r w:rsidRPr="00362517">
        <w:t>t</w:t>
      </w:r>
      <w:r w:rsidR="00D019A5">
        <w:t xml:space="preserve">: </w:t>
      </w:r>
      <w:r w:rsidRPr="00362517">
        <w:t xml:space="preserve"> </w:t>
      </w:r>
      <w:hyperlink r:id="rId31" w:history="1">
        <w:r w:rsidRPr="00362517">
          <w:rPr>
            <w:rStyle w:val="Hyperlink"/>
            <w:rFonts w:eastAsiaTheme="majorEastAsia"/>
            <w:color w:val="auto"/>
          </w:rPr>
          <w:t>http://www.ncbi.nlm.nih.gov/pubmed/17932376</w:t>
        </w:r>
      </w:hyperlink>
      <w:r w:rsidRPr="00362517">
        <w:t>.</w:t>
      </w:r>
    </w:p>
    <w:p w14:paraId="5AB1A0BC" w14:textId="24894B16" w:rsidR="00C93033" w:rsidRPr="00362517" w:rsidRDefault="00C93033" w:rsidP="00BF6BC7">
      <w:pPr>
        <w:spacing w:after="120"/>
        <w:ind w:left="720" w:hanging="720"/>
      </w:pPr>
      <w:r w:rsidRPr="00362517">
        <w:t>Hoppin JA, M Valcin, PK Henneberger, GJ Kullman, DM Umbach, SJ London,</w:t>
      </w:r>
      <w:r w:rsidRPr="00E268E3">
        <w:rPr>
          <w:i/>
        </w:rPr>
        <w:t xml:space="preserve"> </w:t>
      </w:r>
      <w:r w:rsidRPr="00DB73EF">
        <w:rPr>
          <w:i/>
        </w:rPr>
        <w:t>et al</w:t>
      </w:r>
      <w:r w:rsidRPr="00E268E3">
        <w:rPr>
          <w:i/>
        </w:rPr>
        <w:t xml:space="preserve">.  </w:t>
      </w:r>
      <w:r w:rsidRPr="00362517">
        <w:t xml:space="preserve">2007. Pesticide use and chronic bronchitis among farmers in the Agricultural Health Study. </w:t>
      </w:r>
      <w:r w:rsidRPr="00362517">
        <w:rPr>
          <w:i/>
        </w:rPr>
        <w:t>Am J Ind Med</w:t>
      </w:r>
      <w:r w:rsidR="00DB73EF">
        <w:rPr>
          <w:i/>
        </w:rPr>
        <w:t>.</w:t>
      </w:r>
      <w:r w:rsidRPr="00362517">
        <w:t xml:space="preserve"> 50:</w:t>
      </w:r>
      <w:r w:rsidR="00DB73EF">
        <w:t xml:space="preserve">  </w:t>
      </w:r>
      <w:r w:rsidRPr="00362517">
        <w:t>969–979.</w:t>
      </w:r>
    </w:p>
    <w:p w14:paraId="5AB1A0BD" w14:textId="7F22CFF0" w:rsidR="00C93033" w:rsidRPr="00362517" w:rsidRDefault="00C93033" w:rsidP="00BF6BC7">
      <w:pPr>
        <w:spacing w:after="120"/>
        <w:ind w:left="720" w:hanging="720"/>
      </w:pPr>
      <w:r w:rsidRPr="00362517">
        <w:t xml:space="preserve">Huse DM, K Schulman, L Orsini, J Castelli-Haley, S Kennedy, and G Lenhart.  2005.  Burden of illness in Parkinson's disease. </w:t>
      </w:r>
      <w:r w:rsidRPr="00362517">
        <w:rPr>
          <w:i/>
        </w:rPr>
        <w:t>Movement Disorders</w:t>
      </w:r>
      <w:r w:rsidR="00DB73EF">
        <w:t>.</w:t>
      </w:r>
      <w:r w:rsidRPr="00362517">
        <w:t xml:space="preserve"> 20(11):</w:t>
      </w:r>
      <w:r w:rsidR="00DB73EF">
        <w:t xml:space="preserve">  </w:t>
      </w:r>
      <w:r w:rsidRPr="00362517">
        <w:t>1449-54, Nov</w:t>
      </w:r>
      <w:r w:rsidR="00DB73EF">
        <w:t>ember</w:t>
      </w:r>
      <w:r w:rsidRPr="00362517">
        <w:t>.  A</w:t>
      </w:r>
      <w:r w:rsidR="00841415">
        <w:t>vailable a</w:t>
      </w:r>
      <w:r w:rsidRPr="00362517">
        <w:t>t</w:t>
      </w:r>
      <w:r w:rsidR="00841415">
        <w:t>:</w:t>
      </w:r>
      <w:r w:rsidRPr="00362517">
        <w:t xml:space="preserve"> </w:t>
      </w:r>
      <w:hyperlink r:id="rId32" w:history="1">
        <w:r w:rsidRPr="00362517">
          <w:rPr>
            <w:rStyle w:val="Hyperlink"/>
            <w:rFonts w:eastAsiaTheme="majorEastAsia"/>
            <w:color w:val="auto"/>
          </w:rPr>
          <w:t>http://www.ncbi.nlm.nih.gov/pubmed/16007641</w:t>
        </w:r>
      </w:hyperlink>
      <w:r w:rsidRPr="00362517">
        <w:t>.</w:t>
      </w:r>
    </w:p>
    <w:p w14:paraId="5AB1A0BE" w14:textId="75901675" w:rsidR="00C93033" w:rsidRPr="00362517" w:rsidRDefault="00C93033" w:rsidP="00BF6BC7">
      <w:pPr>
        <w:spacing w:after="120"/>
        <w:ind w:left="720" w:hangingChars="300" w:hanging="720"/>
      </w:pPr>
      <w:r w:rsidRPr="00362517">
        <w:t xml:space="preserve">Institute for Highway Safety.  2008.  </w:t>
      </w:r>
      <w:r w:rsidRPr="00E268E3">
        <w:t>Fatality Facts, 2008: Teenagers</w:t>
      </w:r>
      <w:r w:rsidRPr="00DB73EF">
        <w:t xml:space="preserve">. </w:t>
      </w:r>
      <w:r w:rsidRPr="00362517">
        <w:t xml:space="preserve"> A</w:t>
      </w:r>
      <w:r w:rsidR="00DB73EF">
        <w:t>vailable a</w:t>
      </w:r>
      <w:r w:rsidRPr="00362517">
        <w:t>t</w:t>
      </w:r>
      <w:r w:rsidR="00DB73EF">
        <w:t>:</w:t>
      </w:r>
      <w:r w:rsidRPr="00362517">
        <w:t xml:space="preserve"> </w:t>
      </w:r>
      <w:hyperlink r:id="rId33" w:history="1">
        <w:r w:rsidRPr="00362517">
          <w:rPr>
            <w:u w:val="single"/>
          </w:rPr>
          <w:t>http://www.iihs.org/research/fatality_facts_2008/teenagers.html</w:t>
        </w:r>
      </w:hyperlink>
      <w:r w:rsidRPr="00362517">
        <w:t xml:space="preserve">, </w:t>
      </w:r>
      <w:r w:rsidR="00DB73EF">
        <w:t>A</w:t>
      </w:r>
      <w:r w:rsidRPr="00362517">
        <w:t xml:space="preserve">ccessed February, 24, 2011.  </w:t>
      </w:r>
    </w:p>
    <w:p w14:paraId="5AB1A0BF" w14:textId="7709D91F" w:rsidR="00C93033" w:rsidRPr="00362517" w:rsidRDefault="00C93033" w:rsidP="00BF6BC7">
      <w:pPr>
        <w:spacing w:after="120"/>
        <w:ind w:left="720" w:hanging="720"/>
      </w:pPr>
      <w:r w:rsidRPr="00362517">
        <w:t xml:space="preserve">Johnston, R. </w:t>
      </w:r>
      <w:r w:rsidR="00F04DF4">
        <w:t xml:space="preserve">M </w:t>
      </w:r>
      <w:r w:rsidRPr="00362517">
        <w:t xml:space="preserve">Ranson, </w:t>
      </w:r>
      <w:r w:rsidR="00F04DF4">
        <w:t xml:space="preserve">E </w:t>
      </w:r>
      <w:r w:rsidRPr="00362517">
        <w:t xml:space="preserve">Besedin, </w:t>
      </w:r>
      <w:r w:rsidR="00F04DF4">
        <w:t xml:space="preserve">E </w:t>
      </w:r>
      <w:r w:rsidRPr="00362517">
        <w:t>Helm. </w:t>
      </w:r>
      <w:r w:rsidR="00DB73EF">
        <w:t xml:space="preserve">2006.  </w:t>
      </w:r>
      <w:r w:rsidRPr="00362517">
        <w:t>What Determines Willingness to Pay per Fish? A Meta-Analysis of Recreational Fishing Values</w:t>
      </w:r>
      <w:r w:rsidR="00DB73EF">
        <w:t>.</w:t>
      </w:r>
      <w:r w:rsidRPr="00362517">
        <w:t> </w:t>
      </w:r>
      <w:r w:rsidRPr="00362517">
        <w:rPr>
          <w:i/>
          <w:iCs/>
        </w:rPr>
        <w:t xml:space="preserve">Marine Resource Economics </w:t>
      </w:r>
      <w:r w:rsidRPr="00E268E3">
        <w:rPr>
          <w:iCs/>
        </w:rPr>
        <w:t>21:</w:t>
      </w:r>
      <w:r w:rsidR="00DB73EF" w:rsidRPr="00E268E3">
        <w:rPr>
          <w:iCs/>
        </w:rPr>
        <w:t xml:space="preserve">  </w:t>
      </w:r>
      <w:r w:rsidRPr="00E268E3">
        <w:rPr>
          <w:iCs/>
        </w:rPr>
        <w:t>1-32</w:t>
      </w:r>
      <w:r w:rsidR="00DB73EF">
        <w:t>.</w:t>
      </w:r>
    </w:p>
    <w:p w14:paraId="5AB1A0C0" w14:textId="4FDB742B" w:rsidR="00C93033" w:rsidRPr="00362517" w:rsidRDefault="00C93033" w:rsidP="00BF6BC7">
      <w:pPr>
        <w:spacing w:after="120"/>
        <w:ind w:left="720" w:hangingChars="300" w:hanging="720"/>
      </w:pPr>
      <w:r w:rsidRPr="00362517">
        <w:t xml:space="preserve">Kamel, F, C Tanner, D Umbach, J Hoppin, M Alavanja, A Blair, K Comyns, S Goldman, M Korell, J Langston, G Ross, and D Sandler.  2007.  Pesticide exposure and self-reported Parkinson's disease in the agricultural health study. </w:t>
      </w:r>
      <w:r w:rsidRPr="00362517">
        <w:rPr>
          <w:i/>
        </w:rPr>
        <w:t>Am J Epidemiol</w:t>
      </w:r>
      <w:r w:rsidR="00DB73EF">
        <w:t>.</w:t>
      </w:r>
      <w:r w:rsidRPr="00362517">
        <w:t xml:space="preserve"> 165:364-74.</w:t>
      </w:r>
    </w:p>
    <w:p w14:paraId="5AB1A0C1" w14:textId="310483D8" w:rsidR="00C93033" w:rsidRPr="00362517" w:rsidRDefault="00C93033" w:rsidP="00BF6BC7">
      <w:pPr>
        <w:spacing w:after="120"/>
        <w:ind w:left="720" w:hangingChars="300" w:hanging="720"/>
      </w:pPr>
      <w:r w:rsidRPr="00362517">
        <w:t xml:space="preserve">Kandel, W.  2008.  </w:t>
      </w:r>
      <w:r w:rsidRPr="00362517">
        <w:rPr>
          <w:i/>
        </w:rPr>
        <w:t>Profile of Hired Farmworkers, 2008 Update</w:t>
      </w:r>
      <w:r w:rsidRPr="00362517">
        <w:t>, Economic Research Report No. 60, Economic Research Service, U.S. Department of Agriculture</w:t>
      </w:r>
      <w:r w:rsidR="00DB73EF">
        <w:t>.</w:t>
      </w:r>
      <w:r w:rsidRPr="00362517">
        <w:t xml:space="preserve"> June.</w:t>
      </w:r>
    </w:p>
    <w:p w14:paraId="5AB1A0C2" w14:textId="1542B05E" w:rsidR="00C93033" w:rsidRPr="00362517" w:rsidRDefault="00C93033" w:rsidP="00BF6BC7">
      <w:pPr>
        <w:spacing w:after="120"/>
        <w:ind w:left="720" w:hangingChars="300" w:hanging="720"/>
      </w:pPr>
      <w:r w:rsidRPr="00362517">
        <w:t xml:space="preserve">Karpf, Elissa.  </w:t>
      </w:r>
      <w:r w:rsidR="00DB73EF">
        <w:t xml:space="preserve">1997. </w:t>
      </w:r>
      <w:r w:rsidRPr="00362517">
        <w:rPr>
          <w:i/>
        </w:rPr>
        <w:t>Results of Assessments of Controls Over Emergency Removal Actions at Methyl Parathion Sites, Report No. E1SFB7-06-0020-7400069</w:t>
      </w:r>
      <w:r w:rsidRPr="00362517">
        <w:t xml:space="preserve">.  September 23.  </w:t>
      </w:r>
      <w:r w:rsidR="00DB73EF">
        <w:t xml:space="preserve">Available at: </w:t>
      </w:r>
      <w:r w:rsidRPr="00E268E3">
        <w:rPr>
          <w:u w:val="single"/>
        </w:rPr>
        <w:t>http://nepis.epa.gov/Exe/ZyPDF.cgi/900K1G00.PDF?Dockey=900K1G00.PDF</w:t>
      </w:r>
    </w:p>
    <w:p w14:paraId="5AB1A0C3" w14:textId="462BF4C8" w:rsidR="00C93033" w:rsidRPr="00362517" w:rsidRDefault="00C93033" w:rsidP="00BF6BC7">
      <w:pPr>
        <w:spacing w:after="120"/>
        <w:ind w:left="720" w:hangingChars="300" w:hanging="720"/>
      </w:pPr>
      <w:r w:rsidRPr="00362517">
        <w:t xml:space="preserve">Kotchen, MJ and </w:t>
      </w:r>
      <w:r w:rsidR="00F6314C">
        <w:t xml:space="preserve">SD </w:t>
      </w:r>
      <w:r w:rsidRPr="00362517">
        <w:t>Reiling.</w:t>
      </w:r>
      <w:r w:rsidR="00F6314C">
        <w:t xml:space="preserve">  2000.</w:t>
      </w:r>
      <w:r w:rsidRPr="00362517">
        <w:t xml:space="preserve"> Environmental attitudes, motivations, and contingent valuation of nonuse values: a case study involving endangered species</w:t>
      </w:r>
      <w:r w:rsidR="00F6314C">
        <w:t>.</w:t>
      </w:r>
      <w:r w:rsidRPr="00362517">
        <w:t xml:space="preserve"> </w:t>
      </w:r>
      <w:r w:rsidRPr="00362517">
        <w:rPr>
          <w:i/>
        </w:rPr>
        <w:t>Ecological Economics</w:t>
      </w:r>
      <w:r w:rsidR="00DB73EF">
        <w:rPr>
          <w:i/>
        </w:rPr>
        <w:t>.</w:t>
      </w:r>
      <w:r w:rsidRPr="00362517">
        <w:t xml:space="preserve"> 32(1): 93-107. </w:t>
      </w:r>
    </w:p>
    <w:p w14:paraId="5AB1A0C4" w14:textId="1F5A772C" w:rsidR="00C93033" w:rsidRPr="00362517" w:rsidRDefault="00C93033" w:rsidP="00BF6BC7">
      <w:pPr>
        <w:spacing w:after="120"/>
        <w:ind w:left="720" w:hangingChars="300" w:hanging="720"/>
      </w:pPr>
      <w:r w:rsidRPr="00362517">
        <w:t xml:space="preserve">Koutros S, MC Alavanja, JH Lubin, DP Sandler, JA Hoppin, DF Lynch, C Knott, A Blair, LE Beane-Freeman.  2010a.  An update of cancer incidence in the Agricultural Health Study. </w:t>
      </w:r>
      <w:r w:rsidRPr="00362517">
        <w:rPr>
          <w:i/>
        </w:rPr>
        <w:t>Journal of Occupational and Environmental Medicine</w:t>
      </w:r>
      <w:r w:rsidR="00DB73EF">
        <w:t>.</w:t>
      </w:r>
      <w:r w:rsidRPr="00362517">
        <w:t xml:space="preserve"> 52(11):</w:t>
      </w:r>
      <w:r w:rsidR="00DB73EF">
        <w:t xml:space="preserve">  </w:t>
      </w:r>
      <w:r w:rsidRPr="00362517">
        <w:t>1098-105.</w:t>
      </w:r>
    </w:p>
    <w:p w14:paraId="5AB1A0C5" w14:textId="6C9A96A4" w:rsidR="00C93033" w:rsidRPr="00362517" w:rsidRDefault="00C93033" w:rsidP="00BF6BC7">
      <w:pPr>
        <w:spacing w:after="120"/>
        <w:ind w:left="720" w:hangingChars="300" w:hanging="720"/>
      </w:pPr>
      <w:r w:rsidRPr="00362517">
        <w:t xml:space="preserve">Koutros S, LE Beane-Freeman, SI Berndt, G Andreotti, JH Lubin, DP Sandler, JA Hoppin, K Yu, Q Li, LA Burdette, J Yuenger, M Yeager, and MC Alavanja.  2010b.  Pesticide use modifies the association between genetic variants on chromosome 8q24 and prostate cancer. </w:t>
      </w:r>
      <w:r w:rsidRPr="00362517">
        <w:rPr>
          <w:i/>
        </w:rPr>
        <w:t>Cancer Res</w:t>
      </w:r>
      <w:r w:rsidR="00DB73EF">
        <w:t>.</w:t>
      </w:r>
      <w:r w:rsidRPr="00362517">
        <w:t xml:space="preserve"> 70(22):</w:t>
      </w:r>
      <w:r w:rsidR="00DB73EF">
        <w:t xml:space="preserve">  </w:t>
      </w:r>
      <w:r w:rsidRPr="00362517">
        <w:t>9224-33.</w:t>
      </w:r>
    </w:p>
    <w:p w14:paraId="5AB1A0C6" w14:textId="5BE0960E" w:rsidR="00C93033" w:rsidRPr="00362517" w:rsidRDefault="00C93033" w:rsidP="00BF6BC7">
      <w:pPr>
        <w:spacing w:after="120"/>
        <w:ind w:left="720" w:hanging="720"/>
      </w:pPr>
      <w:r w:rsidRPr="00362517">
        <w:t xml:space="preserve">Koutros, S, LE Beane-Freeman, JH Lubin, SL Heltshe, G Andreotti, KH Barry, CT Dellavalle, JA Hoppin, DP Sandler, CF Lynch, A Blair, and MC Alavanja.  2012.  Risk of Total and Aggressive Prostate Cancer and Pesticide Use in the Agricultural Health Study. </w:t>
      </w:r>
      <w:r w:rsidRPr="00362517">
        <w:rPr>
          <w:i/>
        </w:rPr>
        <w:t>American Journal of Epidemiology</w:t>
      </w:r>
      <w:r w:rsidR="00DB73EF">
        <w:t>.</w:t>
      </w:r>
      <w:r w:rsidRPr="00362517">
        <w:t xml:space="preserve"> 177(1):</w:t>
      </w:r>
      <w:r w:rsidR="00DB73EF">
        <w:t xml:space="preserve">  </w:t>
      </w:r>
      <w:r w:rsidRPr="00362517">
        <w:t>59-74. Epub 2012 Nov 21</w:t>
      </w:r>
      <w:r w:rsidR="00DB73EF">
        <w:t>.</w:t>
      </w:r>
      <w:r w:rsidR="00CC4E34">
        <w:t xml:space="preserve"> </w:t>
      </w:r>
      <w:r w:rsidR="00DB73EF">
        <w:t xml:space="preserve">Available at: </w:t>
      </w:r>
      <w:r w:rsidRPr="00362517">
        <w:t xml:space="preserve"> </w:t>
      </w:r>
      <w:hyperlink r:id="rId34" w:history="1">
        <w:r w:rsidRPr="00362517">
          <w:rPr>
            <w:rStyle w:val="Hyperlink"/>
            <w:rFonts w:eastAsiaTheme="majorEastAsia"/>
            <w:color w:val="auto"/>
          </w:rPr>
          <w:t>http://www.ncbi.nlm.nih.gov/pubmed/23171882</w:t>
        </w:r>
      </w:hyperlink>
      <w:r w:rsidRPr="00362517">
        <w:t>.</w:t>
      </w:r>
    </w:p>
    <w:p w14:paraId="5AB1A0C7" w14:textId="31C08343" w:rsidR="00C93033" w:rsidRPr="00362517" w:rsidRDefault="00C93033" w:rsidP="00BF6BC7">
      <w:pPr>
        <w:spacing w:after="120"/>
        <w:ind w:left="720" w:hangingChars="300" w:hanging="720"/>
      </w:pPr>
      <w:r w:rsidRPr="00362517">
        <w:t xml:space="preserve">Kristensen P, A Andersen, LM Irgens, P Laake, and AS Bye.  1996.  Incidence and risk factors of cancer among men and women in Norwegian agriculture.  </w:t>
      </w:r>
      <w:r w:rsidRPr="00362517">
        <w:rPr>
          <w:i/>
        </w:rPr>
        <w:t>Scand J Work Environ Health</w:t>
      </w:r>
      <w:r w:rsidRPr="00362517">
        <w:t>. 22(1):</w:t>
      </w:r>
      <w:r w:rsidR="00DB73EF">
        <w:t xml:space="preserve">  </w:t>
      </w:r>
      <w:r w:rsidRPr="00362517">
        <w:t>14-26, Feb</w:t>
      </w:r>
      <w:r w:rsidR="00DB73EF">
        <w:t>ruary</w:t>
      </w:r>
      <w:r w:rsidRPr="00362517">
        <w:t>.</w:t>
      </w:r>
    </w:p>
    <w:p w14:paraId="5AB1A0C8" w14:textId="049825FC" w:rsidR="00C93033" w:rsidRPr="00362517" w:rsidRDefault="00C93033" w:rsidP="00BF6BC7">
      <w:pPr>
        <w:spacing w:after="120"/>
        <w:ind w:left="720" w:hangingChars="300" w:hanging="720"/>
      </w:pPr>
      <w:r w:rsidRPr="00362517">
        <w:t xml:space="preserve">Kutikova, L, L Bowman, S Chang, SR Long, M Arning, and WH. Crown.  2006.  Medical costs associated with non-Hodgkin's lymphoma in the United States during the first two years of treatment, </w:t>
      </w:r>
      <w:r w:rsidRPr="00362517">
        <w:rPr>
          <w:i/>
        </w:rPr>
        <w:t>Leukemia &amp; Lymphoma</w:t>
      </w:r>
      <w:r w:rsidR="00DB73EF">
        <w:rPr>
          <w:i/>
        </w:rPr>
        <w:t>.</w:t>
      </w:r>
      <w:r w:rsidRPr="00362517">
        <w:t xml:space="preserve"> 47</w:t>
      </w:r>
      <w:r w:rsidR="00DB73EF">
        <w:t>(</w:t>
      </w:r>
      <w:r w:rsidRPr="00362517">
        <w:t>8</w:t>
      </w:r>
      <w:r w:rsidR="00DB73EF">
        <w:t>):</w:t>
      </w:r>
      <w:r w:rsidRPr="00362517">
        <w:t xml:space="preserve"> 1535-1544.  </w:t>
      </w:r>
    </w:p>
    <w:p w14:paraId="5AB1A0C9" w14:textId="77ABE9A9" w:rsidR="00C93033" w:rsidRPr="00362517" w:rsidRDefault="00C93033" w:rsidP="00BF6BC7">
      <w:pPr>
        <w:spacing w:after="120"/>
        <w:ind w:left="720" w:hangingChars="300" w:hanging="720"/>
      </w:pPr>
      <w:r w:rsidRPr="00362517">
        <w:t xml:space="preserve">Lebailly, P, E Niez, I Baldi, JP Grillet, and C Agrican.  2006.  Cohort Study "Agrican" on the Causes of Death and Cancer Incidence Among French Farmers and Agricultural Workers: Enrolment Step, </w:t>
      </w:r>
      <w:r w:rsidRPr="00362517">
        <w:rPr>
          <w:i/>
        </w:rPr>
        <w:t>Epidemiology</w:t>
      </w:r>
      <w:r w:rsidR="00DB73EF">
        <w:t>.</w:t>
      </w:r>
      <w:r w:rsidRPr="00362517">
        <w:t xml:space="preserve"> 17</w:t>
      </w:r>
      <w:r w:rsidR="00DB73EF">
        <w:t>(</w:t>
      </w:r>
      <w:r w:rsidRPr="00362517">
        <w:t>6</w:t>
      </w:r>
      <w:r w:rsidR="00DB73EF">
        <w:t>):</w:t>
      </w:r>
      <w:r w:rsidRPr="00362517">
        <w:t xml:space="preserve"> S311-S312, Nov</w:t>
      </w:r>
      <w:r w:rsidR="00DB73EF">
        <w:t>ember</w:t>
      </w:r>
      <w:r w:rsidRPr="00362517">
        <w:t>.</w:t>
      </w:r>
    </w:p>
    <w:p w14:paraId="5AB1A0CA" w14:textId="31F3D07E" w:rsidR="00C93033" w:rsidRPr="00362517" w:rsidRDefault="00C93033" w:rsidP="00BF6BC7">
      <w:pPr>
        <w:tabs>
          <w:tab w:val="left" w:pos="540"/>
          <w:tab w:val="left" w:pos="1080"/>
          <w:tab w:val="left" w:pos="1620"/>
          <w:tab w:val="left" w:pos="2160"/>
        </w:tabs>
        <w:spacing w:after="120"/>
        <w:ind w:left="547" w:hanging="547"/>
      </w:pPr>
      <w:r w:rsidRPr="00362517">
        <w:t xml:space="preserve">Lake Area Technical Institute, undated.  </w:t>
      </w:r>
      <w:r w:rsidRPr="00362517">
        <w:rPr>
          <w:i/>
        </w:rPr>
        <w:t>A Proposal for Agriculture Aviation Option</w:t>
      </w:r>
      <w:r w:rsidRPr="00362517">
        <w:t xml:space="preserve">. </w:t>
      </w:r>
      <w:r w:rsidR="00CC4E34">
        <w:t xml:space="preserve">Available at: </w:t>
      </w:r>
      <w:hyperlink r:id="rId35" w:history="1">
        <w:r w:rsidRPr="00362517">
          <w:rPr>
            <w:rStyle w:val="Hyperlink"/>
            <w:color w:val="auto"/>
          </w:rPr>
          <w:t>http://doe.sd.gov/board/packets/documents/032814/Item12Doc1.pdf</w:t>
        </w:r>
      </w:hyperlink>
      <w:r w:rsidRPr="00362517">
        <w:rPr>
          <w:rStyle w:val="Hyperlink"/>
          <w:color w:val="auto"/>
          <w:u w:val="none"/>
        </w:rPr>
        <w:t>.  Accessed June 19 2016.</w:t>
      </w:r>
    </w:p>
    <w:p w14:paraId="5AB1A0CB" w14:textId="126CD94F" w:rsidR="00C93033" w:rsidRPr="00362517" w:rsidRDefault="00C93033" w:rsidP="00BF6BC7">
      <w:pPr>
        <w:tabs>
          <w:tab w:val="left" w:pos="540"/>
          <w:tab w:val="left" w:pos="1080"/>
          <w:tab w:val="left" w:pos="1620"/>
          <w:tab w:val="left" w:pos="2160"/>
        </w:tabs>
        <w:spacing w:after="120"/>
        <w:ind w:left="547" w:hanging="547"/>
      </w:pPr>
      <w:r w:rsidRPr="00362517">
        <w:t>Lee WJ, A Blair, JA Hoppin, JH Lubin, JA Rusiecki, DP Sandle</w:t>
      </w:r>
      <w:r w:rsidRPr="00F6314C">
        <w:t xml:space="preserve">r, </w:t>
      </w:r>
      <w:r w:rsidRPr="00E268E3">
        <w:t>et al</w:t>
      </w:r>
      <w:r w:rsidRPr="00F6314C">
        <w:t xml:space="preserve">. </w:t>
      </w:r>
      <w:r w:rsidRPr="00362517">
        <w:t xml:space="preserve"> 2004. Cancer incidence among pesticide applicators exposed to chlorpyrifos in the Agricultural Health Study. </w:t>
      </w:r>
      <w:r w:rsidRPr="00362517">
        <w:rPr>
          <w:i/>
        </w:rPr>
        <w:t>J Natl Cancer Inst</w:t>
      </w:r>
      <w:r w:rsidR="00DB73EF">
        <w:rPr>
          <w:i/>
        </w:rPr>
        <w:t>.</w:t>
      </w:r>
      <w:r w:rsidRPr="00362517">
        <w:t xml:space="preserve"> 96:</w:t>
      </w:r>
      <w:r w:rsidR="00DB73EF">
        <w:t xml:space="preserve">  </w:t>
      </w:r>
      <w:r w:rsidRPr="00362517">
        <w:t>1781–1791.</w:t>
      </w:r>
    </w:p>
    <w:p w14:paraId="5AB1A0CC" w14:textId="5F05070D" w:rsidR="00C93033" w:rsidRPr="00362517" w:rsidRDefault="00C93033" w:rsidP="00BF6BC7">
      <w:pPr>
        <w:spacing w:after="120"/>
        <w:ind w:left="720" w:hangingChars="300" w:hanging="720"/>
      </w:pPr>
      <w:r w:rsidRPr="00362517">
        <w:t xml:space="preserve">Leon ME, LE Beane-Freeman, J Douwes, JA Hoppin, H Kromhout, P Lebailly, KC Nordby, M Schenker, J Schüz, SC Waring, MC Alavanja, I Annesi-Maesano, I Baldi, MA Dalvie, G Ferro, B Fervers, H Langseth, L London, CF Lynch, J McLaughlin, JA Merchant, P Pahwa, T Sigsgaard, L Stayner, C Wesseling, KY Yoo, SH Zahm, K Straif, and A Blair.  2011.  Int AGRICOH: A Consortium of Agricultural Cohorts. </w:t>
      </w:r>
      <w:r w:rsidRPr="00362517">
        <w:rPr>
          <w:i/>
        </w:rPr>
        <w:t>J Environ Res Public Health</w:t>
      </w:r>
      <w:r w:rsidRPr="00362517">
        <w:t>. May</w:t>
      </w:r>
      <w:r w:rsidR="00DB73EF">
        <w:t xml:space="preserve">. </w:t>
      </w:r>
      <w:r w:rsidRPr="00362517">
        <w:t>8(5):</w:t>
      </w:r>
      <w:r w:rsidR="00DB73EF">
        <w:t xml:space="preserve">  </w:t>
      </w:r>
      <w:r w:rsidRPr="00362517">
        <w:t>1341-57. Epub 2011 Apr</w:t>
      </w:r>
      <w:r w:rsidR="00841415">
        <w:t>il</w:t>
      </w:r>
      <w:r w:rsidRPr="00362517">
        <w:t xml:space="preserve"> 29. </w:t>
      </w:r>
    </w:p>
    <w:p w14:paraId="5AB1A0CD" w14:textId="70D50762" w:rsidR="00C93033" w:rsidRPr="00362517" w:rsidRDefault="00C93033" w:rsidP="00BF6BC7">
      <w:pPr>
        <w:spacing w:after="120"/>
        <w:ind w:left="720" w:hangingChars="300" w:hanging="720"/>
      </w:pPr>
      <w:r w:rsidRPr="00362517">
        <w:t>Lovasi</w:t>
      </w:r>
      <w:r w:rsidR="00F6314C">
        <w:t>,</w:t>
      </w:r>
      <w:r w:rsidRPr="00362517">
        <w:t xml:space="preserve"> GS, </w:t>
      </w:r>
      <w:r w:rsidR="00F6314C">
        <w:t xml:space="preserve">JW </w:t>
      </w:r>
      <w:r w:rsidRPr="00362517">
        <w:t xml:space="preserve">Quinn, </w:t>
      </w:r>
      <w:r w:rsidR="00F6314C">
        <w:t xml:space="preserve">VA </w:t>
      </w:r>
      <w:r w:rsidRPr="00362517">
        <w:t xml:space="preserve">Rauh, </w:t>
      </w:r>
      <w:r w:rsidR="00F6314C">
        <w:t xml:space="preserve">FP </w:t>
      </w:r>
      <w:r w:rsidRPr="00362517">
        <w:t xml:space="preserve">Perera, </w:t>
      </w:r>
      <w:r w:rsidR="00F6314C">
        <w:t xml:space="preserve">HF </w:t>
      </w:r>
      <w:r w:rsidRPr="00362517">
        <w:t xml:space="preserve">Andrews, </w:t>
      </w:r>
      <w:r w:rsidR="00F6314C">
        <w:t xml:space="preserve">R </w:t>
      </w:r>
      <w:r w:rsidRPr="00362517">
        <w:t xml:space="preserve">Garfinkel, </w:t>
      </w:r>
      <w:r w:rsidR="00F6314C">
        <w:t xml:space="preserve">L </w:t>
      </w:r>
      <w:r w:rsidRPr="00362517">
        <w:t xml:space="preserve">Hoepner , </w:t>
      </w:r>
      <w:r w:rsidR="00F6314C">
        <w:t xml:space="preserve">R </w:t>
      </w:r>
      <w:r w:rsidRPr="00362517">
        <w:t xml:space="preserve">Whyatt, </w:t>
      </w:r>
      <w:r w:rsidR="00F6314C">
        <w:t xml:space="preserve">A </w:t>
      </w:r>
      <w:r w:rsidRPr="00362517">
        <w:t xml:space="preserve">Rundle. </w:t>
      </w:r>
      <w:r w:rsidR="00DB73EF">
        <w:t xml:space="preserve">2011. </w:t>
      </w:r>
      <w:r w:rsidRPr="00362517">
        <w:t>Chlorpyrifos exposure and urban residential environment characteristics as determinants of early childhood neurodevelopment  Am J Public Health. Jan</w:t>
      </w:r>
      <w:r w:rsidR="00841415">
        <w:t xml:space="preserve">uary. </w:t>
      </w:r>
      <w:r w:rsidRPr="00362517">
        <w:t>101(1):</w:t>
      </w:r>
      <w:r w:rsidR="00841415">
        <w:t xml:space="preserve">  </w:t>
      </w:r>
      <w:r w:rsidRPr="00362517">
        <w:t>63-70</w:t>
      </w:r>
      <w:r w:rsidR="00841415">
        <w:t>.</w:t>
      </w:r>
    </w:p>
    <w:p w14:paraId="5AB1A0CE" w14:textId="7EA511C2" w:rsidR="00C93033" w:rsidRPr="00362517" w:rsidRDefault="00C93033" w:rsidP="00BF6BC7">
      <w:pPr>
        <w:spacing w:after="120"/>
        <w:ind w:left="720" w:hangingChars="300" w:hanging="720"/>
      </w:pPr>
      <w:r w:rsidRPr="00362517">
        <w:t>Lozier</w:t>
      </w:r>
      <w:r w:rsidR="00F6314C">
        <w:t>,</w:t>
      </w:r>
      <w:r w:rsidRPr="00362517">
        <w:t xml:space="preserve"> MJ, </w:t>
      </w:r>
      <w:r w:rsidR="00F6314C">
        <w:t xml:space="preserve">B </w:t>
      </w:r>
      <w:r w:rsidRPr="00362517">
        <w:t xml:space="preserve">Curwin, </w:t>
      </w:r>
      <w:r w:rsidR="00F6314C">
        <w:t xml:space="preserve">MG </w:t>
      </w:r>
      <w:r w:rsidRPr="00362517">
        <w:t xml:space="preserve">Nishioka, </w:t>
      </w:r>
      <w:r w:rsidR="00F6314C">
        <w:t xml:space="preserve">W </w:t>
      </w:r>
      <w:r w:rsidRPr="00362517">
        <w:t xml:space="preserve">Sanderson. </w:t>
      </w:r>
      <w:r w:rsidR="00DB73EF">
        <w:t xml:space="preserve">2012.  </w:t>
      </w:r>
      <w:r w:rsidRPr="00362517">
        <w:t>Determinants of atrazine contamination in the homes of commercial pesticide applicators across time.  J Occup Environ Hyg.</w:t>
      </w:r>
      <w:r w:rsidR="00841415">
        <w:t xml:space="preserve">  </w:t>
      </w:r>
      <w:r w:rsidRPr="00362517">
        <w:t>9(5):</w:t>
      </w:r>
      <w:r w:rsidR="00841415">
        <w:t xml:space="preserve">  </w:t>
      </w:r>
      <w:r w:rsidRPr="00362517">
        <w:t>289-97</w:t>
      </w:r>
      <w:r w:rsidR="00841415">
        <w:t>.</w:t>
      </w:r>
      <w:r w:rsidRPr="00362517">
        <w:t xml:space="preserve"> </w:t>
      </w:r>
    </w:p>
    <w:p w14:paraId="5AB1A0CF" w14:textId="52BCFA7B" w:rsidR="00C93033" w:rsidRPr="00362517" w:rsidRDefault="00C93033" w:rsidP="00BF6BC7">
      <w:pPr>
        <w:spacing w:after="120"/>
        <w:ind w:left="720" w:hangingChars="300" w:hanging="720"/>
      </w:pPr>
      <w:r w:rsidRPr="00362517">
        <w:t>Lu</w:t>
      </w:r>
      <w:r w:rsidR="00F6314C">
        <w:t>,</w:t>
      </w:r>
      <w:r w:rsidRPr="00362517">
        <w:t xml:space="preserve"> C, </w:t>
      </w:r>
      <w:r w:rsidR="00F6314C">
        <w:t xml:space="preserve">R </w:t>
      </w:r>
      <w:r w:rsidRPr="00362517">
        <w:t xml:space="preserve">Fenske, </w:t>
      </w:r>
      <w:r w:rsidR="00F6314C">
        <w:t xml:space="preserve">N </w:t>
      </w:r>
      <w:r w:rsidRPr="00362517">
        <w:t xml:space="preserve">Simcox, </w:t>
      </w:r>
      <w:r w:rsidR="00F6314C">
        <w:t xml:space="preserve">D </w:t>
      </w:r>
      <w:r w:rsidRPr="00362517">
        <w:t xml:space="preserve">Kalman. </w:t>
      </w:r>
      <w:r w:rsidR="00DB73EF">
        <w:t xml:space="preserve">2000.  </w:t>
      </w:r>
      <w:r w:rsidRPr="00362517">
        <w:t>Pesticide exposure of children in an agricultural community: evidence of household proximity to farmland and take home exposure pathways. Environ Res. 84:290–302</w:t>
      </w:r>
      <w:r w:rsidR="00841415">
        <w:t>.</w:t>
      </w:r>
    </w:p>
    <w:p w14:paraId="5AB1A0D0" w14:textId="2C5DB52E" w:rsidR="00C93033" w:rsidRPr="00362517" w:rsidRDefault="00C93033" w:rsidP="00BF6BC7">
      <w:pPr>
        <w:spacing w:after="120"/>
        <w:ind w:left="720" w:hangingChars="300" w:hanging="720"/>
      </w:pPr>
      <w:r w:rsidRPr="00362517">
        <w:t>Madrigal, JL., G</w:t>
      </w:r>
      <w:r w:rsidR="00F6314C">
        <w:t>C</w:t>
      </w:r>
      <w:r w:rsidRPr="00362517">
        <w:t xml:space="preserve">Pixton, </w:t>
      </w:r>
      <w:r w:rsidR="00F6314C">
        <w:t xml:space="preserve">BJ </w:t>
      </w:r>
      <w:r w:rsidRPr="00362517">
        <w:t xml:space="preserve">Collings, </w:t>
      </w:r>
      <w:r w:rsidR="00F6314C">
        <w:t xml:space="preserve">GM </w:t>
      </w:r>
      <w:r w:rsidRPr="00362517">
        <w:t>Booth, and HD Smith</w:t>
      </w:r>
      <w:r w:rsidR="00DB73EF">
        <w:t xml:space="preserve">. </w:t>
      </w:r>
      <w:r w:rsidRPr="00362517">
        <w:t xml:space="preserve"> 1996.  A comparison of two methods of estimating bird mortalities from field-applied pesticides.  Environmental Toxicology and Chemistry</w:t>
      </w:r>
      <w:r w:rsidR="00841415">
        <w:t>.</w:t>
      </w:r>
      <w:r w:rsidRPr="00362517">
        <w:t xml:space="preserve"> 15(6): 878 – 885.</w:t>
      </w:r>
    </w:p>
    <w:p w14:paraId="5AB1A0D1" w14:textId="21FC70F1" w:rsidR="00C93033" w:rsidRPr="00362517" w:rsidRDefault="00C93033" w:rsidP="00BF6BC7">
      <w:pPr>
        <w:spacing w:after="120"/>
        <w:ind w:left="720" w:hangingChars="300" w:hanging="720"/>
      </w:pPr>
      <w:r w:rsidRPr="00362517">
        <w:t xml:space="preserve">Mahajan, R, A Blair, CF Lynch, P Schroeder, JA Hoppin, DP Sandler, and MC Alavanja.  2006.  Fonofos exposure and cancer incidence in the agricultural health study. </w:t>
      </w:r>
      <w:r w:rsidRPr="00362517">
        <w:rPr>
          <w:i/>
        </w:rPr>
        <w:t>Environ Health Perspect</w:t>
      </w:r>
      <w:r w:rsidR="00841415">
        <w:t>.</w:t>
      </w:r>
      <w:r w:rsidRPr="00362517">
        <w:t xml:space="preserve"> 114:</w:t>
      </w:r>
      <w:r w:rsidR="00841415">
        <w:t xml:space="preserve">  </w:t>
      </w:r>
      <w:r w:rsidRPr="00362517">
        <w:t>1838-42</w:t>
      </w:r>
    </w:p>
    <w:p w14:paraId="5AB1A0D2" w14:textId="4D22CF7C" w:rsidR="00C93033" w:rsidRPr="00362517" w:rsidRDefault="00C93033" w:rsidP="00BF6BC7">
      <w:pPr>
        <w:spacing w:after="120"/>
        <w:ind w:left="720" w:hangingChars="300" w:hanging="720"/>
      </w:pPr>
      <w:r w:rsidRPr="00362517">
        <w:t xml:space="preserve">Mahajan R, </w:t>
      </w:r>
      <w:r w:rsidR="00F6314C">
        <w:t xml:space="preserve">A </w:t>
      </w:r>
      <w:r w:rsidRPr="00362517">
        <w:t xml:space="preserve">Blair, </w:t>
      </w:r>
      <w:r w:rsidR="00F6314C">
        <w:t xml:space="preserve">J </w:t>
      </w:r>
      <w:r w:rsidRPr="00362517">
        <w:t xml:space="preserve">Coble, </w:t>
      </w:r>
      <w:r w:rsidR="00F6314C">
        <w:t xml:space="preserve">CF </w:t>
      </w:r>
      <w:r w:rsidRPr="00362517">
        <w:t xml:space="preserve">Lynch, </w:t>
      </w:r>
      <w:r w:rsidR="00F6314C">
        <w:t xml:space="preserve">JA </w:t>
      </w:r>
      <w:r w:rsidRPr="00362517">
        <w:t xml:space="preserve">Hoppin, </w:t>
      </w:r>
      <w:r w:rsidR="00F6314C">
        <w:t xml:space="preserve">DP </w:t>
      </w:r>
      <w:r w:rsidRPr="00362517">
        <w:t xml:space="preserve">Sandler, </w:t>
      </w:r>
      <w:r w:rsidR="00F6314C">
        <w:t xml:space="preserve">MC </w:t>
      </w:r>
      <w:r w:rsidRPr="00362517">
        <w:t xml:space="preserve">Alavanja.  </w:t>
      </w:r>
      <w:r w:rsidR="00DB73EF">
        <w:t xml:space="preserve">2007.  </w:t>
      </w:r>
      <w:r w:rsidRPr="00362517">
        <w:t xml:space="preserve">Carbaryl exposure and incident cancer in the Agricultural Health Study. </w:t>
      </w:r>
      <w:r w:rsidRPr="00E268E3">
        <w:rPr>
          <w:i/>
        </w:rPr>
        <w:t>Int J Cancer</w:t>
      </w:r>
      <w:r w:rsidRPr="00362517">
        <w:t>. Oct</w:t>
      </w:r>
      <w:r w:rsidR="00841415">
        <w:t>ober</w:t>
      </w:r>
      <w:r w:rsidRPr="00362517">
        <w:t xml:space="preserve"> 15</w:t>
      </w:r>
      <w:r w:rsidR="00841415">
        <w:t xml:space="preserve">.  </w:t>
      </w:r>
      <w:r w:rsidRPr="00362517">
        <w:t>121(8):</w:t>
      </w:r>
      <w:r w:rsidR="00841415">
        <w:t xml:space="preserve">  </w:t>
      </w:r>
      <w:r w:rsidRPr="00362517">
        <w:t>1799-805.</w:t>
      </w:r>
    </w:p>
    <w:p w14:paraId="5AB1A0D3" w14:textId="77777777" w:rsidR="00C93033" w:rsidRPr="00362517" w:rsidRDefault="00C93033" w:rsidP="00BF6BC7">
      <w:pPr>
        <w:spacing w:after="120"/>
        <w:ind w:left="720" w:hangingChars="300" w:hanging="720"/>
      </w:pPr>
      <w:r w:rsidRPr="00362517">
        <w:t>Market Research Data, 2008 - 2013.  Data collected and sold by a private market research firm. Data collected on pesticide use for about 60 crops by annual surveys of agricultural users in the continental United States. Survey methodology provides statistically valid results, typically at the state level.</w:t>
      </w:r>
    </w:p>
    <w:p w14:paraId="5AB1A0D4" w14:textId="4B7E96A5" w:rsidR="00C93033" w:rsidRPr="00362517" w:rsidRDefault="00C93033" w:rsidP="00BF6BC7">
      <w:pPr>
        <w:spacing w:after="120"/>
        <w:ind w:left="720" w:hangingChars="300" w:hanging="720"/>
      </w:pPr>
      <w:r w:rsidRPr="00362517">
        <w:t>Marks AR, K Harley, A Bradman, K Kogut, DB Barr, C Johnson, N Calderon, and B Eskenazi.  2010.  Organophosphate pesticide exposure and attention in young Mexican-American children: the CHAMACOS study</w:t>
      </w:r>
      <w:r w:rsidRPr="00362517">
        <w:rPr>
          <w:i/>
        </w:rPr>
        <w:t>. Environ Health Perspect</w:t>
      </w:r>
      <w:r w:rsidRPr="00362517">
        <w:t>. 118(12):1768-74</w:t>
      </w:r>
      <w:r w:rsidR="00841415">
        <w:t>.</w:t>
      </w:r>
      <w:r w:rsidRPr="00362517">
        <w:t xml:space="preserve"> Dec</w:t>
      </w:r>
      <w:r w:rsidR="00841415">
        <w:t>ember</w:t>
      </w:r>
      <w:r w:rsidRPr="00362517">
        <w:t xml:space="preserve">. </w:t>
      </w:r>
    </w:p>
    <w:p w14:paraId="5AB1A0D5" w14:textId="7FD95430" w:rsidR="00C93033" w:rsidRPr="00362517" w:rsidRDefault="00C93033" w:rsidP="00BF6BC7">
      <w:pPr>
        <w:spacing w:after="120"/>
        <w:ind w:left="720" w:hanging="720"/>
      </w:pPr>
      <w:r w:rsidRPr="00362517">
        <w:t xml:space="preserve">McCauley, LA, et al. </w:t>
      </w:r>
      <w:r w:rsidR="00DB73EF">
        <w:t xml:space="preserve">2001.  </w:t>
      </w:r>
      <w:r w:rsidRPr="00362517">
        <w:t xml:space="preserve">Work Characteristics and Pesticide Exposures Among Migrant Agricultural Families: a Community-based Research Approach. </w:t>
      </w:r>
      <w:r w:rsidR="00DB73EF">
        <w:t xml:space="preserve"> </w:t>
      </w:r>
      <w:r w:rsidRPr="00E268E3">
        <w:rPr>
          <w:i/>
        </w:rPr>
        <w:t>Environ Health Perspect</w:t>
      </w:r>
      <w:r w:rsidR="00DB73EF">
        <w:t>.</w:t>
      </w:r>
      <w:r w:rsidRPr="00362517">
        <w:t xml:space="preserve"> 109</w:t>
      </w:r>
      <w:r w:rsidR="00DB73EF">
        <w:t>(</w:t>
      </w:r>
      <w:r w:rsidRPr="00362517">
        <w:t>5</w:t>
      </w:r>
      <w:r w:rsidR="00DB73EF">
        <w:t>)</w:t>
      </w:r>
      <w:r w:rsidRPr="00362517">
        <w:t>: 533-538.</w:t>
      </w:r>
    </w:p>
    <w:p w14:paraId="6C42323B" w14:textId="4A685C29" w:rsidR="00E82355" w:rsidRDefault="00C93033" w:rsidP="00BF6BC7">
      <w:pPr>
        <w:spacing w:after="120"/>
        <w:ind w:left="720" w:hanging="720"/>
      </w:pPr>
      <w:r w:rsidRPr="00362517">
        <w:t xml:space="preserve">McCorkle, DA, D Hanselka, D Renchie, M Matocha, and J Reed.  </w:t>
      </w:r>
      <w:r w:rsidR="00DB73EF">
        <w:t xml:space="preserve">2015.  </w:t>
      </w:r>
      <w:r w:rsidRPr="00362517">
        <w:rPr>
          <w:i/>
        </w:rPr>
        <w:t>Analysis of EPA’s Economic Analysis of Proposed Amendments to 40 CFR Part 171: Certification of Pesticide Applicators</w:t>
      </w:r>
      <w:r w:rsidRPr="00362517">
        <w:t>, Public Comment to the Proposed Rule.  October 29.</w:t>
      </w:r>
      <w:r w:rsidR="00E82355" w:rsidRPr="00E82355">
        <w:t xml:space="preserve"> </w:t>
      </w:r>
    </w:p>
    <w:p w14:paraId="5AB1A0D6" w14:textId="3DE744AB" w:rsidR="00C93033" w:rsidRPr="00362517" w:rsidRDefault="00E82355" w:rsidP="00BF6BC7">
      <w:pPr>
        <w:spacing w:after="120"/>
        <w:ind w:left="720" w:hanging="720"/>
      </w:pPr>
      <w:r w:rsidRPr="00E82355">
        <w:t>Mead PS, Slutsker L, Dietz V, McCaig LF, Bresee JS, Shapiro C, et al. Food-related illness and death in the United States. Emerg Infect Dis 1999;5:607-25</w:t>
      </w:r>
    </w:p>
    <w:p w14:paraId="5AB1A0D7" w14:textId="32937692" w:rsidR="002772FF" w:rsidRPr="00362517" w:rsidRDefault="002772FF" w:rsidP="00BF6BC7">
      <w:pPr>
        <w:spacing w:after="120"/>
        <w:ind w:left="720" w:hanging="720"/>
      </w:pPr>
      <w:r w:rsidRPr="00362517">
        <w:t xml:space="preserve">Mehler, LN, MB Schenker, PS Romano, and SJ Samuels.  </w:t>
      </w:r>
      <w:r w:rsidR="00DB73EF">
        <w:t xml:space="preserve">2006. </w:t>
      </w:r>
      <w:r w:rsidRPr="00362517">
        <w:t xml:space="preserve">California Surveillance for Pesticide-Related Illness and Injury: Coverage, Bias, and Limitations.  </w:t>
      </w:r>
      <w:r w:rsidRPr="00E268E3">
        <w:rPr>
          <w:i/>
        </w:rPr>
        <w:t>Journal of Agromedicine</w:t>
      </w:r>
      <w:r w:rsidR="00841415">
        <w:t>.</w:t>
      </w:r>
      <w:r w:rsidRPr="00362517">
        <w:t xml:space="preserve"> 11(2). </w:t>
      </w:r>
    </w:p>
    <w:p w14:paraId="5AB1A0D8" w14:textId="74BEB50B" w:rsidR="00C93033" w:rsidRPr="00362517" w:rsidRDefault="00C93033" w:rsidP="00BF6BC7">
      <w:pPr>
        <w:spacing w:after="120"/>
        <w:ind w:left="720" w:hanging="720"/>
      </w:pPr>
      <w:r w:rsidRPr="00362517">
        <w:t xml:space="preserve">NASS. 2014a. </w:t>
      </w:r>
      <w:r w:rsidRPr="00362517">
        <w:rPr>
          <w:i/>
        </w:rPr>
        <w:t>Crop Production: 2013 Summary</w:t>
      </w:r>
      <w:r w:rsidRPr="00362517">
        <w:t xml:space="preserve">.  January, 2014.  </w:t>
      </w:r>
      <w:r w:rsidR="00CC4E34">
        <w:t xml:space="preserve">Available atL </w:t>
      </w:r>
      <w:hyperlink r:id="rId36" w:history="1">
        <w:r w:rsidRPr="00362517">
          <w:rPr>
            <w:rStyle w:val="Hyperlink"/>
            <w:rFonts w:eastAsiaTheme="majorEastAsia"/>
            <w:color w:val="auto"/>
          </w:rPr>
          <w:t>http://usda01.library.cornell.edu/usda/current/CropProdSu/CropProdSu-01-10-2014.pdf</w:t>
        </w:r>
      </w:hyperlink>
      <w:r w:rsidRPr="00362517">
        <w:t xml:space="preserve"> </w:t>
      </w:r>
    </w:p>
    <w:p w14:paraId="5AB1A0D9" w14:textId="42172439" w:rsidR="00C93033" w:rsidRPr="00362517" w:rsidRDefault="00C93033" w:rsidP="00BF6BC7">
      <w:pPr>
        <w:spacing w:after="120"/>
        <w:ind w:left="720" w:hanging="720"/>
      </w:pPr>
      <w:r w:rsidRPr="00362517">
        <w:t xml:space="preserve">NASS. 2014b. </w:t>
      </w:r>
      <w:r w:rsidRPr="00362517">
        <w:rPr>
          <w:i/>
        </w:rPr>
        <w:t>Crop Values: 2013 Summary</w:t>
      </w:r>
      <w:r w:rsidRPr="00362517">
        <w:t xml:space="preserve">.  February, 2014.  </w:t>
      </w:r>
      <w:r w:rsidR="00841415">
        <w:t xml:space="preserve">Available at:  </w:t>
      </w:r>
      <w:r w:rsidRPr="00362517">
        <w:t>http://usda.mannlib.cornell.edu/usda/current/CropValuSu/CropValuSu-02-14-2014.pdf</w:t>
      </w:r>
    </w:p>
    <w:p w14:paraId="5AB1A0DA" w14:textId="1571B4F6" w:rsidR="00C93033" w:rsidRPr="00362517" w:rsidRDefault="00C93033" w:rsidP="00BF6BC7">
      <w:pPr>
        <w:spacing w:after="120"/>
        <w:ind w:left="720" w:hanging="720"/>
      </w:pPr>
      <w:r w:rsidRPr="00362517">
        <w:t>NASS.  2014c.  2012 Census of Agriculture.  National Agricultural Statistics Service, U.S. Department of Agriculture.  Available at</w:t>
      </w:r>
      <w:r w:rsidR="00841415">
        <w:t>:</w:t>
      </w:r>
      <w:r w:rsidRPr="00362517">
        <w:t xml:space="preserve"> </w:t>
      </w:r>
      <w:hyperlink r:id="rId37" w:history="1">
        <w:r w:rsidRPr="00362517">
          <w:rPr>
            <w:rStyle w:val="Hyperlink"/>
            <w:rFonts w:eastAsiaTheme="majorEastAsia"/>
            <w:color w:val="auto"/>
          </w:rPr>
          <w:t>http://www.agcensus.usda.gov/</w:t>
        </w:r>
      </w:hyperlink>
    </w:p>
    <w:p w14:paraId="5AB1A0DB" w14:textId="5A30BC1D" w:rsidR="00C93033" w:rsidRPr="00362517" w:rsidRDefault="00C93033" w:rsidP="00BF6BC7">
      <w:pPr>
        <w:spacing w:after="120"/>
        <w:ind w:left="720" w:hanging="720"/>
      </w:pPr>
      <w:r w:rsidRPr="00362517">
        <w:t xml:space="preserve">NASS.  2013.  Quick Stats, query on survey data for number of farms and workers.  </w:t>
      </w:r>
      <w:r w:rsidR="00CC4E34">
        <w:t xml:space="preserve">Available at: </w:t>
      </w:r>
      <w:hyperlink r:id="rId38" w:history="1">
        <w:r w:rsidRPr="00362517">
          <w:rPr>
            <w:rStyle w:val="Hyperlink"/>
            <w:rFonts w:eastAsiaTheme="majorEastAsia"/>
            <w:color w:val="auto"/>
          </w:rPr>
          <w:t>http://quickstats.nass.usda.gov/</w:t>
        </w:r>
      </w:hyperlink>
      <w:r w:rsidRPr="00362517">
        <w:t>.  Accessed July 2013.</w:t>
      </w:r>
    </w:p>
    <w:p w14:paraId="5AB1A0DC" w14:textId="5E388ACA" w:rsidR="00C93033" w:rsidRPr="00362517" w:rsidRDefault="00C93033" w:rsidP="00BF6BC7">
      <w:pPr>
        <w:spacing w:after="120"/>
        <w:ind w:left="720" w:hanging="720"/>
      </w:pPr>
      <w:r w:rsidRPr="00362517">
        <w:t xml:space="preserve">NASS. 2012.  </w:t>
      </w:r>
      <w:r w:rsidRPr="00362517">
        <w:rPr>
          <w:i/>
        </w:rPr>
        <w:t>Indiana Special Agriculture Report</w:t>
      </w:r>
      <w:r w:rsidRPr="00362517">
        <w:t xml:space="preserve">, 32:1, April 2.  </w:t>
      </w:r>
      <w:r w:rsidR="00DB73EF">
        <w:t xml:space="preserve">Available at: </w:t>
      </w:r>
      <w:r w:rsidRPr="00362517">
        <w:t>http://www.nass.usda.gov/Statistics_by_State/Indiana/Publications/Ag_Report/2012/agrSpecCrop.pdf</w:t>
      </w:r>
    </w:p>
    <w:p w14:paraId="5AB1A0DD" w14:textId="0772853B" w:rsidR="00C93033" w:rsidRPr="00362517" w:rsidRDefault="00C93033" w:rsidP="00BF6BC7">
      <w:pPr>
        <w:spacing w:after="120"/>
        <w:ind w:left="720" w:hanging="720"/>
      </w:pPr>
      <w:r w:rsidRPr="00362517">
        <w:t xml:space="preserve">NASS.  2008.  </w:t>
      </w:r>
      <w:r w:rsidRPr="00362517">
        <w:rPr>
          <w:i/>
          <w:iCs/>
        </w:rPr>
        <w:t>2007 Census of Agriculture.</w:t>
      </w:r>
      <w:r w:rsidRPr="00362517">
        <w:rPr>
          <w:iCs/>
        </w:rPr>
        <w:t xml:space="preserve">  National Agricultural Statistics Service, United States Department of Agriculture.  Updated December </w:t>
      </w:r>
      <w:r w:rsidRPr="00362517">
        <w:t xml:space="preserve">2008.  </w:t>
      </w:r>
      <w:r w:rsidR="00CC4E34">
        <w:t xml:space="preserve">Available at: </w:t>
      </w:r>
      <w:hyperlink r:id="rId39" w:history="1">
        <w:r w:rsidRPr="00362517">
          <w:rPr>
            <w:rStyle w:val="Hyperlink"/>
            <w:rFonts w:eastAsiaTheme="majorEastAsia"/>
            <w:color w:val="auto"/>
          </w:rPr>
          <w:t>http://www.agcensus.usda.gov/index.php</w:t>
        </w:r>
      </w:hyperlink>
      <w:r w:rsidRPr="00362517">
        <w:t>.</w:t>
      </w:r>
    </w:p>
    <w:p w14:paraId="5AB1A0DE" w14:textId="43C6040A" w:rsidR="00C93033" w:rsidRPr="00362517" w:rsidRDefault="00C93033" w:rsidP="00BF6BC7">
      <w:pPr>
        <w:spacing w:after="120"/>
        <w:ind w:left="720" w:hangingChars="300" w:hanging="720"/>
      </w:pPr>
      <w:r w:rsidRPr="00362517">
        <w:t xml:space="preserve">National Association of State Departments of Agriculture Research Foundation.  2012a. </w:t>
      </w:r>
      <w:r w:rsidRPr="00362517">
        <w:rPr>
          <w:i/>
          <w:iCs/>
        </w:rPr>
        <w:t>National Pesticide Applicator Certification Core Manual</w:t>
      </w:r>
      <w:r w:rsidRPr="00362517">
        <w:t xml:space="preserve">.  </w:t>
      </w:r>
      <w:r w:rsidR="00DB73EF">
        <w:t xml:space="preserve">Available at: </w:t>
      </w:r>
      <w:hyperlink r:id="rId40" w:history="1">
        <w:r w:rsidRPr="00362517">
          <w:rPr>
            <w:rStyle w:val="Hyperlink"/>
            <w:rFonts w:eastAsiaTheme="majorEastAsia"/>
            <w:color w:val="auto"/>
          </w:rPr>
          <w:t>http://nasda.org/9381/Foundation/11379/11383/6684.aspx</w:t>
        </w:r>
      </w:hyperlink>
      <w:r w:rsidRPr="00362517">
        <w:t xml:space="preserve"> </w:t>
      </w:r>
    </w:p>
    <w:p w14:paraId="5AB1A0DF" w14:textId="341A5038" w:rsidR="00C93033" w:rsidRPr="00362517" w:rsidRDefault="00C93033" w:rsidP="00BF6BC7">
      <w:pPr>
        <w:spacing w:after="120"/>
        <w:ind w:left="720" w:hangingChars="300" w:hanging="720"/>
      </w:pPr>
      <w:r w:rsidRPr="00362517">
        <w:t xml:space="preserve">National Association of State Departments of Agriculture Research Foundation.  2012b. </w:t>
      </w:r>
      <w:r w:rsidRPr="00362517">
        <w:rPr>
          <w:i/>
          <w:iCs/>
        </w:rPr>
        <w:t>Framework for the National Soil Fumigation Manual and Exam Item Bank</w:t>
      </w:r>
      <w:r w:rsidRPr="00362517">
        <w:t xml:space="preserve">.  </w:t>
      </w:r>
      <w:r w:rsidR="00DB73EF">
        <w:t xml:space="preserve">Available at: </w:t>
      </w:r>
      <w:hyperlink r:id="rId41" w:history="1">
        <w:r w:rsidRPr="00362517">
          <w:rPr>
            <w:rStyle w:val="Hyperlink"/>
            <w:rFonts w:eastAsiaTheme="majorEastAsia"/>
            <w:color w:val="auto"/>
          </w:rPr>
          <w:t>http://nasda.org/File.aspx?id=4185</w:t>
        </w:r>
      </w:hyperlink>
      <w:r w:rsidRPr="00362517">
        <w:t xml:space="preserve"> </w:t>
      </w:r>
    </w:p>
    <w:p w14:paraId="5AB1A0E0" w14:textId="339E6C73" w:rsidR="00C93033" w:rsidRPr="00362517" w:rsidRDefault="00C93033" w:rsidP="00BF6BC7">
      <w:pPr>
        <w:spacing w:after="120"/>
        <w:ind w:left="720" w:hangingChars="300" w:hanging="720"/>
      </w:pPr>
      <w:r w:rsidRPr="00362517">
        <w:t>National Association of State Departments of Agriculture Research Foundation.  2011a</w:t>
      </w:r>
      <w:r w:rsidRPr="00362517">
        <w:rPr>
          <w:i/>
          <w:iCs/>
        </w:rPr>
        <w:t>.  Aerial Applicator's Manual</w:t>
      </w:r>
      <w:r w:rsidRPr="00362517">
        <w:t>. </w:t>
      </w:r>
      <w:r w:rsidR="00DB73EF">
        <w:t xml:space="preserve">Available at: </w:t>
      </w:r>
      <w:r w:rsidRPr="00362517">
        <w:t xml:space="preserve"> </w:t>
      </w:r>
      <w:hyperlink r:id="rId42" w:history="1">
        <w:r w:rsidRPr="00362517">
          <w:rPr>
            <w:rStyle w:val="Hyperlink"/>
            <w:rFonts w:eastAsiaTheme="majorEastAsia"/>
            <w:color w:val="auto"/>
          </w:rPr>
          <w:t>http://nasda.org/File.aspx?id=3786</w:t>
        </w:r>
      </w:hyperlink>
    </w:p>
    <w:p w14:paraId="5AB1A0E1" w14:textId="689E74C8" w:rsidR="00C93033" w:rsidRPr="00362517" w:rsidRDefault="00C93033" w:rsidP="00BF6BC7">
      <w:pPr>
        <w:spacing w:after="120"/>
        <w:ind w:left="720" w:hangingChars="300" w:hanging="720"/>
      </w:pPr>
      <w:r w:rsidRPr="00362517">
        <w:t>National Association of State Departments of Agriculture Research Foundation.  2011b</w:t>
      </w:r>
      <w:r w:rsidRPr="00362517">
        <w:rPr>
          <w:i/>
          <w:iCs/>
        </w:rPr>
        <w:t>.  National Right-of-Way Herbicide Applicator Test Plan and Training Syllabus</w:t>
      </w:r>
      <w:r w:rsidRPr="00362517">
        <w:t xml:space="preserve">.  </w:t>
      </w:r>
      <w:r w:rsidR="00CC4E34">
        <w:t xml:space="preserve">Available at: </w:t>
      </w:r>
      <w:hyperlink r:id="rId43" w:history="1">
        <w:r w:rsidRPr="00362517">
          <w:rPr>
            <w:rStyle w:val="Hyperlink"/>
            <w:rFonts w:eastAsiaTheme="majorEastAsia"/>
            <w:color w:val="auto"/>
          </w:rPr>
          <w:t>http://nasda.org/File.aspx?id=3941</w:t>
        </w:r>
      </w:hyperlink>
    </w:p>
    <w:p w14:paraId="5AB1A0E2" w14:textId="3A3159B9" w:rsidR="00C93033" w:rsidRPr="00362517" w:rsidRDefault="00C93033" w:rsidP="00BF6BC7">
      <w:pPr>
        <w:spacing w:after="120"/>
        <w:ind w:left="720" w:hangingChars="300" w:hanging="720"/>
      </w:pPr>
      <w:r w:rsidRPr="00362517">
        <w:t xml:space="preserve"> National Cancer Institute.  2011.  Surveillance Epidemiology and End Results Cancer Statistics, Fast Stats database</w:t>
      </w:r>
      <w:r w:rsidR="00DB73EF">
        <w:t>. Available</w:t>
      </w:r>
      <w:r w:rsidRPr="00362517">
        <w:t xml:space="preserve"> at</w:t>
      </w:r>
      <w:r w:rsidR="00DB73EF">
        <w:t xml:space="preserve">: </w:t>
      </w:r>
      <w:r w:rsidRPr="00362517">
        <w:t xml:space="preserve"> </w:t>
      </w:r>
      <w:hyperlink r:id="rId44" w:history="1">
        <w:r w:rsidRPr="00362517">
          <w:rPr>
            <w:rStyle w:val="Hyperlink"/>
            <w:rFonts w:eastAsiaTheme="majorEastAsia"/>
            <w:color w:val="auto"/>
          </w:rPr>
          <w:t>http://seer.cancer.gov/faststats/index.php</w:t>
        </w:r>
      </w:hyperlink>
      <w:r w:rsidRPr="00362517">
        <w:t xml:space="preserve">  Queried August 4, 2011. </w:t>
      </w:r>
    </w:p>
    <w:p w14:paraId="5AB1A0E3" w14:textId="124BEF18" w:rsidR="00C93033" w:rsidRPr="00362517" w:rsidRDefault="00C93033" w:rsidP="00BF6BC7">
      <w:pPr>
        <w:spacing w:after="120"/>
        <w:ind w:left="720" w:hangingChars="300" w:hanging="720"/>
      </w:pPr>
      <w:r w:rsidRPr="00362517">
        <w:t xml:space="preserve">National Cancer Institute.  2007.  </w:t>
      </w:r>
      <w:r w:rsidRPr="00362517">
        <w:rPr>
          <w:i/>
        </w:rPr>
        <w:t>What you need to know about non-Hodgkin lymphoma</w:t>
      </w:r>
      <w:r w:rsidRPr="00362517">
        <w:t xml:space="preserve">, NIH publication 07-1567, September.  </w:t>
      </w:r>
      <w:r w:rsidR="00DB73EF">
        <w:t>Available a</w:t>
      </w:r>
      <w:r w:rsidRPr="00362517">
        <w:t>t</w:t>
      </w:r>
      <w:r w:rsidR="00CC4E34">
        <w:t>:</w:t>
      </w:r>
      <w:r w:rsidRPr="00362517">
        <w:t xml:space="preserve"> </w:t>
      </w:r>
      <w:hyperlink r:id="rId45" w:history="1">
        <w:r w:rsidRPr="00362517">
          <w:rPr>
            <w:rStyle w:val="Hyperlink"/>
            <w:rFonts w:eastAsiaTheme="majorEastAsia"/>
            <w:color w:val="auto"/>
          </w:rPr>
          <w:t>http://www.cancer.gov/cancertopics/wyntk/non-hodgkin-lymphoma.pdf</w:t>
        </w:r>
      </w:hyperlink>
      <w:r w:rsidRPr="00362517">
        <w:rPr>
          <w:rStyle w:val="Hyperlink"/>
          <w:rFonts w:eastAsiaTheme="majorEastAsia"/>
          <w:color w:val="auto"/>
        </w:rPr>
        <w:t>.</w:t>
      </w:r>
    </w:p>
    <w:p w14:paraId="5AB1A0E4" w14:textId="197A80A4" w:rsidR="00C93033" w:rsidRPr="00362517" w:rsidRDefault="00C93033" w:rsidP="00BF6BC7">
      <w:pPr>
        <w:spacing w:after="120"/>
        <w:ind w:left="720" w:hangingChars="300" w:hanging="720"/>
      </w:pPr>
      <w:r w:rsidRPr="00362517">
        <w:t xml:space="preserve">NIOSH. 2001.  Severity Index for Use in State-based Surveillance of Acute Pesticide-Related Illness and Injury.  Web page revised 11/27/01.  </w:t>
      </w:r>
      <w:r w:rsidR="00DB73EF">
        <w:t xml:space="preserve">Available at: </w:t>
      </w:r>
      <w:r w:rsidRPr="00E268E3">
        <w:rPr>
          <w:u w:val="single"/>
        </w:rPr>
        <w:t>http://www.cdc.gov/niosh/topics/pesticides/pdfs/pest-sevindexv6.pdf</w:t>
      </w:r>
    </w:p>
    <w:p w14:paraId="5AB1A0E5" w14:textId="77777777" w:rsidR="00C93033" w:rsidRPr="00362517" w:rsidRDefault="00C93033" w:rsidP="00BF6BC7">
      <w:pPr>
        <w:spacing w:after="120"/>
        <w:ind w:left="720" w:hangingChars="300" w:hanging="720"/>
      </w:pPr>
      <w:r w:rsidRPr="00362517">
        <w:t xml:space="preserve">Nordby KC, A Andersen, LM Irgens, and P Kristensen.  2005.  Indicators of mancozeb exposure in relation to thyroid cancer and neural tube defects in farmers' families.  </w:t>
      </w:r>
      <w:r w:rsidRPr="00362517">
        <w:rPr>
          <w:i/>
        </w:rPr>
        <w:t>Scand J Work Environ Health</w:t>
      </w:r>
      <w:r w:rsidRPr="00362517">
        <w:t>. 31(2):89-96, April.</w:t>
      </w:r>
    </w:p>
    <w:p w14:paraId="5AB1A0E6" w14:textId="062019E1" w:rsidR="00C93033" w:rsidRPr="00362517" w:rsidRDefault="00C93033" w:rsidP="00BF6BC7">
      <w:pPr>
        <w:spacing w:after="120"/>
        <w:ind w:left="720" w:hanging="720"/>
      </w:pPr>
      <w:r w:rsidRPr="00362517">
        <w:t xml:space="preserve">OMB.  2003.  </w:t>
      </w:r>
      <w:r w:rsidRPr="00362517">
        <w:rPr>
          <w:i/>
        </w:rPr>
        <w:t>Circular A-4.</w:t>
      </w:r>
      <w:r w:rsidRPr="00362517">
        <w:t xml:space="preserve">  Office of Management and Budget.  2003</w:t>
      </w:r>
      <w:r w:rsidR="00DB73EF">
        <w:t xml:space="preserve"> September 17</w:t>
      </w:r>
      <w:r w:rsidRPr="00362517">
        <w:t xml:space="preserve">. </w:t>
      </w:r>
      <w:hyperlink r:id="rId46" w:history="1">
        <w:r w:rsidRPr="00362517">
          <w:rPr>
            <w:rStyle w:val="Hyperlink"/>
            <w:rFonts w:eastAsiaTheme="majorEastAsia"/>
            <w:color w:val="auto"/>
          </w:rPr>
          <w:t>http://www.whitehouse.gov/omb/circulars_a004_a-4</w:t>
        </w:r>
      </w:hyperlink>
      <w:r w:rsidRPr="00362517">
        <w:t>.</w:t>
      </w:r>
    </w:p>
    <w:p w14:paraId="5AB1A0E7" w14:textId="06DB96E6" w:rsidR="00C93033" w:rsidRPr="00E268E3" w:rsidRDefault="00C93033" w:rsidP="00BF6BC7">
      <w:pPr>
        <w:spacing w:after="120"/>
        <w:ind w:left="720" w:hangingChars="300" w:hanging="720"/>
        <w:rPr>
          <w:u w:val="single"/>
        </w:rPr>
      </w:pPr>
      <w:r w:rsidRPr="00362517">
        <w:t>Oregon Department of Agriculture.  2013.  Bumblebee incidents result in pesticide violations, Press Release</w:t>
      </w:r>
      <w:r w:rsidR="00DB73EF">
        <w:t>.</w:t>
      </w:r>
      <w:r w:rsidRPr="00362517">
        <w:t xml:space="preserve"> December 19.  </w:t>
      </w:r>
      <w:r w:rsidR="00DB73EF">
        <w:t xml:space="preserve">Available at:  </w:t>
      </w:r>
      <w:r w:rsidRPr="00E268E3">
        <w:rPr>
          <w:u w:val="single"/>
        </w:rPr>
        <w:t>http://www.oregon.gov/ODA/Pages/news/131219bees_pesticides.aspx</w:t>
      </w:r>
    </w:p>
    <w:p w14:paraId="5AB1A0E8" w14:textId="3CE22FF8" w:rsidR="00C93033" w:rsidRPr="00362517" w:rsidRDefault="00C93033" w:rsidP="00BF6BC7">
      <w:pPr>
        <w:spacing w:after="120"/>
        <w:ind w:left="720" w:hangingChars="300" w:hanging="720"/>
      </w:pPr>
      <w:r w:rsidRPr="00362517">
        <w:t xml:space="preserve">Parkinson’s Disease Foundation.  2011.  Symptoms website </w:t>
      </w:r>
      <w:r w:rsidR="00CC4E34">
        <w:t xml:space="preserve">available </w:t>
      </w:r>
      <w:r w:rsidRPr="00362517">
        <w:t>at</w:t>
      </w:r>
      <w:r w:rsidR="00CC4E34">
        <w:t>:</w:t>
      </w:r>
      <w:r w:rsidRPr="00362517">
        <w:t xml:space="preserve"> </w:t>
      </w:r>
      <w:hyperlink r:id="rId47" w:history="1">
        <w:r w:rsidRPr="00362517">
          <w:rPr>
            <w:rStyle w:val="Hyperlink"/>
            <w:rFonts w:eastAsiaTheme="majorEastAsia"/>
            <w:color w:val="auto"/>
          </w:rPr>
          <w:t>http://www.pdf.org/en/symptoms</w:t>
        </w:r>
      </w:hyperlink>
      <w:r w:rsidRPr="00362517">
        <w:t xml:space="preserve">  Accessed August 4, 2011. </w:t>
      </w:r>
    </w:p>
    <w:p w14:paraId="5AB1A0E9" w14:textId="48876929" w:rsidR="00C93033" w:rsidRPr="00362517" w:rsidRDefault="00C93033" w:rsidP="00BF6BC7">
      <w:pPr>
        <w:spacing w:after="120"/>
        <w:ind w:left="720" w:hangingChars="300" w:hanging="720"/>
      </w:pPr>
      <w:r w:rsidRPr="00362517">
        <w:t xml:space="preserve">Rao, P, et al. </w:t>
      </w:r>
      <w:r w:rsidR="00DB73EF">
        <w:t xml:space="preserve">2006.  </w:t>
      </w:r>
      <w:r w:rsidRPr="00362517">
        <w:t xml:space="preserve">Pesticide Safety Behaviors in Latino Farmworker Family Households. </w:t>
      </w:r>
      <w:r w:rsidRPr="00E268E3">
        <w:rPr>
          <w:i/>
        </w:rPr>
        <w:t>Am J Ind Med.</w:t>
      </w:r>
      <w:r w:rsidRPr="00362517">
        <w:t xml:space="preserve"> 49</w:t>
      </w:r>
      <w:r w:rsidR="00DB73EF">
        <w:t>(</w:t>
      </w:r>
      <w:r w:rsidRPr="00362517">
        <w:t>4</w:t>
      </w:r>
      <w:r w:rsidR="00DB73EF">
        <w:t>)</w:t>
      </w:r>
      <w:r w:rsidRPr="00362517">
        <w:t>: 271-280.</w:t>
      </w:r>
    </w:p>
    <w:p w14:paraId="5AB1A0EA" w14:textId="0B56B692" w:rsidR="00C93033" w:rsidRPr="00362517" w:rsidRDefault="00C93033" w:rsidP="00BF6BC7">
      <w:pPr>
        <w:spacing w:after="120"/>
        <w:ind w:left="720" w:hangingChars="300" w:hanging="720"/>
      </w:pPr>
      <w:r w:rsidRPr="00362517">
        <w:t xml:space="preserve">Rauh, VA, R Garfinkel, FP Perera, HF Andrews, L Hoepner, DB Barr, R Whitehead, D Tang, and RW Whyatt.  2006.  Impact of Prenatal Chlorpyrifos Exposure on Neurodevelopment in the First 3 Years of Life Among Inner-City Children, </w:t>
      </w:r>
      <w:r w:rsidRPr="00362517">
        <w:rPr>
          <w:i/>
        </w:rPr>
        <w:t>Pediatrics</w:t>
      </w:r>
      <w:r w:rsidR="00DB73EF">
        <w:rPr>
          <w:i/>
        </w:rPr>
        <w:t>.</w:t>
      </w:r>
      <w:r w:rsidRPr="00362517">
        <w:t xml:space="preserve"> 118: e1845-e1859</w:t>
      </w:r>
    </w:p>
    <w:p w14:paraId="5AB1A0EB" w14:textId="77F6A2DE" w:rsidR="00C93033" w:rsidRPr="00362517" w:rsidRDefault="00C93033" w:rsidP="00BF6BC7">
      <w:pPr>
        <w:spacing w:after="120"/>
        <w:ind w:left="720" w:hangingChars="300" w:hanging="720"/>
      </w:pPr>
      <w:r w:rsidRPr="00362517">
        <w:t xml:space="preserve">Rauh, V, </w:t>
      </w:r>
      <w:r w:rsidR="00494A9D">
        <w:t xml:space="preserve">S </w:t>
      </w:r>
      <w:r w:rsidRPr="00362517">
        <w:t xml:space="preserve">Arunajadai, </w:t>
      </w:r>
      <w:r w:rsidR="00494A9D">
        <w:t xml:space="preserve">M </w:t>
      </w:r>
      <w:r w:rsidRPr="00362517">
        <w:t xml:space="preserve">Horton, </w:t>
      </w:r>
      <w:r w:rsidR="00494A9D">
        <w:t xml:space="preserve">F. </w:t>
      </w:r>
      <w:r w:rsidRPr="00362517">
        <w:t xml:space="preserve">Perera, </w:t>
      </w:r>
      <w:r w:rsidR="00494A9D">
        <w:t xml:space="preserve">L </w:t>
      </w:r>
      <w:r w:rsidRPr="00362517">
        <w:t xml:space="preserve">Hoepner, </w:t>
      </w:r>
      <w:r w:rsidR="00494A9D">
        <w:t xml:space="preserve">D </w:t>
      </w:r>
      <w:r w:rsidRPr="00362517">
        <w:t xml:space="preserve">Barr, </w:t>
      </w:r>
      <w:r w:rsidR="00494A9D">
        <w:t xml:space="preserve">R </w:t>
      </w:r>
      <w:r w:rsidRPr="00362517">
        <w:t>Whyatt.</w:t>
      </w:r>
      <w:r w:rsidR="00F705EB">
        <w:t xml:space="preserve"> 2011.</w:t>
      </w:r>
      <w:r w:rsidRPr="00362517">
        <w:t xml:space="preserve"> Seven-Year Neurodevelopmental Scores and Prenatal Exposure to Chlorpyrifos, a Common Agricultural Pesticide,</w:t>
      </w:r>
      <w:r w:rsidRPr="00E268E3">
        <w:rPr>
          <w:i/>
        </w:rPr>
        <w:t xml:space="preserve"> Environ Health Perspect.</w:t>
      </w:r>
      <w:r w:rsidRPr="00362517">
        <w:t xml:space="preserve"> 119(8): 1196–1201</w:t>
      </w:r>
      <w:r w:rsidR="00494A9D">
        <w:t>, August</w:t>
      </w:r>
      <w:r w:rsidRPr="00362517">
        <w:t>.</w:t>
      </w:r>
    </w:p>
    <w:p w14:paraId="5AB1A0EC" w14:textId="4BD315B6" w:rsidR="00C93033" w:rsidRPr="00362517" w:rsidRDefault="00C93033" w:rsidP="00BF6BC7">
      <w:pPr>
        <w:spacing w:after="120"/>
        <w:ind w:left="720" w:hangingChars="300" w:hanging="720"/>
      </w:pPr>
      <w:r w:rsidRPr="00362517">
        <w:t xml:space="preserve">Reed, DB, SR Browning, SC Westneat, and PS Kidd.  2006.  Personal Protective Equipment Use and Safety Behaviors Among Farm Adolescents: Gender Differences and Predictors of Work Practices. </w:t>
      </w:r>
      <w:r w:rsidRPr="00362517">
        <w:rPr>
          <w:i/>
        </w:rPr>
        <w:t>The Journal of Rural Health</w:t>
      </w:r>
      <w:r w:rsidR="00F705EB">
        <w:t>.</w:t>
      </w:r>
      <w:r w:rsidRPr="00362517">
        <w:t xml:space="preserve"> 22: 314–320.  </w:t>
      </w:r>
    </w:p>
    <w:p w14:paraId="5AB1A0ED" w14:textId="7BF4B2B7" w:rsidR="00C93033" w:rsidRPr="00362517" w:rsidRDefault="00C93033" w:rsidP="00BF6BC7">
      <w:pPr>
        <w:spacing w:after="120"/>
        <w:ind w:left="720" w:hangingChars="300" w:hanging="720"/>
      </w:pPr>
      <w:r w:rsidRPr="00362517">
        <w:t xml:space="preserve">Reigart, JR, and JR Roberts.  2013.  </w:t>
      </w:r>
      <w:r w:rsidRPr="00362517">
        <w:rPr>
          <w:i/>
        </w:rPr>
        <w:t>Management of Pesticide Poisonings</w:t>
      </w:r>
      <w:r w:rsidRPr="00362517">
        <w:t xml:space="preserve">, Sixth Edition, available </w:t>
      </w:r>
      <w:r w:rsidR="00CC4E34">
        <w:t>at</w:t>
      </w:r>
      <w:r w:rsidRPr="00362517">
        <w:t xml:space="preserve">: </w:t>
      </w:r>
      <w:r w:rsidRPr="00362517">
        <w:rPr>
          <w:u w:val="single"/>
        </w:rPr>
        <w:t xml:space="preserve"> http://www2.epa.gov/pesticide-worker-safety/recognition-and-management-pesticide-poisonings</w:t>
      </w:r>
    </w:p>
    <w:p w14:paraId="5AB1A0EE" w14:textId="42FD5703" w:rsidR="00C93033" w:rsidRPr="00362517" w:rsidRDefault="00C93033" w:rsidP="00BF6BC7">
      <w:pPr>
        <w:spacing w:after="120"/>
        <w:ind w:left="720" w:hangingChars="300" w:hanging="720"/>
      </w:pPr>
      <w:r w:rsidRPr="00362517">
        <w:t>Richardson, L</w:t>
      </w:r>
      <w:r w:rsidR="00494A9D">
        <w:t>,</w:t>
      </w:r>
      <w:r w:rsidRPr="00362517">
        <w:t xml:space="preserve"> and J Loomis.  2009.  The total economic value of threatened, endangered and rare species:  An updated meta-analysis.  </w:t>
      </w:r>
      <w:r w:rsidRPr="00E268E3">
        <w:rPr>
          <w:i/>
        </w:rPr>
        <w:t>Ecological Economics</w:t>
      </w:r>
      <w:r w:rsidR="00F705EB">
        <w:t>.</w:t>
      </w:r>
      <w:r w:rsidRPr="00362517">
        <w:t xml:space="preserve"> 68:  1535-1548.  </w:t>
      </w:r>
    </w:p>
    <w:p w14:paraId="5AB1A0EF" w14:textId="753B7372" w:rsidR="00C93033" w:rsidRPr="00362517" w:rsidRDefault="00C93033" w:rsidP="00BF6BC7">
      <w:pPr>
        <w:spacing w:after="120"/>
        <w:ind w:left="720" w:hangingChars="300" w:hanging="720"/>
      </w:pPr>
      <w:r w:rsidRPr="00362517">
        <w:t>Rohlman, DS, WK Anger, and PJ Lein</w:t>
      </w:r>
      <w:r w:rsidR="00F705EB">
        <w:t xml:space="preserve">.  2011. </w:t>
      </w:r>
      <w:r w:rsidRPr="00362517">
        <w:t xml:space="preserve"> Correlating Neurobehavioral Performance with Biomarkers of Organophosphorous Pesticide Exposure, Neurotoxicology. 32(2):</w:t>
      </w:r>
      <w:r w:rsidR="00F705EB">
        <w:t xml:space="preserve"> </w:t>
      </w:r>
      <w:r w:rsidRPr="00362517">
        <w:t xml:space="preserve"> 268–276</w:t>
      </w:r>
      <w:r w:rsidR="00494A9D">
        <w:t>, March</w:t>
      </w:r>
      <w:r w:rsidRPr="00362517">
        <w:t>.</w:t>
      </w:r>
    </w:p>
    <w:p w14:paraId="5AB1A0F0" w14:textId="77777777" w:rsidR="00C93033" w:rsidRPr="00362517" w:rsidRDefault="00C93033" w:rsidP="00BF6BC7">
      <w:pPr>
        <w:spacing w:after="120"/>
        <w:ind w:left="720" w:hangingChars="300" w:hanging="720"/>
      </w:pPr>
      <w:r w:rsidRPr="00362517">
        <w:t xml:space="preserve">Rowntree DA, L Stallones, PL Sample, and K Sweitzer.  1998.  Perceptions of Farm Hazards and Personal Safety Behavior among Adolescent Farmworkers, </w:t>
      </w:r>
      <w:r w:rsidRPr="00362517">
        <w:rPr>
          <w:i/>
        </w:rPr>
        <w:t>Journal of Agricultural Safety and Health</w:t>
      </w:r>
      <w:r w:rsidRPr="00362517">
        <w:t>. Special Issue (1):159-169.</w:t>
      </w:r>
    </w:p>
    <w:p w14:paraId="5AB1A0F1" w14:textId="33361D89" w:rsidR="00C93033" w:rsidRPr="00362517" w:rsidRDefault="00C93033" w:rsidP="00BF6BC7">
      <w:pPr>
        <w:spacing w:after="120"/>
        <w:ind w:left="720" w:hangingChars="300" w:hanging="720"/>
      </w:pPr>
      <w:r w:rsidRPr="00362517">
        <w:t>Rucker, RR</w:t>
      </w:r>
      <w:r w:rsidR="00494A9D">
        <w:t>,</w:t>
      </w:r>
      <w:r w:rsidRPr="00362517">
        <w:t xml:space="preserve"> and </w:t>
      </w:r>
      <w:r w:rsidR="00494A9D">
        <w:t xml:space="preserve">WN </w:t>
      </w:r>
      <w:r w:rsidRPr="00362517">
        <w:t xml:space="preserve">Thurman.  </w:t>
      </w:r>
      <w:r w:rsidR="00F705EB">
        <w:t xml:space="preserve">2012. </w:t>
      </w:r>
      <w:r w:rsidRPr="00362517">
        <w:rPr>
          <w:i/>
        </w:rPr>
        <w:t>Colony Collapse disorder: The Market Response to Bee Disease</w:t>
      </w:r>
      <w:r w:rsidRPr="00362517">
        <w:t xml:space="preserve">, PERC Policy Series No. 50.  </w:t>
      </w:r>
      <w:r w:rsidR="00F705EB">
        <w:t xml:space="preserve">Available at:  </w:t>
      </w:r>
      <w:r w:rsidRPr="00E268E3">
        <w:rPr>
          <w:u w:val="single"/>
        </w:rPr>
        <w:t>http://perc.org/sites/default/files/ps50.pdf</w:t>
      </w:r>
      <w:r w:rsidRPr="00362517">
        <w:t xml:space="preserve"> </w:t>
      </w:r>
    </w:p>
    <w:p w14:paraId="5AB1A0F2" w14:textId="3F92FE8D" w:rsidR="00C93033" w:rsidRPr="00362517" w:rsidRDefault="00C93033" w:rsidP="00BF6BC7">
      <w:pPr>
        <w:spacing w:after="120"/>
        <w:ind w:left="720" w:hangingChars="300" w:hanging="720"/>
      </w:pPr>
      <w:r w:rsidRPr="00362517">
        <w:t xml:space="preserve">Rucker, RR, </w:t>
      </w:r>
      <w:r w:rsidR="00494A9D">
        <w:t xml:space="preserve">WN </w:t>
      </w:r>
      <w:r w:rsidRPr="00362517">
        <w:t xml:space="preserve">Thurman, and M Burgett. </w:t>
      </w:r>
      <w:r w:rsidR="00F705EB">
        <w:t>2012.</w:t>
      </w:r>
      <w:r w:rsidRPr="00362517">
        <w:t xml:space="preserve"> Honey Bee Pollination Markets and the Internalization of Reciprocal Benefits, </w:t>
      </w:r>
      <w:r w:rsidRPr="00E268E3">
        <w:rPr>
          <w:i/>
        </w:rPr>
        <w:t>Am. J. Agr. Econ.</w:t>
      </w:r>
      <w:r w:rsidRPr="00362517">
        <w:t xml:space="preserve"> 94(4): 956-977</w:t>
      </w:r>
      <w:r w:rsidR="00F705EB">
        <w:t>.</w:t>
      </w:r>
      <w:r w:rsidRPr="00362517">
        <w:t xml:space="preserve"> </w:t>
      </w:r>
    </w:p>
    <w:p w14:paraId="5AB1A0F3" w14:textId="607C961E" w:rsidR="00C93033" w:rsidRPr="00362517" w:rsidRDefault="00C93033" w:rsidP="00BF6BC7">
      <w:pPr>
        <w:spacing w:after="120"/>
        <w:ind w:left="720" w:hangingChars="300" w:hanging="720"/>
      </w:pPr>
      <w:r w:rsidRPr="00362517">
        <w:t xml:space="preserve">Ruser, JW.  2008.  Examining Evidence on Whether BLS Undercounts Workplace Injuries and Illnesses. </w:t>
      </w:r>
      <w:r w:rsidRPr="00362517">
        <w:rPr>
          <w:i/>
        </w:rPr>
        <w:t>Monthly Labor Review</w:t>
      </w:r>
      <w:r w:rsidR="00494A9D">
        <w:rPr>
          <w:i/>
        </w:rPr>
        <w:t>.</w:t>
      </w:r>
      <w:r w:rsidRPr="00362517">
        <w:t xml:space="preserve"> 20-32</w:t>
      </w:r>
      <w:r w:rsidR="00F705EB">
        <w:t>, August</w:t>
      </w:r>
      <w:r w:rsidRPr="00362517">
        <w:t>.</w:t>
      </w:r>
    </w:p>
    <w:p w14:paraId="5AB1A0F4" w14:textId="3F14BDEB" w:rsidR="00C93033" w:rsidRPr="00362517" w:rsidRDefault="00C93033" w:rsidP="00BF6BC7">
      <w:pPr>
        <w:spacing w:after="120"/>
        <w:ind w:left="720" w:hanging="720"/>
      </w:pPr>
      <w:r w:rsidRPr="00362517">
        <w:t>Salam, MT</w:t>
      </w:r>
      <w:r w:rsidR="00494A9D">
        <w:t>,</w:t>
      </w:r>
      <w:r w:rsidRPr="00362517">
        <w:t xml:space="preserve"> and Y Li, B Langholz, FD Gilliland, and Children's Health Study</w:t>
      </w:r>
      <w:r w:rsidR="00F705EB">
        <w:t>.</w:t>
      </w:r>
      <w:r w:rsidRPr="00362517">
        <w:t xml:space="preserve"> </w:t>
      </w:r>
      <w:r w:rsidR="00F705EB">
        <w:t xml:space="preserve">2004.  </w:t>
      </w:r>
      <w:r w:rsidRPr="00362517">
        <w:t>Early-life environmental risk factors for asthma: findings from the Children's Health Study. Environ Health Perspect. 112(6): 760–765</w:t>
      </w:r>
      <w:r w:rsidR="00F705EB">
        <w:t>, May</w:t>
      </w:r>
      <w:r w:rsidRPr="00362517">
        <w:t>.</w:t>
      </w:r>
    </w:p>
    <w:p w14:paraId="5AB1A0F5" w14:textId="79C62B4A" w:rsidR="00C93033" w:rsidRPr="00362517" w:rsidRDefault="00C93033" w:rsidP="00BF6BC7">
      <w:pPr>
        <w:spacing w:after="120"/>
        <w:ind w:left="720" w:hanging="720"/>
      </w:pPr>
      <w:r w:rsidRPr="00362517">
        <w:t xml:space="preserve">Salameh PR, I Baldi, P Brochard, C Raherison, B Abi Saleh, and R Salamon.  2003.  Respiratory symptoms in children and exposure to pesticides. </w:t>
      </w:r>
      <w:r w:rsidRPr="00362517">
        <w:rPr>
          <w:i/>
        </w:rPr>
        <w:t>Eur Respir J</w:t>
      </w:r>
      <w:r w:rsidRPr="00362517">
        <w:t>. 22(3):</w:t>
      </w:r>
      <w:r w:rsidR="00F705EB">
        <w:t xml:space="preserve">  </w:t>
      </w:r>
      <w:r w:rsidRPr="00362517">
        <w:t>507-12, Sept</w:t>
      </w:r>
      <w:r w:rsidR="00F705EB">
        <w:t>ember</w:t>
      </w:r>
      <w:r w:rsidRPr="00362517">
        <w:t>.  A</w:t>
      </w:r>
      <w:r w:rsidR="00F705EB">
        <w:t>vailable a</w:t>
      </w:r>
      <w:r w:rsidRPr="00362517">
        <w:t>t</w:t>
      </w:r>
      <w:r w:rsidR="00F705EB">
        <w:t xml:space="preserve">: </w:t>
      </w:r>
      <w:r w:rsidRPr="00362517">
        <w:t xml:space="preserve"> </w:t>
      </w:r>
      <w:hyperlink r:id="rId48" w:history="1">
        <w:r w:rsidRPr="00362517">
          <w:rPr>
            <w:rStyle w:val="Hyperlink"/>
            <w:rFonts w:eastAsiaTheme="majorEastAsia"/>
            <w:color w:val="auto"/>
          </w:rPr>
          <w:t>http://www.ncbi.nlm.nih.gov/pubmed/14516143</w:t>
        </w:r>
      </w:hyperlink>
      <w:r w:rsidRPr="00362517">
        <w:t>.</w:t>
      </w:r>
    </w:p>
    <w:p w14:paraId="5AB1A0F6" w14:textId="4B41E5BF" w:rsidR="00C93033" w:rsidRPr="00362517" w:rsidRDefault="00C93033" w:rsidP="00BF6BC7">
      <w:pPr>
        <w:spacing w:after="120"/>
        <w:ind w:left="720" w:hangingChars="300" w:hanging="720"/>
      </w:pPr>
      <w:r w:rsidRPr="00362517">
        <w:t xml:space="preserve">Sanborn, M, KJ Kerr, LH Sanin, DC Cole, KL Bassil, and C Vakil.  2007.  Non-cancer health effects of pesticides: systematic review and implications for family doctors. </w:t>
      </w:r>
      <w:r w:rsidRPr="00362517">
        <w:rPr>
          <w:i/>
        </w:rPr>
        <w:t>Can Fam Physician</w:t>
      </w:r>
      <w:r w:rsidR="00F705EB">
        <w:rPr>
          <w:i/>
        </w:rPr>
        <w:t>.</w:t>
      </w:r>
      <w:r w:rsidRPr="00362517">
        <w:t xml:space="preserve"> 53(10): 1712-20.</w:t>
      </w:r>
    </w:p>
    <w:p w14:paraId="5AB1A0F7" w14:textId="745E3065" w:rsidR="00C93033" w:rsidRPr="00362517" w:rsidRDefault="00C93033" w:rsidP="00BF6BC7">
      <w:pPr>
        <w:spacing w:after="120"/>
        <w:ind w:left="720" w:hangingChars="300" w:hanging="720"/>
      </w:pPr>
      <w:r w:rsidRPr="00362517">
        <w:t>SBA.  2014.  Table of Small Business Size Standards.  U.S. Small Business Administration.  A</w:t>
      </w:r>
      <w:r w:rsidR="00F705EB">
        <w:t>vailable a</w:t>
      </w:r>
      <w:r w:rsidRPr="00362517">
        <w:t>t</w:t>
      </w:r>
      <w:r w:rsidR="00F705EB">
        <w:t xml:space="preserve">: </w:t>
      </w:r>
      <w:r w:rsidRPr="00362517">
        <w:t xml:space="preserve"> </w:t>
      </w:r>
      <w:hyperlink r:id="rId49" w:history="1">
        <w:r w:rsidRPr="00362517">
          <w:rPr>
            <w:rStyle w:val="Hyperlink"/>
            <w:rFonts w:eastAsiaTheme="majorEastAsia"/>
            <w:color w:val="auto"/>
          </w:rPr>
          <w:t>http://www.sba.gov/sites/default/files/Size_Standards_Table.pdf</w:t>
        </w:r>
      </w:hyperlink>
      <w:r w:rsidRPr="00362517">
        <w:t>.  July 14.  Accessed August 2014.</w:t>
      </w:r>
    </w:p>
    <w:p w14:paraId="2CB0BFCD" w14:textId="77777777" w:rsidR="00E82355" w:rsidRDefault="00E82355" w:rsidP="00BF6BC7">
      <w:pPr>
        <w:spacing w:after="120"/>
        <w:ind w:left="720" w:hangingChars="300" w:hanging="720"/>
      </w:pPr>
      <w:r w:rsidRPr="00E82355">
        <w:t>Scallan E, Hoekstra RM, Angulo FJ, Tauxe RV, Widdowson MA, Roy SL, et al. Foodborne illness acquired in the United States--major pathogens. Emerg Infect Dis. 2011;17(1):7–15.</w:t>
      </w:r>
    </w:p>
    <w:p w14:paraId="5AB1A0F8" w14:textId="6332BE05" w:rsidR="00C93033" w:rsidRPr="00362517" w:rsidRDefault="00C93033" w:rsidP="00BF6BC7">
      <w:pPr>
        <w:spacing w:after="120"/>
        <w:ind w:left="720" w:hangingChars="300" w:hanging="720"/>
      </w:pPr>
      <w:r w:rsidRPr="00362517">
        <w:t xml:space="preserve">Schulze, LD, CL Ogg, and EF Vitzthum.  1997.  </w:t>
      </w:r>
      <w:r w:rsidRPr="00362517">
        <w:rPr>
          <w:i/>
        </w:rPr>
        <w:t>Signs and Symptoms of Pesticide Poisoning</w:t>
      </w:r>
      <w:r w:rsidRPr="00362517">
        <w:t>, University of Nebraska Cooperative Extension EC97-2505-A.</w:t>
      </w:r>
    </w:p>
    <w:p w14:paraId="5AB1A0F9" w14:textId="4962AA3B" w:rsidR="00C93033" w:rsidRPr="00362517" w:rsidRDefault="00C93033" w:rsidP="00BF6BC7">
      <w:pPr>
        <w:spacing w:after="120"/>
        <w:ind w:left="720" w:hangingChars="300" w:hanging="720"/>
      </w:pPr>
      <w:r w:rsidRPr="00362517">
        <w:t xml:space="preserve">Steinberg, L.  2005.  Cognitive and affective development in adolescence, </w:t>
      </w:r>
      <w:r w:rsidRPr="00362517">
        <w:rPr>
          <w:i/>
        </w:rPr>
        <w:t>Trends in Cognitive Sciences</w:t>
      </w:r>
      <w:r w:rsidR="00F705EB">
        <w:rPr>
          <w:i/>
        </w:rPr>
        <w:t>.</w:t>
      </w:r>
      <w:r w:rsidRPr="00362517">
        <w:t xml:space="preserve"> 9</w:t>
      </w:r>
      <w:r w:rsidR="00F705EB">
        <w:t>(</w:t>
      </w:r>
      <w:r w:rsidRPr="00362517">
        <w:t>2</w:t>
      </w:r>
      <w:r w:rsidR="00F705EB">
        <w:t>):</w:t>
      </w:r>
      <w:r w:rsidRPr="00362517">
        <w:t xml:space="preserve"> </w:t>
      </w:r>
      <w:r w:rsidR="00F705EB">
        <w:t xml:space="preserve"> </w:t>
      </w:r>
      <w:r w:rsidRPr="00362517">
        <w:t>69-74, Feb</w:t>
      </w:r>
      <w:r w:rsidR="00F705EB">
        <w:t>ruary</w:t>
      </w:r>
      <w:r w:rsidRPr="00362517">
        <w:t>.</w:t>
      </w:r>
    </w:p>
    <w:p w14:paraId="5AB1A0FA" w14:textId="4B4F5F32" w:rsidR="00C93033" w:rsidRPr="00362517" w:rsidRDefault="00C93033" w:rsidP="00BF6BC7">
      <w:pPr>
        <w:spacing w:after="120"/>
        <w:ind w:left="720" w:hangingChars="300" w:hanging="720"/>
      </w:pPr>
      <w:r w:rsidRPr="00362517">
        <w:t xml:space="preserve">Steinberg, L, and E Cauffman.  2008.  Maturity of judgment in adolescence: Psychosocial factors in adolescent decision making.  </w:t>
      </w:r>
      <w:r w:rsidRPr="00E268E3">
        <w:rPr>
          <w:i/>
        </w:rPr>
        <w:t>Law and Human Behavior</w:t>
      </w:r>
      <w:r w:rsidR="00494A9D">
        <w:t>.</w:t>
      </w:r>
      <w:r w:rsidRPr="00362517">
        <w:t xml:space="preserve"> 20</w:t>
      </w:r>
      <w:r w:rsidR="00F705EB">
        <w:t>(</w:t>
      </w:r>
      <w:r w:rsidRPr="00362517">
        <w:t>3</w:t>
      </w:r>
      <w:r w:rsidR="00F705EB">
        <w:t xml:space="preserve">): </w:t>
      </w:r>
      <w:r w:rsidRPr="00362517">
        <w:t xml:space="preserve"> 249-272.  </w:t>
      </w:r>
    </w:p>
    <w:p w14:paraId="5AB1A0FB" w14:textId="219C54C4" w:rsidR="00C93033" w:rsidRPr="00362517" w:rsidRDefault="00C93033" w:rsidP="00BF6BC7">
      <w:pPr>
        <w:spacing w:after="120"/>
        <w:ind w:left="720" w:hangingChars="300" w:hanging="720"/>
      </w:pPr>
      <w:r w:rsidRPr="00362517">
        <w:t>Stevens, TH; J Echeverria</w:t>
      </w:r>
      <w:r w:rsidR="00841415">
        <w:t>,</w:t>
      </w:r>
      <w:r w:rsidRPr="00362517">
        <w:t xml:space="preserve"> RJ Glass</w:t>
      </w:r>
      <w:r w:rsidR="00841415">
        <w:t>,</w:t>
      </w:r>
      <w:r w:rsidRPr="00362517">
        <w:t xml:space="preserve"> T Hager</w:t>
      </w:r>
      <w:r w:rsidR="00841415">
        <w:t>,</w:t>
      </w:r>
      <w:r w:rsidRPr="00362517">
        <w:t xml:space="preserve"> and TA More.  1991.  Measuring the Existence Value of Wildlife:  What Do CVM Estimates Really Show?  </w:t>
      </w:r>
      <w:r w:rsidRPr="00E268E3">
        <w:rPr>
          <w:i/>
        </w:rPr>
        <w:t>Land Economics</w:t>
      </w:r>
      <w:r w:rsidR="00841415">
        <w:t>.</w:t>
      </w:r>
      <w:r w:rsidRPr="00362517">
        <w:t xml:space="preserve"> 67(4):  390-400.  </w:t>
      </w:r>
    </w:p>
    <w:p w14:paraId="5AB1A0FC" w14:textId="526A6D1E" w:rsidR="00C93033" w:rsidRPr="00362517" w:rsidRDefault="00C93033" w:rsidP="00BF6BC7">
      <w:pPr>
        <w:spacing w:after="120"/>
        <w:ind w:left="720" w:hangingChars="300" w:hanging="720"/>
      </w:pPr>
      <w:r w:rsidRPr="00362517">
        <w:t>Stroud, RK, and F Kuncir</w:t>
      </w:r>
      <w:r w:rsidR="00F705EB">
        <w:t xml:space="preserve">. </w:t>
      </w:r>
      <w:r w:rsidRPr="00362517">
        <w:t xml:space="preserve"> 2005.  Investigating wildlife poisoning cases. International Game Warden, Winter 2005:  8–13.</w:t>
      </w:r>
    </w:p>
    <w:p w14:paraId="5AB1A0FD" w14:textId="73089550" w:rsidR="00C93033" w:rsidRPr="00362517" w:rsidRDefault="00C93033" w:rsidP="00BF6BC7">
      <w:pPr>
        <w:spacing w:after="120"/>
        <w:ind w:left="720" w:hangingChars="300" w:hanging="720"/>
      </w:pPr>
      <w:r w:rsidRPr="00362517">
        <w:t xml:space="preserve">Tanner CM, Kamel F, Ross GW, Hoppin JA, Goldman SM, Korell M, Marras C, Bhudhikanok GS, Kasten M, Chade AR, Comyns K, Richards MB, Meng C, Priestley B, Fernandez HH, Cambi F, Umbach DM, Blair A, Sandler DP, Langston JW. </w:t>
      </w:r>
      <w:r w:rsidR="00F705EB">
        <w:t xml:space="preserve">2011.  </w:t>
      </w:r>
      <w:r w:rsidRPr="00362517">
        <w:t>Rotenone, paraquat, and Parkinson's disease</w:t>
      </w:r>
      <w:r w:rsidR="00F705EB">
        <w:t>.</w:t>
      </w:r>
      <w:r w:rsidRPr="00362517">
        <w:t xml:space="preserve"> </w:t>
      </w:r>
      <w:r w:rsidRPr="00E268E3">
        <w:rPr>
          <w:i/>
        </w:rPr>
        <w:t>Environ Health Perspect.</w:t>
      </w:r>
      <w:r w:rsidRPr="00362517">
        <w:t xml:space="preserve"> 19(6):</w:t>
      </w:r>
      <w:r w:rsidR="00F705EB">
        <w:t xml:space="preserve">  </w:t>
      </w:r>
      <w:r w:rsidRPr="00362517">
        <w:t>866-72</w:t>
      </w:r>
      <w:r w:rsidR="00F705EB">
        <w:t>, June</w:t>
      </w:r>
      <w:r w:rsidRPr="00362517">
        <w:t>.</w:t>
      </w:r>
    </w:p>
    <w:p w14:paraId="5AB1A0FE" w14:textId="2B5504CA" w:rsidR="00C93033" w:rsidRPr="00362517" w:rsidRDefault="00C93033" w:rsidP="00BF6BC7">
      <w:pPr>
        <w:spacing w:after="120"/>
        <w:ind w:left="720" w:hangingChars="300" w:hanging="720"/>
      </w:pPr>
      <w:r w:rsidRPr="00362517">
        <w:t xml:space="preserve">Tax Foundation. 2014.  Tax Freedom Day® 2014 is April 21, Three Days Later Than Last Year.  </w:t>
      </w:r>
      <w:r w:rsidR="00F705EB" w:rsidRPr="00362517">
        <w:t>April 7</w:t>
      </w:r>
      <w:r w:rsidR="00F705EB">
        <w:t xml:space="preserve">.  Available at:  </w:t>
      </w:r>
      <w:hyperlink r:id="rId50" w:history="1">
        <w:r w:rsidRPr="00362517">
          <w:rPr>
            <w:rStyle w:val="Hyperlink"/>
            <w:color w:val="auto"/>
          </w:rPr>
          <w:t>http://taxfoundation.org/article/tax-freedom-day-2014-april-21-three-days-later-last-year</w:t>
        </w:r>
      </w:hyperlink>
      <w:r w:rsidRPr="00362517">
        <w:t xml:space="preserve">.    .  </w:t>
      </w:r>
    </w:p>
    <w:p w14:paraId="5AB1A0FF" w14:textId="263BC150" w:rsidR="00C93033" w:rsidRPr="00362517" w:rsidRDefault="00C93033" w:rsidP="00BF6BC7">
      <w:pPr>
        <w:spacing w:after="120"/>
        <w:ind w:left="720" w:hangingChars="300" w:hanging="720"/>
      </w:pPr>
      <w:r w:rsidRPr="00362517">
        <w:t>Thompson</w:t>
      </w:r>
      <w:r w:rsidR="00841415">
        <w:t>,</w:t>
      </w:r>
      <w:r w:rsidRPr="00362517">
        <w:t xml:space="preserve"> B, Griffith WC, Barr DB, Coronado GD, Vigoren EM and Faustman EM.  </w:t>
      </w:r>
      <w:r w:rsidR="00F705EB">
        <w:t xml:space="preserve">2014.  </w:t>
      </w:r>
      <w:r w:rsidRPr="00362517">
        <w:t xml:space="preserve">Variability in the take-home pathway: Farmworkers and non-farmworkers and their children.  </w:t>
      </w:r>
      <w:r w:rsidRPr="00E268E3">
        <w:rPr>
          <w:i/>
        </w:rPr>
        <w:t>Journal of Exposure Science and Environmental Epidemiology</w:t>
      </w:r>
      <w:r w:rsidR="00F705EB">
        <w:t>.</w:t>
      </w:r>
      <w:r w:rsidRPr="00362517">
        <w:t xml:space="preserve"> 24</w:t>
      </w:r>
      <w:r w:rsidR="00F705EB">
        <w:t>:</w:t>
      </w:r>
      <w:r w:rsidRPr="00362517">
        <w:t xml:space="preserve"> 522–531.</w:t>
      </w:r>
    </w:p>
    <w:p w14:paraId="5AB1A100" w14:textId="403366B3" w:rsidR="00C93033" w:rsidRPr="00362517" w:rsidRDefault="00C93033" w:rsidP="00BF6BC7">
      <w:pPr>
        <w:spacing w:after="120"/>
        <w:ind w:left="720" w:hangingChars="300" w:hanging="720"/>
      </w:pPr>
      <w:r w:rsidRPr="00362517">
        <w:t xml:space="preserve">Turner, MC, DT Wigle, and D Krewski.  2009.  Residential pesticides and childhood leukemia: a systematic review and meta-analysis. </w:t>
      </w:r>
      <w:r w:rsidRPr="00362517">
        <w:rPr>
          <w:i/>
        </w:rPr>
        <w:t>Environ Health Perspect</w:t>
      </w:r>
      <w:r w:rsidR="0012157F">
        <w:rPr>
          <w:i/>
        </w:rPr>
        <w:t>.</w:t>
      </w:r>
      <w:r w:rsidRPr="00362517">
        <w:rPr>
          <w:i/>
        </w:rPr>
        <w:t xml:space="preserve"> </w:t>
      </w:r>
      <w:r w:rsidRPr="00362517">
        <w:t>118 (1):</w:t>
      </w:r>
      <w:r w:rsidR="00F705EB">
        <w:t xml:space="preserve">  </w:t>
      </w:r>
      <w:r w:rsidRPr="00362517">
        <w:t xml:space="preserve">33-41.  </w:t>
      </w:r>
    </w:p>
    <w:p w14:paraId="5AB1A101" w14:textId="77777777" w:rsidR="00C93033" w:rsidRPr="00362517" w:rsidRDefault="00C93033" w:rsidP="00BF6BC7">
      <w:pPr>
        <w:spacing w:after="120"/>
        <w:ind w:left="720" w:hangingChars="300" w:hanging="720"/>
      </w:pPr>
      <w:r w:rsidRPr="00362517">
        <w:t xml:space="preserve">U.S. House of Representatives.  2008.  </w:t>
      </w:r>
      <w:r w:rsidRPr="00362517">
        <w:rPr>
          <w:i/>
        </w:rPr>
        <w:t>Hidden Tragedy: Underreporting of Workplace Injuries and Illnesses</w:t>
      </w:r>
      <w:r w:rsidRPr="00362517">
        <w:t xml:space="preserve">. Committee on Education and Labor.  Washington: Government </w:t>
      </w:r>
    </w:p>
    <w:p w14:paraId="5AB1A102" w14:textId="3AE05BE5" w:rsidR="00C93033" w:rsidRPr="00362517" w:rsidRDefault="00C93033" w:rsidP="00BF6BC7">
      <w:pPr>
        <w:spacing w:after="120"/>
        <w:ind w:left="720" w:hangingChars="300" w:hanging="720"/>
      </w:pPr>
      <w:r w:rsidRPr="00362517">
        <w:t xml:space="preserve">Van Maele-Fabry, G, AC Lantin, P Hoet, and D Lison.  2011.  Residential exposure to pesticides and childhood leukaemia: a systematic review and meta-analysis. </w:t>
      </w:r>
      <w:r w:rsidRPr="00362517">
        <w:rPr>
          <w:i/>
        </w:rPr>
        <w:t>Environment International</w:t>
      </w:r>
      <w:r w:rsidRPr="00362517">
        <w:t>. 37(1):</w:t>
      </w:r>
      <w:r w:rsidR="0012157F">
        <w:t xml:space="preserve">  </w:t>
      </w:r>
      <w:r w:rsidRPr="00362517">
        <w:t>280-91, Jan</w:t>
      </w:r>
      <w:r w:rsidR="00F705EB">
        <w:t>uary</w:t>
      </w:r>
      <w:r w:rsidRPr="00362517">
        <w:t>.</w:t>
      </w:r>
    </w:p>
    <w:p w14:paraId="5AB1A103" w14:textId="09C76A06" w:rsidR="00C93033" w:rsidRPr="00362517" w:rsidRDefault="00C93033" w:rsidP="00BF6BC7">
      <w:pPr>
        <w:spacing w:after="120"/>
        <w:ind w:left="720" w:hangingChars="300" w:hanging="720"/>
      </w:pPr>
      <w:r w:rsidRPr="00362517">
        <w:t xml:space="preserve">Veltri, JC, NE McElwee, and MC Schumacher.  1987.  Interpretation and Uses of Data Collection in Poison Control Centers in the United States. </w:t>
      </w:r>
      <w:r w:rsidRPr="00362517">
        <w:rPr>
          <w:i/>
        </w:rPr>
        <w:t>Medical Toxicology</w:t>
      </w:r>
      <w:r w:rsidR="00F705EB">
        <w:t>.</w:t>
      </w:r>
      <w:r w:rsidRPr="00362517">
        <w:t xml:space="preserve"> 389-97.</w:t>
      </w:r>
    </w:p>
    <w:p w14:paraId="5AB1A104" w14:textId="732D5058" w:rsidR="00C93033" w:rsidRPr="00362517" w:rsidRDefault="00C93033" w:rsidP="00BF6BC7">
      <w:pPr>
        <w:spacing w:after="120"/>
        <w:ind w:left="720" w:hangingChars="300" w:hanging="720"/>
      </w:pPr>
      <w:r w:rsidRPr="00362517">
        <w:t xml:space="preserve">Vida, P, and A Moretto.  2007.  "Pesticide Exposure Pathways among Children of Agricultural Workers." </w:t>
      </w:r>
      <w:r w:rsidRPr="00362517">
        <w:rPr>
          <w:i/>
        </w:rPr>
        <w:t>Journal of Public Health</w:t>
      </w:r>
      <w:r w:rsidR="00494A9D">
        <w:rPr>
          <w:i/>
        </w:rPr>
        <w:t xml:space="preserve">. </w:t>
      </w:r>
      <w:r w:rsidRPr="00362517">
        <w:t xml:space="preserve"> 15</w:t>
      </w:r>
      <w:r w:rsidR="00494A9D">
        <w:t>(</w:t>
      </w:r>
      <w:r w:rsidRPr="00362517">
        <w:t>4</w:t>
      </w:r>
      <w:r w:rsidR="00494A9D">
        <w:t>)</w:t>
      </w:r>
      <w:r w:rsidRPr="00362517">
        <w:t xml:space="preserve">: 289-99.  </w:t>
      </w:r>
    </w:p>
    <w:p w14:paraId="5AB1A105" w14:textId="671323E8" w:rsidR="00C93033" w:rsidRPr="00362517" w:rsidRDefault="00C93033" w:rsidP="00BF6BC7">
      <w:pPr>
        <w:spacing w:after="120"/>
        <w:ind w:left="720" w:hangingChars="300" w:hanging="720"/>
      </w:pPr>
      <w:r w:rsidRPr="00362517">
        <w:t xml:space="preserve">Washington State Department of Labor &amp; Industries.  </w:t>
      </w:r>
      <w:r w:rsidR="0012157F">
        <w:t xml:space="preserve">1991. </w:t>
      </w:r>
      <w:r w:rsidRPr="00362517">
        <w:t>Farm Worker Health and Safety in Washington State: A Look at Workers' Compensation Data. Olympia, WA: Safety and Health Assessment and Research for Prevention, Report 24-2.</w:t>
      </w:r>
    </w:p>
    <w:p w14:paraId="5AB1A106" w14:textId="3F84E5A0" w:rsidR="00C93033" w:rsidRPr="00362517" w:rsidRDefault="00C93033" w:rsidP="00BF6BC7">
      <w:pPr>
        <w:spacing w:after="120"/>
        <w:ind w:left="720" w:hangingChars="300" w:hanging="720"/>
      </w:pPr>
      <w:r w:rsidRPr="00362517">
        <w:t>Whitford, F, B Miller, R Bennett, M Jones</w:t>
      </w:r>
      <w:r w:rsidR="00494A9D">
        <w:t>,</w:t>
      </w:r>
      <w:r w:rsidRPr="00362517">
        <w:t xml:space="preserve"> and L Bledsoe.  </w:t>
      </w:r>
      <w:r w:rsidRPr="00362517">
        <w:rPr>
          <w:i/>
        </w:rPr>
        <w:t>Pesticides and Wildlife: An Introduction to Testing, Registration, and Risk Management</w:t>
      </w:r>
      <w:r w:rsidRPr="00362517">
        <w:t xml:space="preserve">, Purdue Pesticide Programs, Purdue University Cooperative Extension Service.  Available </w:t>
      </w:r>
      <w:r w:rsidR="00494A9D">
        <w:t>at</w:t>
      </w:r>
      <w:r w:rsidRPr="00362517">
        <w:t xml:space="preserve">: </w:t>
      </w:r>
      <w:r w:rsidRPr="00E268E3">
        <w:rPr>
          <w:u w:val="single"/>
        </w:rPr>
        <w:t>https://ag.purdue.edu/extension/ppp/Documents/PPP-30.pdf</w:t>
      </w:r>
    </w:p>
    <w:p w14:paraId="5AB1A107" w14:textId="46A0A5A7" w:rsidR="00C93033" w:rsidRPr="00362517" w:rsidRDefault="00C93033" w:rsidP="00BF6BC7">
      <w:pPr>
        <w:spacing w:after="120"/>
        <w:ind w:left="720" w:hangingChars="300" w:hanging="720"/>
      </w:pPr>
      <w:r w:rsidRPr="00362517">
        <w:t xml:space="preserve">Wigle, DT, MC Turner, and D Krewski.  2009.  A systematic review and meta-analysis of childhood leukemia and parental occupational pesticide exposure. </w:t>
      </w:r>
      <w:r w:rsidRPr="00362517">
        <w:rPr>
          <w:i/>
        </w:rPr>
        <w:t>Environl Health Perspect</w:t>
      </w:r>
      <w:r w:rsidR="00F705EB">
        <w:rPr>
          <w:i/>
        </w:rPr>
        <w:t>.</w:t>
      </w:r>
      <w:r w:rsidRPr="00362517">
        <w:t xml:space="preserve"> 117:</w:t>
      </w:r>
      <w:r w:rsidR="00F705EB">
        <w:t xml:space="preserve">  </w:t>
      </w:r>
      <w:r w:rsidRPr="00362517">
        <w:t xml:space="preserve">1505-1513.  </w:t>
      </w:r>
    </w:p>
    <w:p w14:paraId="5AB1A108" w14:textId="7271FEB4" w:rsidR="00C93033" w:rsidRPr="00362517" w:rsidRDefault="00C93033" w:rsidP="00BF6BC7">
      <w:pPr>
        <w:spacing w:after="120"/>
        <w:ind w:left="720" w:hangingChars="300" w:hanging="720"/>
      </w:pPr>
      <w:r w:rsidRPr="00362517">
        <w:t xml:space="preserve">Wigle DT, MC Turner, J Gomes, and ME Parent.  2008.  Role of hormonal and other factors in human prostate cancer.  </w:t>
      </w:r>
      <w:r w:rsidRPr="00362517">
        <w:rPr>
          <w:i/>
        </w:rPr>
        <w:t>J Toxicol Environ Health B Crit Rev</w:t>
      </w:r>
      <w:r w:rsidRPr="00362517">
        <w:t>. 11(3-4):</w:t>
      </w:r>
      <w:r w:rsidR="00F705EB">
        <w:t xml:space="preserve">  </w:t>
      </w:r>
      <w:r w:rsidRPr="00362517">
        <w:t>242-59, Mar</w:t>
      </w:r>
      <w:r w:rsidR="00494A9D">
        <w:t>ch</w:t>
      </w:r>
      <w:r w:rsidRPr="00362517">
        <w:t xml:space="preserve">.  Review. PubMed PMID: 18368555 </w:t>
      </w:r>
    </w:p>
    <w:p w14:paraId="5AB1A109" w14:textId="77777777" w:rsidR="00C93033" w:rsidRPr="00362517" w:rsidRDefault="00C93033" w:rsidP="00BF6BC7">
      <w:pPr>
        <w:spacing w:after="120"/>
        <w:ind w:left="720" w:hangingChars="300" w:hanging="720"/>
      </w:pPr>
      <w:r w:rsidRPr="00362517">
        <w:t xml:space="preserve">Wilson, LS, R Tesoro, EP Elkin, N Sadetsky, JM Broering, DM Latini, J DuChane, RR Mody, and PR Carroll.  2006.  Cumulative Cost Pattern Comparison of Prostate Cancer Treatments, </w:t>
      </w:r>
      <w:r w:rsidRPr="00362517">
        <w:rPr>
          <w:i/>
        </w:rPr>
        <w:t>CANCER</w:t>
      </w:r>
      <w:r w:rsidRPr="00362517">
        <w:t>; Published Online: December 21.</w:t>
      </w:r>
    </w:p>
    <w:p w14:paraId="5AB1A10A" w14:textId="1BFFCCA4" w:rsidR="00C93033" w:rsidRPr="00362517" w:rsidRDefault="00C93033" w:rsidP="00BF6BC7">
      <w:pPr>
        <w:spacing w:after="120"/>
        <w:ind w:left="720" w:hangingChars="300" w:hanging="720"/>
      </w:pPr>
      <w:r w:rsidRPr="00362517">
        <w:t xml:space="preserve">WHO IARC. 1999.  World Health Organization, International Agency for Research on Cancer (WHO IARC), IARC Monographs on the Evaluation of Carcinogenic Risks to Humans, Volume 53. Occupational Exposures in Insecticide Application, and Some Pesticides: Summary of Data Reported and Evaluation.  Available </w:t>
      </w:r>
      <w:r w:rsidR="00494A9D">
        <w:t>at</w:t>
      </w:r>
      <w:r w:rsidRPr="00362517">
        <w:t xml:space="preserve">: </w:t>
      </w:r>
      <w:r w:rsidRPr="00E268E3">
        <w:rPr>
          <w:u w:val="single"/>
        </w:rPr>
        <w:t xml:space="preserve">http://monographs.iarc.fr/ENG/Monographs/vol53/volume53.pdf </w:t>
      </w:r>
      <w:r w:rsidRPr="00362517">
        <w:t xml:space="preserve"> </w:t>
      </w:r>
    </w:p>
    <w:p w14:paraId="5AB1A10B" w14:textId="77777777" w:rsidR="00C93033" w:rsidRPr="00362517" w:rsidRDefault="00C93033" w:rsidP="00BF6BC7">
      <w:pPr>
        <w:spacing w:after="120"/>
        <w:ind w:left="720" w:hangingChars="300" w:hanging="720"/>
      </w:pPr>
      <w:r w:rsidRPr="00362517">
        <w:t xml:space="preserve">Wyatt, T.  2008.  </w:t>
      </w:r>
      <w:r w:rsidRPr="00362517">
        <w:rPr>
          <w:i/>
        </w:rPr>
        <w:t>Screening Level Analysis of the Small Business Impacts of Revoking Carbofuran Tolerances</w:t>
      </w:r>
      <w:r w:rsidRPr="00362517">
        <w:t xml:space="preserve">.  Biological and Economic Analysis Division, Office of Pesticide Programs, U.S. EPA. </w:t>
      </w:r>
    </w:p>
    <w:p w14:paraId="5AB1A10C" w14:textId="5BE2F8D8" w:rsidR="00C93033" w:rsidRPr="00362517" w:rsidRDefault="00C93033" w:rsidP="00BF6BC7">
      <w:pPr>
        <w:spacing w:after="120"/>
        <w:ind w:left="720" w:hangingChars="300" w:hanging="720"/>
      </w:pPr>
      <w:r w:rsidRPr="00362517">
        <w:t>Vyas, N</w:t>
      </w:r>
      <w:r w:rsidR="00494A9D">
        <w:t>.</w:t>
      </w:r>
      <w:r w:rsidRPr="00362517">
        <w:t xml:space="preserve"> 1999.  Factors influencing estimation of pesticide-related wildlife mortality.  T</w:t>
      </w:r>
      <w:r w:rsidRPr="00E268E3">
        <w:rPr>
          <w:i/>
        </w:rPr>
        <w:t>oxicology and Industrial Health</w:t>
      </w:r>
      <w:r w:rsidR="00494A9D">
        <w:t>.</w:t>
      </w:r>
      <w:r w:rsidRPr="00362517">
        <w:t xml:space="preserve"> 15:  186 – 191.</w:t>
      </w:r>
    </w:p>
    <w:p w14:paraId="5AB1A10D" w14:textId="474EDE66" w:rsidR="00C93033" w:rsidRPr="00362517" w:rsidRDefault="00C93033" w:rsidP="00BF6BC7">
      <w:pPr>
        <w:spacing w:after="120"/>
        <w:ind w:left="720" w:hangingChars="300" w:hanging="720"/>
      </w:pPr>
      <w:r w:rsidRPr="00362517">
        <w:t xml:space="preserve">Yoo, K, H Shin, S Chang, K Lee, S Park, D Kang, and D Lee.  2002.  Korean Multi-center Cancer Cohort Study including a Biological Materials Bank. </w:t>
      </w:r>
      <w:r w:rsidRPr="00362517">
        <w:rPr>
          <w:i/>
        </w:rPr>
        <w:t>Asian Pacific Journal of Cancer Prevention</w:t>
      </w:r>
      <w:r w:rsidR="00494A9D">
        <w:rPr>
          <w:i/>
        </w:rPr>
        <w:t>.</w:t>
      </w:r>
      <w:r w:rsidRPr="00362517">
        <w:t xml:space="preserve"> 3</w:t>
      </w:r>
      <w:r w:rsidR="00494A9D">
        <w:t>(</w:t>
      </w:r>
      <w:r w:rsidRPr="00362517">
        <w:t>1</w:t>
      </w:r>
      <w:r w:rsidR="00494A9D">
        <w:t>)</w:t>
      </w:r>
      <w:r w:rsidRPr="00362517">
        <w:t>: 85-92.</w:t>
      </w:r>
    </w:p>
    <w:p w14:paraId="5AB1A10E" w14:textId="1A14424F" w:rsidR="00C93033" w:rsidRPr="00362517" w:rsidRDefault="00C93033" w:rsidP="00BF6BC7">
      <w:pPr>
        <w:spacing w:after="120"/>
        <w:ind w:left="720" w:hangingChars="300" w:hanging="720"/>
      </w:pPr>
      <w:r w:rsidRPr="00362517">
        <w:t xml:space="preserve">Young, JG, B Eskenazi, EA Gladstone, A Bradman, L Pedersen, C Johnson, DB Barr, CE Furlong, and NT Holland.  2005.  Association between in utero organophosphate pesticide exposure and abnormal reflexes in neonates. </w:t>
      </w:r>
      <w:r w:rsidRPr="00362517">
        <w:rPr>
          <w:i/>
        </w:rPr>
        <w:t>NeuroToxicology</w:t>
      </w:r>
      <w:r w:rsidR="00494A9D">
        <w:rPr>
          <w:i/>
        </w:rPr>
        <w:t>.</w:t>
      </w:r>
      <w:r w:rsidRPr="00362517">
        <w:t xml:space="preserve"> 26</w:t>
      </w:r>
      <w:r w:rsidR="00494A9D">
        <w:t>:</w:t>
      </w:r>
      <w:r w:rsidRPr="00362517">
        <w:t xml:space="preserve"> 199–209</w:t>
      </w:r>
    </w:p>
    <w:p w14:paraId="5AB1A10F" w14:textId="72570BB8" w:rsidR="00C93033" w:rsidRPr="00362517" w:rsidRDefault="00C93033" w:rsidP="00BF6BC7">
      <w:pPr>
        <w:spacing w:after="120"/>
        <w:ind w:left="720" w:hangingChars="300" w:hanging="720"/>
      </w:pPr>
      <w:r w:rsidRPr="00362517">
        <w:t xml:space="preserve">Young, M, and DG Rischitelli. 2006. “Occupational Risks and Risk Perception among Hispanic Adolescents. </w:t>
      </w:r>
      <w:r w:rsidRPr="00E268E3">
        <w:rPr>
          <w:i/>
        </w:rPr>
        <w:t>McGill J Med</w:t>
      </w:r>
      <w:r w:rsidR="00494A9D">
        <w:t>.</w:t>
      </w:r>
      <w:r w:rsidRPr="00362517">
        <w:t xml:space="preserve"> 9</w:t>
      </w:r>
      <w:r w:rsidR="00494A9D">
        <w:t>(</w:t>
      </w:r>
      <w:r w:rsidRPr="00362517">
        <w:t>1</w:t>
      </w:r>
      <w:r w:rsidR="00494A9D">
        <w:t>)</w:t>
      </w:r>
      <w:r w:rsidRPr="00362517">
        <w:t>: 49-53.</w:t>
      </w:r>
    </w:p>
    <w:p w14:paraId="5AB1A110" w14:textId="39435414" w:rsidR="00C93033" w:rsidRPr="00362517" w:rsidRDefault="00C93033" w:rsidP="00BF6BC7">
      <w:pPr>
        <w:spacing w:after="120"/>
        <w:ind w:left="720" w:hangingChars="300" w:hanging="720"/>
      </w:pPr>
      <w:r w:rsidRPr="00362517">
        <w:t xml:space="preserve">Zahm, SH, J Dich, A Hanberg, and H Adami.  1997.  "Pesticides and Cancer." </w:t>
      </w:r>
      <w:r w:rsidRPr="00362517">
        <w:rPr>
          <w:i/>
        </w:rPr>
        <w:t>Cancer Causes and Control</w:t>
      </w:r>
      <w:r w:rsidR="00494A9D">
        <w:rPr>
          <w:i/>
        </w:rPr>
        <w:t>.</w:t>
      </w:r>
      <w:r w:rsidRPr="00362517">
        <w:t xml:space="preserve"> 8</w:t>
      </w:r>
      <w:r w:rsidR="00494A9D">
        <w:t>(</w:t>
      </w:r>
      <w:r w:rsidRPr="00362517">
        <w:t>3</w:t>
      </w:r>
      <w:r w:rsidR="00494A9D">
        <w:t>)</w:t>
      </w:r>
      <w:r w:rsidRPr="00362517">
        <w:t>: 420-33.</w:t>
      </w:r>
    </w:p>
    <w:p w14:paraId="5AB1A111" w14:textId="66FD5157" w:rsidR="00C93033" w:rsidRDefault="00C93033" w:rsidP="00BF6BC7">
      <w:pPr>
        <w:spacing w:after="120"/>
        <w:ind w:left="720" w:hangingChars="300" w:hanging="720"/>
      </w:pPr>
      <w:r w:rsidRPr="00362517">
        <w:t xml:space="preserve">Zahm, SH, MH Ward.  1998.  Pesticides and childhood cancer. </w:t>
      </w:r>
      <w:r w:rsidRPr="00362517">
        <w:rPr>
          <w:i/>
        </w:rPr>
        <w:t>Environ Health Perspect</w:t>
      </w:r>
      <w:r w:rsidR="009F7DB2">
        <w:rPr>
          <w:i/>
        </w:rPr>
        <w:t>.</w:t>
      </w:r>
      <w:r w:rsidRPr="00362517">
        <w:t xml:space="preserve"> 106</w:t>
      </w:r>
      <w:r w:rsidR="00494A9D">
        <w:t>(</w:t>
      </w:r>
      <w:r w:rsidRPr="00362517">
        <w:t xml:space="preserve"> 3</w:t>
      </w:r>
      <w:r w:rsidR="00494A9D">
        <w:t>)</w:t>
      </w:r>
      <w:r w:rsidRPr="00362517">
        <w:t>:</w:t>
      </w:r>
      <w:r w:rsidR="0012157F">
        <w:t xml:space="preserve">  </w:t>
      </w:r>
      <w:r w:rsidRPr="00362517">
        <w:t>893-908, June.</w:t>
      </w:r>
    </w:p>
    <w:p w14:paraId="7F70E968" w14:textId="567CD7DC" w:rsidR="00C61A51" w:rsidRDefault="00C61A51" w:rsidP="00BF6BC7">
      <w:pPr>
        <w:spacing w:after="120"/>
        <w:ind w:left="720" w:hangingChars="300" w:hanging="720"/>
      </w:pPr>
    </w:p>
    <w:p w14:paraId="0E720138" w14:textId="77777777" w:rsidR="00C61A51" w:rsidRPr="00362517" w:rsidRDefault="00C61A51" w:rsidP="00C61A51">
      <w:pPr>
        <w:spacing w:after="120"/>
        <w:ind w:left="720" w:hangingChars="300" w:hanging="720"/>
      </w:pPr>
    </w:p>
    <w:sectPr w:rsidR="00C61A51" w:rsidRPr="00362517" w:rsidSect="00BF6BC7">
      <w:footerReference w:type="default" r:id="rId51"/>
      <w:type w:val="continuous"/>
      <w:pgSz w:w="12240" w:h="15840"/>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A6E7F" w14:textId="77777777" w:rsidR="007A79AB" w:rsidRDefault="007A79AB" w:rsidP="00DF3166">
      <w:r>
        <w:separator/>
      </w:r>
    </w:p>
  </w:endnote>
  <w:endnote w:type="continuationSeparator" w:id="0">
    <w:p w14:paraId="5C514237" w14:textId="77777777" w:rsidR="007A79AB" w:rsidRDefault="007A79AB" w:rsidP="00DF3166">
      <w:r>
        <w:continuationSeparator/>
      </w:r>
    </w:p>
  </w:endnote>
  <w:endnote w:type="continuationNotice" w:id="1">
    <w:p w14:paraId="4B47D124" w14:textId="77777777" w:rsidR="007A79AB" w:rsidRDefault="007A7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1A122" w14:textId="77777777" w:rsidR="00C0056B" w:rsidRDefault="00C0056B" w:rsidP="007700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B1A123" w14:textId="77777777" w:rsidR="00C0056B" w:rsidRDefault="00C00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1A127" w14:textId="77777777" w:rsidR="00C0056B" w:rsidRDefault="00C0056B">
    <w:pPr>
      <w:pStyle w:val="Footer"/>
      <w:jc w:val="center"/>
    </w:pPr>
  </w:p>
  <w:p w14:paraId="5AB1A128" w14:textId="77777777" w:rsidR="00C0056B" w:rsidRPr="007B134E" w:rsidRDefault="00C0056B" w:rsidP="0077007E">
    <w:pPr>
      <w:pStyle w:val="Footer"/>
      <w:tabs>
        <w:tab w:val="clear" w:pos="8640"/>
        <w:tab w:val="right" w:pos="9360"/>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760258"/>
      <w:docPartObj>
        <w:docPartGallery w:val="Page Numbers (Bottom of Page)"/>
        <w:docPartUnique/>
      </w:docPartObj>
    </w:sdtPr>
    <w:sdtEndPr/>
    <w:sdtContent>
      <w:sdt>
        <w:sdtPr>
          <w:id w:val="1728636285"/>
          <w:docPartObj>
            <w:docPartGallery w:val="Page Numbers (Top of Page)"/>
            <w:docPartUnique/>
          </w:docPartObj>
        </w:sdtPr>
        <w:sdtEndPr/>
        <w:sdtContent>
          <w:p w14:paraId="5DB5FBB4" w14:textId="08EDE4DD" w:rsidR="00C0056B" w:rsidRDefault="00C0056B">
            <w:pPr>
              <w:pStyle w:val="Footer"/>
              <w:jc w:val="center"/>
            </w:pPr>
            <w:r w:rsidRPr="00F570C5">
              <w:t xml:space="preserve">Page </w:t>
            </w:r>
            <w:r w:rsidRPr="00F570C5">
              <w:rPr>
                <w:bCs/>
              </w:rPr>
              <w:fldChar w:fldCharType="begin"/>
            </w:r>
            <w:r w:rsidRPr="00F570C5">
              <w:rPr>
                <w:bCs/>
              </w:rPr>
              <w:instrText xml:space="preserve"> PAGE </w:instrText>
            </w:r>
            <w:r w:rsidRPr="00F570C5">
              <w:rPr>
                <w:bCs/>
              </w:rPr>
              <w:fldChar w:fldCharType="separate"/>
            </w:r>
            <w:r w:rsidR="007B6E49">
              <w:rPr>
                <w:bCs/>
                <w:noProof/>
              </w:rPr>
              <w:t>32</w:t>
            </w:r>
            <w:r w:rsidRPr="00F570C5">
              <w:rPr>
                <w:bCs/>
              </w:rPr>
              <w:fldChar w:fldCharType="end"/>
            </w:r>
          </w:p>
        </w:sdtContent>
      </w:sdt>
    </w:sdtContent>
  </w:sdt>
  <w:p w14:paraId="5AB1A12A" w14:textId="77777777" w:rsidR="00C0056B" w:rsidRPr="003E4BF9" w:rsidRDefault="00C0056B" w:rsidP="00770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E21FB" w14:textId="77777777" w:rsidR="007A79AB" w:rsidRDefault="007A79AB" w:rsidP="00DF3166">
      <w:r>
        <w:separator/>
      </w:r>
    </w:p>
  </w:footnote>
  <w:footnote w:type="continuationSeparator" w:id="0">
    <w:p w14:paraId="1967B07A" w14:textId="77777777" w:rsidR="007A79AB" w:rsidRDefault="007A79AB" w:rsidP="00DF3166">
      <w:r>
        <w:continuationSeparator/>
      </w:r>
    </w:p>
  </w:footnote>
  <w:footnote w:type="continuationNotice" w:id="1">
    <w:p w14:paraId="5E77DDBC" w14:textId="77777777" w:rsidR="007A79AB" w:rsidRDefault="007A79AB"/>
  </w:footnote>
  <w:footnote w:id="2">
    <w:p w14:paraId="5AB1A12B" w14:textId="77777777" w:rsidR="00C0056B" w:rsidRDefault="00C0056B">
      <w:pPr>
        <w:pStyle w:val="FootnoteText"/>
      </w:pPr>
      <w:r>
        <w:rPr>
          <w:rStyle w:val="FootnoteReference"/>
        </w:rPr>
        <w:footnoteRef/>
      </w:r>
      <w:r>
        <w:t xml:space="preserve">See </w:t>
      </w:r>
      <w:r w:rsidRPr="00352E58">
        <w:t>http://www.justice.gov/archive/usao/ut/news/2011/bugman%20plea.pdf and</w:t>
      </w:r>
      <w:r>
        <w:t xml:space="preserve"> </w:t>
      </w:r>
      <w:r w:rsidRPr="00352E58">
        <w:t xml:space="preserve"> http://cfpub.epa.gov/compliance/criminal_prosecution/index.cfm?action=3&amp;prosecution_summary_id=2249.</w:t>
      </w:r>
    </w:p>
  </w:footnote>
  <w:footnote w:id="3">
    <w:p w14:paraId="5AB1A12C" w14:textId="77777777" w:rsidR="00C0056B" w:rsidRDefault="00C0056B">
      <w:pPr>
        <w:pStyle w:val="FootnoteText"/>
      </w:pPr>
      <w:r>
        <w:rPr>
          <w:rStyle w:val="FootnoteReference"/>
        </w:rPr>
        <w:footnoteRef/>
      </w:r>
      <w:r>
        <w:t>See</w:t>
      </w:r>
      <w:r w:rsidRPr="00352E58">
        <w:t xml:space="preserve"> https://www.justice.gov/opa/pr/terminix-companies-agree-pay-10-million-applying-restric</w:t>
      </w:r>
      <w:r>
        <w:t>ted-use-pesticide-residences-us</w:t>
      </w:r>
      <w:r w:rsidRPr="00352E58">
        <w:t>.</w:t>
      </w:r>
    </w:p>
  </w:footnote>
  <w:footnote w:id="4">
    <w:p w14:paraId="5AB1A12D" w14:textId="77777777" w:rsidR="00C0056B" w:rsidRDefault="00C0056B">
      <w:pPr>
        <w:pStyle w:val="FootnoteText"/>
      </w:pPr>
      <w:r>
        <w:rPr>
          <w:rStyle w:val="FootnoteReference"/>
        </w:rPr>
        <w:footnoteRef/>
      </w:r>
      <w:r>
        <w:t>Se</w:t>
      </w:r>
      <w:r w:rsidRPr="00352E58">
        <w:t>e https://www.justice.gov/usao-sdfl/pr/fumigation-company-and-two-individuals-pled-guilty-connection-illegal-pesticide)</w:t>
      </w:r>
    </w:p>
  </w:footnote>
  <w:footnote w:id="5">
    <w:p w14:paraId="5AB1A12E" w14:textId="77777777" w:rsidR="00C0056B" w:rsidRDefault="00C0056B" w:rsidP="00FA01FB">
      <w:pPr>
        <w:pStyle w:val="FootnoteText"/>
      </w:pPr>
      <w:r>
        <w:rPr>
          <w:rStyle w:val="FootnoteReference"/>
        </w:rPr>
        <w:footnoteRef/>
      </w:r>
      <w:r>
        <w:t xml:space="preserve"> The PPDC is the Office of Pesticide Programs’ Federal Advisory Committee.  It </w:t>
      </w:r>
      <w:r w:rsidRPr="00BF39E8">
        <w:t>provides a forum for a diverse group of stakeholders to provide feedback to the pesticide program on various pesticide regulatory, policy and program implementation issues.</w:t>
      </w:r>
      <w:r>
        <w:t xml:space="preserve">  The PPDC meets two or three times per year.  </w:t>
      </w:r>
    </w:p>
  </w:footnote>
  <w:footnote w:id="6">
    <w:p w14:paraId="5AB1A12F" w14:textId="77777777" w:rsidR="00C0056B" w:rsidRDefault="00C0056B" w:rsidP="00FA01FB">
      <w:pPr>
        <w:pStyle w:val="FootnoteText"/>
      </w:pPr>
      <w:r>
        <w:rPr>
          <w:rStyle w:val="FootnoteReference"/>
        </w:rPr>
        <w:footnoteRef/>
      </w:r>
      <w:r>
        <w:t xml:space="preserve"> See for example the discussion in Section II.B.3 of the final rule or the incident data in Chapter 4 of this document.</w:t>
      </w:r>
    </w:p>
  </w:footnote>
  <w:footnote w:id="7">
    <w:p w14:paraId="7F74FF92" w14:textId="77777777" w:rsidR="00C0056B" w:rsidRDefault="00C0056B" w:rsidP="00D8365A">
      <w:pPr>
        <w:pStyle w:val="FootnoteText"/>
      </w:pPr>
      <w:r>
        <w:rPr>
          <w:rStyle w:val="FootnoteReference"/>
        </w:rPr>
        <w:footnoteRef/>
      </w:r>
      <w:r>
        <w:t xml:space="preserve"> </w:t>
      </w:r>
      <w:r w:rsidRPr="00600BE8">
        <w:t>CPARD (Certification Plan and Reporting Database) is an electronic database that authorized agencies use to establish and update their certification plans</w:t>
      </w:r>
      <w:r>
        <w:t xml:space="preserve"> as well as report certifications issued each year.   </w:t>
      </w:r>
      <w:r w:rsidRPr="00600BE8">
        <w:t xml:space="preserve"> </w:t>
      </w:r>
    </w:p>
  </w:footnote>
  <w:footnote w:id="8">
    <w:p w14:paraId="5AB1A131" w14:textId="77777777" w:rsidR="00C0056B" w:rsidRDefault="00C0056B" w:rsidP="00F848A1">
      <w:pPr>
        <w:pStyle w:val="FootnoteText"/>
      </w:pPr>
      <w:r>
        <w:rPr>
          <w:rStyle w:val="FootnoteReference"/>
        </w:rPr>
        <w:footnoteRef/>
      </w:r>
      <w:r>
        <w:t xml:space="preserve"> A table of symptoms by severity is here: http://www.cdc.gov/niosh/topics/pesticides/pdfs/pest-sitablev6.pdf</w:t>
      </w:r>
    </w:p>
  </w:footnote>
  <w:footnote w:id="9">
    <w:p w14:paraId="5AB1A132" w14:textId="77777777" w:rsidR="00C0056B" w:rsidRDefault="00C0056B" w:rsidP="00F848A1">
      <w:pPr>
        <w:pStyle w:val="FootnoteText"/>
      </w:pPr>
      <w:r>
        <w:rPr>
          <w:rStyle w:val="FootnoteReference"/>
        </w:rPr>
        <w:footnoteRef/>
      </w:r>
      <w:r>
        <w:t xml:space="preserve"> More information on the Healthcare Cost and Utilization Project is available here: </w:t>
      </w:r>
      <w:r w:rsidRPr="007E32B9">
        <w:t>http://www.ahrq.gov/research/data/hcup/</w:t>
      </w:r>
    </w:p>
  </w:footnote>
  <w:footnote w:id="10">
    <w:p w14:paraId="5AB1A133" w14:textId="1F265AC9" w:rsidR="00C0056B" w:rsidRDefault="00C0056B" w:rsidP="00F848A1">
      <w:pPr>
        <w:pStyle w:val="FootnoteText"/>
      </w:pPr>
      <w:r>
        <w:rPr>
          <w:rStyle w:val="FootnoteReference"/>
        </w:rPr>
        <w:footnoteRef/>
      </w:r>
      <w:r>
        <w:t xml:space="preserve"> More information on the </w:t>
      </w:r>
      <w:r w:rsidRPr="001770BE">
        <w:t>Healthcare Common Procedure Code</w:t>
      </w:r>
      <w:r>
        <w:t xml:space="preserve"> system and codes is available here: </w:t>
      </w:r>
      <w:r w:rsidRPr="007E32B9">
        <w:t>http://www.cms.gov/Medicare/Coding/MedHCPCSGenInfo/index.html</w:t>
      </w:r>
    </w:p>
  </w:footnote>
  <w:footnote w:id="11">
    <w:p w14:paraId="5AB1A134" w14:textId="77777777" w:rsidR="00C0056B" w:rsidRDefault="00C0056B" w:rsidP="00F848A1">
      <w:pPr>
        <w:pStyle w:val="FootnoteText"/>
      </w:pPr>
      <w:r>
        <w:rPr>
          <w:rStyle w:val="FootnoteReference"/>
        </w:rPr>
        <w:footnoteRef/>
      </w:r>
      <w:r>
        <w:t xml:space="preserve"> More information about the data available from the NPDS is available here: </w:t>
      </w:r>
      <w:r w:rsidRPr="007E32B9">
        <w:t>http://www.aapcc.org/data-system/</w:t>
      </w:r>
    </w:p>
  </w:footnote>
  <w:footnote w:id="12">
    <w:p w14:paraId="5AB1A135" w14:textId="77777777" w:rsidR="00C0056B" w:rsidRDefault="00C0056B" w:rsidP="00F848A1">
      <w:pPr>
        <w:pStyle w:val="FootnoteText"/>
      </w:pPr>
      <w:r>
        <w:rPr>
          <w:rStyle w:val="FootnoteReference"/>
        </w:rPr>
        <w:footnoteRef/>
      </w:r>
      <w:r>
        <w:t>The average facility charge for all providers using the Medicare Physician Fee Schedule, from http://www.cms.hhs.gov/PFSlookup/02_PFSSearch.asp</w:t>
      </w:r>
    </w:p>
  </w:footnote>
  <w:footnote w:id="13">
    <w:p w14:paraId="5AB1A137" w14:textId="77777777" w:rsidR="00C0056B" w:rsidRDefault="00C0056B" w:rsidP="00F848A1">
      <w:pPr>
        <w:pStyle w:val="FootnoteText"/>
      </w:pPr>
      <w:r>
        <w:rPr>
          <w:rStyle w:val="FootnoteReference"/>
        </w:rPr>
        <w:footnoteRef/>
      </w:r>
      <w:r>
        <w:t xml:space="preserve"> More information on the Agricultural Health Study and partners can be found on their website, here: </w:t>
      </w:r>
      <w:r w:rsidRPr="002D0A54">
        <w:t>http://aghealth.nih.gov/</w:t>
      </w:r>
    </w:p>
  </w:footnote>
  <w:footnote w:id="14">
    <w:p w14:paraId="5AB1A138" w14:textId="77777777" w:rsidR="00C0056B" w:rsidRDefault="00C0056B" w:rsidP="00F848A1">
      <w:pPr>
        <w:pStyle w:val="FootnoteText"/>
      </w:pPr>
      <w:r>
        <w:rPr>
          <w:rStyle w:val="FootnoteReference"/>
        </w:rPr>
        <w:footnoteRef/>
      </w:r>
      <w:r>
        <w:t xml:space="preserve"> These databases are not generally available to the public.  More information about these databases is available in OPP Report on Incident Information (EPA 2007): </w:t>
      </w:r>
      <w:r w:rsidRPr="0031753F">
        <w:t>http://www.epa.gov/pesticides/ppdc/2007/oct2007/session10-finalrpt.pdf</w:t>
      </w:r>
      <w:r>
        <w:t>.</w:t>
      </w:r>
    </w:p>
  </w:footnote>
  <w:footnote w:id="15">
    <w:p w14:paraId="5AB1A139" w14:textId="77777777" w:rsidR="00C0056B" w:rsidRDefault="00C0056B" w:rsidP="00F848A1">
      <w:pPr>
        <w:pStyle w:val="FootnoteText"/>
      </w:pPr>
      <w:r>
        <w:rPr>
          <w:rStyle w:val="FootnoteReference"/>
        </w:rPr>
        <w:footnoteRef/>
      </w:r>
      <w:r>
        <w:t xml:space="preserve"> The reporting requirements can be found in the Code of Federal Regulations in Title 40, Section </w:t>
      </w:r>
      <w:r w:rsidRPr="0068467B">
        <w:t>159.184(c)(5)(iii)</w:t>
      </w:r>
      <w:r>
        <w:t xml:space="preserve">, which can be found in the Electronic Code of Federal Regulations here: </w:t>
      </w:r>
      <w:r w:rsidRPr="0068467B">
        <w:t>http://www.ecfr.gov/cgi-bin/text-idx?SID=100c94cd811a48658e383a956da0ef65&amp;node=40:24.0.1.1.10.2.1.13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60A66" w14:textId="77777777" w:rsidR="00C0056B" w:rsidRPr="001243D4" w:rsidRDefault="00C0056B" w:rsidP="00124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C12"/>
    <w:multiLevelType w:val="hybridMultilevel"/>
    <w:tmpl w:val="683C3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9A7FDE"/>
    <w:multiLevelType w:val="hybridMultilevel"/>
    <w:tmpl w:val="76285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10FB0"/>
    <w:multiLevelType w:val="hybridMultilevel"/>
    <w:tmpl w:val="F9D63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2E35EF"/>
    <w:multiLevelType w:val="hybridMultilevel"/>
    <w:tmpl w:val="8780A2E8"/>
    <w:lvl w:ilvl="0" w:tplc="83B8BCDE">
      <w:start w:val="1"/>
      <w:numFmt w:val="bullet"/>
      <w:lvlText w:val=""/>
      <w:lvlJc w:val="left"/>
      <w:pPr>
        <w:ind w:left="820" w:hanging="360"/>
      </w:pPr>
      <w:rPr>
        <w:rFonts w:ascii="Symbol" w:hAnsi="Symbol" w:hint="default"/>
        <w:sz w:val="16"/>
        <w:szCs w:val="16"/>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0E9522FE"/>
    <w:multiLevelType w:val="hybridMultilevel"/>
    <w:tmpl w:val="5998A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0B45DC"/>
    <w:multiLevelType w:val="hybridMultilevel"/>
    <w:tmpl w:val="B4747B14"/>
    <w:lvl w:ilvl="0" w:tplc="B5D076C2">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7B0196"/>
    <w:multiLevelType w:val="hybridMultilevel"/>
    <w:tmpl w:val="2200B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A224DE"/>
    <w:multiLevelType w:val="hybridMultilevel"/>
    <w:tmpl w:val="18C00012"/>
    <w:lvl w:ilvl="0" w:tplc="CFC8DEB4">
      <w:start w:val="1"/>
      <w:numFmt w:val="bullet"/>
      <w:lvlText w:val=""/>
      <w:lvlJc w:val="left"/>
      <w:pPr>
        <w:tabs>
          <w:tab w:val="num" w:pos="144"/>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2E5C6A"/>
    <w:multiLevelType w:val="hybridMultilevel"/>
    <w:tmpl w:val="47006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F6454"/>
    <w:multiLevelType w:val="hybridMultilevel"/>
    <w:tmpl w:val="5E5EB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8652B4"/>
    <w:multiLevelType w:val="hybridMultilevel"/>
    <w:tmpl w:val="2418E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961F86"/>
    <w:multiLevelType w:val="hybridMultilevel"/>
    <w:tmpl w:val="1C4A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4428F"/>
    <w:multiLevelType w:val="multilevel"/>
    <w:tmpl w:val="F342C8FC"/>
    <w:lvl w:ilvl="0">
      <w:start w:val="3"/>
      <w:numFmt w:val="decimal"/>
      <w:pStyle w:val="AbtHeadAOutlined"/>
      <w:lvlText w:val="%1"/>
      <w:lvlJc w:val="left"/>
      <w:pPr>
        <w:tabs>
          <w:tab w:val="num" w:pos="720"/>
        </w:tabs>
        <w:ind w:left="720" w:hanging="720"/>
      </w:pPr>
      <w:rPr>
        <w:rFonts w:cs="Times New Roman" w:hint="default"/>
      </w:rPr>
    </w:lvl>
    <w:lvl w:ilvl="1">
      <w:start w:val="1"/>
      <w:numFmt w:val="decimal"/>
      <w:pStyle w:val="AbtHeadBOutlined"/>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728"/>
        </w:tabs>
        <w:ind w:left="1728" w:hanging="1008"/>
      </w:pPr>
      <w:rPr>
        <w:rFonts w:cs="Times New Roman" w:hint="default"/>
      </w:rPr>
    </w:lvl>
    <w:lvl w:ilvl="4">
      <w:start w:val="1"/>
      <w:numFmt w:val="none"/>
      <w:suff w:val="nothing"/>
      <w:lvlText w:val=""/>
      <w:lvlJc w:val="left"/>
      <w:pPr>
        <w:ind w:left="792" w:hanging="7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3491523C"/>
    <w:multiLevelType w:val="multilevel"/>
    <w:tmpl w:val="5BF086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7143A36"/>
    <w:multiLevelType w:val="hybridMultilevel"/>
    <w:tmpl w:val="B07AD490"/>
    <w:lvl w:ilvl="0" w:tplc="0EE26576">
      <w:start w:val="1"/>
      <w:numFmt w:val="bullet"/>
      <w:lvlText w:val=""/>
      <w:lvlJc w:val="left"/>
      <w:pPr>
        <w:tabs>
          <w:tab w:val="num" w:pos="144"/>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405094"/>
    <w:multiLevelType w:val="hybridMultilevel"/>
    <w:tmpl w:val="1BE215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42377E30"/>
    <w:multiLevelType w:val="hybridMultilevel"/>
    <w:tmpl w:val="BC382300"/>
    <w:lvl w:ilvl="0" w:tplc="83B8BCD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96EFC"/>
    <w:multiLevelType w:val="hybridMultilevel"/>
    <w:tmpl w:val="17A46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D44F89"/>
    <w:multiLevelType w:val="hybridMultilevel"/>
    <w:tmpl w:val="0BFE5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18728E"/>
    <w:multiLevelType w:val="hybridMultilevel"/>
    <w:tmpl w:val="60BEF134"/>
    <w:lvl w:ilvl="0" w:tplc="B5D076C2">
      <w:start w:val="1"/>
      <w:numFmt w:val="bullet"/>
      <w:lvlText w:val=""/>
      <w:lvlJc w:val="left"/>
      <w:pPr>
        <w:tabs>
          <w:tab w:val="num" w:pos="144"/>
        </w:tabs>
      </w:pPr>
      <w:rPr>
        <w:rFonts w:ascii="Symbol" w:hAnsi="Symbol" w:hint="default"/>
      </w:rPr>
    </w:lvl>
    <w:lvl w:ilvl="1" w:tplc="83887DC4" w:tentative="1">
      <w:start w:val="1"/>
      <w:numFmt w:val="bullet"/>
      <w:lvlText w:val="o"/>
      <w:lvlJc w:val="left"/>
      <w:pPr>
        <w:tabs>
          <w:tab w:val="num" w:pos="1440"/>
        </w:tabs>
        <w:ind w:left="1440" w:hanging="360"/>
      </w:pPr>
      <w:rPr>
        <w:rFonts w:ascii="Courier New" w:hAnsi="Courier New" w:hint="default"/>
      </w:rPr>
    </w:lvl>
    <w:lvl w:ilvl="2" w:tplc="59687E2A" w:tentative="1">
      <w:start w:val="1"/>
      <w:numFmt w:val="bullet"/>
      <w:lvlText w:val=""/>
      <w:lvlJc w:val="left"/>
      <w:pPr>
        <w:tabs>
          <w:tab w:val="num" w:pos="2160"/>
        </w:tabs>
        <w:ind w:left="2160" w:hanging="360"/>
      </w:pPr>
      <w:rPr>
        <w:rFonts w:ascii="Wingdings" w:hAnsi="Wingdings" w:hint="default"/>
      </w:rPr>
    </w:lvl>
    <w:lvl w:ilvl="3" w:tplc="7BC22B5C" w:tentative="1">
      <w:start w:val="1"/>
      <w:numFmt w:val="bullet"/>
      <w:lvlText w:val=""/>
      <w:lvlJc w:val="left"/>
      <w:pPr>
        <w:tabs>
          <w:tab w:val="num" w:pos="2880"/>
        </w:tabs>
        <w:ind w:left="2880" w:hanging="360"/>
      </w:pPr>
      <w:rPr>
        <w:rFonts w:ascii="Symbol" w:hAnsi="Symbol" w:hint="default"/>
      </w:rPr>
    </w:lvl>
    <w:lvl w:ilvl="4" w:tplc="E7320EF8" w:tentative="1">
      <w:start w:val="1"/>
      <w:numFmt w:val="bullet"/>
      <w:lvlText w:val="o"/>
      <w:lvlJc w:val="left"/>
      <w:pPr>
        <w:tabs>
          <w:tab w:val="num" w:pos="3600"/>
        </w:tabs>
        <w:ind w:left="3600" w:hanging="360"/>
      </w:pPr>
      <w:rPr>
        <w:rFonts w:ascii="Courier New" w:hAnsi="Courier New" w:hint="default"/>
      </w:rPr>
    </w:lvl>
    <w:lvl w:ilvl="5" w:tplc="943C33DC" w:tentative="1">
      <w:start w:val="1"/>
      <w:numFmt w:val="bullet"/>
      <w:lvlText w:val=""/>
      <w:lvlJc w:val="left"/>
      <w:pPr>
        <w:tabs>
          <w:tab w:val="num" w:pos="4320"/>
        </w:tabs>
        <w:ind w:left="4320" w:hanging="360"/>
      </w:pPr>
      <w:rPr>
        <w:rFonts w:ascii="Wingdings" w:hAnsi="Wingdings" w:hint="default"/>
      </w:rPr>
    </w:lvl>
    <w:lvl w:ilvl="6" w:tplc="F34EB942" w:tentative="1">
      <w:start w:val="1"/>
      <w:numFmt w:val="bullet"/>
      <w:lvlText w:val=""/>
      <w:lvlJc w:val="left"/>
      <w:pPr>
        <w:tabs>
          <w:tab w:val="num" w:pos="5040"/>
        </w:tabs>
        <w:ind w:left="5040" w:hanging="360"/>
      </w:pPr>
      <w:rPr>
        <w:rFonts w:ascii="Symbol" w:hAnsi="Symbol" w:hint="default"/>
      </w:rPr>
    </w:lvl>
    <w:lvl w:ilvl="7" w:tplc="C8806262" w:tentative="1">
      <w:start w:val="1"/>
      <w:numFmt w:val="bullet"/>
      <w:lvlText w:val="o"/>
      <w:lvlJc w:val="left"/>
      <w:pPr>
        <w:tabs>
          <w:tab w:val="num" w:pos="5760"/>
        </w:tabs>
        <w:ind w:left="5760" w:hanging="360"/>
      </w:pPr>
      <w:rPr>
        <w:rFonts w:ascii="Courier New" w:hAnsi="Courier New" w:hint="default"/>
      </w:rPr>
    </w:lvl>
    <w:lvl w:ilvl="8" w:tplc="BA4EC47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A02A4D"/>
    <w:multiLevelType w:val="hybridMultilevel"/>
    <w:tmpl w:val="F3B86E3A"/>
    <w:lvl w:ilvl="0" w:tplc="04090001">
      <w:start w:val="1"/>
      <w:numFmt w:val="bullet"/>
      <w:lvlText w:val=""/>
      <w:lvlJc w:val="left"/>
      <w:pPr>
        <w:ind w:left="540" w:hanging="54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4E570D"/>
    <w:multiLevelType w:val="hybridMultilevel"/>
    <w:tmpl w:val="9E66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A77C73"/>
    <w:multiLevelType w:val="hybridMultilevel"/>
    <w:tmpl w:val="91EEFB14"/>
    <w:lvl w:ilvl="0" w:tplc="0409000F">
      <w:start w:val="1"/>
      <w:numFmt w:val="bullet"/>
      <w:lvlText w:val=""/>
      <w:lvlJc w:val="left"/>
      <w:pPr>
        <w:tabs>
          <w:tab w:val="num" w:pos="144"/>
        </w:tabs>
      </w:pPr>
      <w:rPr>
        <w:rFonts w:ascii="Symbol" w:hAnsi="Symbol" w:hint="default"/>
      </w:rPr>
    </w:lvl>
    <w:lvl w:ilvl="1" w:tplc="04090019">
      <w:start w:val="1"/>
      <w:numFmt w:val="bullet"/>
      <w:lvlText w:val="o"/>
      <w:lvlJc w:val="left"/>
      <w:pPr>
        <w:tabs>
          <w:tab w:val="num" w:pos="540"/>
        </w:tabs>
        <w:ind w:left="5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654AEA"/>
    <w:multiLevelType w:val="hybridMultilevel"/>
    <w:tmpl w:val="792C2588"/>
    <w:lvl w:ilvl="0" w:tplc="B5D076C2">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BB0FE8"/>
    <w:multiLevelType w:val="hybridMultilevel"/>
    <w:tmpl w:val="F6CA5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4732ED"/>
    <w:multiLevelType w:val="hybridMultilevel"/>
    <w:tmpl w:val="B628CE7A"/>
    <w:lvl w:ilvl="0" w:tplc="85F2225A">
      <w:start w:val="1"/>
      <w:numFmt w:val="bullet"/>
      <w:lvlText w:val=""/>
      <w:lvlJc w:val="left"/>
      <w:pPr>
        <w:tabs>
          <w:tab w:val="num" w:pos="684"/>
        </w:tabs>
        <w:ind w:left="0" w:firstLine="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7F7173DD"/>
    <w:multiLevelType w:val="hybridMultilevel"/>
    <w:tmpl w:val="A3649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16"/>
  </w:num>
  <w:num w:numId="4">
    <w:abstractNumId w:val="9"/>
  </w:num>
  <w:num w:numId="5">
    <w:abstractNumId w:val="4"/>
  </w:num>
  <w:num w:numId="6">
    <w:abstractNumId w:val="18"/>
  </w:num>
  <w:num w:numId="7">
    <w:abstractNumId w:val="10"/>
  </w:num>
  <w:num w:numId="8">
    <w:abstractNumId w:val="6"/>
  </w:num>
  <w:num w:numId="9">
    <w:abstractNumId w:val="19"/>
  </w:num>
  <w:num w:numId="10">
    <w:abstractNumId w:val="22"/>
  </w:num>
  <w:num w:numId="11">
    <w:abstractNumId w:val="14"/>
  </w:num>
  <w:num w:numId="12">
    <w:abstractNumId w:val="7"/>
  </w:num>
  <w:num w:numId="13">
    <w:abstractNumId w:val="1"/>
  </w:num>
  <w:num w:numId="14">
    <w:abstractNumId w:val="15"/>
  </w:num>
  <w:num w:numId="15">
    <w:abstractNumId w:val="17"/>
  </w:num>
  <w:num w:numId="16">
    <w:abstractNumId w:val="25"/>
  </w:num>
  <w:num w:numId="17">
    <w:abstractNumId w:val="8"/>
  </w:num>
  <w:num w:numId="18">
    <w:abstractNumId w:val="2"/>
  </w:num>
  <w:num w:numId="19">
    <w:abstractNumId w:val="21"/>
  </w:num>
  <w:num w:numId="20">
    <w:abstractNumId w:val="11"/>
  </w:num>
  <w:num w:numId="21">
    <w:abstractNumId w:val="0"/>
  </w:num>
  <w:num w:numId="22">
    <w:abstractNumId w:val="26"/>
  </w:num>
  <w:num w:numId="23">
    <w:abstractNumId w:val="13"/>
  </w:num>
  <w:num w:numId="24">
    <w:abstractNumId w:val="20"/>
  </w:num>
  <w:num w:numId="25">
    <w:abstractNumId w:val="24"/>
  </w:num>
  <w:num w:numId="26">
    <w:abstractNumId w:val="23"/>
  </w:num>
  <w:num w:numId="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B4"/>
    <w:rsid w:val="0000039E"/>
    <w:rsid w:val="00001725"/>
    <w:rsid w:val="00003BAE"/>
    <w:rsid w:val="00005FBD"/>
    <w:rsid w:val="0000775E"/>
    <w:rsid w:val="0000780F"/>
    <w:rsid w:val="00007AF9"/>
    <w:rsid w:val="00010E1B"/>
    <w:rsid w:val="00011F3B"/>
    <w:rsid w:val="00012688"/>
    <w:rsid w:val="0001290E"/>
    <w:rsid w:val="00014C1E"/>
    <w:rsid w:val="00016801"/>
    <w:rsid w:val="000202F7"/>
    <w:rsid w:val="00021D21"/>
    <w:rsid w:val="000234FB"/>
    <w:rsid w:val="0002366A"/>
    <w:rsid w:val="0002370A"/>
    <w:rsid w:val="00023EA7"/>
    <w:rsid w:val="0002580F"/>
    <w:rsid w:val="0002607D"/>
    <w:rsid w:val="00026418"/>
    <w:rsid w:val="000264C8"/>
    <w:rsid w:val="0003067E"/>
    <w:rsid w:val="00030769"/>
    <w:rsid w:val="00030DB2"/>
    <w:rsid w:val="00031B25"/>
    <w:rsid w:val="00033991"/>
    <w:rsid w:val="000352CE"/>
    <w:rsid w:val="00035FD3"/>
    <w:rsid w:val="00037433"/>
    <w:rsid w:val="000375F5"/>
    <w:rsid w:val="00037B65"/>
    <w:rsid w:val="000431AD"/>
    <w:rsid w:val="0004652E"/>
    <w:rsid w:val="00046731"/>
    <w:rsid w:val="00047D16"/>
    <w:rsid w:val="00050757"/>
    <w:rsid w:val="00051D7F"/>
    <w:rsid w:val="00052F0C"/>
    <w:rsid w:val="000532F4"/>
    <w:rsid w:val="00054B3C"/>
    <w:rsid w:val="00054C50"/>
    <w:rsid w:val="000561B1"/>
    <w:rsid w:val="00060BFA"/>
    <w:rsid w:val="00060FB3"/>
    <w:rsid w:val="00062369"/>
    <w:rsid w:val="00065A9A"/>
    <w:rsid w:val="00065FF4"/>
    <w:rsid w:val="00066D26"/>
    <w:rsid w:val="00074298"/>
    <w:rsid w:val="000745A7"/>
    <w:rsid w:val="00074C4D"/>
    <w:rsid w:val="00075A05"/>
    <w:rsid w:val="00075ECE"/>
    <w:rsid w:val="00076919"/>
    <w:rsid w:val="00076B29"/>
    <w:rsid w:val="00080084"/>
    <w:rsid w:val="0008011C"/>
    <w:rsid w:val="00081363"/>
    <w:rsid w:val="00081C68"/>
    <w:rsid w:val="00083F19"/>
    <w:rsid w:val="00085A90"/>
    <w:rsid w:val="00086204"/>
    <w:rsid w:val="00090FC8"/>
    <w:rsid w:val="0009103C"/>
    <w:rsid w:val="000910B1"/>
    <w:rsid w:val="000914DC"/>
    <w:rsid w:val="00091540"/>
    <w:rsid w:val="00091CFB"/>
    <w:rsid w:val="00094872"/>
    <w:rsid w:val="00095261"/>
    <w:rsid w:val="000957DF"/>
    <w:rsid w:val="000A00DD"/>
    <w:rsid w:val="000A2684"/>
    <w:rsid w:val="000A4AF6"/>
    <w:rsid w:val="000A4D88"/>
    <w:rsid w:val="000A4F60"/>
    <w:rsid w:val="000A5DF9"/>
    <w:rsid w:val="000B0170"/>
    <w:rsid w:val="000B06CA"/>
    <w:rsid w:val="000B0856"/>
    <w:rsid w:val="000B129B"/>
    <w:rsid w:val="000B278F"/>
    <w:rsid w:val="000B3D31"/>
    <w:rsid w:val="000B3D78"/>
    <w:rsid w:val="000B51E9"/>
    <w:rsid w:val="000B557E"/>
    <w:rsid w:val="000B613B"/>
    <w:rsid w:val="000C0407"/>
    <w:rsid w:val="000C47D7"/>
    <w:rsid w:val="000C4ACB"/>
    <w:rsid w:val="000C556E"/>
    <w:rsid w:val="000C5621"/>
    <w:rsid w:val="000C5BCD"/>
    <w:rsid w:val="000C6DAE"/>
    <w:rsid w:val="000C78C6"/>
    <w:rsid w:val="000D1CA5"/>
    <w:rsid w:val="000D1E2B"/>
    <w:rsid w:val="000D273F"/>
    <w:rsid w:val="000D338D"/>
    <w:rsid w:val="000D3C02"/>
    <w:rsid w:val="000D3D7C"/>
    <w:rsid w:val="000D6947"/>
    <w:rsid w:val="000E0F24"/>
    <w:rsid w:val="000E1218"/>
    <w:rsid w:val="000E3EDB"/>
    <w:rsid w:val="000E4C6A"/>
    <w:rsid w:val="000E4FBF"/>
    <w:rsid w:val="000E61D4"/>
    <w:rsid w:val="000E61F0"/>
    <w:rsid w:val="000E6D19"/>
    <w:rsid w:val="000F08B0"/>
    <w:rsid w:val="000F1B88"/>
    <w:rsid w:val="000F2CA9"/>
    <w:rsid w:val="000F34B3"/>
    <w:rsid w:val="000F3CD8"/>
    <w:rsid w:val="000F3E2B"/>
    <w:rsid w:val="000F5D61"/>
    <w:rsid w:val="000F6882"/>
    <w:rsid w:val="000F7FC1"/>
    <w:rsid w:val="0010002E"/>
    <w:rsid w:val="00104171"/>
    <w:rsid w:val="001047E8"/>
    <w:rsid w:val="001048DB"/>
    <w:rsid w:val="00105EEF"/>
    <w:rsid w:val="001065E6"/>
    <w:rsid w:val="00110180"/>
    <w:rsid w:val="00112BF5"/>
    <w:rsid w:val="00120A54"/>
    <w:rsid w:val="0012157F"/>
    <w:rsid w:val="00121BB0"/>
    <w:rsid w:val="00122D43"/>
    <w:rsid w:val="001243D4"/>
    <w:rsid w:val="00131817"/>
    <w:rsid w:val="00131B44"/>
    <w:rsid w:val="00137000"/>
    <w:rsid w:val="0013718C"/>
    <w:rsid w:val="0014058F"/>
    <w:rsid w:val="00140DFB"/>
    <w:rsid w:val="00142840"/>
    <w:rsid w:val="00144D3E"/>
    <w:rsid w:val="00146332"/>
    <w:rsid w:val="00146D8E"/>
    <w:rsid w:val="001471C7"/>
    <w:rsid w:val="00147310"/>
    <w:rsid w:val="001476CE"/>
    <w:rsid w:val="00147C34"/>
    <w:rsid w:val="00150D87"/>
    <w:rsid w:val="001515A1"/>
    <w:rsid w:val="001526E9"/>
    <w:rsid w:val="00152C88"/>
    <w:rsid w:val="00152E44"/>
    <w:rsid w:val="001600B9"/>
    <w:rsid w:val="001609C7"/>
    <w:rsid w:val="00162FC8"/>
    <w:rsid w:val="001652CB"/>
    <w:rsid w:val="0016625B"/>
    <w:rsid w:val="00166A05"/>
    <w:rsid w:val="001704EC"/>
    <w:rsid w:val="00170D11"/>
    <w:rsid w:val="00170F3C"/>
    <w:rsid w:val="00170F74"/>
    <w:rsid w:val="001710A4"/>
    <w:rsid w:val="00172FC7"/>
    <w:rsid w:val="00173F77"/>
    <w:rsid w:val="00175111"/>
    <w:rsid w:val="001754F9"/>
    <w:rsid w:val="00176B35"/>
    <w:rsid w:val="00177C67"/>
    <w:rsid w:val="00181059"/>
    <w:rsid w:val="001812C4"/>
    <w:rsid w:val="001816FC"/>
    <w:rsid w:val="001818F6"/>
    <w:rsid w:val="00182000"/>
    <w:rsid w:val="00182D55"/>
    <w:rsid w:val="00183CE6"/>
    <w:rsid w:val="00183EB4"/>
    <w:rsid w:val="00184214"/>
    <w:rsid w:val="00184551"/>
    <w:rsid w:val="0018587B"/>
    <w:rsid w:val="00185996"/>
    <w:rsid w:val="00185D06"/>
    <w:rsid w:val="00186CCE"/>
    <w:rsid w:val="00187456"/>
    <w:rsid w:val="00187839"/>
    <w:rsid w:val="00190539"/>
    <w:rsid w:val="00190733"/>
    <w:rsid w:val="00190C8C"/>
    <w:rsid w:val="001912C0"/>
    <w:rsid w:val="0019152B"/>
    <w:rsid w:val="0019195A"/>
    <w:rsid w:val="00191DDC"/>
    <w:rsid w:val="00192309"/>
    <w:rsid w:val="00192C10"/>
    <w:rsid w:val="00192E74"/>
    <w:rsid w:val="00195287"/>
    <w:rsid w:val="00195832"/>
    <w:rsid w:val="0019614B"/>
    <w:rsid w:val="001963E6"/>
    <w:rsid w:val="0019790C"/>
    <w:rsid w:val="001A02C0"/>
    <w:rsid w:val="001A076B"/>
    <w:rsid w:val="001A21D7"/>
    <w:rsid w:val="001A4B74"/>
    <w:rsid w:val="001A4F9D"/>
    <w:rsid w:val="001A54BD"/>
    <w:rsid w:val="001A7E51"/>
    <w:rsid w:val="001B58A8"/>
    <w:rsid w:val="001B75B6"/>
    <w:rsid w:val="001C0ADB"/>
    <w:rsid w:val="001C2782"/>
    <w:rsid w:val="001C2A0F"/>
    <w:rsid w:val="001C2A7F"/>
    <w:rsid w:val="001C341A"/>
    <w:rsid w:val="001C3FDA"/>
    <w:rsid w:val="001C5003"/>
    <w:rsid w:val="001C5120"/>
    <w:rsid w:val="001C59ED"/>
    <w:rsid w:val="001C5D7D"/>
    <w:rsid w:val="001D30EE"/>
    <w:rsid w:val="001D4840"/>
    <w:rsid w:val="001D5955"/>
    <w:rsid w:val="001D5A4D"/>
    <w:rsid w:val="001D69C5"/>
    <w:rsid w:val="001D7BF2"/>
    <w:rsid w:val="001E18B8"/>
    <w:rsid w:val="001E2180"/>
    <w:rsid w:val="001E24AD"/>
    <w:rsid w:val="001E2A37"/>
    <w:rsid w:val="001E35E6"/>
    <w:rsid w:val="001E36B1"/>
    <w:rsid w:val="001E4C4C"/>
    <w:rsid w:val="001E5DAB"/>
    <w:rsid w:val="001E67C9"/>
    <w:rsid w:val="001E76AB"/>
    <w:rsid w:val="001F01EB"/>
    <w:rsid w:val="001F0923"/>
    <w:rsid w:val="001F1045"/>
    <w:rsid w:val="001F1DE1"/>
    <w:rsid w:val="001F2575"/>
    <w:rsid w:val="001F7826"/>
    <w:rsid w:val="00200F52"/>
    <w:rsid w:val="0020153E"/>
    <w:rsid w:val="002018B1"/>
    <w:rsid w:val="002036F3"/>
    <w:rsid w:val="002049EC"/>
    <w:rsid w:val="00204DEE"/>
    <w:rsid w:val="00205414"/>
    <w:rsid w:val="002076EC"/>
    <w:rsid w:val="002101F6"/>
    <w:rsid w:val="00214F09"/>
    <w:rsid w:val="00215286"/>
    <w:rsid w:val="002200EF"/>
    <w:rsid w:val="002213BC"/>
    <w:rsid w:val="00222D8D"/>
    <w:rsid w:val="00225A64"/>
    <w:rsid w:val="00225A66"/>
    <w:rsid w:val="0022737B"/>
    <w:rsid w:val="0023096B"/>
    <w:rsid w:val="0023236E"/>
    <w:rsid w:val="0023246D"/>
    <w:rsid w:val="002326BC"/>
    <w:rsid w:val="00232FC4"/>
    <w:rsid w:val="00235246"/>
    <w:rsid w:val="00235563"/>
    <w:rsid w:val="002368AC"/>
    <w:rsid w:val="00237593"/>
    <w:rsid w:val="0024213E"/>
    <w:rsid w:val="00242627"/>
    <w:rsid w:val="0024407A"/>
    <w:rsid w:val="002457D0"/>
    <w:rsid w:val="00246377"/>
    <w:rsid w:val="00246A2C"/>
    <w:rsid w:val="002477D3"/>
    <w:rsid w:val="00250692"/>
    <w:rsid w:val="002507D4"/>
    <w:rsid w:val="0025415B"/>
    <w:rsid w:val="002542BC"/>
    <w:rsid w:val="00255B38"/>
    <w:rsid w:val="00256046"/>
    <w:rsid w:val="00256523"/>
    <w:rsid w:val="002567B9"/>
    <w:rsid w:val="00256DDA"/>
    <w:rsid w:val="00256E45"/>
    <w:rsid w:val="00256F70"/>
    <w:rsid w:val="00257080"/>
    <w:rsid w:val="00257DEE"/>
    <w:rsid w:val="0026119C"/>
    <w:rsid w:val="00261853"/>
    <w:rsid w:val="00262E11"/>
    <w:rsid w:val="00262EF4"/>
    <w:rsid w:val="002639FE"/>
    <w:rsid w:val="00265773"/>
    <w:rsid w:val="002664CF"/>
    <w:rsid w:val="002673BB"/>
    <w:rsid w:val="002708F6"/>
    <w:rsid w:val="00270C07"/>
    <w:rsid w:val="00270F1D"/>
    <w:rsid w:val="00271600"/>
    <w:rsid w:val="0027445F"/>
    <w:rsid w:val="002744D5"/>
    <w:rsid w:val="00276736"/>
    <w:rsid w:val="002772FF"/>
    <w:rsid w:val="0028062C"/>
    <w:rsid w:val="002829E1"/>
    <w:rsid w:val="00282E46"/>
    <w:rsid w:val="00283C08"/>
    <w:rsid w:val="00286C92"/>
    <w:rsid w:val="002921EB"/>
    <w:rsid w:val="00292E6E"/>
    <w:rsid w:val="00293269"/>
    <w:rsid w:val="0029334D"/>
    <w:rsid w:val="00296289"/>
    <w:rsid w:val="002A0D88"/>
    <w:rsid w:val="002A2EBA"/>
    <w:rsid w:val="002A33B0"/>
    <w:rsid w:val="002A3C10"/>
    <w:rsid w:val="002A47EF"/>
    <w:rsid w:val="002A5641"/>
    <w:rsid w:val="002A62C2"/>
    <w:rsid w:val="002A638B"/>
    <w:rsid w:val="002A6CE3"/>
    <w:rsid w:val="002B125C"/>
    <w:rsid w:val="002B442D"/>
    <w:rsid w:val="002B4CD0"/>
    <w:rsid w:val="002B568F"/>
    <w:rsid w:val="002B569A"/>
    <w:rsid w:val="002C1A2D"/>
    <w:rsid w:val="002C3DBD"/>
    <w:rsid w:val="002C3FB0"/>
    <w:rsid w:val="002C4CA5"/>
    <w:rsid w:val="002C4EE1"/>
    <w:rsid w:val="002C5BC2"/>
    <w:rsid w:val="002C782B"/>
    <w:rsid w:val="002C7ABC"/>
    <w:rsid w:val="002D079B"/>
    <w:rsid w:val="002D0DD3"/>
    <w:rsid w:val="002D29CE"/>
    <w:rsid w:val="002D2A76"/>
    <w:rsid w:val="002D399E"/>
    <w:rsid w:val="002D3BF7"/>
    <w:rsid w:val="002D60FF"/>
    <w:rsid w:val="002D670B"/>
    <w:rsid w:val="002D734D"/>
    <w:rsid w:val="002D7652"/>
    <w:rsid w:val="002D79F4"/>
    <w:rsid w:val="002E0B66"/>
    <w:rsid w:val="002E0EC6"/>
    <w:rsid w:val="002E10E6"/>
    <w:rsid w:val="002E2686"/>
    <w:rsid w:val="002E454F"/>
    <w:rsid w:val="002E58DB"/>
    <w:rsid w:val="002E5F43"/>
    <w:rsid w:val="002E7433"/>
    <w:rsid w:val="002F0854"/>
    <w:rsid w:val="002F08DD"/>
    <w:rsid w:val="002F0A39"/>
    <w:rsid w:val="002F15F1"/>
    <w:rsid w:val="002F27BB"/>
    <w:rsid w:val="002F3D97"/>
    <w:rsid w:val="002F432C"/>
    <w:rsid w:val="002F44A1"/>
    <w:rsid w:val="002F7298"/>
    <w:rsid w:val="00300E4A"/>
    <w:rsid w:val="003011C8"/>
    <w:rsid w:val="00301C82"/>
    <w:rsid w:val="003021DD"/>
    <w:rsid w:val="003030CC"/>
    <w:rsid w:val="003032E3"/>
    <w:rsid w:val="00303792"/>
    <w:rsid w:val="00305458"/>
    <w:rsid w:val="00307148"/>
    <w:rsid w:val="00310CE1"/>
    <w:rsid w:val="003115E2"/>
    <w:rsid w:val="0031240F"/>
    <w:rsid w:val="0031360A"/>
    <w:rsid w:val="00313D20"/>
    <w:rsid w:val="00314939"/>
    <w:rsid w:val="003154AC"/>
    <w:rsid w:val="003227A9"/>
    <w:rsid w:val="00322CF3"/>
    <w:rsid w:val="003233F5"/>
    <w:rsid w:val="00323B9D"/>
    <w:rsid w:val="0032463D"/>
    <w:rsid w:val="00324BF2"/>
    <w:rsid w:val="00324EB0"/>
    <w:rsid w:val="003305FE"/>
    <w:rsid w:val="00331DD3"/>
    <w:rsid w:val="0033346E"/>
    <w:rsid w:val="00333BFD"/>
    <w:rsid w:val="003352EC"/>
    <w:rsid w:val="0034043F"/>
    <w:rsid w:val="00340C60"/>
    <w:rsid w:val="00341130"/>
    <w:rsid w:val="00341923"/>
    <w:rsid w:val="00343C15"/>
    <w:rsid w:val="00345216"/>
    <w:rsid w:val="00345BC8"/>
    <w:rsid w:val="00346134"/>
    <w:rsid w:val="00346EC3"/>
    <w:rsid w:val="00350AEF"/>
    <w:rsid w:val="00351226"/>
    <w:rsid w:val="00351AB2"/>
    <w:rsid w:val="00352E58"/>
    <w:rsid w:val="00352E7F"/>
    <w:rsid w:val="00353923"/>
    <w:rsid w:val="00355A84"/>
    <w:rsid w:val="00356EA2"/>
    <w:rsid w:val="003570A9"/>
    <w:rsid w:val="003611BA"/>
    <w:rsid w:val="00362345"/>
    <w:rsid w:val="00362517"/>
    <w:rsid w:val="00362691"/>
    <w:rsid w:val="003626FF"/>
    <w:rsid w:val="00362CD9"/>
    <w:rsid w:val="00363B31"/>
    <w:rsid w:val="00363D48"/>
    <w:rsid w:val="00363FEC"/>
    <w:rsid w:val="00367C35"/>
    <w:rsid w:val="00370258"/>
    <w:rsid w:val="003704F0"/>
    <w:rsid w:val="00373B6D"/>
    <w:rsid w:val="00374239"/>
    <w:rsid w:val="00374950"/>
    <w:rsid w:val="00374F50"/>
    <w:rsid w:val="003754B8"/>
    <w:rsid w:val="00375B0F"/>
    <w:rsid w:val="00376720"/>
    <w:rsid w:val="00376CD1"/>
    <w:rsid w:val="003771F9"/>
    <w:rsid w:val="00377410"/>
    <w:rsid w:val="00377BE6"/>
    <w:rsid w:val="00377D6A"/>
    <w:rsid w:val="0038161D"/>
    <w:rsid w:val="00381F53"/>
    <w:rsid w:val="00383120"/>
    <w:rsid w:val="003848F5"/>
    <w:rsid w:val="00387DDE"/>
    <w:rsid w:val="003900B9"/>
    <w:rsid w:val="0039112A"/>
    <w:rsid w:val="003911EA"/>
    <w:rsid w:val="0039141F"/>
    <w:rsid w:val="00392673"/>
    <w:rsid w:val="00394AFF"/>
    <w:rsid w:val="003956C1"/>
    <w:rsid w:val="00396568"/>
    <w:rsid w:val="00397100"/>
    <w:rsid w:val="003A2F7D"/>
    <w:rsid w:val="003A655B"/>
    <w:rsid w:val="003A706A"/>
    <w:rsid w:val="003A7140"/>
    <w:rsid w:val="003B213F"/>
    <w:rsid w:val="003B226D"/>
    <w:rsid w:val="003B36CC"/>
    <w:rsid w:val="003B3B4B"/>
    <w:rsid w:val="003B4207"/>
    <w:rsid w:val="003B4952"/>
    <w:rsid w:val="003B5D4C"/>
    <w:rsid w:val="003B7FDC"/>
    <w:rsid w:val="003C0A08"/>
    <w:rsid w:val="003C4331"/>
    <w:rsid w:val="003C4F1A"/>
    <w:rsid w:val="003C5079"/>
    <w:rsid w:val="003C5EF1"/>
    <w:rsid w:val="003C7005"/>
    <w:rsid w:val="003C7844"/>
    <w:rsid w:val="003D01CD"/>
    <w:rsid w:val="003D060B"/>
    <w:rsid w:val="003D46A7"/>
    <w:rsid w:val="003D476F"/>
    <w:rsid w:val="003D48BE"/>
    <w:rsid w:val="003D719A"/>
    <w:rsid w:val="003D795A"/>
    <w:rsid w:val="003D7FC2"/>
    <w:rsid w:val="003E14A4"/>
    <w:rsid w:val="003E16E5"/>
    <w:rsid w:val="003E2068"/>
    <w:rsid w:val="003E2BC7"/>
    <w:rsid w:val="003E2D77"/>
    <w:rsid w:val="003E4330"/>
    <w:rsid w:val="003E4A5F"/>
    <w:rsid w:val="003E573A"/>
    <w:rsid w:val="003E5C26"/>
    <w:rsid w:val="003E7593"/>
    <w:rsid w:val="003F0152"/>
    <w:rsid w:val="003F0BEA"/>
    <w:rsid w:val="003F5131"/>
    <w:rsid w:val="003F56BB"/>
    <w:rsid w:val="003F5CC2"/>
    <w:rsid w:val="003F6310"/>
    <w:rsid w:val="003F63FC"/>
    <w:rsid w:val="003F6914"/>
    <w:rsid w:val="003F6D5F"/>
    <w:rsid w:val="004007E0"/>
    <w:rsid w:val="00400947"/>
    <w:rsid w:val="00401141"/>
    <w:rsid w:val="00402CC5"/>
    <w:rsid w:val="00407174"/>
    <w:rsid w:val="00410514"/>
    <w:rsid w:val="0041256B"/>
    <w:rsid w:val="00413DE9"/>
    <w:rsid w:val="00414494"/>
    <w:rsid w:val="004204C7"/>
    <w:rsid w:val="00420E56"/>
    <w:rsid w:val="00420F3A"/>
    <w:rsid w:val="00424428"/>
    <w:rsid w:val="0042565A"/>
    <w:rsid w:val="00425DC7"/>
    <w:rsid w:val="004269D4"/>
    <w:rsid w:val="00426DB4"/>
    <w:rsid w:val="00427251"/>
    <w:rsid w:val="004319A0"/>
    <w:rsid w:val="004327D5"/>
    <w:rsid w:val="00434445"/>
    <w:rsid w:val="00437062"/>
    <w:rsid w:val="00437576"/>
    <w:rsid w:val="004410DC"/>
    <w:rsid w:val="00441251"/>
    <w:rsid w:val="004432B9"/>
    <w:rsid w:val="004438D4"/>
    <w:rsid w:val="00444495"/>
    <w:rsid w:val="00445135"/>
    <w:rsid w:val="0044554B"/>
    <w:rsid w:val="00445795"/>
    <w:rsid w:val="00450C75"/>
    <w:rsid w:val="00450F7C"/>
    <w:rsid w:val="00451D57"/>
    <w:rsid w:val="004534F2"/>
    <w:rsid w:val="004536CE"/>
    <w:rsid w:val="00454BA0"/>
    <w:rsid w:val="00455149"/>
    <w:rsid w:val="00456006"/>
    <w:rsid w:val="00460C93"/>
    <w:rsid w:val="004624B4"/>
    <w:rsid w:val="00463798"/>
    <w:rsid w:val="00464C33"/>
    <w:rsid w:val="0046572B"/>
    <w:rsid w:val="00465E42"/>
    <w:rsid w:val="004662D4"/>
    <w:rsid w:val="00466553"/>
    <w:rsid w:val="00467341"/>
    <w:rsid w:val="004676B8"/>
    <w:rsid w:val="00470060"/>
    <w:rsid w:val="00470511"/>
    <w:rsid w:val="0047218F"/>
    <w:rsid w:val="004733AA"/>
    <w:rsid w:val="00474E5D"/>
    <w:rsid w:val="00475810"/>
    <w:rsid w:val="00475EA7"/>
    <w:rsid w:val="0047654D"/>
    <w:rsid w:val="00476F2F"/>
    <w:rsid w:val="004778D0"/>
    <w:rsid w:val="00483713"/>
    <w:rsid w:val="0048443C"/>
    <w:rsid w:val="004845CE"/>
    <w:rsid w:val="00486DD1"/>
    <w:rsid w:val="0048732F"/>
    <w:rsid w:val="00490560"/>
    <w:rsid w:val="004931C7"/>
    <w:rsid w:val="0049352E"/>
    <w:rsid w:val="00493EFE"/>
    <w:rsid w:val="00494A9D"/>
    <w:rsid w:val="004954EF"/>
    <w:rsid w:val="00495BF3"/>
    <w:rsid w:val="00496F6C"/>
    <w:rsid w:val="004971ED"/>
    <w:rsid w:val="00497491"/>
    <w:rsid w:val="00497A94"/>
    <w:rsid w:val="004A005F"/>
    <w:rsid w:val="004A0257"/>
    <w:rsid w:val="004A1171"/>
    <w:rsid w:val="004A1438"/>
    <w:rsid w:val="004A147E"/>
    <w:rsid w:val="004A347E"/>
    <w:rsid w:val="004A38FD"/>
    <w:rsid w:val="004A3B24"/>
    <w:rsid w:val="004A4F3E"/>
    <w:rsid w:val="004A730B"/>
    <w:rsid w:val="004A738B"/>
    <w:rsid w:val="004B131D"/>
    <w:rsid w:val="004B1E69"/>
    <w:rsid w:val="004B230A"/>
    <w:rsid w:val="004B36FC"/>
    <w:rsid w:val="004B5990"/>
    <w:rsid w:val="004C07F0"/>
    <w:rsid w:val="004C0A66"/>
    <w:rsid w:val="004C0AD3"/>
    <w:rsid w:val="004C222A"/>
    <w:rsid w:val="004C5176"/>
    <w:rsid w:val="004C5263"/>
    <w:rsid w:val="004C5EFC"/>
    <w:rsid w:val="004C79B8"/>
    <w:rsid w:val="004C7AB4"/>
    <w:rsid w:val="004D106B"/>
    <w:rsid w:val="004D126C"/>
    <w:rsid w:val="004D1A50"/>
    <w:rsid w:val="004D261C"/>
    <w:rsid w:val="004D3800"/>
    <w:rsid w:val="004D3892"/>
    <w:rsid w:val="004D3F53"/>
    <w:rsid w:val="004D577F"/>
    <w:rsid w:val="004D6CBA"/>
    <w:rsid w:val="004D74D1"/>
    <w:rsid w:val="004E0214"/>
    <w:rsid w:val="004E053E"/>
    <w:rsid w:val="004E0DCD"/>
    <w:rsid w:val="004E1483"/>
    <w:rsid w:val="004E15A1"/>
    <w:rsid w:val="004E503F"/>
    <w:rsid w:val="004E57FA"/>
    <w:rsid w:val="004E65B2"/>
    <w:rsid w:val="004E68C1"/>
    <w:rsid w:val="004E6AE3"/>
    <w:rsid w:val="004E6DC2"/>
    <w:rsid w:val="004E7096"/>
    <w:rsid w:val="004E75A3"/>
    <w:rsid w:val="004F017B"/>
    <w:rsid w:val="004F21CF"/>
    <w:rsid w:val="004F2D8A"/>
    <w:rsid w:val="004F3AAE"/>
    <w:rsid w:val="004F627C"/>
    <w:rsid w:val="004F6C67"/>
    <w:rsid w:val="004F70F9"/>
    <w:rsid w:val="00501E46"/>
    <w:rsid w:val="00502657"/>
    <w:rsid w:val="005041D8"/>
    <w:rsid w:val="00504713"/>
    <w:rsid w:val="005053B4"/>
    <w:rsid w:val="00505ACA"/>
    <w:rsid w:val="00505D3B"/>
    <w:rsid w:val="0050608F"/>
    <w:rsid w:val="005068F7"/>
    <w:rsid w:val="005076EC"/>
    <w:rsid w:val="00507867"/>
    <w:rsid w:val="00507AC5"/>
    <w:rsid w:val="00511E53"/>
    <w:rsid w:val="005121AE"/>
    <w:rsid w:val="00512AD3"/>
    <w:rsid w:val="00512EBB"/>
    <w:rsid w:val="00513975"/>
    <w:rsid w:val="005201B8"/>
    <w:rsid w:val="0052273E"/>
    <w:rsid w:val="00523BC2"/>
    <w:rsid w:val="00524357"/>
    <w:rsid w:val="00524A71"/>
    <w:rsid w:val="00526F23"/>
    <w:rsid w:val="00527749"/>
    <w:rsid w:val="0053015E"/>
    <w:rsid w:val="0053433B"/>
    <w:rsid w:val="0053716B"/>
    <w:rsid w:val="005371B7"/>
    <w:rsid w:val="00540783"/>
    <w:rsid w:val="00543FD0"/>
    <w:rsid w:val="005441DC"/>
    <w:rsid w:val="00545DDE"/>
    <w:rsid w:val="00545FE6"/>
    <w:rsid w:val="0055121C"/>
    <w:rsid w:val="00551D45"/>
    <w:rsid w:val="00553EB0"/>
    <w:rsid w:val="00554745"/>
    <w:rsid w:val="0055493A"/>
    <w:rsid w:val="00554D3E"/>
    <w:rsid w:val="00554FDB"/>
    <w:rsid w:val="00557351"/>
    <w:rsid w:val="005579F1"/>
    <w:rsid w:val="00557F70"/>
    <w:rsid w:val="00560D22"/>
    <w:rsid w:val="00560EEB"/>
    <w:rsid w:val="00561787"/>
    <w:rsid w:val="005626FA"/>
    <w:rsid w:val="00563ACA"/>
    <w:rsid w:val="00565327"/>
    <w:rsid w:val="005716CC"/>
    <w:rsid w:val="00572036"/>
    <w:rsid w:val="00572CDD"/>
    <w:rsid w:val="00580689"/>
    <w:rsid w:val="005824F6"/>
    <w:rsid w:val="00582937"/>
    <w:rsid w:val="00582B3A"/>
    <w:rsid w:val="00587372"/>
    <w:rsid w:val="00592300"/>
    <w:rsid w:val="00592726"/>
    <w:rsid w:val="00592B09"/>
    <w:rsid w:val="00592EC8"/>
    <w:rsid w:val="005938C1"/>
    <w:rsid w:val="005940D5"/>
    <w:rsid w:val="00594196"/>
    <w:rsid w:val="00596574"/>
    <w:rsid w:val="00597676"/>
    <w:rsid w:val="005A0BC8"/>
    <w:rsid w:val="005A1506"/>
    <w:rsid w:val="005A1D9B"/>
    <w:rsid w:val="005A2561"/>
    <w:rsid w:val="005A2D6B"/>
    <w:rsid w:val="005A4398"/>
    <w:rsid w:val="005A6CF7"/>
    <w:rsid w:val="005B086C"/>
    <w:rsid w:val="005B08C4"/>
    <w:rsid w:val="005B0D14"/>
    <w:rsid w:val="005B1F0C"/>
    <w:rsid w:val="005B4ECD"/>
    <w:rsid w:val="005B5C92"/>
    <w:rsid w:val="005B5D3B"/>
    <w:rsid w:val="005B710E"/>
    <w:rsid w:val="005C0624"/>
    <w:rsid w:val="005C0D2C"/>
    <w:rsid w:val="005C1123"/>
    <w:rsid w:val="005C38C8"/>
    <w:rsid w:val="005C4331"/>
    <w:rsid w:val="005C4E08"/>
    <w:rsid w:val="005C54AD"/>
    <w:rsid w:val="005C72E8"/>
    <w:rsid w:val="005C7569"/>
    <w:rsid w:val="005C7939"/>
    <w:rsid w:val="005D2248"/>
    <w:rsid w:val="005D54BF"/>
    <w:rsid w:val="005D7F78"/>
    <w:rsid w:val="005E1113"/>
    <w:rsid w:val="005E34FA"/>
    <w:rsid w:val="005E513C"/>
    <w:rsid w:val="005E5187"/>
    <w:rsid w:val="005E628F"/>
    <w:rsid w:val="005E6FF6"/>
    <w:rsid w:val="005E7D2B"/>
    <w:rsid w:val="005F12D6"/>
    <w:rsid w:val="005F24FD"/>
    <w:rsid w:val="005F5A3B"/>
    <w:rsid w:val="005F6486"/>
    <w:rsid w:val="005F72CD"/>
    <w:rsid w:val="005F73A5"/>
    <w:rsid w:val="005F78D3"/>
    <w:rsid w:val="0060168F"/>
    <w:rsid w:val="00602E12"/>
    <w:rsid w:val="0060400F"/>
    <w:rsid w:val="00605343"/>
    <w:rsid w:val="006078B9"/>
    <w:rsid w:val="00607D24"/>
    <w:rsid w:val="0061154A"/>
    <w:rsid w:val="00612EF7"/>
    <w:rsid w:val="00613EA1"/>
    <w:rsid w:val="00614C44"/>
    <w:rsid w:val="00614FDD"/>
    <w:rsid w:val="0061518B"/>
    <w:rsid w:val="00615A7E"/>
    <w:rsid w:val="00615FE7"/>
    <w:rsid w:val="0062031F"/>
    <w:rsid w:val="006203B6"/>
    <w:rsid w:val="0062185C"/>
    <w:rsid w:val="00623297"/>
    <w:rsid w:val="00624F46"/>
    <w:rsid w:val="006262A9"/>
    <w:rsid w:val="00626A4C"/>
    <w:rsid w:val="00626F50"/>
    <w:rsid w:val="00632BE9"/>
    <w:rsid w:val="00633E14"/>
    <w:rsid w:val="006342B3"/>
    <w:rsid w:val="00634A96"/>
    <w:rsid w:val="00635090"/>
    <w:rsid w:val="00635264"/>
    <w:rsid w:val="00635789"/>
    <w:rsid w:val="006357D6"/>
    <w:rsid w:val="00635E30"/>
    <w:rsid w:val="0063745B"/>
    <w:rsid w:val="006417B8"/>
    <w:rsid w:val="00641E0E"/>
    <w:rsid w:val="00644106"/>
    <w:rsid w:val="006446E6"/>
    <w:rsid w:val="00644F24"/>
    <w:rsid w:val="006456FB"/>
    <w:rsid w:val="006469A6"/>
    <w:rsid w:val="00646C0D"/>
    <w:rsid w:val="00647459"/>
    <w:rsid w:val="006475B1"/>
    <w:rsid w:val="00650073"/>
    <w:rsid w:val="00652096"/>
    <w:rsid w:val="0065342B"/>
    <w:rsid w:val="006542CA"/>
    <w:rsid w:val="006544D5"/>
    <w:rsid w:val="0065471B"/>
    <w:rsid w:val="00654884"/>
    <w:rsid w:val="006557E0"/>
    <w:rsid w:val="006570DA"/>
    <w:rsid w:val="00657C44"/>
    <w:rsid w:val="00660BB0"/>
    <w:rsid w:val="00661BAF"/>
    <w:rsid w:val="006628F4"/>
    <w:rsid w:val="006633CC"/>
    <w:rsid w:val="006648E1"/>
    <w:rsid w:val="00664C41"/>
    <w:rsid w:val="00665110"/>
    <w:rsid w:val="00667F69"/>
    <w:rsid w:val="0067220B"/>
    <w:rsid w:val="00672BE6"/>
    <w:rsid w:val="00672CAB"/>
    <w:rsid w:val="00672CD5"/>
    <w:rsid w:val="00674595"/>
    <w:rsid w:val="00675946"/>
    <w:rsid w:val="006763D8"/>
    <w:rsid w:val="0068091D"/>
    <w:rsid w:val="00681222"/>
    <w:rsid w:val="00682BDE"/>
    <w:rsid w:val="00684A6D"/>
    <w:rsid w:val="00684CD5"/>
    <w:rsid w:val="00685C3F"/>
    <w:rsid w:val="00686450"/>
    <w:rsid w:val="0068660A"/>
    <w:rsid w:val="00687239"/>
    <w:rsid w:val="006875DA"/>
    <w:rsid w:val="00687C92"/>
    <w:rsid w:val="006922B7"/>
    <w:rsid w:val="00692C75"/>
    <w:rsid w:val="006934A8"/>
    <w:rsid w:val="00693D99"/>
    <w:rsid w:val="006940DF"/>
    <w:rsid w:val="006944A7"/>
    <w:rsid w:val="006A17E0"/>
    <w:rsid w:val="006A5768"/>
    <w:rsid w:val="006A5888"/>
    <w:rsid w:val="006A619C"/>
    <w:rsid w:val="006B03C1"/>
    <w:rsid w:val="006B0D4A"/>
    <w:rsid w:val="006B1964"/>
    <w:rsid w:val="006B2F32"/>
    <w:rsid w:val="006B37AB"/>
    <w:rsid w:val="006B4618"/>
    <w:rsid w:val="006B758D"/>
    <w:rsid w:val="006B7937"/>
    <w:rsid w:val="006C1475"/>
    <w:rsid w:val="006C4500"/>
    <w:rsid w:val="006C505D"/>
    <w:rsid w:val="006C50A3"/>
    <w:rsid w:val="006C563F"/>
    <w:rsid w:val="006C7674"/>
    <w:rsid w:val="006D27EE"/>
    <w:rsid w:val="006D2C7D"/>
    <w:rsid w:val="006D317A"/>
    <w:rsid w:val="006D3690"/>
    <w:rsid w:val="006D4219"/>
    <w:rsid w:val="006D4512"/>
    <w:rsid w:val="006D69F9"/>
    <w:rsid w:val="006D6EFE"/>
    <w:rsid w:val="006D7B3A"/>
    <w:rsid w:val="006E007F"/>
    <w:rsid w:val="006E1CCB"/>
    <w:rsid w:val="006E2B83"/>
    <w:rsid w:val="006E3458"/>
    <w:rsid w:val="006E3983"/>
    <w:rsid w:val="006E495B"/>
    <w:rsid w:val="006E5507"/>
    <w:rsid w:val="006E5AEA"/>
    <w:rsid w:val="006F002D"/>
    <w:rsid w:val="006F040E"/>
    <w:rsid w:val="006F1011"/>
    <w:rsid w:val="006F1228"/>
    <w:rsid w:val="006F5B7A"/>
    <w:rsid w:val="006F68E4"/>
    <w:rsid w:val="00700781"/>
    <w:rsid w:val="0070247F"/>
    <w:rsid w:val="00702737"/>
    <w:rsid w:val="00702A6A"/>
    <w:rsid w:val="0070464D"/>
    <w:rsid w:val="00704FD8"/>
    <w:rsid w:val="007057D5"/>
    <w:rsid w:val="00706234"/>
    <w:rsid w:val="00707816"/>
    <w:rsid w:val="007106C7"/>
    <w:rsid w:val="00710988"/>
    <w:rsid w:val="00710C23"/>
    <w:rsid w:val="00710FF1"/>
    <w:rsid w:val="00712C28"/>
    <w:rsid w:val="007132A0"/>
    <w:rsid w:val="00714EE6"/>
    <w:rsid w:val="00716CEA"/>
    <w:rsid w:val="007175AC"/>
    <w:rsid w:val="007208E8"/>
    <w:rsid w:val="00720AC7"/>
    <w:rsid w:val="007211AC"/>
    <w:rsid w:val="007211B2"/>
    <w:rsid w:val="00721414"/>
    <w:rsid w:val="00721B72"/>
    <w:rsid w:val="0072207E"/>
    <w:rsid w:val="0072306F"/>
    <w:rsid w:val="007231B5"/>
    <w:rsid w:val="00723BD0"/>
    <w:rsid w:val="00723E92"/>
    <w:rsid w:val="007244E7"/>
    <w:rsid w:val="00726C47"/>
    <w:rsid w:val="00727CAF"/>
    <w:rsid w:val="00731558"/>
    <w:rsid w:val="007317CF"/>
    <w:rsid w:val="00733373"/>
    <w:rsid w:val="007337FB"/>
    <w:rsid w:val="00734B33"/>
    <w:rsid w:val="00735EDD"/>
    <w:rsid w:val="0073671E"/>
    <w:rsid w:val="00740173"/>
    <w:rsid w:val="00740FDB"/>
    <w:rsid w:val="00741027"/>
    <w:rsid w:val="00741CC7"/>
    <w:rsid w:val="00744B82"/>
    <w:rsid w:val="00744D0C"/>
    <w:rsid w:val="00750D7D"/>
    <w:rsid w:val="0075200F"/>
    <w:rsid w:val="00752759"/>
    <w:rsid w:val="0075317A"/>
    <w:rsid w:val="007538CD"/>
    <w:rsid w:val="007645DF"/>
    <w:rsid w:val="00764FBB"/>
    <w:rsid w:val="00765373"/>
    <w:rsid w:val="007654C0"/>
    <w:rsid w:val="00765810"/>
    <w:rsid w:val="0077007E"/>
    <w:rsid w:val="00771176"/>
    <w:rsid w:val="00771361"/>
    <w:rsid w:val="007722D3"/>
    <w:rsid w:val="0077386B"/>
    <w:rsid w:val="00774DFD"/>
    <w:rsid w:val="00776AC1"/>
    <w:rsid w:val="00776E3A"/>
    <w:rsid w:val="00784F7E"/>
    <w:rsid w:val="00786003"/>
    <w:rsid w:val="00787E77"/>
    <w:rsid w:val="0079036E"/>
    <w:rsid w:val="00791A21"/>
    <w:rsid w:val="00792A57"/>
    <w:rsid w:val="007936EC"/>
    <w:rsid w:val="00793866"/>
    <w:rsid w:val="00794207"/>
    <w:rsid w:val="00795081"/>
    <w:rsid w:val="00795755"/>
    <w:rsid w:val="00796774"/>
    <w:rsid w:val="00797D3B"/>
    <w:rsid w:val="007A0C94"/>
    <w:rsid w:val="007A2164"/>
    <w:rsid w:val="007A2D00"/>
    <w:rsid w:val="007A5CAA"/>
    <w:rsid w:val="007A71A7"/>
    <w:rsid w:val="007A790F"/>
    <w:rsid w:val="007A79AB"/>
    <w:rsid w:val="007B0796"/>
    <w:rsid w:val="007B0AF4"/>
    <w:rsid w:val="007B0EDF"/>
    <w:rsid w:val="007B225A"/>
    <w:rsid w:val="007B44D8"/>
    <w:rsid w:val="007B489B"/>
    <w:rsid w:val="007B5265"/>
    <w:rsid w:val="007B5F7D"/>
    <w:rsid w:val="007B6039"/>
    <w:rsid w:val="007B6E49"/>
    <w:rsid w:val="007B7038"/>
    <w:rsid w:val="007C0FC0"/>
    <w:rsid w:val="007C1928"/>
    <w:rsid w:val="007C4F61"/>
    <w:rsid w:val="007C6511"/>
    <w:rsid w:val="007C7AEA"/>
    <w:rsid w:val="007D0518"/>
    <w:rsid w:val="007D07DA"/>
    <w:rsid w:val="007D14C3"/>
    <w:rsid w:val="007D3171"/>
    <w:rsid w:val="007D3A0F"/>
    <w:rsid w:val="007D4414"/>
    <w:rsid w:val="007D4ABE"/>
    <w:rsid w:val="007D5D8F"/>
    <w:rsid w:val="007D5FE6"/>
    <w:rsid w:val="007D6124"/>
    <w:rsid w:val="007D71AC"/>
    <w:rsid w:val="007D7CE1"/>
    <w:rsid w:val="007D7E13"/>
    <w:rsid w:val="007E07E3"/>
    <w:rsid w:val="007E2F98"/>
    <w:rsid w:val="007E393F"/>
    <w:rsid w:val="007E4176"/>
    <w:rsid w:val="007F30B3"/>
    <w:rsid w:val="007F4D05"/>
    <w:rsid w:val="007F5AA1"/>
    <w:rsid w:val="007F7159"/>
    <w:rsid w:val="007F78C4"/>
    <w:rsid w:val="007F79AD"/>
    <w:rsid w:val="007F7FA3"/>
    <w:rsid w:val="00800A74"/>
    <w:rsid w:val="008010F2"/>
    <w:rsid w:val="00801588"/>
    <w:rsid w:val="008016A2"/>
    <w:rsid w:val="00803AED"/>
    <w:rsid w:val="00803E9C"/>
    <w:rsid w:val="008048AD"/>
    <w:rsid w:val="008052C8"/>
    <w:rsid w:val="00805EEA"/>
    <w:rsid w:val="0080647D"/>
    <w:rsid w:val="0080689E"/>
    <w:rsid w:val="00806E91"/>
    <w:rsid w:val="008103B0"/>
    <w:rsid w:val="008106E5"/>
    <w:rsid w:val="008107A4"/>
    <w:rsid w:val="00813D68"/>
    <w:rsid w:val="00814C56"/>
    <w:rsid w:val="00814D4F"/>
    <w:rsid w:val="0081554D"/>
    <w:rsid w:val="00815AA5"/>
    <w:rsid w:val="008168CD"/>
    <w:rsid w:val="0081778C"/>
    <w:rsid w:val="00817C01"/>
    <w:rsid w:val="00820592"/>
    <w:rsid w:val="00820887"/>
    <w:rsid w:val="00821A3E"/>
    <w:rsid w:val="00822EED"/>
    <w:rsid w:val="008238AD"/>
    <w:rsid w:val="0082531D"/>
    <w:rsid w:val="0082560A"/>
    <w:rsid w:val="008256C3"/>
    <w:rsid w:val="00826A7E"/>
    <w:rsid w:val="00827325"/>
    <w:rsid w:val="008274B0"/>
    <w:rsid w:val="00827898"/>
    <w:rsid w:val="00827AE2"/>
    <w:rsid w:val="008301FA"/>
    <w:rsid w:val="008317B8"/>
    <w:rsid w:val="00834F0F"/>
    <w:rsid w:val="008354D0"/>
    <w:rsid w:val="008401F0"/>
    <w:rsid w:val="00840A9B"/>
    <w:rsid w:val="00841415"/>
    <w:rsid w:val="008417BE"/>
    <w:rsid w:val="00841BBA"/>
    <w:rsid w:val="0084361E"/>
    <w:rsid w:val="00844C44"/>
    <w:rsid w:val="00845230"/>
    <w:rsid w:val="00845D90"/>
    <w:rsid w:val="008475D7"/>
    <w:rsid w:val="00851315"/>
    <w:rsid w:val="00851BBC"/>
    <w:rsid w:val="00852FAF"/>
    <w:rsid w:val="00855038"/>
    <w:rsid w:val="0085552F"/>
    <w:rsid w:val="008571AA"/>
    <w:rsid w:val="00860510"/>
    <w:rsid w:val="008606F3"/>
    <w:rsid w:val="00860C03"/>
    <w:rsid w:val="00861BA3"/>
    <w:rsid w:val="0086270F"/>
    <w:rsid w:val="00862E6A"/>
    <w:rsid w:val="00864660"/>
    <w:rsid w:val="008646C9"/>
    <w:rsid w:val="00866A79"/>
    <w:rsid w:val="00870316"/>
    <w:rsid w:val="008704C8"/>
    <w:rsid w:val="0087135E"/>
    <w:rsid w:val="00872DC9"/>
    <w:rsid w:val="00873176"/>
    <w:rsid w:val="00873A63"/>
    <w:rsid w:val="008766A7"/>
    <w:rsid w:val="00877853"/>
    <w:rsid w:val="00880EA3"/>
    <w:rsid w:val="0088247C"/>
    <w:rsid w:val="008843F7"/>
    <w:rsid w:val="0088477A"/>
    <w:rsid w:val="008873AC"/>
    <w:rsid w:val="0088743E"/>
    <w:rsid w:val="00891798"/>
    <w:rsid w:val="0089339A"/>
    <w:rsid w:val="00894E24"/>
    <w:rsid w:val="0089502D"/>
    <w:rsid w:val="008961AD"/>
    <w:rsid w:val="00896254"/>
    <w:rsid w:val="00897C3C"/>
    <w:rsid w:val="008A20C6"/>
    <w:rsid w:val="008A20FD"/>
    <w:rsid w:val="008A2EB4"/>
    <w:rsid w:val="008A491D"/>
    <w:rsid w:val="008A4DF1"/>
    <w:rsid w:val="008A4E95"/>
    <w:rsid w:val="008A5AC5"/>
    <w:rsid w:val="008A5C9A"/>
    <w:rsid w:val="008A5F4A"/>
    <w:rsid w:val="008B08C6"/>
    <w:rsid w:val="008B1119"/>
    <w:rsid w:val="008B1752"/>
    <w:rsid w:val="008B2226"/>
    <w:rsid w:val="008B4128"/>
    <w:rsid w:val="008B44F7"/>
    <w:rsid w:val="008B71B7"/>
    <w:rsid w:val="008C2423"/>
    <w:rsid w:val="008C3D03"/>
    <w:rsid w:val="008C55C2"/>
    <w:rsid w:val="008C5FEE"/>
    <w:rsid w:val="008C65BF"/>
    <w:rsid w:val="008D0436"/>
    <w:rsid w:val="008D0B59"/>
    <w:rsid w:val="008D0ED9"/>
    <w:rsid w:val="008D1CD8"/>
    <w:rsid w:val="008D2683"/>
    <w:rsid w:val="008D29A2"/>
    <w:rsid w:val="008D4619"/>
    <w:rsid w:val="008D63D6"/>
    <w:rsid w:val="008D6C17"/>
    <w:rsid w:val="008D7832"/>
    <w:rsid w:val="008D7D21"/>
    <w:rsid w:val="008E0B39"/>
    <w:rsid w:val="008E2027"/>
    <w:rsid w:val="008E2738"/>
    <w:rsid w:val="008E2DA9"/>
    <w:rsid w:val="008E36B5"/>
    <w:rsid w:val="008E4487"/>
    <w:rsid w:val="008E55CA"/>
    <w:rsid w:val="008F210F"/>
    <w:rsid w:val="008F2C6E"/>
    <w:rsid w:val="008F2FA3"/>
    <w:rsid w:val="008F35A5"/>
    <w:rsid w:val="008F3ED3"/>
    <w:rsid w:val="008F4080"/>
    <w:rsid w:val="008F6A60"/>
    <w:rsid w:val="008F7750"/>
    <w:rsid w:val="008F7DD6"/>
    <w:rsid w:val="00900018"/>
    <w:rsid w:val="00901B8E"/>
    <w:rsid w:val="00903B52"/>
    <w:rsid w:val="00903EBA"/>
    <w:rsid w:val="00904380"/>
    <w:rsid w:val="00904394"/>
    <w:rsid w:val="009052C3"/>
    <w:rsid w:val="00905983"/>
    <w:rsid w:val="009060D5"/>
    <w:rsid w:val="00910204"/>
    <w:rsid w:val="0091054F"/>
    <w:rsid w:val="00910666"/>
    <w:rsid w:val="00912B97"/>
    <w:rsid w:val="0091378A"/>
    <w:rsid w:val="00913BFB"/>
    <w:rsid w:val="009142AE"/>
    <w:rsid w:val="00914A31"/>
    <w:rsid w:val="00915321"/>
    <w:rsid w:val="0091569B"/>
    <w:rsid w:val="00916691"/>
    <w:rsid w:val="009178A7"/>
    <w:rsid w:val="00917E6B"/>
    <w:rsid w:val="009202E6"/>
    <w:rsid w:val="009206F0"/>
    <w:rsid w:val="00921542"/>
    <w:rsid w:val="00924E1E"/>
    <w:rsid w:val="00926994"/>
    <w:rsid w:val="009271B9"/>
    <w:rsid w:val="009302D4"/>
    <w:rsid w:val="009304C9"/>
    <w:rsid w:val="00931225"/>
    <w:rsid w:val="0093283A"/>
    <w:rsid w:val="00933C1D"/>
    <w:rsid w:val="009342F6"/>
    <w:rsid w:val="00934905"/>
    <w:rsid w:val="009352A4"/>
    <w:rsid w:val="00935DB4"/>
    <w:rsid w:val="009372F0"/>
    <w:rsid w:val="00937B4D"/>
    <w:rsid w:val="00940EEE"/>
    <w:rsid w:val="00942B30"/>
    <w:rsid w:val="0094307E"/>
    <w:rsid w:val="0094334A"/>
    <w:rsid w:val="00943B2E"/>
    <w:rsid w:val="00944AD6"/>
    <w:rsid w:val="00945389"/>
    <w:rsid w:val="00945A99"/>
    <w:rsid w:val="00946487"/>
    <w:rsid w:val="00946DBA"/>
    <w:rsid w:val="00950823"/>
    <w:rsid w:val="00950C1E"/>
    <w:rsid w:val="009516B4"/>
    <w:rsid w:val="00951A8E"/>
    <w:rsid w:val="00952106"/>
    <w:rsid w:val="0095296D"/>
    <w:rsid w:val="00952DD2"/>
    <w:rsid w:val="0095335E"/>
    <w:rsid w:val="0095358E"/>
    <w:rsid w:val="009552F8"/>
    <w:rsid w:val="00961193"/>
    <w:rsid w:val="00961365"/>
    <w:rsid w:val="009615D6"/>
    <w:rsid w:val="0096235E"/>
    <w:rsid w:val="00965B15"/>
    <w:rsid w:val="00966D74"/>
    <w:rsid w:val="009672D4"/>
    <w:rsid w:val="00967B3C"/>
    <w:rsid w:val="0097060D"/>
    <w:rsid w:val="00970BA3"/>
    <w:rsid w:val="009717C2"/>
    <w:rsid w:val="00972177"/>
    <w:rsid w:val="0097303F"/>
    <w:rsid w:val="009734FF"/>
    <w:rsid w:val="00973563"/>
    <w:rsid w:val="00974746"/>
    <w:rsid w:val="00974831"/>
    <w:rsid w:val="00975608"/>
    <w:rsid w:val="009756EF"/>
    <w:rsid w:val="0097587A"/>
    <w:rsid w:val="00977039"/>
    <w:rsid w:val="009773E8"/>
    <w:rsid w:val="0097779B"/>
    <w:rsid w:val="00980EDA"/>
    <w:rsid w:val="0098119F"/>
    <w:rsid w:val="0098193D"/>
    <w:rsid w:val="00981DD6"/>
    <w:rsid w:val="009834C4"/>
    <w:rsid w:val="0098514D"/>
    <w:rsid w:val="00985423"/>
    <w:rsid w:val="009855B3"/>
    <w:rsid w:val="00985C0A"/>
    <w:rsid w:val="00985F74"/>
    <w:rsid w:val="0098632F"/>
    <w:rsid w:val="009867CD"/>
    <w:rsid w:val="00986941"/>
    <w:rsid w:val="009871B4"/>
    <w:rsid w:val="00987913"/>
    <w:rsid w:val="00991246"/>
    <w:rsid w:val="009912F6"/>
    <w:rsid w:val="009917CB"/>
    <w:rsid w:val="009931A6"/>
    <w:rsid w:val="00993586"/>
    <w:rsid w:val="00993EB8"/>
    <w:rsid w:val="009949D8"/>
    <w:rsid w:val="00997BBC"/>
    <w:rsid w:val="009A0C4C"/>
    <w:rsid w:val="009A104D"/>
    <w:rsid w:val="009A2B84"/>
    <w:rsid w:val="009A2F1D"/>
    <w:rsid w:val="009A3321"/>
    <w:rsid w:val="009A3B98"/>
    <w:rsid w:val="009A4328"/>
    <w:rsid w:val="009A4793"/>
    <w:rsid w:val="009A4A45"/>
    <w:rsid w:val="009A4E73"/>
    <w:rsid w:val="009A540E"/>
    <w:rsid w:val="009A5B5F"/>
    <w:rsid w:val="009A674D"/>
    <w:rsid w:val="009B0358"/>
    <w:rsid w:val="009B07F6"/>
    <w:rsid w:val="009B107A"/>
    <w:rsid w:val="009B13CD"/>
    <w:rsid w:val="009B384F"/>
    <w:rsid w:val="009B40AB"/>
    <w:rsid w:val="009B4556"/>
    <w:rsid w:val="009B4E07"/>
    <w:rsid w:val="009B4F83"/>
    <w:rsid w:val="009B7378"/>
    <w:rsid w:val="009B7D34"/>
    <w:rsid w:val="009C3A4A"/>
    <w:rsid w:val="009C568C"/>
    <w:rsid w:val="009C736F"/>
    <w:rsid w:val="009D18BC"/>
    <w:rsid w:val="009D1F7D"/>
    <w:rsid w:val="009D405B"/>
    <w:rsid w:val="009D48A3"/>
    <w:rsid w:val="009D4BC8"/>
    <w:rsid w:val="009D5EC7"/>
    <w:rsid w:val="009D63A6"/>
    <w:rsid w:val="009E09DA"/>
    <w:rsid w:val="009E1235"/>
    <w:rsid w:val="009E1F90"/>
    <w:rsid w:val="009E2C0A"/>
    <w:rsid w:val="009E3A56"/>
    <w:rsid w:val="009E54D3"/>
    <w:rsid w:val="009E6AE1"/>
    <w:rsid w:val="009E76C3"/>
    <w:rsid w:val="009F10DF"/>
    <w:rsid w:val="009F1BE6"/>
    <w:rsid w:val="009F30C1"/>
    <w:rsid w:val="009F698C"/>
    <w:rsid w:val="009F76C1"/>
    <w:rsid w:val="009F7DB2"/>
    <w:rsid w:val="00A00196"/>
    <w:rsid w:val="00A004D1"/>
    <w:rsid w:val="00A01461"/>
    <w:rsid w:val="00A033A4"/>
    <w:rsid w:val="00A04669"/>
    <w:rsid w:val="00A0503F"/>
    <w:rsid w:val="00A05E14"/>
    <w:rsid w:val="00A05E6B"/>
    <w:rsid w:val="00A1098A"/>
    <w:rsid w:val="00A10DBB"/>
    <w:rsid w:val="00A11B73"/>
    <w:rsid w:val="00A122F8"/>
    <w:rsid w:val="00A12429"/>
    <w:rsid w:val="00A1298D"/>
    <w:rsid w:val="00A139F1"/>
    <w:rsid w:val="00A1577D"/>
    <w:rsid w:val="00A1593A"/>
    <w:rsid w:val="00A169A4"/>
    <w:rsid w:val="00A20E8C"/>
    <w:rsid w:val="00A21245"/>
    <w:rsid w:val="00A2289C"/>
    <w:rsid w:val="00A2518A"/>
    <w:rsid w:val="00A300B8"/>
    <w:rsid w:val="00A3447B"/>
    <w:rsid w:val="00A348FE"/>
    <w:rsid w:val="00A3555C"/>
    <w:rsid w:val="00A360FE"/>
    <w:rsid w:val="00A36DBB"/>
    <w:rsid w:val="00A37B8B"/>
    <w:rsid w:val="00A4095E"/>
    <w:rsid w:val="00A4125D"/>
    <w:rsid w:val="00A43669"/>
    <w:rsid w:val="00A44803"/>
    <w:rsid w:val="00A45D09"/>
    <w:rsid w:val="00A46203"/>
    <w:rsid w:val="00A50A46"/>
    <w:rsid w:val="00A51066"/>
    <w:rsid w:val="00A5141F"/>
    <w:rsid w:val="00A51567"/>
    <w:rsid w:val="00A51AA8"/>
    <w:rsid w:val="00A530C7"/>
    <w:rsid w:val="00A53934"/>
    <w:rsid w:val="00A539B7"/>
    <w:rsid w:val="00A5492C"/>
    <w:rsid w:val="00A56C7D"/>
    <w:rsid w:val="00A61822"/>
    <w:rsid w:val="00A62740"/>
    <w:rsid w:val="00A634F9"/>
    <w:rsid w:val="00A63A7D"/>
    <w:rsid w:val="00A63EE1"/>
    <w:rsid w:val="00A64E78"/>
    <w:rsid w:val="00A6614E"/>
    <w:rsid w:val="00A66484"/>
    <w:rsid w:val="00A67459"/>
    <w:rsid w:val="00A678B3"/>
    <w:rsid w:val="00A71314"/>
    <w:rsid w:val="00A71761"/>
    <w:rsid w:val="00A73FD7"/>
    <w:rsid w:val="00A75E17"/>
    <w:rsid w:val="00A76ABC"/>
    <w:rsid w:val="00A82CF8"/>
    <w:rsid w:val="00A838EA"/>
    <w:rsid w:val="00A84428"/>
    <w:rsid w:val="00A84D1B"/>
    <w:rsid w:val="00A8568F"/>
    <w:rsid w:val="00A858BC"/>
    <w:rsid w:val="00A85BEE"/>
    <w:rsid w:val="00A9199F"/>
    <w:rsid w:val="00A923FB"/>
    <w:rsid w:val="00A92CFE"/>
    <w:rsid w:val="00A93B96"/>
    <w:rsid w:val="00A93D44"/>
    <w:rsid w:val="00A93F5D"/>
    <w:rsid w:val="00A942A6"/>
    <w:rsid w:val="00A945B5"/>
    <w:rsid w:val="00A94A6F"/>
    <w:rsid w:val="00A954D6"/>
    <w:rsid w:val="00A95FAA"/>
    <w:rsid w:val="00A9717B"/>
    <w:rsid w:val="00A97188"/>
    <w:rsid w:val="00AA00BA"/>
    <w:rsid w:val="00AA1AA5"/>
    <w:rsid w:val="00AA1DC1"/>
    <w:rsid w:val="00AA6819"/>
    <w:rsid w:val="00AB0558"/>
    <w:rsid w:val="00AB3961"/>
    <w:rsid w:val="00AB3B24"/>
    <w:rsid w:val="00AB46DC"/>
    <w:rsid w:val="00AB5998"/>
    <w:rsid w:val="00AB6430"/>
    <w:rsid w:val="00AB6D91"/>
    <w:rsid w:val="00AC0982"/>
    <w:rsid w:val="00AC18FB"/>
    <w:rsid w:val="00AC2315"/>
    <w:rsid w:val="00AC2689"/>
    <w:rsid w:val="00AC3BBF"/>
    <w:rsid w:val="00AC4F37"/>
    <w:rsid w:val="00AC6F1F"/>
    <w:rsid w:val="00AC7984"/>
    <w:rsid w:val="00AD075F"/>
    <w:rsid w:val="00AD1566"/>
    <w:rsid w:val="00AD3069"/>
    <w:rsid w:val="00AD3897"/>
    <w:rsid w:val="00AD51BF"/>
    <w:rsid w:val="00AD6056"/>
    <w:rsid w:val="00AD64E4"/>
    <w:rsid w:val="00AE0DB3"/>
    <w:rsid w:val="00AE1210"/>
    <w:rsid w:val="00AE34A1"/>
    <w:rsid w:val="00AE419D"/>
    <w:rsid w:val="00AE57F6"/>
    <w:rsid w:val="00AE5CD5"/>
    <w:rsid w:val="00AE72A1"/>
    <w:rsid w:val="00AF0844"/>
    <w:rsid w:val="00AF1F34"/>
    <w:rsid w:val="00AF2BBE"/>
    <w:rsid w:val="00AF2D67"/>
    <w:rsid w:val="00AF5487"/>
    <w:rsid w:val="00AF7712"/>
    <w:rsid w:val="00AF77E6"/>
    <w:rsid w:val="00B0023E"/>
    <w:rsid w:val="00B01321"/>
    <w:rsid w:val="00B01C62"/>
    <w:rsid w:val="00B0321F"/>
    <w:rsid w:val="00B03D81"/>
    <w:rsid w:val="00B03FB9"/>
    <w:rsid w:val="00B0434D"/>
    <w:rsid w:val="00B04E7F"/>
    <w:rsid w:val="00B07430"/>
    <w:rsid w:val="00B074B9"/>
    <w:rsid w:val="00B07A1A"/>
    <w:rsid w:val="00B07DEA"/>
    <w:rsid w:val="00B07FCF"/>
    <w:rsid w:val="00B10FEA"/>
    <w:rsid w:val="00B114CB"/>
    <w:rsid w:val="00B121C3"/>
    <w:rsid w:val="00B13AD8"/>
    <w:rsid w:val="00B13EB6"/>
    <w:rsid w:val="00B142A1"/>
    <w:rsid w:val="00B142EF"/>
    <w:rsid w:val="00B15120"/>
    <w:rsid w:val="00B15C4F"/>
    <w:rsid w:val="00B1605C"/>
    <w:rsid w:val="00B16B21"/>
    <w:rsid w:val="00B16CCB"/>
    <w:rsid w:val="00B20019"/>
    <w:rsid w:val="00B216FA"/>
    <w:rsid w:val="00B21BB3"/>
    <w:rsid w:val="00B2260D"/>
    <w:rsid w:val="00B22B9A"/>
    <w:rsid w:val="00B22D44"/>
    <w:rsid w:val="00B24289"/>
    <w:rsid w:val="00B2583A"/>
    <w:rsid w:val="00B2607A"/>
    <w:rsid w:val="00B27FFA"/>
    <w:rsid w:val="00B30967"/>
    <w:rsid w:val="00B32E7A"/>
    <w:rsid w:val="00B33A9E"/>
    <w:rsid w:val="00B359B1"/>
    <w:rsid w:val="00B40CC2"/>
    <w:rsid w:val="00B40ED8"/>
    <w:rsid w:val="00B421E3"/>
    <w:rsid w:val="00B43D82"/>
    <w:rsid w:val="00B4408A"/>
    <w:rsid w:val="00B4499E"/>
    <w:rsid w:val="00B453FE"/>
    <w:rsid w:val="00B470EB"/>
    <w:rsid w:val="00B4721D"/>
    <w:rsid w:val="00B50787"/>
    <w:rsid w:val="00B50903"/>
    <w:rsid w:val="00B50C67"/>
    <w:rsid w:val="00B52D11"/>
    <w:rsid w:val="00B52D12"/>
    <w:rsid w:val="00B53940"/>
    <w:rsid w:val="00B53D53"/>
    <w:rsid w:val="00B5523C"/>
    <w:rsid w:val="00B5543A"/>
    <w:rsid w:val="00B5759F"/>
    <w:rsid w:val="00B600A1"/>
    <w:rsid w:val="00B60651"/>
    <w:rsid w:val="00B62F70"/>
    <w:rsid w:val="00B63005"/>
    <w:rsid w:val="00B63640"/>
    <w:rsid w:val="00B65D79"/>
    <w:rsid w:val="00B67566"/>
    <w:rsid w:val="00B6789B"/>
    <w:rsid w:val="00B71184"/>
    <w:rsid w:val="00B71342"/>
    <w:rsid w:val="00B71631"/>
    <w:rsid w:val="00B7196D"/>
    <w:rsid w:val="00B72BD7"/>
    <w:rsid w:val="00B72E72"/>
    <w:rsid w:val="00B73745"/>
    <w:rsid w:val="00B737AC"/>
    <w:rsid w:val="00B76BA0"/>
    <w:rsid w:val="00B77363"/>
    <w:rsid w:val="00B77797"/>
    <w:rsid w:val="00B806A2"/>
    <w:rsid w:val="00B81842"/>
    <w:rsid w:val="00B82802"/>
    <w:rsid w:val="00B82BED"/>
    <w:rsid w:val="00B82D09"/>
    <w:rsid w:val="00B82E8E"/>
    <w:rsid w:val="00B8421A"/>
    <w:rsid w:val="00B85820"/>
    <w:rsid w:val="00B86232"/>
    <w:rsid w:val="00B868DB"/>
    <w:rsid w:val="00B87EDF"/>
    <w:rsid w:val="00B9381C"/>
    <w:rsid w:val="00B93EF8"/>
    <w:rsid w:val="00B965E0"/>
    <w:rsid w:val="00B971ED"/>
    <w:rsid w:val="00B978B6"/>
    <w:rsid w:val="00B97972"/>
    <w:rsid w:val="00B97979"/>
    <w:rsid w:val="00BA0E4C"/>
    <w:rsid w:val="00BA19C8"/>
    <w:rsid w:val="00BA588A"/>
    <w:rsid w:val="00BA60B1"/>
    <w:rsid w:val="00BA6BBC"/>
    <w:rsid w:val="00BB2DA0"/>
    <w:rsid w:val="00BB3FF8"/>
    <w:rsid w:val="00BB40DA"/>
    <w:rsid w:val="00BB6ADF"/>
    <w:rsid w:val="00BB6DF8"/>
    <w:rsid w:val="00BB7DF6"/>
    <w:rsid w:val="00BC3B63"/>
    <w:rsid w:val="00BC420D"/>
    <w:rsid w:val="00BC49F6"/>
    <w:rsid w:val="00BC4E60"/>
    <w:rsid w:val="00BC56B7"/>
    <w:rsid w:val="00BC7425"/>
    <w:rsid w:val="00BD078B"/>
    <w:rsid w:val="00BD14AB"/>
    <w:rsid w:val="00BD1797"/>
    <w:rsid w:val="00BD4711"/>
    <w:rsid w:val="00BD4980"/>
    <w:rsid w:val="00BD51F8"/>
    <w:rsid w:val="00BD76F7"/>
    <w:rsid w:val="00BD7D81"/>
    <w:rsid w:val="00BE0BA6"/>
    <w:rsid w:val="00BE0F7B"/>
    <w:rsid w:val="00BE10FF"/>
    <w:rsid w:val="00BE2546"/>
    <w:rsid w:val="00BE2FFF"/>
    <w:rsid w:val="00BE45C2"/>
    <w:rsid w:val="00BE48D9"/>
    <w:rsid w:val="00BE4E84"/>
    <w:rsid w:val="00BE5FD1"/>
    <w:rsid w:val="00BE63B2"/>
    <w:rsid w:val="00BE71DF"/>
    <w:rsid w:val="00BE7E28"/>
    <w:rsid w:val="00BE7E9D"/>
    <w:rsid w:val="00BF1DD3"/>
    <w:rsid w:val="00BF25CF"/>
    <w:rsid w:val="00BF27A3"/>
    <w:rsid w:val="00BF2806"/>
    <w:rsid w:val="00BF3F91"/>
    <w:rsid w:val="00BF3FC8"/>
    <w:rsid w:val="00BF536C"/>
    <w:rsid w:val="00BF6BC7"/>
    <w:rsid w:val="00BF7CDE"/>
    <w:rsid w:val="00C0056B"/>
    <w:rsid w:val="00C02D7A"/>
    <w:rsid w:val="00C04A33"/>
    <w:rsid w:val="00C04E3C"/>
    <w:rsid w:val="00C053E0"/>
    <w:rsid w:val="00C060FC"/>
    <w:rsid w:val="00C07DD7"/>
    <w:rsid w:val="00C10143"/>
    <w:rsid w:val="00C104B1"/>
    <w:rsid w:val="00C138E2"/>
    <w:rsid w:val="00C13D48"/>
    <w:rsid w:val="00C148BE"/>
    <w:rsid w:val="00C15229"/>
    <w:rsid w:val="00C15CA8"/>
    <w:rsid w:val="00C17E99"/>
    <w:rsid w:val="00C21FE8"/>
    <w:rsid w:val="00C25758"/>
    <w:rsid w:val="00C302AF"/>
    <w:rsid w:val="00C3096D"/>
    <w:rsid w:val="00C31048"/>
    <w:rsid w:val="00C31192"/>
    <w:rsid w:val="00C34245"/>
    <w:rsid w:val="00C352E5"/>
    <w:rsid w:val="00C35C33"/>
    <w:rsid w:val="00C41C82"/>
    <w:rsid w:val="00C42F43"/>
    <w:rsid w:val="00C459C8"/>
    <w:rsid w:val="00C50E5E"/>
    <w:rsid w:val="00C513F5"/>
    <w:rsid w:val="00C51E69"/>
    <w:rsid w:val="00C51EC5"/>
    <w:rsid w:val="00C52386"/>
    <w:rsid w:val="00C56222"/>
    <w:rsid w:val="00C562B0"/>
    <w:rsid w:val="00C56508"/>
    <w:rsid w:val="00C57C54"/>
    <w:rsid w:val="00C57D42"/>
    <w:rsid w:val="00C60D3F"/>
    <w:rsid w:val="00C61A51"/>
    <w:rsid w:val="00C621E7"/>
    <w:rsid w:val="00C6263B"/>
    <w:rsid w:val="00C6317B"/>
    <w:rsid w:val="00C64897"/>
    <w:rsid w:val="00C66071"/>
    <w:rsid w:val="00C66C84"/>
    <w:rsid w:val="00C67FB8"/>
    <w:rsid w:val="00C71032"/>
    <w:rsid w:val="00C71268"/>
    <w:rsid w:val="00C723EA"/>
    <w:rsid w:val="00C72582"/>
    <w:rsid w:val="00C72C32"/>
    <w:rsid w:val="00C735B3"/>
    <w:rsid w:val="00C74060"/>
    <w:rsid w:val="00C762C2"/>
    <w:rsid w:val="00C76338"/>
    <w:rsid w:val="00C76765"/>
    <w:rsid w:val="00C77964"/>
    <w:rsid w:val="00C77C12"/>
    <w:rsid w:val="00C801D0"/>
    <w:rsid w:val="00C828D3"/>
    <w:rsid w:val="00C829BB"/>
    <w:rsid w:val="00C83F77"/>
    <w:rsid w:val="00C84947"/>
    <w:rsid w:val="00C85375"/>
    <w:rsid w:val="00C86CAA"/>
    <w:rsid w:val="00C911B3"/>
    <w:rsid w:val="00C91B10"/>
    <w:rsid w:val="00C91D61"/>
    <w:rsid w:val="00C926AB"/>
    <w:rsid w:val="00C92811"/>
    <w:rsid w:val="00C928D9"/>
    <w:rsid w:val="00C9294D"/>
    <w:rsid w:val="00C92CD1"/>
    <w:rsid w:val="00C92DAB"/>
    <w:rsid w:val="00C93033"/>
    <w:rsid w:val="00C93F7C"/>
    <w:rsid w:val="00C96869"/>
    <w:rsid w:val="00CA0D83"/>
    <w:rsid w:val="00CA19D0"/>
    <w:rsid w:val="00CA1A7F"/>
    <w:rsid w:val="00CA28EA"/>
    <w:rsid w:val="00CA4E89"/>
    <w:rsid w:val="00CA59DF"/>
    <w:rsid w:val="00CA7CF8"/>
    <w:rsid w:val="00CB156C"/>
    <w:rsid w:val="00CB1DCB"/>
    <w:rsid w:val="00CB228E"/>
    <w:rsid w:val="00CB25D5"/>
    <w:rsid w:val="00CB301F"/>
    <w:rsid w:val="00CB47AF"/>
    <w:rsid w:val="00CB7BFF"/>
    <w:rsid w:val="00CB7F3C"/>
    <w:rsid w:val="00CC0BCB"/>
    <w:rsid w:val="00CC1000"/>
    <w:rsid w:val="00CC1565"/>
    <w:rsid w:val="00CC3B48"/>
    <w:rsid w:val="00CC4E34"/>
    <w:rsid w:val="00CC753C"/>
    <w:rsid w:val="00CD138E"/>
    <w:rsid w:val="00CD1648"/>
    <w:rsid w:val="00CD25EC"/>
    <w:rsid w:val="00CD2689"/>
    <w:rsid w:val="00CD28FD"/>
    <w:rsid w:val="00CD2B8C"/>
    <w:rsid w:val="00CD54FF"/>
    <w:rsid w:val="00CE2011"/>
    <w:rsid w:val="00CE38D7"/>
    <w:rsid w:val="00CE39C7"/>
    <w:rsid w:val="00CE4C36"/>
    <w:rsid w:val="00CE4D1C"/>
    <w:rsid w:val="00CE5BBF"/>
    <w:rsid w:val="00CE6745"/>
    <w:rsid w:val="00CE692E"/>
    <w:rsid w:val="00CE6BDF"/>
    <w:rsid w:val="00CE7516"/>
    <w:rsid w:val="00CE7C24"/>
    <w:rsid w:val="00CF12B1"/>
    <w:rsid w:val="00CF28A4"/>
    <w:rsid w:val="00CF5516"/>
    <w:rsid w:val="00CF6F4E"/>
    <w:rsid w:val="00D004E2"/>
    <w:rsid w:val="00D019A5"/>
    <w:rsid w:val="00D02A1A"/>
    <w:rsid w:val="00D04A57"/>
    <w:rsid w:val="00D04CDC"/>
    <w:rsid w:val="00D064EF"/>
    <w:rsid w:val="00D06E8F"/>
    <w:rsid w:val="00D07D28"/>
    <w:rsid w:val="00D07E46"/>
    <w:rsid w:val="00D1012E"/>
    <w:rsid w:val="00D122A5"/>
    <w:rsid w:val="00D12EF9"/>
    <w:rsid w:val="00D13BBD"/>
    <w:rsid w:val="00D13CB4"/>
    <w:rsid w:val="00D20129"/>
    <w:rsid w:val="00D23F9E"/>
    <w:rsid w:val="00D2426A"/>
    <w:rsid w:val="00D24466"/>
    <w:rsid w:val="00D342FF"/>
    <w:rsid w:val="00D35BB6"/>
    <w:rsid w:val="00D37EFD"/>
    <w:rsid w:val="00D40A06"/>
    <w:rsid w:val="00D4188D"/>
    <w:rsid w:val="00D43384"/>
    <w:rsid w:val="00D43654"/>
    <w:rsid w:val="00D444BD"/>
    <w:rsid w:val="00D4552A"/>
    <w:rsid w:val="00D45A1D"/>
    <w:rsid w:val="00D46A5E"/>
    <w:rsid w:val="00D46B07"/>
    <w:rsid w:val="00D47575"/>
    <w:rsid w:val="00D5014E"/>
    <w:rsid w:val="00D51FD8"/>
    <w:rsid w:val="00D5208A"/>
    <w:rsid w:val="00D52274"/>
    <w:rsid w:val="00D539A0"/>
    <w:rsid w:val="00D53E6C"/>
    <w:rsid w:val="00D53ED6"/>
    <w:rsid w:val="00D540DC"/>
    <w:rsid w:val="00D54523"/>
    <w:rsid w:val="00D605FB"/>
    <w:rsid w:val="00D61D97"/>
    <w:rsid w:val="00D626DE"/>
    <w:rsid w:val="00D62CF3"/>
    <w:rsid w:val="00D631A9"/>
    <w:rsid w:val="00D65A61"/>
    <w:rsid w:val="00D65DD6"/>
    <w:rsid w:val="00D65FAB"/>
    <w:rsid w:val="00D6665C"/>
    <w:rsid w:val="00D67CE5"/>
    <w:rsid w:val="00D7007B"/>
    <w:rsid w:val="00D705E7"/>
    <w:rsid w:val="00D710DE"/>
    <w:rsid w:val="00D717F4"/>
    <w:rsid w:val="00D71A1D"/>
    <w:rsid w:val="00D7220A"/>
    <w:rsid w:val="00D824F2"/>
    <w:rsid w:val="00D82AF7"/>
    <w:rsid w:val="00D8365A"/>
    <w:rsid w:val="00D8407D"/>
    <w:rsid w:val="00D84E84"/>
    <w:rsid w:val="00D86766"/>
    <w:rsid w:val="00D92259"/>
    <w:rsid w:val="00D9257F"/>
    <w:rsid w:val="00D95628"/>
    <w:rsid w:val="00D96F71"/>
    <w:rsid w:val="00D9775B"/>
    <w:rsid w:val="00D9788F"/>
    <w:rsid w:val="00DA0641"/>
    <w:rsid w:val="00DA0B90"/>
    <w:rsid w:val="00DA2DE6"/>
    <w:rsid w:val="00DA3550"/>
    <w:rsid w:val="00DA37E9"/>
    <w:rsid w:val="00DA3FBA"/>
    <w:rsid w:val="00DA4056"/>
    <w:rsid w:val="00DA44B0"/>
    <w:rsid w:val="00DA50F3"/>
    <w:rsid w:val="00DA5403"/>
    <w:rsid w:val="00DB194C"/>
    <w:rsid w:val="00DB1BBD"/>
    <w:rsid w:val="00DB216D"/>
    <w:rsid w:val="00DB2C7E"/>
    <w:rsid w:val="00DB2D3F"/>
    <w:rsid w:val="00DB322C"/>
    <w:rsid w:val="00DB3673"/>
    <w:rsid w:val="00DB468D"/>
    <w:rsid w:val="00DB4AB4"/>
    <w:rsid w:val="00DB4E20"/>
    <w:rsid w:val="00DB53DB"/>
    <w:rsid w:val="00DB5D99"/>
    <w:rsid w:val="00DB73EF"/>
    <w:rsid w:val="00DB7589"/>
    <w:rsid w:val="00DC03E1"/>
    <w:rsid w:val="00DC062D"/>
    <w:rsid w:val="00DC0A28"/>
    <w:rsid w:val="00DC1F26"/>
    <w:rsid w:val="00DC52F3"/>
    <w:rsid w:val="00DC5DAB"/>
    <w:rsid w:val="00DC5FFF"/>
    <w:rsid w:val="00DC642F"/>
    <w:rsid w:val="00DC6A81"/>
    <w:rsid w:val="00DC73A6"/>
    <w:rsid w:val="00DC76B9"/>
    <w:rsid w:val="00DD3E43"/>
    <w:rsid w:val="00DD43A9"/>
    <w:rsid w:val="00DD4A53"/>
    <w:rsid w:val="00DD657B"/>
    <w:rsid w:val="00DD6627"/>
    <w:rsid w:val="00DD74EF"/>
    <w:rsid w:val="00DD7E6E"/>
    <w:rsid w:val="00DE0A13"/>
    <w:rsid w:val="00DE0F05"/>
    <w:rsid w:val="00DE1761"/>
    <w:rsid w:val="00DE21E0"/>
    <w:rsid w:val="00DE2867"/>
    <w:rsid w:val="00DE2DF0"/>
    <w:rsid w:val="00DE3818"/>
    <w:rsid w:val="00DE3B78"/>
    <w:rsid w:val="00DE4FE0"/>
    <w:rsid w:val="00DE5186"/>
    <w:rsid w:val="00DE6AAE"/>
    <w:rsid w:val="00DF1271"/>
    <w:rsid w:val="00DF13BF"/>
    <w:rsid w:val="00DF247B"/>
    <w:rsid w:val="00DF2D16"/>
    <w:rsid w:val="00DF3166"/>
    <w:rsid w:val="00DF323D"/>
    <w:rsid w:val="00DF3736"/>
    <w:rsid w:val="00DF4339"/>
    <w:rsid w:val="00DF5CE8"/>
    <w:rsid w:val="00DF69D5"/>
    <w:rsid w:val="00DF752D"/>
    <w:rsid w:val="00E02676"/>
    <w:rsid w:val="00E02A6B"/>
    <w:rsid w:val="00E02B32"/>
    <w:rsid w:val="00E0502D"/>
    <w:rsid w:val="00E07622"/>
    <w:rsid w:val="00E0790C"/>
    <w:rsid w:val="00E07EE8"/>
    <w:rsid w:val="00E1019F"/>
    <w:rsid w:val="00E10E38"/>
    <w:rsid w:val="00E12DB1"/>
    <w:rsid w:val="00E13D86"/>
    <w:rsid w:val="00E14B9F"/>
    <w:rsid w:val="00E14C38"/>
    <w:rsid w:val="00E15573"/>
    <w:rsid w:val="00E15F6C"/>
    <w:rsid w:val="00E161D8"/>
    <w:rsid w:val="00E16B5E"/>
    <w:rsid w:val="00E16B67"/>
    <w:rsid w:val="00E17DDB"/>
    <w:rsid w:val="00E21907"/>
    <w:rsid w:val="00E22A20"/>
    <w:rsid w:val="00E252EA"/>
    <w:rsid w:val="00E25D18"/>
    <w:rsid w:val="00E25D52"/>
    <w:rsid w:val="00E268E3"/>
    <w:rsid w:val="00E312C5"/>
    <w:rsid w:val="00E3219B"/>
    <w:rsid w:val="00E3258E"/>
    <w:rsid w:val="00E34724"/>
    <w:rsid w:val="00E37048"/>
    <w:rsid w:val="00E37505"/>
    <w:rsid w:val="00E3798D"/>
    <w:rsid w:val="00E4183A"/>
    <w:rsid w:val="00E4202C"/>
    <w:rsid w:val="00E440D8"/>
    <w:rsid w:val="00E45312"/>
    <w:rsid w:val="00E461FD"/>
    <w:rsid w:val="00E50F6B"/>
    <w:rsid w:val="00E54563"/>
    <w:rsid w:val="00E57788"/>
    <w:rsid w:val="00E60B0F"/>
    <w:rsid w:val="00E60C0A"/>
    <w:rsid w:val="00E61D19"/>
    <w:rsid w:val="00E6414B"/>
    <w:rsid w:val="00E644B5"/>
    <w:rsid w:val="00E64B4B"/>
    <w:rsid w:val="00E7026D"/>
    <w:rsid w:val="00E70758"/>
    <w:rsid w:val="00E72353"/>
    <w:rsid w:val="00E723CD"/>
    <w:rsid w:val="00E72754"/>
    <w:rsid w:val="00E72DF0"/>
    <w:rsid w:val="00E72FCB"/>
    <w:rsid w:val="00E74687"/>
    <w:rsid w:val="00E748EF"/>
    <w:rsid w:val="00E77998"/>
    <w:rsid w:val="00E80438"/>
    <w:rsid w:val="00E80511"/>
    <w:rsid w:val="00E81036"/>
    <w:rsid w:val="00E8226A"/>
    <w:rsid w:val="00E82355"/>
    <w:rsid w:val="00E83462"/>
    <w:rsid w:val="00E83CD4"/>
    <w:rsid w:val="00E86BD6"/>
    <w:rsid w:val="00E87241"/>
    <w:rsid w:val="00E91135"/>
    <w:rsid w:val="00E9184B"/>
    <w:rsid w:val="00E91968"/>
    <w:rsid w:val="00E91F7A"/>
    <w:rsid w:val="00E91FA9"/>
    <w:rsid w:val="00E92A9E"/>
    <w:rsid w:val="00E93F63"/>
    <w:rsid w:val="00E94389"/>
    <w:rsid w:val="00E94D8E"/>
    <w:rsid w:val="00E95266"/>
    <w:rsid w:val="00E953DB"/>
    <w:rsid w:val="00E97C48"/>
    <w:rsid w:val="00E97CF9"/>
    <w:rsid w:val="00EA0704"/>
    <w:rsid w:val="00EA36DA"/>
    <w:rsid w:val="00EA65C8"/>
    <w:rsid w:val="00EA66BE"/>
    <w:rsid w:val="00EA6CE1"/>
    <w:rsid w:val="00EA7922"/>
    <w:rsid w:val="00EB1560"/>
    <w:rsid w:val="00EB1BA0"/>
    <w:rsid w:val="00EB256E"/>
    <w:rsid w:val="00EB266A"/>
    <w:rsid w:val="00EB38D4"/>
    <w:rsid w:val="00EB3AED"/>
    <w:rsid w:val="00EB49AF"/>
    <w:rsid w:val="00EB5C2C"/>
    <w:rsid w:val="00EB778A"/>
    <w:rsid w:val="00EC1E5B"/>
    <w:rsid w:val="00EC45E5"/>
    <w:rsid w:val="00EC527A"/>
    <w:rsid w:val="00EC5E77"/>
    <w:rsid w:val="00EC63AB"/>
    <w:rsid w:val="00ED1AD0"/>
    <w:rsid w:val="00ED26BB"/>
    <w:rsid w:val="00ED48C8"/>
    <w:rsid w:val="00ED5AC8"/>
    <w:rsid w:val="00ED6829"/>
    <w:rsid w:val="00ED6D3E"/>
    <w:rsid w:val="00ED76F6"/>
    <w:rsid w:val="00EE0E4C"/>
    <w:rsid w:val="00EE23AA"/>
    <w:rsid w:val="00EE3909"/>
    <w:rsid w:val="00EE3B6C"/>
    <w:rsid w:val="00EE521D"/>
    <w:rsid w:val="00EE6095"/>
    <w:rsid w:val="00EE6AE0"/>
    <w:rsid w:val="00EE78B1"/>
    <w:rsid w:val="00EF0842"/>
    <w:rsid w:val="00EF1278"/>
    <w:rsid w:val="00EF3D14"/>
    <w:rsid w:val="00EF3DC7"/>
    <w:rsid w:val="00EF545A"/>
    <w:rsid w:val="00EF5D70"/>
    <w:rsid w:val="00F007AE"/>
    <w:rsid w:val="00F00A44"/>
    <w:rsid w:val="00F00CC6"/>
    <w:rsid w:val="00F0185B"/>
    <w:rsid w:val="00F01983"/>
    <w:rsid w:val="00F028A8"/>
    <w:rsid w:val="00F042BC"/>
    <w:rsid w:val="00F045AD"/>
    <w:rsid w:val="00F045D2"/>
    <w:rsid w:val="00F04DF4"/>
    <w:rsid w:val="00F05835"/>
    <w:rsid w:val="00F05D4D"/>
    <w:rsid w:val="00F05D96"/>
    <w:rsid w:val="00F06258"/>
    <w:rsid w:val="00F10626"/>
    <w:rsid w:val="00F11750"/>
    <w:rsid w:val="00F13F11"/>
    <w:rsid w:val="00F13F35"/>
    <w:rsid w:val="00F13F52"/>
    <w:rsid w:val="00F1570B"/>
    <w:rsid w:val="00F1790A"/>
    <w:rsid w:val="00F17CE6"/>
    <w:rsid w:val="00F21C7C"/>
    <w:rsid w:val="00F21D16"/>
    <w:rsid w:val="00F26C92"/>
    <w:rsid w:val="00F2791D"/>
    <w:rsid w:val="00F27EE7"/>
    <w:rsid w:val="00F302CD"/>
    <w:rsid w:val="00F30EC6"/>
    <w:rsid w:val="00F32866"/>
    <w:rsid w:val="00F3306A"/>
    <w:rsid w:val="00F36088"/>
    <w:rsid w:val="00F36A10"/>
    <w:rsid w:val="00F378DA"/>
    <w:rsid w:val="00F37FDE"/>
    <w:rsid w:val="00F4463E"/>
    <w:rsid w:val="00F44B44"/>
    <w:rsid w:val="00F44ECD"/>
    <w:rsid w:val="00F45726"/>
    <w:rsid w:val="00F45B11"/>
    <w:rsid w:val="00F46954"/>
    <w:rsid w:val="00F47767"/>
    <w:rsid w:val="00F50453"/>
    <w:rsid w:val="00F51C22"/>
    <w:rsid w:val="00F52766"/>
    <w:rsid w:val="00F52AFA"/>
    <w:rsid w:val="00F52F44"/>
    <w:rsid w:val="00F53165"/>
    <w:rsid w:val="00F56C38"/>
    <w:rsid w:val="00F570C5"/>
    <w:rsid w:val="00F575A4"/>
    <w:rsid w:val="00F612A8"/>
    <w:rsid w:val="00F6314C"/>
    <w:rsid w:val="00F63460"/>
    <w:rsid w:val="00F63D6F"/>
    <w:rsid w:val="00F64845"/>
    <w:rsid w:val="00F66648"/>
    <w:rsid w:val="00F7034A"/>
    <w:rsid w:val="00F705EB"/>
    <w:rsid w:val="00F71417"/>
    <w:rsid w:val="00F71865"/>
    <w:rsid w:val="00F71ECE"/>
    <w:rsid w:val="00F72579"/>
    <w:rsid w:val="00F72BA2"/>
    <w:rsid w:val="00F72FF6"/>
    <w:rsid w:val="00F747CC"/>
    <w:rsid w:val="00F74C2D"/>
    <w:rsid w:val="00F76620"/>
    <w:rsid w:val="00F768A1"/>
    <w:rsid w:val="00F77E57"/>
    <w:rsid w:val="00F8299D"/>
    <w:rsid w:val="00F83549"/>
    <w:rsid w:val="00F8374F"/>
    <w:rsid w:val="00F8483E"/>
    <w:rsid w:val="00F848A1"/>
    <w:rsid w:val="00F8749F"/>
    <w:rsid w:val="00F87CBB"/>
    <w:rsid w:val="00F903B7"/>
    <w:rsid w:val="00F906C9"/>
    <w:rsid w:val="00F910F3"/>
    <w:rsid w:val="00F9202F"/>
    <w:rsid w:val="00F92D84"/>
    <w:rsid w:val="00F930DE"/>
    <w:rsid w:val="00F9498D"/>
    <w:rsid w:val="00F96021"/>
    <w:rsid w:val="00F961BD"/>
    <w:rsid w:val="00F96E18"/>
    <w:rsid w:val="00F971FA"/>
    <w:rsid w:val="00F9781E"/>
    <w:rsid w:val="00FA01FB"/>
    <w:rsid w:val="00FA03C3"/>
    <w:rsid w:val="00FA162B"/>
    <w:rsid w:val="00FA2020"/>
    <w:rsid w:val="00FA38A2"/>
    <w:rsid w:val="00FA5751"/>
    <w:rsid w:val="00FA5ED9"/>
    <w:rsid w:val="00FA6D9A"/>
    <w:rsid w:val="00FB2A00"/>
    <w:rsid w:val="00FB3D98"/>
    <w:rsid w:val="00FB6B0E"/>
    <w:rsid w:val="00FB721A"/>
    <w:rsid w:val="00FB7AEB"/>
    <w:rsid w:val="00FC0555"/>
    <w:rsid w:val="00FC08F8"/>
    <w:rsid w:val="00FC08FA"/>
    <w:rsid w:val="00FC0E36"/>
    <w:rsid w:val="00FC19A8"/>
    <w:rsid w:val="00FC1A3B"/>
    <w:rsid w:val="00FC1A52"/>
    <w:rsid w:val="00FC23E3"/>
    <w:rsid w:val="00FC407D"/>
    <w:rsid w:val="00FC4FE9"/>
    <w:rsid w:val="00FC60F8"/>
    <w:rsid w:val="00FC6998"/>
    <w:rsid w:val="00FC7247"/>
    <w:rsid w:val="00FD18F9"/>
    <w:rsid w:val="00FD60D8"/>
    <w:rsid w:val="00FD626D"/>
    <w:rsid w:val="00FD69AC"/>
    <w:rsid w:val="00FE0828"/>
    <w:rsid w:val="00FE0BE8"/>
    <w:rsid w:val="00FE0E5E"/>
    <w:rsid w:val="00FE4AD2"/>
    <w:rsid w:val="00FE6C30"/>
    <w:rsid w:val="00FE6F51"/>
    <w:rsid w:val="00FE7531"/>
    <w:rsid w:val="00FF05E4"/>
    <w:rsid w:val="00FF1C21"/>
    <w:rsid w:val="00FF21A3"/>
    <w:rsid w:val="00FF23AB"/>
    <w:rsid w:val="00FF2BEB"/>
    <w:rsid w:val="00FF42D0"/>
    <w:rsid w:val="00FF473A"/>
    <w:rsid w:val="00FF5A3D"/>
    <w:rsid w:val="00FF64BC"/>
    <w:rsid w:val="00FF69F5"/>
    <w:rsid w:val="00FF6C94"/>
    <w:rsid w:val="00FF75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B1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2607A"/>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4C7AB4"/>
    <w:pPr>
      <w:keepNext/>
      <w:spacing w:before="240" w:after="60"/>
      <w:outlineLvl w:val="0"/>
    </w:pPr>
    <w:rPr>
      <w:b/>
      <w:bCs/>
      <w:kern w:val="32"/>
      <w:sz w:val="32"/>
      <w:szCs w:val="32"/>
    </w:rPr>
  </w:style>
  <w:style w:type="paragraph" w:styleId="Heading2">
    <w:name w:val="heading 2"/>
    <w:basedOn w:val="Normal"/>
    <w:next w:val="Normal"/>
    <w:link w:val="Heading2Char"/>
    <w:unhideWhenUsed/>
    <w:qFormat/>
    <w:rsid w:val="005C4E08"/>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nhideWhenUsed/>
    <w:qFormat/>
    <w:rsid w:val="00D004E2"/>
    <w:pPr>
      <w:keepNext/>
      <w:keepLines/>
      <w:spacing w:before="40"/>
      <w:outlineLvl w:val="2"/>
    </w:pPr>
    <w:rPr>
      <w:rFonts w:eastAsiaTheme="majorEastAsia" w:cstheme="majorBidi"/>
      <w:sz w:val="28"/>
    </w:rPr>
  </w:style>
  <w:style w:type="paragraph" w:styleId="Heading4">
    <w:name w:val="heading 4"/>
    <w:basedOn w:val="AbtHeadD"/>
    <w:link w:val="Heading4Char"/>
    <w:qFormat/>
    <w:rsid w:val="00DF3166"/>
    <w:rPr>
      <w:b/>
    </w:rPr>
  </w:style>
  <w:style w:type="paragraph" w:styleId="Heading5">
    <w:name w:val="heading 5"/>
    <w:basedOn w:val="AbtHeadE"/>
    <w:next w:val="Normal"/>
    <w:link w:val="Heading5Char"/>
    <w:qFormat/>
    <w:rsid w:val="00DF3166"/>
    <w:pPr>
      <w:ind w:left="0"/>
      <w:outlineLvl w:val="4"/>
    </w:pPr>
  </w:style>
  <w:style w:type="paragraph" w:styleId="Heading6">
    <w:name w:val="heading 6"/>
    <w:basedOn w:val="Normal"/>
    <w:next w:val="Normal"/>
    <w:link w:val="Heading6Char"/>
    <w:qFormat/>
    <w:rsid w:val="00DF3166"/>
    <w:pPr>
      <w:tabs>
        <w:tab w:val="num" w:pos="1800"/>
      </w:tabs>
      <w:spacing w:before="240" w:after="60"/>
      <w:ind w:left="1440"/>
      <w:outlineLvl w:val="5"/>
    </w:pPr>
    <w:rPr>
      <w:b/>
      <w:bCs/>
      <w:sz w:val="22"/>
      <w:szCs w:val="22"/>
    </w:rPr>
  </w:style>
  <w:style w:type="paragraph" w:styleId="Heading7">
    <w:name w:val="heading 7"/>
    <w:basedOn w:val="Heading1"/>
    <w:next w:val="Normal"/>
    <w:link w:val="Heading7Char"/>
    <w:qFormat/>
    <w:rsid w:val="00DF3166"/>
    <w:pPr>
      <w:keepNext w:val="0"/>
      <w:pageBreakBefore/>
      <w:widowControl w:val="0"/>
      <w:tabs>
        <w:tab w:val="num" w:pos="360"/>
      </w:tabs>
      <w:spacing w:before="0" w:after="360"/>
      <w:outlineLvl w:val="6"/>
    </w:pPr>
    <w:rPr>
      <w:bCs w:val="0"/>
      <w:kern w:val="0"/>
      <w:szCs w:val="24"/>
    </w:rPr>
  </w:style>
  <w:style w:type="paragraph" w:styleId="Heading8">
    <w:name w:val="heading 8"/>
    <w:basedOn w:val="Heading2"/>
    <w:next w:val="Normal"/>
    <w:link w:val="Heading8Char"/>
    <w:qFormat/>
    <w:rsid w:val="00DF3166"/>
    <w:pPr>
      <w:keepNext w:val="0"/>
      <w:keepLines w:val="0"/>
      <w:tabs>
        <w:tab w:val="num" w:pos="360"/>
      </w:tabs>
      <w:spacing w:before="0"/>
      <w:ind w:left="360" w:hanging="360"/>
      <w:outlineLvl w:val="7"/>
    </w:pPr>
    <w:rPr>
      <w:rFonts w:eastAsia="Times New Roman" w:cs="Times New Roman"/>
      <w:b w:val="0"/>
      <w:iCs/>
      <w:szCs w:val="28"/>
    </w:rPr>
  </w:style>
  <w:style w:type="paragraph" w:styleId="Heading9">
    <w:name w:val="heading 9"/>
    <w:basedOn w:val="Heading3"/>
    <w:next w:val="Normal"/>
    <w:link w:val="Heading9Char"/>
    <w:qFormat/>
    <w:rsid w:val="00DF3166"/>
    <w:pPr>
      <w:keepNext w:val="0"/>
      <w:keepLines w:val="0"/>
      <w:tabs>
        <w:tab w:val="left" w:pos="720"/>
        <w:tab w:val="num" w:pos="864"/>
      </w:tabs>
      <w:spacing w:before="0" w:after="120"/>
      <w:ind w:left="864" w:hanging="864"/>
      <w:outlineLvl w:val="8"/>
    </w:pPr>
    <w:rPr>
      <w:rFonts w:eastAsia="Times New Roman" w:cs="Times New Roman"/>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AB4"/>
    <w:rPr>
      <w:rFonts w:ascii="Times New Roman" w:eastAsia="Times New Roman" w:hAnsi="Times New Roman" w:cs="Times New Roman"/>
      <w:b/>
      <w:bCs/>
      <w:kern w:val="32"/>
      <w:sz w:val="32"/>
      <w:szCs w:val="32"/>
    </w:rPr>
  </w:style>
  <w:style w:type="paragraph" w:styleId="BodyText">
    <w:name w:val="Body Text"/>
    <w:basedOn w:val="Normal"/>
    <w:link w:val="BodyTextChar"/>
    <w:autoRedefine/>
    <w:rsid w:val="00991246"/>
    <w:rPr>
      <w:rFonts w:cs="Arial"/>
    </w:rPr>
  </w:style>
  <w:style w:type="character" w:customStyle="1" w:styleId="BodyTextChar">
    <w:name w:val="Body Text Char"/>
    <w:basedOn w:val="DefaultParagraphFont"/>
    <w:link w:val="BodyText"/>
    <w:rsid w:val="004C7AB4"/>
    <w:rPr>
      <w:rFonts w:ascii="Times New Roman" w:eastAsia="Times New Roman" w:hAnsi="Times New Roman" w:cs="Arial"/>
      <w:sz w:val="24"/>
      <w:szCs w:val="24"/>
    </w:rPr>
  </w:style>
  <w:style w:type="character" w:customStyle="1" w:styleId="Heading2Char">
    <w:name w:val="Heading 2 Char"/>
    <w:basedOn w:val="DefaultParagraphFont"/>
    <w:link w:val="Heading2"/>
    <w:rsid w:val="005C4E08"/>
    <w:rPr>
      <w:rFonts w:ascii="Times New Roman" w:eastAsiaTheme="majorEastAsia" w:hAnsi="Times New Roman" w:cstheme="majorBidi"/>
      <w:b/>
      <w:sz w:val="28"/>
      <w:szCs w:val="26"/>
    </w:rPr>
  </w:style>
  <w:style w:type="character" w:customStyle="1" w:styleId="Heading3Char">
    <w:name w:val="Heading 3 Char"/>
    <w:basedOn w:val="DefaultParagraphFont"/>
    <w:link w:val="Heading3"/>
    <w:rsid w:val="00D004E2"/>
    <w:rPr>
      <w:rFonts w:ascii="Times New Roman" w:eastAsiaTheme="majorEastAsia" w:hAnsi="Times New Roman" w:cstheme="majorBidi"/>
      <w:sz w:val="28"/>
      <w:szCs w:val="24"/>
    </w:rPr>
  </w:style>
  <w:style w:type="character" w:customStyle="1" w:styleId="Heading4Char">
    <w:name w:val="Heading 4 Char"/>
    <w:basedOn w:val="DefaultParagraphFont"/>
    <w:link w:val="Heading4"/>
    <w:rsid w:val="00DF3166"/>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DF3166"/>
    <w:rPr>
      <w:rFonts w:ascii="Times New Roman" w:eastAsia="Times New Roman" w:hAnsi="Times New Roman" w:cs="Times New Roman"/>
      <w:i/>
      <w:sz w:val="24"/>
      <w:szCs w:val="20"/>
    </w:rPr>
  </w:style>
  <w:style w:type="character" w:customStyle="1" w:styleId="Heading6Char">
    <w:name w:val="Heading 6 Char"/>
    <w:basedOn w:val="DefaultParagraphFont"/>
    <w:link w:val="Heading6"/>
    <w:rsid w:val="00DF3166"/>
    <w:rPr>
      <w:rFonts w:ascii="Times New Roman" w:eastAsia="Times New Roman" w:hAnsi="Times New Roman" w:cs="Times New Roman"/>
      <w:b/>
      <w:bCs/>
    </w:rPr>
  </w:style>
  <w:style w:type="character" w:customStyle="1" w:styleId="Heading7Char">
    <w:name w:val="Heading 7 Char"/>
    <w:basedOn w:val="DefaultParagraphFont"/>
    <w:link w:val="Heading7"/>
    <w:rsid w:val="00DF3166"/>
    <w:rPr>
      <w:rFonts w:ascii="Times New Roman" w:eastAsia="Times New Roman" w:hAnsi="Times New Roman" w:cs="Times New Roman"/>
      <w:b/>
      <w:sz w:val="32"/>
      <w:szCs w:val="24"/>
    </w:rPr>
  </w:style>
  <w:style w:type="character" w:customStyle="1" w:styleId="Heading8Char">
    <w:name w:val="Heading 8 Char"/>
    <w:basedOn w:val="DefaultParagraphFont"/>
    <w:link w:val="Heading8"/>
    <w:rsid w:val="00DF3166"/>
    <w:rPr>
      <w:rFonts w:ascii="Times New Roman" w:eastAsia="Times New Roman" w:hAnsi="Times New Roman" w:cs="Times New Roman"/>
      <w:b/>
      <w:iCs/>
      <w:sz w:val="28"/>
      <w:szCs w:val="28"/>
    </w:rPr>
  </w:style>
  <w:style w:type="character" w:customStyle="1" w:styleId="Heading9Char">
    <w:name w:val="Heading 9 Char"/>
    <w:basedOn w:val="DefaultParagraphFont"/>
    <w:link w:val="Heading9"/>
    <w:rsid w:val="00DF3166"/>
    <w:rPr>
      <w:rFonts w:ascii="Times New Roman" w:eastAsia="Times New Roman" w:hAnsi="Times New Roman" w:cs="Times New Roman"/>
      <w:b/>
      <w:sz w:val="28"/>
      <w:szCs w:val="28"/>
    </w:rPr>
  </w:style>
  <w:style w:type="paragraph" w:styleId="Header">
    <w:name w:val="header"/>
    <w:basedOn w:val="Normal"/>
    <w:link w:val="HeaderChar"/>
    <w:uiPriority w:val="99"/>
    <w:rsid w:val="00DF3166"/>
    <w:pPr>
      <w:tabs>
        <w:tab w:val="center" w:pos="4320"/>
        <w:tab w:val="right" w:pos="8640"/>
      </w:tabs>
    </w:pPr>
  </w:style>
  <w:style w:type="character" w:customStyle="1" w:styleId="HeaderChar">
    <w:name w:val="Header Char"/>
    <w:basedOn w:val="DefaultParagraphFont"/>
    <w:link w:val="Header"/>
    <w:uiPriority w:val="99"/>
    <w:rsid w:val="00DF3166"/>
    <w:rPr>
      <w:rFonts w:ascii="Times New Roman" w:eastAsia="Times New Roman" w:hAnsi="Times New Roman" w:cs="Times New Roman"/>
      <w:sz w:val="24"/>
      <w:szCs w:val="24"/>
    </w:rPr>
  </w:style>
  <w:style w:type="paragraph" w:styleId="Footer">
    <w:name w:val="footer"/>
    <w:basedOn w:val="Normal"/>
    <w:link w:val="FooterChar"/>
    <w:uiPriority w:val="99"/>
    <w:rsid w:val="00DF3166"/>
    <w:pPr>
      <w:tabs>
        <w:tab w:val="center" w:pos="4320"/>
        <w:tab w:val="right" w:pos="8640"/>
      </w:tabs>
    </w:pPr>
  </w:style>
  <w:style w:type="character" w:customStyle="1" w:styleId="FooterChar">
    <w:name w:val="Footer Char"/>
    <w:basedOn w:val="DefaultParagraphFont"/>
    <w:link w:val="Footer"/>
    <w:uiPriority w:val="99"/>
    <w:rsid w:val="00DF3166"/>
    <w:rPr>
      <w:rFonts w:ascii="Times New Roman" w:eastAsia="Times New Roman" w:hAnsi="Times New Roman" w:cs="Times New Roman"/>
      <w:sz w:val="24"/>
      <w:szCs w:val="24"/>
    </w:rPr>
  </w:style>
  <w:style w:type="character" w:styleId="PageNumber">
    <w:name w:val="page number"/>
    <w:basedOn w:val="DefaultParagraphFont"/>
    <w:rsid w:val="00DF3166"/>
    <w:rPr>
      <w:rFonts w:cs="Times New Roman"/>
    </w:rPr>
  </w:style>
  <w:style w:type="character" w:styleId="CommentReference">
    <w:name w:val="annotation reference"/>
    <w:basedOn w:val="DefaultParagraphFont"/>
    <w:uiPriority w:val="99"/>
    <w:rsid w:val="00DF3166"/>
    <w:rPr>
      <w:rFonts w:cs="Times New Roman"/>
      <w:sz w:val="16"/>
    </w:rPr>
  </w:style>
  <w:style w:type="paragraph" w:styleId="CommentText">
    <w:name w:val="annotation text"/>
    <w:basedOn w:val="Normal"/>
    <w:link w:val="CommentTextChar"/>
    <w:uiPriority w:val="99"/>
    <w:rsid w:val="00DF3166"/>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DF316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DF3166"/>
    <w:rPr>
      <w:rFonts w:ascii="Tahoma" w:hAnsi="Tahoma" w:cs="Tahoma"/>
      <w:sz w:val="16"/>
      <w:szCs w:val="16"/>
    </w:rPr>
  </w:style>
  <w:style w:type="character" w:customStyle="1" w:styleId="BalloonTextChar">
    <w:name w:val="Balloon Text Char"/>
    <w:basedOn w:val="DefaultParagraphFont"/>
    <w:link w:val="BalloonText"/>
    <w:uiPriority w:val="99"/>
    <w:semiHidden/>
    <w:rsid w:val="00DF316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rsid w:val="00DF3166"/>
    <w:pPr>
      <w:widowControl/>
      <w:autoSpaceDE/>
      <w:autoSpaceDN/>
      <w:adjustRightInd/>
    </w:pPr>
    <w:rPr>
      <w:b/>
      <w:bCs/>
    </w:rPr>
  </w:style>
  <w:style w:type="character" w:customStyle="1" w:styleId="CommentSubjectChar">
    <w:name w:val="Comment Subject Char"/>
    <w:basedOn w:val="CommentTextChar"/>
    <w:link w:val="CommentSubject"/>
    <w:uiPriority w:val="99"/>
    <w:rsid w:val="00DF3166"/>
    <w:rPr>
      <w:rFonts w:ascii="Times New Roman" w:eastAsia="Times New Roman" w:hAnsi="Times New Roman" w:cs="Times New Roman"/>
      <w:b/>
      <w:bCs/>
      <w:sz w:val="20"/>
      <w:szCs w:val="20"/>
    </w:rPr>
  </w:style>
  <w:style w:type="table" w:styleId="TableGrid">
    <w:name w:val="Table Grid"/>
    <w:basedOn w:val="TableNormal"/>
    <w:uiPriority w:val="39"/>
    <w:rsid w:val="00DF31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F3166"/>
    <w:rPr>
      <w:sz w:val="20"/>
      <w:szCs w:val="20"/>
    </w:rPr>
  </w:style>
  <w:style w:type="character" w:customStyle="1" w:styleId="FootnoteTextChar">
    <w:name w:val="Footnote Text Char"/>
    <w:basedOn w:val="DefaultParagraphFont"/>
    <w:link w:val="FootnoteText"/>
    <w:rsid w:val="00DF3166"/>
    <w:rPr>
      <w:rFonts w:ascii="Times New Roman" w:eastAsia="Times New Roman" w:hAnsi="Times New Roman" w:cs="Times New Roman"/>
      <w:sz w:val="20"/>
      <w:szCs w:val="20"/>
    </w:rPr>
  </w:style>
  <w:style w:type="character" w:styleId="FootnoteReference">
    <w:name w:val="footnote reference"/>
    <w:basedOn w:val="DefaultParagraphFont"/>
    <w:rsid w:val="00DF3166"/>
    <w:rPr>
      <w:rFonts w:cs="Times New Roman"/>
      <w:vertAlign w:val="superscript"/>
    </w:rPr>
  </w:style>
  <w:style w:type="paragraph" w:styleId="Caption">
    <w:name w:val="caption"/>
    <w:basedOn w:val="Normal"/>
    <w:next w:val="Normal"/>
    <w:link w:val="CaptionChar"/>
    <w:autoRedefine/>
    <w:qFormat/>
    <w:rsid w:val="00FF21A3"/>
    <w:pPr>
      <w:keepNext/>
      <w:keepLines/>
    </w:pPr>
    <w:rPr>
      <w:b/>
      <w:szCs w:val="20"/>
    </w:rPr>
  </w:style>
  <w:style w:type="character" w:customStyle="1" w:styleId="CaptionChar">
    <w:name w:val="Caption Char"/>
    <w:link w:val="Caption"/>
    <w:locked/>
    <w:rsid w:val="00FF21A3"/>
    <w:rPr>
      <w:rFonts w:ascii="Times New Roman" w:eastAsia="Times New Roman" w:hAnsi="Times New Roman" w:cs="Times New Roman"/>
      <w:b/>
      <w:sz w:val="24"/>
      <w:szCs w:val="20"/>
    </w:rPr>
  </w:style>
  <w:style w:type="paragraph" w:customStyle="1" w:styleId="AbtHeadAOutlined">
    <w:name w:val="AbtHead A Outlined"/>
    <w:basedOn w:val="Normal"/>
    <w:next w:val="BodyText"/>
    <w:autoRedefine/>
    <w:rsid w:val="00DF3166"/>
    <w:pPr>
      <w:keepNext/>
      <w:keepLines/>
      <w:numPr>
        <w:numId w:val="1"/>
      </w:numPr>
      <w:spacing w:after="360" w:line="264" w:lineRule="auto"/>
      <w:outlineLvl w:val="0"/>
    </w:pPr>
    <w:rPr>
      <w:b/>
      <w:sz w:val="28"/>
      <w:szCs w:val="20"/>
    </w:rPr>
  </w:style>
  <w:style w:type="paragraph" w:customStyle="1" w:styleId="AbtHeadBOutlined">
    <w:name w:val="AbtHead B Outlined"/>
    <w:basedOn w:val="Normal"/>
    <w:next w:val="BodyText"/>
    <w:autoRedefine/>
    <w:rsid w:val="00DF3166"/>
    <w:pPr>
      <w:keepNext/>
      <w:keepLines/>
      <w:numPr>
        <w:ilvl w:val="1"/>
        <w:numId w:val="1"/>
      </w:numPr>
      <w:tabs>
        <w:tab w:val="clear" w:pos="720"/>
        <w:tab w:val="left" w:pos="1080"/>
        <w:tab w:val="left" w:pos="1440"/>
        <w:tab w:val="num" w:pos="1530"/>
        <w:tab w:val="left" w:pos="1800"/>
      </w:tabs>
      <w:spacing w:after="280" w:line="264" w:lineRule="auto"/>
      <w:ind w:left="1530"/>
      <w:outlineLvl w:val="1"/>
    </w:pPr>
    <w:rPr>
      <w:b/>
      <w:sz w:val="28"/>
    </w:rPr>
  </w:style>
  <w:style w:type="paragraph" w:customStyle="1" w:styleId="AbtHeadCOutlined">
    <w:name w:val="AbtHead C Outlined"/>
    <w:basedOn w:val="Normal"/>
    <w:next w:val="BodyText"/>
    <w:autoRedefine/>
    <w:rsid w:val="00DF3166"/>
    <w:pPr>
      <w:keepNext/>
      <w:keepLines/>
      <w:spacing w:after="120"/>
      <w:contextualSpacing/>
    </w:pPr>
    <w:rPr>
      <w:rFonts w:ascii="Times New Roman Bold" w:hAnsi="Times New Roman Bold"/>
      <w:sz w:val="28"/>
      <w:szCs w:val="28"/>
    </w:rPr>
  </w:style>
  <w:style w:type="paragraph" w:customStyle="1" w:styleId="AbtHeadD">
    <w:name w:val="AbtHead D"/>
    <w:basedOn w:val="Normal"/>
    <w:next w:val="BodyText"/>
    <w:autoRedefine/>
    <w:rsid w:val="00DF3166"/>
    <w:pPr>
      <w:keepNext/>
      <w:keepLines/>
      <w:tabs>
        <w:tab w:val="left" w:pos="1080"/>
        <w:tab w:val="left" w:pos="1800"/>
      </w:tabs>
      <w:spacing w:after="240" w:line="264" w:lineRule="auto"/>
      <w:outlineLvl w:val="3"/>
    </w:pPr>
    <w:rPr>
      <w:i/>
      <w:szCs w:val="20"/>
    </w:rPr>
  </w:style>
  <w:style w:type="paragraph" w:customStyle="1" w:styleId="AbtHeadE">
    <w:name w:val="AbtHead E"/>
    <w:basedOn w:val="AbtHeadD"/>
    <w:autoRedefine/>
    <w:rsid w:val="00DF3166"/>
    <w:pPr>
      <w:numPr>
        <w:ilvl w:val="3"/>
      </w:numPr>
      <w:tabs>
        <w:tab w:val="clear" w:pos="1080"/>
        <w:tab w:val="clear" w:pos="1800"/>
        <w:tab w:val="num" w:pos="1008"/>
        <w:tab w:val="num" w:pos="1728"/>
      </w:tabs>
      <w:spacing w:line="240" w:lineRule="auto"/>
      <w:ind w:left="720"/>
      <w:outlineLvl w:val="9"/>
    </w:pPr>
  </w:style>
  <w:style w:type="paragraph" w:customStyle="1" w:styleId="AbtHeadF">
    <w:name w:val="AbtHead F"/>
    <w:basedOn w:val="AbtHeadE"/>
    <w:autoRedefine/>
    <w:rsid w:val="00DF3166"/>
    <w:rPr>
      <w:u w:val="single"/>
    </w:rPr>
  </w:style>
  <w:style w:type="paragraph" w:customStyle="1" w:styleId="Source">
    <w:name w:val="Source"/>
    <w:basedOn w:val="Normal"/>
    <w:next w:val="Normal"/>
    <w:rsid w:val="00DF3166"/>
    <w:pPr>
      <w:spacing w:after="60"/>
    </w:pPr>
    <w:rPr>
      <w:sz w:val="21"/>
    </w:rPr>
  </w:style>
  <w:style w:type="table" w:customStyle="1" w:styleId="TableGridTotal">
    <w:name w:val="Table Grid Total"/>
    <w:basedOn w:val="TableGrid"/>
    <w:rsid w:val="00DF3166"/>
    <w:pPr>
      <w:keepNext/>
      <w:keepLines/>
      <w:jc w:val="right"/>
    </w:pPr>
    <w:tblPr>
      <w:tblBorders>
        <w:top w:val="single" w:sz="8" w:space="0" w:color="auto"/>
        <w:left w:val="single" w:sz="8" w:space="0" w:color="auto"/>
        <w:bottom w:val="single" w:sz="12" w:space="0" w:color="auto"/>
        <w:right w:val="single" w:sz="8" w:space="0" w:color="auto"/>
        <w:insideH w:val="single" w:sz="2" w:space="0" w:color="auto"/>
        <w:insideV w:val="single" w:sz="2" w:space="0" w:color="auto"/>
      </w:tblBorders>
    </w:tblPr>
    <w:trPr>
      <w:cantSplit/>
    </w:trPr>
    <w:tblStylePr w:type="firstRow">
      <w:pPr>
        <w:jc w:val="center"/>
      </w:pPr>
      <w:rPr>
        <w:rFonts w:cs="Times New Roman"/>
        <w:b/>
      </w:rPr>
      <w:tblPr/>
      <w:trPr>
        <w:cantSplit/>
      </w:trPr>
      <w:tcPr>
        <w:tcBorders>
          <w:top w:val="single" w:sz="8" w:space="0" w:color="auto"/>
          <w:left w:val="single" w:sz="8" w:space="0" w:color="auto"/>
          <w:bottom w:val="double" w:sz="4" w:space="0" w:color="auto"/>
          <w:right w:val="single" w:sz="8" w:space="0" w:color="auto"/>
          <w:insideH w:val="nil"/>
          <w:insideV w:val="single" w:sz="2" w:space="0" w:color="auto"/>
          <w:tl2br w:val="nil"/>
          <w:tr2bl w:val="nil"/>
        </w:tcBorders>
      </w:tcPr>
    </w:tblStylePr>
    <w:tblStylePr w:type="lastRow">
      <w:rPr>
        <w:rFonts w:cs="Times New Roman"/>
        <w:b/>
      </w:rPr>
      <w:tblPr/>
      <w:tcPr>
        <w:tcBorders>
          <w:top w:val="single" w:sz="12" w:space="0" w:color="auto"/>
          <w:left w:val="single" w:sz="8" w:space="0" w:color="auto"/>
          <w:bottom w:val="single" w:sz="12" w:space="0" w:color="auto"/>
          <w:right w:val="single" w:sz="8" w:space="0" w:color="auto"/>
          <w:insideH w:val="nil"/>
          <w:insideV w:val="single" w:sz="2" w:space="0" w:color="auto"/>
          <w:tl2br w:val="nil"/>
          <w:tr2bl w:val="nil"/>
        </w:tcBorders>
      </w:tcPr>
    </w:tblStylePr>
    <w:tblStylePr w:type="firstCol">
      <w:pPr>
        <w:jc w:val="left"/>
      </w:pPr>
      <w:rPr>
        <w:rFonts w:cs="Times New Roman"/>
      </w:rPr>
    </w:tblStylePr>
    <w:tblStylePr w:type="nwCell">
      <w:pPr>
        <w:jc w:val="left"/>
      </w:pPr>
      <w:rPr>
        <w:rFonts w:cs="Times New Roman"/>
      </w:rPr>
    </w:tblStylePr>
  </w:style>
  <w:style w:type="character" w:styleId="Hyperlink">
    <w:name w:val="Hyperlink"/>
    <w:basedOn w:val="DefaultParagraphFont"/>
    <w:uiPriority w:val="99"/>
    <w:rsid w:val="00DF3166"/>
    <w:rPr>
      <w:rFonts w:cs="Times New Roman"/>
      <w:color w:val="0000FF"/>
      <w:u w:val="single"/>
    </w:rPr>
  </w:style>
  <w:style w:type="paragraph" w:styleId="TOC1">
    <w:name w:val="toc 1"/>
    <w:basedOn w:val="BodyText"/>
    <w:next w:val="BodyText"/>
    <w:uiPriority w:val="39"/>
    <w:qFormat/>
    <w:rsid w:val="00DF3166"/>
    <w:pPr>
      <w:spacing w:before="120" w:after="120"/>
    </w:pPr>
    <w:rPr>
      <w:rFonts w:asciiTheme="minorHAnsi" w:hAnsiTheme="minorHAnsi" w:cstheme="minorHAnsi"/>
      <w:b/>
      <w:bCs/>
      <w:caps/>
      <w:sz w:val="20"/>
      <w:szCs w:val="20"/>
    </w:rPr>
  </w:style>
  <w:style w:type="paragraph" w:customStyle="1" w:styleId="StyleHeading5Linespacingsingle">
    <w:name w:val="Style Heading 5 + Line spacing:  single"/>
    <w:basedOn w:val="Heading5"/>
    <w:autoRedefine/>
    <w:rsid w:val="00DF3166"/>
    <w:pPr>
      <w:tabs>
        <w:tab w:val="left" w:pos="720"/>
        <w:tab w:val="left" w:pos="1080"/>
        <w:tab w:val="left" w:pos="1440"/>
        <w:tab w:val="left" w:pos="1800"/>
      </w:tabs>
      <w:spacing w:after="0"/>
      <w:ind w:left="1152"/>
    </w:pPr>
    <w:rPr>
      <w:rFonts w:ascii="Arial" w:hAnsi="Arial"/>
      <w:i w:val="0"/>
      <w:iCs/>
      <w:sz w:val="22"/>
    </w:rPr>
  </w:style>
  <w:style w:type="character" w:styleId="FollowedHyperlink">
    <w:name w:val="FollowedHyperlink"/>
    <w:basedOn w:val="DefaultParagraphFont"/>
    <w:rsid w:val="00DF3166"/>
    <w:rPr>
      <w:rFonts w:cs="Times New Roman"/>
      <w:color w:val="800080"/>
      <w:u w:val="single"/>
    </w:rPr>
  </w:style>
  <w:style w:type="paragraph" w:customStyle="1" w:styleId="Tableg">
    <w:name w:val="Tableg"/>
    <w:basedOn w:val="Normal"/>
    <w:rsid w:val="00DF3166"/>
    <w:pPr>
      <w:jc w:val="right"/>
    </w:pPr>
    <w:rPr>
      <w:sz w:val="22"/>
      <w:szCs w:val="22"/>
    </w:rPr>
  </w:style>
  <w:style w:type="paragraph" w:customStyle="1" w:styleId="ContCaption">
    <w:name w:val="ContCaption"/>
    <w:basedOn w:val="Caption"/>
    <w:autoRedefine/>
    <w:rsid w:val="00DF3166"/>
    <w:pPr>
      <w:ind w:left="1440" w:hanging="1440"/>
    </w:pPr>
  </w:style>
  <w:style w:type="paragraph" w:customStyle="1" w:styleId="NormalWeb1">
    <w:name w:val="Normal (Web1"/>
    <w:rsid w:val="00DF3166"/>
    <w:pPr>
      <w:autoSpaceDE w:val="0"/>
      <w:autoSpaceDN w:val="0"/>
      <w:adjustRightInd w:val="0"/>
      <w:spacing w:after="120" w:line="240" w:lineRule="auto"/>
      <w:ind w:firstLine="720"/>
    </w:pPr>
    <w:rPr>
      <w:rFonts w:ascii="Times New Roman" w:eastAsia="Times New Roman" w:hAnsi="Times New Roman" w:cs="Times New Roman"/>
      <w:sz w:val="24"/>
      <w:szCs w:val="24"/>
    </w:rPr>
  </w:style>
  <w:style w:type="paragraph" w:customStyle="1" w:styleId="AbtHeadA">
    <w:name w:val="AbtHead A"/>
    <w:basedOn w:val="Normal"/>
    <w:next w:val="BodyText"/>
    <w:rsid w:val="00DF3166"/>
    <w:pPr>
      <w:keepNext/>
      <w:keepLines/>
      <w:spacing w:after="360"/>
      <w:outlineLvl w:val="0"/>
    </w:pPr>
    <w:rPr>
      <w:rFonts w:ascii="Arial" w:hAnsi="Arial"/>
      <w:b/>
      <w:sz w:val="36"/>
    </w:rPr>
  </w:style>
  <w:style w:type="paragraph" w:customStyle="1" w:styleId="full-govpro">
    <w:name w:val="full-govpro"/>
    <w:rsid w:val="00DF3166"/>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customStyle="1" w:styleId="AbtHeadB">
    <w:name w:val="AbtHead B"/>
    <w:basedOn w:val="Normal"/>
    <w:next w:val="BodyText"/>
    <w:rsid w:val="00DF3166"/>
    <w:pPr>
      <w:keepNext/>
      <w:keepLines/>
      <w:spacing w:after="280"/>
      <w:outlineLvl w:val="1"/>
    </w:pPr>
    <w:rPr>
      <w:rFonts w:ascii="Arial" w:hAnsi="Arial"/>
      <w:b/>
      <w:sz w:val="28"/>
    </w:rPr>
  </w:style>
  <w:style w:type="paragraph" w:customStyle="1" w:styleId="AbtHeadC">
    <w:name w:val="AbtHead C"/>
    <w:basedOn w:val="Normal"/>
    <w:next w:val="BodyText"/>
    <w:rsid w:val="00DF3166"/>
    <w:pPr>
      <w:keepNext/>
      <w:keepLines/>
      <w:spacing w:after="240"/>
      <w:outlineLvl w:val="2"/>
    </w:pPr>
    <w:rPr>
      <w:rFonts w:ascii="Arial" w:hAnsi="Arial"/>
      <w:b/>
      <w:sz w:val="20"/>
    </w:rPr>
  </w:style>
  <w:style w:type="paragraph" w:customStyle="1" w:styleId="RefNumbers">
    <w:name w:val="Ref Numbers"/>
    <w:basedOn w:val="BodyText"/>
    <w:rsid w:val="00DF3166"/>
    <w:pPr>
      <w:tabs>
        <w:tab w:val="num" w:pos="720"/>
      </w:tabs>
      <w:spacing w:line="264" w:lineRule="auto"/>
      <w:ind w:left="720" w:hanging="720"/>
    </w:pPr>
    <w:rPr>
      <w:rFonts w:cs="Times New Roman"/>
    </w:rPr>
  </w:style>
  <w:style w:type="paragraph" w:customStyle="1" w:styleId="Table">
    <w:name w:val="Table"/>
    <w:basedOn w:val="Normal"/>
    <w:rsid w:val="00DF3166"/>
    <w:rPr>
      <w:rFonts w:ascii="Arial" w:hAnsi="Arial"/>
      <w:sz w:val="20"/>
    </w:rPr>
  </w:style>
  <w:style w:type="paragraph" w:styleId="Index1">
    <w:name w:val="index 1"/>
    <w:basedOn w:val="Normal"/>
    <w:next w:val="Normal"/>
    <w:autoRedefine/>
    <w:semiHidden/>
    <w:rsid w:val="00DF3166"/>
    <w:pPr>
      <w:ind w:left="220" w:hanging="220"/>
    </w:pPr>
    <w:rPr>
      <w:sz w:val="20"/>
    </w:rPr>
  </w:style>
  <w:style w:type="paragraph" w:customStyle="1" w:styleId="Numbers">
    <w:name w:val="Numbers"/>
    <w:basedOn w:val="BodyText"/>
    <w:rsid w:val="00DF3166"/>
    <w:pPr>
      <w:tabs>
        <w:tab w:val="num" w:pos="1080"/>
      </w:tabs>
      <w:spacing w:after="120" w:line="264" w:lineRule="auto"/>
      <w:ind w:left="1080" w:hanging="360"/>
    </w:pPr>
    <w:rPr>
      <w:rFonts w:cs="Times New Roman"/>
    </w:rPr>
  </w:style>
  <w:style w:type="paragraph" w:customStyle="1" w:styleId="Bullets">
    <w:name w:val="Bullets"/>
    <w:basedOn w:val="BodyText"/>
    <w:rsid w:val="00DF3166"/>
    <w:pPr>
      <w:tabs>
        <w:tab w:val="num" w:pos="1080"/>
      </w:tabs>
      <w:spacing w:after="120" w:line="264" w:lineRule="auto"/>
      <w:ind w:left="1080" w:hanging="360"/>
    </w:pPr>
    <w:rPr>
      <w:rFonts w:cs="Times New Roman"/>
    </w:rPr>
  </w:style>
  <w:style w:type="paragraph" w:customStyle="1" w:styleId="Heading3TimesNewRoman">
    <w:name w:val="Heading 3 + Times New Roman"/>
    <w:aliases w:val="Bold,Italic,Left:  0&quot;,First line:  0&quot;,Before..."/>
    <w:basedOn w:val="Normal"/>
    <w:rsid w:val="00DF3166"/>
    <w:rPr>
      <w:b/>
    </w:rPr>
  </w:style>
  <w:style w:type="paragraph" w:customStyle="1" w:styleId="12pt">
    <w:name w:val="12 pt"/>
    <w:basedOn w:val="Caption"/>
    <w:link w:val="12ptChar"/>
    <w:rsid w:val="00DF3166"/>
    <w:pPr>
      <w:tabs>
        <w:tab w:val="left" w:pos="1253"/>
      </w:tabs>
    </w:pPr>
  </w:style>
  <w:style w:type="character" w:customStyle="1" w:styleId="12ptChar">
    <w:name w:val="12 pt Char"/>
    <w:link w:val="12pt"/>
    <w:locked/>
    <w:rsid w:val="00DF3166"/>
    <w:rPr>
      <w:rFonts w:ascii="Times New Roman" w:eastAsia="Times New Roman" w:hAnsi="Times New Roman" w:cs="Times New Roman"/>
      <w:b/>
      <w:sz w:val="24"/>
      <w:szCs w:val="20"/>
    </w:rPr>
  </w:style>
  <w:style w:type="paragraph" w:customStyle="1" w:styleId="Normal11pt">
    <w:name w:val="Normal + 11 pt"/>
    <w:aliases w:val="Line spacing:  Multiple 1.1 li"/>
    <w:basedOn w:val="Normal"/>
    <w:rsid w:val="00DF3166"/>
    <w:pPr>
      <w:keepNext/>
      <w:keepLines/>
      <w:tabs>
        <w:tab w:val="left" w:pos="720"/>
        <w:tab w:val="left" w:pos="1080"/>
        <w:tab w:val="left" w:pos="1440"/>
        <w:tab w:val="left" w:pos="1800"/>
      </w:tabs>
      <w:spacing w:line="264" w:lineRule="auto"/>
      <w:jc w:val="right"/>
    </w:pPr>
    <w:rPr>
      <w:bCs/>
      <w:sz w:val="22"/>
    </w:rPr>
  </w:style>
  <w:style w:type="character" w:customStyle="1" w:styleId="apple-style-span">
    <w:name w:val="apple-style-span"/>
    <w:basedOn w:val="DefaultParagraphFont"/>
    <w:rsid w:val="00DF3166"/>
    <w:rPr>
      <w:rFonts w:cs="Times New Roman"/>
    </w:rPr>
  </w:style>
  <w:style w:type="character" w:customStyle="1" w:styleId="apple-converted-space">
    <w:name w:val="apple-converted-space"/>
    <w:basedOn w:val="DefaultParagraphFont"/>
    <w:rsid w:val="00DF3166"/>
    <w:rPr>
      <w:rFonts w:cs="Times New Roman"/>
    </w:rPr>
  </w:style>
  <w:style w:type="character" w:customStyle="1" w:styleId="DocumentMapChar">
    <w:name w:val="Document Map Char"/>
    <w:locked/>
    <w:rsid w:val="00DF3166"/>
    <w:rPr>
      <w:rFonts w:ascii="Tahoma" w:hAnsi="Tahoma"/>
      <w:shd w:val="clear" w:color="auto" w:fill="000080"/>
    </w:rPr>
  </w:style>
  <w:style w:type="paragraph" w:styleId="DocumentMap">
    <w:name w:val="Document Map"/>
    <w:basedOn w:val="Normal"/>
    <w:link w:val="DocumentMapChar1"/>
    <w:rsid w:val="00DF3166"/>
    <w:pPr>
      <w:shd w:val="clear" w:color="auto" w:fill="000080"/>
    </w:pPr>
    <w:rPr>
      <w:rFonts w:ascii="Tahoma" w:hAnsi="Tahoma"/>
      <w:sz w:val="20"/>
      <w:szCs w:val="20"/>
    </w:rPr>
  </w:style>
  <w:style w:type="character" w:customStyle="1" w:styleId="DocumentMapChar1">
    <w:name w:val="Document Map Char1"/>
    <w:basedOn w:val="DefaultParagraphFont"/>
    <w:link w:val="DocumentMap"/>
    <w:rsid w:val="00DF3166"/>
    <w:rPr>
      <w:rFonts w:ascii="Tahoma" w:eastAsia="Times New Roman" w:hAnsi="Tahoma" w:cs="Times New Roman"/>
      <w:sz w:val="20"/>
      <w:szCs w:val="20"/>
      <w:shd w:val="clear" w:color="auto" w:fill="000080"/>
    </w:rPr>
  </w:style>
  <w:style w:type="table" w:styleId="TableGrid5">
    <w:name w:val="Table Grid 5"/>
    <w:basedOn w:val="TableNormal"/>
    <w:rsid w:val="00DF3166"/>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cantSplit/>
      <w:jc w:val="center"/>
    </w:trPr>
    <w:tblStylePr w:type="firstRow">
      <w:pPr>
        <w:jc w:val="center"/>
      </w:pPr>
      <w:rPr>
        <w:rFonts w:cs="Times New Roman"/>
        <w:b/>
        <w:color w:val="FFFF00"/>
      </w:rPr>
      <w:tblPr/>
      <w:trPr>
        <w:tblHeader/>
      </w:trPr>
      <w:tcPr>
        <w:tcBorders>
          <w:bottom w:val="single" w:sz="12" w:space="0" w:color="000000"/>
        </w:tcBorders>
        <w:shd w:val="clear" w:color="auto" w:fill="3366FF"/>
      </w:tcPr>
    </w:tblStylePr>
    <w:tblStylePr w:type="lastRow">
      <w:rPr>
        <w:rFonts w:cs="Times New Roman"/>
        <w:b/>
        <w:bCs/>
      </w:rPr>
      <w:tblPr/>
      <w:tcPr>
        <w:tcBorders>
          <w:tl2br w:val="none" w:sz="0" w:space="0" w:color="auto"/>
          <w:tr2bl w:val="none" w:sz="0" w:space="0" w:color="auto"/>
        </w:tcBorders>
      </w:tcPr>
    </w:tblStylePr>
    <w:tblStylePr w:type="firstCol">
      <w:pPr>
        <w:jc w:val="left"/>
      </w:pPr>
      <w:rPr>
        <w:rFonts w:cs="Times New Roman"/>
      </w:rPr>
    </w:tblStylePr>
    <w:tblStylePr w:type="lastCol">
      <w:rPr>
        <w:rFonts w:cs="Times New Roman"/>
        <w:b w:val="0"/>
        <w:bCs/>
      </w:rPr>
      <w:tblPr/>
      <w:tcPr>
        <w:tcBorders>
          <w:tl2br w:val="none" w:sz="0" w:space="0" w:color="auto"/>
          <w:tr2bl w:val="none" w:sz="0" w:space="0" w:color="auto"/>
        </w:tcBorders>
      </w:tcPr>
    </w:tblStylePr>
    <w:tblStylePr w:type="nwCell">
      <w:pPr>
        <w:jc w:val="left"/>
      </w:pPr>
      <w:rPr>
        <w:rFonts w:cs="Times New Roman"/>
      </w:rPr>
      <w:tblPr/>
      <w:tcPr>
        <w:shd w:val="clear" w:color="auto" w:fill="3366FF"/>
      </w:tcPr>
    </w:tblStylePr>
  </w:style>
  <w:style w:type="paragraph" w:styleId="Revision">
    <w:name w:val="Revision"/>
    <w:hidden/>
    <w:uiPriority w:val="99"/>
    <w:semiHidden/>
    <w:rsid w:val="00DF3166"/>
    <w:pPr>
      <w:spacing w:after="0" w:line="240" w:lineRule="auto"/>
    </w:pPr>
    <w:rPr>
      <w:rFonts w:ascii="Times New Roman" w:eastAsia="Times New Roman" w:hAnsi="Times New Roman" w:cs="Times New Roman"/>
      <w:sz w:val="24"/>
      <w:szCs w:val="24"/>
    </w:rPr>
  </w:style>
  <w:style w:type="paragraph" w:customStyle="1" w:styleId="TableGridCT">
    <w:name w:val="TableGridCT"/>
    <w:basedOn w:val="Normal"/>
    <w:rsid w:val="00DF3166"/>
    <w:pPr>
      <w:jc w:val="right"/>
    </w:pPr>
    <w:rPr>
      <w:sz w:val="22"/>
      <w:szCs w:val="22"/>
    </w:rPr>
  </w:style>
  <w:style w:type="paragraph" w:customStyle="1" w:styleId="StyleCaptionLeft031">
    <w:name w:val="Style Caption + Left:  0.31&quot;"/>
    <w:basedOn w:val="Caption"/>
    <w:rsid w:val="00DF3166"/>
    <w:pPr>
      <w:tabs>
        <w:tab w:val="left" w:pos="1224"/>
      </w:tabs>
      <w:ind w:left="446" w:hanging="1224"/>
    </w:pPr>
    <w:rPr>
      <w:w w:val="105"/>
      <w:sz w:val="20"/>
    </w:rPr>
  </w:style>
  <w:style w:type="paragraph" w:customStyle="1" w:styleId="Style11ptBoldWhiteCenteredLinespacingMultiple11li">
    <w:name w:val="Style 11 pt Bold White Centered Line spacing:  Multiple 1.1 li"/>
    <w:basedOn w:val="Normal"/>
    <w:rsid w:val="00DF3166"/>
    <w:pPr>
      <w:keepNext/>
      <w:spacing w:line="264" w:lineRule="auto"/>
      <w:jc w:val="center"/>
    </w:pPr>
    <w:rPr>
      <w:b/>
      <w:bCs/>
      <w:color w:val="FFFFFF"/>
      <w:sz w:val="22"/>
      <w:szCs w:val="20"/>
    </w:rPr>
  </w:style>
  <w:style w:type="paragraph" w:customStyle="1" w:styleId="Textual1">
    <w:name w:val="Textual1"/>
    <w:basedOn w:val="Normal"/>
    <w:link w:val="Textual1Char1"/>
    <w:rsid w:val="00DF3166"/>
    <w:pPr>
      <w:spacing w:after="120" w:line="264" w:lineRule="auto"/>
    </w:pPr>
    <w:rPr>
      <w:sz w:val="22"/>
      <w:szCs w:val="20"/>
    </w:rPr>
  </w:style>
  <w:style w:type="character" w:customStyle="1" w:styleId="Textual1Char1">
    <w:name w:val="Textual1 Char1"/>
    <w:link w:val="Textual1"/>
    <w:locked/>
    <w:rsid w:val="00DF3166"/>
    <w:rPr>
      <w:rFonts w:ascii="Times New Roman" w:eastAsia="Times New Roman" w:hAnsi="Times New Roman" w:cs="Times New Roman"/>
      <w:szCs w:val="20"/>
    </w:rPr>
  </w:style>
  <w:style w:type="paragraph" w:customStyle="1" w:styleId="StyleCaptionLeft0311">
    <w:name w:val="Style Caption + Left:  0.31&quot;1"/>
    <w:basedOn w:val="Caption"/>
    <w:autoRedefine/>
    <w:rsid w:val="00DF3166"/>
    <w:pPr>
      <w:tabs>
        <w:tab w:val="left" w:pos="1224"/>
      </w:tabs>
      <w:ind w:left="446" w:hanging="1224"/>
    </w:pPr>
    <w:rPr>
      <w:w w:val="105"/>
      <w:sz w:val="20"/>
    </w:rPr>
  </w:style>
  <w:style w:type="paragraph" w:customStyle="1" w:styleId="Style11ptBoldWhiteLinespacingMultiple11li">
    <w:name w:val="Style 11 pt Bold White Line spacing:  Multiple 1.1 li"/>
    <w:basedOn w:val="Normal"/>
    <w:rsid w:val="00DF3166"/>
    <w:pPr>
      <w:keepNext/>
      <w:keepLines/>
      <w:spacing w:line="264" w:lineRule="auto"/>
    </w:pPr>
    <w:rPr>
      <w:b/>
      <w:bCs/>
      <w:color w:val="FFFFFF"/>
      <w:sz w:val="22"/>
      <w:szCs w:val="20"/>
    </w:rPr>
  </w:style>
  <w:style w:type="paragraph" w:customStyle="1" w:styleId="StyleCaptionLeft031Hanging069">
    <w:name w:val="Style Caption + Left:  0.31&quot; Hanging:  0.69&quot;"/>
    <w:basedOn w:val="Caption"/>
    <w:rsid w:val="00DF3166"/>
    <w:pPr>
      <w:tabs>
        <w:tab w:val="left" w:pos="1224"/>
      </w:tabs>
      <w:ind w:left="1440" w:hanging="994"/>
    </w:pPr>
    <w:rPr>
      <w:w w:val="105"/>
      <w:sz w:val="20"/>
    </w:rPr>
  </w:style>
  <w:style w:type="paragraph" w:customStyle="1" w:styleId="Style11ptBoldWhiteCenteredLinespacingMultiple11li1">
    <w:name w:val="Style 11 pt Bold White Centered Line spacing:  Multiple 1.1 li1"/>
    <w:basedOn w:val="Normal"/>
    <w:rsid w:val="00DF3166"/>
    <w:pPr>
      <w:keepNext/>
      <w:keepLines/>
      <w:spacing w:line="264" w:lineRule="auto"/>
      <w:jc w:val="center"/>
    </w:pPr>
    <w:rPr>
      <w:b/>
      <w:bCs/>
      <w:color w:val="FFFFFF"/>
      <w:sz w:val="22"/>
      <w:szCs w:val="20"/>
    </w:rPr>
  </w:style>
  <w:style w:type="paragraph" w:customStyle="1" w:styleId="StyleCaptionLeft031Hanging119">
    <w:name w:val="Style Caption + Left:  0.31&quot; Hanging:  1.19&quot;"/>
    <w:basedOn w:val="Caption"/>
    <w:rsid w:val="00DF3166"/>
    <w:pPr>
      <w:tabs>
        <w:tab w:val="left" w:pos="1224"/>
      </w:tabs>
      <w:ind w:left="2160" w:hanging="1714"/>
    </w:pPr>
    <w:rPr>
      <w:w w:val="105"/>
      <w:sz w:val="20"/>
    </w:rPr>
  </w:style>
  <w:style w:type="paragraph" w:customStyle="1" w:styleId="TableNote">
    <w:name w:val="Table Note"/>
    <w:basedOn w:val="Normal"/>
    <w:link w:val="TableNoteChar"/>
    <w:rsid w:val="00DF3166"/>
    <w:pPr>
      <w:tabs>
        <w:tab w:val="left" w:pos="360"/>
      </w:tabs>
      <w:spacing w:before="60"/>
      <w:ind w:left="360" w:hanging="360"/>
    </w:pPr>
    <w:rPr>
      <w:sz w:val="22"/>
      <w:szCs w:val="22"/>
    </w:rPr>
  </w:style>
  <w:style w:type="character" w:customStyle="1" w:styleId="TableNoteChar">
    <w:name w:val="Table Note Char"/>
    <w:basedOn w:val="DefaultParagraphFont"/>
    <w:link w:val="TableNote"/>
    <w:locked/>
    <w:rsid w:val="00DF3166"/>
    <w:rPr>
      <w:rFonts w:ascii="Times New Roman" w:eastAsia="Times New Roman" w:hAnsi="Times New Roman" w:cs="Times New Roman"/>
    </w:rPr>
  </w:style>
  <w:style w:type="paragraph" w:styleId="EndnoteText">
    <w:name w:val="endnote text"/>
    <w:basedOn w:val="Normal"/>
    <w:link w:val="EndnoteTextChar"/>
    <w:rsid w:val="00DF3166"/>
    <w:rPr>
      <w:sz w:val="20"/>
      <w:szCs w:val="20"/>
    </w:rPr>
  </w:style>
  <w:style w:type="character" w:customStyle="1" w:styleId="EndnoteTextChar">
    <w:name w:val="Endnote Text Char"/>
    <w:basedOn w:val="DefaultParagraphFont"/>
    <w:link w:val="EndnoteText"/>
    <w:rsid w:val="00DF3166"/>
    <w:rPr>
      <w:rFonts w:ascii="Times New Roman" w:eastAsia="Times New Roman" w:hAnsi="Times New Roman" w:cs="Times New Roman"/>
      <w:sz w:val="20"/>
      <w:szCs w:val="20"/>
    </w:rPr>
  </w:style>
  <w:style w:type="character" w:styleId="EndnoteReference">
    <w:name w:val="endnote reference"/>
    <w:basedOn w:val="DefaultParagraphFont"/>
    <w:rsid w:val="00DF3166"/>
    <w:rPr>
      <w:rFonts w:cs="Times New Roman"/>
      <w:vertAlign w:val="superscript"/>
    </w:rPr>
  </w:style>
  <w:style w:type="paragraph" w:styleId="TOC3">
    <w:name w:val="toc 3"/>
    <w:basedOn w:val="Normal"/>
    <w:next w:val="Normal"/>
    <w:autoRedefine/>
    <w:uiPriority w:val="39"/>
    <w:qFormat/>
    <w:rsid w:val="00DF3166"/>
    <w:pPr>
      <w:ind w:left="480"/>
    </w:pPr>
    <w:rPr>
      <w:rFonts w:asciiTheme="minorHAnsi" w:hAnsiTheme="minorHAnsi" w:cstheme="minorHAnsi"/>
      <w:i/>
      <w:iCs/>
      <w:sz w:val="20"/>
      <w:szCs w:val="20"/>
    </w:rPr>
  </w:style>
  <w:style w:type="paragraph" w:styleId="TOC2">
    <w:name w:val="toc 2"/>
    <w:basedOn w:val="Normal"/>
    <w:next w:val="Normal"/>
    <w:autoRedefine/>
    <w:uiPriority w:val="39"/>
    <w:qFormat/>
    <w:rsid w:val="00DF3166"/>
    <w:pPr>
      <w:ind w:left="240"/>
    </w:pPr>
    <w:rPr>
      <w:rFonts w:asciiTheme="minorHAnsi" w:hAnsiTheme="minorHAnsi" w:cstheme="minorHAnsi"/>
      <w:smallCaps/>
      <w:sz w:val="20"/>
      <w:szCs w:val="20"/>
    </w:rPr>
  </w:style>
  <w:style w:type="paragraph" w:styleId="TOC4">
    <w:name w:val="toc 4"/>
    <w:basedOn w:val="Normal"/>
    <w:next w:val="Normal"/>
    <w:autoRedefine/>
    <w:rsid w:val="00DF3166"/>
    <w:pPr>
      <w:ind w:left="720"/>
    </w:pPr>
    <w:rPr>
      <w:rFonts w:asciiTheme="minorHAnsi" w:hAnsiTheme="minorHAnsi" w:cstheme="minorHAnsi"/>
      <w:sz w:val="18"/>
      <w:szCs w:val="18"/>
    </w:rPr>
  </w:style>
  <w:style w:type="paragraph" w:customStyle="1" w:styleId="StyleHeading6">
    <w:name w:val="StyleHeading6"/>
    <w:basedOn w:val="StyleHeading5Linespacingsingle"/>
    <w:next w:val="BodyText"/>
    <w:rsid w:val="00DF3166"/>
    <w:pPr>
      <w:ind w:left="1440"/>
    </w:pPr>
    <w:rPr>
      <w:b/>
      <w:sz w:val="20"/>
    </w:rPr>
  </w:style>
  <w:style w:type="paragraph" w:customStyle="1" w:styleId="StyleAbtHeadAOutlinedPatternClearDarkBlue">
    <w:name w:val="Style AbtHead A Outlined + Pattern: Clear (Dark Blue)"/>
    <w:basedOn w:val="AbtHeadAOutlined"/>
    <w:rsid w:val="00DF3166"/>
    <w:pPr>
      <w:keepNext w:val="0"/>
      <w:keepLines w:val="0"/>
      <w:shd w:val="clear" w:color="auto" w:fill="000080"/>
      <w:tabs>
        <w:tab w:val="clear" w:pos="720"/>
        <w:tab w:val="num" w:pos="432"/>
      </w:tabs>
      <w:ind w:left="432" w:hanging="432"/>
    </w:pPr>
    <w:rPr>
      <w:rFonts w:ascii="Arial Bold" w:hAnsi="Arial Bold"/>
      <w:bCs/>
      <w:sz w:val="36"/>
    </w:rPr>
  </w:style>
  <w:style w:type="paragraph" w:customStyle="1" w:styleId="Style11Centered">
    <w:name w:val="Style 11 Centered"/>
    <w:basedOn w:val="Normal"/>
    <w:autoRedefine/>
    <w:rsid w:val="00DF3166"/>
    <w:pPr>
      <w:keepNext/>
      <w:keepLines/>
      <w:spacing w:line="264" w:lineRule="auto"/>
      <w:jc w:val="center"/>
    </w:pPr>
    <w:rPr>
      <w:b/>
      <w:bCs/>
      <w:color w:val="FFFFFF"/>
      <w:sz w:val="22"/>
      <w:szCs w:val="20"/>
    </w:rPr>
  </w:style>
  <w:style w:type="paragraph" w:customStyle="1" w:styleId="SubHead">
    <w:name w:val="SubHead"/>
    <w:basedOn w:val="Normal"/>
    <w:next w:val="BodyText"/>
    <w:rsid w:val="00DF3166"/>
    <w:pPr>
      <w:keepNext/>
      <w:keepLines/>
      <w:spacing w:after="120"/>
      <w:contextualSpacing/>
    </w:pPr>
    <w:rPr>
      <w:u w:val="single"/>
    </w:rPr>
  </w:style>
  <w:style w:type="paragraph" w:customStyle="1" w:styleId="AbtHeadDOutlined">
    <w:name w:val="AbtHead D Outlined"/>
    <w:basedOn w:val="Normal"/>
    <w:rsid w:val="00DF3166"/>
  </w:style>
  <w:style w:type="paragraph" w:customStyle="1" w:styleId="AbtHeadEOutlined">
    <w:name w:val="AbtHead E Outlined"/>
    <w:basedOn w:val="Normal"/>
    <w:rsid w:val="00DF3166"/>
  </w:style>
  <w:style w:type="paragraph" w:customStyle="1" w:styleId="StyleAbtHeadELinespacingsingle">
    <w:name w:val="Style AbtHead E + Line spacing:  single"/>
    <w:basedOn w:val="AbtHeadE"/>
    <w:rsid w:val="00DF3166"/>
    <w:pPr>
      <w:numPr>
        <w:ilvl w:val="0"/>
      </w:numPr>
      <w:tabs>
        <w:tab w:val="num" w:pos="1008"/>
      </w:tabs>
      <w:ind w:left="1728" w:hanging="1008"/>
    </w:pPr>
    <w:rPr>
      <w:b/>
      <w:i w:val="0"/>
      <w:iCs/>
    </w:rPr>
  </w:style>
  <w:style w:type="paragraph" w:customStyle="1" w:styleId="CM7">
    <w:name w:val="CM7"/>
    <w:basedOn w:val="Normal"/>
    <w:next w:val="Normal"/>
    <w:uiPriority w:val="99"/>
    <w:rsid w:val="00DF3166"/>
    <w:pPr>
      <w:widowControl w:val="0"/>
      <w:autoSpaceDE w:val="0"/>
      <w:autoSpaceDN w:val="0"/>
      <w:adjustRightInd w:val="0"/>
      <w:spacing w:line="276" w:lineRule="atLeast"/>
    </w:pPr>
  </w:style>
  <w:style w:type="paragraph" w:styleId="ListParagraph">
    <w:name w:val="List Paragraph"/>
    <w:basedOn w:val="Normal"/>
    <w:uiPriority w:val="34"/>
    <w:qFormat/>
    <w:rsid w:val="00DF3166"/>
    <w:pPr>
      <w:ind w:left="720"/>
      <w:contextualSpacing/>
    </w:pPr>
  </w:style>
  <w:style w:type="character" w:styleId="PlaceholderText">
    <w:name w:val="Placeholder Text"/>
    <w:basedOn w:val="DefaultParagraphFont"/>
    <w:uiPriority w:val="99"/>
    <w:semiHidden/>
    <w:rsid w:val="00DF3166"/>
    <w:rPr>
      <w:rFonts w:cs="Times New Roman"/>
      <w:color w:val="808080"/>
    </w:rPr>
  </w:style>
  <w:style w:type="character" w:customStyle="1" w:styleId="tp-label">
    <w:name w:val="tp-label"/>
    <w:basedOn w:val="DefaultParagraphFont"/>
    <w:rsid w:val="00DF3166"/>
    <w:rPr>
      <w:rFonts w:cs="Times New Roman"/>
    </w:rPr>
  </w:style>
  <w:style w:type="paragraph" w:styleId="BlockText">
    <w:name w:val="Block Text"/>
    <w:basedOn w:val="Normal"/>
    <w:link w:val="BlockTextChar"/>
    <w:autoRedefine/>
    <w:rsid w:val="00DF3166"/>
    <w:pPr>
      <w:tabs>
        <w:tab w:val="left" w:pos="540"/>
      </w:tabs>
      <w:spacing w:after="120" w:line="264" w:lineRule="auto"/>
    </w:pPr>
    <w:rPr>
      <w:rFonts w:ascii="Times" w:hAnsi="Times" w:cs="Arial"/>
      <w:iCs/>
      <w:sz w:val="22"/>
      <w:szCs w:val="22"/>
    </w:rPr>
  </w:style>
  <w:style w:type="character" w:customStyle="1" w:styleId="BlockTextChar">
    <w:name w:val="Block Text Char"/>
    <w:basedOn w:val="DefaultParagraphFont"/>
    <w:link w:val="BlockText"/>
    <w:locked/>
    <w:rsid w:val="00DF3166"/>
    <w:rPr>
      <w:rFonts w:ascii="Times" w:eastAsia="Times New Roman" w:hAnsi="Times" w:cs="Arial"/>
      <w:iCs/>
    </w:rPr>
  </w:style>
  <w:style w:type="paragraph" w:customStyle="1" w:styleId="StyleBulletsAfter6ptLinespacingsingle">
    <w:name w:val="Style Bullets + After:  6 pt Line spacing:  single"/>
    <w:basedOn w:val="Normal"/>
    <w:autoRedefine/>
    <w:rsid w:val="00DF3166"/>
    <w:pPr>
      <w:tabs>
        <w:tab w:val="left" w:pos="360"/>
        <w:tab w:val="left" w:pos="720"/>
        <w:tab w:val="num" w:pos="780"/>
      </w:tabs>
      <w:spacing w:after="120"/>
      <w:ind w:left="780" w:hanging="360"/>
    </w:pPr>
    <w:rPr>
      <w:rFonts w:ascii="Arial" w:hAnsi="Arial"/>
      <w:sz w:val="22"/>
      <w:szCs w:val="20"/>
    </w:rPr>
  </w:style>
  <w:style w:type="paragraph" w:customStyle="1" w:styleId="StyleStyleBulletsAfter6ptLinespacingsingleTimesNe">
    <w:name w:val="Style Style Bullets + After:  6 pt Line spacing:  single + Times Ne..."/>
    <w:basedOn w:val="StyleBulletsAfter6ptLinespacingsingle"/>
    <w:rsid w:val="00DF3166"/>
    <w:rPr>
      <w:rFonts w:ascii="Times New Roman" w:hAnsi="Times New Roman"/>
      <w:sz w:val="24"/>
    </w:rPr>
  </w:style>
  <w:style w:type="paragraph" w:customStyle="1" w:styleId="AppendixHeadingA">
    <w:name w:val="Appendix Heading A"/>
    <w:basedOn w:val="AbtHeadAOutlined"/>
    <w:autoRedefine/>
    <w:rsid w:val="00DF3166"/>
    <w:pPr>
      <w:pageBreakBefore/>
      <w:shd w:val="clear" w:color="auto" w:fill="003366"/>
      <w:tabs>
        <w:tab w:val="clear" w:pos="720"/>
        <w:tab w:val="num" w:pos="144"/>
      </w:tabs>
      <w:ind w:left="0" w:firstLine="0"/>
    </w:pPr>
    <w:rPr>
      <w:rFonts w:ascii="Arial Bold" w:hAnsi="Arial Bold"/>
      <w:sz w:val="36"/>
    </w:rPr>
  </w:style>
  <w:style w:type="paragraph" w:customStyle="1" w:styleId="AppendixHeadB">
    <w:name w:val="Appendix Head B"/>
    <w:basedOn w:val="AbtHeadBOutlined"/>
    <w:autoRedefine/>
    <w:rsid w:val="00DF3166"/>
    <w:pPr>
      <w:tabs>
        <w:tab w:val="clear" w:pos="1440"/>
      </w:tabs>
    </w:pPr>
    <w:rPr>
      <w:rFonts w:ascii="Arial" w:hAnsi="Arial"/>
    </w:rPr>
  </w:style>
  <w:style w:type="paragraph" w:customStyle="1" w:styleId="AppendixHeadC">
    <w:name w:val="Appendix Head C"/>
    <w:basedOn w:val="AbtHeadCOutlined"/>
    <w:autoRedefine/>
    <w:rsid w:val="00DF3166"/>
    <w:pPr>
      <w:contextualSpacing w:val="0"/>
    </w:pPr>
    <w:rPr>
      <w:rFonts w:ascii="Arial Bold" w:hAnsi="Arial Bold"/>
    </w:rPr>
  </w:style>
  <w:style w:type="paragraph" w:customStyle="1" w:styleId="AppendixHeadAOutlined">
    <w:name w:val="AppendixHead A Outlined"/>
    <w:basedOn w:val="AbtHeadAOutlined"/>
    <w:autoRedefine/>
    <w:rsid w:val="00DF3166"/>
    <w:pPr>
      <w:pageBreakBefore/>
      <w:tabs>
        <w:tab w:val="clear" w:pos="720"/>
        <w:tab w:val="num" w:pos="144"/>
      </w:tabs>
      <w:ind w:left="0" w:firstLine="0"/>
      <w:contextualSpacing/>
    </w:pPr>
  </w:style>
  <w:style w:type="paragraph" w:customStyle="1" w:styleId="AppendixHeadBOutlined">
    <w:name w:val="AppendixHead B Outlined"/>
    <w:basedOn w:val="AbtHeadBOutlined"/>
    <w:rsid w:val="00DF3166"/>
    <w:pPr>
      <w:tabs>
        <w:tab w:val="num" w:pos="792"/>
      </w:tabs>
      <w:ind w:left="0" w:firstLine="0"/>
    </w:pPr>
    <w:rPr>
      <w:sz w:val="24"/>
    </w:rPr>
  </w:style>
  <w:style w:type="paragraph" w:customStyle="1" w:styleId="AppendixHeadCOutlined">
    <w:name w:val="AppendixHead C Outlined"/>
    <w:basedOn w:val="AbtHeadCOutlined"/>
    <w:autoRedefine/>
    <w:rsid w:val="00DF3166"/>
    <w:pPr>
      <w:tabs>
        <w:tab w:val="num" w:pos="1728"/>
      </w:tabs>
      <w:ind w:left="1224" w:hanging="504"/>
      <w:contextualSpacing w:val="0"/>
    </w:pPr>
    <w:rPr>
      <w:rFonts w:ascii="Times New Roman" w:hAnsi="Times New Roman"/>
    </w:rPr>
  </w:style>
  <w:style w:type="paragraph" w:customStyle="1" w:styleId="Clear">
    <w:name w:val="Clear"/>
    <w:basedOn w:val="AbtHeadCOutlined"/>
    <w:rsid w:val="00DF3166"/>
    <w:pPr>
      <w:tabs>
        <w:tab w:val="num" w:pos="360"/>
        <w:tab w:val="num" w:pos="792"/>
      </w:tabs>
      <w:ind w:left="360" w:hanging="360"/>
      <w:contextualSpacing w:val="0"/>
    </w:pPr>
    <w:rPr>
      <w:rFonts w:ascii="Arial Bold" w:hAnsi="Arial Bold"/>
    </w:rPr>
  </w:style>
  <w:style w:type="paragraph" w:customStyle="1" w:styleId="CM16">
    <w:name w:val="CM16"/>
    <w:basedOn w:val="Normal"/>
    <w:next w:val="Normal"/>
    <w:rsid w:val="00DF3166"/>
    <w:pPr>
      <w:widowControl w:val="0"/>
      <w:autoSpaceDE w:val="0"/>
      <w:autoSpaceDN w:val="0"/>
      <w:adjustRightInd w:val="0"/>
      <w:spacing w:after="278"/>
    </w:pPr>
  </w:style>
  <w:style w:type="paragraph" w:customStyle="1" w:styleId="intro1">
    <w:name w:val="intro1"/>
    <w:basedOn w:val="Normal"/>
    <w:rsid w:val="00DF3166"/>
    <w:pPr>
      <w:spacing w:before="240" w:after="240"/>
    </w:pPr>
    <w:rPr>
      <w:sz w:val="29"/>
      <w:szCs w:val="29"/>
    </w:rPr>
  </w:style>
  <w:style w:type="character" w:customStyle="1" w:styleId="ContCaptionChar">
    <w:name w:val="ContCaption Char"/>
    <w:basedOn w:val="CaptionChar"/>
    <w:locked/>
    <w:rsid w:val="00DF3166"/>
    <w:rPr>
      <w:rFonts w:ascii="Times New Roman" w:eastAsia="Times New Roman" w:hAnsi="Times New Roman" w:cs="Times New Roman"/>
      <w:b/>
      <w:bCs/>
      <w:sz w:val="24"/>
      <w:szCs w:val="24"/>
      <w:lang w:val="en-US" w:eastAsia="en-US" w:bidi="ar-SA"/>
    </w:rPr>
  </w:style>
  <w:style w:type="character" w:customStyle="1" w:styleId="Textual1Char">
    <w:name w:val="Textual1 Char"/>
    <w:basedOn w:val="DefaultParagraphFont"/>
    <w:rsid w:val="00DF3166"/>
    <w:rPr>
      <w:rFonts w:cs="Times New Roman"/>
      <w:sz w:val="22"/>
      <w:szCs w:val="22"/>
      <w:lang w:val="en-US" w:eastAsia="en-US" w:bidi="ar-SA"/>
    </w:rPr>
  </w:style>
  <w:style w:type="character" w:customStyle="1" w:styleId="CaptionChar1">
    <w:name w:val="Caption Char1"/>
    <w:rsid w:val="00DF3166"/>
    <w:rPr>
      <w:b/>
      <w:sz w:val="24"/>
      <w:lang w:val="en-US" w:eastAsia="en-US"/>
    </w:rPr>
  </w:style>
  <w:style w:type="paragraph" w:styleId="NoSpacing">
    <w:name w:val="No Spacing"/>
    <w:uiPriority w:val="1"/>
    <w:qFormat/>
    <w:rsid w:val="00DF3166"/>
    <w:pPr>
      <w:spacing w:after="0" w:line="240" w:lineRule="auto"/>
    </w:pPr>
    <w:rPr>
      <w:rFonts w:ascii="Times New Roman" w:eastAsia="Times New Roman" w:hAnsi="Times New Roman" w:cs="Times New Roman"/>
      <w:sz w:val="24"/>
      <w:szCs w:val="24"/>
    </w:rPr>
  </w:style>
  <w:style w:type="paragraph" w:customStyle="1" w:styleId="title1">
    <w:name w:val="title1"/>
    <w:basedOn w:val="Normal"/>
    <w:rsid w:val="00DF3166"/>
    <w:rPr>
      <w:sz w:val="29"/>
      <w:szCs w:val="29"/>
    </w:rPr>
  </w:style>
  <w:style w:type="paragraph" w:customStyle="1" w:styleId="rprtbody1">
    <w:name w:val="rprtbody1"/>
    <w:basedOn w:val="Normal"/>
    <w:rsid w:val="00DF3166"/>
    <w:pPr>
      <w:spacing w:before="34" w:after="34"/>
    </w:pPr>
    <w:rPr>
      <w:sz w:val="28"/>
      <w:szCs w:val="28"/>
    </w:rPr>
  </w:style>
  <w:style w:type="paragraph" w:customStyle="1" w:styleId="aux1">
    <w:name w:val="aux1"/>
    <w:basedOn w:val="Normal"/>
    <w:rsid w:val="00DF3166"/>
    <w:pPr>
      <w:spacing w:line="320" w:lineRule="atLeast"/>
    </w:pPr>
  </w:style>
  <w:style w:type="character" w:customStyle="1" w:styleId="rprtid1">
    <w:name w:val="rprtid1"/>
    <w:rsid w:val="00DF3166"/>
    <w:rPr>
      <w:vanish/>
      <w:color w:val="696969"/>
    </w:rPr>
  </w:style>
  <w:style w:type="character" w:customStyle="1" w:styleId="rprtlinks1">
    <w:name w:val="rprtlinks1"/>
    <w:rsid w:val="00DF3166"/>
    <w:rPr>
      <w:vanish/>
    </w:rPr>
  </w:style>
  <w:style w:type="character" w:customStyle="1" w:styleId="src1">
    <w:name w:val="src1"/>
    <w:rsid w:val="00DF3166"/>
    <w:rPr>
      <w:vanish/>
    </w:rPr>
  </w:style>
  <w:style w:type="character" w:customStyle="1" w:styleId="jrnl">
    <w:name w:val="jrnl"/>
    <w:rsid w:val="00DF3166"/>
  </w:style>
  <w:style w:type="character" w:customStyle="1" w:styleId="statusicon1">
    <w:name w:val="status_icon1"/>
    <w:rsid w:val="00DF3166"/>
    <w:rPr>
      <w:b/>
      <w:color w:val="985735"/>
    </w:rPr>
  </w:style>
  <w:style w:type="paragraph" w:styleId="NormalWeb">
    <w:name w:val="Normal (Web)"/>
    <w:basedOn w:val="Normal"/>
    <w:uiPriority w:val="99"/>
    <w:rsid w:val="00DF3166"/>
    <w:pPr>
      <w:spacing w:before="100" w:beforeAutospacing="1" w:after="100" w:afterAutospacing="1"/>
    </w:pPr>
  </w:style>
  <w:style w:type="paragraph" w:styleId="TOC5">
    <w:name w:val="toc 5"/>
    <w:basedOn w:val="Normal"/>
    <w:next w:val="Normal"/>
    <w:autoRedefine/>
    <w:rsid w:val="00DF3166"/>
    <w:pPr>
      <w:ind w:left="960"/>
    </w:pPr>
    <w:rPr>
      <w:rFonts w:asciiTheme="minorHAnsi" w:hAnsiTheme="minorHAnsi" w:cstheme="minorHAnsi"/>
      <w:sz w:val="18"/>
      <w:szCs w:val="18"/>
    </w:rPr>
  </w:style>
  <w:style w:type="table" w:customStyle="1" w:styleId="TableGridTotalSplit">
    <w:name w:val="Table Grid Total Split"/>
    <w:basedOn w:val="TableGridTotal"/>
    <w:rsid w:val="00DF3166"/>
    <w:tblPr/>
    <w:tblStylePr w:type="firstRow">
      <w:pPr>
        <w:jc w:val="center"/>
      </w:pPr>
      <w:rPr>
        <w:rFonts w:cs="Times New Roman"/>
        <w:b/>
      </w:rPr>
      <w:tblPr/>
      <w:trPr>
        <w:cantSplit/>
      </w:trPr>
      <w:tcPr>
        <w:tcBorders>
          <w:top w:val="single" w:sz="8" w:space="0" w:color="auto"/>
          <w:left w:val="single" w:sz="8" w:space="0" w:color="auto"/>
          <w:bottom w:val="double" w:sz="4" w:space="0" w:color="auto"/>
          <w:right w:val="single" w:sz="8" w:space="0" w:color="auto"/>
          <w:insideH w:val="nil"/>
          <w:insideV w:val="single" w:sz="2" w:space="0" w:color="auto"/>
          <w:tl2br w:val="nil"/>
          <w:tr2bl w:val="nil"/>
        </w:tcBorders>
      </w:tcPr>
    </w:tblStylePr>
    <w:tblStylePr w:type="lastRow">
      <w:rPr>
        <w:rFonts w:cs="Times New Roman"/>
        <w:b/>
      </w:rPr>
      <w:tblPr/>
      <w:tcPr>
        <w:tcBorders>
          <w:top w:val="single" w:sz="12" w:space="0" w:color="auto"/>
          <w:left w:val="single" w:sz="8" w:space="0" w:color="auto"/>
          <w:bottom w:val="single" w:sz="12" w:space="0" w:color="auto"/>
          <w:right w:val="single" w:sz="8" w:space="0" w:color="auto"/>
          <w:insideH w:val="nil"/>
          <w:insideV w:val="single" w:sz="2" w:space="0" w:color="auto"/>
          <w:tl2br w:val="nil"/>
          <w:tr2bl w:val="nil"/>
        </w:tcBorders>
      </w:tcPr>
    </w:tblStylePr>
    <w:tblStylePr w:type="firstCol">
      <w:pPr>
        <w:jc w:val="left"/>
      </w:pPr>
      <w:rPr>
        <w:rFonts w:cs="Times New Roman"/>
      </w:rPr>
    </w:tblStylePr>
    <w:tblStylePr w:type="nwCell">
      <w:pPr>
        <w:jc w:val="left"/>
      </w:pPr>
      <w:rPr>
        <w:rFonts w:cs="Times New Roman"/>
      </w:rPr>
    </w:tblStylePr>
  </w:style>
  <w:style w:type="table" w:customStyle="1" w:styleId="TableGrid1">
    <w:name w:val="Table Grid1"/>
    <w:rsid w:val="00DF3166"/>
    <w:pPr>
      <w:keepNext/>
      <w:keepLines/>
      <w:spacing w:after="0" w:line="240" w:lineRule="auto"/>
    </w:pPr>
    <w:rPr>
      <w:rFonts w:ascii="Times New Roman" w:eastAsia="Times New Roman" w:hAnsi="Times New Roman" w:cs="Times New Roman"/>
      <w:sz w:val="20"/>
      <w:szCs w:val="20"/>
    </w:rPr>
    <w:tblPr>
      <w:tblInd w:w="0" w:type="dxa"/>
      <w:tblBorders>
        <w:top w:val="single" w:sz="8" w:space="0" w:color="auto"/>
        <w:left w:val="single" w:sz="8" w:space="0" w:color="auto"/>
        <w:bottom w:val="single" w:sz="12" w:space="0" w:color="auto"/>
        <w:right w:val="single" w:sz="8" w:space="0" w:color="auto"/>
        <w:insideH w:val="single" w:sz="2" w:space="0" w:color="auto"/>
        <w:insideV w:val="single" w:sz="2" w:space="0" w:color="auto"/>
      </w:tblBorders>
      <w:tblCellMar>
        <w:top w:w="0" w:type="dxa"/>
        <w:left w:w="108" w:type="dxa"/>
        <w:bottom w:w="0" w:type="dxa"/>
        <w:right w:w="108" w:type="dxa"/>
      </w:tblCellMar>
    </w:tblPr>
    <w:trPr>
      <w:cantSplit/>
    </w:trPr>
  </w:style>
  <w:style w:type="paragraph" w:styleId="Title">
    <w:name w:val="Title"/>
    <w:basedOn w:val="Normal"/>
    <w:next w:val="Normal"/>
    <w:link w:val="TitleChar"/>
    <w:uiPriority w:val="10"/>
    <w:qFormat/>
    <w:rsid w:val="00DF3166"/>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F3166"/>
    <w:rPr>
      <w:rFonts w:asciiTheme="majorHAnsi" w:eastAsiaTheme="majorEastAsia" w:hAnsiTheme="majorHAnsi" w:cstheme="majorBidi"/>
      <w:color w:val="323E4F" w:themeColor="text2" w:themeShade="BF"/>
      <w:spacing w:val="5"/>
      <w:kern w:val="28"/>
      <w:sz w:val="52"/>
      <w:szCs w:val="52"/>
    </w:rPr>
  </w:style>
  <w:style w:type="paragraph" w:styleId="TOCHeading">
    <w:name w:val="TOC Heading"/>
    <w:basedOn w:val="Heading1"/>
    <w:next w:val="Normal"/>
    <w:uiPriority w:val="39"/>
    <w:unhideWhenUsed/>
    <w:qFormat/>
    <w:rsid w:val="00DF3166"/>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styleId="TOC6">
    <w:name w:val="toc 6"/>
    <w:basedOn w:val="Normal"/>
    <w:next w:val="Normal"/>
    <w:autoRedefine/>
    <w:uiPriority w:val="39"/>
    <w:unhideWhenUsed/>
    <w:rsid w:val="00DF3166"/>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DF3166"/>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DF3166"/>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DF3166"/>
    <w:pPr>
      <w:ind w:left="1920"/>
    </w:pPr>
    <w:rPr>
      <w:rFonts w:asciiTheme="minorHAnsi" w:hAnsiTheme="minorHAnsi" w:cstheme="minorHAnsi"/>
      <w:sz w:val="18"/>
      <w:szCs w:val="18"/>
    </w:rPr>
  </w:style>
  <w:style w:type="character" w:styleId="LineNumber">
    <w:name w:val="line number"/>
    <w:basedOn w:val="DefaultParagraphFont"/>
    <w:uiPriority w:val="99"/>
    <w:semiHidden/>
    <w:unhideWhenUsed/>
    <w:rsid w:val="00DF3166"/>
  </w:style>
  <w:style w:type="character" w:customStyle="1" w:styleId="CommentSubjectChar1">
    <w:name w:val="Comment Subject Char1"/>
    <w:basedOn w:val="CommentTextChar"/>
    <w:uiPriority w:val="99"/>
    <w:semiHidden/>
    <w:rsid w:val="00DF3166"/>
    <w:rPr>
      <w:rFonts w:ascii="Times New Roman" w:eastAsia="Times New Roman" w:hAnsi="Times New Roman" w:cs="Times New Roman"/>
      <w:b/>
      <w:bCs/>
      <w:sz w:val="20"/>
      <w:szCs w:val="20"/>
    </w:rPr>
  </w:style>
  <w:style w:type="paragraph" w:styleId="Bibliography">
    <w:name w:val="Bibliography"/>
    <w:basedOn w:val="Normal"/>
    <w:next w:val="Normal"/>
    <w:uiPriority w:val="37"/>
    <w:unhideWhenUsed/>
    <w:rsid w:val="00DF3166"/>
  </w:style>
  <w:style w:type="paragraph" w:customStyle="1" w:styleId="Heading21">
    <w:name w:val="Heading 21"/>
    <w:basedOn w:val="Normal"/>
    <w:next w:val="Normal"/>
    <w:uiPriority w:val="9"/>
    <w:unhideWhenUsed/>
    <w:qFormat/>
    <w:rsid w:val="00DF3166"/>
    <w:pPr>
      <w:keepNext/>
      <w:keepLines/>
      <w:spacing w:before="120"/>
      <w:outlineLvl w:val="1"/>
    </w:pPr>
    <w:rPr>
      <w:b/>
      <w:bCs/>
      <w:sz w:val="28"/>
      <w:szCs w:val="26"/>
    </w:rPr>
  </w:style>
  <w:style w:type="paragraph" w:customStyle="1" w:styleId="Heading31">
    <w:name w:val="Heading 31"/>
    <w:basedOn w:val="Normal"/>
    <w:next w:val="Normal"/>
    <w:unhideWhenUsed/>
    <w:qFormat/>
    <w:rsid w:val="00DF3166"/>
    <w:pPr>
      <w:keepNext/>
      <w:keepLines/>
      <w:spacing w:before="200"/>
      <w:outlineLvl w:val="2"/>
    </w:pPr>
    <w:rPr>
      <w:bCs/>
      <w:sz w:val="28"/>
    </w:rPr>
  </w:style>
  <w:style w:type="paragraph" w:customStyle="1" w:styleId="Heading51">
    <w:name w:val="Heading 51"/>
    <w:basedOn w:val="Normal"/>
    <w:next w:val="Normal"/>
    <w:semiHidden/>
    <w:unhideWhenUsed/>
    <w:qFormat/>
    <w:rsid w:val="00DF3166"/>
    <w:pPr>
      <w:keepNext/>
      <w:keepLines/>
      <w:spacing w:before="200"/>
      <w:outlineLvl w:val="4"/>
    </w:pPr>
    <w:rPr>
      <w:rFonts w:ascii="Cambria" w:hAnsi="Cambria"/>
      <w:color w:val="243F60"/>
    </w:rPr>
  </w:style>
  <w:style w:type="numbering" w:customStyle="1" w:styleId="NoList1">
    <w:name w:val="No List1"/>
    <w:next w:val="NoList"/>
    <w:uiPriority w:val="99"/>
    <w:semiHidden/>
    <w:unhideWhenUsed/>
    <w:rsid w:val="00DF3166"/>
  </w:style>
  <w:style w:type="paragraph" w:customStyle="1" w:styleId="TOCHeading1">
    <w:name w:val="TOC Heading1"/>
    <w:basedOn w:val="Heading1"/>
    <w:next w:val="Normal"/>
    <w:uiPriority w:val="39"/>
    <w:unhideWhenUsed/>
    <w:qFormat/>
    <w:rsid w:val="00DF3166"/>
    <w:pPr>
      <w:keepLines/>
      <w:spacing w:before="480" w:after="0" w:line="276" w:lineRule="auto"/>
      <w:outlineLvl w:val="9"/>
    </w:pPr>
    <w:rPr>
      <w:rFonts w:ascii="Cambria" w:hAnsi="Cambria"/>
      <w:color w:val="365F91"/>
      <w:kern w:val="0"/>
      <w:lang w:eastAsia="ja-JP"/>
    </w:rPr>
  </w:style>
  <w:style w:type="paragraph" w:customStyle="1" w:styleId="TOC21">
    <w:name w:val="TOC 21"/>
    <w:basedOn w:val="Normal"/>
    <w:next w:val="Normal"/>
    <w:autoRedefine/>
    <w:uiPriority w:val="39"/>
    <w:unhideWhenUsed/>
    <w:qFormat/>
    <w:rsid w:val="00DF3166"/>
    <w:pPr>
      <w:spacing w:after="100" w:line="276" w:lineRule="auto"/>
      <w:ind w:left="220"/>
    </w:pPr>
    <w:rPr>
      <w:rFonts w:ascii="Calibri" w:hAnsi="Calibri"/>
      <w:sz w:val="22"/>
      <w:szCs w:val="22"/>
      <w:lang w:eastAsia="ja-JP"/>
    </w:rPr>
  </w:style>
  <w:style w:type="paragraph" w:customStyle="1" w:styleId="TOC11">
    <w:name w:val="TOC 11"/>
    <w:basedOn w:val="Normal"/>
    <w:next w:val="Normal"/>
    <w:autoRedefine/>
    <w:uiPriority w:val="39"/>
    <w:unhideWhenUsed/>
    <w:qFormat/>
    <w:rsid w:val="00DF3166"/>
    <w:pPr>
      <w:spacing w:after="100" w:line="276" w:lineRule="auto"/>
    </w:pPr>
    <w:rPr>
      <w:rFonts w:ascii="Calibri" w:hAnsi="Calibri"/>
      <w:sz w:val="22"/>
      <w:szCs w:val="22"/>
      <w:lang w:eastAsia="ja-JP"/>
    </w:rPr>
  </w:style>
  <w:style w:type="paragraph" w:customStyle="1" w:styleId="TOC31">
    <w:name w:val="TOC 31"/>
    <w:basedOn w:val="Normal"/>
    <w:next w:val="Normal"/>
    <w:autoRedefine/>
    <w:uiPriority w:val="39"/>
    <w:unhideWhenUsed/>
    <w:qFormat/>
    <w:rsid w:val="00DF3166"/>
    <w:pPr>
      <w:spacing w:after="100" w:line="276" w:lineRule="auto"/>
      <w:ind w:left="440"/>
    </w:pPr>
    <w:rPr>
      <w:rFonts w:ascii="Calibri" w:hAnsi="Calibri"/>
      <w:sz w:val="22"/>
      <w:szCs w:val="22"/>
      <w:lang w:eastAsia="ja-JP"/>
    </w:rPr>
  </w:style>
  <w:style w:type="character" w:customStyle="1" w:styleId="FollowedHyperlink1">
    <w:name w:val="FollowedHyperlink1"/>
    <w:basedOn w:val="DefaultParagraphFont"/>
    <w:uiPriority w:val="99"/>
    <w:semiHidden/>
    <w:unhideWhenUsed/>
    <w:rsid w:val="00DF3166"/>
    <w:rPr>
      <w:color w:val="800080"/>
      <w:u w:val="single"/>
    </w:rPr>
  </w:style>
  <w:style w:type="paragraph" w:customStyle="1" w:styleId="TOC41">
    <w:name w:val="TOC 41"/>
    <w:basedOn w:val="Normal"/>
    <w:next w:val="Normal"/>
    <w:autoRedefine/>
    <w:uiPriority w:val="39"/>
    <w:unhideWhenUsed/>
    <w:rsid w:val="00DF3166"/>
    <w:pPr>
      <w:spacing w:after="100" w:line="276" w:lineRule="auto"/>
      <w:ind w:left="660"/>
    </w:pPr>
    <w:rPr>
      <w:rFonts w:ascii="Calibri" w:hAnsi="Calibri"/>
      <w:sz w:val="22"/>
      <w:szCs w:val="22"/>
    </w:rPr>
  </w:style>
  <w:style w:type="paragraph" w:customStyle="1" w:styleId="TOC51">
    <w:name w:val="TOC 51"/>
    <w:basedOn w:val="Normal"/>
    <w:next w:val="Normal"/>
    <w:autoRedefine/>
    <w:uiPriority w:val="39"/>
    <w:unhideWhenUsed/>
    <w:rsid w:val="00DF3166"/>
    <w:pPr>
      <w:spacing w:after="100" w:line="276" w:lineRule="auto"/>
      <w:ind w:left="880"/>
    </w:pPr>
    <w:rPr>
      <w:rFonts w:ascii="Calibri" w:hAnsi="Calibri"/>
      <w:sz w:val="22"/>
      <w:szCs w:val="22"/>
    </w:rPr>
  </w:style>
  <w:style w:type="paragraph" w:customStyle="1" w:styleId="TOC61">
    <w:name w:val="TOC 61"/>
    <w:basedOn w:val="Normal"/>
    <w:next w:val="Normal"/>
    <w:autoRedefine/>
    <w:uiPriority w:val="39"/>
    <w:unhideWhenUsed/>
    <w:rsid w:val="00DF3166"/>
    <w:pPr>
      <w:spacing w:after="100" w:line="276" w:lineRule="auto"/>
      <w:ind w:left="1100"/>
    </w:pPr>
    <w:rPr>
      <w:rFonts w:ascii="Calibri" w:hAnsi="Calibri"/>
      <w:sz w:val="22"/>
      <w:szCs w:val="22"/>
    </w:rPr>
  </w:style>
  <w:style w:type="paragraph" w:customStyle="1" w:styleId="TOC71">
    <w:name w:val="TOC 71"/>
    <w:basedOn w:val="Normal"/>
    <w:next w:val="Normal"/>
    <w:autoRedefine/>
    <w:uiPriority w:val="39"/>
    <w:unhideWhenUsed/>
    <w:rsid w:val="00DF3166"/>
    <w:pPr>
      <w:spacing w:after="100" w:line="276" w:lineRule="auto"/>
      <w:ind w:left="1320"/>
    </w:pPr>
    <w:rPr>
      <w:rFonts w:ascii="Calibri" w:hAnsi="Calibri"/>
      <w:sz w:val="22"/>
      <w:szCs w:val="22"/>
    </w:rPr>
  </w:style>
  <w:style w:type="paragraph" w:customStyle="1" w:styleId="TOC81">
    <w:name w:val="TOC 81"/>
    <w:basedOn w:val="Normal"/>
    <w:next w:val="Normal"/>
    <w:autoRedefine/>
    <w:uiPriority w:val="39"/>
    <w:unhideWhenUsed/>
    <w:rsid w:val="00DF3166"/>
    <w:pPr>
      <w:spacing w:after="100" w:line="276" w:lineRule="auto"/>
      <w:ind w:left="1540"/>
    </w:pPr>
    <w:rPr>
      <w:rFonts w:ascii="Calibri" w:hAnsi="Calibri"/>
      <w:sz w:val="22"/>
      <w:szCs w:val="22"/>
    </w:rPr>
  </w:style>
  <w:style w:type="paragraph" w:customStyle="1" w:styleId="TOC91">
    <w:name w:val="TOC 91"/>
    <w:basedOn w:val="Normal"/>
    <w:next w:val="Normal"/>
    <w:autoRedefine/>
    <w:uiPriority w:val="39"/>
    <w:unhideWhenUsed/>
    <w:rsid w:val="00DF3166"/>
    <w:pPr>
      <w:spacing w:after="100" w:line="276" w:lineRule="auto"/>
      <w:ind w:left="1760"/>
    </w:pPr>
    <w:rPr>
      <w:rFonts w:ascii="Calibri" w:hAnsi="Calibri"/>
      <w:sz w:val="22"/>
      <w:szCs w:val="22"/>
    </w:rPr>
  </w:style>
  <w:style w:type="character" w:customStyle="1" w:styleId="Heading2Char1">
    <w:name w:val="Heading 2 Char1"/>
    <w:basedOn w:val="DefaultParagraphFont"/>
    <w:uiPriority w:val="9"/>
    <w:semiHidden/>
    <w:rsid w:val="00DF3166"/>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DefaultParagraphFont"/>
    <w:uiPriority w:val="9"/>
    <w:semiHidden/>
    <w:rsid w:val="00DF3166"/>
    <w:rPr>
      <w:rFonts w:asciiTheme="majorHAnsi" w:eastAsiaTheme="majorEastAsia" w:hAnsiTheme="majorHAnsi" w:cstheme="majorBidi"/>
      <w:b/>
      <w:bCs/>
      <w:color w:val="5B9BD5" w:themeColor="accent1"/>
    </w:rPr>
  </w:style>
  <w:style w:type="character" w:customStyle="1" w:styleId="Heading5Char1">
    <w:name w:val="Heading 5 Char1"/>
    <w:basedOn w:val="DefaultParagraphFont"/>
    <w:uiPriority w:val="9"/>
    <w:semiHidden/>
    <w:rsid w:val="00DF3166"/>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DF3166"/>
    <w:rPr>
      <w:i/>
      <w:iCs/>
    </w:rPr>
  </w:style>
  <w:style w:type="character" w:customStyle="1" w:styleId="cit-pub-date">
    <w:name w:val="cit-pub-date"/>
    <w:basedOn w:val="DefaultParagraphFont"/>
    <w:rsid w:val="00DF3166"/>
  </w:style>
  <w:style w:type="character" w:styleId="Strong">
    <w:name w:val="Strong"/>
    <w:uiPriority w:val="22"/>
    <w:qFormat/>
    <w:rsid w:val="00BE0BA6"/>
    <w:rPr>
      <w:b/>
      <w:bCs/>
    </w:rPr>
  </w:style>
  <w:style w:type="paragraph" w:customStyle="1" w:styleId="Default">
    <w:name w:val="Default"/>
    <w:rsid w:val="00626A4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76752">
      <w:bodyDiv w:val="1"/>
      <w:marLeft w:val="0"/>
      <w:marRight w:val="0"/>
      <w:marTop w:val="0"/>
      <w:marBottom w:val="0"/>
      <w:divBdr>
        <w:top w:val="none" w:sz="0" w:space="0" w:color="auto"/>
        <w:left w:val="none" w:sz="0" w:space="0" w:color="auto"/>
        <w:bottom w:val="none" w:sz="0" w:space="0" w:color="auto"/>
        <w:right w:val="none" w:sz="0" w:space="0" w:color="auto"/>
      </w:divBdr>
    </w:div>
    <w:div w:id="307170211">
      <w:bodyDiv w:val="1"/>
      <w:marLeft w:val="0"/>
      <w:marRight w:val="0"/>
      <w:marTop w:val="0"/>
      <w:marBottom w:val="0"/>
      <w:divBdr>
        <w:top w:val="none" w:sz="0" w:space="0" w:color="auto"/>
        <w:left w:val="none" w:sz="0" w:space="0" w:color="auto"/>
        <w:bottom w:val="none" w:sz="0" w:space="0" w:color="auto"/>
        <w:right w:val="none" w:sz="0" w:space="0" w:color="auto"/>
      </w:divBdr>
    </w:div>
    <w:div w:id="344091417">
      <w:bodyDiv w:val="1"/>
      <w:marLeft w:val="0"/>
      <w:marRight w:val="0"/>
      <w:marTop w:val="0"/>
      <w:marBottom w:val="0"/>
      <w:divBdr>
        <w:top w:val="none" w:sz="0" w:space="0" w:color="auto"/>
        <w:left w:val="none" w:sz="0" w:space="0" w:color="auto"/>
        <w:bottom w:val="none" w:sz="0" w:space="0" w:color="auto"/>
        <w:right w:val="none" w:sz="0" w:space="0" w:color="auto"/>
      </w:divBdr>
    </w:div>
    <w:div w:id="442380613">
      <w:bodyDiv w:val="1"/>
      <w:marLeft w:val="0"/>
      <w:marRight w:val="0"/>
      <w:marTop w:val="0"/>
      <w:marBottom w:val="0"/>
      <w:divBdr>
        <w:top w:val="none" w:sz="0" w:space="0" w:color="auto"/>
        <w:left w:val="none" w:sz="0" w:space="0" w:color="auto"/>
        <w:bottom w:val="none" w:sz="0" w:space="0" w:color="auto"/>
        <w:right w:val="none" w:sz="0" w:space="0" w:color="auto"/>
      </w:divBdr>
    </w:div>
    <w:div w:id="511653297">
      <w:bodyDiv w:val="1"/>
      <w:marLeft w:val="0"/>
      <w:marRight w:val="0"/>
      <w:marTop w:val="0"/>
      <w:marBottom w:val="0"/>
      <w:divBdr>
        <w:top w:val="none" w:sz="0" w:space="0" w:color="auto"/>
        <w:left w:val="none" w:sz="0" w:space="0" w:color="auto"/>
        <w:bottom w:val="none" w:sz="0" w:space="0" w:color="auto"/>
        <w:right w:val="none" w:sz="0" w:space="0" w:color="auto"/>
      </w:divBdr>
    </w:div>
    <w:div w:id="512300625">
      <w:bodyDiv w:val="1"/>
      <w:marLeft w:val="0"/>
      <w:marRight w:val="0"/>
      <w:marTop w:val="0"/>
      <w:marBottom w:val="0"/>
      <w:divBdr>
        <w:top w:val="none" w:sz="0" w:space="0" w:color="auto"/>
        <w:left w:val="none" w:sz="0" w:space="0" w:color="auto"/>
        <w:bottom w:val="none" w:sz="0" w:space="0" w:color="auto"/>
        <w:right w:val="none" w:sz="0" w:space="0" w:color="auto"/>
      </w:divBdr>
    </w:div>
    <w:div w:id="657534076">
      <w:bodyDiv w:val="1"/>
      <w:marLeft w:val="0"/>
      <w:marRight w:val="0"/>
      <w:marTop w:val="0"/>
      <w:marBottom w:val="0"/>
      <w:divBdr>
        <w:top w:val="none" w:sz="0" w:space="0" w:color="auto"/>
        <w:left w:val="none" w:sz="0" w:space="0" w:color="auto"/>
        <w:bottom w:val="none" w:sz="0" w:space="0" w:color="auto"/>
        <w:right w:val="none" w:sz="0" w:space="0" w:color="auto"/>
      </w:divBdr>
    </w:div>
    <w:div w:id="677535800">
      <w:bodyDiv w:val="1"/>
      <w:marLeft w:val="0"/>
      <w:marRight w:val="0"/>
      <w:marTop w:val="0"/>
      <w:marBottom w:val="0"/>
      <w:divBdr>
        <w:top w:val="none" w:sz="0" w:space="0" w:color="auto"/>
        <w:left w:val="none" w:sz="0" w:space="0" w:color="auto"/>
        <w:bottom w:val="none" w:sz="0" w:space="0" w:color="auto"/>
        <w:right w:val="none" w:sz="0" w:space="0" w:color="auto"/>
      </w:divBdr>
    </w:div>
    <w:div w:id="735739289">
      <w:bodyDiv w:val="1"/>
      <w:marLeft w:val="0"/>
      <w:marRight w:val="0"/>
      <w:marTop w:val="0"/>
      <w:marBottom w:val="0"/>
      <w:divBdr>
        <w:top w:val="none" w:sz="0" w:space="0" w:color="auto"/>
        <w:left w:val="none" w:sz="0" w:space="0" w:color="auto"/>
        <w:bottom w:val="none" w:sz="0" w:space="0" w:color="auto"/>
        <w:right w:val="none" w:sz="0" w:space="0" w:color="auto"/>
      </w:divBdr>
    </w:div>
    <w:div w:id="764571102">
      <w:bodyDiv w:val="1"/>
      <w:marLeft w:val="0"/>
      <w:marRight w:val="0"/>
      <w:marTop w:val="0"/>
      <w:marBottom w:val="0"/>
      <w:divBdr>
        <w:top w:val="none" w:sz="0" w:space="0" w:color="auto"/>
        <w:left w:val="none" w:sz="0" w:space="0" w:color="auto"/>
        <w:bottom w:val="none" w:sz="0" w:space="0" w:color="auto"/>
        <w:right w:val="none" w:sz="0" w:space="0" w:color="auto"/>
      </w:divBdr>
    </w:div>
    <w:div w:id="993993386">
      <w:bodyDiv w:val="1"/>
      <w:marLeft w:val="0"/>
      <w:marRight w:val="0"/>
      <w:marTop w:val="0"/>
      <w:marBottom w:val="0"/>
      <w:divBdr>
        <w:top w:val="none" w:sz="0" w:space="0" w:color="auto"/>
        <w:left w:val="none" w:sz="0" w:space="0" w:color="auto"/>
        <w:bottom w:val="none" w:sz="0" w:space="0" w:color="auto"/>
        <w:right w:val="none" w:sz="0" w:space="0" w:color="auto"/>
      </w:divBdr>
    </w:div>
    <w:div w:id="1070618123">
      <w:bodyDiv w:val="1"/>
      <w:marLeft w:val="0"/>
      <w:marRight w:val="0"/>
      <w:marTop w:val="0"/>
      <w:marBottom w:val="0"/>
      <w:divBdr>
        <w:top w:val="none" w:sz="0" w:space="0" w:color="auto"/>
        <w:left w:val="none" w:sz="0" w:space="0" w:color="auto"/>
        <w:bottom w:val="none" w:sz="0" w:space="0" w:color="auto"/>
        <w:right w:val="none" w:sz="0" w:space="0" w:color="auto"/>
      </w:divBdr>
    </w:div>
    <w:div w:id="1074736905">
      <w:bodyDiv w:val="1"/>
      <w:marLeft w:val="0"/>
      <w:marRight w:val="0"/>
      <w:marTop w:val="0"/>
      <w:marBottom w:val="0"/>
      <w:divBdr>
        <w:top w:val="none" w:sz="0" w:space="0" w:color="auto"/>
        <w:left w:val="none" w:sz="0" w:space="0" w:color="auto"/>
        <w:bottom w:val="none" w:sz="0" w:space="0" w:color="auto"/>
        <w:right w:val="none" w:sz="0" w:space="0" w:color="auto"/>
      </w:divBdr>
    </w:div>
    <w:div w:id="1181505693">
      <w:bodyDiv w:val="1"/>
      <w:marLeft w:val="0"/>
      <w:marRight w:val="0"/>
      <w:marTop w:val="0"/>
      <w:marBottom w:val="0"/>
      <w:divBdr>
        <w:top w:val="none" w:sz="0" w:space="0" w:color="auto"/>
        <w:left w:val="none" w:sz="0" w:space="0" w:color="auto"/>
        <w:bottom w:val="none" w:sz="0" w:space="0" w:color="auto"/>
        <w:right w:val="none" w:sz="0" w:space="0" w:color="auto"/>
      </w:divBdr>
    </w:div>
    <w:div w:id="1359164709">
      <w:bodyDiv w:val="1"/>
      <w:marLeft w:val="0"/>
      <w:marRight w:val="0"/>
      <w:marTop w:val="0"/>
      <w:marBottom w:val="0"/>
      <w:divBdr>
        <w:top w:val="none" w:sz="0" w:space="0" w:color="auto"/>
        <w:left w:val="none" w:sz="0" w:space="0" w:color="auto"/>
        <w:bottom w:val="none" w:sz="0" w:space="0" w:color="auto"/>
        <w:right w:val="none" w:sz="0" w:space="0" w:color="auto"/>
      </w:divBdr>
    </w:div>
    <w:div w:id="1443695133">
      <w:bodyDiv w:val="1"/>
      <w:marLeft w:val="0"/>
      <w:marRight w:val="0"/>
      <w:marTop w:val="0"/>
      <w:marBottom w:val="0"/>
      <w:divBdr>
        <w:top w:val="none" w:sz="0" w:space="0" w:color="auto"/>
        <w:left w:val="none" w:sz="0" w:space="0" w:color="auto"/>
        <w:bottom w:val="none" w:sz="0" w:space="0" w:color="auto"/>
        <w:right w:val="none" w:sz="0" w:space="0" w:color="auto"/>
      </w:divBdr>
    </w:div>
    <w:div w:id="1770469420">
      <w:bodyDiv w:val="1"/>
      <w:marLeft w:val="0"/>
      <w:marRight w:val="0"/>
      <w:marTop w:val="0"/>
      <w:marBottom w:val="0"/>
      <w:divBdr>
        <w:top w:val="none" w:sz="0" w:space="0" w:color="auto"/>
        <w:left w:val="none" w:sz="0" w:space="0" w:color="auto"/>
        <w:bottom w:val="none" w:sz="0" w:space="0" w:color="auto"/>
        <w:right w:val="none" w:sz="0" w:space="0" w:color="auto"/>
      </w:divBdr>
    </w:div>
    <w:div w:id="1812479744">
      <w:bodyDiv w:val="1"/>
      <w:marLeft w:val="0"/>
      <w:marRight w:val="0"/>
      <w:marTop w:val="0"/>
      <w:marBottom w:val="0"/>
      <w:divBdr>
        <w:top w:val="none" w:sz="0" w:space="0" w:color="auto"/>
        <w:left w:val="none" w:sz="0" w:space="0" w:color="auto"/>
        <w:bottom w:val="none" w:sz="0" w:space="0" w:color="auto"/>
        <w:right w:val="none" w:sz="0" w:space="0" w:color="auto"/>
      </w:divBdr>
    </w:div>
    <w:div w:id="214122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ncbi.nlm.nih.gov/pubmed/22571220" TargetMode="External"/><Relationship Id="rId26" Type="http://schemas.openxmlformats.org/officeDocument/2006/relationships/hyperlink" Target="http://yosemite.epa.gov/ee/epa/eed.nsf/pages/Guidelines.html/$file/Guidelines.pdf" TargetMode="External"/><Relationship Id="rId39" Type="http://schemas.openxmlformats.org/officeDocument/2006/relationships/hyperlink" Target="http://www.agcensus.usda.gov/index.php" TargetMode="External"/><Relationship Id="rId3" Type="http://schemas.openxmlformats.org/officeDocument/2006/relationships/customXml" Target="../customXml/item3.xml"/><Relationship Id="rId21" Type="http://schemas.openxmlformats.org/officeDocument/2006/relationships/hyperlink" Target="http://cpard.wsu.edu/" TargetMode="External"/><Relationship Id="rId34" Type="http://schemas.openxmlformats.org/officeDocument/2006/relationships/hyperlink" Target="http://www.ncbi.nlm.nih.gov/pubmed/23171882" TargetMode="External"/><Relationship Id="rId42" Type="http://schemas.openxmlformats.org/officeDocument/2006/relationships/hyperlink" Target="http://nasda.org/File.aspx?id=3786" TargetMode="External"/><Relationship Id="rId47" Type="http://schemas.openxmlformats.org/officeDocument/2006/relationships/hyperlink" Target="http://www.pdf.org/en/symptoms" TargetMode="External"/><Relationship Id="rId50" Type="http://schemas.openxmlformats.org/officeDocument/2006/relationships/hyperlink" Target="http://taxfoundation.org/article/tax-freedom-day-2014-april-21-three-days-later-last-yea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2.xml"/><Relationship Id="rId25" Type="http://schemas.openxmlformats.org/officeDocument/2006/relationships/hyperlink" Target="http://www.epa.gov/pesticides/safety/workshops.htm" TargetMode="External"/><Relationship Id="rId33" Type="http://schemas.openxmlformats.org/officeDocument/2006/relationships/hyperlink" Target="http://www.iihs.org/research/fatality_facts_2008/teenagers.html" TargetMode="External"/><Relationship Id="rId38" Type="http://schemas.openxmlformats.org/officeDocument/2006/relationships/hyperlink" Target="http://quickstats.nass.usda.gov/" TargetMode="External"/><Relationship Id="rId46" Type="http://schemas.openxmlformats.org/officeDocument/2006/relationships/hyperlink" Target="http://www.whitehouse.gov/omb/circulars_a004_a-4" TargetMode="Externa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www.bls.gov/news.release/ecec.t02.htm" TargetMode="External"/><Relationship Id="rId29" Type="http://schemas.openxmlformats.org/officeDocument/2006/relationships/hyperlink" Target="http://www.ers.usda.gov/media/926929/aib-760_002.pdf" TargetMode="External"/><Relationship Id="rId41" Type="http://schemas.openxmlformats.org/officeDocument/2006/relationships/hyperlink" Target="http://nasda.org/File.aspx?id=418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regulations.gov/document?D=EPA-HQ-OPP-2011-0183-0043" TargetMode="External"/><Relationship Id="rId32" Type="http://schemas.openxmlformats.org/officeDocument/2006/relationships/hyperlink" Target="http://www.ncbi.nlm.nih.gov/pubmed/16007641" TargetMode="External"/><Relationship Id="rId37" Type="http://schemas.openxmlformats.org/officeDocument/2006/relationships/hyperlink" Target="http://www.agcensus.usda.gov/" TargetMode="External"/><Relationship Id="rId40" Type="http://schemas.openxmlformats.org/officeDocument/2006/relationships/hyperlink" Target="http://nasda.org/9381/Foundation/11379/11383/6684.aspx" TargetMode="External"/><Relationship Id="rId45" Type="http://schemas.openxmlformats.org/officeDocument/2006/relationships/hyperlink" Target="http://www.cancer.gov/cancertopics/wyntk/non-hodgkin-lymphoma.pdf"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doleta.gov/agworker/report9/naws_rpt9.pdf" TargetMode="External"/><Relationship Id="rId28" Type="http://schemas.openxmlformats.org/officeDocument/2006/relationships/hyperlink" Target="http://www.epa.gov/opp00001/factsheets/kidpesticide.htm" TargetMode="External"/><Relationship Id="rId36" Type="http://schemas.openxmlformats.org/officeDocument/2006/relationships/hyperlink" Target="http://usda01.library.cornell.edu/usda/current/CropProdSu/CropProdSu-01-10-2014.pdf" TargetMode="External"/><Relationship Id="rId49" Type="http://schemas.openxmlformats.org/officeDocument/2006/relationships/hyperlink" Target="http://www.sba.gov/sites/default/files/Size_Standards_Table.pdf" TargetMode="External"/><Relationship Id="rId10" Type="http://schemas.openxmlformats.org/officeDocument/2006/relationships/webSettings" Target="webSettings.xml"/><Relationship Id="rId19" Type="http://schemas.openxmlformats.org/officeDocument/2006/relationships/hyperlink" Target="http://www.bls.gov/cps/cpsaat19.pdf" TargetMode="External"/><Relationship Id="rId31" Type="http://schemas.openxmlformats.org/officeDocument/2006/relationships/hyperlink" Target="http://www.ncbi.nlm.nih.gov/pubmed/17932376" TargetMode="External"/><Relationship Id="rId44" Type="http://schemas.openxmlformats.org/officeDocument/2006/relationships/hyperlink" Target="http://seer.cancer.gov/faststats/index.ph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hoovers.com/" TargetMode="External"/><Relationship Id="rId27" Type="http://schemas.openxmlformats.org/officeDocument/2006/relationships/hyperlink" Target="http://www.epa.gov/pesticides/ppdc/2007/oct2007/session10-finalrpt.pdf" TargetMode="External"/><Relationship Id="rId30" Type="http://schemas.openxmlformats.org/officeDocument/2006/relationships/hyperlink" Target="https://pubs.ext.vt.edu/420/420-013/420-013_pdf.pdf" TargetMode="External"/><Relationship Id="rId35" Type="http://schemas.openxmlformats.org/officeDocument/2006/relationships/hyperlink" Target="http://doe.sd.gov/board/packets/documents/032814/Item12Doc1.pdf" TargetMode="External"/><Relationship Id="rId43" Type="http://schemas.openxmlformats.org/officeDocument/2006/relationships/hyperlink" Target="http://nasda.org/File.aspx?id=3941" TargetMode="External"/><Relationship Id="rId48" Type="http://schemas.openxmlformats.org/officeDocument/2006/relationships/hyperlink" Target="http://www.ncbi.nlm.nih.gov/pubmed/14516143" TargetMode="External"/><Relationship Id="rId8" Type="http://schemas.openxmlformats.org/officeDocument/2006/relationships/styles" Target="styles.xml"/><Relationship Id="rId51"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lee06\Documents\Andrew%20Lee\01b%20C&amp;T-50%20states\Appendix%20B\proposed%20rule\cost%20of%20rule%20-%203%25%20or%207%25%20discount%20rat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lee06\Documents\Andrew%20Lee\01b%20C&amp;T-50%20states\Appendix%20B\proposed%20rule\cost%20of%20rule%20-%203%25%20or%207%25%20discount%20rat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'pie chart'!$B$1:$B$2</c:f>
              <c:strCache>
                <c:ptCount val="2"/>
                <c:pt idx="0">
                  <c:v>Private Applicators</c:v>
                </c:pt>
                <c:pt idx="1">
                  <c:v>Annualized Cost ($1000)</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A5E-482A-80F0-6EA67358DE3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A5E-482A-80F0-6EA67358DE3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A5E-482A-80F0-6EA67358DE3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A5E-482A-80F0-6EA67358DE3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A5E-482A-80F0-6EA67358DE39}"/>
              </c:ext>
            </c:extLst>
          </c:dPt>
          <c:dLbls>
            <c:dLbl>
              <c:idx val="0"/>
              <c:layout>
                <c:manualLayout>
                  <c:x val="-0.17350153534729729"/>
                  <c:y val="-0.24172707795659154"/>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A5E-482A-80F0-6EA67358DE39}"/>
                </c:ext>
              </c:extLst>
            </c:dLbl>
            <c:dLbl>
              <c:idx val="2"/>
              <c:layout>
                <c:manualLayout>
                  <c:x val="-2.3051652857118351E-2"/>
                  <c:y val="-8.8770349426572203E-3"/>
                </c:manualLayout>
              </c:layout>
              <c:tx>
                <c:rich>
                  <a:bodyPr/>
                  <a:lstStyle/>
                  <a:p>
                    <a:fld id="{369C7A42-0567-4644-9B9E-03FEE5B71BC1}" type="CATEGORYNAME">
                      <a:rPr lang="en-US"/>
                      <a:pPr/>
                      <a:t>[CATEGORY NAME]</a:t>
                    </a:fld>
                    <a:r>
                      <a:rPr lang="en-US" baseline="0"/>
                      <a:t>, </a:t>
                    </a:r>
                    <a:fld id="{B44B3827-F449-47AB-9508-DEF6227E93F8}" type="VALUE">
                      <a:rPr lang="en-US" baseline="0"/>
                      <a:pPr/>
                      <a:t>[VALUE]</a:t>
                    </a:fld>
                    <a:r>
                      <a:rPr lang="en-US" baseline="0"/>
                      <a:t>, 3%</a:t>
                    </a:r>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A5E-482A-80F0-6EA67358DE39}"/>
                </c:ext>
              </c:extLst>
            </c:dLbl>
            <c:dLbl>
              <c:idx val="3"/>
              <c:layout>
                <c:manualLayout>
                  <c:x val="0.13677414097747587"/>
                  <c:y val="0.22457684699642189"/>
                </c:manualLayout>
              </c:layout>
              <c:tx>
                <c:rich>
                  <a:bodyPr/>
                  <a:lstStyle/>
                  <a:p>
                    <a:fld id="{7128F927-C442-49C5-B1C4-2D0138E351F3}" type="CATEGORYNAME">
                      <a:rPr lang="en-US"/>
                      <a:pPr/>
                      <a:t>[CATEGORY NAME]</a:t>
                    </a:fld>
                    <a:r>
                      <a:rPr lang="en-US" baseline="0"/>
                      <a:t>, </a:t>
                    </a:r>
                    <a:fld id="{E18D6006-6ABD-44DA-BAE2-3199652ED0D7}" type="VALUE">
                      <a:rPr lang="en-US" baseline="0"/>
                      <a:pPr/>
                      <a:t>[VALUE]</a:t>
                    </a:fld>
                    <a:r>
                      <a:rPr lang="en-US" baseline="0"/>
                      <a:t>, 36%</a:t>
                    </a:r>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A5E-482A-80F0-6EA67358DE39}"/>
                </c:ext>
              </c:extLst>
            </c:dLbl>
            <c:dLbl>
              <c:idx val="4"/>
              <c:layout>
                <c:manualLayout>
                  <c:x val="3.2679738562091505E-2"/>
                  <c:y val="5.407591274472736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7F0D65CB-1184-4A04-B7FB-A1D722E4C159}" type="CATEGORYNAME">
                      <a:rPr lang="en-US"/>
                      <a:pPr>
                        <a:defRPr/>
                      </a:pPr>
                      <a:t>[CATEGORY NAME]</a:t>
                    </a:fld>
                    <a:r>
                      <a:rPr lang="en-US" baseline="0"/>
                      <a:t>, </a:t>
                    </a:r>
                    <a:fld id="{E189FC6F-DFD4-43A7-8B74-239A02E70F23}" type="VALUE">
                      <a:rPr lang="en-US" baseline="0"/>
                      <a:pPr>
                        <a:defRPr/>
                      </a:pPr>
                      <a:t>[VALUE]</a:t>
                    </a:fld>
                    <a:r>
                      <a:rPr lang="en-US" baseline="0"/>
                      <a:t>,1%</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extLst>
                <c:ext xmlns:c15="http://schemas.microsoft.com/office/drawing/2012/chart" uri="{CE6537A1-D6FC-4f65-9D91-7224C49458BB}">
                  <c15:layout>
                    <c:manualLayout>
                      <c:w val="0.22739651416122003"/>
                      <c:h val="0.17919276270006959"/>
                    </c:manualLayout>
                  </c15:layout>
                  <c15:dlblFieldTable/>
                  <c15:showDataLabelsRange val="0"/>
                </c:ext>
                <c:ext xmlns:c16="http://schemas.microsoft.com/office/drawing/2014/chart" uri="{C3380CC4-5D6E-409C-BE32-E72D297353CC}">
                  <c16:uniqueId val="{00000009-0A5E-482A-80F0-6EA67358DE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'pie chart'!$A$3:$A$7</c:f>
              <c:strCache>
                <c:ptCount val="5"/>
                <c:pt idx="0">
                  <c:v>Initial Certification</c:v>
                </c:pt>
                <c:pt idx="1">
                  <c:v>Supervision</c:v>
                </c:pt>
                <c:pt idx="2">
                  <c:v>Age Requirements</c:v>
                </c:pt>
                <c:pt idx="3">
                  <c:v>Recertification</c:v>
                </c:pt>
                <c:pt idx="4">
                  <c:v>Application Method-Specific Categories</c:v>
                </c:pt>
              </c:strCache>
            </c:strRef>
          </c:cat>
          <c:val>
            <c:numRef>
              <c:f>'pie chart'!$B$3:$B$7</c:f>
              <c:numCache>
                <c:formatCode>_("$"* #,##0_);_("$"* \(#,##0\);_("$"* "-"??_);_(@_)</c:formatCode>
                <c:ptCount val="5"/>
                <c:pt idx="0">
                  <c:v>4347.6294386653008</c:v>
                </c:pt>
                <c:pt idx="1">
                  <c:v>861.26806329752162</c:v>
                </c:pt>
                <c:pt idx="2">
                  <c:v>240.64933927120379</c:v>
                </c:pt>
                <c:pt idx="3">
                  <c:v>3049.8887998623609</c:v>
                </c:pt>
                <c:pt idx="4">
                  <c:v>100.43917686346353</c:v>
                </c:pt>
              </c:numCache>
            </c:numRef>
          </c:val>
          <c:extLst>
            <c:ext xmlns:c16="http://schemas.microsoft.com/office/drawing/2014/chart" uri="{C3380CC4-5D6E-409C-BE32-E72D297353CC}">
              <c16:uniqueId val="{0000000A-0A5E-482A-80F0-6EA67358DE39}"/>
            </c:ext>
          </c:extLst>
        </c:ser>
        <c:dLbls>
          <c:showLegendKey val="0"/>
          <c:showVal val="0"/>
          <c:showCatName val="0"/>
          <c:showSerName val="0"/>
          <c:showPercent val="0"/>
          <c:showBubbleSize val="0"/>
          <c:showLeaderLines val="1"/>
        </c:dLbls>
        <c:firstSliceAng val="5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Commercial Applicators, Annualized Cost ($1000)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'pie chart'!$E$1:$E$2</c:f>
              <c:strCache>
                <c:ptCount val="2"/>
                <c:pt idx="0">
                  <c:v>Commercial Applicators</c:v>
                </c:pt>
                <c:pt idx="1">
                  <c:v>Annualized Cost ($1000)</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F72-42F1-A25F-D4376F19757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F72-42F1-A25F-D4376F19757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F72-42F1-A25F-D4376F19757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F72-42F1-A25F-D4376F197572}"/>
              </c:ext>
            </c:extLst>
          </c:dPt>
          <c:dLbls>
            <c:dLbl>
              <c:idx val="3"/>
              <c:layout>
                <c:manualLayout>
                  <c:x val="2.2743762525717956E-2"/>
                  <c:y val="2.649595944420834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extLst>
                <c:ext xmlns:c15="http://schemas.microsoft.com/office/drawing/2012/chart" uri="{CE6537A1-D6FC-4f65-9D91-7224C49458BB}">
                  <c15:layout>
                    <c:manualLayout>
                      <c:w val="0.21078055982331476"/>
                      <c:h val="0.17126201167002886"/>
                    </c:manualLayout>
                  </c15:layout>
                </c:ext>
                <c:ext xmlns:c16="http://schemas.microsoft.com/office/drawing/2014/chart" uri="{C3380CC4-5D6E-409C-BE32-E72D297353CC}">
                  <c16:uniqueId val="{00000007-DF72-42F1-A25F-D4376F19757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'pie chart'!$D$3:$D$6</c:f>
              <c:strCache>
                <c:ptCount val="4"/>
                <c:pt idx="0">
                  <c:v>Supervision</c:v>
                </c:pt>
                <c:pt idx="1">
                  <c:v>Age Requirements</c:v>
                </c:pt>
                <c:pt idx="2">
                  <c:v>Recertification</c:v>
                </c:pt>
                <c:pt idx="3">
                  <c:v>Application Method-Specific Categories</c:v>
                </c:pt>
              </c:strCache>
            </c:strRef>
          </c:cat>
          <c:val>
            <c:numRef>
              <c:f>'pie chart'!$E$3:$E$6</c:f>
              <c:numCache>
                <c:formatCode>_("$"* #,##0_);_("$"* \(#,##0\);_("$"* "-"??_);_(@_)</c:formatCode>
                <c:ptCount val="4"/>
                <c:pt idx="0">
                  <c:v>6817.5956686169802</c:v>
                </c:pt>
                <c:pt idx="1">
                  <c:v>6444.5873674387149</c:v>
                </c:pt>
                <c:pt idx="2">
                  <c:v>2350.9854458957243</c:v>
                </c:pt>
                <c:pt idx="3">
                  <c:v>547.81358924482277</c:v>
                </c:pt>
              </c:numCache>
            </c:numRef>
          </c:val>
          <c:extLst>
            <c:ext xmlns:c16="http://schemas.microsoft.com/office/drawing/2014/chart" uri="{C3380CC4-5D6E-409C-BE32-E72D297353CC}">
              <c16:uniqueId val="{00000008-DF72-42F1-A25F-D4376F197572}"/>
            </c:ext>
          </c:extLst>
        </c:ser>
        <c:dLbls>
          <c:showLegendKey val="0"/>
          <c:showVal val="0"/>
          <c:showCatName val="0"/>
          <c:showSerName val="0"/>
          <c:showPercent val="0"/>
          <c:showBubbleSize val="0"/>
          <c:showLeaderLines val="1"/>
        </c:dLbls>
        <c:firstSliceAng val="52"/>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2016-08-23T19:48:43+00:00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C899DA9A0C58849B02DB758951294A7" ma:contentTypeVersion="22" ma:contentTypeDescription="Create a new document." ma:contentTypeScope="" ma:versionID="01ddc186857098940e93ccfe08916db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5d1ca4e-0a3f-4119-b619-e20b93ebd1aa" targetNamespace="http://schemas.microsoft.com/office/2006/metadata/properties" ma:root="true" ma:fieldsID="ddaf2ef8479bae857b976112c2db5b2e" ns1:_="" ns2:_="" ns3:_="" ns4:_="" ns5:_="">
    <xsd:import namespace="http://schemas.microsoft.com/sharepoint/v3"/>
    <xsd:import namespace="4ffa91fb-a0ff-4ac5-b2db-65c790d184a4"/>
    <xsd:import namespace="http://schemas.microsoft.com/sharepoint.v3"/>
    <xsd:import namespace="http://schemas.microsoft.com/sharepoint/v3/fields"/>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CD12C-107C-4F2B-AB31-2F20A557B38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B1B6AEB3-A21A-4AFB-BE52-28AFA56C19FB}">
  <ds:schemaRefs>
    <ds:schemaRef ds:uri="http://schemas.microsoft.com/sharepoint/v3/contenttype/forms"/>
  </ds:schemaRefs>
</ds:datastoreItem>
</file>

<file path=customXml/itemProps3.xml><?xml version="1.0" encoding="utf-8"?>
<ds:datastoreItem xmlns:ds="http://schemas.openxmlformats.org/officeDocument/2006/customXml" ds:itemID="{63FD1297-73CD-4647-B7FD-5CCF8AF8F716}">
  <ds:schemaRefs>
    <ds:schemaRef ds:uri="Microsoft.SharePoint.Taxonomy.ContentTypeSync"/>
  </ds:schemaRefs>
</ds:datastoreItem>
</file>

<file path=customXml/itemProps4.xml><?xml version="1.0" encoding="utf-8"?>
<ds:datastoreItem xmlns:ds="http://schemas.openxmlformats.org/officeDocument/2006/customXml" ds:itemID="{439DD0B6-1833-4954-BBB1-C5B50CA5D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F01E79-3DCD-484B-9C6D-99134A6E7664}">
  <ds:schemaRefs>
    <ds:schemaRef ds:uri="http://schemas.openxmlformats.org/officeDocument/2006/bibliography"/>
  </ds:schemaRefs>
</ds:datastoreItem>
</file>

<file path=customXml/itemProps6.xml><?xml version="1.0" encoding="utf-8"?>
<ds:datastoreItem xmlns:ds="http://schemas.openxmlformats.org/officeDocument/2006/customXml" ds:itemID="{090D6607-01FD-4C74-9A05-D1E91F95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77704</Words>
  <Characters>442918</Characters>
  <Application>Microsoft Office Word</Application>
  <DocSecurity>4</DocSecurity>
  <Lines>3690</Lines>
  <Paragraphs>1039</Paragraphs>
  <ScaleCrop>false</ScaleCrop>
  <HeadingPairs>
    <vt:vector size="2" baseType="variant">
      <vt:variant>
        <vt:lpstr>Title</vt:lpstr>
      </vt:variant>
      <vt:variant>
        <vt:i4>1</vt:i4>
      </vt:variant>
    </vt:vector>
  </HeadingPairs>
  <TitlesOfParts>
    <vt:vector size="1" baseType="lpstr">
      <vt:lpstr>Certification Rule Economic Analysis (EA)</vt:lpstr>
    </vt:vector>
  </TitlesOfParts>
  <Company/>
  <LinksUpToDate>false</LinksUpToDate>
  <CharactersWithSpaces>519583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Rule Economic Analysis (EA)</dc:title>
  <dc:creator/>
  <dc:description>FIFRA Review</dc:description>
  <cp:lastModifiedBy/>
  <cp:revision>1</cp:revision>
  <dcterms:created xsi:type="dcterms:W3CDTF">2016-12-15T14:39:00Z</dcterms:created>
  <dcterms:modified xsi:type="dcterms:W3CDTF">2016-12-15T14:39:00Z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0x010100DC899DA9A0C58849B02DB758951294A7</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