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7A7FC5">
        <w:rPr>
          <w:rFonts w:ascii="Times New Roman" w:hAnsi="Times New Roman"/>
          <w:szCs w:val="24"/>
        </w:rPr>
        <w:t>s</w:t>
      </w:r>
      <w:r w:rsidRPr="008C5150">
        <w:rPr>
          <w:rFonts w:ascii="Times New Roman" w:hAnsi="Times New Roman"/>
          <w:szCs w:val="24"/>
        </w:rPr>
        <w:t xml:space="preserve"> the Student Assistance General Provisions regulations issued under the Higher Education Act of 1965, as amended (HEA), to implement changes made to the Student Assistance </w:t>
      </w:r>
      <w:r w:rsidR="00491D38">
        <w:rPr>
          <w:rFonts w:ascii="Times New Roman" w:hAnsi="Times New Roman"/>
          <w:szCs w:val="24"/>
        </w:rPr>
        <w:t xml:space="preserve">General Provisions regulations in </w:t>
      </w:r>
      <w:r w:rsidR="001B174E" w:rsidRPr="008C5150">
        <w:rPr>
          <w:rFonts w:ascii="Times New Roman" w:hAnsi="Times New Roman"/>
          <w:szCs w:val="24"/>
        </w:rPr>
        <w:t>§</w:t>
      </w:r>
      <w:r w:rsidR="00491D38" w:rsidRPr="008C5150">
        <w:rPr>
          <w:rFonts w:ascii="Times New Roman" w:hAnsi="Times New Roman"/>
          <w:szCs w:val="24"/>
        </w:rPr>
        <w:t>§</w:t>
      </w:r>
      <w:r w:rsidR="001B174E" w:rsidRPr="008C5150">
        <w:rPr>
          <w:rFonts w:ascii="Times New Roman" w:hAnsi="Times New Roman"/>
          <w:szCs w:val="24"/>
        </w:rPr>
        <w:t>668.1</w:t>
      </w:r>
      <w:r w:rsidR="00491D38">
        <w:rPr>
          <w:rFonts w:ascii="Times New Roman" w:hAnsi="Times New Roman"/>
          <w:szCs w:val="24"/>
        </w:rPr>
        <w:t>4, 668.171 and 668.175</w:t>
      </w:r>
      <w:r w:rsidR="007D228C">
        <w:rPr>
          <w:rFonts w:ascii="Times New Roman" w:hAnsi="Times New Roman"/>
          <w:szCs w:val="24"/>
        </w:rPr>
        <w:t>.</w:t>
      </w:r>
      <w:r w:rsidRPr="008C5150">
        <w:rPr>
          <w:rFonts w:ascii="Times New Roman" w:hAnsi="Times New Roman"/>
          <w:szCs w:val="24"/>
        </w:rPr>
        <w:t xml:space="preserve">.  These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regulations </w:t>
      </w:r>
      <w:r w:rsidR="007D228C">
        <w:rPr>
          <w:rFonts w:ascii="Times New Roman" w:hAnsi="Times New Roman"/>
          <w:szCs w:val="24"/>
        </w:rPr>
        <w:t xml:space="preserve">in </w:t>
      </w:r>
      <w:r w:rsidR="007D228C" w:rsidRPr="008C5150">
        <w:rPr>
          <w:rFonts w:ascii="Times New Roman" w:hAnsi="Times New Roman"/>
          <w:szCs w:val="24"/>
        </w:rPr>
        <w:t>§668.1</w:t>
      </w:r>
      <w:r w:rsidR="007D228C">
        <w:rPr>
          <w:rFonts w:ascii="Times New Roman" w:hAnsi="Times New Roman"/>
          <w:szCs w:val="24"/>
        </w:rPr>
        <w:t xml:space="preserve">4 </w:t>
      </w:r>
      <w:r w:rsidRPr="008C5150">
        <w:rPr>
          <w:rFonts w:ascii="Times New Roman" w:hAnsi="Times New Roman"/>
          <w:szCs w:val="24"/>
        </w:rPr>
        <w:t>are intended to</w:t>
      </w:r>
      <w:r w:rsidR="007D228C">
        <w:rPr>
          <w:rFonts w:ascii="Times New Roman" w:hAnsi="Times New Roman"/>
          <w:szCs w:val="24"/>
        </w:rPr>
        <w:t xml:space="preserve"> </w:t>
      </w:r>
      <w:r w:rsidR="007D228C" w:rsidRPr="0085101A">
        <w:rPr>
          <w:rFonts w:ascii="Times New Roman" w:hAnsi="Times New Roman"/>
          <w:szCs w:val="24"/>
        </w:rPr>
        <w:t xml:space="preserve">increase outreach by the Secretary and </w:t>
      </w:r>
      <w:r w:rsidR="007D228C">
        <w:rPr>
          <w:rFonts w:ascii="Times New Roman" w:hAnsi="Times New Roman"/>
          <w:szCs w:val="24"/>
        </w:rPr>
        <w:t>institution</w:t>
      </w:r>
      <w:r w:rsidR="007D228C" w:rsidRPr="0085101A">
        <w:rPr>
          <w:rFonts w:ascii="Times New Roman" w:hAnsi="Times New Roman"/>
          <w:szCs w:val="24"/>
        </w:rPr>
        <w:t xml:space="preserve">s and make more information available to borrowers eligible for a closed school discharge so that they are aware of </w:t>
      </w:r>
      <w:r w:rsidR="007D228C">
        <w:rPr>
          <w:rFonts w:ascii="Times New Roman" w:hAnsi="Times New Roman"/>
          <w:szCs w:val="24"/>
        </w:rPr>
        <w:t xml:space="preserve">the </w:t>
      </w:r>
      <w:r w:rsidR="007D228C" w:rsidRPr="0085101A">
        <w:rPr>
          <w:rFonts w:ascii="Times New Roman" w:hAnsi="Times New Roman"/>
          <w:szCs w:val="24"/>
        </w:rPr>
        <w:t>option</w:t>
      </w:r>
      <w:r w:rsidRPr="008C5150">
        <w:rPr>
          <w:rFonts w:ascii="Times New Roman" w:hAnsi="Times New Roman"/>
          <w:szCs w:val="24"/>
        </w:rPr>
        <w:t>.</w:t>
      </w:r>
      <w:r w:rsidR="007D228C">
        <w:rPr>
          <w:rFonts w:ascii="Times New Roman" w:hAnsi="Times New Roman"/>
          <w:szCs w:val="24"/>
        </w:rPr>
        <w:t xml:space="preserve">  The regulations in </w:t>
      </w:r>
      <w:r w:rsidR="007D228C" w:rsidRPr="008C5150">
        <w:rPr>
          <w:rFonts w:ascii="Times New Roman" w:hAnsi="Times New Roman"/>
          <w:szCs w:val="24"/>
        </w:rPr>
        <w:t>§</w:t>
      </w:r>
      <w:r w:rsidR="007D228C">
        <w:rPr>
          <w:rFonts w:ascii="Times New Roman" w:hAnsi="Times New Roman"/>
          <w:szCs w:val="24"/>
        </w:rPr>
        <w:t xml:space="preserve">668.171 </w:t>
      </w:r>
      <w:r w:rsidR="007D228C" w:rsidRPr="0085101A">
        <w:rPr>
          <w:rFonts w:ascii="Times New Roman" w:hAnsi="Times New Roman"/>
          <w:szCs w:val="24"/>
        </w:rPr>
        <w:t xml:space="preserve">include conditions and events that trigger a requirement that the school provide financial protection, such as a letter of credit.  </w:t>
      </w:r>
      <w:r w:rsidR="007D228C">
        <w:rPr>
          <w:rFonts w:ascii="Times New Roman" w:hAnsi="Times New Roman"/>
          <w:szCs w:val="24"/>
        </w:rPr>
        <w:t xml:space="preserve">The regulations in </w:t>
      </w:r>
      <w:r w:rsidR="007D228C" w:rsidRPr="008C5150">
        <w:rPr>
          <w:rFonts w:ascii="Times New Roman" w:hAnsi="Times New Roman"/>
          <w:szCs w:val="24"/>
        </w:rPr>
        <w:t>§</w:t>
      </w:r>
      <w:r w:rsidR="007D228C">
        <w:rPr>
          <w:rFonts w:ascii="Times New Roman" w:hAnsi="Times New Roman"/>
          <w:szCs w:val="24"/>
        </w:rPr>
        <w:t>668.175</w:t>
      </w:r>
      <w:r w:rsidR="007D228C" w:rsidRPr="007D228C">
        <w:rPr>
          <w:rFonts w:ascii="Times New Roman" w:hAnsi="Times New Roman"/>
          <w:szCs w:val="24"/>
        </w:rPr>
        <w:t xml:space="preserve"> </w:t>
      </w:r>
      <w:r w:rsidR="007D228C">
        <w:rPr>
          <w:rFonts w:ascii="Times New Roman" w:hAnsi="Times New Roman"/>
          <w:szCs w:val="24"/>
        </w:rPr>
        <w:t>identifies</w:t>
      </w:r>
      <w:r w:rsidR="007D228C" w:rsidRPr="0085101A">
        <w:rPr>
          <w:rFonts w:ascii="Times New Roman" w:hAnsi="Times New Roman"/>
          <w:szCs w:val="24"/>
        </w:rPr>
        <w:t xml:space="preserve"> the amounts of financial protection, such as letters of credit, required in the event of particular occurrences</w:t>
      </w:r>
      <w:r w:rsidR="005E51B7">
        <w:rPr>
          <w:rFonts w:ascii="Times New Roman" w:hAnsi="Times New Roman"/>
          <w:szCs w:val="24"/>
        </w:rPr>
        <w:t xml:space="preserve"> identified in </w:t>
      </w:r>
      <w:r w:rsidR="005E51B7" w:rsidRPr="008C5150">
        <w:rPr>
          <w:rFonts w:ascii="Times New Roman" w:hAnsi="Times New Roman"/>
          <w:szCs w:val="24"/>
        </w:rPr>
        <w:t>§</w:t>
      </w:r>
      <w:r w:rsidR="005E51B7">
        <w:rPr>
          <w:rFonts w:ascii="Times New Roman" w:hAnsi="Times New Roman"/>
          <w:szCs w:val="24"/>
        </w:rPr>
        <w:t>668.171</w:t>
      </w:r>
      <w:r w:rsidR="007D228C">
        <w:rPr>
          <w:rFonts w:ascii="Times New Roman" w:hAnsi="Times New Roman"/>
          <w:szCs w:val="24"/>
        </w:rPr>
        <w:t>.</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7D228C">
        <w:rPr>
          <w:rFonts w:ascii="Times New Roman" w:hAnsi="Times New Roman"/>
          <w:szCs w:val="24"/>
        </w:rPr>
        <w:t xml:space="preserve">in </w:t>
      </w:r>
      <w:r w:rsidR="007D228C" w:rsidRPr="008C5150">
        <w:rPr>
          <w:rFonts w:ascii="Times New Roman" w:hAnsi="Times New Roman"/>
          <w:szCs w:val="24"/>
        </w:rPr>
        <w:t>§668.1</w:t>
      </w:r>
      <w:r w:rsidR="007D228C">
        <w:rPr>
          <w:rFonts w:ascii="Times New Roman" w:hAnsi="Times New Roman"/>
          <w:szCs w:val="24"/>
        </w:rPr>
        <w:t xml:space="preserve">4 required to be provided by institutions </w:t>
      </w:r>
      <w:r w:rsidRPr="008C5150">
        <w:rPr>
          <w:rFonts w:ascii="Times New Roman" w:hAnsi="Times New Roman"/>
          <w:szCs w:val="24"/>
        </w:rPr>
        <w:t xml:space="preserve">will be used </w:t>
      </w:r>
      <w:r w:rsidR="00E5073B" w:rsidRPr="008C5150">
        <w:rPr>
          <w:rFonts w:ascii="Times New Roman" w:hAnsi="Times New Roman"/>
          <w:szCs w:val="24"/>
        </w:rPr>
        <w:t>by</w:t>
      </w:r>
      <w:r w:rsidRPr="008C5150">
        <w:rPr>
          <w:rFonts w:ascii="Times New Roman" w:hAnsi="Times New Roman"/>
          <w:szCs w:val="24"/>
        </w:rPr>
        <w:t xml:space="preserve"> current students to assist them in making informed decisions</w:t>
      </w:r>
      <w:r w:rsidR="00E5073B" w:rsidRPr="008C5150">
        <w:rPr>
          <w:rFonts w:ascii="Times New Roman" w:hAnsi="Times New Roman"/>
          <w:szCs w:val="24"/>
        </w:rPr>
        <w:t xml:space="preserve"> about </w:t>
      </w:r>
      <w:r w:rsidR="007D228C">
        <w:rPr>
          <w:rFonts w:ascii="Times New Roman" w:hAnsi="Times New Roman"/>
          <w:szCs w:val="24"/>
        </w:rPr>
        <w:t>options in dealing with a closing institutions</w:t>
      </w:r>
      <w:r w:rsidR="00E5073B" w:rsidRPr="008C5150">
        <w:rPr>
          <w:rFonts w:ascii="Times New Roman" w:hAnsi="Times New Roman"/>
          <w:szCs w:val="24"/>
        </w:rPr>
        <w:t>.</w:t>
      </w:r>
      <w:r w:rsidR="007D228C">
        <w:rPr>
          <w:rFonts w:ascii="Times New Roman" w:hAnsi="Times New Roman"/>
          <w:szCs w:val="24"/>
        </w:rPr>
        <w:t xml:space="preserve"> </w:t>
      </w:r>
      <w:r w:rsidRPr="008C5150">
        <w:rPr>
          <w:rFonts w:ascii="Times New Roman" w:hAnsi="Times New Roman"/>
          <w:szCs w:val="24"/>
        </w:rPr>
        <w:t xml:space="preserve"> </w:t>
      </w:r>
      <w:r w:rsidR="007D228C">
        <w:rPr>
          <w:rFonts w:ascii="Times New Roman" w:hAnsi="Times New Roman"/>
          <w:szCs w:val="24"/>
        </w:rPr>
        <w:t xml:space="preserve">The actions required of institutions in </w:t>
      </w:r>
      <w:r w:rsidR="007D228C" w:rsidRPr="008C5150">
        <w:rPr>
          <w:rFonts w:ascii="Times New Roman" w:hAnsi="Times New Roman"/>
          <w:szCs w:val="24"/>
        </w:rPr>
        <w:t>§§</w:t>
      </w:r>
      <w:r w:rsidR="007D228C">
        <w:rPr>
          <w:rFonts w:ascii="Times New Roman" w:hAnsi="Times New Roman"/>
          <w:szCs w:val="24"/>
        </w:rPr>
        <w:t xml:space="preserve">668.171 and 668.175 will be disseminated to current and prospective students at the institution and will aid them in </w:t>
      </w:r>
      <w:r w:rsidR="00DA511B">
        <w:rPr>
          <w:rFonts w:ascii="Times New Roman" w:hAnsi="Times New Roman"/>
          <w:szCs w:val="24"/>
        </w:rPr>
        <w:t>making informed decisions about enrolling or continuing to be enrolled at an affected institution.</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 xml:space="preserve">Describe whether, and to what extent, the collection of information involves the use of automated, electronic, mechanical, or other technological collection techniques or forms of </w:t>
      </w:r>
      <w:r w:rsidRPr="008C5150">
        <w:rPr>
          <w:rFonts w:ascii="Times New Roman" w:hAnsi="Times New Roman"/>
          <w:szCs w:val="24"/>
        </w:rPr>
        <w:lastRenderedPageBreak/>
        <w:t>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A511B">
        <w:rPr>
          <w:rFonts w:ascii="Times New Roman" w:hAnsi="Times New Roman"/>
          <w:szCs w:val="24"/>
        </w:rPr>
        <w:t>closed school cancellation form</w:t>
      </w:r>
      <w:r w:rsidRPr="008C5150">
        <w:rPr>
          <w:rFonts w:ascii="Times New Roman" w:hAnsi="Times New Roman"/>
          <w:szCs w:val="24"/>
        </w:rPr>
        <w:t xml:space="preserve"> </w:t>
      </w:r>
      <w:r w:rsidR="00DA511B">
        <w:rPr>
          <w:rFonts w:ascii="Times New Roman" w:hAnsi="Times New Roman"/>
          <w:szCs w:val="24"/>
        </w:rPr>
        <w:t xml:space="preserve">and other options at closing </w:t>
      </w:r>
      <w:r w:rsidRPr="008C5150">
        <w:rPr>
          <w:rFonts w:ascii="Times New Roman" w:hAnsi="Times New Roman"/>
          <w:szCs w:val="24"/>
        </w:rPr>
        <w:t xml:space="preserve">to current </w:t>
      </w:r>
      <w:r w:rsidR="00DA511B">
        <w:rPr>
          <w:rFonts w:ascii="Times New Roman" w:hAnsi="Times New Roman"/>
          <w:szCs w:val="24"/>
        </w:rPr>
        <w:t xml:space="preserve">borrowers.  The providing to the Secretary </w:t>
      </w:r>
      <w:r w:rsidR="005E51B7">
        <w:rPr>
          <w:rFonts w:ascii="Times New Roman" w:hAnsi="Times New Roman"/>
          <w:szCs w:val="24"/>
        </w:rPr>
        <w:t>some types of financial protection c</w:t>
      </w:r>
      <w:r w:rsidR="00DA511B">
        <w:rPr>
          <w:rFonts w:ascii="Times New Roman" w:hAnsi="Times New Roman"/>
          <w:szCs w:val="24"/>
        </w:rPr>
        <w:t>ould requir</w:t>
      </w:r>
      <w:r w:rsidR="005E51B7">
        <w:rPr>
          <w:rFonts w:ascii="Times New Roman" w:hAnsi="Times New Roman"/>
          <w:szCs w:val="24"/>
        </w:rPr>
        <w:t>e physical exchange.  However, other</w:t>
      </w:r>
      <w:r w:rsidR="00DA511B">
        <w:rPr>
          <w:rFonts w:ascii="Times New Roman" w:hAnsi="Times New Roman"/>
          <w:szCs w:val="24"/>
        </w:rPr>
        <w:t xml:space="preserve"> method</w:t>
      </w:r>
      <w:r w:rsidR="005E51B7">
        <w:rPr>
          <w:rFonts w:ascii="Times New Roman" w:hAnsi="Times New Roman"/>
          <w:szCs w:val="24"/>
        </w:rPr>
        <w:t>s</w:t>
      </w:r>
      <w:r w:rsidR="00DA511B">
        <w:rPr>
          <w:rFonts w:ascii="Times New Roman" w:hAnsi="Times New Roman"/>
          <w:szCs w:val="24"/>
        </w:rPr>
        <w:t xml:space="preserve"> of providing the financial protection to the Secretary</w:t>
      </w:r>
      <w:r w:rsidR="005E51B7">
        <w:rPr>
          <w:rFonts w:ascii="Times New Roman" w:hAnsi="Times New Roman"/>
          <w:szCs w:val="24"/>
        </w:rPr>
        <w:t xml:space="preserve"> c</w:t>
      </w:r>
      <w:r w:rsidR="00DA511B">
        <w:rPr>
          <w:rFonts w:ascii="Times New Roman" w:hAnsi="Times New Roman"/>
          <w:szCs w:val="24"/>
        </w:rPr>
        <w:t>ould occur electronically.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regulations require institutions to </w:t>
      </w:r>
      <w:r w:rsidR="00DA511B">
        <w:rPr>
          <w:rFonts w:ascii="Times New Roman" w:hAnsi="Times New Roman"/>
          <w:szCs w:val="24"/>
        </w:rPr>
        <w:t xml:space="preserve">provide </w:t>
      </w:r>
      <w:r w:rsidRPr="008C5150">
        <w:rPr>
          <w:rFonts w:ascii="Times New Roman" w:hAnsi="Times New Roman"/>
          <w:szCs w:val="24"/>
        </w:rPr>
        <w:t xml:space="preserve">current </w:t>
      </w:r>
      <w:r w:rsidR="00DA511B">
        <w:rPr>
          <w:rFonts w:ascii="Times New Roman" w:hAnsi="Times New Roman"/>
          <w:szCs w:val="24"/>
        </w:rPr>
        <w:t>borrowers with specific documentation when the institution is closing</w:t>
      </w:r>
      <w:r w:rsidRPr="008C5150">
        <w:rPr>
          <w:rFonts w:ascii="Times New Roman" w:hAnsi="Times New Roman"/>
          <w:szCs w:val="24"/>
        </w:rPr>
        <w:t xml:space="preserve">.  These </w:t>
      </w:r>
      <w:r w:rsidR="00DA511B">
        <w:rPr>
          <w:rFonts w:ascii="Times New Roman" w:hAnsi="Times New Roman"/>
          <w:szCs w:val="24"/>
        </w:rPr>
        <w:t>documents</w:t>
      </w:r>
      <w:r w:rsidRPr="008C5150">
        <w:rPr>
          <w:rFonts w:ascii="Times New Roman" w:hAnsi="Times New Roman"/>
          <w:szCs w:val="24"/>
        </w:rPr>
        <w:t xml:space="preserve"> are meant to provide additional consumer information upon which decisions can be made</w:t>
      </w:r>
      <w:r w:rsidR="00DA511B">
        <w:rPr>
          <w:rFonts w:ascii="Times New Roman" w:hAnsi="Times New Roman"/>
          <w:szCs w:val="24"/>
        </w:rPr>
        <w:t xml:space="preserve"> by the borrower to have their loan forgiven or to continue their education through a teach-out agreement</w:t>
      </w:r>
      <w:r w:rsidRPr="008C5150">
        <w:rPr>
          <w:rFonts w:ascii="Times New Roman" w:hAnsi="Times New Roman"/>
          <w:szCs w:val="24"/>
        </w:rPr>
        <w:t xml:space="preserve">.  Not providing the </w:t>
      </w:r>
      <w:r w:rsidR="00DA511B">
        <w:rPr>
          <w:rFonts w:ascii="Times New Roman" w:hAnsi="Times New Roman"/>
          <w:szCs w:val="24"/>
        </w:rPr>
        <w:t>information</w:t>
      </w:r>
      <w:r w:rsidR="00AB6F2B">
        <w:rPr>
          <w:rFonts w:ascii="Times New Roman" w:hAnsi="Times New Roman"/>
          <w:szCs w:val="24"/>
        </w:rPr>
        <w:t xml:space="preserve"> keeps a borrower from having information about all of the options available through the regulations</w:t>
      </w:r>
      <w:r w:rsidRPr="008C5150">
        <w:rPr>
          <w:rFonts w:ascii="Times New Roman" w:hAnsi="Times New Roman"/>
          <w:szCs w:val="24"/>
        </w:rPr>
        <w:t>.</w:t>
      </w:r>
      <w:r w:rsidR="00AB6F2B">
        <w:rPr>
          <w:rFonts w:ascii="Times New Roman" w:hAnsi="Times New Roman"/>
          <w:szCs w:val="24"/>
        </w:rPr>
        <w:t xml:space="preserve">  The regulations clarify for institutions the </w:t>
      </w:r>
      <w:r w:rsidR="00AB6F2B" w:rsidRPr="0085101A">
        <w:rPr>
          <w:rFonts w:ascii="Times New Roman" w:hAnsi="Times New Roman"/>
          <w:szCs w:val="24"/>
        </w:rPr>
        <w:t>conditions and events that trigger a requirement that the school provide financial protection</w:t>
      </w:r>
      <w:r w:rsidR="00AB6F2B">
        <w:rPr>
          <w:rFonts w:ascii="Times New Roman" w:hAnsi="Times New Roman"/>
          <w:szCs w:val="24"/>
        </w:rPr>
        <w:t xml:space="preserve"> as well as </w:t>
      </w:r>
      <w:r w:rsidR="00AB6F2B" w:rsidRPr="0085101A">
        <w:rPr>
          <w:rFonts w:ascii="Times New Roman" w:hAnsi="Times New Roman"/>
          <w:szCs w:val="24"/>
        </w:rPr>
        <w:t xml:space="preserve">the amounts of </w:t>
      </w:r>
      <w:r w:rsidR="00AB6F2B">
        <w:rPr>
          <w:rFonts w:ascii="Times New Roman" w:hAnsi="Times New Roman"/>
          <w:szCs w:val="24"/>
        </w:rPr>
        <w:t xml:space="preserve">such </w:t>
      </w:r>
      <w:r w:rsidR="00AB6F2B" w:rsidRPr="0085101A">
        <w:rPr>
          <w:rFonts w:ascii="Times New Roman" w:hAnsi="Times New Roman"/>
          <w:szCs w:val="24"/>
        </w:rPr>
        <w:t>financial protection</w:t>
      </w:r>
      <w:r w:rsidR="00AB6F2B">
        <w:rPr>
          <w:rFonts w:ascii="Times New Roman" w:hAnsi="Times New Roman"/>
          <w:szCs w:val="24"/>
        </w:rPr>
        <w:t xml:space="preserve"> that may be required.  This allows for institutions to understand the requirements used in identifying possible fiduciary risk by the Secretary.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5E51B7">
        <w:rPr>
          <w:rFonts w:ascii="Times New Roman" w:hAnsi="Times New Roman"/>
          <w:szCs w:val="24"/>
        </w:rPr>
        <w:t>ra</w:t>
      </w:r>
      <w:r w:rsidRPr="008C5150">
        <w:rPr>
          <w:rFonts w:ascii="Times New Roman" w:hAnsi="Times New Roman"/>
          <w:szCs w:val="24"/>
        </w:rPr>
        <w:t>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lastRenderedPageBreak/>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 xml:space="preserve">IC Burden </w:t>
      </w:r>
      <w:r w:rsidRPr="008C5150">
        <w:rPr>
          <w:rStyle w:val="a"/>
          <w:rFonts w:ascii="Times New Roman" w:hAnsi="Times New Roman"/>
          <w:szCs w:val="24"/>
        </w:rPr>
        <w:lastRenderedPageBreak/>
        <w:t>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3A1322" w:rsidP="003A1322">
      <w:pPr>
        <w:ind w:left="720"/>
        <w:rPr>
          <w:rFonts w:ascii="Times New Roman" w:hAnsi="Times New Roman"/>
          <w:szCs w:val="24"/>
          <w:u w:val="single"/>
        </w:rPr>
      </w:pPr>
      <w:r w:rsidRPr="000B6824">
        <w:rPr>
          <w:rFonts w:ascii="Times New Roman" w:hAnsi="Times New Roman"/>
          <w:szCs w:val="24"/>
          <w:u w:val="single"/>
        </w:rPr>
        <w:t>Section §668.14--Program participation agreement.</w:t>
      </w:r>
    </w:p>
    <w:p w:rsidR="003A1322" w:rsidRPr="000B6824" w:rsidRDefault="003A1322" w:rsidP="003A1322">
      <w:pPr>
        <w:ind w:left="720"/>
        <w:rPr>
          <w:rFonts w:ascii="Times New Roman" w:hAnsi="Times New Roman"/>
          <w:szCs w:val="24"/>
          <w:u w:val="single"/>
        </w:rPr>
      </w:pPr>
    </w:p>
    <w:p w:rsidR="003A1322" w:rsidRPr="000B6824" w:rsidRDefault="003A1322" w:rsidP="003A1322">
      <w:pPr>
        <w:ind w:left="720"/>
        <w:rPr>
          <w:rFonts w:ascii="Times New Roman" w:hAnsi="Times New Roman"/>
          <w:szCs w:val="24"/>
        </w:rPr>
      </w:pPr>
      <w:r>
        <w:rPr>
          <w:rFonts w:ascii="Times New Roman" w:hAnsi="Times New Roman"/>
          <w:szCs w:val="24"/>
        </w:rPr>
        <w:t xml:space="preserve">Under </w:t>
      </w:r>
      <w:r w:rsidRPr="000B6824">
        <w:rPr>
          <w:rFonts w:ascii="Times New Roman" w:hAnsi="Times New Roman"/>
          <w:szCs w:val="24"/>
        </w:rPr>
        <w:t xml:space="preserve">§668.14(b)(32) as part of the program participation agreement, </w:t>
      </w:r>
      <w:r>
        <w:rPr>
          <w:rFonts w:ascii="Times New Roman" w:hAnsi="Times New Roman"/>
          <w:szCs w:val="24"/>
        </w:rPr>
        <w:t xml:space="preserve">an institution </w:t>
      </w:r>
      <w:r w:rsidRPr="000B6824">
        <w:rPr>
          <w:rFonts w:ascii="Times New Roman" w:hAnsi="Times New Roman"/>
          <w:szCs w:val="24"/>
        </w:rPr>
        <w:t>w</w:t>
      </w:r>
      <w:r w:rsidR="005E51B7">
        <w:rPr>
          <w:rFonts w:ascii="Times New Roman" w:hAnsi="Times New Roman"/>
          <w:szCs w:val="24"/>
        </w:rPr>
        <w:t>ill</w:t>
      </w:r>
      <w:r w:rsidRPr="000B6824">
        <w:rPr>
          <w:rFonts w:ascii="Times New Roman" w:hAnsi="Times New Roman"/>
          <w:szCs w:val="24"/>
        </w:rPr>
        <w:t xml:space="preserve"> </w:t>
      </w:r>
      <w:r>
        <w:rPr>
          <w:rFonts w:ascii="Times New Roman" w:hAnsi="Times New Roman"/>
          <w:szCs w:val="24"/>
        </w:rPr>
        <w:t xml:space="preserve">be </w:t>
      </w:r>
      <w:r w:rsidRPr="000B6824">
        <w:rPr>
          <w:rFonts w:ascii="Times New Roman" w:hAnsi="Times New Roman"/>
          <w:szCs w:val="24"/>
        </w:rPr>
        <w:t>require</w:t>
      </w:r>
      <w:r>
        <w:rPr>
          <w:rFonts w:ascii="Times New Roman" w:hAnsi="Times New Roman"/>
          <w:szCs w:val="24"/>
        </w:rPr>
        <w:t xml:space="preserve">d </w:t>
      </w:r>
      <w:r w:rsidRPr="000B6824">
        <w:rPr>
          <w:rFonts w:ascii="Times New Roman" w:hAnsi="Times New Roman"/>
          <w:szCs w:val="24"/>
        </w:rPr>
        <w:t>to provide all enrolled students a closed school discharge application and a written disclosure, describing the benefits and the consequences of a closed school discharge as an alternative to completing their educational program through a teach-out plan after the Department initiates any action to terminate the participation of the school in any title IV, HEA program or after the occurrence of any of the events specified in §668.14(b)(31) that would require the institution to submit a teach-out plan.</w:t>
      </w:r>
    </w:p>
    <w:p w:rsidR="003A1322" w:rsidRPr="008C5150" w:rsidRDefault="003A1322"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 xml:space="preserve">From AY 2011-12 to 2014-15 there were 182 institutions that closed (30 private, 150 proprietary, and 2 public).  The number of students who were enrolled at the institutions at the time of the closure was 43,299 (5,322 at the private institutions, 37,959 at the proprietary institutions, and 18 at the public institutions).  With these figures as a base, we estimate that there could be 46 schools closing in a given award year (182 institutions divided by 4 = 45.5) with an average 238 students per institution (43,299 divided by 182 = 237.9).  </w:t>
      </w:r>
    </w:p>
    <w:p w:rsidR="003A1322" w:rsidRDefault="003A1322" w:rsidP="00191BC0">
      <w:pPr>
        <w:ind w:left="720"/>
        <w:rPr>
          <w:rFonts w:ascii="Times New Roman" w:hAnsi="Times New Roman"/>
          <w:szCs w:val="24"/>
        </w:rPr>
      </w:pPr>
    </w:p>
    <w:p w:rsidR="003A1322" w:rsidRPr="000B6824" w:rsidRDefault="00191BC0" w:rsidP="00191BC0">
      <w:pPr>
        <w:ind w:left="720"/>
        <w:rPr>
          <w:rFonts w:ascii="Times New Roman" w:hAnsi="Times New Roman"/>
          <w:szCs w:val="24"/>
        </w:rPr>
      </w:pPr>
      <w:r>
        <w:rPr>
          <w:rFonts w:ascii="Times New Roman" w:hAnsi="Times New Roman"/>
          <w:szCs w:val="24"/>
        </w:rPr>
        <w:t xml:space="preserve">There will be burden on institutions to disseminate the required closed school discharge form and other information.  </w:t>
      </w:r>
      <w:r w:rsidR="003A1322" w:rsidRPr="000B6824">
        <w:rPr>
          <w:rFonts w:ascii="Times New Roman" w:hAnsi="Times New Roman"/>
          <w:szCs w:val="24"/>
        </w:rPr>
        <w:t>We estimate that an institution will require two hours to prepare and process the required written disclosure with a copy of the closed school discharge application and the necessary mailing list for currently enrolled students.  We anticipate that most schools will provide this information electronically to their students, thus decreasing burden and cost.</w:t>
      </w:r>
    </w:p>
    <w:p w:rsidR="003A1322" w:rsidRDefault="003A1322" w:rsidP="00191BC0">
      <w:pPr>
        <w:ind w:left="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 xml:space="preserve">On average, we estimate that it will take the estimated 8 private institutions that will close a total of </w:t>
      </w:r>
      <w:r w:rsidR="00724A79">
        <w:rPr>
          <w:rFonts w:ascii="Times New Roman" w:hAnsi="Times New Roman"/>
          <w:szCs w:val="24"/>
        </w:rPr>
        <w:t>340</w:t>
      </w:r>
      <w:r w:rsidRPr="000B6824">
        <w:rPr>
          <w:rFonts w:ascii="Times New Roman" w:hAnsi="Times New Roman"/>
          <w:szCs w:val="24"/>
        </w:rPr>
        <w:t xml:space="preserve"> hours to prepare and process the required written disclosure with a copy of the closed school discharge application and the necessary mailing list for the estimated 1,904 enrolled students.</w:t>
      </w:r>
    </w:p>
    <w:p w:rsidR="003A1322" w:rsidRDefault="003A1322" w:rsidP="00191BC0">
      <w:pPr>
        <w:ind w:left="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On average, we estimate that it will take the estimated 38 proprietary institutions that will close a total of 1,</w:t>
      </w:r>
      <w:r w:rsidR="00724A79">
        <w:rPr>
          <w:rFonts w:ascii="Times New Roman" w:hAnsi="Times New Roman"/>
          <w:szCs w:val="24"/>
        </w:rPr>
        <w:t>613</w:t>
      </w:r>
      <w:r w:rsidRPr="000B6824">
        <w:rPr>
          <w:rFonts w:ascii="Times New Roman" w:hAnsi="Times New Roman"/>
          <w:szCs w:val="24"/>
        </w:rPr>
        <w:t xml:space="preserve"> hours to prepare and process the required written disclosure with a copy of the closed school discharge application and the necessary mailing list for the estimated 9,044 enrolled students.</w:t>
      </w:r>
    </w:p>
    <w:p w:rsidR="005711D1" w:rsidRPr="008C5150" w:rsidRDefault="005711D1" w:rsidP="005711D1">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Default="00A34B18" w:rsidP="005711D1">
      <w:pPr>
        <w:rPr>
          <w:rFonts w:ascii="Times New Roman" w:hAnsi="Times New Roman"/>
          <w:szCs w:val="24"/>
        </w:rPr>
      </w:pPr>
    </w:p>
    <w:p w:rsidR="00F912E3" w:rsidRDefault="00F912E3" w:rsidP="005711D1">
      <w:pPr>
        <w:rPr>
          <w:rFonts w:ascii="Times New Roman" w:hAnsi="Times New Roman"/>
          <w:szCs w:val="24"/>
        </w:rPr>
      </w:pPr>
      <w:r>
        <w:rPr>
          <w:rFonts w:ascii="Times New Roman" w:hAnsi="Times New Roman"/>
          <w:szCs w:val="24"/>
        </w:rPr>
        <w:lastRenderedPageBreak/>
        <w:t>Private Institutions</w:t>
      </w:r>
      <w:r>
        <w:rPr>
          <w:rFonts w:ascii="Times New Roman" w:hAnsi="Times New Roman"/>
          <w:szCs w:val="24"/>
        </w:rPr>
        <w:tab/>
      </w:r>
      <w:r>
        <w:rPr>
          <w:rFonts w:ascii="Times New Roman" w:hAnsi="Times New Roman"/>
          <w:szCs w:val="24"/>
        </w:rPr>
        <w:tab/>
        <w:t xml:space="preserve">  8</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8</w:t>
      </w:r>
      <w:r>
        <w:rPr>
          <w:rFonts w:ascii="Times New Roman" w:hAnsi="Times New Roman"/>
          <w:szCs w:val="24"/>
        </w:rPr>
        <w:tab/>
      </w:r>
      <w:r>
        <w:rPr>
          <w:rFonts w:ascii="Times New Roman" w:hAnsi="Times New Roman"/>
          <w:szCs w:val="24"/>
        </w:rPr>
        <w:tab/>
        <w:t xml:space="preserve">    x    2 hours</w:t>
      </w:r>
      <w:r>
        <w:rPr>
          <w:rFonts w:ascii="Times New Roman" w:hAnsi="Times New Roman"/>
          <w:szCs w:val="24"/>
        </w:rPr>
        <w:tab/>
      </w:r>
      <w:r>
        <w:rPr>
          <w:rFonts w:ascii="Times New Roman" w:hAnsi="Times New Roman"/>
          <w:szCs w:val="24"/>
        </w:rPr>
        <w:tab/>
        <w:t xml:space="preserve">     16</w:t>
      </w:r>
    </w:p>
    <w:p w:rsidR="00191BC0" w:rsidRDefault="00191BC0" w:rsidP="005711D1">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 xml:space="preserve">  </w:t>
      </w:r>
      <w:r w:rsidR="00F912E3">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sidR="00F912E3">
        <w:rPr>
          <w:rFonts w:ascii="Times New Roman" w:hAnsi="Times New Roman"/>
          <w:szCs w:val="24"/>
        </w:rPr>
        <w:t xml:space="preserve">  </w:t>
      </w:r>
      <w:r>
        <w:rPr>
          <w:rFonts w:ascii="Times New Roman" w:hAnsi="Times New Roman"/>
          <w:szCs w:val="24"/>
        </w:rPr>
        <w:t>1,904</w:t>
      </w:r>
      <w:r>
        <w:rPr>
          <w:rFonts w:ascii="Times New Roman" w:hAnsi="Times New Roman"/>
          <w:szCs w:val="24"/>
        </w:rPr>
        <w:tab/>
      </w:r>
      <w:r>
        <w:rPr>
          <w:rFonts w:ascii="Times New Roman" w:hAnsi="Times New Roman"/>
          <w:szCs w:val="24"/>
        </w:rPr>
        <w:tab/>
        <w:t xml:space="preserve">    x .17 hours</w:t>
      </w:r>
      <w:r>
        <w:rPr>
          <w:rFonts w:ascii="Times New Roman" w:hAnsi="Times New Roman"/>
          <w:szCs w:val="24"/>
        </w:rPr>
        <w:tab/>
      </w:r>
      <w:r>
        <w:rPr>
          <w:rFonts w:ascii="Times New Roman" w:hAnsi="Times New Roman"/>
          <w:szCs w:val="24"/>
        </w:rPr>
        <w:tab/>
        <w:t xml:space="preserve">   324</w:t>
      </w:r>
    </w:p>
    <w:p w:rsidR="00F912E3" w:rsidRDefault="00F912E3"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38</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 xml:space="preserve">       38</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   2 </w:t>
      </w:r>
      <w:r w:rsidRPr="008C5150">
        <w:rPr>
          <w:rFonts w:ascii="Times New Roman" w:hAnsi="Times New Roman"/>
          <w:szCs w:val="24"/>
        </w:rPr>
        <w:t>h</w:t>
      </w:r>
      <w:r>
        <w:rPr>
          <w:rFonts w:ascii="Times New Roman" w:hAnsi="Times New Roman"/>
          <w:szCs w:val="24"/>
        </w:rPr>
        <w:t>ours</w:t>
      </w:r>
      <w:r>
        <w:rPr>
          <w:rFonts w:ascii="Times New Roman" w:hAnsi="Times New Roman"/>
          <w:szCs w:val="24"/>
        </w:rPr>
        <w:tab/>
      </w:r>
      <w:r>
        <w:rPr>
          <w:rFonts w:ascii="Times New Roman" w:hAnsi="Times New Roman"/>
          <w:szCs w:val="24"/>
        </w:rPr>
        <w:tab/>
        <w:t xml:space="preserve">     76</w:t>
      </w:r>
    </w:p>
    <w:p w:rsidR="00A34B18" w:rsidRPr="00F912E3" w:rsidRDefault="00A34B18" w:rsidP="005711D1">
      <w:pPr>
        <w:rPr>
          <w:rFonts w:ascii="Times New Roman" w:hAnsi="Times New Roman"/>
          <w:szCs w:val="24"/>
          <w:u w:val="single"/>
        </w:rPr>
      </w:pPr>
      <w:r w:rsidRPr="00F912E3">
        <w:rPr>
          <w:rFonts w:ascii="Times New Roman" w:hAnsi="Times New Roman"/>
          <w:szCs w:val="24"/>
          <w:u w:val="single"/>
        </w:rPr>
        <w:t>Proprietary Institutions</w:t>
      </w:r>
      <w:r w:rsidRPr="00F912E3">
        <w:rPr>
          <w:rFonts w:ascii="Times New Roman" w:hAnsi="Times New Roman"/>
          <w:szCs w:val="24"/>
          <w:u w:val="single"/>
        </w:rPr>
        <w:tab/>
      </w:r>
      <w:r w:rsidR="00F912E3" w:rsidRPr="00F912E3">
        <w:rPr>
          <w:rFonts w:ascii="Times New Roman" w:hAnsi="Times New Roman"/>
          <w:szCs w:val="24"/>
          <w:u w:val="single"/>
        </w:rPr>
        <w:t xml:space="preserve">  *</w:t>
      </w:r>
      <w:r w:rsidRPr="00F912E3">
        <w:rPr>
          <w:rFonts w:ascii="Times New Roman" w:hAnsi="Times New Roman"/>
          <w:szCs w:val="24"/>
          <w:u w:val="single"/>
        </w:rPr>
        <w:tab/>
      </w:r>
      <w:r w:rsidRPr="00F912E3">
        <w:rPr>
          <w:rFonts w:ascii="Times New Roman" w:hAnsi="Times New Roman"/>
          <w:szCs w:val="24"/>
          <w:u w:val="single"/>
        </w:rPr>
        <w:tab/>
      </w:r>
      <w:r w:rsidRPr="00F912E3">
        <w:rPr>
          <w:rFonts w:ascii="Times New Roman" w:hAnsi="Times New Roman"/>
          <w:szCs w:val="24"/>
          <w:u w:val="single"/>
        </w:rPr>
        <w:tab/>
      </w:r>
      <w:r w:rsidR="00F912E3">
        <w:rPr>
          <w:rFonts w:ascii="Times New Roman" w:hAnsi="Times New Roman"/>
          <w:szCs w:val="24"/>
          <w:u w:val="single"/>
        </w:rPr>
        <w:t xml:space="preserve">  </w:t>
      </w:r>
      <w:r w:rsidR="00191BC0" w:rsidRPr="00F912E3">
        <w:rPr>
          <w:rFonts w:ascii="Times New Roman" w:hAnsi="Times New Roman"/>
          <w:szCs w:val="24"/>
          <w:u w:val="single"/>
        </w:rPr>
        <w:t>9,044</w:t>
      </w:r>
      <w:r w:rsidRPr="00F912E3">
        <w:rPr>
          <w:rFonts w:ascii="Times New Roman" w:hAnsi="Times New Roman"/>
          <w:szCs w:val="24"/>
          <w:u w:val="single"/>
        </w:rPr>
        <w:tab/>
      </w:r>
      <w:r w:rsidRPr="00F912E3">
        <w:rPr>
          <w:rFonts w:ascii="Times New Roman" w:hAnsi="Times New Roman"/>
          <w:szCs w:val="24"/>
          <w:u w:val="single"/>
        </w:rPr>
        <w:tab/>
        <w:t xml:space="preserve">    x </w:t>
      </w:r>
      <w:r w:rsidR="003A1322" w:rsidRPr="00F912E3">
        <w:rPr>
          <w:rFonts w:ascii="Times New Roman" w:hAnsi="Times New Roman"/>
          <w:szCs w:val="24"/>
          <w:u w:val="single"/>
        </w:rPr>
        <w:t xml:space="preserve">.17 </w:t>
      </w:r>
      <w:r w:rsidRPr="00F912E3">
        <w:rPr>
          <w:rFonts w:ascii="Times New Roman" w:hAnsi="Times New Roman"/>
          <w:szCs w:val="24"/>
          <w:u w:val="single"/>
        </w:rPr>
        <w:t>h</w:t>
      </w:r>
      <w:r w:rsidR="00191BC0" w:rsidRPr="00F912E3">
        <w:rPr>
          <w:rFonts w:ascii="Times New Roman" w:hAnsi="Times New Roman"/>
          <w:szCs w:val="24"/>
          <w:u w:val="single"/>
        </w:rPr>
        <w:t>ours</w:t>
      </w:r>
      <w:r w:rsidR="00191BC0" w:rsidRPr="00F912E3">
        <w:rPr>
          <w:rFonts w:ascii="Times New Roman" w:hAnsi="Times New Roman"/>
          <w:szCs w:val="24"/>
          <w:u w:val="single"/>
        </w:rPr>
        <w:tab/>
      </w:r>
      <w:r w:rsidR="00191BC0" w:rsidRPr="00F912E3">
        <w:rPr>
          <w:rFonts w:ascii="Times New Roman" w:hAnsi="Times New Roman"/>
          <w:szCs w:val="24"/>
          <w:u w:val="single"/>
        </w:rPr>
        <w:tab/>
        <w:t>1,537</w:t>
      </w:r>
    </w:p>
    <w:p w:rsidR="005711D1" w:rsidRDefault="00F912E3" w:rsidP="00F912E3">
      <w:pPr>
        <w:rPr>
          <w:rFonts w:ascii="Times New Roman" w:hAnsi="Times New Roman"/>
          <w:szCs w:val="24"/>
        </w:rPr>
      </w:pPr>
      <w:r>
        <w:rPr>
          <w:rFonts w:ascii="Times New Roman" w:hAnsi="Times New Roman"/>
          <w:szCs w:val="24"/>
        </w:rPr>
        <w:t>Section Subtotal</w:t>
      </w:r>
      <w:r>
        <w:rPr>
          <w:rFonts w:ascii="Times New Roman" w:hAnsi="Times New Roman"/>
          <w:szCs w:val="24"/>
        </w:rPr>
        <w:tab/>
      </w:r>
      <w:r>
        <w:rPr>
          <w:rFonts w:ascii="Times New Roman" w:hAnsi="Times New Roman"/>
          <w:szCs w:val="24"/>
        </w:rPr>
        <w:tab/>
        <w:t>46</w:t>
      </w:r>
      <w:r>
        <w:rPr>
          <w:rFonts w:ascii="Times New Roman" w:hAnsi="Times New Roman"/>
          <w:szCs w:val="24"/>
        </w:rPr>
        <w:tab/>
      </w:r>
      <w:r>
        <w:rPr>
          <w:rFonts w:ascii="Times New Roman" w:hAnsi="Times New Roman"/>
          <w:szCs w:val="24"/>
        </w:rPr>
        <w:tab/>
      </w:r>
      <w:r>
        <w:rPr>
          <w:rFonts w:ascii="Times New Roman" w:hAnsi="Times New Roman"/>
          <w:szCs w:val="24"/>
        </w:rPr>
        <w:tab/>
        <w:t>10,994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1,953</w:t>
      </w:r>
    </w:p>
    <w:p w:rsidR="00F912E3" w:rsidRDefault="00F912E3" w:rsidP="005711D1">
      <w:pPr>
        <w:ind w:firstLine="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For §668.14, the total increase in burden will be 1,</w:t>
      </w:r>
      <w:r w:rsidR="00F912E3">
        <w:rPr>
          <w:rFonts w:ascii="Times New Roman" w:hAnsi="Times New Roman"/>
          <w:szCs w:val="24"/>
        </w:rPr>
        <w:t>953</w:t>
      </w:r>
      <w:r w:rsidRPr="000B6824">
        <w:rPr>
          <w:rFonts w:ascii="Times New Roman" w:hAnsi="Times New Roman"/>
          <w:szCs w:val="24"/>
        </w:rPr>
        <w:t xml:space="preserve"> hours under OMB Control Number 1845-0022.</w:t>
      </w:r>
    </w:p>
    <w:p w:rsidR="003A1322" w:rsidRDefault="003A1322" w:rsidP="005711D1">
      <w:pPr>
        <w:ind w:firstLine="720"/>
        <w:rPr>
          <w:rFonts w:ascii="Times New Roman" w:hAnsi="Times New Roman"/>
          <w:szCs w:val="24"/>
        </w:rPr>
      </w:pPr>
    </w:p>
    <w:p w:rsidR="00191BC0" w:rsidRDefault="00191BC0" w:rsidP="00191BC0">
      <w:pPr>
        <w:ind w:left="720"/>
        <w:rPr>
          <w:rFonts w:ascii="Times New Roman" w:eastAsia="Cambria" w:hAnsi="Times New Roman"/>
          <w:szCs w:val="24"/>
          <w:u w:val="single"/>
        </w:rPr>
      </w:pPr>
      <w:r w:rsidRPr="00624B27">
        <w:rPr>
          <w:rFonts w:ascii="Times New Roman" w:eastAsia="Cambria" w:hAnsi="Times New Roman"/>
          <w:szCs w:val="24"/>
          <w:u w:val="single"/>
        </w:rPr>
        <w:t>§668.171</w:t>
      </w:r>
      <w:r w:rsidR="00624B27" w:rsidRPr="00624B27">
        <w:rPr>
          <w:rFonts w:ascii="Times New Roman" w:eastAsia="Cambria" w:hAnsi="Times New Roman"/>
          <w:szCs w:val="24"/>
          <w:u w:val="single"/>
        </w:rPr>
        <w:t xml:space="preserve"> </w:t>
      </w:r>
      <w:r w:rsidRPr="000B6824">
        <w:rPr>
          <w:rFonts w:ascii="Times New Roman" w:eastAsia="Cambria" w:hAnsi="Times New Roman"/>
          <w:szCs w:val="24"/>
          <w:u w:val="single"/>
        </w:rPr>
        <w:t xml:space="preserve">Financial responsibility. General. </w:t>
      </w:r>
    </w:p>
    <w:p w:rsidR="00191BC0" w:rsidRPr="000B6824" w:rsidRDefault="00191BC0" w:rsidP="00191BC0">
      <w:pPr>
        <w:rPr>
          <w:rFonts w:ascii="Times New Roman" w:eastAsia="Cambria" w:hAnsi="Times New Roman"/>
          <w:szCs w:val="24"/>
          <w:u w:val="single"/>
        </w:rPr>
      </w:pPr>
    </w:p>
    <w:p w:rsidR="00191BC0" w:rsidRPr="000B6824" w:rsidRDefault="00191BC0" w:rsidP="00191BC0">
      <w:pPr>
        <w:ind w:left="720"/>
        <w:rPr>
          <w:rFonts w:ascii="Times New Roman" w:eastAsia="Cambria" w:hAnsi="Times New Roman"/>
          <w:szCs w:val="24"/>
        </w:rPr>
      </w:pPr>
      <w:r w:rsidRPr="000B6824">
        <w:rPr>
          <w:rFonts w:ascii="Times New Roman" w:eastAsia="Cambria" w:hAnsi="Times New Roman"/>
          <w:szCs w:val="24"/>
        </w:rPr>
        <w:t xml:space="preserve">Under §668.171(d), in accordance with procedures to be established by the Secretary, an institution would notify the Secretary of any action or triggering event described in §668.171(c) no later than 10 days after that action or event occurs.  </w:t>
      </w:r>
    </w:p>
    <w:p w:rsidR="00191BC0" w:rsidRPr="000B6824" w:rsidRDefault="00191BC0" w:rsidP="00191BC0">
      <w:pPr>
        <w:tabs>
          <w:tab w:val="left" w:pos="418"/>
        </w:tabs>
        <w:ind w:left="720" w:right="855"/>
        <w:rPr>
          <w:rFonts w:ascii="Times New Roman" w:eastAsia="Cambria" w:hAnsi="Times New Roman"/>
          <w:szCs w:val="24"/>
        </w:rPr>
      </w:pPr>
      <w:r w:rsidRPr="000B6824">
        <w:rPr>
          <w:rFonts w:ascii="Times New Roman" w:eastAsia="Cambria" w:hAnsi="Times New Roman"/>
          <w:szCs w:val="24"/>
        </w:rPr>
        <w:t>In</w:t>
      </w:r>
      <w:r w:rsidRPr="000B6824" w:rsidDel="006365CB">
        <w:rPr>
          <w:rFonts w:ascii="Times New Roman" w:eastAsia="Cambria" w:hAnsi="Times New Roman"/>
          <w:szCs w:val="24"/>
        </w:rPr>
        <w:t xml:space="preserve"> </w:t>
      </w:r>
      <w:r w:rsidRPr="000B6824">
        <w:rPr>
          <w:rFonts w:ascii="Times New Roman" w:eastAsia="Cambria" w:hAnsi="Times New Roman"/>
          <w:szCs w:val="24"/>
        </w:rPr>
        <w:t xml:space="preserve">that notice, the institution may show that certain actions or events are not material or that those actions are resolved.  Specifically: </w:t>
      </w:r>
    </w:p>
    <w:p w:rsidR="00191BC0" w:rsidRPr="000B6824" w:rsidRDefault="00191BC0" w:rsidP="00F912E3">
      <w:pPr>
        <w:tabs>
          <w:tab w:val="left" w:pos="418"/>
        </w:tabs>
        <w:ind w:left="1260" w:right="855"/>
        <w:rPr>
          <w:rFonts w:ascii="Times New Roman" w:eastAsia="Cambria" w:hAnsi="Times New Roman"/>
          <w:szCs w:val="24"/>
        </w:rPr>
      </w:pPr>
      <w:r w:rsidRPr="000B6824">
        <w:rPr>
          <w:rFonts w:ascii="Times New Roman" w:eastAsia="Cambria" w:hAnsi="Times New Roman"/>
          <w:szCs w:val="24"/>
        </w:rPr>
        <w:t xml:space="preserve">•  The institution may explain why a judicial or administrative proceeding the institution disclosed to the SEC does not constitute a material event. </w:t>
      </w:r>
    </w:p>
    <w:p w:rsidR="00191BC0" w:rsidRPr="000B6824" w:rsidRDefault="00191BC0" w:rsidP="00F912E3">
      <w:pPr>
        <w:tabs>
          <w:tab w:val="left" w:pos="418"/>
        </w:tabs>
        <w:ind w:left="1260" w:right="855"/>
        <w:rPr>
          <w:rFonts w:ascii="Times New Roman" w:eastAsia="Cambria" w:hAnsi="Times New Roman"/>
          <w:szCs w:val="24"/>
        </w:rPr>
      </w:pPr>
      <w:r w:rsidRPr="000B6824">
        <w:rPr>
          <w:rFonts w:ascii="Times New Roman" w:eastAsia="Cambria" w:hAnsi="Times New Roman"/>
          <w:szCs w:val="24"/>
        </w:rPr>
        <w:t xml:space="preserve">•  The institution may demonstrate that a withdrawal of owner’s equity was used solely to meet tax liabilities of the institution or its owners.  Or, where the composite score is calculated based on the consolidated financial statements of a group of institutions, the amount withdrawn from one institution in the group was transferred to another entity within that group. </w:t>
      </w:r>
    </w:p>
    <w:p w:rsidR="00191BC0" w:rsidRDefault="00191BC0" w:rsidP="00F912E3">
      <w:pPr>
        <w:tabs>
          <w:tab w:val="left" w:pos="418"/>
        </w:tabs>
        <w:ind w:left="1260" w:right="855"/>
        <w:rPr>
          <w:rFonts w:ascii="Times New Roman" w:eastAsia="Cambria" w:hAnsi="Times New Roman"/>
          <w:szCs w:val="24"/>
        </w:rPr>
      </w:pPr>
      <w:r w:rsidRPr="000B6824">
        <w:rPr>
          <w:rFonts w:ascii="Times New Roman" w:eastAsia="Cambria" w:hAnsi="Times New Roman"/>
          <w:szCs w:val="24"/>
        </w:rPr>
        <w:t>•  The institution may show that the creditor waived a violation of a loan agreement.  If the creditor imposes additional constraints or requirements as a condition of waiving the violation and continuing with the loan, the institution must identify and describe those constraints or requirements.  In addition, if a default or delinquency event occurs or other events occur that trigger, or enable the creditor to require or impose, additional constraints or penalties on the institution, the institution would be permitted to show why these actions would not have an adverse financial impact on the institution.</w:t>
      </w:r>
    </w:p>
    <w:p w:rsidR="00191BC0" w:rsidRDefault="00191BC0" w:rsidP="00191BC0">
      <w:pPr>
        <w:tabs>
          <w:tab w:val="left" w:pos="418"/>
        </w:tabs>
        <w:ind w:left="720" w:right="855"/>
        <w:rPr>
          <w:rFonts w:ascii="Times New Roman" w:eastAsia="Cambria"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191BC0" w:rsidRDefault="00191BC0" w:rsidP="00191BC0">
      <w:pPr>
        <w:ind w:left="720"/>
        <w:rPr>
          <w:rFonts w:ascii="Times New Roman" w:hAnsi="Times New Roman"/>
          <w:szCs w:val="24"/>
        </w:rPr>
      </w:pPr>
      <w:r w:rsidRPr="000B6824">
        <w:rPr>
          <w:rFonts w:ascii="Times New Roman" w:hAnsi="Times New Roman"/>
          <w:szCs w:val="24"/>
        </w:rPr>
        <w:t xml:space="preserve">There will be burden on schools to provide the notice to the Secretary when one of the actions or triggering events identified in </w:t>
      </w:r>
      <w:r w:rsidRPr="000B6824">
        <w:rPr>
          <w:rFonts w:ascii="Times New Roman" w:eastAsiaTheme="minorHAnsi" w:hAnsi="Times New Roman"/>
          <w:bCs/>
          <w:szCs w:val="24"/>
        </w:rPr>
        <w:t>§668.171(c) occurs</w:t>
      </w:r>
      <w:r>
        <w:rPr>
          <w:rFonts w:ascii="Times New Roman" w:hAnsi="Times New Roman"/>
          <w:szCs w:val="24"/>
        </w:rPr>
        <w:t xml:space="preserve">.  </w:t>
      </w:r>
      <w:r w:rsidRPr="000B6824">
        <w:rPr>
          <w:rFonts w:ascii="Times New Roman" w:hAnsi="Times New Roman"/>
          <w:szCs w:val="24"/>
        </w:rPr>
        <w:t xml:space="preserve">We estimate that an institution will take two hours per action or triggering event to prepare the appropriate notice and provide it to the Secretary.  </w:t>
      </w:r>
    </w:p>
    <w:p w:rsidR="00191BC0" w:rsidRDefault="00191BC0" w:rsidP="00191BC0">
      <w:pPr>
        <w:ind w:left="720"/>
        <w:rPr>
          <w:rFonts w:ascii="Times New Roman" w:hAnsi="Times New Roman"/>
          <w:szCs w:val="24"/>
        </w:rPr>
      </w:pPr>
    </w:p>
    <w:p w:rsidR="00191BC0" w:rsidRDefault="00191BC0" w:rsidP="00191BC0">
      <w:pPr>
        <w:ind w:left="720"/>
        <w:rPr>
          <w:rFonts w:ascii="Times New Roman" w:eastAsiaTheme="minorHAnsi" w:hAnsi="Times New Roman"/>
          <w:bCs/>
          <w:szCs w:val="24"/>
        </w:rPr>
      </w:pPr>
      <w:r w:rsidRPr="000B6824">
        <w:rPr>
          <w:rFonts w:ascii="Times New Roman" w:hAnsi="Times New Roman"/>
          <w:szCs w:val="24"/>
        </w:rPr>
        <w:t>We estimate that 169 private institutions may have 2 events annually to report for a total burden of 676 hours (169 institutions</w:t>
      </w:r>
      <w:r w:rsidRPr="000B6824">
        <w:rPr>
          <w:rFonts w:ascii="Times New Roman" w:eastAsiaTheme="minorHAnsi" w:hAnsi="Times New Roman"/>
          <w:bCs/>
          <w:szCs w:val="24"/>
        </w:rPr>
        <w:t xml:space="preserve"> x 2 events x 2 hours).  </w:t>
      </w:r>
    </w:p>
    <w:p w:rsidR="00191BC0" w:rsidRDefault="00191BC0" w:rsidP="00191BC0">
      <w:pPr>
        <w:ind w:left="720"/>
        <w:rPr>
          <w:rFonts w:ascii="Times New Roman" w:eastAsiaTheme="minorHAnsi" w:hAnsi="Times New Roman"/>
          <w:bCs/>
          <w:szCs w:val="24"/>
        </w:rPr>
      </w:pPr>
    </w:p>
    <w:p w:rsidR="00191BC0" w:rsidRDefault="00191BC0" w:rsidP="00191BC0">
      <w:pPr>
        <w:ind w:left="720"/>
        <w:rPr>
          <w:rFonts w:ascii="Times New Roman" w:eastAsiaTheme="minorHAnsi" w:hAnsi="Times New Roman"/>
          <w:bCs/>
          <w:szCs w:val="24"/>
        </w:rPr>
      </w:pPr>
      <w:r w:rsidRPr="000B6824">
        <w:rPr>
          <w:rFonts w:ascii="Times New Roman" w:hAnsi="Times New Roman"/>
          <w:szCs w:val="24"/>
        </w:rPr>
        <w:t>We estimate that 392 proprietary institutions may have 3 events annually to report for total burden of 2,352 hours (392 institutions x 3 events x 2 hours).</w:t>
      </w:r>
      <w:r w:rsidRPr="000B6824">
        <w:rPr>
          <w:rFonts w:ascii="Times New Roman" w:eastAsiaTheme="minorHAnsi" w:hAnsi="Times New Roman"/>
          <w:bCs/>
          <w:szCs w:val="24"/>
        </w:rPr>
        <w:t xml:space="preserve">  </w:t>
      </w:r>
    </w:p>
    <w:p w:rsidR="00191BC0" w:rsidRDefault="00191BC0" w:rsidP="00191BC0">
      <w:pPr>
        <w:ind w:left="720"/>
        <w:rPr>
          <w:rFonts w:ascii="Times New Roman" w:eastAsiaTheme="minorHAnsi" w:hAnsi="Times New Roman"/>
          <w:bCs/>
          <w:szCs w:val="24"/>
        </w:rPr>
      </w:pPr>
    </w:p>
    <w:p w:rsidR="00191BC0" w:rsidRDefault="00191BC0" w:rsidP="00191BC0">
      <w:pPr>
        <w:ind w:left="720"/>
        <w:rPr>
          <w:rFonts w:ascii="Times New Roman" w:eastAsiaTheme="minorHAnsi" w:hAnsi="Times New Roman"/>
          <w:bCs/>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lastRenderedPageBreak/>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191BC0" w:rsidRDefault="00191BC0" w:rsidP="00191BC0">
      <w:pPr>
        <w:rPr>
          <w:rFonts w:ascii="Times New Roman" w:hAnsi="Times New Roman"/>
          <w:szCs w:val="24"/>
        </w:rPr>
      </w:pPr>
    </w:p>
    <w:p w:rsidR="00191BC0" w:rsidRDefault="00191BC0" w:rsidP="00191BC0">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169</w:t>
      </w:r>
      <w:r>
        <w:rPr>
          <w:rFonts w:ascii="Times New Roman" w:hAnsi="Times New Roman"/>
          <w:szCs w:val="24"/>
        </w:rPr>
        <w:tab/>
      </w:r>
      <w:r>
        <w:rPr>
          <w:rFonts w:ascii="Times New Roman" w:hAnsi="Times New Roman"/>
          <w:szCs w:val="24"/>
        </w:rPr>
        <w:tab/>
      </w:r>
      <w:r>
        <w:rPr>
          <w:rFonts w:ascii="Times New Roman" w:hAnsi="Times New Roman"/>
          <w:szCs w:val="24"/>
        </w:rPr>
        <w:tab/>
      </w:r>
      <w:r w:rsidR="00624B27">
        <w:rPr>
          <w:rFonts w:ascii="Times New Roman" w:hAnsi="Times New Roman"/>
          <w:szCs w:val="24"/>
        </w:rPr>
        <w:t xml:space="preserve">   </w:t>
      </w:r>
      <w:r>
        <w:rPr>
          <w:rFonts w:ascii="Times New Roman" w:hAnsi="Times New Roman"/>
          <w:szCs w:val="24"/>
        </w:rPr>
        <w:t>338</w:t>
      </w:r>
      <w:r>
        <w:rPr>
          <w:rFonts w:ascii="Times New Roman" w:hAnsi="Times New Roman"/>
          <w:szCs w:val="24"/>
        </w:rPr>
        <w:tab/>
      </w:r>
      <w:r>
        <w:rPr>
          <w:rFonts w:ascii="Times New Roman" w:hAnsi="Times New Roman"/>
          <w:szCs w:val="24"/>
        </w:rPr>
        <w:tab/>
        <w:t xml:space="preserve">    x </w:t>
      </w:r>
      <w:r w:rsidR="00624B27">
        <w:rPr>
          <w:rFonts w:ascii="Times New Roman" w:hAnsi="Times New Roman"/>
          <w:szCs w:val="24"/>
        </w:rPr>
        <w:t>2</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624B27">
        <w:rPr>
          <w:rFonts w:ascii="Times New Roman" w:hAnsi="Times New Roman"/>
          <w:szCs w:val="24"/>
        </w:rPr>
        <w:t>676</w:t>
      </w:r>
    </w:p>
    <w:p w:rsidR="00191BC0" w:rsidRPr="008D6778" w:rsidRDefault="00191BC0" w:rsidP="00191BC0">
      <w:pPr>
        <w:rPr>
          <w:rFonts w:ascii="Times New Roman" w:hAnsi="Times New Roman"/>
          <w:szCs w:val="24"/>
          <w:u w:val="single"/>
        </w:rPr>
      </w:pPr>
      <w:r w:rsidRPr="008D6778">
        <w:rPr>
          <w:rFonts w:ascii="Times New Roman" w:hAnsi="Times New Roman"/>
          <w:szCs w:val="24"/>
          <w:u w:val="single"/>
        </w:rPr>
        <w:t>Proprietary Institutions</w:t>
      </w:r>
      <w:r w:rsidRPr="008D6778">
        <w:rPr>
          <w:rFonts w:ascii="Times New Roman" w:hAnsi="Times New Roman"/>
          <w:szCs w:val="24"/>
          <w:u w:val="single"/>
        </w:rPr>
        <w:tab/>
        <w:t>392</w:t>
      </w:r>
      <w:r w:rsidRPr="008D6778">
        <w:rPr>
          <w:rFonts w:ascii="Times New Roman" w:hAnsi="Times New Roman"/>
          <w:szCs w:val="24"/>
          <w:u w:val="single"/>
        </w:rPr>
        <w:tab/>
      </w:r>
      <w:r w:rsidRPr="008D6778">
        <w:rPr>
          <w:rFonts w:ascii="Times New Roman" w:hAnsi="Times New Roman"/>
          <w:szCs w:val="24"/>
          <w:u w:val="single"/>
        </w:rPr>
        <w:tab/>
      </w:r>
      <w:r w:rsidRPr="008D6778">
        <w:rPr>
          <w:rFonts w:ascii="Times New Roman" w:hAnsi="Times New Roman"/>
          <w:szCs w:val="24"/>
          <w:u w:val="single"/>
        </w:rPr>
        <w:tab/>
      </w:r>
      <w:r w:rsidR="00624B27" w:rsidRPr="008D6778">
        <w:rPr>
          <w:rFonts w:ascii="Times New Roman" w:hAnsi="Times New Roman"/>
          <w:szCs w:val="24"/>
          <w:u w:val="single"/>
        </w:rPr>
        <w:t>1,176</w:t>
      </w:r>
      <w:r w:rsidRPr="008D6778">
        <w:rPr>
          <w:rFonts w:ascii="Times New Roman" w:hAnsi="Times New Roman"/>
          <w:szCs w:val="24"/>
          <w:u w:val="single"/>
        </w:rPr>
        <w:tab/>
      </w:r>
      <w:r w:rsidRPr="008D6778">
        <w:rPr>
          <w:rFonts w:ascii="Times New Roman" w:hAnsi="Times New Roman"/>
          <w:szCs w:val="24"/>
          <w:u w:val="single"/>
        </w:rPr>
        <w:tab/>
        <w:t xml:space="preserve">    x </w:t>
      </w:r>
      <w:r w:rsidR="00624B27" w:rsidRPr="008D6778">
        <w:rPr>
          <w:rFonts w:ascii="Times New Roman" w:hAnsi="Times New Roman"/>
          <w:szCs w:val="24"/>
          <w:u w:val="single"/>
        </w:rPr>
        <w:t>2</w:t>
      </w:r>
      <w:r w:rsidRPr="008D6778">
        <w:rPr>
          <w:rFonts w:ascii="Times New Roman" w:hAnsi="Times New Roman"/>
          <w:szCs w:val="24"/>
          <w:u w:val="single"/>
        </w:rPr>
        <w:t xml:space="preserve"> hours</w:t>
      </w:r>
      <w:r w:rsidRPr="008D6778">
        <w:rPr>
          <w:rFonts w:ascii="Times New Roman" w:hAnsi="Times New Roman"/>
          <w:szCs w:val="24"/>
          <w:u w:val="single"/>
        </w:rPr>
        <w:tab/>
      </w:r>
      <w:r w:rsidRPr="008D6778">
        <w:rPr>
          <w:rFonts w:ascii="Times New Roman" w:hAnsi="Times New Roman"/>
          <w:szCs w:val="24"/>
          <w:u w:val="single"/>
        </w:rPr>
        <w:tab/>
      </w:r>
      <w:r w:rsidR="00624B27" w:rsidRPr="008D6778">
        <w:rPr>
          <w:rFonts w:ascii="Times New Roman" w:hAnsi="Times New Roman"/>
          <w:szCs w:val="24"/>
          <w:u w:val="single"/>
        </w:rPr>
        <w:t>2</w:t>
      </w:r>
      <w:r w:rsidRPr="008D6778">
        <w:rPr>
          <w:rFonts w:ascii="Times New Roman" w:hAnsi="Times New Roman"/>
          <w:szCs w:val="24"/>
          <w:u w:val="single"/>
        </w:rPr>
        <w:t>,</w:t>
      </w:r>
      <w:r w:rsidR="00624B27" w:rsidRPr="008D6778">
        <w:rPr>
          <w:rFonts w:ascii="Times New Roman" w:hAnsi="Times New Roman"/>
          <w:szCs w:val="24"/>
          <w:u w:val="single"/>
        </w:rPr>
        <w:t>352</w:t>
      </w:r>
    </w:p>
    <w:p w:rsidR="00191BC0" w:rsidRDefault="008D6778" w:rsidP="008D6778">
      <w:pPr>
        <w:rPr>
          <w:rFonts w:ascii="Times New Roman" w:hAnsi="Times New Roman"/>
          <w:szCs w:val="24"/>
        </w:rPr>
      </w:pPr>
      <w:r>
        <w:rPr>
          <w:rFonts w:ascii="Times New Roman" w:hAnsi="Times New Roman"/>
          <w:szCs w:val="24"/>
        </w:rPr>
        <w:t>Section Subtotal</w:t>
      </w:r>
      <w:r>
        <w:rPr>
          <w:rFonts w:ascii="Times New Roman" w:hAnsi="Times New Roman"/>
          <w:szCs w:val="24"/>
        </w:rPr>
        <w:tab/>
      </w:r>
      <w:r>
        <w:rPr>
          <w:rFonts w:ascii="Times New Roman" w:hAnsi="Times New Roman"/>
          <w:szCs w:val="24"/>
        </w:rPr>
        <w:tab/>
        <w:t>561</w:t>
      </w:r>
      <w:r>
        <w:rPr>
          <w:rFonts w:ascii="Times New Roman" w:hAnsi="Times New Roman"/>
          <w:szCs w:val="24"/>
        </w:rPr>
        <w:tab/>
      </w:r>
      <w:r>
        <w:rPr>
          <w:rFonts w:ascii="Times New Roman" w:hAnsi="Times New Roman"/>
          <w:szCs w:val="24"/>
        </w:rPr>
        <w:tab/>
      </w:r>
      <w:r>
        <w:rPr>
          <w:rFonts w:ascii="Times New Roman" w:hAnsi="Times New Roman"/>
          <w:szCs w:val="24"/>
        </w:rPr>
        <w:tab/>
        <w:t>1,514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3,028</w:t>
      </w:r>
    </w:p>
    <w:p w:rsidR="008D6778" w:rsidRDefault="008D6778" w:rsidP="00191BC0">
      <w:pPr>
        <w:ind w:left="720"/>
        <w:rPr>
          <w:rFonts w:ascii="Times New Roman" w:hAnsi="Times New Roman"/>
          <w:szCs w:val="24"/>
        </w:rPr>
      </w:pPr>
    </w:p>
    <w:p w:rsidR="00191BC0" w:rsidRDefault="00191BC0" w:rsidP="00191BC0">
      <w:pPr>
        <w:ind w:left="720"/>
        <w:rPr>
          <w:rFonts w:ascii="Times New Roman" w:hAnsi="Times New Roman"/>
          <w:szCs w:val="24"/>
        </w:rPr>
      </w:pPr>
      <w:r w:rsidRPr="000B6824">
        <w:rPr>
          <w:rFonts w:ascii="Times New Roman" w:hAnsi="Times New Roman"/>
          <w:szCs w:val="24"/>
        </w:rPr>
        <w:t>This total burden of 3,210 hours will be assessed under OMB Control Number 1845-0022.</w:t>
      </w:r>
    </w:p>
    <w:p w:rsidR="00624B27" w:rsidRPr="000B6824" w:rsidRDefault="00624B27" w:rsidP="00191BC0">
      <w:pPr>
        <w:ind w:left="720"/>
        <w:rPr>
          <w:rFonts w:ascii="Times New Roman" w:eastAsiaTheme="minorHAnsi" w:hAnsi="Times New Roman"/>
          <w:szCs w:val="24"/>
        </w:rPr>
      </w:pPr>
    </w:p>
    <w:p w:rsidR="00191BC0" w:rsidRPr="000B6824" w:rsidRDefault="00624B27" w:rsidP="00624B27">
      <w:pPr>
        <w:tabs>
          <w:tab w:val="left" w:pos="418"/>
        </w:tabs>
        <w:ind w:left="720"/>
        <w:rPr>
          <w:rFonts w:ascii="Times New Roman" w:eastAsia="Cambria" w:hAnsi="Times New Roman"/>
          <w:szCs w:val="24"/>
        </w:rPr>
      </w:pPr>
      <w:r w:rsidRPr="00624B27">
        <w:rPr>
          <w:rFonts w:ascii="Times New Roman" w:eastAsia="Cambria" w:hAnsi="Times New Roman"/>
          <w:szCs w:val="24"/>
          <w:u w:val="single"/>
        </w:rPr>
        <w:t>§6</w:t>
      </w:r>
      <w:r w:rsidRPr="000B6824">
        <w:rPr>
          <w:rFonts w:ascii="Times New Roman" w:eastAsia="Cambria" w:hAnsi="Times New Roman"/>
          <w:szCs w:val="24"/>
          <w:u w:val="single"/>
        </w:rPr>
        <w:t>68.175</w:t>
      </w:r>
      <w:r>
        <w:rPr>
          <w:rFonts w:ascii="Times New Roman" w:eastAsia="Cambria" w:hAnsi="Times New Roman"/>
          <w:szCs w:val="24"/>
          <w:u w:val="single"/>
        </w:rPr>
        <w:t xml:space="preserve"> </w:t>
      </w:r>
      <w:r w:rsidR="00191BC0" w:rsidRPr="000B6824">
        <w:rPr>
          <w:rFonts w:ascii="Times New Roman" w:eastAsia="Cambria" w:hAnsi="Times New Roman"/>
          <w:szCs w:val="24"/>
          <w:u w:val="single"/>
        </w:rPr>
        <w:t>Alternative standards and requirements</w:t>
      </w:r>
      <w:r w:rsidR="00191BC0" w:rsidRPr="000B6824">
        <w:rPr>
          <w:rFonts w:ascii="Times New Roman" w:eastAsia="Cambria" w:hAnsi="Times New Roman"/>
          <w:u w:val="single"/>
        </w:rPr>
        <w:t>.</w:t>
      </w:r>
    </w:p>
    <w:p w:rsidR="00191BC0" w:rsidRDefault="00191BC0" w:rsidP="00A34B18">
      <w:pPr>
        <w:tabs>
          <w:tab w:val="left" w:pos="720"/>
        </w:tabs>
        <w:ind w:left="720"/>
        <w:rPr>
          <w:rFonts w:ascii="Times New Roman" w:hAnsi="Times New Roman"/>
          <w:szCs w:val="24"/>
        </w:rPr>
      </w:pPr>
    </w:p>
    <w:p w:rsidR="00624B27" w:rsidRDefault="00624B27" w:rsidP="00A96841">
      <w:pPr>
        <w:tabs>
          <w:tab w:val="left" w:pos="413"/>
        </w:tabs>
        <w:ind w:left="720"/>
        <w:rPr>
          <w:rFonts w:ascii="Times New Roman" w:hAnsi="Times New Roman"/>
          <w:szCs w:val="24"/>
        </w:rPr>
      </w:pPr>
      <w:r w:rsidRPr="000B6824">
        <w:rPr>
          <w:rFonts w:ascii="Times New Roman" w:eastAsia="Cambria" w:hAnsi="Times New Roman"/>
          <w:szCs w:val="24"/>
        </w:rPr>
        <w:t xml:space="preserve">Under the provisional certification alternative in §668.175, we propose to add a new paragraph (f)(4) that </w:t>
      </w:r>
      <w:r w:rsidR="008D6778">
        <w:rPr>
          <w:rFonts w:ascii="Times New Roman" w:eastAsia="Cambria" w:hAnsi="Times New Roman"/>
          <w:szCs w:val="24"/>
        </w:rPr>
        <w:t xml:space="preserve">requires an institution to provide the Secretary financial protection upon the occurrence of </w:t>
      </w:r>
      <w:r w:rsidRPr="000B6824">
        <w:rPr>
          <w:rFonts w:ascii="Times New Roman" w:eastAsia="Cambria" w:hAnsi="Times New Roman"/>
          <w:szCs w:val="24"/>
        </w:rPr>
        <w:t>an action or triggering event described in §668.171(c)</w:t>
      </w:r>
      <w:r w:rsidR="008D6778">
        <w:rPr>
          <w:rFonts w:ascii="Times New Roman" w:eastAsia="Cambria" w:hAnsi="Times New Roman"/>
          <w:szCs w:val="24"/>
        </w:rPr>
        <w:t xml:space="preserve">, if the event warrants protection as determined in </w:t>
      </w:r>
      <w:r w:rsidR="008D6778" w:rsidRPr="000B6824">
        <w:rPr>
          <w:rFonts w:ascii="Times New Roman" w:eastAsia="Cambria" w:hAnsi="Times New Roman"/>
          <w:szCs w:val="24"/>
        </w:rPr>
        <w:t>§668.175</w:t>
      </w:r>
      <w:r w:rsidR="008D6778">
        <w:rPr>
          <w:rFonts w:ascii="Times New Roman" w:eastAsia="Cambria" w:hAnsi="Times New Roman"/>
          <w:szCs w:val="24"/>
        </w:rPr>
        <w:t>(f)(4)</w:t>
      </w:r>
      <w:r w:rsidRPr="000B6824">
        <w:rPr>
          <w:rFonts w:ascii="Times New Roman" w:eastAsia="Cambria" w:hAnsi="Times New Roman"/>
          <w:szCs w:val="24"/>
        </w:rPr>
        <w:t>.</w:t>
      </w:r>
    </w:p>
    <w:p w:rsidR="00624B27" w:rsidRPr="000B6824" w:rsidRDefault="00624B27" w:rsidP="00624B27">
      <w:pPr>
        <w:tabs>
          <w:tab w:val="left" w:pos="454"/>
        </w:tabs>
        <w:ind w:left="720" w:right="4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AFFECTED ENTITIES AND BURDEN:</w:t>
      </w:r>
    </w:p>
    <w:p w:rsidR="00624B27" w:rsidRDefault="00624B27" w:rsidP="00624B27">
      <w:pPr>
        <w:rPr>
          <w:rFonts w:ascii="Times New Roman" w:hAnsi="Times New Roman"/>
          <w:szCs w:val="24"/>
        </w:rPr>
      </w:pPr>
    </w:p>
    <w:p w:rsidR="00624B27" w:rsidRDefault="00624B27" w:rsidP="00624B27">
      <w:pPr>
        <w:ind w:left="720"/>
        <w:rPr>
          <w:rFonts w:ascii="Times New Roman" w:hAnsi="Times New Roman"/>
          <w:szCs w:val="24"/>
        </w:rPr>
      </w:pPr>
      <w:r w:rsidRPr="000B6824">
        <w:rPr>
          <w:rFonts w:ascii="Times New Roman" w:hAnsi="Times New Roman"/>
          <w:szCs w:val="24"/>
        </w:rPr>
        <w:t xml:space="preserve">There will be burden on schools to provide the required financial protection, such as a letter of credit, to the Secretary to utilize the provisional certification alternative.  We estimate that an institution will take 40 hours per action or triggering event to obtain the required financial protections and provide it to the Secretary.  </w:t>
      </w:r>
    </w:p>
    <w:p w:rsidR="00624B27" w:rsidRDefault="00624B27" w:rsidP="00624B27">
      <w:pPr>
        <w:ind w:left="720"/>
        <w:rPr>
          <w:rFonts w:ascii="Times New Roman" w:eastAsiaTheme="minorHAnsi" w:hAnsi="Times New Roman"/>
          <w:bCs/>
          <w:szCs w:val="24"/>
        </w:rPr>
      </w:pPr>
      <w:r w:rsidRPr="000B6824">
        <w:rPr>
          <w:rFonts w:ascii="Times New Roman" w:hAnsi="Times New Roman"/>
          <w:szCs w:val="24"/>
        </w:rPr>
        <w:t>We estimate that 169 private not-for-profit institutions may have 2 events annually to report for a total burden of 13,520 hours (169 institutions</w:t>
      </w:r>
      <w:r w:rsidRPr="000B6824">
        <w:rPr>
          <w:rFonts w:ascii="Times New Roman" w:eastAsiaTheme="minorHAnsi" w:hAnsi="Times New Roman"/>
          <w:bCs/>
          <w:szCs w:val="24"/>
        </w:rPr>
        <w:t xml:space="preserve"> x 2 events x 40 hours).  </w:t>
      </w:r>
    </w:p>
    <w:p w:rsidR="00624B27" w:rsidRDefault="00624B27" w:rsidP="00624B27">
      <w:pPr>
        <w:ind w:left="720"/>
        <w:rPr>
          <w:rFonts w:ascii="Times New Roman" w:eastAsiaTheme="minorHAnsi" w:hAnsi="Times New Roman"/>
          <w:bCs/>
          <w:szCs w:val="24"/>
        </w:rPr>
      </w:pPr>
    </w:p>
    <w:p w:rsidR="00624B27" w:rsidRDefault="00624B27" w:rsidP="00624B27">
      <w:pPr>
        <w:ind w:left="720"/>
        <w:rPr>
          <w:rFonts w:ascii="Times New Roman" w:eastAsiaTheme="minorHAnsi" w:hAnsi="Times New Roman"/>
          <w:bCs/>
          <w:szCs w:val="24"/>
        </w:rPr>
      </w:pPr>
      <w:r w:rsidRPr="000B6824">
        <w:rPr>
          <w:rFonts w:ascii="Times New Roman" w:hAnsi="Times New Roman"/>
          <w:szCs w:val="24"/>
        </w:rPr>
        <w:t xml:space="preserve">We estimate that 392 proprietary institutions may have 3 events annually to report for total burden of 47,040 hours (392 institutions x 3 events x 40 hours). </w:t>
      </w:r>
      <w:r w:rsidRPr="000B6824">
        <w:rPr>
          <w:rFonts w:ascii="Times New Roman" w:eastAsiaTheme="minorHAnsi" w:hAnsi="Times New Roman"/>
          <w:bCs/>
          <w:szCs w:val="24"/>
        </w:rPr>
        <w:t xml:space="preserve"> </w:t>
      </w:r>
    </w:p>
    <w:p w:rsidR="00624B27" w:rsidRDefault="00624B27" w:rsidP="00624B27">
      <w:pPr>
        <w:ind w:left="720"/>
        <w:rPr>
          <w:rFonts w:ascii="Times New Roman" w:eastAsiaTheme="minorHAnsi" w:hAnsi="Times New Roman"/>
          <w:bCs/>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624B27" w:rsidRDefault="00624B27" w:rsidP="00624B27">
      <w:pPr>
        <w:rPr>
          <w:rFonts w:ascii="Times New Roman" w:hAnsi="Times New Roman"/>
          <w:szCs w:val="24"/>
        </w:rPr>
      </w:pPr>
    </w:p>
    <w:p w:rsidR="00624B27" w:rsidRDefault="00624B27" w:rsidP="00624B27">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r>
      <w:r w:rsidR="00A96841">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338</w:t>
      </w:r>
      <w:r>
        <w:rPr>
          <w:rFonts w:ascii="Times New Roman" w:hAnsi="Times New Roman"/>
          <w:szCs w:val="24"/>
        </w:rPr>
        <w:tab/>
      </w:r>
      <w:r>
        <w:rPr>
          <w:rFonts w:ascii="Times New Roman" w:hAnsi="Times New Roman"/>
          <w:szCs w:val="24"/>
        </w:rPr>
        <w:tab/>
        <w:t xml:space="preserve">    x 40 hours</w:t>
      </w:r>
      <w:r>
        <w:rPr>
          <w:rFonts w:ascii="Times New Roman" w:hAnsi="Times New Roman"/>
          <w:szCs w:val="24"/>
        </w:rPr>
        <w:tab/>
      </w:r>
      <w:r>
        <w:rPr>
          <w:rFonts w:ascii="Times New Roman" w:hAnsi="Times New Roman"/>
          <w:szCs w:val="24"/>
        </w:rPr>
        <w:tab/>
        <w:t>13,520</w:t>
      </w:r>
    </w:p>
    <w:p w:rsidR="00624B27" w:rsidRPr="00A96841" w:rsidRDefault="00624B27" w:rsidP="00624B27">
      <w:pPr>
        <w:rPr>
          <w:rFonts w:ascii="Times New Roman" w:hAnsi="Times New Roman"/>
          <w:szCs w:val="24"/>
          <w:u w:val="single"/>
        </w:rPr>
      </w:pPr>
      <w:r w:rsidRPr="00A96841">
        <w:rPr>
          <w:rFonts w:ascii="Times New Roman" w:hAnsi="Times New Roman"/>
          <w:szCs w:val="24"/>
          <w:u w:val="single"/>
        </w:rPr>
        <w:t>Proprietary Institutions</w:t>
      </w:r>
      <w:r w:rsidRPr="00A96841">
        <w:rPr>
          <w:rFonts w:ascii="Times New Roman" w:hAnsi="Times New Roman"/>
          <w:szCs w:val="24"/>
          <w:u w:val="single"/>
        </w:rPr>
        <w:tab/>
      </w:r>
      <w:r w:rsidR="00A96841">
        <w:rPr>
          <w:rFonts w:ascii="Times New Roman" w:hAnsi="Times New Roman"/>
          <w:szCs w:val="24"/>
          <w:u w:val="single"/>
        </w:rPr>
        <w:t>*</w:t>
      </w:r>
      <w:r w:rsidRPr="00A96841">
        <w:rPr>
          <w:rFonts w:ascii="Times New Roman" w:hAnsi="Times New Roman"/>
          <w:szCs w:val="24"/>
          <w:u w:val="single"/>
        </w:rPr>
        <w:tab/>
      </w:r>
      <w:r w:rsidRPr="00A96841">
        <w:rPr>
          <w:rFonts w:ascii="Times New Roman" w:hAnsi="Times New Roman"/>
          <w:szCs w:val="24"/>
          <w:u w:val="single"/>
        </w:rPr>
        <w:tab/>
      </w:r>
      <w:r w:rsidRPr="00A96841">
        <w:rPr>
          <w:rFonts w:ascii="Times New Roman" w:hAnsi="Times New Roman"/>
          <w:szCs w:val="24"/>
          <w:u w:val="single"/>
        </w:rPr>
        <w:tab/>
        <w:t>1,176</w:t>
      </w:r>
      <w:r w:rsidRPr="00A96841">
        <w:rPr>
          <w:rFonts w:ascii="Times New Roman" w:hAnsi="Times New Roman"/>
          <w:szCs w:val="24"/>
          <w:u w:val="single"/>
        </w:rPr>
        <w:tab/>
      </w:r>
      <w:r w:rsidRPr="00A96841">
        <w:rPr>
          <w:rFonts w:ascii="Times New Roman" w:hAnsi="Times New Roman"/>
          <w:szCs w:val="24"/>
          <w:u w:val="single"/>
        </w:rPr>
        <w:tab/>
        <w:t xml:space="preserve">    x 40 hours</w:t>
      </w:r>
      <w:r w:rsidRPr="00A96841">
        <w:rPr>
          <w:rFonts w:ascii="Times New Roman" w:hAnsi="Times New Roman"/>
          <w:szCs w:val="24"/>
          <w:u w:val="single"/>
        </w:rPr>
        <w:tab/>
      </w:r>
      <w:r w:rsidRPr="00A96841">
        <w:rPr>
          <w:rFonts w:ascii="Times New Roman" w:hAnsi="Times New Roman"/>
          <w:szCs w:val="24"/>
          <w:u w:val="single"/>
        </w:rPr>
        <w:tab/>
        <w:t>47,040</w:t>
      </w:r>
    </w:p>
    <w:p w:rsidR="00624B27" w:rsidRDefault="00A96841" w:rsidP="00624B27">
      <w:pPr>
        <w:rPr>
          <w:rFonts w:ascii="Times New Roman" w:eastAsiaTheme="minorHAnsi" w:hAnsi="Times New Roman"/>
          <w:bCs/>
          <w:szCs w:val="24"/>
        </w:rPr>
      </w:pPr>
      <w:r>
        <w:rPr>
          <w:rFonts w:ascii="Times New Roman" w:hAnsi="Times New Roman"/>
          <w:szCs w:val="24"/>
        </w:rPr>
        <w:t>Section Subtotal</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1,514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60,560</w:t>
      </w:r>
    </w:p>
    <w:p w:rsidR="00624B27" w:rsidRDefault="00624B27" w:rsidP="00B10088">
      <w:pPr>
        <w:tabs>
          <w:tab w:val="left" w:pos="-720"/>
        </w:tabs>
        <w:suppressAutoHyphens/>
        <w:ind w:left="720"/>
        <w:rPr>
          <w:rFonts w:ascii="Times New Roman" w:hAnsi="Times New Roman"/>
          <w:szCs w:val="24"/>
        </w:rPr>
      </w:pPr>
    </w:p>
    <w:p w:rsidR="00A96841" w:rsidRDefault="00A96841" w:rsidP="00A96841">
      <w:pPr>
        <w:tabs>
          <w:tab w:val="left" w:pos="-720"/>
        </w:tabs>
        <w:suppressAutoHyphens/>
        <w:rPr>
          <w:rFonts w:ascii="Times New Roman" w:hAnsi="Times New Roman"/>
          <w:szCs w:val="24"/>
        </w:rPr>
      </w:pPr>
      <w:r w:rsidRPr="008C5150">
        <w:rPr>
          <w:rFonts w:ascii="Times New Roman" w:hAnsi="Times New Roman"/>
          <w:szCs w:val="24"/>
        </w:rPr>
        <w:t>*The respondent count is not added to avoid over counting the affected entities.</w:t>
      </w:r>
    </w:p>
    <w:p w:rsidR="00A96841" w:rsidRDefault="00A96841" w:rsidP="00A96841">
      <w:pPr>
        <w:tabs>
          <w:tab w:val="left" w:pos="-720"/>
        </w:tabs>
        <w:suppressAutoHyphens/>
        <w:rPr>
          <w:rFonts w:ascii="Times New Roman" w:hAnsi="Times New Roman"/>
          <w:szCs w:val="24"/>
        </w:rPr>
      </w:pPr>
    </w:p>
    <w:p w:rsidR="00624B27" w:rsidRDefault="00624B27" w:rsidP="00B10088">
      <w:pPr>
        <w:tabs>
          <w:tab w:val="left" w:pos="-720"/>
        </w:tabs>
        <w:suppressAutoHyphens/>
        <w:ind w:left="720"/>
        <w:rPr>
          <w:rFonts w:ascii="Times New Roman" w:hAnsi="Times New Roman"/>
          <w:szCs w:val="24"/>
        </w:rPr>
      </w:pPr>
      <w:r w:rsidRPr="000B6824">
        <w:rPr>
          <w:rFonts w:ascii="Times New Roman" w:hAnsi="Times New Roman"/>
          <w:szCs w:val="24"/>
        </w:rPr>
        <w:t>This total burden of 6</w:t>
      </w:r>
      <w:r w:rsidR="00A96841">
        <w:rPr>
          <w:rFonts w:ascii="Times New Roman" w:hAnsi="Times New Roman"/>
          <w:szCs w:val="24"/>
        </w:rPr>
        <w:t>0</w:t>
      </w:r>
      <w:r w:rsidRPr="000B6824">
        <w:rPr>
          <w:rFonts w:ascii="Times New Roman" w:hAnsi="Times New Roman"/>
          <w:szCs w:val="24"/>
        </w:rPr>
        <w:t>,</w:t>
      </w:r>
      <w:r w:rsidR="00A96841">
        <w:rPr>
          <w:rFonts w:ascii="Times New Roman" w:hAnsi="Times New Roman"/>
          <w:szCs w:val="24"/>
        </w:rPr>
        <w:t>560</w:t>
      </w:r>
      <w:r w:rsidRPr="000B6824">
        <w:rPr>
          <w:rFonts w:ascii="Times New Roman" w:hAnsi="Times New Roman"/>
          <w:szCs w:val="24"/>
        </w:rPr>
        <w:t xml:space="preserve"> hours will be assessed under OMB Control Number 1845-0022.</w:t>
      </w:r>
    </w:p>
    <w:p w:rsidR="00624B27" w:rsidRPr="008C5150" w:rsidRDefault="00624B27" w:rsidP="00B10088">
      <w:pPr>
        <w:tabs>
          <w:tab w:val="left" w:pos="-720"/>
        </w:tabs>
        <w:suppressAutoHyphens/>
        <w:ind w:left="720"/>
        <w:rPr>
          <w:rFonts w:ascii="Times New Roman" w:hAnsi="Times New Roman"/>
          <w:szCs w:val="24"/>
        </w:rPr>
      </w:pPr>
    </w:p>
    <w:p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w:t>
      </w:r>
      <w:r w:rsidR="007A7FC5">
        <w:rPr>
          <w:rFonts w:ascii="Times New Roman" w:hAnsi="Times New Roman"/>
          <w:b/>
          <w:szCs w:val="24"/>
        </w:rPr>
        <w:t>Final</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 of Response</w:t>
      </w:r>
      <w:r w:rsidR="00324876">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w:t>
      </w:r>
      <w:r w:rsidR="007D6206">
        <w:rPr>
          <w:rFonts w:ascii="Times New Roman" w:hAnsi="Times New Roman"/>
          <w:szCs w:val="24"/>
        </w:rPr>
        <w:t>607</w:t>
      </w:r>
      <w:r w:rsidR="00324876">
        <w:rPr>
          <w:rFonts w:ascii="Times New Roman" w:hAnsi="Times New Roman"/>
          <w:szCs w:val="24"/>
        </w:rPr>
        <w:tab/>
      </w:r>
      <w:r w:rsidR="00324876">
        <w:rPr>
          <w:rFonts w:ascii="Times New Roman" w:hAnsi="Times New Roman"/>
          <w:szCs w:val="24"/>
        </w:rPr>
        <w:tab/>
        <w:t xml:space="preserve">        14,</w:t>
      </w:r>
      <w:r w:rsidR="007D6206">
        <w:rPr>
          <w:rFonts w:ascii="Times New Roman" w:hAnsi="Times New Roman"/>
          <w:szCs w:val="24"/>
        </w:rPr>
        <w:t>022</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w:t>
      </w:r>
      <w:r w:rsidRPr="008C5150">
        <w:rPr>
          <w:rFonts w:ascii="Times New Roman" w:hAnsi="Times New Roman"/>
          <w:szCs w:val="24"/>
        </w:rPr>
        <w:t xml:space="preserve"> </w:t>
      </w:r>
      <w:r w:rsidR="00324876">
        <w:rPr>
          <w:rFonts w:ascii="Times New Roman" w:hAnsi="Times New Roman"/>
          <w:szCs w:val="24"/>
        </w:rPr>
        <w:t xml:space="preserve">  </w:t>
      </w:r>
      <w:r w:rsidRPr="008C5150">
        <w:rPr>
          <w:rFonts w:ascii="Times New Roman" w:hAnsi="Times New Roman"/>
          <w:szCs w:val="24"/>
        </w:rPr>
        <w:t xml:space="preserve">  </w:t>
      </w:r>
      <w:r w:rsidR="00324876">
        <w:rPr>
          <w:rFonts w:ascii="Times New Roman" w:hAnsi="Times New Roman"/>
          <w:szCs w:val="24"/>
        </w:rPr>
        <w:t>6</w:t>
      </w:r>
      <w:r w:rsidR="007D6206">
        <w:rPr>
          <w:rFonts w:ascii="Times New Roman" w:hAnsi="Times New Roman"/>
          <w:szCs w:val="24"/>
        </w:rPr>
        <w:t>5</w:t>
      </w:r>
      <w:r w:rsidR="00324876">
        <w:rPr>
          <w:rFonts w:ascii="Times New Roman" w:hAnsi="Times New Roman"/>
          <w:szCs w:val="24"/>
        </w:rPr>
        <w:t>,</w:t>
      </w:r>
      <w:r w:rsidR="007D6206">
        <w:rPr>
          <w:rFonts w:ascii="Times New Roman" w:hAnsi="Times New Roman"/>
          <w:szCs w:val="24"/>
        </w:rPr>
        <w:t>541</w:t>
      </w:r>
    </w:p>
    <w:p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904</w:t>
      </w:r>
      <w:r w:rsidRPr="008C5150">
        <w:rPr>
          <w:rFonts w:ascii="Times New Roman" w:hAnsi="Times New Roman"/>
          <w:szCs w:val="24"/>
        </w:rPr>
        <w:t>,</w:t>
      </w:r>
      <w:r w:rsidR="005C68EE">
        <w:rPr>
          <w:rFonts w:ascii="Times New Roman" w:hAnsi="Times New Roman"/>
          <w:szCs w:val="24"/>
        </w:rPr>
        <w:t>162</w:t>
      </w:r>
      <w:r w:rsidR="00324876">
        <w:rPr>
          <w:rFonts w:ascii="Times New Roman" w:hAnsi="Times New Roman"/>
          <w:szCs w:val="24"/>
        </w:rPr>
        <w:tab/>
      </w:r>
      <w:r w:rsidR="00324876">
        <w:rPr>
          <w:rFonts w:ascii="Times New Roman" w:hAnsi="Times New Roman"/>
          <w:szCs w:val="24"/>
        </w:rPr>
        <w:tab/>
        <w:t xml:space="preserve">   </w:t>
      </w:r>
      <w:r w:rsidR="005C68EE">
        <w:rPr>
          <w:rFonts w:ascii="Times New Roman" w:hAnsi="Times New Roman"/>
          <w:szCs w:val="24"/>
        </w:rPr>
        <w:t>1,329,098</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t xml:space="preserve">   2,</w:t>
      </w:r>
      <w:r w:rsidR="005C68EE">
        <w:rPr>
          <w:rFonts w:ascii="Times New Roman" w:hAnsi="Times New Roman"/>
          <w:szCs w:val="24"/>
        </w:rPr>
        <w:t>215</w:t>
      </w:r>
      <w:r w:rsidR="00324876">
        <w:rPr>
          <w:rFonts w:ascii="Times New Roman" w:hAnsi="Times New Roman"/>
          <w:szCs w:val="24"/>
        </w:rPr>
        <w:t>,</w:t>
      </w:r>
      <w:r w:rsidR="005C68EE">
        <w:rPr>
          <w:rFonts w:ascii="Times New Roman" w:hAnsi="Times New Roman"/>
          <w:szCs w:val="24"/>
        </w:rPr>
        <w:t>970</w:t>
      </w:r>
    </w:p>
    <w:p w:rsidR="006F6A66" w:rsidRDefault="006F6A66" w:rsidP="006F6A66">
      <w:pPr>
        <w:tabs>
          <w:tab w:val="left" w:pos="-720"/>
        </w:tabs>
        <w:suppressAutoHyphens/>
        <w:ind w:left="720"/>
        <w:rPr>
          <w:rFonts w:ascii="Times New Roman" w:hAnsi="Times New Roman"/>
          <w:szCs w:val="24"/>
        </w:rPr>
      </w:pPr>
    </w:p>
    <w:p w:rsidR="006F6A66" w:rsidRPr="006F6A66" w:rsidRDefault="007A7FC5" w:rsidP="006F6A66">
      <w:pPr>
        <w:tabs>
          <w:tab w:val="left" w:pos="-720"/>
        </w:tabs>
        <w:suppressAutoHyphens/>
        <w:ind w:left="720"/>
        <w:rPr>
          <w:rFonts w:ascii="Times New Roman" w:hAnsi="Times New Roman"/>
          <w:b/>
          <w:szCs w:val="24"/>
        </w:rPr>
      </w:pPr>
      <w:r>
        <w:rPr>
          <w:rFonts w:ascii="Times New Roman" w:hAnsi="Times New Roman"/>
          <w:b/>
          <w:szCs w:val="24"/>
        </w:rPr>
        <w:lastRenderedPageBreak/>
        <w:t>Final</w:t>
      </w:r>
      <w:r w:rsidR="000B751B" w:rsidRPr="006F6A66">
        <w:rPr>
          <w:rFonts w:ascii="Times New Roman" w:hAnsi="Times New Roman"/>
          <w:b/>
          <w:szCs w:val="24"/>
        </w:rPr>
        <w:t xml:space="preserve"> R</w:t>
      </w:r>
      <w:r w:rsidR="006F6A66" w:rsidRPr="006F6A66">
        <w:rPr>
          <w:rFonts w:ascii="Times New Roman" w:hAnsi="Times New Roman"/>
          <w:b/>
          <w:szCs w:val="24"/>
        </w:rPr>
        <w:t>evised</w:t>
      </w:r>
      <w:r w:rsidR="000B751B" w:rsidRPr="006F6A66">
        <w:rPr>
          <w:rFonts w:ascii="Times New Roman" w:hAnsi="Times New Roman"/>
          <w:b/>
          <w:szCs w:val="24"/>
        </w:rPr>
        <w:t xml:space="preserve"> B</w:t>
      </w:r>
      <w:r w:rsidR="006F6A66" w:rsidRPr="006F6A66">
        <w:rPr>
          <w:rFonts w:ascii="Times New Roman" w:hAnsi="Times New Roman"/>
          <w:b/>
          <w:szCs w:val="24"/>
        </w:rPr>
        <w:t>urden</w:t>
      </w:r>
      <w:r w:rsidR="000B751B" w:rsidRPr="006F6A66">
        <w:rPr>
          <w:rFonts w:ascii="Times New Roman" w:hAnsi="Times New Roman"/>
          <w:b/>
          <w:szCs w:val="24"/>
        </w:rPr>
        <w:t xml:space="preserve"> </w:t>
      </w:r>
      <w:r w:rsidR="006F6A66" w:rsidRPr="006F6A66">
        <w:rPr>
          <w:rFonts w:ascii="Times New Roman" w:hAnsi="Times New Roman"/>
          <w:b/>
          <w:szCs w:val="24"/>
        </w:rPr>
        <w:t>for</w:t>
      </w:r>
      <w:r w:rsidR="000B751B"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000B751B"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904,</w:t>
      </w:r>
      <w:r w:rsidR="005C68EE">
        <w:rPr>
          <w:rFonts w:ascii="Times New Roman" w:hAnsi="Times New Roman"/>
          <w:szCs w:val="24"/>
        </w:rPr>
        <w:t>162</w:t>
      </w:r>
      <w:r w:rsidRPr="008C5150">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1,3</w:t>
      </w:r>
      <w:r w:rsidR="005C68EE">
        <w:rPr>
          <w:rFonts w:ascii="Times New Roman" w:hAnsi="Times New Roman"/>
          <w:szCs w:val="24"/>
        </w:rPr>
        <w:t>43</w:t>
      </w:r>
      <w:r w:rsidR="00324876">
        <w:rPr>
          <w:rFonts w:ascii="Times New Roman" w:hAnsi="Times New Roman"/>
          <w:szCs w:val="24"/>
        </w:rPr>
        <w:t>,</w:t>
      </w:r>
      <w:r w:rsidR="007D6206">
        <w:rPr>
          <w:rFonts w:ascii="Times New Roman" w:hAnsi="Times New Roman"/>
          <w:szCs w:val="24"/>
        </w:rPr>
        <w:t>120</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2,2</w:t>
      </w:r>
      <w:r w:rsidR="005C68EE">
        <w:rPr>
          <w:rFonts w:ascii="Times New Roman" w:hAnsi="Times New Roman"/>
          <w:szCs w:val="24"/>
        </w:rPr>
        <w:t>8</w:t>
      </w:r>
      <w:r w:rsidR="007D6206">
        <w:rPr>
          <w:rFonts w:ascii="Times New Roman" w:hAnsi="Times New Roman"/>
          <w:szCs w:val="24"/>
        </w:rPr>
        <w:t>1</w:t>
      </w:r>
      <w:r w:rsidR="00324876">
        <w:rPr>
          <w:rFonts w:ascii="Times New Roman" w:hAnsi="Times New Roman"/>
          <w:szCs w:val="24"/>
        </w:rPr>
        <w:t>,</w:t>
      </w:r>
      <w:r w:rsidR="007D6206">
        <w:rPr>
          <w:rFonts w:ascii="Times New Roman" w:hAnsi="Times New Roman"/>
          <w:szCs w:val="24"/>
        </w:rPr>
        <w:t>51</w:t>
      </w:r>
      <w:r w:rsidR="00324876">
        <w:rPr>
          <w:rFonts w:ascii="Times New Roman" w:hAnsi="Times New Roman"/>
          <w:szCs w:val="24"/>
        </w:rPr>
        <w:t>1</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Private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 xml:space="preserve">$     </w:t>
      </w:r>
      <w:r w:rsidR="004834AD">
        <w:rPr>
          <w:rFonts w:ascii="Times New Roman" w:hAnsi="Times New Roman"/>
          <w:szCs w:val="24"/>
        </w:rPr>
        <w:t>53</w:t>
      </w:r>
      <w:r w:rsidR="007D6206">
        <w:rPr>
          <w:rFonts w:ascii="Times New Roman" w:hAnsi="Times New Roman"/>
          <w:szCs w:val="24"/>
        </w:rPr>
        <w:t>1</w:t>
      </w:r>
      <w:r w:rsidR="004834AD">
        <w:rPr>
          <w:rFonts w:ascii="Times New Roman" w:hAnsi="Times New Roman"/>
          <w:szCs w:val="24"/>
        </w:rPr>
        <w:t>,</w:t>
      </w:r>
      <w:r w:rsidR="007D6206">
        <w:rPr>
          <w:rFonts w:ascii="Times New Roman" w:hAnsi="Times New Roman"/>
          <w:szCs w:val="24"/>
        </w:rPr>
        <w:t>291</w:t>
      </w:r>
    </w:p>
    <w:p w:rsidR="009C0CE5" w:rsidRPr="007D6206" w:rsidRDefault="009C0CE5" w:rsidP="00426FFC">
      <w:pPr>
        <w:ind w:firstLine="720"/>
        <w:rPr>
          <w:rFonts w:ascii="Times New Roman" w:hAnsi="Times New Roman"/>
          <w:szCs w:val="24"/>
          <w:u w:val="single"/>
        </w:rPr>
      </w:pPr>
      <w:r w:rsidRPr="007D6206">
        <w:rPr>
          <w:rFonts w:ascii="Times New Roman" w:hAnsi="Times New Roman"/>
          <w:szCs w:val="24"/>
          <w:u w:val="single"/>
        </w:rPr>
        <w:t>Proprietary Institutions</w:t>
      </w:r>
      <w:r w:rsidR="00426FFC" w:rsidRPr="007D6206">
        <w:rPr>
          <w:rFonts w:ascii="Times New Roman" w:hAnsi="Times New Roman"/>
          <w:szCs w:val="24"/>
          <w:u w:val="single"/>
        </w:rPr>
        <w:t xml:space="preserve"> = </w:t>
      </w:r>
      <w:r w:rsidR="00426FFC" w:rsidRPr="007D6206">
        <w:rPr>
          <w:rFonts w:ascii="Times New Roman" w:hAnsi="Times New Roman"/>
          <w:szCs w:val="24"/>
          <w:u w:val="single"/>
        </w:rPr>
        <w:tab/>
        <w:t xml:space="preserve">$  </w:t>
      </w:r>
      <w:r w:rsidR="004834AD" w:rsidRPr="007D6206">
        <w:rPr>
          <w:rFonts w:ascii="Times New Roman" w:hAnsi="Times New Roman"/>
          <w:szCs w:val="24"/>
          <w:u w:val="single"/>
        </w:rPr>
        <w:t>1,86</w:t>
      </w:r>
      <w:r w:rsidR="007D6206">
        <w:rPr>
          <w:rFonts w:ascii="Times New Roman" w:hAnsi="Times New Roman"/>
          <w:szCs w:val="24"/>
          <w:u w:val="single"/>
        </w:rPr>
        <w:t>4</w:t>
      </w:r>
      <w:r w:rsidR="004834AD" w:rsidRPr="007D6206">
        <w:rPr>
          <w:rFonts w:ascii="Times New Roman" w:hAnsi="Times New Roman"/>
          <w:szCs w:val="24"/>
          <w:u w:val="single"/>
        </w:rPr>
        <w:t>,</w:t>
      </w:r>
      <w:r w:rsidR="007D6206">
        <w:rPr>
          <w:rFonts w:ascii="Times New Roman" w:hAnsi="Times New Roman"/>
          <w:szCs w:val="24"/>
          <w:u w:val="single"/>
        </w:rPr>
        <w:t>233</w:t>
      </w:r>
    </w:p>
    <w:p w:rsidR="004834AD" w:rsidRPr="004834AD" w:rsidRDefault="004834AD" w:rsidP="004834AD">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w:t>
      </w:r>
      <w:r w:rsidR="007D6206">
        <w:rPr>
          <w:rFonts w:ascii="Times New Roman" w:hAnsi="Times New Roman"/>
          <w:szCs w:val="24"/>
        </w:rPr>
        <w:t>395</w:t>
      </w:r>
      <w:r>
        <w:rPr>
          <w:rFonts w:ascii="Times New Roman" w:hAnsi="Times New Roman"/>
          <w:szCs w:val="24"/>
        </w:rPr>
        <w:t>,</w:t>
      </w:r>
      <w:r w:rsidR="007D6206">
        <w:rPr>
          <w:rFonts w:ascii="Times New Roman" w:hAnsi="Times New Roman"/>
          <w:szCs w:val="24"/>
        </w:rPr>
        <w:t>524</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are no start-up costs related to this </w:t>
      </w:r>
      <w:r w:rsidR="007A7FC5">
        <w:rPr>
          <w:rFonts w:ascii="Times New Roman" w:hAnsi="Times New Roman"/>
          <w:szCs w:val="24"/>
        </w:rPr>
        <w:t xml:space="preserve">final </w:t>
      </w:r>
      <w:r w:rsidRPr="008C5150">
        <w:rPr>
          <w:rFonts w:ascii="Times New Roman" w:hAnsi="Times New Roman"/>
          <w:szCs w:val="24"/>
        </w:rPr>
        <w:t>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There are no additional costs to the Federal government from these </w:t>
      </w:r>
      <w:r w:rsidR="007A7FC5">
        <w:rPr>
          <w:rFonts w:ascii="Times New Roman" w:hAnsi="Times New Roman"/>
          <w:szCs w:val="24"/>
        </w:rPr>
        <w:t>final</w:t>
      </w:r>
      <w:r w:rsidRPr="008C5150">
        <w:rPr>
          <w:rFonts w:ascii="Times New Roman" w:hAnsi="Times New Roman"/>
          <w:szCs w:val="24"/>
        </w:rPr>
        <w:t xml:space="preserve">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w:t>
      </w:r>
      <w:r w:rsidR="007A7FC5">
        <w:rPr>
          <w:rFonts w:ascii="Times New Roman" w:hAnsi="Times New Roman"/>
          <w:szCs w:val="24"/>
        </w:rPr>
        <w:t>final</w:t>
      </w:r>
      <w:r w:rsidR="0000156D" w:rsidRPr="008C5150">
        <w:rPr>
          <w:rFonts w:ascii="Times New Roman" w:hAnsi="Times New Roman"/>
          <w:szCs w:val="24"/>
        </w:rPr>
        <w:t xml:space="preserve"> regulations offered through </w:t>
      </w:r>
      <w:r w:rsidR="00136865">
        <w:rPr>
          <w:rFonts w:ascii="Times New Roman" w:hAnsi="Times New Roman"/>
          <w:szCs w:val="24"/>
        </w:rPr>
        <w:t>program changes</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6F6A66">
        <w:rPr>
          <w:rFonts w:ascii="Times New Roman" w:hAnsi="Times New Roman"/>
          <w:szCs w:val="24"/>
        </w:rPr>
        <w:t>6</w:t>
      </w:r>
      <w:r w:rsidR="0002246D">
        <w:rPr>
          <w:rFonts w:ascii="Times New Roman" w:hAnsi="Times New Roman"/>
          <w:szCs w:val="24"/>
        </w:rPr>
        <w:t>5</w:t>
      </w:r>
      <w:r w:rsidR="006F6A66">
        <w:rPr>
          <w:rFonts w:ascii="Times New Roman" w:hAnsi="Times New Roman"/>
          <w:szCs w:val="24"/>
        </w:rPr>
        <w:t>,</w:t>
      </w:r>
      <w:r w:rsidR="0002246D">
        <w:rPr>
          <w:rFonts w:ascii="Times New Roman" w:hAnsi="Times New Roman"/>
          <w:szCs w:val="24"/>
        </w:rPr>
        <w:t>541</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7A7FC5">
        <w:rPr>
          <w:rFonts w:ascii="Times New Roman" w:hAnsi="Times New Roman"/>
          <w:szCs w:val="24"/>
        </w:rPr>
        <w:t>final</w:t>
      </w:r>
      <w:r w:rsidRPr="008C5150">
        <w:rPr>
          <w:rFonts w:ascii="Times New Roman" w:hAnsi="Times New Roman"/>
          <w:szCs w:val="24"/>
        </w:rPr>
        <w:t xml:space="preserve">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0E4" w:rsidRDefault="003E10E4">
      <w:pPr>
        <w:spacing w:line="20" w:lineRule="exact"/>
      </w:pPr>
    </w:p>
  </w:endnote>
  <w:endnote w:type="continuationSeparator" w:id="0">
    <w:p w:rsidR="003E10E4" w:rsidRDefault="003E10E4">
      <w:r>
        <w:t xml:space="preserve"> </w:t>
      </w:r>
    </w:p>
  </w:endnote>
  <w:endnote w:type="continuationNotice" w:id="1">
    <w:p w:rsidR="003E10E4" w:rsidRDefault="003E10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425F0">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425F0">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0E4" w:rsidRDefault="003E10E4">
      <w:r>
        <w:separator/>
      </w:r>
    </w:p>
  </w:footnote>
  <w:footnote w:type="continuationSeparator" w:id="0">
    <w:p w:rsidR="003E10E4" w:rsidRDefault="003E10E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491D38">
      <w:rPr>
        <w:rFonts w:ascii="Times New Roman" w:hAnsi="Times New Roman"/>
        <w:sz w:val="20"/>
      </w:rPr>
      <w:t>22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7A7FC5">
      <w:rPr>
        <w:rFonts w:ascii="Times New Roman" w:hAnsi="Times New Roman"/>
        <w:sz w:val="20"/>
      </w:rPr>
      <w:t>10</w:t>
    </w:r>
    <w:r>
      <w:rPr>
        <w:rFonts w:ascii="Times New Roman" w:hAnsi="Times New Roman"/>
        <w:sz w:val="20"/>
      </w:rPr>
      <w:t>/</w:t>
    </w:r>
    <w:r w:rsidR="007A7FC5">
      <w:rPr>
        <w:rFonts w:ascii="Times New Roman" w:hAnsi="Times New Roman"/>
        <w:sz w:val="20"/>
      </w:rPr>
      <w:t>18</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06629"/>
    <w:rsid w:val="0002246D"/>
    <w:rsid w:val="00027FB1"/>
    <w:rsid w:val="00050CBE"/>
    <w:rsid w:val="000909E0"/>
    <w:rsid w:val="00092EFF"/>
    <w:rsid w:val="000B14D8"/>
    <w:rsid w:val="000B751B"/>
    <w:rsid w:val="000E592D"/>
    <w:rsid w:val="000F175B"/>
    <w:rsid w:val="001062F5"/>
    <w:rsid w:val="00113AC6"/>
    <w:rsid w:val="001176B3"/>
    <w:rsid w:val="00136865"/>
    <w:rsid w:val="001425F0"/>
    <w:rsid w:val="0014500F"/>
    <w:rsid w:val="00153F20"/>
    <w:rsid w:val="001743A5"/>
    <w:rsid w:val="0018279C"/>
    <w:rsid w:val="00191BC0"/>
    <w:rsid w:val="001B174E"/>
    <w:rsid w:val="00221338"/>
    <w:rsid w:val="00223E5B"/>
    <w:rsid w:val="002473CE"/>
    <w:rsid w:val="00266956"/>
    <w:rsid w:val="002703C5"/>
    <w:rsid w:val="002B0412"/>
    <w:rsid w:val="002B0A95"/>
    <w:rsid w:val="00324876"/>
    <w:rsid w:val="00386054"/>
    <w:rsid w:val="003A1322"/>
    <w:rsid w:val="003A4777"/>
    <w:rsid w:val="003C29C2"/>
    <w:rsid w:val="003C7F70"/>
    <w:rsid w:val="003E10E4"/>
    <w:rsid w:val="003E285A"/>
    <w:rsid w:val="00426FFC"/>
    <w:rsid w:val="004834AD"/>
    <w:rsid w:val="00491D38"/>
    <w:rsid w:val="004A1148"/>
    <w:rsid w:val="004A2DBB"/>
    <w:rsid w:val="004C0A41"/>
    <w:rsid w:val="004E23D9"/>
    <w:rsid w:val="004E63EA"/>
    <w:rsid w:val="004F692A"/>
    <w:rsid w:val="00512598"/>
    <w:rsid w:val="00563CCF"/>
    <w:rsid w:val="005711D1"/>
    <w:rsid w:val="005A1566"/>
    <w:rsid w:val="005A1DFC"/>
    <w:rsid w:val="005A4185"/>
    <w:rsid w:val="005A60E7"/>
    <w:rsid w:val="005C328B"/>
    <w:rsid w:val="005C68EE"/>
    <w:rsid w:val="005D2E7B"/>
    <w:rsid w:val="005E51B7"/>
    <w:rsid w:val="005F667B"/>
    <w:rsid w:val="00605287"/>
    <w:rsid w:val="00624B27"/>
    <w:rsid w:val="0063073E"/>
    <w:rsid w:val="0063484C"/>
    <w:rsid w:val="00654305"/>
    <w:rsid w:val="006737C0"/>
    <w:rsid w:val="00677BC2"/>
    <w:rsid w:val="006A3B5C"/>
    <w:rsid w:val="006C01D0"/>
    <w:rsid w:val="006D1AA6"/>
    <w:rsid w:val="006F6A66"/>
    <w:rsid w:val="00724A79"/>
    <w:rsid w:val="007357B5"/>
    <w:rsid w:val="007661D9"/>
    <w:rsid w:val="007A7FC5"/>
    <w:rsid w:val="007B0ADE"/>
    <w:rsid w:val="007B14E8"/>
    <w:rsid w:val="007C12B5"/>
    <w:rsid w:val="007D228C"/>
    <w:rsid w:val="007D6206"/>
    <w:rsid w:val="007E77FA"/>
    <w:rsid w:val="008011B6"/>
    <w:rsid w:val="00885FC5"/>
    <w:rsid w:val="008C5150"/>
    <w:rsid w:val="008D6778"/>
    <w:rsid w:val="008F3062"/>
    <w:rsid w:val="00921CB1"/>
    <w:rsid w:val="009544A3"/>
    <w:rsid w:val="00961083"/>
    <w:rsid w:val="009949A8"/>
    <w:rsid w:val="009C0CE5"/>
    <w:rsid w:val="00A01331"/>
    <w:rsid w:val="00A34B18"/>
    <w:rsid w:val="00A34D51"/>
    <w:rsid w:val="00A41F2C"/>
    <w:rsid w:val="00A87940"/>
    <w:rsid w:val="00A94CCB"/>
    <w:rsid w:val="00A96841"/>
    <w:rsid w:val="00AB0D7D"/>
    <w:rsid w:val="00AB6F2B"/>
    <w:rsid w:val="00B10088"/>
    <w:rsid w:val="00B23EC0"/>
    <w:rsid w:val="00BB40BC"/>
    <w:rsid w:val="00BC244F"/>
    <w:rsid w:val="00BD1325"/>
    <w:rsid w:val="00C641E9"/>
    <w:rsid w:val="00C723C2"/>
    <w:rsid w:val="00CE72AF"/>
    <w:rsid w:val="00D115BF"/>
    <w:rsid w:val="00D269C3"/>
    <w:rsid w:val="00D37D46"/>
    <w:rsid w:val="00D42950"/>
    <w:rsid w:val="00D53982"/>
    <w:rsid w:val="00DA511B"/>
    <w:rsid w:val="00DD6F69"/>
    <w:rsid w:val="00E023B7"/>
    <w:rsid w:val="00E07290"/>
    <w:rsid w:val="00E5073B"/>
    <w:rsid w:val="00EA3C1F"/>
    <w:rsid w:val="00EC0648"/>
    <w:rsid w:val="00EC2CC4"/>
    <w:rsid w:val="00EF7FF5"/>
    <w:rsid w:val="00F313DF"/>
    <w:rsid w:val="00F47511"/>
    <w:rsid w:val="00F77772"/>
    <w:rsid w:val="00F9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3593-476A-4FD9-BE8A-14543344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2016-06-13T13:09:00Z</cp:lastPrinted>
  <dcterms:created xsi:type="dcterms:W3CDTF">2016-10-19T11:31:00Z</dcterms:created>
  <dcterms:modified xsi:type="dcterms:W3CDTF">2016-10-19T11:31:00Z</dcterms:modified>
</cp:coreProperties>
</file>