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34A09" w14:textId="058F0A2A" w:rsidR="00E85517" w:rsidRDefault="00E85517" w:rsidP="00B91F93">
      <w:pPr>
        <w:jc w:val="center"/>
        <w:rPr>
          <w:b/>
          <w:bCs/>
          <w:sz w:val="24"/>
          <w:szCs w:val="24"/>
        </w:rPr>
      </w:pPr>
      <w:r>
        <w:rPr>
          <w:b/>
          <w:bCs/>
          <w:sz w:val="28"/>
          <w:szCs w:val="28"/>
        </w:rPr>
        <w:t>Supporting Statement for the Collection of State Medicaid</w:t>
      </w:r>
      <w:r w:rsidR="00597A3C">
        <w:rPr>
          <w:b/>
          <w:bCs/>
          <w:sz w:val="28"/>
          <w:szCs w:val="28"/>
        </w:rPr>
        <w:t xml:space="preserve"> </w:t>
      </w:r>
      <w:r>
        <w:rPr>
          <w:b/>
          <w:bCs/>
          <w:sz w:val="28"/>
          <w:szCs w:val="28"/>
        </w:rPr>
        <w:t xml:space="preserve">Fraud Control Units’ Reports as </w:t>
      </w:r>
      <w:r w:rsidR="00DB35F8">
        <w:rPr>
          <w:b/>
          <w:bCs/>
          <w:sz w:val="28"/>
          <w:szCs w:val="28"/>
        </w:rPr>
        <w:t xml:space="preserve">Proposed at </w:t>
      </w:r>
      <w:r>
        <w:rPr>
          <w:b/>
          <w:bCs/>
          <w:sz w:val="28"/>
          <w:szCs w:val="28"/>
        </w:rPr>
        <w:t xml:space="preserve">42 </w:t>
      </w:r>
      <w:proofErr w:type="spellStart"/>
      <w:r>
        <w:rPr>
          <w:b/>
          <w:bCs/>
          <w:sz w:val="28"/>
          <w:szCs w:val="28"/>
        </w:rPr>
        <w:t>CFR</w:t>
      </w:r>
      <w:proofErr w:type="spellEnd"/>
      <w:r>
        <w:rPr>
          <w:b/>
          <w:bCs/>
          <w:sz w:val="28"/>
          <w:szCs w:val="28"/>
        </w:rPr>
        <w:t xml:space="preserve"> § </w:t>
      </w:r>
      <w:r w:rsidR="00597A3C">
        <w:rPr>
          <w:b/>
          <w:bCs/>
          <w:sz w:val="28"/>
          <w:szCs w:val="28"/>
        </w:rPr>
        <w:t>1</w:t>
      </w:r>
      <w:r>
        <w:rPr>
          <w:b/>
          <w:bCs/>
          <w:sz w:val="28"/>
          <w:szCs w:val="28"/>
        </w:rPr>
        <w:t>007.17</w:t>
      </w:r>
    </w:p>
    <w:p w14:paraId="022C078D" w14:textId="77777777" w:rsidR="00E85517" w:rsidRDefault="00E85517" w:rsidP="004563BF">
      <w:pPr>
        <w:rPr>
          <w:sz w:val="24"/>
          <w:szCs w:val="24"/>
        </w:rPr>
      </w:pPr>
    </w:p>
    <w:p w14:paraId="6E2A5C40" w14:textId="77777777" w:rsidR="00E85517" w:rsidRDefault="00E85517" w:rsidP="004563BF">
      <w:pPr>
        <w:ind w:left="720"/>
        <w:rPr>
          <w:sz w:val="24"/>
          <w:szCs w:val="24"/>
        </w:rPr>
      </w:pPr>
      <w:r>
        <w:rPr>
          <w:b/>
          <w:bCs/>
          <w:sz w:val="24"/>
          <w:szCs w:val="24"/>
        </w:rPr>
        <w:t>Background</w:t>
      </w:r>
    </w:p>
    <w:p w14:paraId="6A21EDA6" w14:textId="77777777" w:rsidR="00E85517" w:rsidRDefault="00E85517" w:rsidP="004563BF">
      <w:pPr>
        <w:rPr>
          <w:sz w:val="24"/>
          <w:szCs w:val="24"/>
        </w:rPr>
      </w:pPr>
      <w:r>
        <w:rPr>
          <w:sz w:val="24"/>
          <w:szCs w:val="24"/>
        </w:rPr>
        <w:tab/>
      </w:r>
    </w:p>
    <w:p w14:paraId="32A6E786" w14:textId="659B6F9C" w:rsidR="001A1DA2" w:rsidRDefault="00152058" w:rsidP="004563BF">
      <w:pPr>
        <w:ind w:left="720"/>
        <w:rPr>
          <w:sz w:val="24"/>
          <w:szCs w:val="24"/>
        </w:rPr>
      </w:pPr>
      <w:r>
        <w:rPr>
          <w:sz w:val="24"/>
          <w:szCs w:val="24"/>
        </w:rPr>
        <w:t>The Office of Inspector General (</w:t>
      </w:r>
      <w:proofErr w:type="spellStart"/>
      <w:r>
        <w:rPr>
          <w:sz w:val="24"/>
          <w:szCs w:val="24"/>
        </w:rPr>
        <w:t>OIG</w:t>
      </w:r>
      <w:proofErr w:type="spellEnd"/>
      <w:r>
        <w:rPr>
          <w:sz w:val="24"/>
          <w:szCs w:val="24"/>
        </w:rPr>
        <w:t xml:space="preserve">) has oversight authority </w:t>
      </w:r>
      <w:r w:rsidR="00CD0D5B">
        <w:rPr>
          <w:sz w:val="24"/>
          <w:szCs w:val="24"/>
        </w:rPr>
        <w:t xml:space="preserve">for </w:t>
      </w:r>
      <w:r>
        <w:rPr>
          <w:sz w:val="24"/>
          <w:szCs w:val="24"/>
        </w:rPr>
        <w:t>the State Medicaid Fraud Control Units (</w:t>
      </w:r>
      <w:proofErr w:type="spellStart"/>
      <w:r>
        <w:rPr>
          <w:sz w:val="24"/>
          <w:szCs w:val="24"/>
        </w:rPr>
        <w:t>MFCUs</w:t>
      </w:r>
      <w:proofErr w:type="spellEnd"/>
      <w:r>
        <w:rPr>
          <w:sz w:val="24"/>
          <w:szCs w:val="24"/>
        </w:rPr>
        <w:t xml:space="preserve"> or Units).  As part of this oversight, </w:t>
      </w:r>
      <w:proofErr w:type="spellStart"/>
      <w:r>
        <w:rPr>
          <w:sz w:val="24"/>
          <w:szCs w:val="24"/>
        </w:rPr>
        <w:t>OIG</w:t>
      </w:r>
      <w:proofErr w:type="spellEnd"/>
      <w:r>
        <w:rPr>
          <w:sz w:val="24"/>
          <w:szCs w:val="24"/>
        </w:rPr>
        <w:t xml:space="preserve"> recertifies each </w:t>
      </w:r>
      <w:proofErr w:type="spellStart"/>
      <w:r>
        <w:rPr>
          <w:sz w:val="24"/>
          <w:szCs w:val="24"/>
        </w:rPr>
        <w:t>MFCU</w:t>
      </w:r>
      <w:proofErr w:type="spellEnd"/>
      <w:r>
        <w:rPr>
          <w:sz w:val="24"/>
          <w:szCs w:val="24"/>
        </w:rPr>
        <w:t xml:space="preserve"> annually and assesses each </w:t>
      </w:r>
      <w:proofErr w:type="spellStart"/>
      <w:r>
        <w:rPr>
          <w:sz w:val="24"/>
          <w:szCs w:val="24"/>
        </w:rPr>
        <w:t>MFCU’s</w:t>
      </w:r>
      <w:proofErr w:type="spellEnd"/>
      <w:r>
        <w:rPr>
          <w:sz w:val="24"/>
          <w:szCs w:val="24"/>
        </w:rPr>
        <w:t xml:space="preserve"> performance and compliance with Federal requirements.</w:t>
      </w:r>
      <w:r w:rsidR="00953185">
        <w:rPr>
          <w:sz w:val="24"/>
          <w:szCs w:val="24"/>
        </w:rPr>
        <w:t xml:space="preserve">  </w:t>
      </w:r>
      <w:r w:rsidR="00FD3F48">
        <w:rPr>
          <w:sz w:val="24"/>
          <w:szCs w:val="24"/>
        </w:rPr>
        <w:t xml:space="preserve">Currently, there are 50 </w:t>
      </w:r>
      <w:proofErr w:type="spellStart"/>
      <w:r w:rsidR="00FD3F48">
        <w:rPr>
          <w:sz w:val="24"/>
          <w:szCs w:val="24"/>
        </w:rPr>
        <w:t>MFCUs</w:t>
      </w:r>
      <w:proofErr w:type="spellEnd"/>
      <w:r w:rsidR="00FD3F48">
        <w:rPr>
          <w:sz w:val="24"/>
          <w:szCs w:val="24"/>
        </w:rPr>
        <w:t xml:space="preserve"> which includes 49 States and the District of Columbia.  The State of North Dakota has a waiver from the Secretary of Health and Human Services that exempts the State from having a </w:t>
      </w:r>
      <w:proofErr w:type="spellStart"/>
      <w:r w:rsidR="00FD3F48">
        <w:rPr>
          <w:sz w:val="24"/>
          <w:szCs w:val="24"/>
        </w:rPr>
        <w:t>MFCU</w:t>
      </w:r>
      <w:proofErr w:type="spellEnd"/>
      <w:r w:rsidR="00FD3F48">
        <w:rPr>
          <w:sz w:val="24"/>
          <w:szCs w:val="24"/>
        </w:rPr>
        <w:t xml:space="preserve">.  </w:t>
      </w:r>
      <w:r w:rsidR="00953185">
        <w:rPr>
          <w:sz w:val="24"/>
          <w:szCs w:val="24"/>
        </w:rPr>
        <w:t xml:space="preserve">To </w:t>
      </w:r>
      <w:r w:rsidR="00581667">
        <w:rPr>
          <w:sz w:val="24"/>
          <w:szCs w:val="24"/>
        </w:rPr>
        <w:t>aid in its oversight</w:t>
      </w:r>
      <w:r w:rsidR="00953185">
        <w:rPr>
          <w:sz w:val="24"/>
          <w:szCs w:val="24"/>
        </w:rPr>
        <w:t xml:space="preserve">, </w:t>
      </w:r>
      <w:proofErr w:type="spellStart"/>
      <w:r w:rsidR="00953185">
        <w:rPr>
          <w:sz w:val="24"/>
          <w:szCs w:val="24"/>
        </w:rPr>
        <w:t>OIG</w:t>
      </w:r>
      <w:proofErr w:type="spellEnd"/>
      <w:r w:rsidR="00953185">
        <w:rPr>
          <w:sz w:val="24"/>
          <w:szCs w:val="24"/>
        </w:rPr>
        <w:t xml:space="preserve"> collects</w:t>
      </w:r>
      <w:r w:rsidR="001A1DA2">
        <w:rPr>
          <w:sz w:val="24"/>
          <w:szCs w:val="24"/>
        </w:rPr>
        <w:t xml:space="preserve"> information from each of the</w:t>
      </w:r>
      <w:r w:rsidR="00FD3F48">
        <w:rPr>
          <w:sz w:val="24"/>
          <w:szCs w:val="24"/>
        </w:rPr>
        <w:t>se 50</w:t>
      </w:r>
      <w:r w:rsidR="001A1DA2">
        <w:rPr>
          <w:sz w:val="24"/>
          <w:szCs w:val="24"/>
        </w:rPr>
        <w:t xml:space="preserve"> </w:t>
      </w:r>
      <w:proofErr w:type="spellStart"/>
      <w:r w:rsidR="001A1DA2">
        <w:rPr>
          <w:sz w:val="24"/>
          <w:szCs w:val="24"/>
        </w:rPr>
        <w:t>MFCUs</w:t>
      </w:r>
      <w:proofErr w:type="spellEnd"/>
      <w:r w:rsidR="001A1DA2">
        <w:rPr>
          <w:sz w:val="24"/>
          <w:szCs w:val="24"/>
        </w:rPr>
        <w:t xml:space="preserve"> on an annual basis.  </w:t>
      </w:r>
      <w:proofErr w:type="spellStart"/>
      <w:r w:rsidR="00E85517">
        <w:rPr>
          <w:sz w:val="24"/>
          <w:szCs w:val="24"/>
        </w:rPr>
        <w:t>OIG</w:t>
      </w:r>
      <w:proofErr w:type="spellEnd"/>
      <w:r w:rsidR="00E85517">
        <w:rPr>
          <w:sz w:val="24"/>
          <w:szCs w:val="24"/>
        </w:rPr>
        <w:t xml:space="preserve"> </w:t>
      </w:r>
      <w:r w:rsidR="00335CE5">
        <w:rPr>
          <w:sz w:val="24"/>
          <w:szCs w:val="24"/>
        </w:rPr>
        <w:t>has approval</w:t>
      </w:r>
      <w:r w:rsidR="00581667">
        <w:rPr>
          <w:sz w:val="24"/>
          <w:szCs w:val="24"/>
        </w:rPr>
        <w:t>,</w:t>
      </w:r>
      <w:r w:rsidR="00335CE5">
        <w:rPr>
          <w:sz w:val="24"/>
          <w:szCs w:val="24"/>
        </w:rPr>
        <w:t xml:space="preserve"> </w:t>
      </w:r>
      <w:r w:rsidR="00581667">
        <w:rPr>
          <w:sz w:val="24"/>
          <w:szCs w:val="24"/>
        </w:rPr>
        <w:t xml:space="preserve">under Office of Management and Budget (OMB) No. 0990-0162, </w:t>
      </w:r>
      <w:r w:rsidR="00335CE5">
        <w:rPr>
          <w:sz w:val="24"/>
          <w:szCs w:val="24"/>
        </w:rPr>
        <w:t xml:space="preserve">through January 31, 2017 for the collection of information as required at  42 </w:t>
      </w:r>
      <w:proofErr w:type="spellStart"/>
      <w:r w:rsidR="00335CE5">
        <w:rPr>
          <w:sz w:val="24"/>
          <w:szCs w:val="24"/>
        </w:rPr>
        <w:t>CFR</w:t>
      </w:r>
      <w:proofErr w:type="spellEnd"/>
      <w:r w:rsidR="00335CE5">
        <w:rPr>
          <w:sz w:val="24"/>
          <w:szCs w:val="24"/>
        </w:rPr>
        <w:t xml:space="preserve"> </w:t>
      </w:r>
      <w:r w:rsidR="00581667" w:rsidRPr="00581667">
        <w:rPr>
          <w:sz w:val="24"/>
          <w:szCs w:val="24"/>
        </w:rPr>
        <w:t>§</w:t>
      </w:r>
      <w:r w:rsidR="00335CE5">
        <w:rPr>
          <w:sz w:val="24"/>
          <w:szCs w:val="24"/>
        </w:rPr>
        <w:t xml:space="preserve">§ 1007.15 and 1007.17. </w:t>
      </w:r>
    </w:p>
    <w:p w14:paraId="480CE0F0" w14:textId="77777777" w:rsidR="001A1DA2" w:rsidRDefault="001A1DA2" w:rsidP="004563BF">
      <w:pPr>
        <w:ind w:left="720"/>
        <w:rPr>
          <w:sz w:val="24"/>
          <w:szCs w:val="24"/>
        </w:rPr>
      </w:pPr>
    </w:p>
    <w:p w14:paraId="311E2830" w14:textId="37292D30" w:rsidR="00E85517" w:rsidRDefault="00335CE5" w:rsidP="004563BF">
      <w:pPr>
        <w:ind w:left="720"/>
        <w:rPr>
          <w:sz w:val="24"/>
          <w:szCs w:val="24"/>
        </w:rPr>
      </w:pPr>
      <w:r>
        <w:rPr>
          <w:sz w:val="24"/>
          <w:szCs w:val="24"/>
        </w:rPr>
        <w:t xml:space="preserve"> </w:t>
      </w:r>
      <w:proofErr w:type="spellStart"/>
      <w:r>
        <w:rPr>
          <w:sz w:val="24"/>
          <w:szCs w:val="24"/>
        </w:rPr>
        <w:t>OIG</w:t>
      </w:r>
      <w:proofErr w:type="spellEnd"/>
      <w:r>
        <w:rPr>
          <w:sz w:val="24"/>
          <w:szCs w:val="24"/>
        </w:rPr>
        <w:t xml:space="preserve"> proposes to </w:t>
      </w:r>
      <w:r w:rsidR="00CD0D5B">
        <w:rPr>
          <w:sz w:val="24"/>
          <w:szCs w:val="24"/>
        </w:rPr>
        <w:t xml:space="preserve">revise the scope of </w:t>
      </w:r>
      <w:r w:rsidR="001A1DA2">
        <w:rPr>
          <w:sz w:val="24"/>
          <w:szCs w:val="24"/>
        </w:rPr>
        <w:t xml:space="preserve">its annual collection of information </w:t>
      </w:r>
      <w:r w:rsidR="00CD0D5B">
        <w:rPr>
          <w:sz w:val="24"/>
          <w:szCs w:val="24"/>
        </w:rPr>
        <w:t xml:space="preserve">as part of </w:t>
      </w:r>
      <w:r w:rsidR="00581667">
        <w:rPr>
          <w:sz w:val="24"/>
          <w:szCs w:val="24"/>
        </w:rPr>
        <w:t>a Notice of Proposed Rulemaking (</w:t>
      </w:r>
      <w:proofErr w:type="spellStart"/>
      <w:r w:rsidR="00581667">
        <w:rPr>
          <w:sz w:val="24"/>
          <w:szCs w:val="24"/>
        </w:rPr>
        <w:t>NPRM</w:t>
      </w:r>
      <w:proofErr w:type="spellEnd"/>
      <w:r w:rsidR="00581667">
        <w:rPr>
          <w:sz w:val="24"/>
          <w:szCs w:val="24"/>
        </w:rPr>
        <w:t xml:space="preserve">) to revise the </w:t>
      </w:r>
      <w:proofErr w:type="spellStart"/>
      <w:r w:rsidR="00581667">
        <w:rPr>
          <w:sz w:val="24"/>
          <w:szCs w:val="24"/>
        </w:rPr>
        <w:t>MFCU</w:t>
      </w:r>
      <w:proofErr w:type="spellEnd"/>
      <w:r w:rsidR="00581667">
        <w:rPr>
          <w:sz w:val="24"/>
          <w:szCs w:val="24"/>
        </w:rPr>
        <w:t xml:space="preserve"> oversight regulations contained in 42 </w:t>
      </w:r>
      <w:proofErr w:type="spellStart"/>
      <w:r w:rsidR="00581667">
        <w:rPr>
          <w:sz w:val="24"/>
          <w:szCs w:val="24"/>
        </w:rPr>
        <w:t>CFR</w:t>
      </w:r>
      <w:proofErr w:type="spellEnd"/>
      <w:r w:rsidR="00581667">
        <w:rPr>
          <w:sz w:val="24"/>
          <w:szCs w:val="24"/>
        </w:rPr>
        <w:t xml:space="preserve"> </w:t>
      </w:r>
      <w:proofErr w:type="gramStart"/>
      <w:r w:rsidR="00581667">
        <w:rPr>
          <w:sz w:val="24"/>
          <w:szCs w:val="24"/>
        </w:rPr>
        <w:t>part</w:t>
      </w:r>
      <w:proofErr w:type="gramEnd"/>
      <w:r w:rsidR="00581667">
        <w:rPr>
          <w:sz w:val="24"/>
          <w:szCs w:val="24"/>
        </w:rPr>
        <w:t xml:space="preserve"> 1007</w:t>
      </w:r>
      <w:r w:rsidR="001A1DA2">
        <w:rPr>
          <w:sz w:val="24"/>
          <w:szCs w:val="24"/>
        </w:rPr>
        <w:t xml:space="preserve">. </w:t>
      </w:r>
      <w:r w:rsidR="003364D0">
        <w:rPr>
          <w:sz w:val="24"/>
          <w:szCs w:val="24"/>
        </w:rPr>
        <w:t xml:space="preserve"> </w:t>
      </w:r>
      <w:r w:rsidR="00152058">
        <w:rPr>
          <w:sz w:val="24"/>
          <w:szCs w:val="24"/>
        </w:rPr>
        <w:t xml:space="preserve">Thus, </w:t>
      </w:r>
      <w:r w:rsidR="00581667">
        <w:rPr>
          <w:sz w:val="24"/>
          <w:szCs w:val="24"/>
        </w:rPr>
        <w:t xml:space="preserve">in accordance with the Paperwork Reduction Act, </w:t>
      </w:r>
      <w:proofErr w:type="spellStart"/>
      <w:r w:rsidR="00152058">
        <w:rPr>
          <w:sz w:val="24"/>
          <w:szCs w:val="24"/>
        </w:rPr>
        <w:t>OIG</w:t>
      </w:r>
      <w:proofErr w:type="spellEnd"/>
      <w:r w:rsidR="00152058">
        <w:rPr>
          <w:sz w:val="24"/>
          <w:szCs w:val="24"/>
        </w:rPr>
        <w:t xml:space="preserve"> requests</w:t>
      </w:r>
      <w:r w:rsidR="001A1DA2">
        <w:rPr>
          <w:sz w:val="24"/>
          <w:szCs w:val="24"/>
        </w:rPr>
        <w:t xml:space="preserve"> </w:t>
      </w:r>
      <w:r w:rsidR="00E85517">
        <w:rPr>
          <w:sz w:val="24"/>
          <w:szCs w:val="24"/>
        </w:rPr>
        <w:t xml:space="preserve">OMB approval for the collection of information </w:t>
      </w:r>
      <w:r w:rsidR="00581667">
        <w:rPr>
          <w:sz w:val="24"/>
          <w:szCs w:val="24"/>
        </w:rPr>
        <w:t xml:space="preserve">that is described in section </w:t>
      </w:r>
      <w:r w:rsidR="00E85517">
        <w:rPr>
          <w:sz w:val="24"/>
          <w:szCs w:val="24"/>
        </w:rPr>
        <w:t>1007.17</w:t>
      </w:r>
      <w:r w:rsidR="00DB35F8">
        <w:rPr>
          <w:sz w:val="24"/>
          <w:szCs w:val="24"/>
        </w:rPr>
        <w:t>(a)</w:t>
      </w:r>
      <w:r w:rsidR="00581667">
        <w:rPr>
          <w:sz w:val="24"/>
          <w:szCs w:val="24"/>
        </w:rPr>
        <w:t xml:space="preserve"> of the </w:t>
      </w:r>
      <w:proofErr w:type="spellStart"/>
      <w:r w:rsidR="00581667">
        <w:rPr>
          <w:sz w:val="24"/>
          <w:szCs w:val="24"/>
        </w:rPr>
        <w:t>NPRM</w:t>
      </w:r>
      <w:proofErr w:type="spellEnd"/>
      <w:r w:rsidR="00581667">
        <w:rPr>
          <w:sz w:val="24"/>
          <w:szCs w:val="24"/>
        </w:rPr>
        <w:t>.</w:t>
      </w:r>
      <w:r w:rsidR="00E85517">
        <w:rPr>
          <w:sz w:val="24"/>
          <w:szCs w:val="24"/>
        </w:rPr>
        <w:t xml:space="preserve">  The information collected </w:t>
      </w:r>
      <w:r w:rsidR="00152058">
        <w:rPr>
          <w:sz w:val="24"/>
          <w:szCs w:val="24"/>
        </w:rPr>
        <w:t xml:space="preserve">annually would </w:t>
      </w:r>
      <w:r w:rsidR="00E85517">
        <w:rPr>
          <w:sz w:val="24"/>
          <w:szCs w:val="24"/>
        </w:rPr>
        <w:t xml:space="preserve">consist of </w:t>
      </w:r>
      <w:r w:rsidR="001A1DA2">
        <w:rPr>
          <w:sz w:val="24"/>
          <w:szCs w:val="24"/>
        </w:rPr>
        <w:t>50 separate</w:t>
      </w:r>
      <w:r w:rsidR="00152058">
        <w:rPr>
          <w:sz w:val="24"/>
          <w:szCs w:val="24"/>
        </w:rPr>
        <w:t xml:space="preserve"> reapplication</w:t>
      </w:r>
      <w:r w:rsidR="001A1DA2">
        <w:rPr>
          <w:sz w:val="24"/>
          <w:szCs w:val="24"/>
        </w:rPr>
        <w:t>s</w:t>
      </w:r>
      <w:r w:rsidR="00152058">
        <w:rPr>
          <w:sz w:val="24"/>
          <w:szCs w:val="24"/>
        </w:rPr>
        <w:t xml:space="preserve"> </w:t>
      </w:r>
      <w:r w:rsidR="001A1DA2">
        <w:rPr>
          <w:sz w:val="24"/>
          <w:szCs w:val="24"/>
        </w:rPr>
        <w:t xml:space="preserve">that would </w:t>
      </w:r>
      <w:r w:rsidR="00152058">
        <w:rPr>
          <w:sz w:val="24"/>
          <w:szCs w:val="24"/>
        </w:rPr>
        <w:t xml:space="preserve">include a brief narrative evaluating the </w:t>
      </w:r>
      <w:proofErr w:type="spellStart"/>
      <w:r w:rsidR="00152058">
        <w:rPr>
          <w:sz w:val="24"/>
          <w:szCs w:val="24"/>
        </w:rPr>
        <w:t>MFCU’s</w:t>
      </w:r>
      <w:proofErr w:type="spellEnd"/>
      <w:r w:rsidR="00152058">
        <w:rPr>
          <w:sz w:val="24"/>
          <w:szCs w:val="24"/>
        </w:rPr>
        <w:t xml:space="preserve"> </w:t>
      </w:r>
      <w:r w:rsidR="00581667">
        <w:rPr>
          <w:sz w:val="24"/>
          <w:szCs w:val="24"/>
        </w:rPr>
        <w:t xml:space="preserve">adherence to </w:t>
      </w:r>
      <w:r w:rsidR="001A1DA2">
        <w:rPr>
          <w:sz w:val="24"/>
          <w:szCs w:val="24"/>
        </w:rPr>
        <w:t>performance</w:t>
      </w:r>
      <w:r w:rsidR="00581667">
        <w:rPr>
          <w:sz w:val="24"/>
          <w:szCs w:val="24"/>
        </w:rPr>
        <w:t xml:space="preserve"> standards</w:t>
      </w:r>
      <w:r w:rsidR="001A1DA2">
        <w:rPr>
          <w:sz w:val="24"/>
          <w:szCs w:val="24"/>
        </w:rPr>
        <w:t xml:space="preserve">, </w:t>
      </w:r>
      <w:r w:rsidR="00581667">
        <w:rPr>
          <w:sz w:val="24"/>
          <w:szCs w:val="24"/>
        </w:rPr>
        <w:t xml:space="preserve">the </w:t>
      </w:r>
      <w:r w:rsidR="001A1DA2">
        <w:rPr>
          <w:sz w:val="24"/>
          <w:szCs w:val="24"/>
        </w:rPr>
        <w:t xml:space="preserve">costs and outcomes of data mining, and information regarding compliance with 42 </w:t>
      </w:r>
      <w:proofErr w:type="spellStart"/>
      <w:r w:rsidR="001A1DA2">
        <w:rPr>
          <w:sz w:val="24"/>
          <w:szCs w:val="24"/>
        </w:rPr>
        <w:t>CFR</w:t>
      </w:r>
      <w:proofErr w:type="spellEnd"/>
      <w:r w:rsidR="001A1DA2">
        <w:rPr>
          <w:sz w:val="24"/>
          <w:szCs w:val="24"/>
        </w:rPr>
        <w:t xml:space="preserve"> </w:t>
      </w:r>
      <w:proofErr w:type="gramStart"/>
      <w:r w:rsidR="00581667">
        <w:rPr>
          <w:sz w:val="24"/>
          <w:szCs w:val="24"/>
        </w:rPr>
        <w:t>part</w:t>
      </w:r>
      <w:proofErr w:type="gramEnd"/>
      <w:r w:rsidR="00581667">
        <w:rPr>
          <w:sz w:val="24"/>
          <w:szCs w:val="24"/>
        </w:rPr>
        <w:t xml:space="preserve"> </w:t>
      </w:r>
      <w:r w:rsidR="001A1DA2">
        <w:rPr>
          <w:sz w:val="24"/>
          <w:szCs w:val="24"/>
        </w:rPr>
        <w:t xml:space="preserve">1007 and </w:t>
      </w:r>
      <w:r w:rsidR="00581667">
        <w:rPr>
          <w:sz w:val="24"/>
          <w:szCs w:val="24"/>
        </w:rPr>
        <w:t xml:space="preserve">other Federal requirements.  </w:t>
      </w:r>
      <w:r w:rsidR="007D095D">
        <w:rPr>
          <w:sz w:val="24"/>
          <w:szCs w:val="24"/>
        </w:rPr>
        <w:t>Additionally, 50 separate annual statistical reports would be collected electronically.</w:t>
      </w:r>
      <w:r w:rsidR="00E85517">
        <w:rPr>
          <w:sz w:val="24"/>
          <w:szCs w:val="24"/>
        </w:rPr>
        <w:t xml:space="preserve"> </w:t>
      </w:r>
      <w:proofErr w:type="spellStart"/>
      <w:r w:rsidR="00E85517">
        <w:rPr>
          <w:sz w:val="24"/>
          <w:szCs w:val="24"/>
        </w:rPr>
        <w:t>OIG</w:t>
      </w:r>
      <w:proofErr w:type="spellEnd"/>
      <w:r w:rsidR="00E85517">
        <w:rPr>
          <w:sz w:val="24"/>
          <w:szCs w:val="24"/>
        </w:rPr>
        <w:t xml:space="preserve"> </w:t>
      </w:r>
      <w:r w:rsidR="007D095D">
        <w:rPr>
          <w:sz w:val="24"/>
          <w:szCs w:val="24"/>
        </w:rPr>
        <w:t xml:space="preserve">would </w:t>
      </w:r>
      <w:r w:rsidR="00E85517">
        <w:rPr>
          <w:sz w:val="24"/>
          <w:szCs w:val="24"/>
        </w:rPr>
        <w:t xml:space="preserve">use the information collected to determine the </w:t>
      </w:r>
      <w:proofErr w:type="spellStart"/>
      <w:r w:rsidR="00E85517">
        <w:rPr>
          <w:sz w:val="24"/>
          <w:szCs w:val="24"/>
        </w:rPr>
        <w:t>MFCUs</w:t>
      </w:r>
      <w:proofErr w:type="spellEnd"/>
      <w:r w:rsidR="00E85517">
        <w:rPr>
          <w:sz w:val="24"/>
          <w:szCs w:val="24"/>
        </w:rPr>
        <w:t>’ compliance with Federal requirements and eligibility for continued Federal financial participation (</w:t>
      </w:r>
      <w:proofErr w:type="spellStart"/>
      <w:r w:rsidR="00E85517">
        <w:rPr>
          <w:sz w:val="24"/>
          <w:szCs w:val="24"/>
        </w:rPr>
        <w:t>FFP</w:t>
      </w:r>
      <w:proofErr w:type="spellEnd"/>
      <w:r w:rsidR="00E85517">
        <w:rPr>
          <w:sz w:val="24"/>
          <w:szCs w:val="24"/>
        </w:rPr>
        <w:t xml:space="preserve">) under the Federal </w:t>
      </w:r>
      <w:proofErr w:type="spellStart"/>
      <w:r w:rsidR="00E85517">
        <w:rPr>
          <w:sz w:val="24"/>
          <w:szCs w:val="24"/>
        </w:rPr>
        <w:t>MFCU</w:t>
      </w:r>
      <w:proofErr w:type="spellEnd"/>
      <w:r w:rsidR="00E85517">
        <w:rPr>
          <w:sz w:val="24"/>
          <w:szCs w:val="24"/>
        </w:rPr>
        <w:t xml:space="preserve"> grant program</w:t>
      </w:r>
      <w:r w:rsidR="00422338">
        <w:rPr>
          <w:sz w:val="24"/>
          <w:szCs w:val="24"/>
        </w:rPr>
        <w:t xml:space="preserve">.  The collection would also allow </w:t>
      </w:r>
      <w:proofErr w:type="spellStart"/>
      <w:r w:rsidR="00422338">
        <w:rPr>
          <w:sz w:val="24"/>
          <w:szCs w:val="24"/>
        </w:rPr>
        <w:t>OIG</w:t>
      </w:r>
      <w:proofErr w:type="spellEnd"/>
      <w:r w:rsidR="00422338">
        <w:rPr>
          <w:sz w:val="24"/>
          <w:szCs w:val="24"/>
        </w:rPr>
        <w:t xml:space="preserve"> to assess performance and trends in Medicaid fraud and patient abuse and neglect across all </w:t>
      </w:r>
      <w:proofErr w:type="spellStart"/>
      <w:r w:rsidR="00422338">
        <w:rPr>
          <w:sz w:val="24"/>
          <w:szCs w:val="24"/>
        </w:rPr>
        <w:t>MFCUs</w:t>
      </w:r>
      <w:proofErr w:type="spellEnd"/>
      <w:r w:rsidR="00422338">
        <w:rPr>
          <w:sz w:val="24"/>
          <w:szCs w:val="24"/>
        </w:rPr>
        <w:t>.</w:t>
      </w:r>
    </w:p>
    <w:p w14:paraId="6CF87A79" w14:textId="77777777" w:rsidR="00E85517" w:rsidRDefault="00E85517" w:rsidP="004563BF">
      <w:pPr>
        <w:rPr>
          <w:sz w:val="24"/>
          <w:szCs w:val="24"/>
        </w:rPr>
      </w:pPr>
    </w:p>
    <w:p w14:paraId="137F6746" w14:textId="77777777" w:rsidR="00E85517" w:rsidRDefault="00E85517" w:rsidP="004563BF">
      <w:pPr>
        <w:tabs>
          <w:tab w:val="left" w:pos="720"/>
        </w:tabs>
        <w:ind w:left="720" w:hanging="720"/>
        <w:rPr>
          <w:sz w:val="24"/>
          <w:szCs w:val="24"/>
        </w:rPr>
      </w:pPr>
      <w:r>
        <w:rPr>
          <w:b/>
          <w:bCs/>
          <w:sz w:val="24"/>
          <w:szCs w:val="24"/>
        </w:rPr>
        <w:t>A.</w:t>
      </w:r>
      <w:r>
        <w:rPr>
          <w:sz w:val="24"/>
          <w:szCs w:val="24"/>
        </w:rPr>
        <w:tab/>
      </w:r>
      <w:r>
        <w:rPr>
          <w:b/>
          <w:bCs/>
          <w:sz w:val="24"/>
          <w:szCs w:val="24"/>
        </w:rPr>
        <w:t>Justification</w:t>
      </w:r>
    </w:p>
    <w:p w14:paraId="19A9B0E3" w14:textId="77777777" w:rsidR="00E85517" w:rsidRDefault="00E85517" w:rsidP="004563BF">
      <w:pPr>
        <w:rPr>
          <w:sz w:val="24"/>
          <w:szCs w:val="24"/>
        </w:rPr>
      </w:pPr>
    </w:p>
    <w:p w14:paraId="1DF3C0BF" w14:textId="77777777" w:rsidR="00E85517" w:rsidRDefault="00E85517" w:rsidP="004563BF">
      <w:pPr>
        <w:rPr>
          <w:sz w:val="24"/>
          <w:szCs w:val="24"/>
        </w:rPr>
      </w:pPr>
      <w:r>
        <w:rPr>
          <w:b/>
          <w:bCs/>
          <w:sz w:val="24"/>
          <w:szCs w:val="24"/>
        </w:rPr>
        <w:tab/>
        <w:t xml:space="preserve">1.  </w:t>
      </w:r>
      <w:r>
        <w:rPr>
          <w:b/>
          <w:bCs/>
          <w:sz w:val="24"/>
          <w:szCs w:val="24"/>
          <w:u w:val="single"/>
        </w:rPr>
        <w:t>Need and Legal Basis</w:t>
      </w:r>
      <w:r>
        <w:rPr>
          <w:sz w:val="24"/>
          <w:szCs w:val="24"/>
        </w:rPr>
        <w:t xml:space="preserve"> </w:t>
      </w:r>
      <w:r>
        <w:rPr>
          <w:b/>
          <w:bCs/>
          <w:sz w:val="24"/>
          <w:szCs w:val="24"/>
        </w:rPr>
        <w:t xml:space="preserve">  </w:t>
      </w:r>
    </w:p>
    <w:p w14:paraId="2B360F6B" w14:textId="77777777" w:rsidR="00E85517" w:rsidRDefault="00E85517" w:rsidP="004563BF">
      <w:pPr>
        <w:rPr>
          <w:sz w:val="24"/>
          <w:szCs w:val="24"/>
        </w:rPr>
      </w:pPr>
    </w:p>
    <w:p w14:paraId="53FA3FE8" w14:textId="77777777" w:rsidR="00E85517" w:rsidRDefault="00E85517" w:rsidP="00620781">
      <w:pPr>
        <w:ind w:left="720"/>
        <w:rPr>
          <w:sz w:val="24"/>
          <w:szCs w:val="24"/>
        </w:rPr>
      </w:pPr>
      <w:r>
        <w:rPr>
          <w:sz w:val="24"/>
          <w:szCs w:val="24"/>
        </w:rPr>
        <w:t xml:space="preserve">Public Law 95-142, the Medicare-Medicaid Anti-Fraud and Abuse Amendments, was enacted in 1977 to strengthen the capabilities of Federal and State governments to combat and eliminate fraud and abuse in Medicaid, through the establishment of the </w:t>
      </w:r>
      <w:proofErr w:type="spellStart"/>
      <w:r>
        <w:rPr>
          <w:sz w:val="24"/>
          <w:szCs w:val="24"/>
        </w:rPr>
        <w:t>MFCUs</w:t>
      </w:r>
      <w:proofErr w:type="spellEnd"/>
      <w:r>
        <w:rPr>
          <w:sz w:val="24"/>
          <w:szCs w:val="24"/>
        </w:rPr>
        <w:t xml:space="preserve">.  This law amended section 1903 of the Social Security Act to establish operating requirements for </w:t>
      </w:r>
      <w:proofErr w:type="spellStart"/>
      <w:r>
        <w:rPr>
          <w:sz w:val="24"/>
          <w:szCs w:val="24"/>
        </w:rPr>
        <w:t>MFCUs</w:t>
      </w:r>
      <w:proofErr w:type="spellEnd"/>
      <w:r>
        <w:rPr>
          <w:sz w:val="24"/>
          <w:szCs w:val="24"/>
        </w:rPr>
        <w:t xml:space="preserve">  and provide </w:t>
      </w:r>
      <w:proofErr w:type="spellStart"/>
      <w:r>
        <w:rPr>
          <w:sz w:val="24"/>
          <w:szCs w:val="24"/>
        </w:rPr>
        <w:t>FFP</w:t>
      </w:r>
      <w:proofErr w:type="spellEnd"/>
      <w:r>
        <w:rPr>
          <w:sz w:val="24"/>
          <w:szCs w:val="24"/>
        </w:rPr>
        <w:t xml:space="preserve"> to State governments for the cost of establishing </w:t>
      </w:r>
      <w:proofErr w:type="spellStart"/>
      <w:r>
        <w:rPr>
          <w:sz w:val="24"/>
          <w:szCs w:val="24"/>
        </w:rPr>
        <w:t>MFCUs</w:t>
      </w:r>
      <w:proofErr w:type="spellEnd"/>
      <w:r>
        <w:rPr>
          <w:sz w:val="24"/>
          <w:szCs w:val="24"/>
        </w:rPr>
        <w:t xml:space="preserve">, training State personnel, and keeping the </w:t>
      </w:r>
      <w:proofErr w:type="spellStart"/>
      <w:r>
        <w:rPr>
          <w:sz w:val="24"/>
          <w:szCs w:val="24"/>
        </w:rPr>
        <w:t>MFCUs</w:t>
      </w:r>
      <w:proofErr w:type="spellEnd"/>
      <w:r>
        <w:rPr>
          <w:sz w:val="24"/>
          <w:szCs w:val="24"/>
        </w:rPr>
        <w:t xml:space="preserve"> operational. </w:t>
      </w:r>
    </w:p>
    <w:p w14:paraId="42727E6C" w14:textId="77777777" w:rsidR="00E85517" w:rsidRDefault="00E85517" w:rsidP="00620781">
      <w:pPr>
        <w:ind w:left="720"/>
        <w:rPr>
          <w:sz w:val="24"/>
          <w:szCs w:val="24"/>
        </w:rPr>
      </w:pPr>
    </w:p>
    <w:p w14:paraId="3D68D897" w14:textId="4A2DE025" w:rsidR="00E85517" w:rsidRDefault="00E85517" w:rsidP="00620781">
      <w:pPr>
        <w:ind w:left="720"/>
        <w:rPr>
          <w:sz w:val="24"/>
          <w:szCs w:val="24"/>
        </w:rPr>
      </w:pPr>
      <w:r>
        <w:rPr>
          <w:sz w:val="24"/>
          <w:szCs w:val="24"/>
        </w:rPr>
        <w:t xml:space="preserve">Under section 1903(q)(7), each </w:t>
      </w:r>
      <w:proofErr w:type="spellStart"/>
      <w:r>
        <w:rPr>
          <w:sz w:val="24"/>
          <w:szCs w:val="24"/>
        </w:rPr>
        <w:t>MFCU</w:t>
      </w:r>
      <w:proofErr w:type="spellEnd"/>
      <w:r>
        <w:rPr>
          <w:sz w:val="24"/>
          <w:szCs w:val="24"/>
        </w:rPr>
        <w:t xml:space="preserve"> must annually submit to the Secretary of Health and Human Services (Secretary) a </w:t>
      </w:r>
      <w:r w:rsidR="009B1985">
        <w:rPr>
          <w:sz w:val="24"/>
          <w:szCs w:val="24"/>
        </w:rPr>
        <w:t>re</w:t>
      </w:r>
      <w:r>
        <w:rPr>
          <w:sz w:val="24"/>
          <w:szCs w:val="24"/>
        </w:rPr>
        <w:t xml:space="preserve">application and annual report containing information </w:t>
      </w:r>
      <w:r>
        <w:rPr>
          <w:sz w:val="24"/>
          <w:szCs w:val="24"/>
        </w:rPr>
        <w:lastRenderedPageBreak/>
        <w:t xml:space="preserve">that the Secretary determines is necessary to </w:t>
      </w:r>
      <w:r w:rsidR="009B1985">
        <w:rPr>
          <w:sz w:val="24"/>
          <w:szCs w:val="24"/>
        </w:rPr>
        <w:t>re</w:t>
      </w:r>
      <w:r>
        <w:rPr>
          <w:sz w:val="24"/>
          <w:szCs w:val="24"/>
        </w:rPr>
        <w:t xml:space="preserve">certify the </w:t>
      </w:r>
      <w:proofErr w:type="spellStart"/>
      <w:r>
        <w:rPr>
          <w:sz w:val="24"/>
          <w:szCs w:val="24"/>
        </w:rPr>
        <w:t>MFCU</w:t>
      </w:r>
      <w:proofErr w:type="spellEnd"/>
      <w:r>
        <w:rPr>
          <w:sz w:val="24"/>
          <w:szCs w:val="24"/>
        </w:rPr>
        <w:t xml:space="preserve"> as meeting the requirements for </w:t>
      </w:r>
      <w:proofErr w:type="spellStart"/>
      <w:r>
        <w:rPr>
          <w:sz w:val="24"/>
          <w:szCs w:val="24"/>
        </w:rPr>
        <w:t>FFP</w:t>
      </w:r>
      <w:proofErr w:type="spellEnd"/>
      <w:r>
        <w:rPr>
          <w:sz w:val="24"/>
          <w:szCs w:val="24"/>
        </w:rPr>
        <w:t xml:space="preserve">.  </w:t>
      </w:r>
      <w:proofErr w:type="spellStart"/>
      <w:r>
        <w:rPr>
          <w:sz w:val="24"/>
          <w:szCs w:val="24"/>
        </w:rPr>
        <w:t>FFP</w:t>
      </w:r>
      <w:proofErr w:type="spellEnd"/>
      <w:r>
        <w:rPr>
          <w:sz w:val="24"/>
          <w:szCs w:val="24"/>
        </w:rPr>
        <w:t xml:space="preserve"> is available only for activities directly related to the investigation and prosecution of health care providers suspected of committing Medicaid fraud</w:t>
      </w:r>
      <w:r w:rsidR="009B1985">
        <w:rPr>
          <w:sz w:val="24"/>
          <w:szCs w:val="24"/>
        </w:rPr>
        <w:t xml:space="preserve"> and</w:t>
      </w:r>
      <w:r w:rsidR="00B15423">
        <w:rPr>
          <w:sz w:val="24"/>
          <w:szCs w:val="24"/>
        </w:rPr>
        <w:t xml:space="preserve"> for</w:t>
      </w:r>
      <w:r w:rsidR="009B1985">
        <w:rPr>
          <w:sz w:val="24"/>
          <w:szCs w:val="24"/>
        </w:rPr>
        <w:t xml:space="preserve"> </w:t>
      </w:r>
      <w:r>
        <w:rPr>
          <w:sz w:val="24"/>
          <w:szCs w:val="24"/>
        </w:rPr>
        <w:t>review</w:t>
      </w:r>
      <w:r w:rsidR="00B15423">
        <w:rPr>
          <w:sz w:val="24"/>
          <w:szCs w:val="24"/>
        </w:rPr>
        <w:t>ing</w:t>
      </w:r>
      <w:r>
        <w:rPr>
          <w:sz w:val="24"/>
          <w:szCs w:val="24"/>
        </w:rPr>
        <w:t xml:space="preserve"> complaints of alleged abuse or neglect of patients and the misuse of patients’ personal funds in </w:t>
      </w:r>
      <w:r w:rsidR="00C82D3A">
        <w:rPr>
          <w:sz w:val="24"/>
          <w:szCs w:val="24"/>
        </w:rPr>
        <w:t>health</w:t>
      </w:r>
      <w:r>
        <w:rPr>
          <w:sz w:val="24"/>
          <w:szCs w:val="24"/>
        </w:rPr>
        <w:t xml:space="preserve"> care facilities.  </w:t>
      </w:r>
      <w:proofErr w:type="spellStart"/>
      <w:r w:rsidR="009B1985">
        <w:rPr>
          <w:sz w:val="24"/>
          <w:szCs w:val="24"/>
        </w:rPr>
        <w:t>OIG</w:t>
      </w:r>
      <w:proofErr w:type="spellEnd"/>
      <w:r w:rsidR="009B1985">
        <w:rPr>
          <w:sz w:val="24"/>
          <w:szCs w:val="24"/>
        </w:rPr>
        <w:t xml:space="preserve"> reviews the information collected to ensure that Federal matching funds are expended by </w:t>
      </w:r>
      <w:proofErr w:type="spellStart"/>
      <w:r w:rsidR="009B1985">
        <w:rPr>
          <w:sz w:val="24"/>
          <w:szCs w:val="24"/>
        </w:rPr>
        <w:t>MFCUs</w:t>
      </w:r>
      <w:proofErr w:type="spellEnd"/>
      <w:r w:rsidR="009B1985">
        <w:rPr>
          <w:sz w:val="24"/>
          <w:szCs w:val="24"/>
        </w:rPr>
        <w:t xml:space="preserve"> only for allowable costs.  Further</w:t>
      </w:r>
      <w:r w:rsidR="00DB35F8">
        <w:rPr>
          <w:sz w:val="24"/>
          <w:szCs w:val="24"/>
        </w:rPr>
        <w:t>, pursuant to section 1902(a</w:t>
      </w:r>
      <w:proofErr w:type="gramStart"/>
      <w:r w:rsidR="00DB35F8">
        <w:rPr>
          <w:sz w:val="24"/>
          <w:szCs w:val="24"/>
        </w:rPr>
        <w:t>)(</w:t>
      </w:r>
      <w:proofErr w:type="gramEnd"/>
      <w:r w:rsidR="00DB35F8">
        <w:rPr>
          <w:sz w:val="24"/>
          <w:szCs w:val="24"/>
        </w:rPr>
        <w:t>61), in 1994</w:t>
      </w:r>
      <w:r w:rsidR="009B1985">
        <w:rPr>
          <w:sz w:val="24"/>
          <w:szCs w:val="24"/>
        </w:rPr>
        <w:t xml:space="preserve"> </w:t>
      </w:r>
      <w:proofErr w:type="spellStart"/>
      <w:r w:rsidR="00DB35F8">
        <w:rPr>
          <w:sz w:val="24"/>
          <w:szCs w:val="24"/>
        </w:rPr>
        <w:t>OIG</w:t>
      </w:r>
      <w:proofErr w:type="spellEnd"/>
      <w:r w:rsidR="00DB35F8">
        <w:rPr>
          <w:sz w:val="24"/>
          <w:szCs w:val="24"/>
        </w:rPr>
        <w:t xml:space="preserve"> developed 12 performance standards to be used </w:t>
      </w:r>
      <w:r w:rsidR="009B1985">
        <w:rPr>
          <w:sz w:val="24"/>
          <w:szCs w:val="24"/>
        </w:rPr>
        <w:t xml:space="preserve">annually </w:t>
      </w:r>
      <w:r w:rsidR="00DB35F8">
        <w:rPr>
          <w:sz w:val="24"/>
          <w:szCs w:val="24"/>
        </w:rPr>
        <w:t xml:space="preserve">in </w:t>
      </w:r>
      <w:r w:rsidR="009B1985">
        <w:rPr>
          <w:sz w:val="24"/>
          <w:szCs w:val="24"/>
        </w:rPr>
        <w:t xml:space="preserve">determining if a Unit is effectively and efficiently carrying out its duties and responsibilities.  The performance standards have since been </w:t>
      </w:r>
      <w:r w:rsidR="0037753B">
        <w:rPr>
          <w:sz w:val="24"/>
          <w:szCs w:val="24"/>
        </w:rPr>
        <w:t xml:space="preserve">revised and republished </w:t>
      </w:r>
      <w:r w:rsidR="009B1985">
        <w:rPr>
          <w:sz w:val="24"/>
          <w:szCs w:val="24"/>
        </w:rPr>
        <w:t xml:space="preserve">at 77 Fed. Reg. 32645 (June 1, 2012).  </w:t>
      </w:r>
      <w:r>
        <w:rPr>
          <w:sz w:val="24"/>
          <w:szCs w:val="24"/>
        </w:rPr>
        <w:t xml:space="preserve">In addition, </w:t>
      </w:r>
      <w:proofErr w:type="spellStart"/>
      <w:r>
        <w:rPr>
          <w:sz w:val="24"/>
          <w:szCs w:val="24"/>
        </w:rPr>
        <w:t>OIG</w:t>
      </w:r>
      <w:proofErr w:type="spellEnd"/>
      <w:r>
        <w:rPr>
          <w:sz w:val="24"/>
          <w:szCs w:val="24"/>
        </w:rPr>
        <w:t xml:space="preserve"> analyzes each </w:t>
      </w:r>
      <w:proofErr w:type="spellStart"/>
      <w:r>
        <w:rPr>
          <w:sz w:val="24"/>
          <w:szCs w:val="24"/>
        </w:rPr>
        <w:t>MFCU’s</w:t>
      </w:r>
      <w:proofErr w:type="spellEnd"/>
      <w:r>
        <w:rPr>
          <w:sz w:val="24"/>
          <w:szCs w:val="24"/>
        </w:rPr>
        <w:t xml:space="preserve"> submission to determine whether there is a need for </w:t>
      </w:r>
      <w:proofErr w:type="spellStart"/>
      <w:r>
        <w:rPr>
          <w:sz w:val="24"/>
          <w:szCs w:val="24"/>
        </w:rPr>
        <w:t>OIG</w:t>
      </w:r>
      <w:proofErr w:type="spellEnd"/>
      <w:r>
        <w:rPr>
          <w:sz w:val="24"/>
          <w:szCs w:val="24"/>
        </w:rPr>
        <w:t xml:space="preserve"> technical assistance and to establish priorities for onsite reviews to further monitor program activities.  </w:t>
      </w:r>
    </w:p>
    <w:p w14:paraId="7A49ED26" w14:textId="77777777" w:rsidR="00E85517" w:rsidRDefault="00E85517" w:rsidP="004563BF">
      <w:pPr>
        <w:rPr>
          <w:sz w:val="24"/>
          <w:szCs w:val="24"/>
        </w:rPr>
      </w:pPr>
      <w:r>
        <w:rPr>
          <w:sz w:val="24"/>
          <w:szCs w:val="24"/>
        </w:rPr>
        <w:tab/>
      </w:r>
    </w:p>
    <w:p w14:paraId="011BB1E9" w14:textId="77777777" w:rsidR="00E85517" w:rsidRDefault="00E85517" w:rsidP="004563BF">
      <w:pPr>
        <w:rPr>
          <w:sz w:val="24"/>
          <w:szCs w:val="24"/>
        </w:rPr>
      </w:pPr>
      <w:r>
        <w:rPr>
          <w:b/>
          <w:bCs/>
          <w:sz w:val="24"/>
          <w:szCs w:val="24"/>
        </w:rPr>
        <w:tab/>
        <w:t xml:space="preserve">2.  </w:t>
      </w:r>
      <w:r w:rsidRPr="007D62D7">
        <w:rPr>
          <w:b/>
          <w:bCs/>
          <w:sz w:val="24"/>
          <w:szCs w:val="24"/>
          <w:u w:val="single"/>
        </w:rPr>
        <w:t>Information Users</w:t>
      </w:r>
      <w:r>
        <w:rPr>
          <w:b/>
          <w:bCs/>
          <w:sz w:val="24"/>
          <w:szCs w:val="24"/>
        </w:rPr>
        <w:t xml:space="preserve"> </w:t>
      </w:r>
    </w:p>
    <w:p w14:paraId="1E84E8BA" w14:textId="77777777" w:rsidR="00E85517" w:rsidRDefault="00E85517" w:rsidP="004563BF">
      <w:pPr>
        <w:rPr>
          <w:sz w:val="24"/>
          <w:szCs w:val="24"/>
        </w:rPr>
      </w:pPr>
    </w:p>
    <w:p w14:paraId="6BE0DA12" w14:textId="77777777" w:rsidR="00E85517" w:rsidRDefault="00E85517" w:rsidP="004563BF">
      <w:pPr>
        <w:ind w:left="720"/>
        <w:rPr>
          <w:sz w:val="24"/>
          <w:szCs w:val="24"/>
        </w:rPr>
      </w:pPr>
      <w:proofErr w:type="spellStart"/>
      <w:r>
        <w:rPr>
          <w:sz w:val="24"/>
          <w:szCs w:val="24"/>
        </w:rPr>
        <w:t>OIG</w:t>
      </w:r>
      <w:proofErr w:type="spellEnd"/>
      <w:r>
        <w:rPr>
          <w:sz w:val="24"/>
          <w:szCs w:val="24"/>
        </w:rPr>
        <w:t xml:space="preserve"> uses the information to measure the efficiency and effectiveness of </w:t>
      </w:r>
      <w:proofErr w:type="spellStart"/>
      <w:r>
        <w:rPr>
          <w:sz w:val="24"/>
          <w:szCs w:val="24"/>
        </w:rPr>
        <w:t>MFCUs</w:t>
      </w:r>
      <w:proofErr w:type="spellEnd"/>
      <w:r>
        <w:rPr>
          <w:sz w:val="24"/>
          <w:szCs w:val="24"/>
        </w:rPr>
        <w:t xml:space="preserve"> and to evaluate funding and budget decisions made by each </w:t>
      </w:r>
      <w:proofErr w:type="spellStart"/>
      <w:r>
        <w:rPr>
          <w:sz w:val="24"/>
          <w:szCs w:val="24"/>
        </w:rPr>
        <w:t>MFCU</w:t>
      </w:r>
      <w:proofErr w:type="spellEnd"/>
      <w:r>
        <w:rPr>
          <w:sz w:val="24"/>
          <w:szCs w:val="24"/>
        </w:rPr>
        <w:t xml:space="preserve">. </w:t>
      </w:r>
    </w:p>
    <w:p w14:paraId="2C1ADA37" w14:textId="77777777" w:rsidR="00E85517" w:rsidRDefault="00E85517" w:rsidP="004563BF">
      <w:pPr>
        <w:rPr>
          <w:sz w:val="24"/>
          <w:szCs w:val="24"/>
        </w:rPr>
      </w:pPr>
    </w:p>
    <w:p w14:paraId="1D3240FB" w14:textId="77777777" w:rsidR="00E85517" w:rsidRDefault="00E85517" w:rsidP="004563BF">
      <w:pPr>
        <w:rPr>
          <w:sz w:val="24"/>
          <w:szCs w:val="24"/>
        </w:rPr>
      </w:pPr>
      <w:r>
        <w:rPr>
          <w:b/>
          <w:bCs/>
          <w:sz w:val="24"/>
          <w:szCs w:val="24"/>
        </w:rPr>
        <w:tab/>
        <w:t xml:space="preserve">3.  </w:t>
      </w:r>
      <w:r>
        <w:rPr>
          <w:b/>
          <w:bCs/>
          <w:sz w:val="24"/>
          <w:szCs w:val="24"/>
          <w:u w:val="single"/>
        </w:rPr>
        <w:t>Improved Information Technology</w:t>
      </w:r>
      <w:r>
        <w:rPr>
          <w:b/>
          <w:bCs/>
          <w:sz w:val="24"/>
          <w:szCs w:val="24"/>
        </w:rPr>
        <w:t xml:space="preserve"> </w:t>
      </w:r>
    </w:p>
    <w:p w14:paraId="2BF39E39" w14:textId="77777777" w:rsidR="00E85517" w:rsidRDefault="00E85517" w:rsidP="004563BF">
      <w:pPr>
        <w:rPr>
          <w:sz w:val="24"/>
          <w:szCs w:val="24"/>
        </w:rPr>
      </w:pPr>
    </w:p>
    <w:p w14:paraId="3C09BDA9" w14:textId="0EEE2FF6" w:rsidR="00E85517" w:rsidRDefault="00E85517" w:rsidP="00B91F93">
      <w:pPr>
        <w:ind w:left="720"/>
        <w:rPr>
          <w:sz w:val="24"/>
          <w:szCs w:val="24"/>
        </w:rPr>
      </w:pPr>
      <w:r>
        <w:rPr>
          <w:sz w:val="24"/>
          <w:szCs w:val="24"/>
        </w:rPr>
        <w:t xml:space="preserve">No other methods are available, from a technology standpoint, to assess the </w:t>
      </w:r>
      <w:proofErr w:type="spellStart"/>
      <w:r>
        <w:rPr>
          <w:sz w:val="24"/>
          <w:szCs w:val="24"/>
        </w:rPr>
        <w:t>MFCUs</w:t>
      </w:r>
      <w:proofErr w:type="spellEnd"/>
      <w:r>
        <w:rPr>
          <w:sz w:val="24"/>
          <w:szCs w:val="24"/>
        </w:rPr>
        <w:t>’ efforts to combat and eliminate fraud and abuse in Medicaid</w:t>
      </w:r>
      <w:r w:rsidR="005A1193">
        <w:rPr>
          <w:sz w:val="24"/>
          <w:szCs w:val="24"/>
        </w:rPr>
        <w:t xml:space="preserve"> without these proposed collections</w:t>
      </w:r>
      <w:r>
        <w:rPr>
          <w:sz w:val="24"/>
          <w:szCs w:val="24"/>
        </w:rPr>
        <w:t xml:space="preserve">. </w:t>
      </w:r>
      <w:r w:rsidR="005A1193">
        <w:rPr>
          <w:sz w:val="24"/>
          <w:szCs w:val="24"/>
        </w:rPr>
        <w:t xml:space="preserve"> </w:t>
      </w:r>
      <w:r w:rsidR="00882DA4">
        <w:rPr>
          <w:sz w:val="24"/>
          <w:szCs w:val="24"/>
        </w:rPr>
        <w:t>Units have the ability to submit this information</w:t>
      </w:r>
      <w:r w:rsidR="001F69D5">
        <w:rPr>
          <w:sz w:val="24"/>
          <w:szCs w:val="24"/>
        </w:rPr>
        <w:t xml:space="preserve"> electronically</w:t>
      </w:r>
      <w:r w:rsidR="00882DA4">
        <w:rPr>
          <w:sz w:val="24"/>
          <w:szCs w:val="24"/>
        </w:rPr>
        <w:t>.</w:t>
      </w:r>
      <w:r w:rsidR="001F69D5">
        <w:rPr>
          <w:sz w:val="24"/>
          <w:szCs w:val="24"/>
        </w:rPr>
        <w:t xml:space="preserve"> In particular, improved technology</w:t>
      </w:r>
      <w:r w:rsidR="005A1193">
        <w:rPr>
          <w:sz w:val="24"/>
          <w:szCs w:val="24"/>
        </w:rPr>
        <w:t xml:space="preserve"> allow</w:t>
      </w:r>
      <w:r w:rsidR="001F69D5">
        <w:rPr>
          <w:sz w:val="24"/>
          <w:szCs w:val="24"/>
        </w:rPr>
        <w:t>s</w:t>
      </w:r>
      <w:r w:rsidR="005A1193">
        <w:rPr>
          <w:sz w:val="24"/>
          <w:szCs w:val="24"/>
        </w:rPr>
        <w:t xml:space="preserve"> the </w:t>
      </w:r>
      <w:proofErr w:type="spellStart"/>
      <w:r w:rsidR="005A1193">
        <w:rPr>
          <w:sz w:val="24"/>
          <w:szCs w:val="24"/>
        </w:rPr>
        <w:t>MFCUs</w:t>
      </w:r>
      <w:proofErr w:type="spellEnd"/>
      <w:r w:rsidR="005A1193">
        <w:rPr>
          <w:sz w:val="24"/>
          <w:szCs w:val="24"/>
        </w:rPr>
        <w:t xml:space="preserve"> to submit their annual statistical information via a secure web portal through the Federal service provider, OMB MAX.  This enhances </w:t>
      </w:r>
      <w:proofErr w:type="spellStart"/>
      <w:r w:rsidR="005A1193">
        <w:rPr>
          <w:sz w:val="24"/>
          <w:szCs w:val="24"/>
        </w:rPr>
        <w:t>OIG’s</w:t>
      </w:r>
      <w:proofErr w:type="spellEnd"/>
      <w:r w:rsidR="005A1193">
        <w:rPr>
          <w:sz w:val="24"/>
          <w:szCs w:val="24"/>
        </w:rPr>
        <w:t xml:space="preserve"> ability to analyze </w:t>
      </w:r>
      <w:proofErr w:type="spellStart"/>
      <w:r w:rsidR="001F69D5">
        <w:rPr>
          <w:sz w:val="24"/>
          <w:szCs w:val="24"/>
        </w:rPr>
        <w:t>MFCU</w:t>
      </w:r>
      <w:proofErr w:type="spellEnd"/>
      <w:r w:rsidR="001F69D5">
        <w:rPr>
          <w:sz w:val="24"/>
          <w:szCs w:val="24"/>
        </w:rPr>
        <w:t xml:space="preserve"> </w:t>
      </w:r>
      <w:r w:rsidR="005A1193">
        <w:rPr>
          <w:sz w:val="24"/>
          <w:szCs w:val="24"/>
        </w:rPr>
        <w:t xml:space="preserve">data from individual </w:t>
      </w:r>
      <w:proofErr w:type="spellStart"/>
      <w:r w:rsidR="005A1193">
        <w:rPr>
          <w:sz w:val="24"/>
          <w:szCs w:val="24"/>
        </w:rPr>
        <w:t>MFCUs</w:t>
      </w:r>
      <w:proofErr w:type="spellEnd"/>
      <w:r w:rsidR="005A1193">
        <w:rPr>
          <w:sz w:val="24"/>
          <w:szCs w:val="24"/>
        </w:rPr>
        <w:t xml:space="preserve"> and the </w:t>
      </w:r>
      <w:proofErr w:type="spellStart"/>
      <w:r w:rsidR="005A1193">
        <w:rPr>
          <w:sz w:val="24"/>
          <w:szCs w:val="24"/>
        </w:rPr>
        <w:t>MFCUs</w:t>
      </w:r>
      <w:proofErr w:type="spellEnd"/>
      <w:r w:rsidR="005A1193">
        <w:rPr>
          <w:sz w:val="24"/>
          <w:szCs w:val="24"/>
        </w:rPr>
        <w:t xml:space="preserve"> as a whole.</w:t>
      </w:r>
    </w:p>
    <w:p w14:paraId="5CBDC4C6" w14:textId="77777777" w:rsidR="00E85517" w:rsidRDefault="00E85517" w:rsidP="004563BF">
      <w:pPr>
        <w:rPr>
          <w:sz w:val="24"/>
          <w:szCs w:val="24"/>
        </w:rPr>
      </w:pPr>
    </w:p>
    <w:p w14:paraId="7732CB99" w14:textId="77777777" w:rsidR="00E85517" w:rsidRDefault="00E85517" w:rsidP="004563BF">
      <w:pPr>
        <w:rPr>
          <w:sz w:val="24"/>
          <w:szCs w:val="24"/>
        </w:rPr>
      </w:pPr>
      <w:r>
        <w:rPr>
          <w:b/>
          <w:bCs/>
          <w:sz w:val="24"/>
          <w:szCs w:val="24"/>
        </w:rPr>
        <w:tab/>
        <w:t xml:space="preserve">4.   </w:t>
      </w:r>
      <w:r>
        <w:rPr>
          <w:b/>
          <w:bCs/>
          <w:sz w:val="24"/>
          <w:szCs w:val="24"/>
          <w:u w:val="single"/>
        </w:rPr>
        <w:t>Duplication of Similar Information</w:t>
      </w:r>
    </w:p>
    <w:p w14:paraId="72B9AD75" w14:textId="77777777" w:rsidR="00E85517" w:rsidRDefault="00E85517" w:rsidP="004563BF">
      <w:pPr>
        <w:rPr>
          <w:sz w:val="24"/>
          <w:szCs w:val="24"/>
        </w:rPr>
      </w:pPr>
    </w:p>
    <w:p w14:paraId="58404B87" w14:textId="77777777" w:rsidR="00E85517" w:rsidRDefault="00E85517" w:rsidP="004563BF">
      <w:pPr>
        <w:rPr>
          <w:sz w:val="24"/>
          <w:szCs w:val="24"/>
        </w:rPr>
      </w:pPr>
      <w:r>
        <w:rPr>
          <w:sz w:val="24"/>
          <w:szCs w:val="24"/>
        </w:rPr>
        <w:tab/>
        <w:t>This collection does not duplicate other data collection efforts.</w:t>
      </w:r>
    </w:p>
    <w:p w14:paraId="359E54C8" w14:textId="77777777" w:rsidR="00E85517" w:rsidRDefault="00E85517" w:rsidP="004563BF">
      <w:pPr>
        <w:rPr>
          <w:sz w:val="24"/>
          <w:szCs w:val="24"/>
        </w:rPr>
      </w:pPr>
    </w:p>
    <w:p w14:paraId="16275539" w14:textId="77777777" w:rsidR="00E85517" w:rsidRDefault="00E85517" w:rsidP="004563BF">
      <w:pPr>
        <w:rPr>
          <w:sz w:val="24"/>
          <w:szCs w:val="24"/>
        </w:rPr>
      </w:pPr>
      <w:r>
        <w:rPr>
          <w:b/>
          <w:bCs/>
          <w:sz w:val="24"/>
          <w:szCs w:val="24"/>
        </w:rPr>
        <w:tab/>
        <w:t xml:space="preserve">5.   </w:t>
      </w:r>
      <w:r>
        <w:rPr>
          <w:b/>
          <w:bCs/>
          <w:sz w:val="24"/>
          <w:szCs w:val="24"/>
          <w:u w:val="single"/>
        </w:rPr>
        <w:t>Small Business</w:t>
      </w:r>
    </w:p>
    <w:p w14:paraId="7DFD3A01" w14:textId="77777777" w:rsidR="00E85517" w:rsidRDefault="00E85517" w:rsidP="004563BF">
      <w:pPr>
        <w:rPr>
          <w:sz w:val="24"/>
          <w:szCs w:val="24"/>
        </w:rPr>
      </w:pPr>
    </w:p>
    <w:p w14:paraId="76A73172" w14:textId="77777777" w:rsidR="00E85517" w:rsidRDefault="00E85517" w:rsidP="004563BF">
      <w:pPr>
        <w:ind w:left="720"/>
        <w:rPr>
          <w:sz w:val="24"/>
          <w:szCs w:val="24"/>
        </w:rPr>
      </w:pPr>
      <w:r>
        <w:rPr>
          <w:sz w:val="24"/>
          <w:szCs w:val="24"/>
        </w:rPr>
        <w:t xml:space="preserve">The yearly </w:t>
      </w:r>
      <w:proofErr w:type="gramStart"/>
      <w:r>
        <w:rPr>
          <w:sz w:val="24"/>
          <w:szCs w:val="24"/>
        </w:rPr>
        <w:t xml:space="preserve">collection of </w:t>
      </w:r>
      <w:r w:rsidR="00767D44">
        <w:rPr>
          <w:sz w:val="24"/>
          <w:szCs w:val="24"/>
        </w:rPr>
        <w:t xml:space="preserve">the statistical reports </w:t>
      </w:r>
      <w:r>
        <w:rPr>
          <w:sz w:val="24"/>
          <w:szCs w:val="24"/>
        </w:rPr>
        <w:t xml:space="preserve">and recertification application requests from the State </w:t>
      </w:r>
      <w:proofErr w:type="spellStart"/>
      <w:r>
        <w:rPr>
          <w:sz w:val="24"/>
          <w:szCs w:val="24"/>
        </w:rPr>
        <w:t>MFCUs</w:t>
      </w:r>
      <w:proofErr w:type="spellEnd"/>
      <w:r>
        <w:rPr>
          <w:sz w:val="24"/>
          <w:szCs w:val="24"/>
        </w:rPr>
        <w:t xml:space="preserve"> have</w:t>
      </w:r>
      <w:proofErr w:type="gramEnd"/>
      <w:r>
        <w:rPr>
          <w:sz w:val="24"/>
          <w:szCs w:val="24"/>
        </w:rPr>
        <w:t xml:space="preserve"> no relationship to small business.</w:t>
      </w:r>
    </w:p>
    <w:p w14:paraId="0720D0A3" w14:textId="77777777" w:rsidR="00E85517" w:rsidRDefault="00E85517" w:rsidP="004563BF">
      <w:pPr>
        <w:rPr>
          <w:sz w:val="24"/>
          <w:szCs w:val="24"/>
        </w:rPr>
      </w:pPr>
      <w:r>
        <w:rPr>
          <w:sz w:val="24"/>
          <w:szCs w:val="24"/>
        </w:rPr>
        <w:t xml:space="preserve"> </w:t>
      </w:r>
    </w:p>
    <w:p w14:paraId="10F0B830" w14:textId="77777777" w:rsidR="00E85517" w:rsidRDefault="00E85517" w:rsidP="004563BF">
      <w:pPr>
        <w:rPr>
          <w:sz w:val="24"/>
          <w:szCs w:val="24"/>
        </w:rPr>
      </w:pPr>
      <w:r>
        <w:rPr>
          <w:b/>
          <w:bCs/>
          <w:sz w:val="24"/>
          <w:szCs w:val="24"/>
        </w:rPr>
        <w:tab/>
        <w:t xml:space="preserve">6.   </w:t>
      </w:r>
      <w:r>
        <w:rPr>
          <w:b/>
          <w:bCs/>
          <w:sz w:val="24"/>
          <w:szCs w:val="24"/>
          <w:u w:val="single"/>
        </w:rPr>
        <w:t>Less Frequent Collection</w:t>
      </w:r>
    </w:p>
    <w:p w14:paraId="7DD6BB09" w14:textId="77777777" w:rsidR="00E85517" w:rsidRDefault="00E85517" w:rsidP="004563BF">
      <w:pPr>
        <w:rPr>
          <w:sz w:val="24"/>
          <w:szCs w:val="24"/>
        </w:rPr>
      </w:pPr>
    </w:p>
    <w:p w14:paraId="31D251EA" w14:textId="00568B4B" w:rsidR="00E85517" w:rsidRDefault="00E85517" w:rsidP="004563BF">
      <w:pPr>
        <w:ind w:left="720"/>
        <w:rPr>
          <w:sz w:val="24"/>
          <w:szCs w:val="24"/>
        </w:rPr>
      </w:pPr>
      <w:r>
        <w:rPr>
          <w:sz w:val="24"/>
          <w:szCs w:val="24"/>
        </w:rPr>
        <w:t xml:space="preserve">Section 1903(q) of the Act, and </w:t>
      </w:r>
      <w:r w:rsidR="009B1985">
        <w:rPr>
          <w:sz w:val="24"/>
          <w:szCs w:val="24"/>
        </w:rPr>
        <w:t>proposed</w:t>
      </w:r>
      <w:r>
        <w:rPr>
          <w:sz w:val="24"/>
          <w:szCs w:val="24"/>
        </w:rPr>
        <w:t xml:space="preserve"> regulations at 42 </w:t>
      </w:r>
      <w:proofErr w:type="spellStart"/>
      <w:r>
        <w:rPr>
          <w:sz w:val="24"/>
          <w:szCs w:val="24"/>
        </w:rPr>
        <w:t>CFR</w:t>
      </w:r>
      <w:proofErr w:type="spellEnd"/>
      <w:r>
        <w:rPr>
          <w:sz w:val="24"/>
          <w:szCs w:val="24"/>
        </w:rPr>
        <w:t xml:space="preserve"> § 1007.17, require that each </w:t>
      </w:r>
      <w:proofErr w:type="spellStart"/>
      <w:r>
        <w:rPr>
          <w:sz w:val="24"/>
          <w:szCs w:val="24"/>
        </w:rPr>
        <w:t>MFCU</w:t>
      </w:r>
      <w:proofErr w:type="spellEnd"/>
      <w:r>
        <w:rPr>
          <w:sz w:val="24"/>
          <w:szCs w:val="24"/>
        </w:rPr>
        <w:t xml:space="preserve"> submit an annual </w:t>
      </w:r>
      <w:r w:rsidR="009B1985">
        <w:rPr>
          <w:sz w:val="24"/>
          <w:szCs w:val="24"/>
        </w:rPr>
        <w:t>re</w:t>
      </w:r>
      <w:r>
        <w:rPr>
          <w:sz w:val="24"/>
          <w:szCs w:val="24"/>
        </w:rPr>
        <w:t xml:space="preserve">application for recertification and an annual </w:t>
      </w:r>
      <w:r w:rsidR="007411A6">
        <w:rPr>
          <w:sz w:val="24"/>
          <w:szCs w:val="24"/>
        </w:rPr>
        <w:t xml:space="preserve">statistical </w:t>
      </w:r>
      <w:r>
        <w:rPr>
          <w:sz w:val="24"/>
          <w:szCs w:val="24"/>
        </w:rPr>
        <w:t xml:space="preserve">report with information necessary to determine whether the Unit meets Federal requirements for </w:t>
      </w:r>
      <w:proofErr w:type="spellStart"/>
      <w:r>
        <w:rPr>
          <w:sz w:val="24"/>
          <w:szCs w:val="24"/>
        </w:rPr>
        <w:t>FFP</w:t>
      </w:r>
      <w:proofErr w:type="spellEnd"/>
      <w:r>
        <w:rPr>
          <w:sz w:val="24"/>
          <w:szCs w:val="24"/>
        </w:rPr>
        <w:t xml:space="preserve">.  Without this particular information collection, a decision to recertify the </w:t>
      </w:r>
      <w:proofErr w:type="spellStart"/>
      <w:r>
        <w:rPr>
          <w:sz w:val="24"/>
          <w:szCs w:val="24"/>
        </w:rPr>
        <w:t>MFCU</w:t>
      </w:r>
      <w:proofErr w:type="spellEnd"/>
      <w:r>
        <w:rPr>
          <w:sz w:val="24"/>
          <w:szCs w:val="24"/>
        </w:rPr>
        <w:t xml:space="preserve"> as eligible to continue to receive Federal matching funds cannot be </w:t>
      </w:r>
      <w:r>
        <w:rPr>
          <w:sz w:val="24"/>
          <w:szCs w:val="24"/>
        </w:rPr>
        <w:lastRenderedPageBreak/>
        <w:t xml:space="preserve">finalized.  </w:t>
      </w:r>
    </w:p>
    <w:p w14:paraId="6C9D4B68" w14:textId="77777777" w:rsidR="00E85517" w:rsidRDefault="00E85517" w:rsidP="004563BF">
      <w:pPr>
        <w:rPr>
          <w:sz w:val="24"/>
          <w:szCs w:val="24"/>
        </w:rPr>
      </w:pPr>
    </w:p>
    <w:p w14:paraId="6962C6F8" w14:textId="77777777" w:rsidR="00E85517" w:rsidRDefault="00E85517" w:rsidP="004563BF">
      <w:pPr>
        <w:rPr>
          <w:sz w:val="24"/>
          <w:szCs w:val="24"/>
        </w:rPr>
      </w:pPr>
      <w:r>
        <w:rPr>
          <w:b/>
          <w:bCs/>
          <w:sz w:val="24"/>
          <w:szCs w:val="24"/>
        </w:rPr>
        <w:tab/>
        <w:t xml:space="preserve">7.   </w:t>
      </w:r>
      <w:r>
        <w:rPr>
          <w:b/>
          <w:bCs/>
          <w:sz w:val="24"/>
          <w:szCs w:val="24"/>
          <w:u w:val="single"/>
        </w:rPr>
        <w:t>Special Circumstances</w:t>
      </w:r>
    </w:p>
    <w:p w14:paraId="0D781168" w14:textId="77777777" w:rsidR="00E85517" w:rsidRDefault="00E85517" w:rsidP="004563BF">
      <w:pPr>
        <w:rPr>
          <w:sz w:val="24"/>
          <w:szCs w:val="24"/>
        </w:rPr>
      </w:pPr>
    </w:p>
    <w:p w14:paraId="5240792E" w14:textId="77777777" w:rsidR="00E85517" w:rsidRDefault="00E85517" w:rsidP="004563BF">
      <w:pPr>
        <w:ind w:left="720"/>
        <w:rPr>
          <w:sz w:val="24"/>
          <w:szCs w:val="24"/>
        </w:rPr>
      </w:pPr>
      <w:r>
        <w:rPr>
          <w:sz w:val="24"/>
          <w:szCs w:val="24"/>
        </w:rPr>
        <w:t xml:space="preserve">No special circumstances are involved in this collection of information.  The </w:t>
      </w:r>
      <w:proofErr w:type="spellStart"/>
      <w:r>
        <w:rPr>
          <w:sz w:val="24"/>
          <w:szCs w:val="24"/>
        </w:rPr>
        <w:t>OIG</w:t>
      </w:r>
      <w:proofErr w:type="spellEnd"/>
      <w:r>
        <w:rPr>
          <w:sz w:val="24"/>
          <w:szCs w:val="24"/>
        </w:rPr>
        <w:t xml:space="preserve"> requirement that the </w:t>
      </w:r>
      <w:proofErr w:type="spellStart"/>
      <w:r>
        <w:rPr>
          <w:sz w:val="24"/>
          <w:szCs w:val="24"/>
        </w:rPr>
        <w:t>MFCUs</w:t>
      </w:r>
      <w:proofErr w:type="spellEnd"/>
      <w:r>
        <w:rPr>
          <w:sz w:val="24"/>
          <w:szCs w:val="24"/>
        </w:rPr>
        <w:t xml:space="preserve"> collect this information is in full compliance with law and regulations.   </w:t>
      </w:r>
    </w:p>
    <w:p w14:paraId="0E75AE9C" w14:textId="77777777" w:rsidR="00E85517" w:rsidRDefault="00E85517" w:rsidP="004563BF">
      <w:pPr>
        <w:rPr>
          <w:b/>
          <w:bCs/>
          <w:sz w:val="24"/>
          <w:szCs w:val="24"/>
        </w:rPr>
      </w:pPr>
      <w:r>
        <w:rPr>
          <w:sz w:val="24"/>
          <w:szCs w:val="24"/>
        </w:rPr>
        <w:tab/>
      </w:r>
    </w:p>
    <w:p w14:paraId="53B8426E" w14:textId="77777777" w:rsidR="00E85517" w:rsidRDefault="00E85517" w:rsidP="004563BF">
      <w:pPr>
        <w:rPr>
          <w:sz w:val="24"/>
          <w:szCs w:val="24"/>
        </w:rPr>
      </w:pPr>
      <w:r>
        <w:rPr>
          <w:b/>
          <w:bCs/>
          <w:sz w:val="24"/>
          <w:szCs w:val="24"/>
        </w:rPr>
        <w:tab/>
        <w:t xml:space="preserve">8.   </w:t>
      </w:r>
      <w:r>
        <w:rPr>
          <w:b/>
          <w:bCs/>
          <w:sz w:val="24"/>
          <w:szCs w:val="24"/>
          <w:u w:val="single"/>
        </w:rPr>
        <w:t>Federal Register Notice/Outside Consultation</w:t>
      </w:r>
    </w:p>
    <w:p w14:paraId="5ED952CC" w14:textId="77777777" w:rsidR="00E85517" w:rsidRDefault="00E85517" w:rsidP="004563BF">
      <w:pPr>
        <w:rPr>
          <w:sz w:val="24"/>
          <w:szCs w:val="24"/>
        </w:rPr>
      </w:pPr>
    </w:p>
    <w:p w14:paraId="524A37F8" w14:textId="3C8AB834" w:rsidR="00E85517" w:rsidRPr="00613465" w:rsidRDefault="00D71245" w:rsidP="008449D7">
      <w:pPr>
        <w:ind w:left="720"/>
        <w:rPr>
          <w:sz w:val="24"/>
          <w:szCs w:val="24"/>
        </w:rPr>
      </w:pPr>
      <w:r>
        <w:rPr>
          <w:sz w:val="24"/>
          <w:szCs w:val="24"/>
        </w:rPr>
        <w:t xml:space="preserve">A 60-day notice of the </w:t>
      </w:r>
      <w:proofErr w:type="spellStart"/>
      <w:r w:rsidR="00D43BBB">
        <w:rPr>
          <w:sz w:val="24"/>
          <w:szCs w:val="24"/>
        </w:rPr>
        <w:t>NPRM</w:t>
      </w:r>
      <w:proofErr w:type="spellEnd"/>
      <w:r w:rsidR="00D43BBB">
        <w:rPr>
          <w:sz w:val="24"/>
          <w:szCs w:val="24"/>
        </w:rPr>
        <w:t xml:space="preserve"> </w:t>
      </w:r>
      <w:proofErr w:type="spellStart"/>
      <w:r>
        <w:rPr>
          <w:sz w:val="24"/>
          <w:szCs w:val="24"/>
        </w:rPr>
        <w:t>MFCU</w:t>
      </w:r>
      <w:proofErr w:type="spellEnd"/>
      <w:r>
        <w:rPr>
          <w:sz w:val="24"/>
          <w:szCs w:val="24"/>
        </w:rPr>
        <w:t xml:space="preserve"> annual reporting </w:t>
      </w:r>
      <w:r w:rsidR="009B3E6F">
        <w:rPr>
          <w:sz w:val="24"/>
          <w:szCs w:val="24"/>
        </w:rPr>
        <w:t xml:space="preserve">and reapplication </w:t>
      </w:r>
      <w:r>
        <w:rPr>
          <w:sz w:val="24"/>
          <w:szCs w:val="24"/>
        </w:rPr>
        <w:t xml:space="preserve">requirement was published in the </w:t>
      </w:r>
      <w:r w:rsidRPr="00D22E1E">
        <w:rPr>
          <w:i/>
          <w:sz w:val="24"/>
          <w:szCs w:val="24"/>
        </w:rPr>
        <w:t>Federal Register</w:t>
      </w:r>
      <w:r>
        <w:rPr>
          <w:sz w:val="24"/>
          <w:szCs w:val="24"/>
        </w:rPr>
        <w:t xml:space="preserve">, Vol. </w:t>
      </w:r>
      <w:r w:rsidR="00D43BBB">
        <w:rPr>
          <w:sz w:val="24"/>
          <w:szCs w:val="24"/>
        </w:rPr>
        <w:t>81</w:t>
      </w:r>
      <w:r>
        <w:rPr>
          <w:sz w:val="24"/>
          <w:szCs w:val="24"/>
        </w:rPr>
        <w:t>, No.</w:t>
      </w:r>
      <w:r w:rsidR="00D43BBB">
        <w:rPr>
          <w:sz w:val="24"/>
          <w:szCs w:val="24"/>
        </w:rPr>
        <w:t>182</w:t>
      </w:r>
      <w:r>
        <w:rPr>
          <w:sz w:val="24"/>
          <w:szCs w:val="24"/>
        </w:rPr>
        <w:t xml:space="preserve">, page </w:t>
      </w:r>
      <w:r w:rsidR="00D43BBB">
        <w:rPr>
          <w:sz w:val="24"/>
          <w:szCs w:val="24"/>
        </w:rPr>
        <w:t>64383</w:t>
      </w:r>
      <w:r w:rsidR="009B3E6F">
        <w:rPr>
          <w:sz w:val="24"/>
          <w:szCs w:val="24"/>
        </w:rPr>
        <w:t xml:space="preserve"> </w:t>
      </w:r>
      <w:r>
        <w:rPr>
          <w:sz w:val="24"/>
          <w:szCs w:val="24"/>
        </w:rPr>
        <w:t>on</w:t>
      </w:r>
      <w:r w:rsidR="00D43BBB">
        <w:rPr>
          <w:sz w:val="24"/>
          <w:szCs w:val="24"/>
        </w:rPr>
        <w:t xml:space="preserve"> September 20, 2106</w:t>
      </w:r>
      <w:r>
        <w:rPr>
          <w:sz w:val="24"/>
          <w:szCs w:val="24"/>
        </w:rPr>
        <w:t xml:space="preserve">.  </w:t>
      </w:r>
      <w:r w:rsidR="00E85517" w:rsidRPr="008A0906">
        <w:rPr>
          <w:sz w:val="24"/>
          <w:szCs w:val="24"/>
        </w:rPr>
        <w:t xml:space="preserve">  </w:t>
      </w:r>
      <w:r w:rsidR="00E85517">
        <w:rPr>
          <w:sz w:val="24"/>
          <w:szCs w:val="24"/>
        </w:rPr>
        <w:t xml:space="preserve">The </w:t>
      </w:r>
      <w:proofErr w:type="spellStart"/>
      <w:r w:rsidR="00E85517">
        <w:rPr>
          <w:sz w:val="24"/>
          <w:szCs w:val="24"/>
        </w:rPr>
        <w:t>MFCU</w:t>
      </w:r>
      <w:proofErr w:type="spellEnd"/>
      <w:r w:rsidR="00E85517">
        <w:rPr>
          <w:sz w:val="24"/>
          <w:szCs w:val="24"/>
        </w:rPr>
        <w:t xml:space="preserve"> annual report</w:t>
      </w:r>
      <w:r w:rsidR="009B3E6F">
        <w:rPr>
          <w:sz w:val="24"/>
          <w:szCs w:val="24"/>
        </w:rPr>
        <w:t xml:space="preserve"> and reapplication</w:t>
      </w:r>
      <w:r w:rsidR="00E85517">
        <w:rPr>
          <w:sz w:val="24"/>
          <w:szCs w:val="24"/>
        </w:rPr>
        <w:t xml:space="preserve"> is approved through </w:t>
      </w:r>
      <w:r w:rsidR="00D43BBB">
        <w:rPr>
          <w:sz w:val="24"/>
          <w:szCs w:val="24"/>
        </w:rPr>
        <w:t xml:space="preserve">March </w:t>
      </w:r>
      <w:r w:rsidR="00E85517">
        <w:rPr>
          <w:sz w:val="24"/>
          <w:szCs w:val="24"/>
        </w:rPr>
        <w:t xml:space="preserve">31, </w:t>
      </w:r>
      <w:r w:rsidR="009B3E6F">
        <w:rPr>
          <w:sz w:val="24"/>
          <w:szCs w:val="24"/>
        </w:rPr>
        <w:t>2017</w:t>
      </w:r>
      <w:r w:rsidR="00E85517">
        <w:rPr>
          <w:sz w:val="24"/>
          <w:szCs w:val="24"/>
        </w:rPr>
        <w:t xml:space="preserve">, under OMB No. 0990-0162. </w:t>
      </w:r>
      <w:r w:rsidR="00E85517" w:rsidRPr="008A0906">
        <w:rPr>
          <w:sz w:val="24"/>
          <w:szCs w:val="24"/>
        </w:rPr>
        <w:t xml:space="preserve"> </w:t>
      </w:r>
      <w:r w:rsidR="00E85517" w:rsidRPr="00613465">
        <w:rPr>
          <w:sz w:val="24"/>
          <w:szCs w:val="24"/>
        </w:rPr>
        <w:t xml:space="preserve">   </w:t>
      </w:r>
    </w:p>
    <w:p w14:paraId="04521976" w14:textId="77777777" w:rsidR="00E85517" w:rsidRDefault="00E85517" w:rsidP="002C0634">
      <w:pPr>
        <w:ind w:left="720"/>
        <w:rPr>
          <w:sz w:val="24"/>
          <w:szCs w:val="24"/>
        </w:rPr>
      </w:pPr>
    </w:p>
    <w:p w14:paraId="5CA77AB7" w14:textId="77777777" w:rsidR="00E85517" w:rsidRDefault="00E85517" w:rsidP="00C35493">
      <w:pPr>
        <w:ind w:firstLine="720"/>
        <w:rPr>
          <w:sz w:val="24"/>
          <w:szCs w:val="24"/>
        </w:rPr>
      </w:pPr>
    </w:p>
    <w:p w14:paraId="201B96D3" w14:textId="77777777" w:rsidR="00E85517" w:rsidRDefault="00E85517" w:rsidP="004563BF">
      <w:pPr>
        <w:rPr>
          <w:sz w:val="24"/>
          <w:szCs w:val="24"/>
        </w:rPr>
      </w:pPr>
      <w:r>
        <w:rPr>
          <w:b/>
          <w:bCs/>
          <w:sz w:val="24"/>
          <w:szCs w:val="24"/>
        </w:rPr>
        <w:tab/>
        <w:t xml:space="preserve">9.  </w:t>
      </w:r>
      <w:r>
        <w:rPr>
          <w:b/>
          <w:bCs/>
          <w:sz w:val="24"/>
          <w:szCs w:val="24"/>
          <w:u w:val="single"/>
        </w:rPr>
        <w:t>Payment/Gift to Respondent</w:t>
      </w:r>
    </w:p>
    <w:p w14:paraId="5D75D60C" w14:textId="77777777" w:rsidR="00E85517" w:rsidRDefault="00E85517" w:rsidP="004563BF">
      <w:pPr>
        <w:rPr>
          <w:sz w:val="24"/>
          <w:szCs w:val="24"/>
        </w:rPr>
      </w:pPr>
    </w:p>
    <w:p w14:paraId="0CA16972" w14:textId="77777777" w:rsidR="00E85517" w:rsidRDefault="00E85517" w:rsidP="004563BF">
      <w:pPr>
        <w:rPr>
          <w:sz w:val="24"/>
          <w:szCs w:val="24"/>
        </w:rPr>
      </w:pPr>
      <w:r>
        <w:rPr>
          <w:sz w:val="24"/>
          <w:szCs w:val="24"/>
        </w:rPr>
        <w:tab/>
        <w:t>No such payments or gifts are foreseen to the respondents, and none have been given.</w:t>
      </w:r>
    </w:p>
    <w:p w14:paraId="27570126" w14:textId="77777777" w:rsidR="00E85517" w:rsidRDefault="00E85517" w:rsidP="004563BF">
      <w:pPr>
        <w:rPr>
          <w:sz w:val="24"/>
          <w:szCs w:val="24"/>
        </w:rPr>
      </w:pPr>
    </w:p>
    <w:p w14:paraId="4FD3D443" w14:textId="77777777" w:rsidR="00E85517" w:rsidRDefault="00E85517" w:rsidP="004563BF">
      <w:pPr>
        <w:rPr>
          <w:sz w:val="24"/>
          <w:szCs w:val="24"/>
        </w:rPr>
      </w:pPr>
      <w:r>
        <w:rPr>
          <w:b/>
          <w:bCs/>
          <w:sz w:val="24"/>
          <w:szCs w:val="24"/>
        </w:rPr>
        <w:tab/>
        <w:t xml:space="preserve">10.  </w:t>
      </w:r>
      <w:r>
        <w:rPr>
          <w:b/>
          <w:bCs/>
          <w:sz w:val="24"/>
          <w:szCs w:val="24"/>
          <w:u w:val="single"/>
        </w:rPr>
        <w:t>Confidentiality</w:t>
      </w:r>
    </w:p>
    <w:p w14:paraId="0C82F6CB" w14:textId="77777777" w:rsidR="00E85517" w:rsidRDefault="00E85517" w:rsidP="004563BF">
      <w:pPr>
        <w:rPr>
          <w:sz w:val="24"/>
          <w:szCs w:val="24"/>
        </w:rPr>
      </w:pPr>
    </w:p>
    <w:p w14:paraId="1742852B" w14:textId="77777777" w:rsidR="00E85517" w:rsidRDefault="00E85517" w:rsidP="000B4959">
      <w:pPr>
        <w:ind w:left="720"/>
        <w:rPr>
          <w:sz w:val="24"/>
          <w:szCs w:val="24"/>
        </w:rPr>
      </w:pPr>
      <w:r>
        <w:rPr>
          <w:sz w:val="24"/>
          <w:szCs w:val="24"/>
        </w:rPr>
        <w:t xml:space="preserve">The </w:t>
      </w:r>
      <w:proofErr w:type="gramStart"/>
      <w:r>
        <w:rPr>
          <w:sz w:val="24"/>
          <w:szCs w:val="24"/>
        </w:rPr>
        <w:t>contents of the collection contains</w:t>
      </w:r>
      <w:proofErr w:type="gramEnd"/>
      <w:r>
        <w:rPr>
          <w:sz w:val="24"/>
          <w:szCs w:val="24"/>
        </w:rPr>
        <w:t xml:space="preserve"> no personal identifying information regarding individuals, such as a Social Security number, home address, or other identifiable information.  </w:t>
      </w:r>
      <w:r w:rsidR="000B4959">
        <w:rPr>
          <w:sz w:val="24"/>
          <w:szCs w:val="24"/>
        </w:rPr>
        <w:t>Proposed r</w:t>
      </w:r>
      <w:r>
        <w:rPr>
          <w:sz w:val="24"/>
          <w:szCs w:val="24"/>
        </w:rPr>
        <w:t xml:space="preserve">egulations at 42 </w:t>
      </w:r>
      <w:proofErr w:type="spellStart"/>
      <w:r>
        <w:rPr>
          <w:sz w:val="24"/>
          <w:szCs w:val="24"/>
        </w:rPr>
        <w:t>CFR</w:t>
      </w:r>
      <w:proofErr w:type="spellEnd"/>
      <w:r>
        <w:rPr>
          <w:sz w:val="24"/>
          <w:szCs w:val="24"/>
        </w:rPr>
        <w:t xml:space="preserve"> § 1007.11(f) require that the </w:t>
      </w:r>
      <w:proofErr w:type="spellStart"/>
      <w:r>
        <w:rPr>
          <w:sz w:val="24"/>
          <w:szCs w:val="24"/>
        </w:rPr>
        <w:t>MFCUs</w:t>
      </w:r>
      <w:proofErr w:type="spellEnd"/>
      <w:r>
        <w:rPr>
          <w:sz w:val="24"/>
          <w:szCs w:val="24"/>
        </w:rPr>
        <w:t xml:space="preserve"> safeguard</w:t>
      </w:r>
      <w:r w:rsidR="000B4959">
        <w:rPr>
          <w:sz w:val="24"/>
          <w:szCs w:val="24"/>
        </w:rPr>
        <w:t xml:space="preserve"> </w:t>
      </w:r>
      <w:r>
        <w:rPr>
          <w:sz w:val="24"/>
          <w:szCs w:val="24"/>
        </w:rPr>
        <w:t>the privacy of all</w:t>
      </w:r>
      <w:r w:rsidR="000B4959">
        <w:rPr>
          <w:sz w:val="24"/>
          <w:szCs w:val="24"/>
        </w:rPr>
        <w:t xml:space="preserve"> beneficiaries and other</w:t>
      </w:r>
      <w:r>
        <w:rPr>
          <w:sz w:val="24"/>
          <w:szCs w:val="24"/>
        </w:rPr>
        <w:t xml:space="preserve"> individuals </w:t>
      </w:r>
      <w:r w:rsidR="000B4959">
        <w:rPr>
          <w:sz w:val="24"/>
          <w:szCs w:val="24"/>
        </w:rPr>
        <w:t xml:space="preserve">whose data is under the </w:t>
      </w:r>
      <w:proofErr w:type="spellStart"/>
      <w:r w:rsidR="000B4959">
        <w:rPr>
          <w:sz w:val="24"/>
          <w:szCs w:val="24"/>
        </w:rPr>
        <w:t>MFCU’s</w:t>
      </w:r>
      <w:proofErr w:type="spellEnd"/>
      <w:r w:rsidR="000B4959">
        <w:rPr>
          <w:sz w:val="24"/>
          <w:szCs w:val="24"/>
        </w:rPr>
        <w:t xml:space="preserve"> control and will </w:t>
      </w:r>
      <w:r>
        <w:rPr>
          <w:sz w:val="24"/>
          <w:szCs w:val="24"/>
        </w:rPr>
        <w:t xml:space="preserve">provide </w:t>
      </w:r>
      <w:r w:rsidR="000B4959">
        <w:rPr>
          <w:sz w:val="24"/>
          <w:szCs w:val="24"/>
        </w:rPr>
        <w:t xml:space="preserve">adequate </w:t>
      </w:r>
      <w:r>
        <w:rPr>
          <w:sz w:val="24"/>
          <w:szCs w:val="24"/>
        </w:rPr>
        <w:t xml:space="preserve">safeguards to </w:t>
      </w:r>
      <w:r w:rsidR="000B4959">
        <w:rPr>
          <w:sz w:val="24"/>
          <w:szCs w:val="24"/>
        </w:rPr>
        <w:t xml:space="preserve">protect sensitive information and data under its </w:t>
      </w:r>
      <w:r>
        <w:rPr>
          <w:sz w:val="24"/>
          <w:szCs w:val="24"/>
        </w:rPr>
        <w:t>control.  In accordance with the principles of the Freedom of Information Act (</w:t>
      </w:r>
      <w:proofErr w:type="spellStart"/>
      <w:r>
        <w:rPr>
          <w:sz w:val="24"/>
          <w:szCs w:val="24"/>
        </w:rPr>
        <w:t>FOIA</w:t>
      </w:r>
      <w:proofErr w:type="spellEnd"/>
      <w:r>
        <w:rPr>
          <w:sz w:val="24"/>
          <w:szCs w:val="24"/>
        </w:rPr>
        <w:t xml:space="preserve">), 5 </w:t>
      </w:r>
      <w:proofErr w:type="spellStart"/>
      <w:r>
        <w:rPr>
          <w:sz w:val="24"/>
          <w:szCs w:val="24"/>
        </w:rPr>
        <w:t>U.S.C</w:t>
      </w:r>
      <w:proofErr w:type="spellEnd"/>
      <w:r>
        <w:rPr>
          <w:sz w:val="24"/>
          <w:szCs w:val="24"/>
        </w:rPr>
        <w:t xml:space="preserve">. 552, </w:t>
      </w:r>
      <w:proofErr w:type="spellStart"/>
      <w:r>
        <w:rPr>
          <w:sz w:val="24"/>
          <w:szCs w:val="24"/>
        </w:rPr>
        <w:t>OIG</w:t>
      </w:r>
      <w:proofErr w:type="spellEnd"/>
      <w:r>
        <w:rPr>
          <w:sz w:val="24"/>
          <w:szCs w:val="24"/>
        </w:rPr>
        <w:t xml:space="preserve"> will adhere to all applicable rules and </w:t>
      </w:r>
      <w:r w:rsidR="000B4959">
        <w:rPr>
          <w:sz w:val="24"/>
          <w:szCs w:val="24"/>
        </w:rPr>
        <w:t>provisions</w:t>
      </w:r>
      <w:r>
        <w:rPr>
          <w:sz w:val="24"/>
          <w:szCs w:val="24"/>
        </w:rPr>
        <w:t xml:space="preserve"> in the </w:t>
      </w:r>
      <w:proofErr w:type="spellStart"/>
      <w:r>
        <w:rPr>
          <w:sz w:val="24"/>
          <w:szCs w:val="24"/>
        </w:rPr>
        <w:t>FOIA</w:t>
      </w:r>
      <w:proofErr w:type="spellEnd"/>
      <w:r>
        <w:rPr>
          <w:sz w:val="24"/>
          <w:szCs w:val="24"/>
        </w:rPr>
        <w:t xml:space="preserve"> to which the contents of the collection are subject.</w:t>
      </w:r>
    </w:p>
    <w:p w14:paraId="6DFB77AB" w14:textId="77777777" w:rsidR="00E85517" w:rsidRDefault="00E85517" w:rsidP="004563BF">
      <w:pPr>
        <w:rPr>
          <w:sz w:val="24"/>
          <w:szCs w:val="24"/>
        </w:rPr>
      </w:pPr>
    </w:p>
    <w:p w14:paraId="632ACC09" w14:textId="77777777" w:rsidR="00E85517" w:rsidRDefault="00E85517" w:rsidP="004563BF">
      <w:pPr>
        <w:rPr>
          <w:sz w:val="24"/>
          <w:szCs w:val="24"/>
        </w:rPr>
      </w:pPr>
      <w:r>
        <w:rPr>
          <w:b/>
          <w:bCs/>
          <w:sz w:val="24"/>
          <w:szCs w:val="24"/>
        </w:rPr>
        <w:tab/>
        <w:t xml:space="preserve">11.  </w:t>
      </w:r>
      <w:r>
        <w:rPr>
          <w:b/>
          <w:bCs/>
          <w:sz w:val="24"/>
          <w:szCs w:val="24"/>
          <w:u w:val="single"/>
        </w:rPr>
        <w:t>Sensitive Questions</w:t>
      </w:r>
      <w:r>
        <w:rPr>
          <w:rFonts w:ascii="Arial" w:hAnsi="Arial" w:cs="Arial"/>
        </w:rPr>
        <w:t xml:space="preserve"> </w:t>
      </w:r>
    </w:p>
    <w:p w14:paraId="7BE26B47" w14:textId="77777777" w:rsidR="00E85517" w:rsidRDefault="00E85517" w:rsidP="004563BF">
      <w:pPr>
        <w:rPr>
          <w:sz w:val="24"/>
          <w:szCs w:val="24"/>
        </w:rPr>
      </w:pPr>
    </w:p>
    <w:p w14:paraId="383A8638" w14:textId="77777777" w:rsidR="00E85517" w:rsidRDefault="00E85517" w:rsidP="004563BF">
      <w:pPr>
        <w:ind w:left="720"/>
        <w:rPr>
          <w:sz w:val="24"/>
          <w:szCs w:val="24"/>
        </w:rPr>
      </w:pPr>
      <w:r>
        <w:rPr>
          <w:sz w:val="24"/>
          <w:szCs w:val="24"/>
        </w:rPr>
        <w:t xml:space="preserve">Statutory and regulatory reporting requirements pertaining to the program do not require the Secretary (as delegated to </w:t>
      </w:r>
      <w:proofErr w:type="spellStart"/>
      <w:r>
        <w:rPr>
          <w:sz w:val="24"/>
          <w:szCs w:val="24"/>
        </w:rPr>
        <w:t>OIG</w:t>
      </w:r>
      <w:proofErr w:type="spellEnd"/>
      <w:r>
        <w:rPr>
          <w:sz w:val="24"/>
          <w:szCs w:val="24"/>
        </w:rPr>
        <w:t xml:space="preserve">) to ask questions of a sensitive nature to make </w:t>
      </w:r>
      <w:r w:rsidR="001F69D5">
        <w:rPr>
          <w:sz w:val="24"/>
          <w:szCs w:val="24"/>
        </w:rPr>
        <w:t xml:space="preserve">recertification </w:t>
      </w:r>
      <w:r>
        <w:rPr>
          <w:sz w:val="24"/>
          <w:szCs w:val="24"/>
        </w:rPr>
        <w:t xml:space="preserve">and funding decisions relating to the </w:t>
      </w:r>
      <w:proofErr w:type="spellStart"/>
      <w:r>
        <w:rPr>
          <w:sz w:val="24"/>
          <w:szCs w:val="24"/>
        </w:rPr>
        <w:t>MFCUs</w:t>
      </w:r>
      <w:proofErr w:type="spellEnd"/>
      <w:r>
        <w:rPr>
          <w:sz w:val="24"/>
          <w:szCs w:val="24"/>
        </w:rPr>
        <w:t xml:space="preserve">. </w:t>
      </w:r>
    </w:p>
    <w:p w14:paraId="383BDCE6" w14:textId="77777777" w:rsidR="00E85517" w:rsidRDefault="00E85517" w:rsidP="004563BF">
      <w:pPr>
        <w:rPr>
          <w:sz w:val="24"/>
          <w:szCs w:val="24"/>
        </w:rPr>
      </w:pPr>
    </w:p>
    <w:p w14:paraId="6B963320" w14:textId="77777777" w:rsidR="00E85517" w:rsidRDefault="00E85517" w:rsidP="004563BF">
      <w:pPr>
        <w:rPr>
          <w:sz w:val="24"/>
          <w:szCs w:val="24"/>
        </w:rPr>
      </w:pPr>
      <w:r>
        <w:rPr>
          <w:b/>
          <w:bCs/>
          <w:sz w:val="24"/>
          <w:szCs w:val="24"/>
        </w:rPr>
        <w:tab/>
        <w:t xml:space="preserve">12.  </w:t>
      </w:r>
      <w:r w:rsidRPr="009319CD">
        <w:rPr>
          <w:b/>
          <w:bCs/>
          <w:sz w:val="24"/>
          <w:szCs w:val="24"/>
          <w:u w:val="single"/>
        </w:rPr>
        <w:t xml:space="preserve">Burden Estimate (Total Hours </w:t>
      </w:r>
      <w:r>
        <w:rPr>
          <w:b/>
          <w:bCs/>
          <w:sz w:val="24"/>
          <w:szCs w:val="24"/>
          <w:u w:val="single"/>
        </w:rPr>
        <w:t>and</w:t>
      </w:r>
      <w:r w:rsidRPr="009319CD">
        <w:rPr>
          <w:b/>
          <w:bCs/>
          <w:sz w:val="24"/>
          <w:szCs w:val="24"/>
          <w:u w:val="single"/>
        </w:rPr>
        <w:t xml:space="preserve"> Wages)</w:t>
      </w:r>
      <w:r>
        <w:rPr>
          <w:b/>
          <w:bCs/>
          <w:sz w:val="24"/>
          <w:szCs w:val="24"/>
        </w:rPr>
        <w:t xml:space="preserve"> </w:t>
      </w:r>
    </w:p>
    <w:p w14:paraId="7C344F14" w14:textId="77777777" w:rsidR="00E85517" w:rsidRDefault="00E85517" w:rsidP="004563BF">
      <w:pPr>
        <w:rPr>
          <w:sz w:val="24"/>
          <w:szCs w:val="24"/>
        </w:rPr>
      </w:pPr>
    </w:p>
    <w:p w14:paraId="36F74CFD" w14:textId="7952F200" w:rsidR="00867783" w:rsidRDefault="00E85517" w:rsidP="004563BF">
      <w:pPr>
        <w:ind w:left="720"/>
        <w:rPr>
          <w:sz w:val="24"/>
          <w:szCs w:val="24"/>
        </w:rPr>
      </w:pPr>
      <w:r>
        <w:rPr>
          <w:sz w:val="24"/>
          <w:szCs w:val="24"/>
        </w:rPr>
        <w:t xml:space="preserve">The collection </w:t>
      </w:r>
      <w:r w:rsidR="00E578C6">
        <w:rPr>
          <w:sz w:val="24"/>
          <w:szCs w:val="24"/>
        </w:rPr>
        <w:t>would</w:t>
      </w:r>
      <w:r>
        <w:rPr>
          <w:sz w:val="24"/>
          <w:szCs w:val="24"/>
        </w:rPr>
        <w:t xml:space="preserve"> contain certain mandatory information </w:t>
      </w:r>
      <w:r w:rsidR="005B5FA4">
        <w:rPr>
          <w:sz w:val="24"/>
          <w:szCs w:val="24"/>
        </w:rPr>
        <w:t xml:space="preserve">required annually </w:t>
      </w:r>
      <w:r>
        <w:rPr>
          <w:sz w:val="24"/>
          <w:szCs w:val="24"/>
        </w:rPr>
        <w:t xml:space="preserve">as outlined at </w:t>
      </w:r>
      <w:r w:rsidR="00F40CA6">
        <w:rPr>
          <w:sz w:val="24"/>
          <w:szCs w:val="24"/>
        </w:rPr>
        <w:t>p</w:t>
      </w:r>
      <w:r w:rsidR="000B4959">
        <w:rPr>
          <w:sz w:val="24"/>
          <w:szCs w:val="24"/>
        </w:rPr>
        <w:t xml:space="preserve">roposed </w:t>
      </w:r>
      <w:r>
        <w:rPr>
          <w:sz w:val="24"/>
          <w:szCs w:val="24"/>
        </w:rPr>
        <w:t xml:space="preserve">42 </w:t>
      </w:r>
      <w:proofErr w:type="spellStart"/>
      <w:r>
        <w:rPr>
          <w:sz w:val="24"/>
          <w:szCs w:val="24"/>
        </w:rPr>
        <w:t>CFR</w:t>
      </w:r>
      <w:proofErr w:type="spellEnd"/>
      <w:r>
        <w:rPr>
          <w:sz w:val="24"/>
          <w:szCs w:val="24"/>
        </w:rPr>
        <w:t xml:space="preserve"> § 1007.1</w:t>
      </w:r>
      <w:r w:rsidR="00091BED">
        <w:rPr>
          <w:sz w:val="24"/>
          <w:szCs w:val="24"/>
        </w:rPr>
        <w:t>7</w:t>
      </w:r>
      <w:r w:rsidR="00D750B2">
        <w:rPr>
          <w:sz w:val="24"/>
          <w:szCs w:val="24"/>
        </w:rPr>
        <w:t xml:space="preserve"> which includes</w:t>
      </w:r>
      <w:r w:rsidR="00B520BB">
        <w:rPr>
          <w:sz w:val="24"/>
          <w:szCs w:val="24"/>
        </w:rPr>
        <w:t xml:space="preserve"> a </w:t>
      </w:r>
      <w:r w:rsidR="00D750B2">
        <w:rPr>
          <w:sz w:val="24"/>
          <w:szCs w:val="24"/>
        </w:rPr>
        <w:t xml:space="preserve">reapplication of a brief narrative, data mining outcomes, and an information request as well as an annual statistical report. </w:t>
      </w:r>
      <w:r w:rsidR="000B4959">
        <w:rPr>
          <w:sz w:val="24"/>
          <w:szCs w:val="24"/>
        </w:rPr>
        <w:t xml:space="preserve"> </w:t>
      </w:r>
      <w:r w:rsidR="0037753B">
        <w:rPr>
          <w:sz w:val="24"/>
          <w:szCs w:val="24"/>
        </w:rPr>
        <w:t xml:space="preserve">All of these items would replace the “Annual Report” required at current </w:t>
      </w:r>
      <w:r w:rsidR="00B520BB">
        <w:rPr>
          <w:sz w:val="24"/>
          <w:szCs w:val="24"/>
        </w:rPr>
        <w:t xml:space="preserve">§ </w:t>
      </w:r>
      <w:r w:rsidR="0037753B">
        <w:rPr>
          <w:sz w:val="24"/>
          <w:szCs w:val="24"/>
        </w:rPr>
        <w:t>1007.1</w:t>
      </w:r>
      <w:r w:rsidR="00B520BB">
        <w:rPr>
          <w:sz w:val="24"/>
          <w:szCs w:val="24"/>
        </w:rPr>
        <w:t>7.</w:t>
      </w:r>
      <w:r w:rsidR="0037753B">
        <w:rPr>
          <w:sz w:val="24"/>
          <w:szCs w:val="24"/>
        </w:rPr>
        <w:t xml:space="preserve">  </w:t>
      </w:r>
      <w:r w:rsidR="00D750B2">
        <w:rPr>
          <w:sz w:val="24"/>
          <w:szCs w:val="24"/>
        </w:rPr>
        <w:t>Specifically</w:t>
      </w:r>
      <w:r w:rsidR="00F40CA6">
        <w:rPr>
          <w:sz w:val="24"/>
          <w:szCs w:val="24"/>
        </w:rPr>
        <w:t xml:space="preserve">, the proposed reapplication </w:t>
      </w:r>
      <w:r w:rsidR="00D750B2">
        <w:rPr>
          <w:sz w:val="24"/>
          <w:szCs w:val="24"/>
        </w:rPr>
        <w:t xml:space="preserve">contains </w:t>
      </w:r>
      <w:r w:rsidR="0037753B">
        <w:rPr>
          <w:sz w:val="24"/>
          <w:szCs w:val="24"/>
        </w:rPr>
        <w:t xml:space="preserve">several </w:t>
      </w:r>
      <w:r w:rsidR="00D750B2">
        <w:rPr>
          <w:sz w:val="24"/>
          <w:szCs w:val="24"/>
        </w:rPr>
        <w:t xml:space="preserve">elements.  </w:t>
      </w:r>
    </w:p>
    <w:p w14:paraId="743DA125" w14:textId="77777777" w:rsidR="00867783" w:rsidRDefault="00867783" w:rsidP="004563BF">
      <w:pPr>
        <w:ind w:left="720"/>
        <w:rPr>
          <w:sz w:val="24"/>
          <w:szCs w:val="24"/>
        </w:rPr>
      </w:pPr>
    </w:p>
    <w:p w14:paraId="7B5BF84E" w14:textId="0C606CA3" w:rsidR="00867783" w:rsidRDefault="00D750B2" w:rsidP="004563BF">
      <w:pPr>
        <w:ind w:left="720"/>
        <w:rPr>
          <w:sz w:val="24"/>
          <w:szCs w:val="24"/>
        </w:rPr>
      </w:pPr>
      <w:r>
        <w:rPr>
          <w:sz w:val="24"/>
          <w:szCs w:val="24"/>
        </w:rPr>
        <w:t xml:space="preserve">First, it </w:t>
      </w:r>
      <w:r w:rsidR="00E578C6">
        <w:rPr>
          <w:sz w:val="24"/>
          <w:szCs w:val="24"/>
        </w:rPr>
        <w:t xml:space="preserve">would </w:t>
      </w:r>
      <w:r w:rsidR="00F40CA6">
        <w:rPr>
          <w:sz w:val="24"/>
          <w:szCs w:val="24"/>
        </w:rPr>
        <w:t xml:space="preserve">include a brief narrative </w:t>
      </w:r>
      <w:r w:rsidR="000723C1">
        <w:rPr>
          <w:sz w:val="24"/>
          <w:szCs w:val="24"/>
        </w:rPr>
        <w:t xml:space="preserve">that </w:t>
      </w:r>
      <w:r w:rsidR="00F40CA6">
        <w:rPr>
          <w:sz w:val="24"/>
          <w:szCs w:val="24"/>
        </w:rPr>
        <w:t>evaluat</w:t>
      </w:r>
      <w:r w:rsidR="000723C1">
        <w:rPr>
          <w:sz w:val="24"/>
          <w:szCs w:val="24"/>
        </w:rPr>
        <w:t>es</w:t>
      </w:r>
      <w:r w:rsidR="00F40CA6">
        <w:rPr>
          <w:sz w:val="24"/>
          <w:szCs w:val="24"/>
        </w:rPr>
        <w:t xml:space="preserve"> the Unit’s performance</w:t>
      </w:r>
      <w:r w:rsidR="000723C1">
        <w:rPr>
          <w:sz w:val="24"/>
          <w:szCs w:val="24"/>
        </w:rPr>
        <w:t>, describes any specific problems it has had, and discusses any other matters that have impaired its effectiveness</w:t>
      </w:r>
      <w:r w:rsidR="00F40CA6">
        <w:rPr>
          <w:sz w:val="24"/>
          <w:szCs w:val="24"/>
        </w:rPr>
        <w:t>.  This narrative c</w:t>
      </w:r>
      <w:r w:rsidR="00E578C6">
        <w:rPr>
          <w:sz w:val="24"/>
          <w:szCs w:val="24"/>
        </w:rPr>
        <w:t>ould</w:t>
      </w:r>
      <w:r w:rsidR="00F40CA6">
        <w:rPr>
          <w:sz w:val="24"/>
          <w:szCs w:val="24"/>
        </w:rPr>
        <w:t xml:space="preserve"> be in any format, as determined by each </w:t>
      </w:r>
      <w:proofErr w:type="spellStart"/>
      <w:r w:rsidR="00F40CA6">
        <w:rPr>
          <w:sz w:val="24"/>
          <w:szCs w:val="24"/>
        </w:rPr>
        <w:t>MFCU</w:t>
      </w:r>
      <w:proofErr w:type="spellEnd"/>
      <w:r w:rsidR="00F40CA6">
        <w:rPr>
          <w:sz w:val="24"/>
          <w:szCs w:val="24"/>
        </w:rPr>
        <w:t xml:space="preserve">.  </w:t>
      </w:r>
    </w:p>
    <w:p w14:paraId="67A0DB34" w14:textId="77777777" w:rsidR="00867783" w:rsidRDefault="00867783" w:rsidP="004563BF">
      <w:pPr>
        <w:ind w:left="720"/>
        <w:rPr>
          <w:sz w:val="24"/>
          <w:szCs w:val="24"/>
        </w:rPr>
      </w:pPr>
    </w:p>
    <w:p w14:paraId="21064C62" w14:textId="42603575" w:rsidR="00867783" w:rsidRDefault="00D750B2" w:rsidP="004563BF">
      <w:pPr>
        <w:ind w:left="720"/>
        <w:rPr>
          <w:sz w:val="24"/>
          <w:szCs w:val="24"/>
        </w:rPr>
      </w:pPr>
      <w:r>
        <w:rPr>
          <w:sz w:val="24"/>
          <w:szCs w:val="24"/>
        </w:rPr>
        <w:t xml:space="preserve">Second, </w:t>
      </w:r>
      <w:r w:rsidR="00F40CA6">
        <w:rPr>
          <w:sz w:val="24"/>
          <w:szCs w:val="24"/>
        </w:rPr>
        <w:t xml:space="preserve">those </w:t>
      </w:r>
      <w:proofErr w:type="spellStart"/>
      <w:r w:rsidR="00F40CA6">
        <w:rPr>
          <w:sz w:val="24"/>
          <w:szCs w:val="24"/>
        </w:rPr>
        <w:t>MFCUs</w:t>
      </w:r>
      <w:proofErr w:type="spellEnd"/>
      <w:r w:rsidR="00F40CA6">
        <w:rPr>
          <w:sz w:val="24"/>
          <w:szCs w:val="24"/>
        </w:rPr>
        <w:t xml:space="preserve"> approved by </w:t>
      </w:r>
      <w:proofErr w:type="spellStart"/>
      <w:r w:rsidR="00F40CA6">
        <w:rPr>
          <w:sz w:val="24"/>
          <w:szCs w:val="24"/>
        </w:rPr>
        <w:t>OIG</w:t>
      </w:r>
      <w:proofErr w:type="spellEnd"/>
      <w:r w:rsidR="00F40CA6">
        <w:rPr>
          <w:sz w:val="24"/>
          <w:szCs w:val="24"/>
        </w:rPr>
        <w:t xml:space="preserve"> to conduct data mining under 42 </w:t>
      </w:r>
      <w:proofErr w:type="spellStart"/>
      <w:r w:rsidR="00F40CA6">
        <w:rPr>
          <w:sz w:val="24"/>
          <w:szCs w:val="24"/>
        </w:rPr>
        <w:t>CFR</w:t>
      </w:r>
      <w:proofErr w:type="spellEnd"/>
      <w:r w:rsidR="00F40CA6">
        <w:rPr>
          <w:sz w:val="24"/>
          <w:szCs w:val="24"/>
        </w:rPr>
        <w:t xml:space="preserve"> </w:t>
      </w:r>
      <w:r w:rsidR="00F40CA6" w:rsidRPr="00F40CA6">
        <w:rPr>
          <w:sz w:val="24"/>
          <w:szCs w:val="24"/>
        </w:rPr>
        <w:t>§</w:t>
      </w:r>
      <w:r w:rsidR="00091BED">
        <w:rPr>
          <w:sz w:val="24"/>
          <w:szCs w:val="24"/>
        </w:rPr>
        <w:t xml:space="preserve"> 1007.20</w:t>
      </w:r>
      <w:r w:rsidR="00F40CA6">
        <w:rPr>
          <w:sz w:val="24"/>
          <w:szCs w:val="24"/>
        </w:rPr>
        <w:t xml:space="preserve"> </w:t>
      </w:r>
      <w:r w:rsidR="00FD224B">
        <w:rPr>
          <w:sz w:val="24"/>
          <w:szCs w:val="24"/>
        </w:rPr>
        <w:t>are</w:t>
      </w:r>
      <w:r w:rsidR="00E578C6">
        <w:rPr>
          <w:sz w:val="24"/>
          <w:szCs w:val="24"/>
        </w:rPr>
        <w:t xml:space="preserve"> required </w:t>
      </w:r>
      <w:r w:rsidR="00FD224B">
        <w:rPr>
          <w:sz w:val="24"/>
          <w:szCs w:val="24"/>
        </w:rPr>
        <w:t xml:space="preserve">by the current regulation </w:t>
      </w:r>
      <w:r w:rsidR="00E578C6">
        <w:rPr>
          <w:sz w:val="24"/>
          <w:szCs w:val="24"/>
        </w:rPr>
        <w:t xml:space="preserve">to </w:t>
      </w:r>
      <w:r w:rsidR="00F40CA6">
        <w:rPr>
          <w:sz w:val="24"/>
          <w:szCs w:val="24"/>
        </w:rPr>
        <w:t xml:space="preserve">submit </w:t>
      </w:r>
      <w:r w:rsidR="002B5F76">
        <w:rPr>
          <w:sz w:val="24"/>
          <w:szCs w:val="24"/>
        </w:rPr>
        <w:t xml:space="preserve">the </w:t>
      </w:r>
      <w:r w:rsidR="00F40CA6">
        <w:rPr>
          <w:sz w:val="24"/>
          <w:szCs w:val="24"/>
        </w:rPr>
        <w:t xml:space="preserve">costs </w:t>
      </w:r>
      <w:r w:rsidR="002B5F76">
        <w:rPr>
          <w:sz w:val="24"/>
          <w:szCs w:val="24"/>
        </w:rPr>
        <w:t xml:space="preserve">expended by the </w:t>
      </w:r>
      <w:proofErr w:type="spellStart"/>
      <w:r w:rsidR="002B5F76">
        <w:rPr>
          <w:sz w:val="24"/>
          <w:szCs w:val="24"/>
        </w:rPr>
        <w:t>MFCU</w:t>
      </w:r>
      <w:proofErr w:type="spellEnd"/>
      <w:r w:rsidR="002B5F76">
        <w:rPr>
          <w:sz w:val="24"/>
          <w:szCs w:val="24"/>
        </w:rPr>
        <w:t xml:space="preserve"> on data mining activities, the amount of staff time devoted to data mining activities, the number of cases generated from those activities, the outcome and status of those cases, and any other relevant indicia </w:t>
      </w:r>
      <w:r w:rsidR="000723C1">
        <w:rPr>
          <w:sz w:val="24"/>
          <w:szCs w:val="24"/>
        </w:rPr>
        <w:t>of return on investment from data mining activities.  The report</w:t>
      </w:r>
      <w:r w:rsidR="00945133">
        <w:rPr>
          <w:sz w:val="24"/>
          <w:szCs w:val="24"/>
        </w:rPr>
        <w:t>ing</w:t>
      </w:r>
      <w:r w:rsidR="000723C1">
        <w:rPr>
          <w:sz w:val="24"/>
          <w:szCs w:val="24"/>
        </w:rPr>
        <w:t xml:space="preserve"> format for </w:t>
      </w:r>
      <w:r w:rsidR="00F40CA6">
        <w:rPr>
          <w:sz w:val="24"/>
          <w:szCs w:val="24"/>
        </w:rPr>
        <w:t xml:space="preserve">data mining activities </w:t>
      </w:r>
      <w:r w:rsidR="000723C1">
        <w:rPr>
          <w:sz w:val="24"/>
          <w:szCs w:val="24"/>
        </w:rPr>
        <w:t>is</w:t>
      </w:r>
      <w:r w:rsidR="00F40CA6">
        <w:rPr>
          <w:sz w:val="24"/>
          <w:szCs w:val="24"/>
        </w:rPr>
        <w:t xml:space="preserve"> determined by each reporting </w:t>
      </w:r>
      <w:proofErr w:type="spellStart"/>
      <w:r w:rsidR="00F40CA6">
        <w:rPr>
          <w:sz w:val="24"/>
          <w:szCs w:val="24"/>
        </w:rPr>
        <w:t>MFCU</w:t>
      </w:r>
      <w:proofErr w:type="spellEnd"/>
      <w:r w:rsidR="00F40CA6">
        <w:rPr>
          <w:sz w:val="24"/>
          <w:szCs w:val="24"/>
        </w:rPr>
        <w:t>.</w:t>
      </w:r>
      <w:r w:rsidR="002B5F76">
        <w:rPr>
          <w:sz w:val="24"/>
          <w:szCs w:val="24"/>
        </w:rPr>
        <w:t xml:space="preserve">  </w:t>
      </w:r>
    </w:p>
    <w:p w14:paraId="4FE74FBA" w14:textId="77777777" w:rsidR="00867783" w:rsidRDefault="00867783" w:rsidP="004563BF">
      <w:pPr>
        <w:ind w:left="720"/>
        <w:rPr>
          <w:sz w:val="24"/>
          <w:szCs w:val="24"/>
        </w:rPr>
      </w:pPr>
    </w:p>
    <w:p w14:paraId="77EA68F6" w14:textId="018679F8" w:rsidR="00867783" w:rsidRDefault="00D750B2" w:rsidP="004563BF">
      <w:pPr>
        <w:ind w:left="720"/>
        <w:rPr>
          <w:sz w:val="24"/>
          <w:szCs w:val="24"/>
        </w:rPr>
      </w:pPr>
      <w:r>
        <w:rPr>
          <w:sz w:val="24"/>
          <w:szCs w:val="24"/>
        </w:rPr>
        <w:t>Third, t</w:t>
      </w:r>
      <w:r w:rsidR="00F40CA6">
        <w:rPr>
          <w:sz w:val="24"/>
          <w:szCs w:val="24"/>
        </w:rPr>
        <w:t>he proposed</w:t>
      </w:r>
      <w:r w:rsidR="00091BED">
        <w:rPr>
          <w:sz w:val="24"/>
          <w:szCs w:val="24"/>
        </w:rPr>
        <w:t xml:space="preserve"> reapplication </w:t>
      </w:r>
      <w:r w:rsidR="00E578C6">
        <w:rPr>
          <w:sz w:val="24"/>
          <w:szCs w:val="24"/>
        </w:rPr>
        <w:t xml:space="preserve">would </w:t>
      </w:r>
      <w:r w:rsidR="00091BED">
        <w:rPr>
          <w:sz w:val="24"/>
          <w:szCs w:val="24"/>
        </w:rPr>
        <w:t xml:space="preserve">also include an information request concerning compliance with </w:t>
      </w:r>
      <w:r w:rsidR="00E44228">
        <w:rPr>
          <w:sz w:val="24"/>
          <w:szCs w:val="24"/>
        </w:rPr>
        <w:t>the statute, regulation</w:t>
      </w:r>
      <w:r w:rsidR="00945133">
        <w:rPr>
          <w:sz w:val="24"/>
          <w:szCs w:val="24"/>
        </w:rPr>
        <w:t>s</w:t>
      </w:r>
      <w:r w:rsidR="00E44228">
        <w:rPr>
          <w:sz w:val="24"/>
          <w:szCs w:val="24"/>
        </w:rPr>
        <w:t>, and policy transmittals as well as adherence to</w:t>
      </w:r>
      <w:r w:rsidR="008C4C76">
        <w:rPr>
          <w:sz w:val="24"/>
          <w:szCs w:val="24"/>
        </w:rPr>
        <w:t xml:space="preserve"> </w:t>
      </w:r>
      <w:r w:rsidR="001F69D5">
        <w:rPr>
          <w:sz w:val="24"/>
          <w:szCs w:val="24"/>
        </w:rPr>
        <w:t xml:space="preserve">the </w:t>
      </w:r>
      <w:proofErr w:type="spellStart"/>
      <w:r w:rsidR="00091BED">
        <w:rPr>
          <w:sz w:val="24"/>
          <w:szCs w:val="24"/>
        </w:rPr>
        <w:t>MFCU</w:t>
      </w:r>
      <w:proofErr w:type="spellEnd"/>
      <w:r w:rsidR="00091BED">
        <w:rPr>
          <w:sz w:val="24"/>
          <w:szCs w:val="24"/>
        </w:rPr>
        <w:t xml:space="preserve"> performance standards</w:t>
      </w:r>
      <w:r w:rsidR="001F69D5">
        <w:rPr>
          <w:sz w:val="24"/>
          <w:szCs w:val="24"/>
        </w:rPr>
        <w:t xml:space="preserve">.  The information request </w:t>
      </w:r>
      <w:r w:rsidR="00E578C6">
        <w:rPr>
          <w:sz w:val="24"/>
          <w:szCs w:val="24"/>
        </w:rPr>
        <w:t xml:space="preserve">would be </w:t>
      </w:r>
      <w:r w:rsidR="00091BED">
        <w:rPr>
          <w:sz w:val="24"/>
          <w:szCs w:val="24"/>
        </w:rPr>
        <w:t>in a standard question and answer format</w:t>
      </w:r>
      <w:r w:rsidR="009E3690">
        <w:rPr>
          <w:sz w:val="24"/>
          <w:szCs w:val="24"/>
        </w:rPr>
        <w:t xml:space="preserve"> and has always been a part of the reapplication</w:t>
      </w:r>
      <w:r w:rsidR="00091BED">
        <w:rPr>
          <w:sz w:val="24"/>
          <w:szCs w:val="24"/>
        </w:rPr>
        <w:t xml:space="preserve">.  </w:t>
      </w:r>
    </w:p>
    <w:p w14:paraId="2D9D2959" w14:textId="77777777" w:rsidR="00867783" w:rsidRDefault="00867783" w:rsidP="004563BF">
      <w:pPr>
        <w:ind w:left="720"/>
        <w:rPr>
          <w:sz w:val="24"/>
          <w:szCs w:val="24"/>
        </w:rPr>
      </w:pPr>
    </w:p>
    <w:p w14:paraId="0C0FC59E" w14:textId="592CEAC4" w:rsidR="008B6CB1" w:rsidRDefault="00D750B2" w:rsidP="004563BF">
      <w:pPr>
        <w:ind w:left="720"/>
        <w:rPr>
          <w:sz w:val="24"/>
          <w:szCs w:val="24"/>
        </w:rPr>
      </w:pPr>
      <w:r>
        <w:rPr>
          <w:sz w:val="24"/>
          <w:szCs w:val="24"/>
        </w:rPr>
        <w:t>Fourth</w:t>
      </w:r>
      <w:r w:rsidR="000B0B15">
        <w:rPr>
          <w:sz w:val="24"/>
          <w:szCs w:val="24"/>
        </w:rPr>
        <w:t>,</w:t>
      </w:r>
      <w:r>
        <w:rPr>
          <w:sz w:val="24"/>
          <w:szCs w:val="24"/>
        </w:rPr>
        <w:t xml:space="preserve"> and separate from the reapplication, we propose </w:t>
      </w:r>
      <w:r w:rsidR="0037753B">
        <w:rPr>
          <w:sz w:val="24"/>
          <w:szCs w:val="24"/>
        </w:rPr>
        <w:t xml:space="preserve">that </w:t>
      </w:r>
      <w:proofErr w:type="spellStart"/>
      <w:r w:rsidR="000B0B15">
        <w:rPr>
          <w:sz w:val="24"/>
          <w:szCs w:val="24"/>
        </w:rPr>
        <w:t>MFCUs</w:t>
      </w:r>
      <w:proofErr w:type="spellEnd"/>
      <w:r w:rsidR="000B0B15">
        <w:rPr>
          <w:sz w:val="24"/>
          <w:szCs w:val="24"/>
        </w:rPr>
        <w:t xml:space="preserve"> </w:t>
      </w:r>
      <w:r w:rsidR="00FD224B">
        <w:rPr>
          <w:sz w:val="24"/>
          <w:szCs w:val="24"/>
        </w:rPr>
        <w:t>provide</w:t>
      </w:r>
      <w:r w:rsidR="000B0B15">
        <w:rPr>
          <w:sz w:val="24"/>
          <w:szCs w:val="24"/>
        </w:rPr>
        <w:t xml:space="preserve"> </w:t>
      </w:r>
      <w:r>
        <w:rPr>
          <w:sz w:val="24"/>
          <w:szCs w:val="24"/>
        </w:rPr>
        <w:t>a</w:t>
      </w:r>
      <w:r w:rsidR="000B0B15">
        <w:rPr>
          <w:sz w:val="24"/>
          <w:szCs w:val="24"/>
        </w:rPr>
        <w:t xml:space="preserve"> Federal fiscal year</w:t>
      </w:r>
      <w:r w:rsidR="00E85865">
        <w:rPr>
          <w:sz w:val="24"/>
          <w:szCs w:val="24"/>
        </w:rPr>
        <w:t xml:space="preserve"> </w:t>
      </w:r>
      <w:r w:rsidR="000B0B15">
        <w:rPr>
          <w:sz w:val="24"/>
          <w:szCs w:val="24"/>
        </w:rPr>
        <w:t>(</w:t>
      </w:r>
      <w:proofErr w:type="spellStart"/>
      <w:r w:rsidR="000B0B15">
        <w:rPr>
          <w:sz w:val="24"/>
          <w:szCs w:val="24"/>
        </w:rPr>
        <w:t>FFY</w:t>
      </w:r>
      <w:proofErr w:type="spellEnd"/>
      <w:r w:rsidR="000B0B15">
        <w:rPr>
          <w:sz w:val="24"/>
          <w:szCs w:val="24"/>
        </w:rPr>
        <w:t xml:space="preserve">) annual statistical report containing data points found at </w:t>
      </w:r>
      <w:r w:rsidR="00B22DDA">
        <w:rPr>
          <w:sz w:val="24"/>
          <w:szCs w:val="24"/>
        </w:rPr>
        <w:t xml:space="preserve">proposed </w:t>
      </w:r>
      <w:r w:rsidR="000B0B15">
        <w:rPr>
          <w:sz w:val="24"/>
          <w:szCs w:val="24"/>
        </w:rPr>
        <w:t xml:space="preserve">42 </w:t>
      </w:r>
      <w:proofErr w:type="spellStart"/>
      <w:r w:rsidR="000B0B15">
        <w:rPr>
          <w:sz w:val="24"/>
          <w:szCs w:val="24"/>
        </w:rPr>
        <w:t>CFR</w:t>
      </w:r>
      <w:proofErr w:type="spellEnd"/>
      <w:r w:rsidR="000B0B15">
        <w:rPr>
          <w:sz w:val="24"/>
          <w:szCs w:val="24"/>
        </w:rPr>
        <w:t xml:space="preserve"> § 1007.17(b</w:t>
      </w:r>
      <w:r w:rsidR="000B0B15" w:rsidRPr="00D750B2">
        <w:rPr>
          <w:sz w:val="24"/>
          <w:szCs w:val="24"/>
        </w:rPr>
        <w:t>)</w:t>
      </w:r>
      <w:r w:rsidR="000B0B15">
        <w:rPr>
          <w:sz w:val="24"/>
          <w:szCs w:val="24"/>
        </w:rPr>
        <w:t xml:space="preserve">. </w:t>
      </w:r>
      <w:r w:rsidR="00615593">
        <w:rPr>
          <w:sz w:val="24"/>
          <w:szCs w:val="24"/>
        </w:rPr>
        <w:t xml:space="preserve"> </w:t>
      </w:r>
      <w:r w:rsidR="0037753B">
        <w:rPr>
          <w:sz w:val="24"/>
          <w:szCs w:val="24"/>
        </w:rPr>
        <w:t xml:space="preserve">This is consistent with the </w:t>
      </w:r>
      <w:proofErr w:type="spellStart"/>
      <w:r w:rsidR="000B0B15">
        <w:rPr>
          <w:sz w:val="24"/>
          <w:szCs w:val="24"/>
        </w:rPr>
        <w:t>MFCU</w:t>
      </w:r>
      <w:proofErr w:type="spellEnd"/>
      <w:r w:rsidR="000B0B15">
        <w:rPr>
          <w:sz w:val="24"/>
          <w:szCs w:val="24"/>
        </w:rPr>
        <w:t xml:space="preserve"> performance standard that </w:t>
      </w:r>
      <w:r w:rsidR="003B3558">
        <w:rPr>
          <w:sz w:val="24"/>
          <w:szCs w:val="24"/>
        </w:rPr>
        <w:t xml:space="preserve">a </w:t>
      </w:r>
      <w:r w:rsidR="000B0B15">
        <w:rPr>
          <w:sz w:val="24"/>
          <w:szCs w:val="24"/>
        </w:rPr>
        <w:t xml:space="preserve">Unit </w:t>
      </w:r>
      <w:proofErr w:type="gramStart"/>
      <w:r w:rsidR="000B0B15">
        <w:rPr>
          <w:sz w:val="24"/>
          <w:szCs w:val="24"/>
        </w:rPr>
        <w:t>have</w:t>
      </w:r>
      <w:proofErr w:type="gramEnd"/>
      <w:r w:rsidR="000B0B15">
        <w:rPr>
          <w:sz w:val="24"/>
          <w:szCs w:val="24"/>
        </w:rPr>
        <w:t xml:space="preserve"> a case management system that (1) allows efficient access to case information and other performance data from initiation to resolution and (2) allows for reporting of case information.  </w:t>
      </w:r>
      <w:r w:rsidR="003B3558">
        <w:rPr>
          <w:sz w:val="24"/>
          <w:szCs w:val="24"/>
        </w:rPr>
        <w:t>Unit</w:t>
      </w:r>
      <w:r w:rsidR="0037753B">
        <w:rPr>
          <w:sz w:val="24"/>
          <w:szCs w:val="24"/>
        </w:rPr>
        <w:t>s</w:t>
      </w:r>
      <w:r w:rsidR="003B3558">
        <w:rPr>
          <w:sz w:val="24"/>
          <w:szCs w:val="24"/>
        </w:rPr>
        <w:t xml:space="preserve"> </w:t>
      </w:r>
      <w:r w:rsidR="00B22DDA">
        <w:rPr>
          <w:sz w:val="24"/>
          <w:szCs w:val="24"/>
        </w:rPr>
        <w:t>maintain case management system</w:t>
      </w:r>
      <w:r w:rsidR="0037753B">
        <w:rPr>
          <w:sz w:val="24"/>
          <w:szCs w:val="24"/>
        </w:rPr>
        <w:t>s</w:t>
      </w:r>
      <w:r w:rsidR="00585F09">
        <w:rPr>
          <w:sz w:val="24"/>
          <w:szCs w:val="24"/>
        </w:rPr>
        <w:t xml:space="preserve"> on an ongoing basis </w:t>
      </w:r>
      <w:r w:rsidR="0037753B">
        <w:rPr>
          <w:sz w:val="24"/>
          <w:szCs w:val="24"/>
        </w:rPr>
        <w:t xml:space="preserve">and </w:t>
      </w:r>
      <w:r w:rsidR="00436788">
        <w:rPr>
          <w:sz w:val="24"/>
          <w:szCs w:val="24"/>
        </w:rPr>
        <w:t xml:space="preserve">would </w:t>
      </w:r>
      <w:r w:rsidR="004143D0">
        <w:rPr>
          <w:sz w:val="24"/>
          <w:szCs w:val="24"/>
        </w:rPr>
        <w:t xml:space="preserve">upload </w:t>
      </w:r>
      <w:r w:rsidR="000B0B15">
        <w:rPr>
          <w:sz w:val="24"/>
          <w:szCs w:val="24"/>
        </w:rPr>
        <w:t>th</w:t>
      </w:r>
      <w:r w:rsidR="003A7E65">
        <w:rPr>
          <w:sz w:val="24"/>
          <w:szCs w:val="24"/>
        </w:rPr>
        <w:t>e</w:t>
      </w:r>
      <w:r w:rsidR="000B0B15">
        <w:rPr>
          <w:sz w:val="24"/>
          <w:szCs w:val="24"/>
        </w:rPr>
        <w:t xml:space="preserve"> </w:t>
      </w:r>
      <w:r w:rsidR="00B22DDA">
        <w:rPr>
          <w:sz w:val="24"/>
          <w:szCs w:val="24"/>
        </w:rPr>
        <w:t xml:space="preserve">proposed </w:t>
      </w:r>
      <w:r w:rsidR="000B0B15">
        <w:rPr>
          <w:sz w:val="24"/>
          <w:szCs w:val="24"/>
        </w:rPr>
        <w:t xml:space="preserve">data </w:t>
      </w:r>
      <w:r w:rsidR="004143D0">
        <w:rPr>
          <w:sz w:val="24"/>
          <w:szCs w:val="24"/>
        </w:rPr>
        <w:t>to a secure web portal</w:t>
      </w:r>
      <w:r w:rsidR="00091BED">
        <w:rPr>
          <w:sz w:val="24"/>
          <w:szCs w:val="24"/>
        </w:rPr>
        <w:t xml:space="preserve"> through </w:t>
      </w:r>
      <w:r w:rsidR="004143D0">
        <w:rPr>
          <w:sz w:val="24"/>
          <w:szCs w:val="24"/>
        </w:rPr>
        <w:t xml:space="preserve">a </w:t>
      </w:r>
      <w:r w:rsidR="00091BED">
        <w:rPr>
          <w:sz w:val="24"/>
          <w:szCs w:val="24"/>
        </w:rPr>
        <w:t>Federal service provider</w:t>
      </w:r>
      <w:r w:rsidR="004143D0">
        <w:rPr>
          <w:sz w:val="24"/>
          <w:szCs w:val="24"/>
        </w:rPr>
        <w:t>, OMB MAX</w:t>
      </w:r>
      <w:r w:rsidR="00585F09">
        <w:rPr>
          <w:sz w:val="24"/>
          <w:szCs w:val="24"/>
        </w:rPr>
        <w:t xml:space="preserve"> by November 30 of each year</w:t>
      </w:r>
      <w:r w:rsidR="00091BED">
        <w:rPr>
          <w:sz w:val="24"/>
          <w:szCs w:val="24"/>
        </w:rPr>
        <w:t xml:space="preserve">.  </w:t>
      </w:r>
      <w:r w:rsidR="00622B4B">
        <w:rPr>
          <w:sz w:val="24"/>
          <w:szCs w:val="24"/>
        </w:rPr>
        <w:t xml:space="preserve">This </w:t>
      </w:r>
      <w:r w:rsidR="000B0B15">
        <w:rPr>
          <w:sz w:val="24"/>
          <w:szCs w:val="24"/>
        </w:rPr>
        <w:t xml:space="preserve">annual </w:t>
      </w:r>
      <w:r w:rsidR="00622B4B">
        <w:rPr>
          <w:sz w:val="24"/>
          <w:szCs w:val="24"/>
        </w:rPr>
        <w:t xml:space="preserve">statistical report would replace the statistical information that we propose to no longer require in an “Annual Report,” as at </w:t>
      </w:r>
      <w:r w:rsidR="00622B4B" w:rsidRPr="00622B4B">
        <w:rPr>
          <w:sz w:val="24"/>
          <w:szCs w:val="24"/>
        </w:rPr>
        <w:t xml:space="preserve">42 </w:t>
      </w:r>
      <w:proofErr w:type="spellStart"/>
      <w:r w:rsidR="00622B4B" w:rsidRPr="00622B4B">
        <w:rPr>
          <w:sz w:val="24"/>
          <w:szCs w:val="24"/>
        </w:rPr>
        <w:t>CFR</w:t>
      </w:r>
      <w:proofErr w:type="spellEnd"/>
      <w:r w:rsidR="00622B4B" w:rsidRPr="00622B4B">
        <w:rPr>
          <w:sz w:val="24"/>
          <w:szCs w:val="24"/>
        </w:rPr>
        <w:t xml:space="preserve"> § 1007.17</w:t>
      </w:r>
      <w:r w:rsidR="00622B4B">
        <w:rPr>
          <w:sz w:val="24"/>
          <w:szCs w:val="24"/>
        </w:rPr>
        <w:t>(a)-(e)</w:t>
      </w:r>
      <w:r w:rsidR="0037753B">
        <w:rPr>
          <w:sz w:val="24"/>
          <w:szCs w:val="24"/>
        </w:rPr>
        <w:t xml:space="preserve">, </w:t>
      </w:r>
      <w:r w:rsidR="006F3618">
        <w:rPr>
          <w:sz w:val="24"/>
          <w:szCs w:val="24"/>
        </w:rPr>
        <w:t xml:space="preserve">although </w:t>
      </w:r>
      <w:r w:rsidR="00B520BB">
        <w:rPr>
          <w:sz w:val="24"/>
          <w:szCs w:val="24"/>
        </w:rPr>
        <w:t>some</w:t>
      </w:r>
      <w:r w:rsidR="0037753B">
        <w:rPr>
          <w:sz w:val="24"/>
          <w:szCs w:val="24"/>
        </w:rPr>
        <w:t xml:space="preserve"> of </w:t>
      </w:r>
      <w:r w:rsidR="006F3618">
        <w:rPr>
          <w:sz w:val="24"/>
          <w:szCs w:val="24"/>
        </w:rPr>
        <w:t xml:space="preserve">the data points </w:t>
      </w:r>
      <w:r w:rsidR="00615593">
        <w:rPr>
          <w:sz w:val="24"/>
          <w:szCs w:val="24"/>
        </w:rPr>
        <w:t xml:space="preserve">are the same or similar to the statistics </w:t>
      </w:r>
      <w:r w:rsidR="00E85865">
        <w:rPr>
          <w:sz w:val="24"/>
          <w:szCs w:val="24"/>
        </w:rPr>
        <w:t xml:space="preserve">proposed </w:t>
      </w:r>
      <w:r w:rsidR="00615593">
        <w:rPr>
          <w:sz w:val="24"/>
          <w:szCs w:val="24"/>
        </w:rPr>
        <w:t xml:space="preserve">in the </w:t>
      </w:r>
      <w:r w:rsidR="00E85865">
        <w:rPr>
          <w:sz w:val="24"/>
          <w:szCs w:val="24"/>
        </w:rPr>
        <w:t>annual statistical report.</w:t>
      </w:r>
      <w:r w:rsidR="00615593">
        <w:rPr>
          <w:sz w:val="24"/>
          <w:szCs w:val="24"/>
        </w:rPr>
        <w:t xml:space="preserve">  </w:t>
      </w:r>
      <w:r w:rsidR="0037753B">
        <w:rPr>
          <w:sz w:val="24"/>
          <w:szCs w:val="24"/>
        </w:rPr>
        <w:t xml:space="preserve">The </w:t>
      </w:r>
      <w:r w:rsidR="00615593">
        <w:rPr>
          <w:sz w:val="24"/>
          <w:szCs w:val="24"/>
        </w:rPr>
        <w:t>propose</w:t>
      </w:r>
      <w:r w:rsidR="0037753B">
        <w:rPr>
          <w:sz w:val="24"/>
          <w:szCs w:val="24"/>
        </w:rPr>
        <w:t>d</w:t>
      </w:r>
      <w:r w:rsidR="00615593">
        <w:rPr>
          <w:sz w:val="24"/>
          <w:szCs w:val="24"/>
        </w:rPr>
        <w:t xml:space="preserve"> new data points </w:t>
      </w:r>
      <w:r w:rsidR="0037753B">
        <w:rPr>
          <w:sz w:val="24"/>
          <w:szCs w:val="24"/>
        </w:rPr>
        <w:t>would be an enhancement to our current information and would</w:t>
      </w:r>
      <w:r w:rsidR="00191FFC">
        <w:rPr>
          <w:sz w:val="24"/>
          <w:szCs w:val="24"/>
        </w:rPr>
        <w:t>,</w:t>
      </w:r>
      <w:r w:rsidR="0037753B">
        <w:rPr>
          <w:sz w:val="24"/>
          <w:szCs w:val="24"/>
        </w:rPr>
        <w:t xml:space="preserve"> </w:t>
      </w:r>
      <w:r w:rsidR="00191FFC">
        <w:rPr>
          <w:sz w:val="24"/>
          <w:szCs w:val="24"/>
        </w:rPr>
        <w:t xml:space="preserve">on a </w:t>
      </w:r>
      <w:proofErr w:type="spellStart"/>
      <w:r w:rsidR="00191FFC">
        <w:rPr>
          <w:sz w:val="24"/>
          <w:szCs w:val="24"/>
        </w:rPr>
        <w:t>FFY</w:t>
      </w:r>
      <w:proofErr w:type="spellEnd"/>
      <w:r w:rsidR="00191FFC">
        <w:rPr>
          <w:sz w:val="24"/>
          <w:szCs w:val="24"/>
        </w:rPr>
        <w:t xml:space="preserve"> basis, </w:t>
      </w:r>
      <w:r w:rsidR="00615593">
        <w:rPr>
          <w:sz w:val="24"/>
          <w:szCs w:val="24"/>
        </w:rPr>
        <w:t xml:space="preserve">more completely and accurately describe </w:t>
      </w:r>
      <w:r w:rsidR="003E3F1B">
        <w:rPr>
          <w:sz w:val="24"/>
          <w:szCs w:val="24"/>
        </w:rPr>
        <w:t xml:space="preserve">Unit staffing, caseload, </w:t>
      </w:r>
      <w:r w:rsidR="00902F9E">
        <w:rPr>
          <w:sz w:val="24"/>
          <w:szCs w:val="24"/>
        </w:rPr>
        <w:t>criminal and civil case outcomes, collections, and referrals</w:t>
      </w:r>
      <w:r w:rsidR="00191FFC">
        <w:rPr>
          <w:sz w:val="24"/>
          <w:szCs w:val="24"/>
        </w:rPr>
        <w:t>.</w:t>
      </w:r>
      <w:r w:rsidR="00615593">
        <w:rPr>
          <w:sz w:val="24"/>
          <w:szCs w:val="24"/>
        </w:rPr>
        <w:t xml:space="preserve">  </w:t>
      </w:r>
    </w:p>
    <w:p w14:paraId="74E276C5" w14:textId="77777777" w:rsidR="008B6CB1" w:rsidRDefault="008B6CB1" w:rsidP="004563BF">
      <w:pPr>
        <w:ind w:left="720"/>
        <w:rPr>
          <w:sz w:val="24"/>
          <w:szCs w:val="24"/>
        </w:rPr>
      </w:pPr>
    </w:p>
    <w:p w14:paraId="7DCAA73A" w14:textId="72666900" w:rsidR="00834DFD" w:rsidRDefault="003364D0" w:rsidP="004563BF">
      <w:pPr>
        <w:ind w:left="720"/>
        <w:rPr>
          <w:sz w:val="24"/>
          <w:szCs w:val="24"/>
        </w:rPr>
      </w:pPr>
      <w:r>
        <w:rPr>
          <w:sz w:val="24"/>
          <w:szCs w:val="24"/>
        </w:rPr>
        <w:t xml:space="preserve">We </w:t>
      </w:r>
      <w:r w:rsidR="006046E4">
        <w:rPr>
          <w:sz w:val="24"/>
          <w:szCs w:val="24"/>
        </w:rPr>
        <w:t xml:space="preserve">estimate that </w:t>
      </w:r>
      <w:r>
        <w:rPr>
          <w:sz w:val="24"/>
          <w:szCs w:val="24"/>
        </w:rPr>
        <w:t>th</w:t>
      </w:r>
      <w:r w:rsidR="006E4A8F">
        <w:rPr>
          <w:sz w:val="24"/>
          <w:szCs w:val="24"/>
        </w:rPr>
        <w:t xml:space="preserve">e burden </w:t>
      </w:r>
      <w:r w:rsidR="00585F09">
        <w:rPr>
          <w:sz w:val="24"/>
          <w:szCs w:val="24"/>
        </w:rPr>
        <w:t xml:space="preserve">for these </w:t>
      </w:r>
      <w:r w:rsidR="0090751F">
        <w:rPr>
          <w:sz w:val="24"/>
          <w:szCs w:val="24"/>
        </w:rPr>
        <w:t xml:space="preserve">proposed </w:t>
      </w:r>
      <w:r w:rsidR="00585F09">
        <w:rPr>
          <w:sz w:val="24"/>
          <w:szCs w:val="24"/>
        </w:rPr>
        <w:t xml:space="preserve">collections </w:t>
      </w:r>
      <w:r w:rsidR="0016076D">
        <w:rPr>
          <w:sz w:val="24"/>
          <w:szCs w:val="24"/>
        </w:rPr>
        <w:t xml:space="preserve">would </w:t>
      </w:r>
      <w:r w:rsidR="006E4A8F">
        <w:rPr>
          <w:sz w:val="24"/>
          <w:szCs w:val="24"/>
        </w:rPr>
        <w:t xml:space="preserve">be </w:t>
      </w:r>
      <w:r w:rsidR="006046E4">
        <w:rPr>
          <w:sz w:val="24"/>
          <w:szCs w:val="24"/>
        </w:rPr>
        <w:t>similar to the</w:t>
      </w:r>
      <w:r w:rsidR="006E4A8F">
        <w:rPr>
          <w:sz w:val="24"/>
          <w:szCs w:val="24"/>
        </w:rPr>
        <w:t xml:space="preserve"> </w:t>
      </w:r>
      <w:r w:rsidR="006046E4">
        <w:rPr>
          <w:sz w:val="24"/>
          <w:szCs w:val="24"/>
        </w:rPr>
        <w:t xml:space="preserve">burden approved under </w:t>
      </w:r>
      <w:r w:rsidR="006E4A8F">
        <w:rPr>
          <w:sz w:val="24"/>
          <w:szCs w:val="24"/>
        </w:rPr>
        <w:t>OMB approval</w:t>
      </w:r>
      <w:r w:rsidR="00363674">
        <w:rPr>
          <w:sz w:val="24"/>
          <w:szCs w:val="24"/>
        </w:rPr>
        <w:t xml:space="preserve"> </w:t>
      </w:r>
      <w:r w:rsidR="00363674" w:rsidRPr="008B6CB1">
        <w:rPr>
          <w:sz w:val="24"/>
          <w:szCs w:val="24"/>
        </w:rPr>
        <w:t>No. 0990-0162</w:t>
      </w:r>
      <w:r w:rsidR="00255E76">
        <w:rPr>
          <w:sz w:val="24"/>
          <w:szCs w:val="24"/>
        </w:rPr>
        <w:t xml:space="preserve">.  </w:t>
      </w:r>
      <w:r w:rsidR="003E3858">
        <w:rPr>
          <w:sz w:val="24"/>
          <w:szCs w:val="24"/>
        </w:rPr>
        <w:t xml:space="preserve">First, </w:t>
      </w:r>
      <w:r w:rsidR="00170AC5">
        <w:rPr>
          <w:sz w:val="24"/>
          <w:szCs w:val="24"/>
        </w:rPr>
        <w:t>the</w:t>
      </w:r>
      <w:r w:rsidR="006B2E4B">
        <w:rPr>
          <w:sz w:val="24"/>
          <w:szCs w:val="24"/>
        </w:rPr>
        <w:t xml:space="preserve"> </w:t>
      </w:r>
      <w:r w:rsidR="006F542F">
        <w:rPr>
          <w:sz w:val="24"/>
          <w:szCs w:val="24"/>
        </w:rPr>
        <w:t>currently</w:t>
      </w:r>
      <w:r w:rsidR="006B2E4B">
        <w:rPr>
          <w:sz w:val="24"/>
          <w:szCs w:val="24"/>
        </w:rPr>
        <w:t xml:space="preserve"> approved burden estimate for the </w:t>
      </w:r>
      <w:r w:rsidR="00A810F9">
        <w:rPr>
          <w:sz w:val="24"/>
          <w:szCs w:val="24"/>
        </w:rPr>
        <w:t>“</w:t>
      </w:r>
      <w:r w:rsidR="006B2E4B">
        <w:rPr>
          <w:sz w:val="24"/>
          <w:szCs w:val="24"/>
        </w:rPr>
        <w:t>Annual Report</w:t>
      </w:r>
      <w:r w:rsidR="00A810F9">
        <w:rPr>
          <w:sz w:val="24"/>
          <w:szCs w:val="24"/>
        </w:rPr>
        <w:t>”</w:t>
      </w:r>
      <w:r w:rsidR="006B2E4B">
        <w:rPr>
          <w:sz w:val="24"/>
          <w:szCs w:val="24"/>
        </w:rPr>
        <w:t xml:space="preserve"> </w:t>
      </w:r>
      <w:r w:rsidR="006F542F">
        <w:rPr>
          <w:sz w:val="24"/>
          <w:szCs w:val="24"/>
        </w:rPr>
        <w:t>is</w:t>
      </w:r>
      <w:r w:rsidR="006B2E4B">
        <w:rPr>
          <w:sz w:val="24"/>
          <w:szCs w:val="24"/>
        </w:rPr>
        <w:t xml:space="preserve"> 88 hours per respondent. </w:t>
      </w:r>
      <w:r w:rsidR="00ED5C35">
        <w:rPr>
          <w:sz w:val="24"/>
          <w:szCs w:val="24"/>
        </w:rPr>
        <w:t xml:space="preserve"> </w:t>
      </w:r>
      <w:r w:rsidR="006B2E4B">
        <w:rPr>
          <w:sz w:val="24"/>
          <w:szCs w:val="24"/>
        </w:rPr>
        <w:t>Because t</w:t>
      </w:r>
      <w:r w:rsidR="008B6CB1">
        <w:rPr>
          <w:sz w:val="24"/>
          <w:szCs w:val="24"/>
        </w:rPr>
        <w:t xml:space="preserve">he burden previously assigned to the </w:t>
      </w:r>
      <w:r w:rsidR="00A810F9">
        <w:rPr>
          <w:sz w:val="24"/>
          <w:szCs w:val="24"/>
        </w:rPr>
        <w:t>“</w:t>
      </w:r>
      <w:r w:rsidR="008B6CB1">
        <w:rPr>
          <w:sz w:val="24"/>
          <w:szCs w:val="24"/>
        </w:rPr>
        <w:t>Annual Report</w:t>
      </w:r>
      <w:r w:rsidR="00A810F9">
        <w:rPr>
          <w:sz w:val="24"/>
          <w:szCs w:val="24"/>
        </w:rPr>
        <w:t>”</w:t>
      </w:r>
      <w:r w:rsidR="008B6CB1">
        <w:rPr>
          <w:sz w:val="24"/>
          <w:szCs w:val="24"/>
        </w:rPr>
        <w:t xml:space="preserve"> would shift to the separate </w:t>
      </w:r>
      <w:r w:rsidR="003151B9">
        <w:rPr>
          <w:sz w:val="24"/>
          <w:szCs w:val="24"/>
        </w:rPr>
        <w:t xml:space="preserve">annual </w:t>
      </w:r>
      <w:r w:rsidR="008B6CB1">
        <w:rPr>
          <w:sz w:val="24"/>
          <w:szCs w:val="24"/>
        </w:rPr>
        <w:t xml:space="preserve">statistical report provided at the end of the </w:t>
      </w:r>
      <w:proofErr w:type="spellStart"/>
      <w:r w:rsidR="00902D52">
        <w:rPr>
          <w:sz w:val="24"/>
          <w:szCs w:val="24"/>
        </w:rPr>
        <w:t>FFY</w:t>
      </w:r>
      <w:proofErr w:type="spellEnd"/>
      <w:r w:rsidR="006B2E4B">
        <w:rPr>
          <w:sz w:val="24"/>
          <w:szCs w:val="24"/>
        </w:rPr>
        <w:t xml:space="preserve">, we have re-estimated that preparing the brief narrative </w:t>
      </w:r>
      <w:r w:rsidR="008C4C76">
        <w:rPr>
          <w:sz w:val="24"/>
          <w:szCs w:val="24"/>
        </w:rPr>
        <w:t xml:space="preserve">would take 3 hours per respondent, as noted in Table 12A.  Based on reports from </w:t>
      </w:r>
      <w:proofErr w:type="spellStart"/>
      <w:r w:rsidR="008C4C76">
        <w:rPr>
          <w:sz w:val="24"/>
          <w:szCs w:val="24"/>
        </w:rPr>
        <w:t>MFCU</w:t>
      </w:r>
      <w:proofErr w:type="spellEnd"/>
      <w:r w:rsidR="008C4C76">
        <w:rPr>
          <w:sz w:val="24"/>
          <w:szCs w:val="24"/>
        </w:rPr>
        <w:t xml:space="preserve"> officials, providing </w:t>
      </w:r>
      <w:r w:rsidR="006B2E4B">
        <w:rPr>
          <w:sz w:val="24"/>
          <w:szCs w:val="24"/>
        </w:rPr>
        <w:t>information on data mining activities</w:t>
      </w:r>
      <w:r w:rsidR="008C4C76">
        <w:rPr>
          <w:sz w:val="24"/>
          <w:szCs w:val="24"/>
        </w:rPr>
        <w:t>, if required, would require 1 hour of additional burden, as is currently approved.</w:t>
      </w:r>
      <w:r w:rsidR="006B2E4B">
        <w:rPr>
          <w:sz w:val="24"/>
          <w:szCs w:val="24"/>
        </w:rPr>
        <w:t xml:space="preserve"> </w:t>
      </w:r>
      <w:r w:rsidR="008C4C76">
        <w:rPr>
          <w:sz w:val="24"/>
          <w:szCs w:val="24"/>
        </w:rPr>
        <w:t xml:space="preserve"> </w:t>
      </w:r>
      <w:r w:rsidR="006B2E4B">
        <w:rPr>
          <w:sz w:val="24"/>
          <w:szCs w:val="24"/>
        </w:rPr>
        <w:t xml:space="preserve">We </w:t>
      </w:r>
      <w:r w:rsidR="006F542F">
        <w:rPr>
          <w:sz w:val="24"/>
          <w:szCs w:val="24"/>
        </w:rPr>
        <w:t xml:space="preserve">have </w:t>
      </w:r>
      <w:r w:rsidR="006B2E4B">
        <w:rPr>
          <w:sz w:val="24"/>
          <w:szCs w:val="24"/>
        </w:rPr>
        <w:t xml:space="preserve">then shifted most of the balance of the </w:t>
      </w:r>
      <w:r w:rsidR="00170AC5">
        <w:rPr>
          <w:sz w:val="24"/>
          <w:szCs w:val="24"/>
        </w:rPr>
        <w:t>current</w:t>
      </w:r>
      <w:r w:rsidR="006B2E4B">
        <w:rPr>
          <w:sz w:val="24"/>
          <w:szCs w:val="24"/>
        </w:rPr>
        <w:t xml:space="preserve"> </w:t>
      </w:r>
      <w:r w:rsidR="00A810F9">
        <w:rPr>
          <w:sz w:val="24"/>
          <w:szCs w:val="24"/>
        </w:rPr>
        <w:t>“</w:t>
      </w:r>
      <w:r w:rsidR="006B2E4B">
        <w:rPr>
          <w:sz w:val="24"/>
          <w:szCs w:val="24"/>
        </w:rPr>
        <w:t>Annual Report</w:t>
      </w:r>
      <w:r w:rsidR="00A810F9">
        <w:rPr>
          <w:sz w:val="24"/>
          <w:szCs w:val="24"/>
        </w:rPr>
        <w:t>”</w:t>
      </w:r>
      <w:r w:rsidR="006B2E4B">
        <w:rPr>
          <w:sz w:val="24"/>
          <w:szCs w:val="24"/>
        </w:rPr>
        <w:t xml:space="preserve"> burden </w:t>
      </w:r>
      <w:r w:rsidR="00467079">
        <w:rPr>
          <w:sz w:val="24"/>
          <w:szCs w:val="24"/>
        </w:rPr>
        <w:t xml:space="preserve">(80 hours) </w:t>
      </w:r>
      <w:r w:rsidR="006B2E4B">
        <w:rPr>
          <w:sz w:val="24"/>
          <w:szCs w:val="24"/>
        </w:rPr>
        <w:t xml:space="preserve">to </w:t>
      </w:r>
      <w:r w:rsidR="006F542F">
        <w:rPr>
          <w:sz w:val="24"/>
          <w:szCs w:val="24"/>
        </w:rPr>
        <w:t xml:space="preserve">the </w:t>
      </w:r>
      <w:r w:rsidR="006B2E4B">
        <w:rPr>
          <w:sz w:val="24"/>
          <w:szCs w:val="24"/>
        </w:rPr>
        <w:t xml:space="preserve">proposed </w:t>
      </w:r>
      <w:r w:rsidR="009F5C3B">
        <w:rPr>
          <w:sz w:val="24"/>
          <w:szCs w:val="24"/>
        </w:rPr>
        <w:t>a</w:t>
      </w:r>
      <w:r w:rsidR="006B2E4B">
        <w:rPr>
          <w:sz w:val="24"/>
          <w:szCs w:val="24"/>
        </w:rPr>
        <w:t xml:space="preserve">nnual </w:t>
      </w:r>
      <w:r w:rsidR="009F5C3B">
        <w:rPr>
          <w:sz w:val="24"/>
          <w:szCs w:val="24"/>
        </w:rPr>
        <w:t>s</w:t>
      </w:r>
      <w:r w:rsidR="006B2E4B">
        <w:rPr>
          <w:sz w:val="24"/>
          <w:szCs w:val="24"/>
        </w:rPr>
        <w:t xml:space="preserve">tatistical </w:t>
      </w:r>
      <w:r w:rsidR="009F5C3B">
        <w:rPr>
          <w:sz w:val="24"/>
          <w:szCs w:val="24"/>
        </w:rPr>
        <w:t>r</w:t>
      </w:r>
      <w:r w:rsidR="006B2E4B">
        <w:rPr>
          <w:sz w:val="24"/>
          <w:szCs w:val="24"/>
        </w:rPr>
        <w:t>eport</w:t>
      </w:r>
      <w:r w:rsidR="00FD411C">
        <w:rPr>
          <w:sz w:val="24"/>
          <w:szCs w:val="24"/>
        </w:rPr>
        <w:t xml:space="preserve">, also noted in Table 12A. </w:t>
      </w:r>
      <w:r w:rsidR="009F5C3B">
        <w:rPr>
          <w:sz w:val="24"/>
          <w:szCs w:val="24"/>
        </w:rPr>
        <w:t xml:space="preserve"> </w:t>
      </w:r>
      <w:r w:rsidR="003E3858">
        <w:rPr>
          <w:sz w:val="24"/>
          <w:szCs w:val="24"/>
        </w:rPr>
        <w:t>We believe that most of</w:t>
      </w:r>
      <w:r w:rsidR="009F5C3B">
        <w:rPr>
          <w:sz w:val="24"/>
          <w:szCs w:val="24"/>
        </w:rPr>
        <w:t xml:space="preserve"> the burden for preparing the annual statistical report </w:t>
      </w:r>
      <w:r w:rsidR="00717C3B">
        <w:rPr>
          <w:sz w:val="24"/>
          <w:szCs w:val="24"/>
        </w:rPr>
        <w:t xml:space="preserve">consists of </w:t>
      </w:r>
      <w:r w:rsidR="009F5C3B">
        <w:rPr>
          <w:sz w:val="24"/>
          <w:szCs w:val="24"/>
        </w:rPr>
        <w:t xml:space="preserve">the ongoing updating of the </w:t>
      </w:r>
      <w:r w:rsidR="00717C3B">
        <w:rPr>
          <w:sz w:val="24"/>
          <w:szCs w:val="24"/>
        </w:rPr>
        <w:t>Unit’s case management system</w:t>
      </w:r>
      <w:r w:rsidR="003E3858">
        <w:rPr>
          <w:sz w:val="24"/>
          <w:szCs w:val="24"/>
        </w:rPr>
        <w:t xml:space="preserve"> and not for the uploading of the actual report, so we believe the </w:t>
      </w:r>
      <w:r w:rsidR="003E3858">
        <w:rPr>
          <w:sz w:val="24"/>
          <w:szCs w:val="24"/>
        </w:rPr>
        <w:lastRenderedPageBreak/>
        <w:t xml:space="preserve">estimate is accurate.  </w:t>
      </w:r>
      <w:r w:rsidR="003151B9">
        <w:rPr>
          <w:sz w:val="24"/>
          <w:szCs w:val="24"/>
        </w:rPr>
        <w:t>Second, t</w:t>
      </w:r>
      <w:r w:rsidR="008B6CB1">
        <w:rPr>
          <w:sz w:val="24"/>
          <w:szCs w:val="24"/>
        </w:rPr>
        <w:t xml:space="preserve">he recertification reapplication information request </w:t>
      </w:r>
      <w:r w:rsidR="006B2E4B">
        <w:rPr>
          <w:sz w:val="24"/>
          <w:szCs w:val="24"/>
        </w:rPr>
        <w:t>has not changed</w:t>
      </w:r>
      <w:r w:rsidR="001A2BE3">
        <w:rPr>
          <w:sz w:val="24"/>
          <w:szCs w:val="24"/>
        </w:rPr>
        <w:t xml:space="preserve"> from current practice</w:t>
      </w:r>
      <w:r w:rsidR="00ED5C35">
        <w:rPr>
          <w:sz w:val="24"/>
          <w:szCs w:val="24"/>
        </w:rPr>
        <w:t xml:space="preserve"> </w:t>
      </w:r>
      <w:r w:rsidR="005B6BF4">
        <w:rPr>
          <w:sz w:val="24"/>
          <w:szCs w:val="24"/>
        </w:rPr>
        <w:t xml:space="preserve">and is </w:t>
      </w:r>
      <w:r w:rsidR="00ED5C35">
        <w:rPr>
          <w:sz w:val="24"/>
          <w:szCs w:val="24"/>
        </w:rPr>
        <w:t xml:space="preserve">approved </w:t>
      </w:r>
      <w:r w:rsidR="006F542F">
        <w:rPr>
          <w:sz w:val="24"/>
          <w:szCs w:val="24"/>
        </w:rPr>
        <w:t xml:space="preserve">under </w:t>
      </w:r>
      <w:r w:rsidR="00ED5C35" w:rsidRPr="008B6CB1">
        <w:rPr>
          <w:sz w:val="24"/>
          <w:szCs w:val="24"/>
        </w:rPr>
        <w:t>OMB No. 0990-0162</w:t>
      </w:r>
      <w:r w:rsidR="006B2E4B">
        <w:rPr>
          <w:sz w:val="24"/>
          <w:szCs w:val="24"/>
        </w:rPr>
        <w:t xml:space="preserve">.  </w:t>
      </w:r>
      <w:r w:rsidR="00FD411C">
        <w:rPr>
          <w:sz w:val="24"/>
          <w:szCs w:val="24"/>
        </w:rPr>
        <w:t xml:space="preserve">However, based </w:t>
      </w:r>
      <w:r w:rsidR="00ED5C35">
        <w:rPr>
          <w:sz w:val="24"/>
          <w:szCs w:val="24"/>
        </w:rPr>
        <w:t xml:space="preserve">on reports from </w:t>
      </w:r>
      <w:proofErr w:type="spellStart"/>
      <w:r w:rsidR="00ED5C35">
        <w:rPr>
          <w:sz w:val="24"/>
          <w:szCs w:val="24"/>
        </w:rPr>
        <w:t>MFCU</w:t>
      </w:r>
      <w:proofErr w:type="spellEnd"/>
      <w:r w:rsidR="00ED5C35">
        <w:rPr>
          <w:sz w:val="24"/>
          <w:szCs w:val="24"/>
        </w:rPr>
        <w:t xml:space="preserve"> officials</w:t>
      </w:r>
      <w:r w:rsidR="00FD411C">
        <w:rPr>
          <w:sz w:val="24"/>
          <w:szCs w:val="24"/>
        </w:rPr>
        <w:t>, we have increased</w:t>
      </w:r>
      <w:r w:rsidR="006B2E4B">
        <w:rPr>
          <w:sz w:val="24"/>
          <w:szCs w:val="24"/>
        </w:rPr>
        <w:t xml:space="preserve"> the </w:t>
      </w:r>
      <w:r w:rsidR="009A71FD">
        <w:rPr>
          <w:sz w:val="24"/>
          <w:szCs w:val="24"/>
        </w:rPr>
        <w:t xml:space="preserve">reapplication </w:t>
      </w:r>
      <w:r w:rsidR="00B06F35">
        <w:rPr>
          <w:sz w:val="24"/>
          <w:szCs w:val="24"/>
        </w:rPr>
        <w:t xml:space="preserve">information request </w:t>
      </w:r>
      <w:r w:rsidR="006B2E4B">
        <w:rPr>
          <w:sz w:val="24"/>
          <w:szCs w:val="24"/>
        </w:rPr>
        <w:t xml:space="preserve">burden estimate </w:t>
      </w:r>
      <w:r w:rsidR="00FD411C">
        <w:rPr>
          <w:sz w:val="24"/>
          <w:szCs w:val="24"/>
        </w:rPr>
        <w:t xml:space="preserve">by </w:t>
      </w:r>
      <w:r w:rsidR="00F31CA6">
        <w:rPr>
          <w:sz w:val="24"/>
          <w:szCs w:val="24"/>
        </w:rPr>
        <w:t>4</w:t>
      </w:r>
      <w:r w:rsidR="00FD411C">
        <w:rPr>
          <w:sz w:val="24"/>
          <w:szCs w:val="24"/>
        </w:rPr>
        <w:t xml:space="preserve"> hours </w:t>
      </w:r>
      <w:r w:rsidR="006B2E4B">
        <w:rPr>
          <w:sz w:val="24"/>
          <w:szCs w:val="24"/>
        </w:rPr>
        <w:t>per respondent</w:t>
      </w:r>
      <w:r w:rsidR="00467079">
        <w:rPr>
          <w:sz w:val="24"/>
          <w:szCs w:val="24"/>
        </w:rPr>
        <w:t xml:space="preserve"> to 9 hours</w:t>
      </w:r>
      <w:r w:rsidR="006B2E4B">
        <w:rPr>
          <w:sz w:val="24"/>
          <w:szCs w:val="24"/>
        </w:rPr>
        <w:t xml:space="preserve">.  </w:t>
      </w:r>
      <w:r w:rsidR="00ED5C35">
        <w:rPr>
          <w:sz w:val="24"/>
          <w:szCs w:val="24"/>
        </w:rPr>
        <w:t xml:space="preserve">Thus, we estimate that after shifting the burden </w:t>
      </w:r>
      <w:r w:rsidR="00FF0179">
        <w:rPr>
          <w:sz w:val="24"/>
          <w:szCs w:val="24"/>
        </w:rPr>
        <w:t>between collections, the total burden would be the same</w:t>
      </w:r>
      <w:r w:rsidR="00820763">
        <w:rPr>
          <w:sz w:val="24"/>
          <w:szCs w:val="24"/>
        </w:rPr>
        <w:t xml:space="preserve"> as currently approved. </w:t>
      </w:r>
      <w:r w:rsidR="00FD6886">
        <w:rPr>
          <w:sz w:val="24"/>
          <w:szCs w:val="24"/>
        </w:rPr>
        <w:t xml:space="preserve"> </w:t>
      </w:r>
    </w:p>
    <w:p w14:paraId="627E4ABD" w14:textId="77777777" w:rsidR="00834DFD" w:rsidRDefault="00834DFD" w:rsidP="004563BF">
      <w:pPr>
        <w:ind w:left="720"/>
        <w:rPr>
          <w:sz w:val="24"/>
          <w:szCs w:val="24"/>
        </w:rPr>
      </w:pPr>
    </w:p>
    <w:p w14:paraId="22061971" w14:textId="7FEFB027" w:rsidR="00E85517" w:rsidRDefault="0090751F" w:rsidP="004563BF">
      <w:pPr>
        <w:ind w:left="720"/>
        <w:rPr>
          <w:sz w:val="24"/>
          <w:szCs w:val="24"/>
        </w:rPr>
      </w:pPr>
      <w:r>
        <w:rPr>
          <w:sz w:val="24"/>
          <w:szCs w:val="24"/>
        </w:rPr>
        <w:t>B</w:t>
      </w:r>
      <w:r w:rsidR="00436788">
        <w:rPr>
          <w:sz w:val="24"/>
          <w:szCs w:val="24"/>
        </w:rPr>
        <w:t xml:space="preserve">ased on </w:t>
      </w:r>
      <w:r w:rsidR="003268D8">
        <w:rPr>
          <w:sz w:val="24"/>
          <w:szCs w:val="24"/>
        </w:rPr>
        <w:t xml:space="preserve">our knowledge of </w:t>
      </w:r>
      <w:proofErr w:type="spellStart"/>
      <w:r w:rsidR="003268D8">
        <w:rPr>
          <w:sz w:val="24"/>
          <w:szCs w:val="24"/>
        </w:rPr>
        <w:t>MFCU</w:t>
      </w:r>
      <w:proofErr w:type="spellEnd"/>
      <w:r w:rsidR="003268D8">
        <w:rPr>
          <w:sz w:val="24"/>
          <w:szCs w:val="24"/>
        </w:rPr>
        <w:t xml:space="preserve"> staff hourly rates and which </w:t>
      </w:r>
      <w:proofErr w:type="spellStart"/>
      <w:r w:rsidR="003268D8">
        <w:rPr>
          <w:sz w:val="24"/>
          <w:szCs w:val="24"/>
        </w:rPr>
        <w:t>MFCU</w:t>
      </w:r>
      <w:proofErr w:type="spellEnd"/>
      <w:r w:rsidR="003268D8">
        <w:rPr>
          <w:sz w:val="24"/>
          <w:szCs w:val="24"/>
        </w:rPr>
        <w:t xml:space="preserve"> staff person would prepare each collection</w:t>
      </w:r>
      <w:r w:rsidR="00436788">
        <w:rPr>
          <w:sz w:val="24"/>
          <w:szCs w:val="24"/>
        </w:rPr>
        <w:t>, w</w:t>
      </w:r>
      <w:r w:rsidR="00834DFD">
        <w:rPr>
          <w:sz w:val="24"/>
          <w:szCs w:val="24"/>
        </w:rPr>
        <w:t xml:space="preserve">e estimate a </w:t>
      </w:r>
      <w:proofErr w:type="spellStart"/>
      <w:r w:rsidR="00834DFD">
        <w:rPr>
          <w:sz w:val="24"/>
          <w:szCs w:val="24"/>
        </w:rPr>
        <w:t>MFCU</w:t>
      </w:r>
      <w:proofErr w:type="spellEnd"/>
      <w:r w:rsidR="00834DFD">
        <w:rPr>
          <w:sz w:val="24"/>
          <w:szCs w:val="24"/>
        </w:rPr>
        <w:t xml:space="preserve"> official </w:t>
      </w:r>
      <w:r w:rsidR="00E578C6">
        <w:rPr>
          <w:sz w:val="24"/>
          <w:szCs w:val="24"/>
        </w:rPr>
        <w:t xml:space="preserve">would </w:t>
      </w:r>
      <w:r w:rsidR="00834DFD">
        <w:rPr>
          <w:sz w:val="24"/>
          <w:szCs w:val="24"/>
        </w:rPr>
        <w:t xml:space="preserve">spend approximately </w:t>
      </w:r>
      <w:r w:rsidR="004143D0">
        <w:rPr>
          <w:sz w:val="24"/>
          <w:szCs w:val="24"/>
        </w:rPr>
        <w:t>29 hours at an estimate</w:t>
      </w:r>
      <w:r w:rsidR="008F5439">
        <w:rPr>
          <w:sz w:val="24"/>
          <w:szCs w:val="24"/>
        </w:rPr>
        <w:t>d</w:t>
      </w:r>
      <w:r w:rsidR="004143D0">
        <w:rPr>
          <w:sz w:val="24"/>
          <w:szCs w:val="24"/>
        </w:rPr>
        <w:t xml:space="preserve"> $38</w:t>
      </w:r>
      <w:r w:rsidR="00834DFD">
        <w:rPr>
          <w:sz w:val="24"/>
          <w:szCs w:val="24"/>
        </w:rPr>
        <w:t xml:space="preserve"> per hour preparing </w:t>
      </w:r>
      <w:r w:rsidR="004143D0">
        <w:rPr>
          <w:sz w:val="24"/>
          <w:szCs w:val="24"/>
        </w:rPr>
        <w:t xml:space="preserve">the </w:t>
      </w:r>
      <w:r w:rsidR="00834DFD">
        <w:rPr>
          <w:sz w:val="24"/>
          <w:szCs w:val="24"/>
        </w:rPr>
        <w:t>reapplication and annual statistical report.  We estimate that a</w:t>
      </w:r>
      <w:r w:rsidR="00E85517">
        <w:rPr>
          <w:sz w:val="24"/>
          <w:szCs w:val="24"/>
        </w:rPr>
        <w:t xml:space="preserve"> </w:t>
      </w:r>
      <w:proofErr w:type="spellStart"/>
      <w:r w:rsidR="00E85517">
        <w:rPr>
          <w:sz w:val="24"/>
          <w:szCs w:val="24"/>
        </w:rPr>
        <w:t>MFCU</w:t>
      </w:r>
      <w:proofErr w:type="spellEnd"/>
      <w:r w:rsidR="00E85517">
        <w:rPr>
          <w:sz w:val="24"/>
          <w:szCs w:val="24"/>
        </w:rPr>
        <w:t xml:space="preserve"> support staff</w:t>
      </w:r>
      <w:r w:rsidR="00902D52">
        <w:rPr>
          <w:sz w:val="24"/>
          <w:szCs w:val="24"/>
        </w:rPr>
        <w:t xml:space="preserve"> person</w:t>
      </w:r>
      <w:r w:rsidR="00E85517">
        <w:rPr>
          <w:sz w:val="24"/>
          <w:szCs w:val="24"/>
        </w:rPr>
        <w:t xml:space="preserve"> </w:t>
      </w:r>
      <w:r w:rsidR="008F5439">
        <w:rPr>
          <w:sz w:val="24"/>
          <w:szCs w:val="24"/>
        </w:rPr>
        <w:t xml:space="preserve">would </w:t>
      </w:r>
      <w:r w:rsidR="00E85517">
        <w:rPr>
          <w:sz w:val="24"/>
          <w:szCs w:val="24"/>
        </w:rPr>
        <w:t xml:space="preserve">spend approximately </w:t>
      </w:r>
      <w:r w:rsidR="008E4EE0">
        <w:rPr>
          <w:sz w:val="24"/>
          <w:szCs w:val="24"/>
        </w:rPr>
        <w:t>64</w:t>
      </w:r>
      <w:r w:rsidR="00E85517">
        <w:rPr>
          <w:sz w:val="24"/>
          <w:szCs w:val="24"/>
        </w:rPr>
        <w:t xml:space="preserve"> hours of effort at an estimated hourly rate of $1</w:t>
      </w:r>
      <w:r w:rsidR="00296479">
        <w:rPr>
          <w:sz w:val="24"/>
          <w:szCs w:val="24"/>
        </w:rPr>
        <w:t>6</w:t>
      </w:r>
      <w:r w:rsidR="00E85517">
        <w:rPr>
          <w:sz w:val="24"/>
          <w:szCs w:val="24"/>
        </w:rPr>
        <w:t xml:space="preserve"> per hour</w:t>
      </w:r>
      <w:r w:rsidR="00296479">
        <w:rPr>
          <w:sz w:val="24"/>
          <w:szCs w:val="24"/>
        </w:rPr>
        <w:t xml:space="preserve"> </w:t>
      </w:r>
      <w:r w:rsidR="00E85517">
        <w:rPr>
          <w:sz w:val="24"/>
          <w:szCs w:val="24"/>
        </w:rPr>
        <w:t xml:space="preserve">to develop draft products, fulfill data </w:t>
      </w:r>
      <w:r w:rsidR="00296479">
        <w:rPr>
          <w:sz w:val="24"/>
          <w:szCs w:val="24"/>
        </w:rPr>
        <w:t>entry</w:t>
      </w:r>
      <w:r w:rsidR="00E85517">
        <w:rPr>
          <w:sz w:val="24"/>
          <w:szCs w:val="24"/>
        </w:rPr>
        <w:t xml:space="preserve"> activities, complete all required administrative functions, and confer with the </w:t>
      </w:r>
      <w:proofErr w:type="spellStart"/>
      <w:r w:rsidR="00E85517">
        <w:rPr>
          <w:sz w:val="24"/>
          <w:szCs w:val="24"/>
        </w:rPr>
        <w:t>MFCU</w:t>
      </w:r>
      <w:proofErr w:type="spellEnd"/>
      <w:r w:rsidR="00E85517">
        <w:rPr>
          <w:sz w:val="24"/>
          <w:szCs w:val="24"/>
        </w:rPr>
        <w:t xml:space="preserve"> supervising official, all of which are necessary to finalize the collection for submission to </w:t>
      </w:r>
      <w:proofErr w:type="spellStart"/>
      <w:r w:rsidR="00E85517">
        <w:rPr>
          <w:sz w:val="24"/>
          <w:szCs w:val="24"/>
        </w:rPr>
        <w:t>OIG</w:t>
      </w:r>
      <w:proofErr w:type="spellEnd"/>
      <w:r w:rsidR="00E85517">
        <w:rPr>
          <w:sz w:val="24"/>
          <w:szCs w:val="24"/>
        </w:rPr>
        <w:t xml:space="preserve">.  </w:t>
      </w:r>
      <w:r w:rsidR="007005A2">
        <w:rPr>
          <w:sz w:val="24"/>
          <w:szCs w:val="24"/>
        </w:rPr>
        <w:t>Based on these estimated hours and staff wage rates, the weig</w:t>
      </w:r>
      <w:r w:rsidR="0054036A">
        <w:rPr>
          <w:sz w:val="24"/>
          <w:szCs w:val="24"/>
        </w:rPr>
        <w:t>hted average wage rate is $2</w:t>
      </w:r>
      <w:r w:rsidR="008E4EE0">
        <w:rPr>
          <w:sz w:val="24"/>
          <w:szCs w:val="24"/>
        </w:rPr>
        <w:t>2.85</w:t>
      </w:r>
      <w:r w:rsidR="00834DFD">
        <w:rPr>
          <w:sz w:val="24"/>
          <w:szCs w:val="24"/>
        </w:rPr>
        <w:t xml:space="preserve"> </w:t>
      </w:r>
      <w:r w:rsidR="007005A2">
        <w:rPr>
          <w:sz w:val="24"/>
          <w:szCs w:val="24"/>
        </w:rPr>
        <w:t xml:space="preserve">per hour.  </w:t>
      </w:r>
      <w:r w:rsidR="003364D0">
        <w:rPr>
          <w:sz w:val="24"/>
          <w:szCs w:val="24"/>
        </w:rPr>
        <w:t xml:space="preserve">Thus, identical </w:t>
      </w:r>
      <w:r w:rsidR="00467079">
        <w:rPr>
          <w:sz w:val="24"/>
          <w:szCs w:val="24"/>
        </w:rPr>
        <w:t>to</w:t>
      </w:r>
      <w:r w:rsidR="003364D0">
        <w:rPr>
          <w:sz w:val="24"/>
          <w:szCs w:val="24"/>
        </w:rPr>
        <w:t xml:space="preserve"> the </w:t>
      </w:r>
      <w:r w:rsidR="00467079">
        <w:rPr>
          <w:sz w:val="24"/>
          <w:szCs w:val="24"/>
        </w:rPr>
        <w:t>estimate</w:t>
      </w:r>
      <w:r w:rsidR="003364D0">
        <w:rPr>
          <w:sz w:val="24"/>
          <w:szCs w:val="24"/>
        </w:rPr>
        <w:t xml:space="preserve"> that was approved under</w:t>
      </w:r>
      <w:r w:rsidR="003364D0" w:rsidRPr="00E578C6">
        <w:rPr>
          <w:sz w:val="24"/>
          <w:szCs w:val="24"/>
        </w:rPr>
        <w:t xml:space="preserve"> </w:t>
      </w:r>
      <w:r w:rsidR="003364D0">
        <w:rPr>
          <w:sz w:val="24"/>
          <w:szCs w:val="24"/>
        </w:rPr>
        <w:t>OMB No. 0990-</w:t>
      </w:r>
      <w:proofErr w:type="gramStart"/>
      <w:r w:rsidR="003364D0">
        <w:rPr>
          <w:sz w:val="24"/>
          <w:szCs w:val="24"/>
        </w:rPr>
        <w:t>0162,</w:t>
      </w:r>
      <w:proofErr w:type="gramEnd"/>
      <w:r w:rsidR="003364D0">
        <w:rPr>
          <w:sz w:val="24"/>
          <w:szCs w:val="24"/>
        </w:rPr>
        <w:t xml:space="preserve"> </w:t>
      </w:r>
      <w:r w:rsidR="00E627BB">
        <w:rPr>
          <w:sz w:val="24"/>
          <w:szCs w:val="24"/>
        </w:rPr>
        <w:t xml:space="preserve">our best estimate is that </w:t>
      </w:r>
      <w:r w:rsidR="003364D0">
        <w:rPr>
          <w:sz w:val="24"/>
          <w:szCs w:val="24"/>
        </w:rPr>
        <w:t>a</w:t>
      </w:r>
      <w:r w:rsidR="00E85517">
        <w:rPr>
          <w:sz w:val="24"/>
          <w:szCs w:val="24"/>
        </w:rPr>
        <w:t xml:space="preserve">bout 93 burden hours </w:t>
      </w:r>
      <w:r w:rsidR="008F5439">
        <w:rPr>
          <w:sz w:val="24"/>
          <w:szCs w:val="24"/>
        </w:rPr>
        <w:t xml:space="preserve">would be </w:t>
      </w:r>
      <w:r w:rsidR="00E85517">
        <w:rPr>
          <w:sz w:val="24"/>
          <w:szCs w:val="24"/>
        </w:rPr>
        <w:t xml:space="preserve">expended by each </w:t>
      </w:r>
      <w:r w:rsidR="00484CB2">
        <w:rPr>
          <w:sz w:val="24"/>
          <w:szCs w:val="24"/>
        </w:rPr>
        <w:t xml:space="preserve">of the 50 </w:t>
      </w:r>
      <w:proofErr w:type="spellStart"/>
      <w:r w:rsidR="00E85517">
        <w:rPr>
          <w:sz w:val="24"/>
          <w:szCs w:val="24"/>
        </w:rPr>
        <w:t>MFCU</w:t>
      </w:r>
      <w:r w:rsidR="00484CB2">
        <w:rPr>
          <w:sz w:val="24"/>
          <w:szCs w:val="24"/>
        </w:rPr>
        <w:t>s</w:t>
      </w:r>
      <w:proofErr w:type="spellEnd"/>
      <w:r w:rsidR="00E85517">
        <w:rPr>
          <w:sz w:val="24"/>
          <w:szCs w:val="24"/>
        </w:rPr>
        <w:t>.</w:t>
      </w:r>
      <w:r w:rsidR="00436788">
        <w:rPr>
          <w:sz w:val="24"/>
          <w:szCs w:val="24"/>
        </w:rPr>
        <w:t xml:space="preserve">  </w:t>
      </w:r>
    </w:p>
    <w:p w14:paraId="5F0AC34A" w14:textId="77777777" w:rsidR="00E85517" w:rsidRDefault="00E85517" w:rsidP="004563BF">
      <w:pPr>
        <w:rPr>
          <w:sz w:val="24"/>
          <w:szCs w:val="24"/>
        </w:rPr>
      </w:pPr>
    </w:p>
    <w:p w14:paraId="3AF2D369" w14:textId="66E38D88" w:rsidR="00E85517" w:rsidRPr="00C537FD" w:rsidRDefault="00E85517" w:rsidP="004563BF">
      <w:pPr>
        <w:rPr>
          <w:i/>
          <w:sz w:val="24"/>
          <w:szCs w:val="24"/>
        </w:rPr>
      </w:pPr>
      <w:r>
        <w:rPr>
          <w:b/>
          <w:bCs/>
          <w:sz w:val="24"/>
          <w:szCs w:val="24"/>
        </w:rPr>
        <w:tab/>
      </w:r>
      <w:r>
        <w:rPr>
          <w:b/>
          <w:bCs/>
          <w:sz w:val="24"/>
          <w:szCs w:val="24"/>
        </w:rPr>
        <w:tab/>
      </w:r>
      <w:r w:rsidRPr="00C537FD">
        <w:rPr>
          <w:i/>
          <w:sz w:val="24"/>
          <w:szCs w:val="24"/>
        </w:rPr>
        <w:t>12A</w:t>
      </w:r>
      <w:r w:rsidR="00B80EFB" w:rsidRPr="00C537FD">
        <w:rPr>
          <w:i/>
          <w:sz w:val="24"/>
          <w:szCs w:val="24"/>
        </w:rPr>
        <w:t xml:space="preserve">. </w:t>
      </w:r>
      <w:r w:rsidR="00B80EFB" w:rsidRPr="00C537FD">
        <w:rPr>
          <w:b/>
          <w:bCs/>
          <w:i/>
          <w:sz w:val="24"/>
          <w:szCs w:val="24"/>
        </w:rPr>
        <w:t>Estimated</w:t>
      </w:r>
      <w:r w:rsidRPr="00C537FD">
        <w:rPr>
          <w:i/>
          <w:sz w:val="24"/>
          <w:szCs w:val="24"/>
        </w:rPr>
        <w:t xml:space="preserve"> </w:t>
      </w:r>
      <w:r>
        <w:rPr>
          <w:i/>
          <w:sz w:val="24"/>
          <w:szCs w:val="24"/>
        </w:rPr>
        <w:t>Annual</w:t>
      </w:r>
      <w:r w:rsidRPr="00C537FD">
        <w:rPr>
          <w:i/>
          <w:sz w:val="24"/>
          <w:szCs w:val="24"/>
        </w:rPr>
        <w:t xml:space="preserve"> Burden Hours</w:t>
      </w:r>
      <w:r w:rsidRPr="00C537FD">
        <w:rPr>
          <w:i/>
          <w:sz w:val="24"/>
          <w:szCs w:val="24"/>
        </w:rPr>
        <w:tab/>
      </w:r>
    </w:p>
    <w:p w14:paraId="10A541B5" w14:textId="77777777" w:rsidR="00E85517" w:rsidRDefault="00E85517" w:rsidP="004563BF">
      <w:pPr>
        <w:rPr>
          <w:sz w:val="24"/>
          <w:szCs w:val="24"/>
        </w:rPr>
      </w:pPr>
      <w:r>
        <w:rPr>
          <w:sz w:val="24"/>
          <w:szCs w:val="24"/>
        </w:rPr>
        <w:tab/>
      </w:r>
      <w:r>
        <w:rPr>
          <w:sz w:val="24"/>
          <w:szCs w:val="24"/>
        </w:rPr>
        <w:tab/>
      </w:r>
    </w:p>
    <w:tbl>
      <w:tblPr>
        <w:tblW w:w="9720" w:type="dxa"/>
        <w:tblInd w:w="100" w:type="dxa"/>
        <w:tblLayout w:type="fixed"/>
        <w:tblCellMar>
          <w:left w:w="100" w:type="dxa"/>
          <w:right w:w="100" w:type="dxa"/>
        </w:tblCellMar>
        <w:tblLook w:val="0000" w:firstRow="0" w:lastRow="0" w:firstColumn="0" w:lastColumn="0" w:noHBand="0" w:noVBand="0"/>
      </w:tblPr>
      <w:tblGrid>
        <w:gridCol w:w="1783"/>
        <w:gridCol w:w="1426"/>
        <w:gridCol w:w="1337"/>
        <w:gridCol w:w="1605"/>
        <w:gridCol w:w="1961"/>
        <w:gridCol w:w="1608"/>
      </w:tblGrid>
      <w:tr w:rsidR="00E85517" w14:paraId="03A429BE" w14:textId="77777777" w:rsidTr="00C537FD">
        <w:trPr>
          <w:cantSplit/>
          <w:trHeight w:val="595"/>
        </w:trPr>
        <w:tc>
          <w:tcPr>
            <w:tcW w:w="1783" w:type="dxa"/>
            <w:tcBorders>
              <w:top w:val="single" w:sz="6" w:space="0" w:color="000000"/>
              <w:left w:val="single" w:sz="6" w:space="0" w:color="000000"/>
              <w:bottom w:val="nil"/>
              <w:right w:val="nil"/>
            </w:tcBorders>
          </w:tcPr>
          <w:p w14:paraId="2ED67913" w14:textId="77777777" w:rsidR="00E85517" w:rsidRDefault="00E85517" w:rsidP="004563BF">
            <w:pPr>
              <w:spacing w:before="100" w:after="48"/>
              <w:jc w:val="center"/>
            </w:pPr>
            <w:r>
              <w:t xml:space="preserve"> Respondent  </w:t>
            </w:r>
          </w:p>
        </w:tc>
        <w:tc>
          <w:tcPr>
            <w:tcW w:w="1426" w:type="dxa"/>
            <w:tcBorders>
              <w:top w:val="single" w:sz="6" w:space="0" w:color="000000"/>
              <w:left w:val="single" w:sz="6" w:space="0" w:color="000000"/>
              <w:bottom w:val="nil"/>
              <w:right w:val="nil"/>
            </w:tcBorders>
          </w:tcPr>
          <w:p w14:paraId="74EF89D8" w14:textId="77777777" w:rsidR="00E85517" w:rsidRDefault="009B3E6F" w:rsidP="004563BF">
            <w:pPr>
              <w:spacing w:before="100" w:after="48"/>
              <w:jc w:val="center"/>
            </w:pPr>
            <w:r>
              <w:t>Collection</w:t>
            </w:r>
          </w:p>
        </w:tc>
        <w:tc>
          <w:tcPr>
            <w:tcW w:w="1337" w:type="dxa"/>
            <w:tcBorders>
              <w:top w:val="single" w:sz="6" w:space="0" w:color="000000"/>
              <w:left w:val="single" w:sz="6" w:space="0" w:color="000000"/>
              <w:bottom w:val="nil"/>
              <w:right w:val="nil"/>
            </w:tcBorders>
          </w:tcPr>
          <w:p w14:paraId="2488094C" w14:textId="77777777" w:rsidR="00E85517" w:rsidRDefault="00E85517" w:rsidP="0054036A">
            <w:pPr>
              <w:spacing w:before="100" w:after="48"/>
              <w:jc w:val="center"/>
            </w:pPr>
            <w:r>
              <w:t>Number of  Respondents</w:t>
            </w:r>
          </w:p>
        </w:tc>
        <w:tc>
          <w:tcPr>
            <w:tcW w:w="1605" w:type="dxa"/>
            <w:tcBorders>
              <w:top w:val="single" w:sz="6" w:space="0" w:color="000000"/>
              <w:left w:val="single" w:sz="6" w:space="0" w:color="000000"/>
              <w:bottom w:val="nil"/>
              <w:right w:val="nil"/>
            </w:tcBorders>
          </w:tcPr>
          <w:p w14:paraId="11D97CC2" w14:textId="77777777" w:rsidR="00E85517" w:rsidRDefault="00E85517" w:rsidP="0054036A">
            <w:pPr>
              <w:spacing w:before="100"/>
              <w:jc w:val="center"/>
            </w:pPr>
            <w:r>
              <w:t>Number of Responses</w:t>
            </w:r>
          </w:p>
          <w:p w14:paraId="5F93D147" w14:textId="77777777" w:rsidR="00E85517" w:rsidRDefault="00E85517" w:rsidP="0054036A">
            <w:pPr>
              <w:spacing w:after="48"/>
              <w:jc w:val="center"/>
            </w:pPr>
            <w:r>
              <w:t>per Respondent</w:t>
            </w:r>
          </w:p>
        </w:tc>
        <w:tc>
          <w:tcPr>
            <w:tcW w:w="1961" w:type="dxa"/>
            <w:tcBorders>
              <w:top w:val="single" w:sz="6" w:space="0" w:color="000000"/>
              <w:left w:val="single" w:sz="6" w:space="0" w:color="000000"/>
              <w:bottom w:val="nil"/>
              <w:right w:val="nil"/>
            </w:tcBorders>
          </w:tcPr>
          <w:p w14:paraId="44D0707A" w14:textId="77777777" w:rsidR="00E85517" w:rsidRDefault="00E85517" w:rsidP="0054036A">
            <w:pPr>
              <w:spacing w:before="100" w:after="48"/>
              <w:jc w:val="center"/>
            </w:pPr>
            <w:r>
              <w:t>Average Burden per Response (in hours)</w:t>
            </w:r>
          </w:p>
        </w:tc>
        <w:tc>
          <w:tcPr>
            <w:tcW w:w="1608" w:type="dxa"/>
            <w:tcBorders>
              <w:top w:val="single" w:sz="6" w:space="0" w:color="000000"/>
              <w:left w:val="single" w:sz="6" w:space="0" w:color="000000"/>
              <w:bottom w:val="nil"/>
              <w:right w:val="single" w:sz="6" w:space="0" w:color="000000"/>
            </w:tcBorders>
          </w:tcPr>
          <w:p w14:paraId="0B77D071" w14:textId="77777777" w:rsidR="00E85517" w:rsidRDefault="00E85517" w:rsidP="0054036A">
            <w:pPr>
              <w:spacing w:before="100"/>
              <w:jc w:val="center"/>
            </w:pPr>
            <w:r>
              <w:t>Total</w:t>
            </w:r>
          </w:p>
          <w:p w14:paraId="0E84238B" w14:textId="77777777" w:rsidR="00E85517" w:rsidRDefault="00E85517" w:rsidP="0054036A">
            <w:pPr>
              <w:jc w:val="center"/>
            </w:pPr>
            <w:r>
              <w:t>Burden</w:t>
            </w:r>
          </w:p>
          <w:p w14:paraId="7E545094" w14:textId="77777777" w:rsidR="00E85517" w:rsidRDefault="00E85517" w:rsidP="0054036A">
            <w:pPr>
              <w:spacing w:after="48"/>
              <w:jc w:val="center"/>
            </w:pPr>
            <w:r>
              <w:t>Hours</w:t>
            </w:r>
          </w:p>
        </w:tc>
      </w:tr>
      <w:tr w:rsidR="00E85517" w14:paraId="5A1529AA" w14:textId="77777777" w:rsidTr="00C537FD">
        <w:trPr>
          <w:cantSplit/>
          <w:trHeight w:val="438"/>
        </w:trPr>
        <w:tc>
          <w:tcPr>
            <w:tcW w:w="1783" w:type="dxa"/>
            <w:tcBorders>
              <w:top w:val="single" w:sz="6" w:space="0" w:color="000000"/>
              <w:left w:val="single" w:sz="6" w:space="0" w:color="000000"/>
              <w:bottom w:val="single" w:sz="6" w:space="0" w:color="000000"/>
              <w:right w:val="nil"/>
            </w:tcBorders>
          </w:tcPr>
          <w:p w14:paraId="4BE207C2" w14:textId="77777777" w:rsidR="00E85517" w:rsidRDefault="00E85517" w:rsidP="004563BF">
            <w:pPr>
              <w:spacing w:before="100" w:after="48"/>
            </w:pPr>
            <w:proofErr w:type="spellStart"/>
            <w:r>
              <w:t>MFCU</w:t>
            </w:r>
            <w:proofErr w:type="spellEnd"/>
          </w:p>
        </w:tc>
        <w:tc>
          <w:tcPr>
            <w:tcW w:w="1426" w:type="dxa"/>
            <w:tcBorders>
              <w:top w:val="single" w:sz="6" w:space="0" w:color="000000"/>
              <w:left w:val="single" w:sz="6" w:space="0" w:color="000000"/>
              <w:bottom w:val="single" w:sz="6" w:space="0" w:color="000000"/>
              <w:right w:val="nil"/>
            </w:tcBorders>
          </w:tcPr>
          <w:p w14:paraId="39507DFC" w14:textId="77777777" w:rsidR="00E85517" w:rsidRDefault="009B3E6F" w:rsidP="004563BF">
            <w:pPr>
              <w:spacing w:before="100" w:after="48"/>
            </w:pPr>
            <w:r>
              <w:t>1007.17(a)(1)</w:t>
            </w:r>
            <w:r w:rsidR="00A157D8">
              <w:t>(</w:t>
            </w:r>
            <w:proofErr w:type="spellStart"/>
            <w:r w:rsidR="00A157D8">
              <w:t>i</w:t>
            </w:r>
            <w:proofErr w:type="spellEnd"/>
            <w:r w:rsidR="00A157D8">
              <w:t xml:space="preserve">) </w:t>
            </w:r>
            <w:r>
              <w:t xml:space="preserve">Brief Narrative </w:t>
            </w:r>
          </w:p>
        </w:tc>
        <w:tc>
          <w:tcPr>
            <w:tcW w:w="1337" w:type="dxa"/>
            <w:tcBorders>
              <w:top w:val="single" w:sz="6" w:space="0" w:color="000000"/>
              <w:left w:val="single" w:sz="6" w:space="0" w:color="000000"/>
              <w:bottom w:val="single" w:sz="6" w:space="0" w:color="000000"/>
              <w:right w:val="nil"/>
            </w:tcBorders>
          </w:tcPr>
          <w:p w14:paraId="5FFE0496" w14:textId="77777777" w:rsidR="00E85517" w:rsidRDefault="00E85517" w:rsidP="004563BF">
            <w:pPr>
              <w:spacing w:before="100" w:after="48"/>
              <w:jc w:val="center"/>
            </w:pPr>
            <w:r>
              <w:t>50</w:t>
            </w:r>
          </w:p>
        </w:tc>
        <w:tc>
          <w:tcPr>
            <w:tcW w:w="1605" w:type="dxa"/>
            <w:tcBorders>
              <w:top w:val="single" w:sz="6" w:space="0" w:color="000000"/>
              <w:left w:val="single" w:sz="6" w:space="0" w:color="000000"/>
              <w:bottom w:val="single" w:sz="6" w:space="0" w:color="000000"/>
              <w:right w:val="nil"/>
            </w:tcBorders>
          </w:tcPr>
          <w:p w14:paraId="2F02D8BE" w14:textId="77777777" w:rsidR="00E85517" w:rsidRDefault="00E85517" w:rsidP="004563BF">
            <w:pPr>
              <w:spacing w:before="100" w:after="48"/>
              <w:jc w:val="center"/>
            </w:pPr>
            <w:r>
              <w:t>1</w:t>
            </w:r>
          </w:p>
        </w:tc>
        <w:tc>
          <w:tcPr>
            <w:tcW w:w="1961" w:type="dxa"/>
            <w:tcBorders>
              <w:top w:val="single" w:sz="6" w:space="0" w:color="000000"/>
              <w:left w:val="single" w:sz="6" w:space="0" w:color="000000"/>
              <w:bottom w:val="single" w:sz="6" w:space="0" w:color="000000"/>
              <w:right w:val="nil"/>
            </w:tcBorders>
          </w:tcPr>
          <w:p w14:paraId="1B41BA3B" w14:textId="77777777" w:rsidR="00E85517" w:rsidRDefault="003368F9" w:rsidP="004563BF">
            <w:pPr>
              <w:spacing w:before="100" w:after="48"/>
              <w:jc w:val="center"/>
            </w:pPr>
            <w:r>
              <w:t>3</w:t>
            </w:r>
          </w:p>
        </w:tc>
        <w:tc>
          <w:tcPr>
            <w:tcW w:w="1608" w:type="dxa"/>
            <w:tcBorders>
              <w:top w:val="single" w:sz="6" w:space="0" w:color="000000"/>
              <w:left w:val="single" w:sz="6" w:space="0" w:color="000000"/>
              <w:bottom w:val="single" w:sz="6" w:space="0" w:color="000000"/>
              <w:right w:val="single" w:sz="6" w:space="0" w:color="000000"/>
            </w:tcBorders>
          </w:tcPr>
          <w:p w14:paraId="43922EAB" w14:textId="77777777" w:rsidR="00E85517" w:rsidRDefault="003368F9" w:rsidP="004563BF">
            <w:pPr>
              <w:spacing w:before="100" w:after="48"/>
              <w:jc w:val="center"/>
            </w:pPr>
            <w:r>
              <w:t>150</w:t>
            </w:r>
          </w:p>
        </w:tc>
      </w:tr>
      <w:tr w:rsidR="00E85517" w14:paraId="36465A06" w14:textId="77777777" w:rsidTr="00C537FD">
        <w:trPr>
          <w:cantSplit/>
          <w:trHeight w:val="831"/>
        </w:trPr>
        <w:tc>
          <w:tcPr>
            <w:tcW w:w="1783" w:type="dxa"/>
            <w:tcBorders>
              <w:top w:val="single" w:sz="6" w:space="0" w:color="000000"/>
              <w:left w:val="single" w:sz="6" w:space="0" w:color="000000"/>
              <w:bottom w:val="single" w:sz="6" w:space="0" w:color="000000"/>
              <w:right w:val="nil"/>
            </w:tcBorders>
          </w:tcPr>
          <w:p w14:paraId="78EC4CE6" w14:textId="77777777" w:rsidR="00E85517" w:rsidRPr="00236160" w:rsidRDefault="00E85517" w:rsidP="00834DFD">
            <w:pPr>
              <w:spacing w:before="100" w:after="38"/>
            </w:pPr>
            <w:proofErr w:type="spellStart"/>
            <w:r w:rsidRPr="00236160">
              <w:t>MFCU</w:t>
            </w:r>
            <w:proofErr w:type="spellEnd"/>
            <w:r w:rsidRPr="00236160">
              <w:t xml:space="preserve">, </w:t>
            </w:r>
            <w:r w:rsidR="00834DFD">
              <w:t>approved for</w:t>
            </w:r>
            <w:r w:rsidRPr="00236160">
              <w:t xml:space="preserve"> data mining activities</w:t>
            </w:r>
          </w:p>
        </w:tc>
        <w:tc>
          <w:tcPr>
            <w:tcW w:w="1426" w:type="dxa"/>
            <w:tcBorders>
              <w:top w:val="single" w:sz="6" w:space="0" w:color="000000"/>
              <w:left w:val="single" w:sz="6" w:space="0" w:color="000000"/>
              <w:bottom w:val="single" w:sz="6" w:space="0" w:color="000000"/>
              <w:right w:val="nil"/>
            </w:tcBorders>
          </w:tcPr>
          <w:p w14:paraId="1C4F1436" w14:textId="77777777" w:rsidR="00E85517" w:rsidRPr="00236160" w:rsidRDefault="00A157D8" w:rsidP="009B3E6F">
            <w:pPr>
              <w:spacing w:before="100"/>
            </w:pPr>
            <w:r>
              <w:t>1007.17(a</w:t>
            </w:r>
            <w:proofErr w:type="gramStart"/>
            <w:r>
              <w:t>)(</w:t>
            </w:r>
            <w:proofErr w:type="gramEnd"/>
            <w:r>
              <w:t>1)(ii</w:t>
            </w:r>
            <w:r w:rsidR="009B3E6F">
              <w:t>)</w:t>
            </w:r>
            <w:r>
              <w:t xml:space="preserve"> </w:t>
            </w:r>
            <w:r w:rsidR="009B3E6F">
              <w:t xml:space="preserve">Reporting on </w:t>
            </w:r>
            <w:r w:rsidR="00E85517" w:rsidRPr="00236160">
              <w:t xml:space="preserve">data mining </w:t>
            </w:r>
            <w:r w:rsidR="009B3E6F">
              <w:t>activities</w:t>
            </w:r>
            <w:r w:rsidR="00E85517" w:rsidRPr="00236160">
              <w:t>.</w:t>
            </w:r>
          </w:p>
        </w:tc>
        <w:tc>
          <w:tcPr>
            <w:tcW w:w="1337" w:type="dxa"/>
            <w:tcBorders>
              <w:top w:val="single" w:sz="6" w:space="0" w:color="000000"/>
              <w:left w:val="single" w:sz="6" w:space="0" w:color="000000"/>
              <w:bottom w:val="single" w:sz="6" w:space="0" w:color="000000"/>
              <w:right w:val="nil"/>
            </w:tcBorders>
          </w:tcPr>
          <w:p w14:paraId="20C70A73" w14:textId="2945C287" w:rsidR="00E85517" w:rsidRPr="00236160" w:rsidRDefault="002A6BF4" w:rsidP="004563BF">
            <w:pPr>
              <w:spacing w:before="100" w:after="38"/>
              <w:jc w:val="center"/>
            </w:pPr>
            <w:r>
              <w:t>7</w:t>
            </w:r>
          </w:p>
          <w:p w14:paraId="0EE8A56A" w14:textId="77777777" w:rsidR="00E85517" w:rsidRPr="00236160" w:rsidRDefault="00E85517" w:rsidP="004563BF">
            <w:pPr>
              <w:spacing w:before="100" w:after="38"/>
              <w:jc w:val="center"/>
              <w:rPr>
                <w:i/>
              </w:rPr>
            </w:pPr>
          </w:p>
        </w:tc>
        <w:tc>
          <w:tcPr>
            <w:tcW w:w="1605" w:type="dxa"/>
            <w:tcBorders>
              <w:top w:val="single" w:sz="6" w:space="0" w:color="000000"/>
              <w:left w:val="single" w:sz="6" w:space="0" w:color="000000"/>
              <w:bottom w:val="single" w:sz="6" w:space="0" w:color="000000"/>
              <w:right w:val="nil"/>
            </w:tcBorders>
          </w:tcPr>
          <w:p w14:paraId="0E1E7980" w14:textId="77777777" w:rsidR="00E85517" w:rsidRPr="00236160" w:rsidRDefault="00E85517" w:rsidP="004563BF">
            <w:pPr>
              <w:spacing w:before="100" w:after="38"/>
              <w:jc w:val="center"/>
            </w:pPr>
            <w:r w:rsidRPr="00236160">
              <w:t>1</w:t>
            </w:r>
          </w:p>
        </w:tc>
        <w:tc>
          <w:tcPr>
            <w:tcW w:w="1961" w:type="dxa"/>
            <w:tcBorders>
              <w:top w:val="single" w:sz="6" w:space="0" w:color="000000"/>
              <w:left w:val="single" w:sz="6" w:space="0" w:color="000000"/>
              <w:bottom w:val="single" w:sz="6" w:space="0" w:color="000000"/>
              <w:right w:val="nil"/>
            </w:tcBorders>
          </w:tcPr>
          <w:p w14:paraId="4227DA7F" w14:textId="77777777" w:rsidR="00E85517" w:rsidRPr="00236160" w:rsidRDefault="00E85517" w:rsidP="004563BF">
            <w:pPr>
              <w:spacing w:before="100" w:after="38"/>
              <w:jc w:val="center"/>
            </w:pPr>
            <w:r w:rsidRPr="00236160">
              <w:t>1</w:t>
            </w:r>
          </w:p>
        </w:tc>
        <w:tc>
          <w:tcPr>
            <w:tcW w:w="1608" w:type="dxa"/>
            <w:tcBorders>
              <w:top w:val="single" w:sz="6" w:space="0" w:color="000000"/>
              <w:left w:val="single" w:sz="6" w:space="0" w:color="000000"/>
              <w:bottom w:val="single" w:sz="6" w:space="0" w:color="000000"/>
              <w:right w:val="single" w:sz="6" w:space="0" w:color="000000"/>
            </w:tcBorders>
          </w:tcPr>
          <w:p w14:paraId="0DF6206B" w14:textId="74448058" w:rsidR="00E85517" w:rsidRPr="00236160" w:rsidRDefault="002A6BF4" w:rsidP="004563BF">
            <w:pPr>
              <w:spacing w:before="100" w:after="38"/>
              <w:jc w:val="center"/>
            </w:pPr>
            <w:r>
              <w:t>7</w:t>
            </w:r>
          </w:p>
        </w:tc>
      </w:tr>
      <w:tr w:rsidR="00E85517" w14:paraId="5E9EE8E0" w14:textId="77777777" w:rsidTr="00A7474B">
        <w:trPr>
          <w:cantSplit/>
          <w:trHeight w:val="597"/>
        </w:trPr>
        <w:tc>
          <w:tcPr>
            <w:tcW w:w="1783" w:type="dxa"/>
            <w:tcBorders>
              <w:top w:val="single" w:sz="6" w:space="0" w:color="000000"/>
              <w:left w:val="single" w:sz="6" w:space="0" w:color="000000"/>
              <w:bottom w:val="single" w:sz="6" w:space="0" w:color="000000"/>
              <w:right w:val="nil"/>
            </w:tcBorders>
          </w:tcPr>
          <w:p w14:paraId="43F87803" w14:textId="77777777" w:rsidR="00E85517" w:rsidRDefault="00E85517" w:rsidP="004563BF">
            <w:pPr>
              <w:spacing w:before="100" w:after="38"/>
            </w:pPr>
            <w:proofErr w:type="spellStart"/>
            <w:r>
              <w:t>MFCU</w:t>
            </w:r>
            <w:proofErr w:type="spellEnd"/>
            <w:r>
              <w:t xml:space="preserve"> </w:t>
            </w:r>
          </w:p>
        </w:tc>
        <w:tc>
          <w:tcPr>
            <w:tcW w:w="1426" w:type="dxa"/>
            <w:tcBorders>
              <w:top w:val="single" w:sz="6" w:space="0" w:color="000000"/>
              <w:left w:val="single" w:sz="6" w:space="0" w:color="000000"/>
              <w:bottom w:val="single" w:sz="6" w:space="0" w:color="000000"/>
              <w:right w:val="nil"/>
            </w:tcBorders>
          </w:tcPr>
          <w:p w14:paraId="2E20F125" w14:textId="77777777" w:rsidR="00E85517" w:rsidRDefault="00A157D8" w:rsidP="004563BF">
            <w:r>
              <w:t xml:space="preserve">1007.17(a)(1)(iii) </w:t>
            </w:r>
            <w:r w:rsidR="00E85517">
              <w:t>Recertification</w:t>
            </w:r>
          </w:p>
          <w:p w14:paraId="40CFDB0E" w14:textId="77777777" w:rsidR="00E85517" w:rsidRDefault="00A157D8" w:rsidP="00A157D8">
            <w:pPr>
              <w:spacing w:after="38"/>
            </w:pPr>
            <w:r>
              <w:t>rea</w:t>
            </w:r>
            <w:r w:rsidR="00E85517">
              <w:t>pplication</w:t>
            </w:r>
            <w:r>
              <w:t xml:space="preserve"> information request</w:t>
            </w:r>
            <w:r w:rsidR="009B3E6F">
              <w:t xml:space="preserve"> </w:t>
            </w:r>
          </w:p>
        </w:tc>
        <w:tc>
          <w:tcPr>
            <w:tcW w:w="1337" w:type="dxa"/>
            <w:tcBorders>
              <w:top w:val="single" w:sz="6" w:space="0" w:color="000000"/>
              <w:left w:val="single" w:sz="6" w:space="0" w:color="000000"/>
              <w:bottom w:val="single" w:sz="6" w:space="0" w:color="000000"/>
              <w:right w:val="nil"/>
            </w:tcBorders>
          </w:tcPr>
          <w:p w14:paraId="01136DEC" w14:textId="77777777" w:rsidR="00E85517" w:rsidRDefault="00E85517" w:rsidP="004563BF">
            <w:pPr>
              <w:spacing w:before="100" w:after="38"/>
              <w:jc w:val="center"/>
            </w:pPr>
            <w:r>
              <w:t>50</w:t>
            </w:r>
          </w:p>
        </w:tc>
        <w:tc>
          <w:tcPr>
            <w:tcW w:w="1605" w:type="dxa"/>
            <w:tcBorders>
              <w:top w:val="single" w:sz="6" w:space="0" w:color="000000"/>
              <w:left w:val="single" w:sz="6" w:space="0" w:color="000000"/>
              <w:bottom w:val="single" w:sz="6" w:space="0" w:color="000000"/>
              <w:right w:val="nil"/>
            </w:tcBorders>
          </w:tcPr>
          <w:p w14:paraId="616CB54C" w14:textId="77777777" w:rsidR="00E85517" w:rsidRDefault="00E85517" w:rsidP="004563BF">
            <w:pPr>
              <w:spacing w:before="100" w:after="38"/>
              <w:jc w:val="center"/>
            </w:pPr>
            <w:r>
              <w:t>1</w:t>
            </w:r>
          </w:p>
        </w:tc>
        <w:tc>
          <w:tcPr>
            <w:tcW w:w="1961" w:type="dxa"/>
            <w:tcBorders>
              <w:top w:val="single" w:sz="6" w:space="0" w:color="000000"/>
              <w:left w:val="single" w:sz="6" w:space="0" w:color="000000"/>
              <w:bottom w:val="single" w:sz="6" w:space="0" w:color="000000"/>
              <w:right w:val="nil"/>
            </w:tcBorders>
          </w:tcPr>
          <w:p w14:paraId="22741827" w14:textId="02FC9EDE" w:rsidR="00E85517" w:rsidRDefault="00F31CA6" w:rsidP="004563BF">
            <w:pPr>
              <w:spacing w:before="100" w:after="38"/>
              <w:jc w:val="center"/>
            </w:pPr>
            <w:r>
              <w:t>9</w:t>
            </w:r>
          </w:p>
        </w:tc>
        <w:tc>
          <w:tcPr>
            <w:tcW w:w="1608" w:type="dxa"/>
            <w:tcBorders>
              <w:top w:val="single" w:sz="6" w:space="0" w:color="000000"/>
              <w:left w:val="single" w:sz="6" w:space="0" w:color="000000"/>
              <w:bottom w:val="single" w:sz="6" w:space="0" w:color="000000"/>
              <w:right w:val="single" w:sz="6" w:space="0" w:color="000000"/>
            </w:tcBorders>
          </w:tcPr>
          <w:p w14:paraId="5ACF528E" w14:textId="77777777" w:rsidR="00E85517" w:rsidRDefault="003368F9" w:rsidP="004563BF">
            <w:pPr>
              <w:spacing w:before="100" w:after="38"/>
              <w:jc w:val="center"/>
            </w:pPr>
            <w:r>
              <w:t>400</w:t>
            </w:r>
          </w:p>
        </w:tc>
      </w:tr>
      <w:tr w:rsidR="00A157D8" w14:paraId="562F46D9" w14:textId="77777777" w:rsidTr="003368F9">
        <w:trPr>
          <w:cantSplit/>
          <w:trHeight w:val="615"/>
        </w:trPr>
        <w:tc>
          <w:tcPr>
            <w:tcW w:w="1783" w:type="dxa"/>
            <w:tcBorders>
              <w:top w:val="single" w:sz="6" w:space="0" w:color="000000"/>
              <w:left w:val="single" w:sz="6" w:space="0" w:color="000000"/>
              <w:bottom w:val="single" w:sz="6" w:space="0" w:color="000000"/>
              <w:right w:val="nil"/>
            </w:tcBorders>
            <w:shd w:val="clear" w:color="auto" w:fill="auto"/>
          </w:tcPr>
          <w:p w14:paraId="1158CAAB" w14:textId="77777777" w:rsidR="00A157D8" w:rsidRPr="002A6BF4" w:rsidRDefault="00A157D8" w:rsidP="00123355">
            <w:pPr>
              <w:spacing w:before="100" w:after="38"/>
            </w:pPr>
            <w:proofErr w:type="spellStart"/>
            <w:r w:rsidRPr="002A6BF4">
              <w:lastRenderedPageBreak/>
              <w:t>MFCU</w:t>
            </w:r>
            <w:proofErr w:type="spellEnd"/>
          </w:p>
        </w:tc>
        <w:tc>
          <w:tcPr>
            <w:tcW w:w="1426" w:type="dxa"/>
            <w:tcBorders>
              <w:top w:val="single" w:sz="6" w:space="0" w:color="000000"/>
              <w:left w:val="single" w:sz="6" w:space="0" w:color="000000"/>
              <w:bottom w:val="single" w:sz="6" w:space="0" w:color="000000"/>
              <w:right w:val="nil"/>
            </w:tcBorders>
            <w:shd w:val="clear" w:color="auto" w:fill="auto"/>
          </w:tcPr>
          <w:p w14:paraId="1663CE2D" w14:textId="77777777" w:rsidR="00A157D8" w:rsidRPr="00A157D8" w:rsidRDefault="00A157D8" w:rsidP="003368F9">
            <w:pPr>
              <w:spacing w:before="100" w:after="38"/>
            </w:pPr>
            <w:r w:rsidRPr="00A157D8">
              <w:t>1007.17(a)(2)</w:t>
            </w:r>
          </w:p>
          <w:p w14:paraId="0DE955D7" w14:textId="77777777" w:rsidR="00A157D8" w:rsidRPr="00236160" w:rsidRDefault="00A157D8" w:rsidP="003368F9">
            <w:pPr>
              <w:spacing w:before="100" w:after="38"/>
            </w:pPr>
            <w:r w:rsidRPr="00A157D8">
              <w:t>Annual Statistical Report</w:t>
            </w:r>
          </w:p>
        </w:tc>
        <w:tc>
          <w:tcPr>
            <w:tcW w:w="1337" w:type="dxa"/>
            <w:tcBorders>
              <w:top w:val="single" w:sz="6" w:space="0" w:color="000000"/>
              <w:left w:val="single" w:sz="6" w:space="0" w:color="000000"/>
              <w:bottom w:val="single" w:sz="6" w:space="0" w:color="000000"/>
              <w:right w:val="nil"/>
            </w:tcBorders>
            <w:shd w:val="clear" w:color="auto" w:fill="auto"/>
          </w:tcPr>
          <w:p w14:paraId="4B8EC324" w14:textId="77777777" w:rsidR="00A157D8" w:rsidRDefault="00A157D8" w:rsidP="001A693B">
            <w:pPr>
              <w:spacing w:before="100" w:after="38"/>
              <w:jc w:val="center"/>
            </w:pPr>
            <w:r>
              <w:t>50</w:t>
            </w:r>
          </w:p>
        </w:tc>
        <w:tc>
          <w:tcPr>
            <w:tcW w:w="1605" w:type="dxa"/>
            <w:tcBorders>
              <w:top w:val="single" w:sz="6" w:space="0" w:color="000000"/>
              <w:left w:val="single" w:sz="6" w:space="0" w:color="000000"/>
              <w:bottom w:val="single" w:sz="6" w:space="0" w:color="000000"/>
              <w:right w:val="nil"/>
            </w:tcBorders>
            <w:shd w:val="clear" w:color="auto" w:fill="auto"/>
          </w:tcPr>
          <w:p w14:paraId="3EE11219" w14:textId="77777777" w:rsidR="00A157D8" w:rsidRDefault="00A157D8" w:rsidP="00491F93">
            <w:pPr>
              <w:spacing w:before="100" w:after="38"/>
              <w:jc w:val="center"/>
            </w:pPr>
            <w:r>
              <w:t>1</w:t>
            </w:r>
          </w:p>
        </w:tc>
        <w:tc>
          <w:tcPr>
            <w:tcW w:w="1961" w:type="dxa"/>
            <w:tcBorders>
              <w:top w:val="single" w:sz="6" w:space="0" w:color="000000"/>
              <w:left w:val="single" w:sz="6" w:space="0" w:color="000000"/>
              <w:bottom w:val="single" w:sz="6" w:space="0" w:color="000000"/>
              <w:right w:val="nil"/>
            </w:tcBorders>
            <w:shd w:val="clear" w:color="auto" w:fill="auto"/>
          </w:tcPr>
          <w:p w14:paraId="5B8010A3" w14:textId="77777777" w:rsidR="00A157D8" w:rsidRPr="00236160" w:rsidRDefault="00A157D8" w:rsidP="00841C89">
            <w:pPr>
              <w:spacing w:before="100" w:after="38"/>
              <w:jc w:val="center"/>
            </w:pPr>
            <w:r>
              <w:t>80</w:t>
            </w:r>
          </w:p>
        </w:tc>
        <w:tc>
          <w:tcPr>
            <w:tcW w:w="1608" w:type="dxa"/>
            <w:tcBorders>
              <w:top w:val="single" w:sz="6" w:space="0" w:color="000000"/>
              <w:left w:val="single" w:sz="6" w:space="0" w:color="000000"/>
              <w:bottom w:val="single" w:sz="6" w:space="0" w:color="000000"/>
              <w:right w:val="single" w:sz="6" w:space="0" w:color="000000"/>
            </w:tcBorders>
            <w:shd w:val="clear" w:color="auto" w:fill="auto"/>
          </w:tcPr>
          <w:p w14:paraId="5B0B28F6" w14:textId="77777777" w:rsidR="00A157D8" w:rsidRPr="002A6BF4" w:rsidRDefault="00A157D8" w:rsidP="00A157D8">
            <w:pPr>
              <w:spacing w:before="100" w:after="38"/>
              <w:jc w:val="center"/>
            </w:pPr>
            <w:r w:rsidRPr="002A6BF4">
              <w:t>4000</w:t>
            </w:r>
          </w:p>
        </w:tc>
      </w:tr>
      <w:tr w:rsidR="00E85517" w14:paraId="60ED0F0A" w14:textId="77777777" w:rsidTr="00E22596">
        <w:trPr>
          <w:cantSplit/>
          <w:trHeight w:val="615"/>
        </w:trPr>
        <w:tc>
          <w:tcPr>
            <w:tcW w:w="1783" w:type="dxa"/>
            <w:tcBorders>
              <w:top w:val="single" w:sz="6" w:space="0" w:color="000000"/>
              <w:left w:val="single" w:sz="6" w:space="0" w:color="000000"/>
              <w:bottom w:val="single" w:sz="6" w:space="0" w:color="000000"/>
              <w:right w:val="nil"/>
            </w:tcBorders>
          </w:tcPr>
          <w:p w14:paraId="6EBDD8BB" w14:textId="77777777" w:rsidR="00E85517" w:rsidRPr="00236160" w:rsidRDefault="00E85517" w:rsidP="00123355">
            <w:pPr>
              <w:spacing w:before="100" w:after="38"/>
            </w:pPr>
            <w:r w:rsidRPr="00A7474B">
              <w:rPr>
                <w:b/>
              </w:rPr>
              <w:t>Total</w:t>
            </w:r>
            <w:r w:rsidRPr="00236160">
              <w:t xml:space="preserve"> </w:t>
            </w:r>
          </w:p>
        </w:tc>
        <w:tc>
          <w:tcPr>
            <w:tcW w:w="1426" w:type="dxa"/>
            <w:tcBorders>
              <w:top w:val="single" w:sz="6" w:space="0" w:color="000000"/>
              <w:left w:val="single" w:sz="6" w:space="0" w:color="000000"/>
              <w:bottom w:val="single" w:sz="6" w:space="0" w:color="000000"/>
              <w:right w:val="nil"/>
            </w:tcBorders>
          </w:tcPr>
          <w:p w14:paraId="04307F57" w14:textId="77777777" w:rsidR="00E85517" w:rsidRPr="00236160" w:rsidRDefault="00E85517" w:rsidP="004563BF">
            <w:pPr>
              <w:spacing w:before="100" w:after="38"/>
              <w:jc w:val="right"/>
            </w:pPr>
          </w:p>
        </w:tc>
        <w:tc>
          <w:tcPr>
            <w:tcW w:w="1337" w:type="dxa"/>
            <w:tcBorders>
              <w:top w:val="single" w:sz="6" w:space="0" w:color="000000"/>
              <w:left w:val="single" w:sz="6" w:space="0" w:color="000000"/>
              <w:bottom w:val="single" w:sz="6" w:space="0" w:color="000000"/>
              <w:right w:val="nil"/>
            </w:tcBorders>
          </w:tcPr>
          <w:p w14:paraId="5391D464" w14:textId="77777777" w:rsidR="00E85517" w:rsidRPr="00236160" w:rsidRDefault="003368F9" w:rsidP="004563BF">
            <w:pPr>
              <w:spacing w:before="100" w:after="38"/>
              <w:jc w:val="center"/>
            </w:pPr>
            <w:r>
              <w:t>50</w:t>
            </w:r>
          </w:p>
          <w:p w14:paraId="1C8DEB7A" w14:textId="77777777" w:rsidR="00E85517" w:rsidRPr="00236160" w:rsidRDefault="00E85517" w:rsidP="00841C89">
            <w:pPr>
              <w:spacing w:before="100" w:after="38"/>
            </w:pPr>
          </w:p>
        </w:tc>
        <w:tc>
          <w:tcPr>
            <w:tcW w:w="1605" w:type="dxa"/>
            <w:tcBorders>
              <w:top w:val="single" w:sz="6" w:space="0" w:color="000000"/>
              <w:left w:val="single" w:sz="6" w:space="0" w:color="000000"/>
              <w:bottom w:val="single" w:sz="6" w:space="0" w:color="000000"/>
              <w:right w:val="nil"/>
            </w:tcBorders>
          </w:tcPr>
          <w:p w14:paraId="0B8F776C" w14:textId="77777777" w:rsidR="00E85517" w:rsidRPr="00236160" w:rsidRDefault="001A693B" w:rsidP="00491F93">
            <w:pPr>
              <w:spacing w:before="100" w:after="38"/>
              <w:jc w:val="center"/>
            </w:pPr>
            <w:r>
              <w:t>3</w:t>
            </w:r>
            <w:r w:rsidR="007A2795">
              <w:rPr>
                <w:rStyle w:val="FootnoteReference"/>
              </w:rPr>
              <w:footnoteReference w:id="1"/>
            </w:r>
          </w:p>
        </w:tc>
        <w:tc>
          <w:tcPr>
            <w:tcW w:w="1961" w:type="dxa"/>
            <w:tcBorders>
              <w:top w:val="single" w:sz="6" w:space="0" w:color="000000"/>
              <w:left w:val="single" w:sz="6" w:space="0" w:color="000000"/>
              <w:bottom w:val="single" w:sz="6" w:space="0" w:color="000000"/>
              <w:right w:val="nil"/>
            </w:tcBorders>
          </w:tcPr>
          <w:p w14:paraId="19E52462" w14:textId="77777777" w:rsidR="00E85517" w:rsidRPr="00236160" w:rsidRDefault="003368F9" w:rsidP="00841C89">
            <w:pPr>
              <w:spacing w:before="100" w:after="38"/>
              <w:jc w:val="center"/>
            </w:pPr>
            <w:r>
              <w:t>93</w:t>
            </w:r>
          </w:p>
        </w:tc>
        <w:tc>
          <w:tcPr>
            <w:tcW w:w="1608" w:type="dxa"/>
            <w:tcBorders>
              <w:top w:val="single" w:sz="6" w:space="0" w:color="000000"/>
              <w:left w:val="single" w:sz="6" w:space="0" w:color="000000"/>
              <w:bottom w:val="single" w:sz="6" w:space="0" w:color="000000"/>
              <w:right w:val="single" w:sz="6" w:space="0" w:color="000000"/>
            </w:tcBorders>
          </w:tcPr>
          <w:p w14:paraId="06B17548" w14:textId="6D76E333" w:rsidR="00E85517" w:rsidRPr="00236160" w:rsidRDefault="00E85517" w:rsidP="004563BF">
            <w:pPr>
              <w:spacing w:before="100" w:after="38"/>
              <w:jc w:val="center"/>
            </w:pPr>
            <w:r w:rsidRPr="00A7474B">
              <w:rPr>
                <w:b/>
              </w:rPr>
              <w:t>4,</w:t>
            </w:r>
            <w:r w:rsidR="003368F9">
              <w:rPr>
                <w:b/>
              </w:rPr>
              <w:t>5</w:t>
            </w:r>
            <w:r w:rsidR="001A693B">
              <w:rPr>
                <w:b/>
              </w:rPr>
              <w:t>5</w:t>
            </w:r>
            <w:r w:rsidR="002B5F76">
              <w:rPr>
                <w:b/>
              </w:rPr>
              <w:t>7</w:t>
            </w:r>
            <w:r>
              <w:rPr>
                <w:rStyle w:val="FootnoteReference"/>
              </w:rPr>
              <w:footnoteReference w:id="2"/>
            </w:r>
          </w:p>
        </w:tc>
      </w:tr>
    </w:tbl>
    <w:p w14:paraId="0166E235" w14:textId="77777777" w:rsidR="00E85517" w:rsidRDefault="00E85517" w:rsidP="004563BF"/>
    <w:p w14:paraId="6300AA1F" w14:textId="5C63C1D8" w:rsidR="00E85517" w:rsidRPr="00904EB5" w:rsidRDefault="00E85517" w:rsidP="004563BF">
      <w:pPr>
        <w:rPr>
          <w:i/>
        </w:rPr>
      </w:pPr>
      <w:r>
        <w:rPr>
          <w:sz w:val="24"/>
          <w:szCs w:val="24"/>
        </w:rPr>
        <w:tab/>
      </w:r>
      <w:r>
        <w:rPr>
          <w:sz w:val="24"/>
          <w:szCs w:val="24"/>
        </w:rPr>
        <w:tab/>
      </w:r>
      <w:r w:rsidRPr="00904EB5">
        <w:rPr>
          <w:i/>
          <w:sz w:val="24"/>
          <w:szCs w:val="24"/>
        </w:rPr>
        <w:t>12B</w:t>
      </w:r>
      <w:r w:rsidR="00B80EFB" w:rsidRPr="00904EB5">
        <w:rPr>
          <w:i/>
          <w:sz w:val="24"/>
          <w:szCs w:val="24"/>
        </w:rPr>
        <w:t>. Estimation</w:t>
      </w:r>
      <w:r w:rsidRPr="00904EB5">
        <w:rPr>
          <w:i/>
          <w:sz w:val="24"/>
          <w:szCs w:val="24"/>
        </w:rPr>
        <w:t xml:space="preserve"> of Annualized Cost to Respondents</w:t>
      </w:r>
    </w:p>
    <w:p w14:paraId="2B8B612C" w14:textId="77777777" w:rsidR="00E85517" w:rsidRDefault="00E85517" w:rsidP="004563BF">
      <w:pPr>
        <w:jc w:val="center"/>
      </w:pPr>
    </w:p>
    <w:tbl>
      <w:tblPr>
        <w:tblW w:w="9720" w:type="dxa"/>
        <w:tblInd w:w="100" w:type="dxa"/>
        <w:tblLayout w:type="fixed"/>
        <w:tblCellMar>
          <w:left w:w="100" w:type="dxa"/>
          <w:right w:w="100" w:type="dxa"/>
        </w:tblCellMar>
        <w:tblLook w:val="0000" w:firstRow="0" w:lastRow="0" w:firstColumn="0" w:lastColumn="0" w:noHBand="0" w:noVBand="0"/>
      </w:tblPr>
      <w:tblGrid>
        <w:gridCol w:w="1890"/>
        <w:gridCol w:w="1980"/>
        <w:gridCol w:w="1170"/>
        <w:gridCol w:w="2160"/>
        <w:gridCol w:w="2520"/>
      </w:tblGrid>
      <w:tr w:rsidR="007005A2" w:rsidRPr="00236160" w14:paraId="0C61C0EB" w14:textId="77777777" w:rsidTr="007005A2">
        <w:trPr>
          <w:cantSplit/>
          <w:trHeight w:val="616"/>
        </w:trPr>
        <w:tc>
          <w:tcPr>
            <w:tcW w:w="1890" w:type="dxa"/>
            <w:tcBorders>
              <w:top w:val="single" w:sz="6" w:space="0" w:color="000000"/>
              <w:left w:val="single" w:sz="6" w:space="0" w:color="000000"/>
              <w:bottom w:val="single" w:sz="6" w:space="0" w:color="000000"/>
              <w:right w:val="nil"/>
            </w:tcBorders>
          </w:tcPr>
          <w:p w14:paraId="1D1BA83B" w14:textId="77777777" w:rsidR="007005A2" w:rsidRDefault="007005A2" w:rsidP="004563BF">
            <w:pPr>
              <w:spacing w:before="100" w:after="38"/>
              <w:jc w:val="center"/>
            </w:pPr>
            <w:r>
              <w:t xml:space="preserve"> Respondent  </w:t>
            </w:r>
          </w:p>
        </w:tc>
        <w:tc>
          <w:tcPr>
            <w:tcW w:w="1980" w:type="dxa"/>
            <w:tcBorders>
              <w:top w:val="single" w:sz="6" w:space="0" w:color="000000"/>
              <w:left w:val="single" w:sz="6" w:space="0" w:color="000000"/>
              <w:bottom w:val="single" w:sz="6" w:space="0" w:color="000000"/>
              <w:right w:val="single" w:sz="6" w:space="0" w:color="000000"/>
            </w:tcBorders>
          </w:tcPr>
          <w:p w14:paraId="4911B1B4" w14:textId="77777777" w:rsidR="007005A2" w:rsidRDefault="00127D86" w:rsidP="0054036A">
            <w:pPr>
              <w:spacing w:before="100"/>
              <w:jc w:val="center"/>
            </w:pPr>
            <w:r>
              <w:t>Collection</w:t>
            </w:r>
          </w:p>
        </w:tc>
        <w:tc>
          <w:tcPr>
            <w:tcW w:w="1170" w:type="dxa"/>
            <w:tcBorders>
              <w:top w:val="single" w:sz="6" w:space="0" w:color="000000"/>
              <w:left w:val="single" w:sz="6" w:space="0" w:color="000000"/>
              <w:bottom w:val="single" w:sz="6" w:space="0" w:color="000000"/>
              <w:right w:val="nil"/>
            </w:tcBorders>
          </w:tcPr>
          <w:p w14:paraId="46DB312A" w14:textId="77777777" w:rsidR="007005A2" w:rsidRDefault="007005A2" w:rsidP="0054036A">
            <w:pPr>
              <w:spacing w:before="100"/>
              <w:jc w:val="center"/>
            </w:pPr>
            <w:r>
              <w:t>Total</w:t>
            </w:r>
          </w:p>
          <w:p w14:paraId="61F9EBE0" w14:textId="77777777" w:rsidR="007005A2" w:rsidRDefault="007005A2" w:rsidP="0054036A">
            <w:pPr>
              <w:jc w:val="center"/>
            </w:pPr>
            <w:r>
              <w:t>Burden</w:t>
            </w:r>
          </w:p>
          <w:p w14:paraId="4BDAE57D" w14:textId="77777777" w:rsidR="007005A2" w:rsidRDefault="007005A2" w:rsidP="0054036A">
            <w:pPr>
              <w:spacing w:after="38"/>
              <w:jc w:val="center"/>
            </w:pPr>
            <w:r>
              <w:t>Hours</w:t>
            </w:r>
          </w:p>
        </w:tc>
        <w:tc>
          <w:tcPr>
            <w:tcW w:w="2160" w:type="dxa"/>
            <w:tcBorders>
              <w:top w:val="single" w:sz="6" w:space="0" w:color="000000"/>
              <w:left w:val="single" w:sz="6" w:space="0" w:color="000000"/>
              <w:bottom w:val="single" w:sz="6" w:space="0" w:color="000000"/>
              <w:right w:val="nil"/>
            </w:tcBorders>
          </w:tcPr>
          <w:p w14:paraId="27A2C294" w14:textId="77777777" w:rsidR="007005A2" w:rsidRDefault="007005A2" w:rsidP="0054036A">
            <w:pPr>
              <w:spacing w:before="100" w:after="38"/>
              <w:jc w:val="center"/>
            </w:pPr>
            <w:r>
              <w:t>Weighted</w:t>
            </w:r>
            <w:r w:rsidR="0054036A">
              <w:t xml:space="preserve"> </w:t>
            </w:r>
            <w:r>
              <w:t>Hourly Wage Rate</w:t>
            </w:r>
          </w:p>
        </w:tc>
        <w:tc>
          <w:tcPr>
            <w:tcW w:w="2520" w:type="dxa"/>
            <w:tcBorders>
              <w:top w:val="single" w:sz="6" w:space="0" w:color="000000"/>
              <w:left w:val="single" w:sz="6" w:space="0" w:color="000000"/>
              <w:bottom w:val="single" w:sz="6" w:space="0" w:color="000000"/>
              <w:right w:val="single" w:sz="6" w:space="0" w:color="000000"/>
            </w:tcBorders>
          </w:tcPr>
          <w:p w14:paraId="2A0F7D43" w14:textId="77777777" w:rsidR="007005A2" w:rsidRDefault="007005A2" w:rsidP="0054036A">
            <w:pPr>
              <w:spacing w:before="100"/>
              <w:jc w:val="center"/>
            </w:pPr>
            <w:r>
              <w:t>Total Respondent Cost</w:t>
            </w:r>
          </w:p>
          <w:p w14:paraId="2F45307C" w14:textId="77777777" w:rsidR="007005A2" w:rsidRDefault="007005A2" w:rsidP="004563BF">
            <w:pPr>
              <w:spacing w:after="38"/>
              <w:jc w:val="center"/>
            </w:pPr>
          </w:p>
        </w:tc>
      </w:tr>
      <w:tr w:rsidR="007005A2" w14:paraId="45FCFEA1" w14:textId="77777777" w:rsidTr="007005A2">
        <w:trPr>
          <w:cantSplit/>
        </w:trPr>
        <w:tc>
          <w:tcPr>
            <w:tcW w:w="1890" w:type="dxa"/>
            <w:tcBorders>
              <w:top w:val="single" w:sz="6" w:space="0" w:color="000000"/>
              <w:left w:val="single" w:sz="6" w:space="0" w:color="000000"/>
              <w:bottom w:val="single" w:sz="6" w:space="0" w:color="000000"/>
              <w:right w:val="nil"/>
            </w:tcBorders>
          </w:tcPr>
          <w:p w14:paraId="1D32AFDF" w14:textId="77777777" w:rsidR="007005A2" w:rsidRDefault="007005A2" w:rsidP="004563BF">
            <w:pPr>
              <w:spacing w:before="100" w:after="38"/>
            </w:pPr>
            <w:proofErr w:type="spellStart"/>
            <w:r>
              <w:t>MFCU</w:t>
            </w:r>
            <w:proofErr w:type="spellEnd"/>
          </w:p>
        </w:tc>
        <w:tc>
          <w:tcPr>
            <w:tcW w:w="1980" w:type="dxa"/>
            <w:tcBorders>
              <w:top w:val="single" w:sz="6" w:space="0" w:color="000000"/>
              <w:left w:val="single" w:sz="6" w:space="0" w:color="000000"/>
              <w:bottom w:val="single" w:sz="6" w:space="0" w:color="000000"/>
              <w:right w:val="single" w:sz="6" w:space="0" w:color="000000"/>
            </w:tcBorders>
          </w:tcPr>
          <w:p w14:paraId="3C91AFD7" w14:textId="77777777" w:rsidR="007005A2" w:rsidRDefault="00127D86" w:rsidP="007005A2">
            <w:pPr>
              <w:spacing w:before="100" w:after="38"/>
            </w:pPr>
            <w:r>
              <w:t>1007.17(a)(1)(</w:t>
            </w:r>
            <w:proofErr w:type="spellStart"/>
            <w:r>
              <w:t>i</w:t>
            </w:r>
            <w:proofErr w:type="spellEnd"/>
            <w:r>
              <w:t>) Brief Narrative</w:t>
            </w:r>
          </w:p>
        </w:tc>
        <w:tc>
          <w:tcPr>
            <w:tcW w:w="1170" w:type="dxa"/>
            <w:tcBorders>
              <w:top w:val="single" w:sz="6" w:space="0" w:color="000000"/>
              <w:left w:val="single" w:sz="6" w:space="0" w:color="000000"/>
              <w:bottom w:val="single" w:sz="6" w:space="0" w:color="000000"/>
              <w:right w:val="nil"/>
            </w:tcBorders>
          </w:tcPr>
          <w:p w14:paraId="3C139CED" w14:textId="77777777" w:rsidR="007005A2" w:rsidRDefault="00127D86" w:rsidP="00127D86">
            <w:pPr>
              <w:spacing w:before="100" w:after="38"/>
              <w:jc w:val="center"/>
            </w:pPr>
            <w:r>
              <w:t>150</w:t>
            </w:r>
          </w:p>
        </w:tc>
        <w:tc>
          <w:tcPr>
            <w:tcW w:w="2160" w:type="dxa"/>
            <w:tcBorders>
              <w:top w:val="single" w:sz="6" w:space="0" w:color="000000"/>
              <w:left w:val="single" w:sz="6" w:space="0" w:color="000000"/>
              <w:bottom w:val="single" w:sz="6" w:space="0" w:color="000000"/>
              <w:right w:val="nil"/>
            </w:tcBorders>
          </w:tcPr>
          <w:p w14:paraId="5778176C" w14:textId="77777777" w:rsidR="007005A2" w:rsidRDefault="007005A2" w:rsidP="007005A2">
            <w:pPr>
              <w:spacing w:before="100" w:after="38"/>
              <w:jc w:val="center"/>
            </w:pPr>
            <w:r>
              <w:t>$2</w:t>
            </w:r>
            <w:r w:rsidR="008E4EE0">
              <w:t>2.85</w:t>
            </w:r>
          </w:p>
        </w:tc>
        <w:tc>
          <w:tcPr>
            <w:tcW w:w="2520" w:type="dxa"/>
            <w:tcBorders>
              <w:top w:val="single" w:sz="6" w:space="0" w:color="000000"/>
              <w:left w:val="single" w:sz="6" w:space="0" w:color="000000"/>
              <w:bottom w:val="single" w:sz="6" w:space="0" w:color="000000"/>
              <w:right w:val="single" w:sz="6" w:space="0" w:color="000000"/>
            </w:tcBorders>
          </w:tcPr>
          <w:p w14:paraId="35277695" w14:textId="77777777" w:rsidR="007005A2" w:rsidRDefault="007005A2" w:rsidP="00127D86">
            <w:pPr>
              <w:spacing w:before="100" w:after="38"/>
              <w:jc w:val="center"/>
            </w:pPr>
            <w:r>
              <w:t>$</w:t>
            </w:r>
            <w:r w:rsidR="008E4EE0">
              <w:t>3,427</w:t>
            </w:r>
            <w:r w:rsidR="00127D86">
              <w:t>.50</w:t>
            </w:r>
          </w:p>
        </w:tc>
      </w:tr>
      <w:tr w:rsidR="007005A2" w14:paraId="5EAD17F8" w14:textId="77777777" w:rsidTr="007005A2">
        <w:trPr>
          <w:cantSplit/>
        </w:trPr>
        <w:tc>
          <w:tcPr>
            <w:tcW w:w="1890" w:type="dxa"/>
            <w:tcBorders>
              <w:top w:val="single" w:sz="6" w:space="0" w:color="000000"/>
              <w:left w:val="single" w:sz="6" w:space="0" w:color="000000"/>
              <w:bottom w:val="single" w:sz="6" w:space="0" w:color="000000"/>
              <w:right w:val="nil"/>
            </w:tcBorders>
          </w:tcPr>
          <w:p w14:paraId="15C151CA" w14:textId="0D779BB9" w:rsidR="007005A2" w:rsidRPr="00625BDB" w:rsidRDefault="007005A2" w:rsidP="00467079">
            <w:pPr>
              <w:spacing w:before="100" w:after="38"/>
            </w:pPr>
            <w:proofErr w:type="spellStart"/>
            <w:r w:rsidRPr="00625BDB">
              <w:t>MFCU</w:t>
            </w:r>
            <w:proofErr w:type="spellEnd"/>
            <w:r w:rsidRPr="00625BDB">
              <w:t xml:space="preserve">, </w:t>
            </w:r>
            <w:r w:rsidR="002B5F76">
              <w:t>approved for data mining</w:t>
            </w:r>
          </w:p>
        </w:tc>
        <w:tc>
          <w:tcPr>
            <w:tcW w:w="1980" w:type="dxa"/>
            <w:tcBorders>
              <w:top w:val="single" w:sz="6" w:space="0" w:color="000000"/>
              <w:left w:val="single" w:sz="6" w:space="0" w:color="000000"/>
              <w:bottom w:val="single" w:sz="6" w:space="0" w:color="000000"/>
              <w:right w:val="single" w:sz="6" w:space="0" w:color="000000"/>
            </w:tcBorders>
          </w:tcPr>
          <w:p w14:paraId="346B6A0E" w14:textId="77777777" w:rsidR="007005A2" w:rsidRPr="00625BDB" w:rsidRDefault="00127D86" w:rsidP="007005A2">
            <w:pPr>
              <w:spacing w:before="100" w:after="38"/>
            </w:pPr>
            <w:r>
              <w:t xml:space="preserve"> 1007.17(a</w:t>
            </w:r>
            <w:proofErr w:type="gramStart"/>
            <w:r>
              <w:t>)(</w:t>
            </w:r>
            <w:proofErr w:type="gramEnd"/>
            <w:r>
              <w:t xml:space="preserve">1)(ii) Reporting on </w:t>
            </w:r>
            <w:r w:rsidRPr="00236160">
              <w:t xml:space="preserve">data mining </w:t>
            </w:r>
            <w:r>
              <w:t>activities</w:t>
            </w:r>
            <w:r w:rsidRPr="00236160">
              <w:t>.</w:t>
            </w:r>
          </w:p>
        </w:tc>
        <w:tc>
          <w:tcPr>
            <w:tcW w:w="1170" w:type="dxa"/>
            <w:tcBorders>
              <w:top w:val="single" w:sz="6" w:space="0" w:color="000000"/>
              <w:left w:val="single" w:sz="6" w:space="0" w:color="000000"/>
              <w:bottom w:val="single" w:sz="6" w:space="0" w:color="000000"/>
              <w:right w:val="nil"/>
            </w:tcBorders>
          </w:tcPr>
          <w:p w14:paraId="17D0735B" w14:textId="77777777" w:rsidR="007005A2" w:rsidRPr="00625BDB" w:rsidRDefault="00127D86" w:rsidP="004563BF">
            <w:pPr>
              <w:spacing w:before="100" w:after="38"/>
              <w:jc w:val="center"/>
            </w:pPr>
            <w:r>
              <w:t>6</w:t>
            </w:r>
          </w:p>
        </w:tc>
        <w:tc>
          <w:tcPr>
            <w:tcW w:w="2160" w:type="dxa"/>
            <w:tcBorders>
              <w:top w:val="single" w:sz="6" w:space="0" w:color="000000"/>
              <w:left w:val="single" w:sz="6" w:space="0" w:color="000000"/>
              <w:bottom w:val="single" w:sz="6" w:space="0" w:color="000000"/>
              <w:right w:val="nil"/>
            </w:tcBorders>
          </w:tcPr>
          <w:p w14:paraId="32E61C7D" w14:textId="77777777" w:rsidR="007005A2" w:rsidRPr="00625BDB" w:rsidRDefault="007005A2" w:rsidP="007005A2">
            <w:pPr>
              <w:spacing w:before="100" w:after="38"/>
              <w:jc w:val="center"/>
            </w:pPr>
            <w:r w:rsidRPr="00625BDB">
              <w:t>$</w:t>
            </w:r>
            <w:r>
              <w:t>2</w:t>
            </w:r>
            <w:r w:rsidR="008E4EE0">
              <w:t>2.85</w:t>
            </w:r>
          </w:p>
        </w:tc>
        <w:tc>
          <w:tcPr>
            <w:tcW w:w="2520" w:type="dxa"/>
            <w:tcBorders>
              <w:top w:val="single" w:sz="6" w:space="0" w:color="000000"/>
              <w:left w:val="single" w:sz="6" w:space="0" w:color="000000"/>
              <w:bottom w:val="single" w:sz="6" w:space="0" w:color="000000"/>
              <w:right w:val="single" w:sz="6" w:space="0" w:color="000000"/>
            </w:tcBorders>
          </w:tcPr>
          <w:p w14:paraId="40DFA441" w14:textId="77777777" w:rsidR="007005A2" w:rsidRPr="00625BDB" w:rsidRDefault="007005A2" w:rsidP="00127D86">
            <w:pPr>
              <w:spacing w:before="100" w:after="38"/>
              <w:jc w:val="center"/>
            </w:pPr>
            <w:r w:rsidRPr="00625BDB">
              <w:t>$</w:t>
            </w:r>
            <w:r w:rsidR="008E4EE0">
              <w:t>137.10</w:t>
            </w:r>
          </w:p>
        </w:tc>
      </w:tr>
      <w:tr w:rsidR="007005A2" w14:paraId="20A1E9EB" w14:textId="77777777" w:rsidTr="007005A2">
        <w:trPr>
          <w:cantSplit/>
        </w:trPr>
        <w:tc>
          <w:tcPr>
            <w:tcW w:w="1890" w:type="dxa"/>
            <w:tcBorders>
              <w:top w:val="single" w:sz="6" w:space="0" w:color="000000"/>
              <w:left w:val="single" w:sz="6" w:space="0" w:color="000000"/>
              <w:bottom w:val="single" w:sz="6" w:space="0" w:color="000000"/>
              <w:right w:val="nil"/>
            </w:tcBorders>
          </w:tcPr>
          <w:p w14:paraId="317D7470" w14:textId="77777777" w:rsidR="007005A2" w:rsidRDefault="007005A2" w:rsidP="004563BF">
            <w:pPr>
              <w:spacing w:before="100" w:after="38"/>
            </w:pPr>
            <w:proofErr w:type="spellStart"/>
            <w:r>
              <w:t>MFCU</w:t>
            </w:r>
            <w:proofErr w:type="spellEnd"/>
          </w:p>
        </w:tc>
        <w:tc>
          <w:tcPr>
            <w:tcW w:w="1980" w:type="dxa"/>
            <w:tcBorders>
              <w:top w:val="single" w:sz="6" w:space="0" w:color="000000"/>
              <w:left w:val="single" w:sz="6" w:space="0" w:color="000000"/>
              <w:bottom w:val="single" w:sz="6" w:space="0" w:color="000000"/>
              <w:right w:val="single" w:sz="6" w:space="0" w:color="000000"/>
            </w:tcBorders>
          </w:tcPr>
          <w:p w14:paraId="34E8C361" w14:textId="77777777" w:rsidR="00127D86" w:rsidRDefault="00127D86" w:rsidP="00127D86">
            <w:r>
              <w:t>1007.17(a)(1)(iii) Recertification</w:t>
            </w:r>
          </w:p>
          <w:p w14:paraId="609C4025" w14:textId="77777777" w:rsidR="007005A2" w:rsidRDefault="00127D86" w:rsidP="00127D86">
            <w:r>
              <w:t>reapplication information request</w:t>
            </w:r>
          </w:p>
        </w:tc>
        <w:tc>
          <w:tcPr>
            <w:tcW w:w="1170" w:type="dxa"/>
            <w:tcBorders>
              <w:top w:val="single" w:sz="6" w:space="0" w:color="000000"/>
              <w:left w:val="single" w:sz="6" w:space="0" w:color="000000"/>
              <w:bottom w:val="single" w:sz="6" w:space="0" w:color="000000"/>
              <w:right w:val="nil"/>
            </w:tcBorders>
          </w:tcPr>
          <w:p w14:paraId="6555B876" w14:textId="77777777" w:rsidR="007005A2" w:rsidRDefault="00127D86" w:rsidP="004563BF">
            <w:pPr>
              <w:spacing w:before="100" w:after="38"/>
              <w:jc w:val="center"/>
            </w:pPr>
            <w:r>
              <w:t>400</w:t>
            </w:r>
          </w:p>
        </w:tc>
        <w:tc>
          <w:tcPr>
            <w:tcW w:w="2160" w:type="dxa"/>
            <w:tcBorders>
              <w:top w:val="single" w:sz="6" w:space="0" w:color="000000"/>
              <w:left w:val="single" w:sz="6" w:space="0" w:color="000000"/>
              <w:bottom w:val="single" w:sz="6" w:space="0" w:color="000000"/>
              <w:right w:val="nil"/>
            </w:tcBorders>
          </w:tcPr>
          <w:p w14:paraId="24926BB9" w14:textId="77777777" w:rsidR="007005A2" w:rsidRDefault="007005A2" w:rsidP="007005A2">
            <w:pPr>
              <w:spacing w:before="100" w:after="38"/>
              <w:jc w:val="center"/>
            </w:pPr>
            <w:r>
              <w:t>$2</w:t>
            </w:r>
            <w:r w:rsidR="008E4EE0">
              <w:t>2.85</w:t>
            </w:r>
          </w:p>
        </w:tc>
        <w:tc>
          <w:tcPr>
            <w:tcW w:w="2520" w:type="dxa"/>
            <w:tcBorders>
              <w:top w:val="single" w:sz="6" w:space="0" w:color="000000"/>
              <w:left w:val="single" w:sz="6" w:space="0" w:color="000000"/>
              <w:bottom w:val="single" w:sz="6" w:space="0" w:color="000000"/>
              <w:right w:val="single" w:sz="6" w:space="0" w:color="000000"/>
            </w:tcBorders>
          </w:tcPr>
          <w:p w14:paraId="203B5E6B" w14:textId="77777777" w:rsidR="007005A2" w:rsidRDefault="007005A2" w:rsidP="00127D86">
            <w:pPr>
              <w:spacing w:before="100" w:after="38"/>
              <w:jc w:val="center"/>
            </w:pPr>
            <w:r>
              <w:t>$</w:t>
            </w:r>
            <w:r w:rsidR="008E4EE0">
              <w:t>9,140</w:t>
            </w:r>
            <w:r w:rsidR="00127D86">
              <w:t>.00</w:t>
            </w:r>
          </w:p>
        </w:tc>
      </w:tr>
      <w:tr w:rsidR="00127D86" w14:paraId="708EF175" w14:textId="77777777" w:rsidTr="007005A2">
        <w:trPr>
          <w:cantSplit/>
        </w:trPr>
        <w:tc>
          <w:tcPr>
            <w:tcW w:w="1890" w:type="dxa"/>
            <w:tcBorders>
              <w:top w:val="single" w:sz="6" w:space="0" w:color="000000"/>
              <w:left w:val="single" w:sz="6" w:space="0" w:color="000000"/>
              <w:bottom w:val="single" w:sz="6" w:space="0" w:color="000000"/>
              <w:right w:val="nil"/>
            </w:tcBorders>
          </w:tcPr>
          <w:p w14:paraId="7E9794F0" w14:textId="77777777" w:rsidR="00127D86" w:rsidRDefault="00127D86" w:rsidP="004563BF">
            <w:pPr>
              <w:spacing w:before="100" w:after="38"/>
            </w:pPr>
            <w:proofErr w:type="spellStart"/>
            <w:r>
              <w:t>MFCU</w:t>
            </w:r>
            <w:proofErr w:type="spellEnd"/>
          </w:p>
        </w:tc>
        <w:tc>
          <w:tcPr>
            <w:tcW w:w="1980" w:type="dxa"/>
            <w:tcBorders>
              <w:top w:val="single" w:sz="6" w:space="0" w:color="000000"/>
              <w:left w:val="single" w:sz="6" w:space="0" w:color="000000"/>
              <w:bottom w:val="single" w:sz="6" w:space="0" w:color="000000"/>
              <w:right w:val="single" w:sz="6" w:space="0" w:color="000000"/>
            </w:tcBorders>
          </w:tcPr>
          <w:p w14:paraId="1839C0B6" w14:textId="77777777" w:rsidR="00127D86" w:rsidRPr="00A157D8" w:rsidRDefault="00127D86" w:rsidP="00127D86">
            <w:pPr>
              <w:spacing w:before="100" w:after="38"/>
            </w:pPr>
            <w:r w:rsidRPr="00A157D8">
              <w:t>1007.17(a)(2)</w:t>
            </w:r>
          </w:p>
          <w:p w14:paraId="7AA2D3F7" w14:textId="77777777" w:rsidR="00127D86" w:rsidRDefault="00127D86" w:rsidP="00127D86">
            <w:r w:rsidRPr="00A157D8">
              <w:t>Annual Statistical Report</w:t>
            </w:r>
          </w:p>
        </w:tc>
        <w:tc>
          <w:tcPr>
            <w:tcW w:w="1170" w:type="dxa"/>
            <w:tcBorders>
              <w:top w:val="single" w:sz="6" w:space="0" w:color="000000"/>
              <w:left w:val="single" w:sz="6" w:space="0" w:color="000000"/>
              <w:bottom w:val="single" w:sz="6" w:space="0" w:color="000000"/>
              <w:right w:val="nil"/>
            </w:tcBorders>
          </w:tcPr>
          <w:p w14:paraId="53AAA05E" w14:textId="77777777" w:rsidR="00127D86" w:rsidRDefault="00127D86" w:rsidP="004563BF">
            <w:pPr>
              <w:spacing w:before="100" w:after="38"/>
              <w:jc w:val="center"/>
            </w:pPr>
            <w:r>
              <w:t>4000</w:t>
            </w:r>
          </w:p>
        </w:tc>
        <w:tc>
          <w:tcPr>
            <w:tcW w:w="2160" w:type="dxa"/>
            <w:tcBorders>
              <w:top w:val="single" w:sz="6" w:space="0" w:color="000000"/>
              <w:left w:val="single" w:sz="6" w:space="0" w:color="000000"/>
              <w:bottom w:val="single" w:sz="6" w:space="0" w:color="000000"/>
              <w:right w:val="nil"/>
            </w:tcBorders>
          </w:tcPr>
          <w:p w14:paraId="53D716E1" w14:textId="77777777" w:rsidR="00127D86" w:rsidRDefault="008E4EE0" w:rsidP="007005A2">
            <w:pPr>
              <w:spacing w:before="100" w:after="38"/>
              <w:jc w:val="center"/>
            </w:pPr>
            <w:r>
              <w:t>$22.85</w:t>
            </w:r>
          </w:p>
        </w:tc>
        <w:tc>
          <w:tcPr>
            <w:tcW w:w="2520" w:type="dxa"/>
            <w:tcBorders>
              <w:top w:val="single" w:sz="6" w:space="0" w:color="000000"/>
              <w:left w:val="single" w:sz="6" w:space="0" w:color="000000"/>
              <w:bottom w:val="single" w:sz="6" w:space="0" w:color="000000"/>
              <w:right w:val="single" w:sz="6" w:space="0" w:color="000000"/>
            </w:tcBorders>
          </w:tcPr>
          <w:p w14:paraId="7D95A2AE" w14:textId="77777777" w:rsidR="00127D86" w:rsidRDefault="00305518" w:rsidP="0054036A">
            <w:pPr>
              <w:spacing w:before="100" w:after="38"/>
              <w:jc w:val="center"/>
            </w:pPr>
            <w:r>
              <w:t>$</w:t>
            </w:r>
            <w:r w:rsidR="008E4EE0">
              <w:t>91,400</w:t>
            </w:r>
            <w:r w:rsidR="00127D86">
              <w:t>.00</w:t>
            </w:r>
          </w:p>
        </w:tc>
      </w:tr>
      <w:tr w:rsidR="007005A2" w14:paraId="602ADA15" w14:textId="77777777" w:rsidTr="00E22596">
        <w:trPr>
          <w:cantSplit/>
          <w:trHeight w:val="507"/>
        </w:trPr>
        <w:tc>
          <w:tcPr>
            <w:tcW w:w="1890" w:type="dxa"/>
            <w:tcBorders>
              <w:top w:val="single" w:sz="6" w:space="0" w:color="000000"/>
              <w:left w:val="single" w:sz="6" w:space="0" w:color="000000"/>
              <w:bottom w:val="single" w:sz="6" w:space="0" w:color="000000"/>
              <w:right w:val="nil"/>
            </w:tcBorders>
          </w:tcPr>
          <w:p w14:paraId="36D20646" w14:textId="77777777" w:rsidR="007005A2" w:rsidRDefault="007005A2" w:rsidP="00A7474B">
            <w:pPr>
              <w:spacing w:before="100" w:after="38"/>
            </w:pPr>
            <w:r w:rsidRPr="00A7474B">
              <w:rPr>
                <w:b/>
              </w:rPr>
              <w:t xml:space="preserve">Total </w:t>
            </w:r>
          </w:p>
        </w:tc>
        <w:tc>
          <w:tcPr>
            <w:tcW w:w="1980" w:type="dxa"/>
            <w:tcBorders>
              <w:top w:val="single" w:sz="6" w:space="0" w:color="000000"/>
              <w:left w:val="single" w:sz="6" w:space="0" w:color="000000"/>
              <w:bottom w:val="single" w:sz="6" w:space="0" w:color="000000"/>
              <w:right w:val="single" w:sz="6" w:space="0" w:color="000000"/>
            </w:tcBorders>
          </w:tcPr>
          <w:p w14:paraId="32476D25" w14:textId="77777777" w:rsidR="007005A2" w:rsidRDefault="007005A2" w:rsidP="004563BF">
            <w:pPr>
              <w:spacing w:before="100" w:after="38"/>
              <w:jc w:val="center"/>
            </w:pPr>
          </w:p>
        </w:tc>
        <w:tc>
          <w:tcPr>
            <w:tcW w:w="1170" w:type="dxa"/>
            <w:tcBorders>
              <w:top w:val="single" w:sz="6" w:space="0" w:color="000000"/>
              <w:left w:val="single" w:sz="6" w:space="0" w:color="000000"/>
              <w:bottom w:val="single" w:sz="6" w:space="0" w:color="000000"/>
              <w:right w:val="nil"/>
            </w:tcBorders>
          </w:tcPr>
          <w:p w14:paraId="7932E361" w14:textId="77777777" w:rsidR="007005A2" w:rsidRDefault="00127D86" w:rsidP="00127D86">
            <w:pPr>
              <w:spacing w:before="100" w:after="38"/>
              <w:jc w:val="center"/>
            </w:pPr>
            <w:r>
              <w:t>4556</w:t>
            </w:r>
          </w:p>
        </w:tc>
        <w:tc>
          <w:tcPr>
            <w:tcW w:w="2160" w:type="dxa"/>
            <w:tcBorders>
              <w:top w:val="single" w:sz="6" w:space="0" w:color="000000"/>
              <w:left w:val="single" w:sz="6" w:space="0" w:color="000000"/>
              <w:bottom w:val="single" w:sz="6" w:space="0" w:color="000000"/>
              <w:right w:val="nil"/>
            </w:tcBorders>
          </w:tcPr>
          <w:p w14:paraId="3049F042" w14:textId="77777777" w:rsidR="007005A2" w:rsidRDefault="007005A2" w:rsidP="007005A2">
            <w:pPr>
              <w:spacing w:before="100" w:after="38"/>
              <w:jc w:val="center"/>
            </w:pPr>
            <w:r>
              <w:t>$2</w:t>
            </w:r>
            <w:r w:rsidR="008E4EE0">
              <w:t>2.85</w:t>
            </w:r>
          </w:p>
        </w:tc>
        <w:tc>
          <w:tcPr>
            <w:tcW w:w="2520" w:type="dxa"/>
            <w:tcBorders>
              <w:top w:val="single" w:sz="6" w:space="0" w:color="000000"/>
              <w:left w:val="single" w:sz="6" w:space="0" w:color="000000"/>
              <w:bottom w:val="single" w:sz="6" w:space="0" w:color="000000"/>
              <w:right w:val="single" w:sz="6" w:space="0" w:color="000000"/>
            </w:tcBorders>
          </w:tcPr>
          <w:p w14:paraId="1F92DCBC" w14:textId="77777777" w:rsidR="007005A2" w:rsidRDefault="008E4EE0" w:rsidP="00127D86">
            <w:pPr>
              <w:spacing w:before="100" w:after="38"/>
              <w:jc w:val="center"/>
            </w:pPr>
            <w:r>
              <w:t>$</w:t>
            </w:r>
            <w:r w:rsidR="00305518">
              <w:t>104,104.60</w:t>
            </w:r>
          </w:p>
        </w:tc>
      </w:tr>
    </w:tbl>
    <w:p w14:paraId="66FD43E6" w14:textId="77777777" w:rsidR="00E85517" w:rsidRDefault="00E85517" w:rsidP="004563BF">
      <w:pPr>
        <w:rPr>
          <w:b/>
          <w:bCs/>
          <w:sz w:val="24"/>
          <w:szCs w:val="24"/>
        </w:rPr>
      </w:pPr>
      <w:r>
        <w:rPr>
          <w:b/>
          <w:bCs/>
          <w:sz w:val="24"/>
          <w:szCs w:val="24"/>
        </w:rPr>
        <w:tab/>
      </w:r>
      <w:r>
        <w:rPr>
          <w:b/>
          <w:bCs/>
          <w:sz w:val="24"/>
          <w:szCs w:val="24"/>
        </w:rPr>
        <w:tab/>
      </w:r>
    </w:p>
    <w:p w14:paraId="1D22BA74" w14:textId="77777777" w:rsidR="00E85517" w:rsidRDefault="00E85517" w:rsidP="004563BF">
      <w:pPr>
        <w:rPr>
          <w:sz w:val="24"/>
          <w:szCs w:val="24"/>
        </w:rPr>
      </w:pPr>
      <w:r>
        <w:rPr>
          <w:b/>
          <w:bCs/>
          <w:sz w:val="24"/>
          <w:szCs w:val="24"/>
        </w:rPr>
        <w:tab/>
        <w:t xml:space="preserve">13.  </w:t>
      </w:r>
      <w:r w:rsidRPr="00DC6B3E">
        <w:rPr>
          <w:b/>
          <w:bCs/>
          <w:sz w:val="24"/>
          <w:szCs w:val="24"/>
          <w:u w:val="single"/>
        </w:rPr>
        <w:t>C</w:t>
      </w:r>
      <w:r>
        <w:rPr>
          <w:b/>
          <w:bCs/>
          <w:sz w:val="24"/>
          <w:szCs w:val="24"/>
          <w:u w:val="single"/>
        </w:rPr>
        <w:t>apital C</w:t>
      </w:r>
      <w:r w:rsidRPr="00DC6B3E">
        <w:rPr>
          <w:b/>
          <w:bCs/>
          <w:sz w:val="24"/>
          <w:szCs w:val="24"/>
          <w:u w:val="single"/>
        </w:rPr>
        <w:t>ost</w:t>
      </w:r>
      <w:r>
        <w:rPr>
          <w:b/>
          <w:bCs/>
          <w:sz w:val="24"/>
          <w:szCs w:val="24"/>
          <w:u w:val="single"/>
        </w:rPr>
        <w:t>s (Maintenance of Capital)</w:t>
      </w:r>
      <w:r w:rsidRPr="00DC6B3E">
        <w:rPr>
          <w:b/>
          <w:bCs/>
          <w:sz w:val="24"/>
          <w:szCs w:val="24"/>
        </w:rPr>
        <w:t xml:space="preserve"> </w:t>
      </w:r>
      <w:r w:rsidRPr="00DC6B3E">
        <w:rPr>
          <w:bCs/>
          <w:sz w:val="24"/>
          <w:szCs w:val="24"/>
        </w:rPr>
        <w:t xml:space="preserve"> </w:t>
      </w:r>
    </w:p>
    <w:p w14:paraId="5857BD32" w14:textId="77777777" w:rsidR="00E85517" w:rsidRDefault="00E85517" w:rsidP="004563BF">
      <w:pPr>
        <w:rPr>
          <w:sz w:val="24"/>
          <w:szCs w:val="24"/>
        </w:rPr>
      </w:pPr>
    </w:p>
    <w:p w14:paraId="390204D3" w14:textId="77777777" w:rsidR="00E85517" w:rsidRDefault="00E85517" w:rsidP="004563BF">
      <w:pPr>
        <w:ind w:left="720"/>
        <w:rPr>
          <w:sz w:val="24"/>
          <w:szCs w:val="24"/>
        </w:rPr>
      </w:pPr>
      <w:r>
        <w:rPr>
          <w:sz w:val="24"/>
          <w:szCs w:val="24"/>
        </w:rPr>
        <w:t xml:space="preserve">No maintenance of capital costs </w:t>
      </w:r>
      <w:proofErr w:type="gramStart"/>
      <w:r>
        <w:rPr>
          <w:sz w:val="24"/>
          <w:szCs w:val="24"/>
        </w:rPr>
        <w:t>are</w:t>
      </w:r>
      <w:proofErr w:type="gramEnd"/>
      <w:r>
        <w:rPr>
          <w:sz w:val="24"/>
          <w:szCs w:val="24"/>
        </w:rPr>
        <w:t xml:space="preserve"> associated with this collection. </w:t>
      </w:r>
    </w:p>
    <w:p w14:paraId="1D7FEE71" w14:textId="77777777" w:rsidR="00E85517" w:rsidRDefault="00E85517" w:rsidP="004563BF">
      <w:pPr>
        <w:rPr>
          <w:b/>
          <w:bCs/>
          <w:sz w:val="24"/>
          <w:szCs w:val="24"/>
        </w:rPr>
      </w:pPr>
      <w:r>
        <w:rPr>
          <w:sz w:val="24"/>
          <w:szCs w:val="24"/>
        </w:rPr>
        <w:tab/>
      </w:r>
    </w:p>
    <w:p w14:paraId="4FEB2C15" w14:textId="77777777" w:rsidR="00E85517" w:rsidRDefault="00E85517" w:rsidP="00C537FD">
      <w:pPr>
        <w:rPr>
          <w:sz w:val="24"/>
          <w:szCs w:val="24"/>
        </w:rPr>
      </w:pPr>
      <w:r>
        <w:rPr>
          <w:b/>
          <w:bCs/>
          <w:sz w:val="24"/>
          <w:szCs w:val="24"/>
        </w:rPr>
        <w:tab/>
        <w:t xml:space="preserve">14.  </w:t>
      </w:r>
      <w:r>
        <w:rPr>
          <w:b/>
          <w:bCs/>
          <w:sz w:val="24"/>
          <w:szCs w:val="24"/>
          <w:u w:val="single"/>
        </w:rPr>
        <w:t>Cost to Federal Government</w:t>
      </w:r>
    </w:p>
    <w:p w14:paraId="0C0702F7" w14:textId="77777777" w:rsidR="00E85517" w:rsidRDefault="00E85517" w:rsidP="004563BF">
      <w:pPr>
        <w:jc w:val="center"/>
        <w:rPr>
          <w:sz w:val="24"/>
          <w:szCs w:val="24"/>
        </w:rPr>
      </w:pPr>
    </w:p>
    <w:p w14:paraId="04096F56" w14:textId="77777777" w:rsidR="00E85517" w:rsidRDefault="00E85517" w:rsidP="00C96C7E">
      <w:pPr>
        <w:ind w:left="720"/>
        <w:rPr>
          <w:sz w:val="24"/>
          <w:szCs w:val="24"/>
        </w:rPr>
      </w:pPr>
      <w:r>
        <w:rPr>
          <w:sz w:val="24"/>
          <w:szCs w:val="24"/>
        </w:rPr>
        <w:t xml:space="preserve">The annual cost to the Federal government of processing the collection for each of the 50 </w:t>
      </w:r>
      <w:proofErr w:type="spellStart"/>
      <w:r>
        <w:rPr>
          <w:sz w:val="24"/>
          <w:szCs w:val="24"/>
        </w:rPr>
        <w:t>MFCUs</w:t>
      </w:r>
      <w:proofErr w:type="spellEnd"/>
      <w:r>
        <w:rPr>
          <w:sz w:val="24"/>
          <w:szCs w:val="24"/>
        </w:rPr>
        <w:t xml:space="preserve"> is based on the average time </w:t>
      </w:r>
      <w:proofErr w:type="spellStart"/>
      <w:r>
        <w:rPr>
          <w:sz w:val="24"/>
          <w:szCs w:val="24"/>
        </w:rPr>
        <w:t>OIG</w:t>
      </w:r>
      <w:proofErr w:type="spellEnd"/>
      <w:r>
        <w:rPr>
          <w:sz w:val="24"/>
          <w:szCs w:val="24"/>
        </w:rPr>
        <w:t xml:space="preserve"> staff takes to thoroughly review and analyze the information in each collection, as well as the time it takes to consult with </w:t>
      </w:r>
      <w:proofErr w:type="spellStart"/>
      <w:r>
        <w:rPr>
          <w:sz w:val="24"/>
          <w:szCs w:val="24"/>
        </w:rPr>
        <w:t>MFCU</w:t>
      </w:r>
      <w:proofErr w:type="spellEnd"/>
      <w:r>
        <w:rPr>
          <w:sz w:val="24"/>
          <w:szCs w:val="24"/>
        </w:rPr>
        <w:t xml:space="preserve"> officials and their staff, if appropriate.  The number of participating </w:t>
      </w:r>
      <w:proofErr w:type="spellStart"/>
      <w:r>
        <w:rPr>
          <w:sz w:val="24"/>
          <w:szCs w:val="24"/>
        </w:rPr>
        <w:t>OIG</w:t>
      </w:r>
      <w:proofErr w:type="spellEnd"/>
      <w:r>
        <w:rPr>
          <w:sz w:val="24"/>
          <w:szCs w:val="24"/>
        </w:rPr>
        <w:t xml:space="preserve"> staff is 4.  </w:t>
      </w:r>
      <w:proofErr w:type="spellStart"/>
      <w:r>
        <w:rPr>
          <w:sz w:val="24"/>
          <w:szCs w:val="24"/>
        </w:rPr>
        <w:t>OIG</w:t>
      </w:r>
      <w:proofErr w:type="spellEnd"/>
      <w:r>
        <w:rPr>
          <w:sz w:val="24"/>
          <w:szCs w:val="24"/>
        </w:rPr>
        <w:t xml:space="preserve"> staff takes 3 hours for each review.  The estimated wage rate for </w:t>
      </w:r>
      <w:proofErr w:type="spellStart"/>
      <w:r>
        <w:rPr>
          <w:sz w:val="24"/>
          <w:szCs w:val="24"/>
        </w:rPr>
        <w:t>OIG</w:t>
      </w:r>
      <w:proofErr w:type="spellEnd"/>
      <w:r>
        <w:rPr>
          <w:sz w:val="24"/>
          <w:szCs w:val="24"/>
        </w:rPr>
        <w:t xml:space="preserve"> staff is $</w:t>
      </w:r>
      <w:r w:rsidR="00163110">
        <w:rPr>
          <w:sz w:val="24"/>
          <w:szCs w:val="24"/>
        </w:rPr>
        <w:t>26--$51</w:t>
      </w:r>
      <w:r>
        <w:rPr>
          <w:sz w:val="24"/>
          <w:szCs w:val="24"/>
        </w:rPr>
        <w:t xml:space="preserve"> per hour—an average of $</w:t>
      </w:r>
      <w:r w:rsidR="00163110">
        <w:rPr>
          <w:sz w:val="24"/>
          <w:szCs w:val="24"/>
        </w:rPr>
        <w:t xml:space="preserve">37 </w:t>
      </w:r>
      <w:r>
        <w:rPr>
          <w:sz w:val="24"/>
          <w:szCs w:val="24"/>
        </w:rPr>
        <w:t>per hour.  Based on this data, the average annual cost to the Federal Government for collection is approximately $5,</w:t>
      </w:r>
      <w:r w:rsidR="00163110">
        <w:rPr>
          <w:sz w:val="24"/>
          <w:szCs w:val="24"/>
        </w:rPr>
        <w:t>550</w:t>
      </w:r>
      <w:r>
        <w:rPr>
          <w:sz w:val="24"/>
          <w:szCs w:val="24"/>
        </w:rPr>
        <w:t>.  The hourl</w:t>
      </w:r>
      <w:bookmarkStart w:id="0" w:name="_GoBack"/>
      <w:bookmarkEnd w:id="0"/>
      <w:r>
        <w:rPr>
          <w:sz w:val="24"/>
          <w:szCs w:val="24"/>
        </w:rPr>
        <w:t xml:space="preserve">y wage rate </w:t>
      </w:r>
      <w:r>
        <w:rPr>
          <w:sz w:val="24"/>
          <w:szCs w:val="24"/>
        </w:rPr>
        <w:lastRenderedPageBreak/>
        <w:t xml:space="preserve">information was derived from personnel-payroll data.  The figure used for </w:t>
      </w:r>
      <w:proofErr w:type="spellStart"/>
      <w:r>
        <w:rPr>
          <w:sz w:val="24"/>
          <w:szCs w:val="24"/>
        </w:rPr>
        <w:t>OIG</w:t>
      </w:r>
      <w:proofErr w:type="spellEnd"/>
      <w:r>
        <w:rPr>
          <w:sz w:val="24"/>
          <w:szCs w:val="24"/>
        </w:rPr>
        <w:t xml:space="preserve"> staff processing time was obtained from the participants.  </w:t>
      </w:r>
      <w:r>
        <w:rPr>
          <w:sz w:val="24"/>
          <w:szCs w:val="24"/>
        </w:rPr>
        <w:tab/>
      </w:r>
    </w:p>
    <w:p w14:paraId="7900F328" w14:textId="77777777" w:rsidR="00E85517" w:rsidRDefault="00E85517" w:rsidP="004563BF">
      <w:pPr>
        <w:rPr>
          <w:sz w:val="24"/>
          <w:szCs w:val="24"/>
        </w:rPr>
      </w:pPr>
    </w:p>
    <w:p w14:paraId="347D3939" w14:textId="77777777" w:rsidR="00E85517" w:rsidRPr="008A0906" w:rsidRDefault="00E85517" w:rsidP="004563BF">
      <w:pPr>
        <w:rPr>
          <w:sz w:val="24"/>
          <w:szCs w:val="24"/>
        </w:rPr>
      </w:pPr>
      <w:r>
        <w:rPr>
          <w:sz w:val="24"/>
          <w:szCs w:val="24"/>
        </w:rPr>
        <w:tab/>
      </w:r>
      <w:r w:rsidRPr="008A0906">
        <w:rPr>
          <w:b/>
          <w:sz w:val="24"/>
          <w:szCs w:val="24"/>
        </w:rPr>
        <w:t>15.</w:t>
      </w:r>
      <w:r w:rsidRPr="008A0906">
        <w:rPr>
          <w:sz w:val="24"/>
          <w:szCs w:val="24"/>
        </w:rPr>
        <w:t xml:space="preserve">  </w:t>
      </w:r>
      <w:r w:rsidRPr="008A0906">
        <w:rPr>
          <w:b/>
          <w:bCs/>
          <w:sz w:val="24"/>
          <w:szCs w:val="24"/>
          <w:u w:val="single"/>
        </w:rPr>
        <w:t>Program or Burden Changes</w:t>
      </w:r>
    </w:p>
    <w:p w14:paraId="43090491" w14:textId="77777777" w:rsidR="00E85517" w:rsidRPr="008A0906" w:rsidRDefault="00E85517" w:rsidP="004563BF">
      <w:pPr>
        <w:rPr>
          <w:sz w:val="24"/>
          <w:szCs w:val="24"/>
        </w:rPr>
      </w:pPr>
    </w:p>
    <w:p w14:paraId="4C0105BE" w14:textId="77777777" w:rsidR="00E85517" w:rsidRDefault="00A53DF9" w:rsidP="004563BF">
      <w:pPr>
        <w:ind w:left="720"/>
        <w:rPr>
          <w:sz w:val="24"/>
          <w:szCs w:val="24"/>
        </w:rPr>
      </w:pPr>
      <w:r>
        <w:rPr>
          <w:sz w:val="24"/>
          <w:szCs w:val="24"/>
        </w:rPr>
        <w:t>There are no program or burden changes with this collection.</w:t>
      </w:r>
      <w:r w:rsidR="00E85517">
        <w:rPr>
          <w:sz w:val="24"/>
          <w:szCs w:val="24"/>
        </w:rPr>
        <w:t xml:space="preserve">  </w:t>
      </w:r>
    </w:p>
    <w:p w14:paraId="5E462669" w14:textId="77777777" w:rsidR="00E85517" w:rsidRDefault="00E85517" w:rsidP="004563BF">
      <w:pPr>
        <w:ind w:left="720"/>
        <w:rPr>
          <w:sz w:val="24"/>
          <w:szCs w:val="24"/>
        </w:rPr>
      </w:pPr>
    </w:p>
    <w:p w14:paraId="443C628F" w14:textId="77777777" w:rsidR="00E85517" w:rsidRDefault="00E85517" w:rsidP="004563BF">
      <w:pPr>
        <w:rPr>
          <w:sz w:val="24"/>
          <w:szCs w:val="24"/>
        </w:rPr>
      </w:pPr>
      <w:r>
        <w:rPr>
          <w:b/>
          <w:bCs/>
          <w:sz w:val="24"/>
          <w:szCs w:val="24"/>
        </w:rPr>
        <w:tab/>
        <w:t xml:space="preserve">16.  </w:t>
      </w:r>
      <w:r>
        <w:rPr>
          <w:b/>
          <w:bCs/>
          <w:sz w:val="24"/>
          <w:szCs w:val="24"/>
          <w:u w:val="single"/>
        </w:rPr>
        <w:t>Publication and Tabulation Dates</w:t>
      </w:r>
      <w:r>
        <w:rPr>
          <w:b/>
          <w:bCs/>
          <w:sz w:val="24"/>
          <w:szCs w:val="24"/>
        </w:rPr>
        <w:t xml:space="preserve"> </w:t>
      </w:r>
      <w:r>
        <w:rPr>
          <w:sz w:val="24"/>
          <w:szCs w:val="24"/>
        </w:rPr>
        <w:t xml:space="preserve"> </w:t>
      </w:r>
    </w:p>
    <w:p w14:paraId="5B9DEEAD" w14:textId="77777777" w:rsidR="00E85517" w:rsidRDefault="00E85517" w:rsidP="004563BF">
      <w:pPr>
        <w:rPr>
          <w:sz w:val="24"/>
          <w:szCs w:val="24"/>
        </w:rPr>
      </w:pPr>
    </w:p>
    <w:p w14:paraId="54DA3DCF" w14:textId="77777777" w:rsidR="00E85517" w:rsidRDefault="00E85517" w:rsidP="004563BF">
      <w:pPr>
        <w:ind w:left="720"/>
        <w:rPr>
          <w:sz w:val="24"/>
          <w:szCs w:val="24"/>
        </w:rPr>
      </w:pPr>
      <w:proofErr w:type="spellStart"/>
      <w:r>
        <w:rPr>
          <w:sz w:val="24"/>
          <w:szCs w:val="24"/>
        </w:rPr>
        <w:t>OIG</w:t>
      </w:r>
      <w:proofErr w:type="spellEnd"/>
      <w:r>
        <w:rPr>
          <w:sz w:val="24"/>
          <w:szCs w:val="24"/>
        </w:rPr>
        <w:t xml:space="preserve"> </w:t>
      </w:r>
      <w:r w:rsidR="00166118">
        <w:rPr>
          <w:sz w:val="24"/>
          <w:szCs w:val="24"/>
        </w:rPr>
        <w:t xml:space="preserve">would </w:t>
      </w:r>
      <w:r>
        <w:rPr>
          <w:sz w:val="24"/>
          <w:szCs w:val="24"/>
        </w:rPr>
        <w:t xml:space="preserve">not publicize information submitted </w:t>
      </w:r>
      <w:r w:rsidR="00166118">
        <w:rPr>
          <w:sz w:val="24"/>
          <w:szCs w:val="24"/>
        </w:rPr>
        <w:t xml:space="preserve">collected annually as a part of the reapplication.  However, </w:t>
      </w:r>
      <w:proofErr w:type="spellStart"/>
      <w:r w:rsidR="00166118">
        <w:rPr>
          <w:sz w:val="24"/>
          <w:szCs w:val="24"/>
        </w:rPr>
        <w:t>OIG</w:t>
      </w:r>
      <w:proofErr w:type="spellEnd"/>
      <w:r w:rsidR="00166118">
        <w:rPr>
          <w:sz w:val="24"/>
          <w:szCs w:val="24"/>
        </w:rPr>
        <w:t xml:space="preserve"> does post summary statistical data of all </w:t>
      </w:r>
      <w:proofErr w:type="spellStart"/>
      <w:r w:rsidR="00166118">
        <w:rPr>
          <w:sz w:val="24"/>
          <w:szCs w:val="24"/>
        </w:rPr>
        <w:t>MFCUs</w:t>
      </w:r>
      <w:proofErr w:type="spellEnd"/>
      <w:r w:rsidR="00166118">
        <w:rPr>
          <w:sz w:val="24"/>
          <w:szCs w:val="24"/>
        </w:rPr>
        <w:t xml:space="preserve"> on the </w:t>
      </w:r>
      <w:proofErr w:type="spellStart"/>
      <w:r w:rsidR="00166118">
        <w:rPr>
          <w:sz w:val="24"/>
          <w:szCs w:val="24"/>
        </w:rPr>
        <w:t>OIG</w:t>
      </w:r>
      <w:proofErr w:type="spellEnd"/>
      <w:r w:rsidR="00166118">
        <w:rPr>
          <w:sz w:val="24"/>
          <w:szCs w:val="24"/>
        </w:rPr>
        <w:t xml:space="preserve"> website.  </w:t>
      </w:r>
      <w:r w:rsidR="008E0DA3">
        <w:rPr>
          <w:sz w:val="24"/>
          <w:szCs w:val="24"/>
        </w:rPr>
        <w:t xml:space="preserve">The reapplication and statistical data does not include identifying information concerning ongoing investigations and prosecutions.  However, if requested by </w:t>
      </w:r>
      <w:r>
        <w:rPr>
          <w:sz w:val="24"/>
          <w:szCs w:val="24"/>
        </w:rPr>
        <w:t xml:space="preserve">through </w:t>
      </w:r>
      <w:proofErr w:type="spellStart"/>
      <w:r>
        <w:rPr>
          <w:sz w:val="24"/>
          <w:szCs w:val="24"/>
        </w:rPr>
        <w:t>FOIA</w:t>
      </w:r>
      <w:proofErr w:type="spellEnd"/>
      <w:r>
        <w:rPr>
          <w:sz w:val="24"/>
          <w:szCs w:val="24"/>
        </w:rPr>
        <w:t xml:space="preserve"> channels, </w:t>
      </w:r>
      <w:r w:rsidR="008E0DA3">
        <w:rPr>
          <w:sz w:val="24"/>
          <w:szCs w:val="24"/>
        </w:rPr>
        <w:t xml:space="preserve">information would only be </w:t>
      </w:r>
      <w:r>
        <w:rPr>
          <w:sz w:val="24"/>
          <w:szCs w:val="24"/>
        </w:rPr>
        <w:t xml:space="preserve">disclosed on a case-by-case basis and only after a thorough </w:t>
      </w:r>
      <w:proofErr w:type="spellStart"/>
      <w:r>
        <w:rPr>
          <w:sz w:val="24"/>
          <w:szCs w:val="24"/>
        </w:rPr>
        <w:t>FOIA</w:t>
      </w:r>
      <w:proofErr w:type="spellEnd"/>
      <w:r>
        <w:rPr>
          <w:sz w:val="24"/>
          <w:szCs w:val="24"/>
        </w:rPr>
        <w:t xml:space="preserve"> review.  </w:t>
      </w:r>
    </w:p>
    <w:p w14:paraId="53821BAB" w14:textId="77777777" w:rsidR="00E85517" w:rsidRDefault="00E85517" w:rsidP="004563BF">
      <w:pPr>
        <w:rPr>
          <w:b/>
          <w:bCs/>
          <w:sz w:val="24"/>
          <w:szCs w:val="24"/>
        </w:rPr>
      </w:pPr>
      <w:r>
        <w:rPr>
          <w:sz w:val="24"/>
          <w:szCs w:val="24"/>
        </w:rPr>
        <w:tab/>
      </w:r>
    </w:p>
    <w:p w14:paraId="416C576C" w14:textId="77777777" w:rsidR="00E85517" w:rsidRDefault="00E85517" w:rsidP="004563BF">
      <w:pPr>
        <w:rPr>
          <w:sz w:val="24"/>
          <w:szCs w:val="24"/>
        </w:rPr>
      </w:pPr>
      <w:r>
        <w:rPr>
          <w:b/>
          <w:bCs/>
          <w:sz w:val="24"/>
          <w:szCs w:val="24"/>
        </w:rPr>
        <w:tab/>
        <w:t xml:space="preserve">17.  </w:t>
      </w:r>
      <w:r>
        <w:rPr>
          <w:b/>
          <w:bCs/>
          <w:sz w:val="24"/>
          <w:szCs w:val="24"/>
          <w:u w:val="single"/>
        </w:rPr>
        <w:t>Expiration Date</w:t>
      </w:r>
    </w:p>
    <w:p w14:paraId="74629E14" w14:textId="77777777" w:rsidR="00E85517" w:rsidRDefault="00E85517" w:rsidP="004563BF">
      <w:pPr>
        <w:rPr>
          <w:sz w:val="24"/>
          <w:szCs w:val="24"/>
        </w:rPr>
      </w:pPr>
    </w:p>
    <w:p w14:paraId="065748ED" w14:textId="77777777" w:rsidR="00E85517" w:rsidRDefault="00E85517" w:rsidP="00AD3E97">
      <w:pPr>
        <w:ind w:firstLine="720"/>
        <w:rPr>
          <w:sz w:val="24"/>
          <w:szCs w:val="24"/>
        </w:rPr>
      </w:pPr>
      <w:r>
        <w:rPr>
          <w:sz w:val="24"/>
          <w:szCs w:val="24"/>
        </w:rPr>
        <w:t xml:space="preserve">This section is not applicable.  </w:t>
      </w:r>
    </w:p>
    <w:p w14:paraId="5D954FB0" w14:textId="77777777" w:rsidR="00E85517" w:rsidRDefault="00E85517" w:rsidP="004563BF">
      <w:pPr>
        <w:rPr>
          <w:sz w:val="24"/>
          <w:szCs w:val="24"/>
        </w:rPr>
      </w:pPr>
    </w:p>
    <w:p w14:paraId="441EF77E" w14:textId="77777777" w:rsidR="00E85517" w:rsidRDefault="00E85517" w:rsidP="004563BF">
      <w:pPr>
        <w:rPr>
          <w:sz w:val="24"/>
          <w:szCs w:val="24"/>
        </w:rPr>
      </w:pPr>
      <w:r>
        <w:rPr>
          <w:b/>
          <w:bCs/>
          <w:sz w:val="24"/>
          <w:szCs w:val="24"/>
        </w:rPr>
        <w:tab/>
        <w:t xml:space="preserve">18.  </w:t>
      </w:r>
      <w:r>
        <w:rPr>
          <w:b/>
          <w:bCs/>
          <w:sz w:val="24"/>
          <w:szCs w:val="24"/>
          <w:u w:val="single"/>
        </w:rPr>
        <w:t xml:space="preserve">Certification Statement </w:t>
      </w:r>
    </w:p>
    <w:p w14:paraId="73096D78" w14:textId="77777777" w:rsidR="00E85517" w:rsidRDefault="00E85517" w:rsidP="004563BF">
      <w:pPr>
        <w:rPr>
          <w:sz w:val="24"/>
          <w:szCs w:val="24"/>
        </w:rPr>
      </w:pPr>
      <w:r>
        <w:rPr>
          <w:sz w:val="24"/>
          <w:szCs w:val="24"/>
        </w:rPr>
        <w:tab/>
      </w:r>
    </w:p>
    <w:p w14:paraId="4BB9867C" w14:textId="77777777" w:rsidR="00E85517" w:rsidRDefault="00E85517" w:rsidP="004563BF">
      <w:pPr>
        <w:rPr>
          <w:sz w:val="24"/>
          <w:szCs w:val="24"/>
        </w:rPr>
      </w:pPr>
      <w:r>
        <w:rPr>
          <w:sz w:val="24"/>
          <w:szCs w:val="24"/>
        </w:rPr>
        <w:tab/>
        <w:t xml:space="preserve">No exceptions to the certification exist. </w:t>
      </w:r>
    </w:p>
    <w:p w14:paraId="2769207C" w14:textId="77777777" w:rsidR="00E85517" w:rsidRDefault="00E85517" w:rsidP="004563BF">
      <w:pPr>
        <w:rPr>
          <w:sz w:val="24"/>
          <w:szCs w:val="24"/>
        </w:rPr>
      </w:pPr>
    </w:p>
    <w:p w14:paraId="070FFBEF" w14:textId="77777777" w:rsidR="00E85517" w:rsidRDefault="00E85517" w:rsidP="004563BF">
      <w:pPr>
        <w:rPr>
          <w:sz w:val="24"/>
          <w:szCs w:val="24"/>
        </w:rPr>
      </w:pPr>
    </w:p>
    <w:p w14:paraId="0B40ACDC" w14:textId="77777777" w:rsidR="00E85517" w:rsidRDefault="00E85517" w:rsidP="004563BF">
      <w:pPr>
        <w:tabs>
          <w:tab w:val="left" w:pos="720"/>
        </w:tabs>
        <w:ind w:left="720" w:hanging="720"/>
        <w:rPr>
          <w:sz w:val="24"/>
          <w:szCs w:val="24"/>
        </w:rPr>
      </w:pPr>
      <w:r>
        <w:rPr>
          <w:b/>
          <w:bCs/>
          <w:sz w:val="24"/>
          <w:szCs w:val="24"/>
        </w:rPr>
        <w:t>B</w:t>
      </w:r>
      <w:r>
        <w:rPr>
          <w:sz w:val="24"/>
          <w:szCs w:val="24"/>
        </w:rPr>
        <w:t>.</w:t>
      </w:r>
      <w:r>
        <w:rPr>
          <w:sz w:val="24"/>
          <w:szCs w:val="24"/>
        </w:rPr>
        <w:tab/>
      </w:r>
      <w:r>
        <w:rPr>
          <w:b/>
          <w:bCs/>
          <w:sz w:val="24"/>
          <w:szCs w:val="24"/>
          <w:u w:val="single"/>
        </w:rPr>
        <w:t>Collection of Information Employing Statistical Methods</w:t>
      </w:r>
    </w:p>
    <w:p w14:paraId="4B342DC4" w14:textId="77777777" w:rsidR="00E85517" w:rsidRDefault="00E85517" w:rsidP="004563BF">
      <w:pPr>
        <w:rPr>
          <w:sz w:val="24"/>
          <w:szCs w:val="24"/>
        </w:rPr>
      </w:pPr>
    </w:p>
    <w:p w14:paraId="2BCC9ABC" w14:textId="77777777" w:rsidR="00E85517" w:rsidRDefault="00E85517">
      <w:r>
        <w:rPr>
          <w:sz w:val="24"/>
          <w:szCs w:val="24"/>
        </w:rPr>
        <w:tab/>
        <w:t>No statistical methods are employed in relation to the information collected.</w:t>
      </w:r>
      <w:r>
        <w:t xml:space="preserve"> </w:t>
      </w:r>
    </w:p>
    <w:sectPr w:rsidR="00E85517" w:rsidSect="00E94A04">
      <w:headerReference w:type="default" r:id="rId8"/>
      <w:footerReference w:type="default" r:id="rId9"/>
      <w:type w:val="continuous"/>
      <w:pgSz w:w="12240" w:h="15840"/>
      <w:pgMar w:top="135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2DE6A" w14:textId="77777777" w:rsidR="0051226F" w:rsidRDefault="0051226F" w:rsidP="00236160">
      <w:r>
        <w:separator/>
      </w:r>
    </w:p>
  </w:endnote>
  <w:endnote w:type="continuationSeparator" w:id="0">
    <w:p w14:paraId="421047E7" w14:textId="77777777" w:rsidR="0051226F" w:rsidRDefault="0051226F" w:rsidP="00236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F5902" w14:textId="77777777" w:rsidR="00BD3A56" w:rsidRDefault="00BD3A56">
    <w:pPr>
      <w:pStyle w:val="Footer"/>
      <w:jc w:val="center"/>
    </w:pPr>
    <w:r>
      <w:fldChar w:fldCharType="begin"/>
    </w:r>
    <w:r>
      <w:instrText xml:space="preserve"> PAGE   \* MERGEFORMAT </w:instrText>
    </w:r>
    <w:r>
      <w:fldChar w:fldCharType="separate"/>
    </w:r>
    <w:r w:rsidR="00D43BBB">
      <w:rPr>
        <w:noProof/>
      </w:rPr>
      <w:t>7</w:t>
    </w:r>
    <w:r>
      <w:fldChar w:fldCharType="end"/>
    </w:r>
  </w:p>
  <w:p w14:paraId="257658E0" w14:textId="77777777" w:rsidR="00BD3A56" w:rsidRDefault="00BD3A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7BEC8E" w14:textId="77777777" w:rsidR="0051226F" w:rsidRDefault="0051226F" w:rsidP="00236160">
      <w:r>
        <w:separator/>
      </w:r>
    </w:p>
  </w:footnote>
  <w:footnote w:type="continuationSeparator" w:id="0">
    <w:p w14:paraId="3A7B9593" w14:textId="77777777" w:rsidR="0051226F" w:rsidRDefault="0051226F" w:rsidP="00236160">
      <w:r>
        <w:continuationSeparator/>
      </w:r>
    </w:p>
  </w:footnote>
  <w:footnote w:id="1">
    <w:p w14:paraId="4F84DF8D" w14:textId="77777777" w:rsidR="007A2795" w:rsidRPr="00A7474B" w:rsidRDefault="007A2795">
      <w:pPr>
        <w:pStyle w:val="FootnoteText"/>
        <w:rPr>
          <w:sz w:val="18"/>
          <w:szCs w:val="18"/>
        </w:rPr>
      </w:pPr>
      <w:r>
        <w:rPr>
          <w:rStyle w:val="FootnoteReference"/>
        </w:rPr>
        <w:footnoteRef/>
      </w:r>
      <w:r>
        <w:t xml:space="preserve"> </w:t>
      </w:r>
      <w:r>
        <w:rPr>
          <w:sz w:val="18"/>
          <w:szCs w:val="18"/>
        </w:rPr>
        <w:t xml:space="preserve">The </w:t>
      </w:r>
      <w:r w:rsidR="006C44AA">
        <w:rPr>
          <w:sz w:val="18"/>
          <w:szCs w:val="18"/>
        </w:rPr>
        <w:t xml:space="preserve">Units not participating in data mining would have </w:t>
      </w:r>
      <w:r w:rsidR="001A693B">
        <w:rPr>
          <w:sz w:val="18"/>
          <w:szCs w:val="18"/>
        </w:rPr>
        <w:t>3</w:t>
      </w:r>
      <w:r w:rsidR="006C44AA">
        <w:rPr>
          <w:sz w:val="18"/>
          <w:szCs w:val="18"/>
        </w:rPr>
        <w:t xml:space="preserve"> responses; the </w:t>
      </w:r>
      <w:r w:rsidR="00127D86">
        <w:rPr>
          <w:sz w:val="18"/>
          <w:szCs w:val="18"/>
        </w:rPr>
        <w:t>6</w:t>
      </w:r>
      <w:r>
        <w:rPr>
          <w:sz w:val="18"/>
          <w:szCs w:val="18"/>
        </w:rPr>
        <w:t xml:space="preserve"> Units </w:t>
      </w:r>
      <w:r w:rsidR="00127D86">
        <w:rPr>
          <w:sz w:val="18"/>
          <w:szCs w:val="18"/>
        </w:rPr>
        <w:t xml:space="preserve">currently </w:t>
      </w:r>
      <w:r>
        <w:rPr>
          <w:sz w:val="18"/>
          <w:szCs w:val="18"/>
        </w:rPr>
        <w:t xml:space="preserve">participating in data mining would have </w:t>
      </w:r>
      <w:r w:rsidR="001A693B">
        <w:rPr>
          <w:sz w:val="18"/>
          <w:szCs w:val="18"/>
        </w:rPr>
        <w:t>4</w:t>
      </w:r>
      <w:r>
        <w:rPr>
          <w:sz w:val="18"/>
          <w:szCs w:val="18"/>
        </w:rPr>
        <w:t xml:space="preserve"> responses</w:t>
      </w:r>
      <w:r w:rsidR="006C44AA">
        <w:rPr>
          <w:sz w:val="18"/>
          <w:szCs w:val="18"/>
        </w:rPr>
        <w:t>.</w:t>
      </w:r>
    </w:p>
  </w:footnote>
  <w:footnote w:id="2">
    <w:p w14:paraId="3781033C" w14:textId="013E1755" w:rsidR="00BD3A56" w:rsidRDefault="00BD3A56">
      <w:pPr>
        <w:pStyle w:val="FootnoteText"/>
      </w:pPr>
      <w:r w:rsidRPr="00C537FD">
        <w:rPr>
          <w:rStyle w:val="FootnoteReference"/>
          <w:sz w:val="18"/>
          <w:szCs w:val="18"/>
        </w:rPr>
        <w:footnoteRef/>
      </w:r>
      <w:r w:rsidRPr="00C537FD">
        <w:rPr>
          <w:sz w:val="18"/>
          <w:szCs w:val="18"/>
        </w:rPr>
        <w:t xml:space="preserve"> Since </w:t>
      </w:r>
      <w:r w:rsidR="00127D86">
        <w:rPr>
          <w:sz w:val="18"/>
          <w:szCs w:val="18"/>
        </w:rPr>
        <w:t xml:space="preserve">the </w:t>
      </w:r>
      <w:r w:rsidR="002B5F76">
        <w:rPr>
          <w:sz w:val="18"/>
          <w:szCs w:val="18"/>
        </w:rPr>
        <w:t>7</w:t>
      </w:r>
      <w:r w:rsidRPr="00C537FD">
        <w:rPr>
          <w:sz w:val="18"/>
          <w:szCs w:val="18"/>
        </w:rPr>
        <w:t xml:space="preserve"> Units participating in data mining at an estimated 1 extra burden hour</w:t>
      </w:r>
      <w:r>
        <w:rPr>
          <w:sz w:val="18"/>
          <w:szCs w:val="18"/>
        </w:rPr>
        <w:t xml:space="preserve"> each</w:t>
      </w:r>
      <w:r w:rsidRPr="00C537FD">
        <w:rPr>
          <w:sz w:val="18"/>
          <w:szCs w:val="18"/>
        </w:rPr>
        <w:t xml:space="preserve">, we added </w:t>
      </w:r>
      <w:r w:rsidR="002B5F76">
        <w:rPr>
          <w:sz w:val="18"/>
          <w:szCs w:val="18"/>
        </w:rPr>
        <w:t>7</w:t>
      </w:r>
      <w:r w:rsidR="00127D86">
        <w:rPr>
          <w:sz w:val="18"/>
          <w:szCs w:val="18"/>
        </w:rPr>
        <w:t xml:space="preserve"> </w:t>
      </w:r>
      <w:r w:rsidRPr="00C537FD">
        <w:rPr>
          <w:sz w:val="18"/>
          <w:szCs w:val="18"/>
        </w:rPr>
        <w:t xml:space="preserve">hours to the </w:t>
      </w:r>
      <w:r w:rsidR="006C44AA">
        <w:rPr>
          <w:sz w:val="18"/>
          <w:szCs w:val="18"/>
        </w:rPr>
        <w:t>t</w:t>
      </w:r>
      <w:r w:rsidRPr="00C537FD">
        <w:rPr>
          <w:sz w:val="18"/>
          <w:szCs w:val="18"/>
        </w:rPr>
        <w:t xml:space="preserve">otal </w:t>
      </w:r>
      <w:r w:rsidR="006C44AA">
        <w:rPr>
          <w:sz w:val="18"/>
          <w:szCs w:val="18"/>
        </w:rPr>
        <w:t>hours.</w:t>
      </w:r>
      <w:r w:rsidR="00EC52EE">
        <w:rPr>
          <w:sz w:val="18"/>
          <w:szCs w:val="18"/>
        </w:rPr>
        <w:t xml:space="preserve">  As such, the total burden hours are the sum of all burden hours</w:t>
      </w:r>
      <w:r w:rsidR="00127D86">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7A1D1" w14:textId="77777777" w:rsidR="00BD3A56" w:rsidRDefault="00BD3A56">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3BF"/>
    <w:rsid w:val="000004F3"/>
    <w:rsid w:val="00002559"/>
    <w:rsid w:val="000033A7"/>
    <w:rsid w:val="00006294"/>
    <w:rsid w:val="000212F9"/>
    <w:rsid w:val="00022B41"/>
    <w:rsid w:val="00023B8B"/>
    <w:rsid w:val="00023ED1"/>
    <w:rsid w:val="00025FE3"/>
    <w:rsid w:val="0003232C"/>
    <w:rsid w:val="00032343"/>
    <w:rsid w:val="00035227"/>
    <w:rsid w:val="000364AA"/>
    <w:rsid w:val="00046563"/>
    <w:rsid w:val="00047136"/>
    <w:rsid w:val="00050602"/>
    <w:rsid w:val="0005238A"/>
    <w:rsid w:val="00052594"/>
    <w:rsid w:val="0005409F"/>
    <w:rsid w:val="00054C3D"/>
    <w:rsid w:val="000573ED"/>
    <w:rsid w:val="00057581"/>
    <w:rsid w:val="000617B5"/>
    <w:rsid w:val="000648C5"/>
    <w:rsid w:val="00065EE0"/>
    <w:rsid w:val="000723C1"/>
    <w:rsid w:val="000779D9"/>
    <w:rsid w:val="000823EF"/>
    <w:rsid w:val="00086FC8"/>
    <w:rsid w:val="00087B03"/>
    <w:rsid w:val="00087F60"/>
    <w:rsid w:val="00091BED"/>
    <w:rsid w:val="00091D45"/>
    <w:rsid w:val="000933FA"/>
    <w:rsid w:val="00095B2E"/>
    <w:rsid w:val="000A1AF0"/>
    <w:rsid w:val="000A289C"/>
    <w:rsid w:val="000A2A26"/>
    <w:rsid w:val="000A3B06"/>
    <w:rsid w:val="000B0B15"/>
    <w:rsid w:val="000B1C61"/>
    <w:rsid w:val="000B1C8D"/>
    <w:rsid w:val="000B2F7F"/>
    <w:rsid w:val="000B378D"/>
    <w:rsid w:val="000B4959"/>
    <w:rsid w:val="000B5726"/>
    <w:rsid w:val="000B5826"/>
    <w:rsid w:val="000B61C6"/>
    <w:rsid w:val="000B6C48"/>
    <w:rsid w:val="000C177B"/>
    <w:rsid w:val="000C38A7"/>
    <w:rsid w:val="000C43B3"/>
    <w:rsid w:val="000C52B1"/>
    <w:rsid w:val="000D3235"/>
    <w:rsid w:val="000D6831"/>
    <w:rsid w:val="000E056D"/>
    <w:rsid w:val="000E0671"/>
    <w:rsid w:val="000E3A6C"/>
    <w:rsid w:val="000E4B5B"/>
    <w:rsid w:val="000E5467"/>
    <w:rsid w:val="000E6587"/>
    <w:rsid w:val="000E7790"/>
    <w:rsid w:val="000F158F"/>
    <w:rsid w:val="000F24F8"/>
    <w:rsid w:val="000F3258"/>
    <w:rsid w:val="000F3484"/>
    <w:rsid w:val="000F6DDB"/>
    <w:rsid w:val="000F7789"/>
    <w:rsid w:val="00101D5D"/>
    <w:rsid w:val="00102EC0"/>
    <w:rsid w:val="001067B9"/>
    <w:rsid w:val="001117DB"/>
    <w:rsid w:val="00116D6B"/>
    <w:rsid w:val="00117869"/>
    <w:rsid w:val="00121776"/>
    <w:rsid w:val="0012317B"/>
    <w:rsid w:val="001232A7"/>
    <w:rsid w:val="00123355"/>
    <w:rsid w:val="00123C13"/>
    <w:rsid w:val="001242F0"/>
    <w:rsid w:val="001258E0"/>
    <w:rsid w:val="001275D9"/>
    <w:rsid w:val="00127D86"/>
    <w:rsid w:val="001312A5"/>
    <w:rsid w:val="00132868"/>
    <w:rsid w:val="00132B3E"/>
    <w:rsid w:val="00134B24"/>
    <w:rsid w:val="0013558E"/>
    <w:rsid w:val="001435B5"/>
    <w:rsid w:val="00143F2C"/>
    <w:rsid w:val="00145CF3"/>
    <w:rsid w:val="00147BD9"/>
    <w:rsid w:val="00150E6D"/>
    <w:rsid w:val="00152058"/>
    <w:rsid w:val="00154D53"/>
    <w:rsid w:val="00156129"/>
    <w:rsid w:val="00156EA3"/>
    <w:rsid w:val="0015762E"/>
    <w:rsid w:val="0016059B"/>
    <w:rsid w:val="0016076D"/>
    <w:rsid w:val="00160D40"/>
    <w:rsid w:val="00163110"/>
    <w:rsid w:val="0016604A"/>
    <w:rsid w:val="00166118"/>
    <w:rsid w:val="001679A1"/>
    <w:rsid w:val="0017032B"/>
    <w:rsid w:val="00170AC5"/>
    <w:rsid w:val="00172FCE"/>
    <w:rsid w:val="00173175"/>
    <w:rsid w:val="00173DBA"/>
    <w:rsid w:val="00174C55"/>
    <w:rsid w:val="0017586B"/>
    <w:rsid w:val="001759C0"/>
    <w:rsid w:val="001801B2"/>
    <w:rsid w:val="001839CA"/>
    <w:rsid w:val="00183B35"/>
    <w:rsid w:val="001848E4"/>
    <w:rsid w:val="00185A17"/>
    <w:rsid w:val="001878EA"/>
    <w:rsid w:val="00191FFC"/>
    <w:rsid w:val="00193525"/>
    <w:rsid w:val="00196F80"/>
    <w:rsid w:val="001976F2"/>
    <w:rsid w:val="00197FBE"/>
    <w:rsid w:val="001A0448"/>
    <w:rsid w:val="001A1DA2"/>
    <w:rsid w:val="001A2BE3"/>
    <w:rsid w:val="001A55A7"/>
    <w:rsid w:val="001A58BA"/>
    <w:rsid w:val="001A693B"/>
    <w:rsid w:val="001B0F10"/>
    <w:rsid w:val="001B231E"/>
    <w:rsid w:val="001B291F"/>
    <w:rsid w:val="001B4402"/>
    <w:rsid w:val="001B46DE"/>
    <w:rsid w:val="001B79D9"/>
    <w:rsid w:val="001C1075"/>
    <w:rsid w:val="001C1900"/>
    <w:rsid w:val="001C715F"/>
    <w:rsid w:val="001C7753"/>
    <w:rsid w:val="001C7A68"/>
    <w:rsid w:val="001D21D2"/>
    <w:rsid w:val="001D293C"/>
    <w:rsid w:val="001D49A7"/>
    <w:rsid w:val="001D5D6D"/>
    <w:rsid w:val="001D5E94"/>
    <w:rsid w:val="001D5EE1"/>
    <w:rsid w:val="001E010E"/>
    <w:rsid w:val="001E0EA3"/>
    <w:rsid w:val="001E0EEB"/>
    <w:rsid w:val="001E2672"/>
    <w:rsid w:val="001E3889"/>
    <w:rsid w:val="001E5A48"/>
    <w:rsid w:val="001F2120"/>
    <w:rsid w:val="001F21C8"/>
    <w:rsid w:val="001F37BD"/>
    <w:rsid w:val="001F69D5"/>
    <w:rsid w:val="001F69D6"/>
    <w:rsid w:val="001F7240"/>
    <w:rsid w:val="00201719"/>
    <w:rsid w:val="002024BA"/>
    <w:rsid w:val="00202D90"/>
    <w:rsid w:val="002032F4"/>
    <w:rsid w:val="0020700C"/>
    <w:rsid w:val="00207611"/>
    <w:rsid w:val="00207E16"/>
    <w:rsid w:val="0021538F"/>
    <w:rsid w:val="00224344"/>
    <w:rsid w:val="00236160"/>
    <w:rsid w:val="00236E92"/>
    <w:rsid w:val="00237530"/>
    <w:rsid w:val="00237F4C"/>
    <w:rsid w:val="0024329C"/>
    <w:rsid w:val="00244C2A"/>
    <w:rsid w:val="00245576"/>
    <w:rsid w:val="002503AB"/>
    <w:rsid w:val="00251134"/>
    <w:rsid w:val="00251BE2"/>
    <w:rsid w:val="00255E76"/>
    <w:rsid w:val="00256270"/>
    <w:rsid w:val="002572BD"/>
    <w:rsid w:val="0025783D"/>
    <w:rsid w:val="00257AFC"/>
    <w:rsid w:val="00261C04"/>
    <w:rsid w:val="00261EB6"/>
    <w:rsid w:val="0026248F"/>
    <w:rsid w:val="0026305A"/>
    <w:rsid w:val="00266A2B"/>
    <w:rsid w:val="00271BD8"/>
    <w:rsid w:val="00271DFC"/>
    <w:rsid w:val="0028091E"/>
    <w:rsid w:val="0028170D"/>
    <w:rsid w:val="00281B95"/>
    <w:rsid w:val="002845FC"/>
    <w:rsid w:val="00294213"/>
    <w:rsid w:val="00296479"/>
    <w:rsid w:val="002A28DB"/>
    <w:rsid w:val="002A3189"/>
    <w:rsid w:val="002A4191"/>
    <w:rsid w:val="002A6BF4"/>
    <w:rsid w:val="002B1E10"/>
    <w:rsid w:val="002B3809"/>
    <w:rsid w:val="002B5664"/>
    <w:rsid w:val="002B5B84"/>
    <w:rsid w:val="002B5F76"/>
    <w:rsid w:val="002B6C9D"/>
    <w:rsid w:val="002B6D07"/>
    <w:rsid w:val="002C0634"/>
    <w:rsid w:val="002C5535"/>
    <w:rsid w:val="002C576D"/>
    <w:rsid w:val="002D07CF"/>
    <w:rsid w:val="002D3004"/>
    <w:rsid w:val="002E186A"/>
    <w:rsid w:val="002E4749"/>
    <w:rsid w:val="002E68C0"/>
    <w:rsid w:val="002E714B"/>
    <w:rsid w:val="002E792E"/>
    <w:rsid w:val="002E79BD"/>
    <w:rsid w:val="002F6040"/>
    <w:rsid w:val="00300946"/>
    <w:rsid w:val="0030322D"/>
    <w:rsid w:val="00303BEE"/>
    <w:rsid w:val="00305518"/>
    <w:rsid w:val="00305907"/>
    <w:rsid w:val="00306545"/>
    <w:rsid w:val="00307AAA"/>
    <w:rsid w:val="00310F91"/>
    <w:rsid w:val="003120CD"/>
    <w:rsid w:val="0031487A"/>
    <w:rsid w:val="00315197"/>
    <w:rsid w:val="003151B9"/>
    <w:rsid w:val="0031685E"/>
    <w:rsid w:val="00322E0B"/>
    <w:rsid w:val="00325434"/>
    <w:rsid w:val="003268D8"/>
    <w:rsid w:val="00330681"/>
    <w:rsid w:val="00332DCF"/>
    <w:rsid w:val="00334BCB"/>
    <w:rsid w:val="003356A7"/>
    <w:rsid w:val="00335CE5"/>
    <w:rsid w:val="00336190"/>
    <w:rsid w:val="003364D0"/>
    <w:rsid w:val="003368F9"/>
    <w:rsid w:val="00336EAA"/>
    <w:rsid w:val="0033770C"/>
    <w:rsid w:val="00342246"/>
    <w:rsid w:val="003432CA"/>
    <w:rsid w:val="00344B69"/>
    <w:rsid w:val="00344F28"/>
    <w:rsid w:val="0034566E"/>
    <w:rsid w:val="0034740D"/>
    <w:rsid w:val="0035125B"/>
    <w:rsid w:val="0035201C"/>
    <w:rsid w:val="003532DA"/>
    <w:rsid w:val="00355801"/>
    <w:rsid w:val="0035659C"/>
    <w:rsid w:val="0036127D"/>
    <w:rsid w:val="00361311"/>
    <w:rsid w:val="0036217E"/>
    <w:rsid w:val="00362A49"/>
    <w:rsid w:val="003634EC"/>
    <w:rsid w:val="00363674"/>
    <w:rsid w:val="00363CAD"/>
    <w:rsid w:val="00366B14"/>
    <w:rsid w:val="00370B7A"/>
    <w:rsid w:val="00372C1E"/>
    <w:rsid w:val="00372E1C"/>
    <w:rsid w:val="00373C69"/>
    <w:rsid w:val="003741AB"/>
    <w:rsid w:val="0037753B"/>
    <w:rsid w:val="0037770B"/>
    <w:rsid w:val="003777E9"/>
    <w:rsid w:val="0038146B"/>
    <w:rsid w:val="00382501"/>
    <w:rsid w:val="00386102"/>
    <w:rsid w:val="00387041"/>
    <w:rsid w:val="0038721B"/>
    <w:rsid w:val="00395B9B"/>
    <w:rsid w:val="003A0471"/>
    <w:rsid w:val="003A5D6A"/>
    <w:rsid w:val="003A5EC8"/>
    <w:rsid w:val="003A7E65"/>
    <w:rsid w:val="003B0948"/>
    <w:rsid w:val="003B3558"/>
    <w:rsid w:val="003B54B9"/>
    <w:rsid w:val="003B6CC0"/>
    <w:rsid w:val="003C1802"/>
    <w:rsid w:val="003C3275"/>
    <w:rsid w:val="003C5E47"/>
    <w:rsid w:val="003C774A"/>
    <w:rsid w:val="003D2DEE"/>
    <w:rsid w:val="003D3D24"/>
    <w:rsid w:val="003D7884"/>
    <w:rsid w:val="003E208C"/>
    <w:rsid w:val="003E24DA"/>
    <w:rsid w:val="003E3858"/>
    <w:rsid w:val="003E3F1B"/>
    <w:rsid w:val="003F3F29"/>
    <w:rsid w:val="003F5601"/>
    <w:rsid w:val="003F7CEC"/>
    <w:rsid w:val="004025F5"/>
    <w:rsid w:val="00406816"/>
    <w:rsid w:val="0040782F"/>
    <w:rsid w:val="00411C01"/>
    <w:rsid w:val="00414172"/>
    <w:rsid w:val="004143D0"/>
    <w:rsid w:val="0041451F"/>
    <w:rsid w:val="00422338"/>
    <w:rsid w:val="00430563"/>
    <w:rsid w:val="0043136A"/>
    <w:rsid w:val="00433671"/>
    <w:rsid w:val="0043539B"/>
    <w:rsid w:val="00436788"/>
    <w:rsid w:val="00436F24"/>
    <w:rsid w:val="0044099C"/>
    <w:rsid w:val="00442425"/>
    <w:rsid w:val="004432B8"/>
    <w:rsid w:val="004437E7"/>
    <w:rsid w:val="004504A2"/>
    <w:rsid w:val="004522E6"/>
    <w:rsid w:val="00452FE2"/>
    <w:rsid w:val="004537B5"/>
    <w:rsid w:val="00455167"/>
    <w:rsid w:val="004563BF"/>
    <w:rsid w:val="0046414B"/>
    <w:rsid w:val="004650B8"/>
    <w:rsid w:val="00466009"/>
    <w:rsid w:val="00466173"/>
    <w:rsid w:val="00467079"/>
    <w:rsid w:val="004671F6"/>
    <w:rsid w:val="004720BF"/>
    <w:rsid w:val="00473F11"/>
    <w:rsid w:val="00474109"/>
    <w:rsid w:val="0047685A"/>
    <w:rsid w:val="004820BC"/>
    <w:rsid w:val="004833E0"/>
    <w:rsid w:val="00484CB2"/>
    <w:rsid w:val="00486F0A"/>
    <w:rsid w:val="00491C9E"/>
    <w:rsid w:val="00491F93"/>
    <w:rsid w:val="00493434"/>
    <w:rsid w:val="00493D50"/>
    <w:rsid w:val="00494F04"/>
    <w:rsid w:val="00496930"/>
    <w:rsid w:val="00496946"/>
    <w:rsid w:val="004A1FB8"/>
    <w:rsid w:val="004A2BDD"/>
    <w:rsid w:val="004A3675"/>
    <w:rsid w:val="004A56BD"/>
    <w:rsid w:val="004B19B0"/>
    <w:rsid w:val="004B6F4F"/>
    <w:rsid w:val="004B7CD8"/>
    <w:rsid w:val="004B7ED7"/>
    <w:rsid w:val="004D020D"/>
    <w:rsid w:val="004D0F6E"/>
    <w:rsid w:val="004D1E80"/>
    <w:rsid w:val="004D5914"/>
    <w:rsid w:val="004E389B"/>
    <w:rsid w:val="004E605F"/>
    <w:rsid w:val="004F0558"/>
    <w:rsid w:val="004F2941"/>
    <w:rsid w:val="004F7E9D"/>
    <w:rsid w:val="00500296"/>
    <w:rsid w:val="00502DEA"/>
    <w:rsid w:val="0050727B"/>
    <w:rsid w:val="00507749"/>
    <w:rsid w:val="0051226F"/>
    <w:rsid w:val="00512D68"/>
    <w:rsid w:val="005135C7"/>
    <w:rsid w:val="00515218"/>
    <w:rsid w:val="00517008"/>
    <w:rsid w:val="005172D0"/>
    <w:rsid w:val="005174CB"/>
    <w:rsid w:val="005219FF"/>
    <w:rsid w:val="00522A87"/>
    <w:rsid w:val="00532078"/>
    <w:rsid w:val="0054036A"/>
    <w:rsid w:val="0054055E"/>
    <w:rsid w:val="005408BC"/>
    <w:rsid w:val="00543F29"/>
    <w:rsid w:val="005441ED"/>
    <w:rsid w:val="00544B90"/>
    <w:rsid w:val="00544F46"/>
    <w:rsid w:val="00544F8C"/>
    <w:rsid w:val="00546C5B"/>
    <w:rsid w:val="005511DB"/>
    <w:rsid w:val="00551B8D"/>
    <w:rsid w:val="00555D9C"/>
    <w:rsid w:val="005567A7"/>
    <w:rsid w:val="0055787E"/>
    <w:rsid w:val="0055793A"/>
    <w:rsid w:val="00561FA0"/>
    <w:rsid w:val="00561FA3"/>
    <w:rsid w:val="00563EEE"/>
    <w:rsid w:val="00564B9C"/>
    <w:rsid w:val="00571ECE"/>
    <w:rsid w:val="00572039"/>
    <w:rsid w:val="00573BBE"/>
    <w:rsid w:val="00574628"/>
    <w:rsid w:val="0057473F"/>
    <w:rsid w:val="00577820"/>
    <w:rsid w:val="00581667"/>
    <w:rsid w:val="005832DE"/>
    <w:rsid w:val="00585602"/>
    <w:rsid w:val="00585F09"/>
    <w:rsid w:val="00585FD6"/>
    <w:rsid w:val="005865CE"/>
    <w:rsid w:val="0059136A"/>
    <w:rsid w:val="0059276C"/>
    <w:rsid w:val="00592C25"/>
    <w:rsid w:val="00597A3C"/>
    <w:rsid w:val="00597C26"/>
    <w:rsid w:val="005A091F"/>
    <w:rsid w:val="005A1193"/>
    <w:rsid w:val="005A1D22"/>
    <w:rsid w:val="005A6EDE"/>
    <w:rsid w:val="005A7295"/>
    <w:rsid w:val="005B053F"/>
    <w:rsid w:val="005B33DF"/>
    <w:rsid w:val="005B34B6"/>
    <w:rsid w:val="005B5FA4"/>
    <w:rsid w:val="005B6BF4"/>
    <w:rsid w:val="005B6CE8"/>
    <w:rsid w:val="005C2C46"/>
    <w:rsid w:val="005C3E9A"/>
    <w:rsid w:val="005C4943"/>
    <w:rsid w:val="005C559D"/>
    <w:rsid w:val="005C668D"/>
    <w:rsid w:val="005D0700"/>
    <w:rsid w:val="005D1815"/>
    <w:rsid w:val="005D7103"/>
    <w:rsid w:val="005E2E78"/>
    <w:rsid w:val="005E3AE3"/>
    <w:rsid w:val="005E5E3E"/>
    <w:rsid w:val="005E6B39"/>
    <w:rsid w:val="005E7025"/>
    <w:rsid w:val="005E7B73"/>
    <w:rsid w:val="005F11DE"/>
    <w:rsid w:val="005F2A45"/>
    <w:rsid w:val="00601537"/>
    <w:rsid w:val="00601F28"/>
    <w:rsid w:val="00602EC3"/>
    <w:rsid w:val="00604270"/>
    <w:rsid w:val="006046E4"/>
    <w:rsid w:val="00605CA6"/>
    <w:rsid w:val="006074D2"/>
    <w:rsid w:val="00610979"/>
    <w:rsid w:val="00611B84"/>
    <w:rsid w:val="006130F6"/>
    <w:rsid w:val="00613465"/>
    <w:rsid w:val="00615593"/>
    <w:rsid w:val="00620781"/>
    <w:rsid w:val="006210A9"/>
    <w:rsid w:val="0062162F"/>
    <w:rsid w:val="006216DD"/>
    <w:rsid w:val="00622B4B"/>
    <w:rsid w:val="006234A7"/>
    <w:rsid w:val="006257B9"/>
    <w:rsid w:val="00625BDB"/>
    <w:rsid w:val="00625F5C"/>
    <w:rsid w:val="00626066"/>
    <w:rsid w:val="00627A84"/>
    <w:rsid w:val="00632CF8"/>
    <w:rsid w:val="006350C0"/>
    <w:rsid w:val="0063768C"/>
    <w:rsid w:val="00640587"/>
    <w:rsid w:val="006417BB"/>
    <w:rsid w:val="00641B12"/>
    <w:rsid w:val="00642A4F"/>
    <w:rsid w:val="0064375B"/>
    <w:rsid w:val="0064409F"/>
    <w:rsid w:val="00647F6E"/>
    <w:rsid w:val="00652D9B"/>
    <w:rsid w:val="00655FAB"/>
    <w:rsid w:val="00656A9D"/>
    <w:rsid w:val="00662E63"/>
    <w:rsid w:val="00664007"/>
    <w:rsid w:val="006672CB"/>
    <w:rsid w:val="006678EA"/>
    <w:rsid w:val="00671144"/>
    <w:rsid w:val="00673DCD"/>
    <w:rsid w:val="00681820"/>
    <w:rsid w:val="0068245C"/>
    <w:rsid w:val="00682A09"/>
    <w:rsid w:val="00684DFA"/>
    <w:rsid w:val="00684F6A"/>
    <w:rsid w:val="006856BE"/>
    <w:rsid w:val="00685B68"/>
    <w:rsid w:val="00690C0C"/>
    <w:rsid w:val="006910DC"/>
    <w:rsid w:val="00693784"/>
    <w:rsid w:val="006A1727"/>
    <w:rsid w:val="006A29C1"/>
    <w:rsid w:val="006A2FBC"/>
    <w:rsid w:val="006A505F"/>
    <w:rsid w:val="006A58C5"/>
    <w:rsid w:val="006B0E06"/>
    <w:rsid w:val="006B2ACC"/>
    <w:rsid w:val="006B2E4B"/>
    <w:rsid w:val="006B3A68"/>
    <w:rsid w:val="006C0691"/>
    <w:rsid w:val="006C0AB7"/>
    <w:rsid w:val="006C2B24"/>
    <w:rsid w:val="006C3100"/>
    <w:rsid w:val="006C44AA"/>
    <w:rsid w:val="006C4B71"/>
    <w:rsid w:val="006C5F6F"/>
    <w:rsid w:val="006D41DC"/>
    <w:rsid w:val="006E2A65"/>
    <w:rsid w:val="006E404A"/>
    <w:rsid w:val="006E4615"/>
    <w:rsid w:val="006E4A8F"/>
    <w:rsid w:val="006E64E0"/>
    <w:rsid w:val="006E7BEB"/>
    <w:rsid w:val="006F3618"/>
    <w:rsid w:val="006F372E"/>
    <w:rsid w:val="006F418C"/>
    <w:rsid w:val="006F542F"/>
    <w:rsid w:val="0070041C"/>
    <w:rsid w:val="007005A2"/>
    <w:rsid w:val="007033D8"/>
    <w:rsid w:val="007044AA"/>
    <w:rsid w:val="00704581"/>
    <w:rsid w:val="00706C54"/>
    <w:rsid w:val="00717C3B"/>
    <w:rsid w:val="007238BA"/>
    <w:rsid w:val="00727E3A"/>
    <w:rsid w:val="00730EEA"/>
    <w:rsid w:val="0073126D"/>
    <w:rsid w:val="00735170"/>
    <w:rsid w:val="00736B03"/>
    <w:rsid w:val="00740BB8"/>
    <w:rsid w:val="007411A6"/>
    <w:rsid w:val="00743E76"/>
    <w:rsid w:val="00747939"/>
    <w:rsid w:val="00747E17"/>
    <w:rsid w:val="007505B6"/>
    <w:rsid w:val="00754E42"/>
    <w:rsid w:val="00760B30"/>
    <w:rsid w:val="00764C75"/>
    <w:rsid w:val="00767D44"/>
    <w:rsid w:val="00770235"/>
    <w:rsid w:val="00774231"/>
    <w:rsid w:val="00780CDF"/>
    <w:rsid w:val="0078315C"/>
    <w:rsid w:val="00784A7D"/>
    <w:rsid w:val="00792D99"/>
    <w:rsid w:val="00792F26"/>
    <w:rsid w:val="007A1C89"/>
    <w:rsid w:val="007A2795"/>
    <w:rsid w:val="007A2EB6"/>
    <w:rsid w:val="007A6807"/>
    <w:rsid w:val="007A68F9"/>
    <w:rsid w:val="007B01BD"/>
    <w:rsid w:val="007B0593"/>
    <w:rsid w:val="007B6459"/>
    <w:rsid w:val="007C027F"/>
    <w:rsid w:val="007C40F5"/>
    <w:rsid w:val="007D095D"/>
    <w:rsid w:val="007D62D7"/>
    <w:rsid w:val="007E64B1"/>
    <w:rsid w:val="007E7693"/>
    <w:rsid w:val="007F533D"/>
    <w:rsid w:val="007F6254"/>
    <w:rsid w:val="0080190E"/>
    <w:rsid w:val="00801EF8"/>
    <w:rsid w:val="00802766"/>
    <w:rsid w:val="008054C9"/>
    <w:rsid w:val="00807A68"/>
    <w:rsid w:val="0081675B"/>
    <w:rsid w:val="008178E5"/>
    <w:rsid w:val="00820763"/>
    <w:rsid w:val="008213CA"/>
    <w:rsid w:val="00822838"/>
    <w:rsid w:val="008234E5"/>
    <w:rsid w:val="008239EC"/>
    <w:rsid w:val="00824177"/>
    <w:rsid w:val="00826CAC"/>
    <w:rsid w:val="00831DBA"/>
    <w:rsid w:val="00833409"/>
    <w:rsid w:val="00834DFD"/>
    <w:rsid w:val="00835F8F"/>
    <w:rsid w:val="008406E9"/>
    <w:rsid w:val="00841C89"/>
    <w:rsid w:val="008423EC"/>
    <w:rsid w:val="00843D1C"/>
    <w:rsid w:val="00844719"/>
    <w:rsid w:val="008449D7"/>
    <w:rsid w:val="008538DC"/>
    <w:rsid w:val="00860AA9"/>
    <w:rsid w:val="00861139"/>
    <w:rsid w:val="00867783"/>
    <w:rsid w:val="008727B7"/>
    <w:rsid w:val="00873DA1"/>
    <w:rsid w:val="00877A83"/>
    <w:rsid w:val="00877B02"/>
    <w:rsid w:val="00882DA4"/>
    <w:rsid w:val="0088745B"/>
    <w:rsid w:val="00890B8B"/>
    <w:rsid w:val="00892411"/>
    <w:rsid w:val="00892C8C"/>
    <w:rsid w:val="0089333F"/>
    <w:rsid w:val="008A0906"/>
    <w:rsid w:val="008A1A6F"/>
    <w:rsid w:val="008A23CF"/>
    <w:rsid w:val="008A2B0F"/>
    <w:rsid w:val="008B4523"/>
    <w:rsid w:val="008B6CB1"/>
    <w:rsid w:val="008C011C"/>
    <w:rsid w:val="008C4C76"/>
    <w:rsid w:val="008C55C7"/>
    <w:rsid w:val="008C67DF"/>
    <w:rsid w:val="008C6B05"/>
    <w:rsid w:val="008C79E5"/>
    <w:rsid w:val="008C7B04"/>
    <w:rsid w:val="008D0FC1"/>
    <w:rsid w:val="008D169F"/>
    <w:rsid w:val="008D2912"/>
    <w:rsid w:val="008D35DF"/>
    <w:rsid w:val="008D450C"/>
    <w:rsid w:val="008D7A7E"/>
    <w:rsid w:val="008E0DA3"/>
    <w:rsid w:val="008E2607"/>
    <w:rsid w:val="008E35AC"/>
    <w:rsid w:val="008E4EE0"/>
    <w:rsid w:val="008E649F"/>
    <w:rsid w:val="008F26B6"/>
    <w:rsid w:val="008F5439"/>
    <w:rsid w:val="008F62CC"/>
    <w:rsid w:val="00902D52"/>
    <w:rsid w:val="00902F9E"/>
    <w:rsid w:val="00904EB5"/>
    <w:rsid w:val="0090751F"/>
    <w:rsid w:val="009107F3"/>
    <w:rsid w:val="00910D81"/>
    <w:rsid w:val="00910E30"/>
    <w:rsid w:val="009207E4"/>
    <w:rsid w:val="0092256A"/>
    <w:rsid w:val="00923982"/>
    <w:rsid w:val="00924E54"/>
    <w:rsid w:val="0092658D"/>
    <w:rsid w:val="00927973"/>
    <w:rsid w:val="009316BA"/>
    <w:rsid w:val="009319CD"/>
    <w:rsid w:val="00932D0E"/>
    <w:rsid w:val="00935B20"/>
    <w:rsid w:val="00943EC0"/>
    <w:rsid w:val="00945059"/>
    <w:rsid w:val="00945133"/>
    <w:rsid w:val="0095004F"/>
    <w:rsid w:val="00953185"/>
    <w:rsid w:val="009539B7"/>
    <w:rsid w:val="009577BB"/>
    <w:rsid w:val="009630D5"/>
    <w:rsid w:val="0096325E"/>
    <w:rsid w:val="009678C5"/>
    <w:rsid w:val="009728BB"/>
    <w:rsid w:val="00974301"/>
    <w:rsid w:val="0097499B"/>
    <w:rsid w:val="00977FFB"/>
    <w:rsid w:val="00980B22"/>
    <w:rsid w:val="00980D7B"/>
    <w:rsid w:val="00980D94"/>
    <w:rsid w:val="00984EF1"/>
    <w:rsid w:val="00993057"/>
    <w:rsid w:val="00993A2A"/>
    <w:rsid w:val="00995310"/>
    <w:rsid w:val="0099760D"/>
    <w:rsid w:val="009A5828"/>
    <w:rsid w:val="009A71FD"/>
    <w:rsid w:val="009B1985"/>
    <w:rsid w:val="009B3E6F"/>
    <w:rsid w:val="009B71C1"/>
    <w:rsid w:val="009B7AC9"/>
    <w:rsid w:val="009C1C01"/>
    <w:rsid w:val="009C224B"/>
    <w:rsid w:val="009C24BE"/>
    <w:rsid w:val="009C473A"/>
    <w:rsid w:val="009D0D63"/>
    <w:rsid w:val="009D1341"/>
    <w:rsid w:val="009D2B13"/>
    <w:rsid w:val="009D5581"/>
    <w:rsid w:val="009E158C"/>
    <w:rsid w:val="009E3690"/>
    <w:rsid w:val="009E38DD"/>
    <w:rsid w:val="009E3948"/>
    <w:rsid w:val="009F001D"/>
    <w:rsid w:val="009F0773"/>
    <w:rsid w:val="009F14C0"/>
    <w:rsid w:val="009F1A79"/>
    <w:rsid w:val="009F2C6A"/>
    <w:rsid w:val="009F48AB"/>
    <w:rsid w:val="009F5C3B"/>
    <w:rsid w:val="009F5E7E"/>
    <w:rsid w:val="009F7FA9"/>
    <w:rsid w:val="00A00905"/>
    <w:rsid w:val="00A0388D"/>
    <w:rsid w:val="00A05569"/>
    <w:rsid w:val="00A06122"/>
    <w:rsid w:val="00A06E02"/>
    <w:rsid w:val="00A13D4C"/>
    <w:rsid w:val="00A14BC6"/>
    <w:rsid w:val="00A157D8"/>
    <w:rsid w:val="00A15989"/>
    <w:rsid w:val="00A20047"/>
    <w:rsid w:val="00A23FB5"/>
    <w:rsid w:val="00A2558B"/>
    <w:rsid w:val="00A27B99"/>
    <w:rsid w:val="00A32B4F"/>
    <w:rsid w:val="00A43A00"/>
    <w:rsid w:val="00A43F54"/>
    <w:rsid w:val="00A4729C"/>
    <w:rsid w:val="00A47897"/>
    <w:rsid w:val="00A51709"/>
    <w:rsid w:val="00A527F0"/>
    <w:rsid w:val="00A52AD0"/>
    <w:rsid w:val="00A53DF9"/>
    <w:rsid w:val="00A626B4"/>
    <w:rsid w:val="00A66795"/>
    <w:rsid w:val="00A7009D"/>
    <w:rsid w:val="00A73C6E"/>
    <w:rsid w:val="00A7474B"/>
    <w:rsid w:val="00A810F9"/>
    <w:rsid w:val="00A8120B"/>
    <w:rsid w:val="00A833BB"/>
    <w:rsid w:val="00A83DF0"/>
    <w:rsid w:val="00A840EF"/>
    <w:rsid w:val="00A85454"/>
    <w:rsid w:val="00A87481"/>
    <w:rsid w:val="00A87FE8"/>
    <w:rsid w:val="00A93C31"/>
    <w:rsid w:val="00A942D8"/>
    <w:rsid w:val="00AA151A"/>
    <w:rsid w:val="00AA1E68"/>
    <w:rsid w:val="00AA6349"/>
    <w:rsid w:val="00AB0870"/>
    <w:rsid w:val="00AC1A89"/>
    <w:rsid w:val="00AC2FDD"/>
    <w:rsid w:val="00AC3031"/>
    <w:rsid w:val="00AC5181"/>
    <w:rsid w:val="00AC6FE5"/>
    <w:rsid w:val="00AC70C2"/>
    <w:rsid w:val="00AC7D06"/>
    <w:rsid w:val="00AD0A3A"/>
    <w:rsid w:val="00AD30EE"/>
    <w:rsid w:val="00AD3E97"/>
    <w:rsid w:val="00AD477A"/>
    <w:rsid w:val="00AD6690"/>
    <w:rsid w:val="00AE007B"/>
    <w:rsid w:val="00AE0EA7"/>
    <w:rsid w:val="00AE256C"/>
    <w:rsid w:val="00AE40F3"/>
    <w:rsid w:val="00AE4AEA"/>
    <w:rsid w:val="00AE5DC2"/>
    <w:rsid w:val="00AE6D22"/>
    <w:rsid w:val="00AF5844"/>
    <w:rsid w:val="00AF7F56"/>
    <w:rsid w:val="00B060E5"/>
    <w:rsid w:val="00B069FD"/>
    <w:rsid w:val="00B06F35"/>
    <w:rsid w:val="00B105BF"/>
    <w:rsid w:val="00B12F35"/>
    <w:rsid w:val="00B15423"/>
    <w:rsid w:val="00B17E58"/>
    <w:rsid w:val="00B22D21"/>
    <w:rsid w:val="00B22DDA"/>
    <w:rsid w:val="00B25967"/>
    <w:rsid w:val="00B27297"/>
    <w:rsid w:val="00B33D87"/>
    <w:rsid w:val="00B35893"/>
    <w:rsid w:val="00B42959"/>
    <w:rsid w:val="00B43A6F"/>
    <w:rsid w:val="00B44D7A"/>
    <w:rsid w:val="00B46996"/>
    <w:rsid w:val="00B520BB"/>
    <w:rsid w:val="00B547BB"/>
    <w:rsid w:val="00B556DC"/>
    <w:rsid w:val="00B6264A"/>
    <w:rsid w:val="00B62883"/>
    <w:rsid w:val="00B641AC"/>
    <w:rsid w:val="00B646EB"/>
    <w:rsid w:val="00B65CC0"/>
    <w:rsid w:val="00B7204B"/>
    <w:rsid w:val="00B744FB"/>
    <w:rsid w:val="00B74779"/>
    <w:rsid w:val="00B74CEB"/>
    <w:rsid w:val="00B7722E"/>
    <w:rsid w:val="00B80DD9"/>
    <w:rsid w:val="00B80EFB"/>
    <w:rsid w:val="00B86A03"/>
    <w:rsid w:val="00B90057"/>
    <w:rsid w:val="00B91F93"/>
    <w:rsid w:val="00B92B5A"/>
    <w:rsid w:val="00B96415"/>
    <w:rsid w:val="00BA1295"/>
    <w:rsid w:val="00BA236D"/>
    <w:rsid w:val="00BA2D91"/>
    <w:rsid w:val="00BA36DF"/>
    <w:rsid w:val="00BA5B14"/>
    <w:rsid w:val="00BA664E"/>
    <w:rsid w:val="00BB2D16"/>
    <w:rsid w:val="00BC1FF5"/>
    <w:rsid w:val="00BC29E1"/>
    <w:rsid w:val="00BC29F1"/>
    <w:rsid w:val="00BC3EA1"/>
    <w:rsid w:val="00BC6D93"/>
    <w:rsid w:val="00BD04E2"/>
    <w:rsid w:val="00BD209A"/>
    <w:rsid w:val="00BD2D03"/>
    <w:rsid w:val="00BD3095"/>
    <w:rsid w:val="00BD309C"/>
    <w:rsid w:val="00BD3A56"/>
    <w:rsid w:val="00BD3B72"/>
    <w:rsid w:val="00BD440F"/>
    <w:rsid w:val="00BD7E2D"/>
    <w:rsid w:val="00BE1977"/>
    <w:rsid w:val="00BE20F0"/>
    <w:rsid w:val="00BE5237"/>
    <w:rsid w:val="00BF04AE"/>
    <w:rsid w:val="00BF04E0"/>
    <w:rsid w:val="00BF091E"/>
    <w:rsid w:val="00BF2546"/>
    <w:rsid w:val="00BF34E4"/>
    <w:rsid w:val="00BF658D"/>
    <w:rsid w:val="00BF6D03"/>
    <w:rsid w:val="00BF746D"/>
    <w:rsid w:val="00C01C87"/>
    <w:rsid w:val="00C024B5"/>
    <w:rsid w:val="00C02583"/>
    <w:rsid w:val="00C031B0"/>
    <w:rsid w:val="00C066E4"/>
    <w:rsid w:val="00C13B7B"/>
    <w:rsid w:val="00C1417F"/>
    <w:rsid w:val="00C17BF9"/>
    <w:rsid w:val="00C2257A"/>
    <w:rsid w:val="00C30BDB"/>
    <w:rsid w:val="00C34818"/>
    <w:rsid w:val="00C35284"/>
    <w:rsid w:val="00C35493"/>
    <w:rsid w:val="00C368EB"/>
    <w:rsid w:val="00C37398"/>
    <w:rsid w:val="00C4254E"/>
    <w:rsid w:val="00C502B6"/>
    <w:rsid w:val="00C5205A"/>
    <w:rsid w:val="00C52854"/>
    <w:rsid w:val="00C537FD"/>
    <w:rsid w:val="00C53A1E"/>
    <w:rsid w:val="00C541E9"/>
    <w:rsid w:val="00C6028F"/>
    <w:rsid w:val="00C6064D"/>
    <w:rsid w:val="00C629E5"/>
    <w:rsid w:val="00C75627"/>
    <w:rsid w:val="00C75752"/>
    <w:rsid w:val="00C82583"/>
    <w:rsid w:val="00C82D3A"/>
    <w:rsid w:val="00C83A9D"/>
    <w:rsid w:val="00C8576E"/>
    <w:rsid w:val="00C87BF4"/>
    <w:rsid w:val="00C96C7E"/>
    <w:rsid w:val="00CA1AE9"/>
    <w:rsid w:val="00CA1EF2"/>
    <w:rsid w:val="00CA2AFD"/>
    <w:rsid w:val="00CB1815"/>
    <w:rsid w:val="00CB307B"/>
    <w:rsid w:val="00CB4F0B"/>
    <w:rsid w:val="00CB740E"/>
    <w:rsid w:val="00CC27D0"/>
    <w:rsid w:val="00CC3535"/>
    <w:rsid w:val="00CC69D3"/>
    <w:rsid w:val="00CD0D5B"/>
    <w:rsid w:val="00CD5BC9"/>
    <w:rsid w:val="00CD7462"/>
    <w:rsid w:val="00CD7D70"/>
    <w:rsid w:val="00CE024C"/>
    <w:rsid w:val="00CE1163"/>
    <w:rsid w:val="00CE15AA"/>
    <w:rsid w:val="00CE424F"/>
    <w:rsid w:val="00CE587E"/>
    <w:rsid w:val="00CE729B"/>
    <w:rsid w:val="00CE7515"/>
    <w:rsid w:val="00CE7AB0"/>
    <w:rsid w:val="00CF5815"/>
    <w:rsid w:val="00D0114F"/>
    <w:rsid w:val="00D0226F"/>
    <w:rsid w:val="00D05890"/>
    <w:rsid w:val="00D14007"/>
    <w:rsid w:val="00D14DBB"/>
    <w:rsid w:val="00D15D65"/>
    <w:rsid w:val="00D21284"/>
    <w:rsid w:val="00D22E1E"/>
    <w:rsid w:val="00D2676C"/>
    <w:rsid w:val="00D27152"/>
    <w:rsid w:val="00D309E3"/>
    <w:rsid w:val="00D31A1F"/>
    <w:rsid w:val="00D35034"/>
    <w:rsid w:val="00D35423"/>
    <w:rsid w:val="00D3565E"/>
    <w:rsid w:val="00D40D28"/>
    <w:rsid w:val="00D4131A"/>
    <w:rsid w:val="00D4176A"/>
    <w:rsid w:val="00D43BBB"/>
    <w:rsid w:val="00D44DAD"/>
    <w:rsid w:val="00D50052"/>
    <w:rsid w:val="00D501EA"/>
    <w:rsid w:val="00D51374"/>
    <w:rsid w:val="00D52523"/>
    <w:rsid w:val="00D556CF"/>
    <w:rsid w:val="00D6087F"/>
    <w:rsid w:val="00D610C5"/>
    <w:rsid w:val="00D61D26"/>
    <w:rsid w:val="00D61D99"/>
    <w:rsid w:val="00D66C66"/>
    <w:rsid w:val="00D71245"/>
    <w:rsid w:val="00D71BF9"/>
    <w:rsid w:val="00D74BC7"/>
    <w:rsid w:val="00D750B2"/>
    <w:rsid w:val="00D76716"/>
    <w:rsid w:val="00D84338"/>
    <w:rsid w:val="00D84519"/>
    <w:rsid w:val="00D85E81"/>
    <w:rsid w:val="00D868E3"/>
    <w:rsid w:val="00D930BF"/>
    <w:rsid w:val="00DA5420"/>
    <w:rsid w:val="00DA7948"/>
    <w:rsid w:val="00DB06EC"/>
    <w:rsid w:val="00DB35F8"/>
    <w:rsid w:val="00DB3881"/>
    <w:rsid w:val="00DB5F8C"/>
    <w:rsid w:val="00DB7372"/>
    <w:rsid w:val="00DC01F2"/>
    <w:rsid w:val="00DC4740"/>
    <w:rsid w:val="00DC6B3E"/>
    <w:rsid w:val="00DD1C32"/>
    <w:rsid w:val="00DD20CE"/>
    <w:rsid w:val="00DE1036"/>
    <w:rsid w:val="00DE478E"/>
    <w:rsid w:val="00DF009C"/>
    <w:rsid w:val="00DF1ED3"/>
    <w:rsid w:val="00DF2E50"/>
    <w:rsid w:val="00DF3E8B"/>
    <w:rsid w:val="00DF6561"/>
    <w:rsid w:val="00DF679D"/>
    <w:rsid w:val="00DF6C04"/>
    <w:rsid w:val="00DF7142"/>
    <w:rsid w:val="00E04BB0"/>
    <w:rsid w:val="00E06F8C"/>
    <w:rsid w:val="00E07195"/>
    <w:rsid w:val="00E07257"/>
    <w:rsid w:val="00E07D39"/>
    <w:rsid w:val="00E11E08"/>
    <w:rsid w:val="00E12815"/>
    <w:rsid w:val="00E13F51"/>
    <w:rsid w:val="00E15FAF"/>
    <w:rsid w:val="00E22596"/>
    <w:rsid w:val="00E3117E"/>
    <w:rsid w:val="00E3154F"/>
    <w:rsid w:val="00E31A15"/>
    <w:rsid w:val="00E3787A"/>
    <w:rsid w:val="00E43480"/>
    <w:rsid w:val="00E44228"/>
    <w:rsid w:val="00E44A44"/>
    <w:rsid w:val="00E47722"/>
    <w:rsid w:val="00E51EB8"/>
    <w:rsid w:val="00E5376F"/>
    <w:rsid w:val="00E54D15"/>
    <w:rsid w:val="00E578C6"/>
    <w:rsid w:val="00E627BB"/>
    <w:rsid w:val="00E654F7"/>
    <w:rsid w:val="00E67D11"/>
    <w:rsid w:val="00E7025D"/>
    <w:rsid w:val="00E71BEA"/>
    <w:rsid w:val="00E725A0"/>
    <w:rsid w:val="00E7539E"/>
    <w:rsid w:val="00E803E3"/>
    <w:rsid w:val="00E80BC8"/>
    <w:rsid w:val="00E80EE1"/>
    <w:rsid w:val="00E83398"/>
    <w:rsid w:val="00E8507F"/>
    <w:rsid w:val="00E85517"/>
    <w:rsid w:val="00E85865"/>
    <w:rsid w:val="00E86E73"/>
    <w:rsid w:val="00E91883"/>
    <w:rsid w:val="00E9245B"/>
    <w:rsid w:val="00E944B3"/>
    <w:rsid w:val="00E94A04"/>
    <w:rsid w:val="00E965ED"/>
    <w:rsid w:val="00EA1B02"/>
    <w:rsid w:val="00EA2191"/>
    <w:rsid w:val="00EA4AFD"/>
    <w:rsid w:val="00EB0905"/>
    <w:rsid w:val="00EB193A"/>
    <w:rsid w:val="00EB51C3"/>
    <w:rsid w:val="00EB65B6"/>
    <w:rsid w:val="00EB67E2"/>
    <w:rsid w:val="00EB75FB"/>
    <w:rsid w:val="00EB7BB8"/>
    <w:rsid w:val="00EC52EE"/>
    <w:rsid w:val="00EC6439"/>
    <w:rsid w:val="00EC74E4"/>
    <w:rsid w:val="00EC7E87"/>
    <w:rsid w:val="00ED5C35"/>
    <w:rsid w:val="00ED681E"/>
    <w:rsid w:val="00EE3E1D"/>
    <w:rsid w:val="00EE442B"/>
    <w:rsid w:val="00EF029A"/>
    <w:rsid w:val="00EF0867"/>
    <w:rsid w:val="00EF1157"/>
    <w:rsid w:val="00EF40DF"/>
    <w:rsid w:val="00EF5508"/>
    <w:rsid w:val="00F03C32"/>
    <w:rsid w:val="00F04AEE"/>
    <w:rsid w:val="00F052B6"/>
    <w:rsid w:val="00F06C2F"/>
    <w:rsid w:val="00F10493"/>
    <w:rsid w:val="00F11176"/>
    <w:rsid w:val="00F165F6"/>
    <w:rsid w:val="00F22BDF"/>
    <w:rsid w:val="00F249E4"/>
    <w:rsid w:val="00F2579C"/>
    <w:rsid w:val="00F25C7F"/>
    <w:rsid w:val="00F31CA6"/>
    <w:rsid w:val="00F32EA7"/>
    <w:rsid w:val="00F33C93"/>
    <w:rsid w:val="00F36109"/>
    <w:rsid w:val="00F40CA6"/>
    <w:rsid w:val="00F41402"/>
    <w:rsid w:val="00F41EF4"/>
    <w:rsid w:val="00F43301"/>
    <w:rsid w:val="00F43DC0"/>
    <w:rsid w:val="00F44BB7"/>
    <w:rsid w:val="00F45474"/>
    <w:rsid w:val="00F46681"/>
    <w:rsid w:val="00F5128E"/>
    <w:rsid w:val="00F57A62"/>
    <w:rsid w:val="00F610EE"/>
    <w:rsid w:val="00F63D36"/>
    <w:rsid w:val="00F6594A"/>
    <w:rsid w:val="00F70489"/>
    <w:rsid w:val="00F73D6D"/>
    <w:rsid w:val="00F80840"/>
    <w:rsid w:val="00F82446"/>
    <w:rsid w:val="00F83F82"/>
    <w:rsid w:val="00F8444C"/>
    <w:rsid w:val="00F84ECD"/>
    <w:rsid w:val="00F85C3F"/>
    <w:rsid w:val="00F879CD"/>
    <w:rsid w:val="00F90485"/>
    <w:rsid w:val="00F911EE"/>
    <w:rsid w:val="00F95773"/>
    <w:rsid w:val="00F9690E"/>
    <w:rsid w:val="00F96C6B"/>
    <w:rsid w:val="00FA0C08"/>
    <w:rsid w:val="00FA22EA"/>
    <w:rsid w:val="00FA30F4"/>
    <w:rsid w:val="00FA457C"/>
    <w:rsid w:val="00FA4E92"/>
    <w:rsid w:val="00FA67F0"/>
    <w:rsid w:val="00FB12A4"/>
    <w:rsid w:val="00FB3BE3"/>
    <w:rsid w:val="00FB4DC0"/>
    <w:rsid w:val="00FC0313"/>
    <w:rsid w:val="00FC0885"/>
    <w:rsid w:val="00FC20F9"/>
    <w:rsid w:val="00FC4C9E"/>
    <w:rsid w:val="00FC4D38"/>
    <w:rsid w:val="00FC5C91"/>
    <w:rsid w:val="00FC61BB"/>
    <w:rsid w:val="00FC7BAB"/>
    <w:rsid w:val="00FD1AC7"/>
    <w:rsid w:val="00FD224B"/>
    <w:rsid w:val="00FD3F48"/>
    <w:rsid w:val="00FD411C"/>
    <w:rsid w:val="00FD6886"/>
    <w:rsid w:val="00FE2535"/>
    <w:rsid w:val="00FE43EB"/>
    <w:rsid w:val="00FE482A"/>
    <w:rsid w:val="00FE6858"/>
    <w:rsid w:val="00FE741A"/>
    <w:rsid w:val="00FF0179"/>
    <w:rsid w:val="00FF264F"/>
    <w:rsid w:val="00FF2BDE"/>
    <w:rsid w:val="00FF541E"/>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CF0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3B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C35493"/>
    <w:rPr>
      <w:rFonts w:ascii="Tahoma" w:hAnsi="Tahoma" w:cs="Tahoma"/>
      <w:sz w:val="16"/>
      <w:szCs w:val="16"/>
    </w:rPr>
  </w:style>
  <w:style w:type="character" w:customStyle="1" w:styleId="BalloonTextChar">
    <w:name w:val="Balloon Text Char"/>
    <w:basedOn w:val="DefaultParagraphFont"/>
    <w:link w:val="BalloonText"/>
    <w:uiPriority w:val="99"/>
    <w:locked/>
    <w:rsid w:val="00C35493"/>
    <w:rPr>
      <w:rFonts w:ascii="Tahoma" w:hAnsi="Tahoma" w:cs="Tahoma"/>
      <w:sz w:val="16"/>
      <w:szCs w:val="16"/>
    </w:rPr>
  </w:style>
  <w:style w:type="paragraph" w:styleId="Header">
    <w:name w:val="header"/>
    <w:basedOn w:val="Normal"/>
    <w:link w:val="HeaderChar"/>
    <w:uiPriority w:val="99"/>
    <w:rsid w:val="00236160"/>
    <w:pPr>
      <w:tabs>
        <w:tab w:val="center" w:pos="4680"/>
        <w:tab w:val="right" w:pos="9360"/>
      </w:tabs>
    </w:pPr>
  </w:style>
  <w:style w:type="character" w:customStyle="1" w:styleId="HeaderChar">
    <w:name w:val="Header Char"/>
    <w:basedOn w:val="DefaultParagraphFont"/>
    <w:link w:val="Header"/>
    <w:uiPriority w:val="99"/>
    <w:locked/>
    <w:rsid w:val="00236160"/>
    <w:rPr>
      <w:rFonts w:cs="Times New Roman"/>
    </w:rPr>
  </w:style>
  <w:style w:type="paragraph" w:styleId="Footer">
    <w:name w:val="footer"/>
    <w:basedOn w:val="Normal"/>
    <w:link w:val="FooterChar"/>
    <w:uiPriority w:val="99"/>
    <w:rsid w:val="00236160"/>
    <w:pPr>
      <w:tabs>
        <w:tab w:val="center" w:pos="4680"/>
        <w:tab w:val="right" w:pos="9360"/>
      </w:tabs>
    </w:pPr>
  </w:style>
  <w:style w:type="character" w:customStyle="1" w:styleId="FooterChar">
    <w:name w:val="Footer Char"/>
    <w:basedOn w:val="DefaultParagraphFont"/>
    <w:link w:val="Footer"/>
    <w:uiPriority w:val="99"/>
    <w:locked/>
    <w:rsid w:val="00236160"/>
    <w:rPr>
      <w:rFonts w:cs="Times New Roman"/>
    </w:rPr>
  </w:style>
  <w:style w:type="paragraph" w:styleId="FootnoteText">
    <w:name w:val="footnote text"/>
    <w:basedOn w:val="Normal"/>
    <w:link w:val="FootnoteTextChar"/>
    <w:uiPriority w:val="99"/>
    <w:rsid w:val="00236160"/>
  </w:style>
  <w:style w:type="character" w:customStyle="1" w:styleId="FootnoteTextChar">
    <w:name w:val="Footnote Text Char"/>
    <w:basedOn w:val="DefaultParagraphFont"/>
    <w:link w:val="FootnoteText"/>
    <w:uiPriority w:val="99"/>
    <w:locked/>
    <w:rsid w:val="00236160"/>
    <w:rPr>
      <w:rFonts w:cs="Times New Roman"/>
    </w:rPr>
  </w:style>
  <w:style w:type="character" w:styleId="FootnoteReference">
    <w:name w:val="footnote reference"/>
    <w:basedOn w:val="DefaultParagraphFont"/>
    <w:uiPriority w:val="99"/>
    <w:rsid w:val="00236160"/>
    <w:rPr>
      <w:rFonts w:cs="Times New Roman"/>
      <w:vertAlign w:val="superscript"/>
    </w:rPr>
  </w:style>
  <w:style w:type="character" w:styleId="CommentReference">
    <w:name w:val="annotation reference"/>
    <w:basedOn w:val="DefaultParagraphFont"/>
    <w:semiHidden/>
    <w:unhideWhenUsed/>
    <w:rsid w:val="006F418C"/>
    <w:rPr>
      <w:sz w:val="16"/>
      <w:szCs w:val="16"/>
    </w:rPr>
  </w:style>
  <w:style w:type="paragraph" w:styleId="CommentText">
    <w:name w:val="annotation text"/>
    <w:basedOn w:val="Normal"/>
    <w:link w:val="CommentTextChar"/>
    <w:semiHidden/>
    <w:unhideWhenUsed/>
    <w:rsid w:val="006F418C"/>
  </w:style>
  <w:style w:type="character" w:customStyle="1" w:styleId="CommentTextChar">
    <w:name w:val="Comment Text Char"/>
    <w:basedOn w:val="DefaultParagraphFont"/>
    <w:link w:val="CommentText"/>
    <w:semiHidden/>
    <w:rsid w:val="006F418C"/>
  </w:style>
  <w:style w:type="paragraph" w:styleId="CommentSubject">
    <w:name w:val="annotation subject"/>
    <w:basedOn w:val="CommentText"/>
    <w:next w:val="CommentText"/>
    <w:link w:val="CommentSubjectChar"/>
    <w:semiHidden/>
    <w:unhideWhenUsed/>
    <w:rsid w:val="006F418C"/>
    <w:rPr>
      <w:b/>
      <w:bCs/>
    </w:rPr>
  </w:style>
  <w:style w:type="character" w:customStyle="1" w:styleId="CommentSubjectChar">
    <w:name w:val="Comment Subject Char"/>
    <w:basedOn w:val="CommentTextChar"/>
    <w:link w:val="CommentSubject"/>
    <w:semiHidden/>
    <w:rsid w:val="006F41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3B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C35493"/>
    <w:rPr>
      <w:rFonts w:ascii="Tahoma" w:hAnsi="Tahoma" w:cs="Tahoma"/>
      <w:sz w:val="16"/>
      <w:szCs w:val="16"/>
    </w:rPr>
  </w:style>
  <w:style w:type="character" w:customStyle="1" w:styleId="BalloonTextChar">
    <w:name w:val="Balloon Text Char"/>
    <w:basedOn w:val="DefaultParagraphFont"/>
    <w:link w:val="BalloonText"/>
    <w:uiPriority w:val="99"/>
    <w:locked/>
    <w:rsid w:val="00C35493"/>
    <w:rPr>
      <w:rFonts w:ascii="Tahoma" w:hAnsi="Tahoma" w:cs="Tahoma"/>
      <w:sz w:val="16"/>
      <w:szCs w:val="16"/>
    </w:rPr>
  </w:style>
  <w:style w:type="paragraph" w:styleId="Header">
    <w:name w:val="header"/>
    <w:basedOn w:val="Normal"/>
    <w:link w:val="HeaderChar"/>
    <w:uiPriority w:val="99"/>
    <w:rsid w:val="00236160"/>
    <w:pPr>
      <w:tabs>
        <w:tab w:val="center" w:pos="4680"/>
        <w:tab w:val="right" w:pos="9360"/>
      </w:tabs>
    </w:pPr>
  </w:style>
  <w:style w:type="character" w:customStyle="1" w:styleId="HeaderChar">
    <w:name w:val="Header Char"/>
    <w:basedOn w:val="DefaultParagraphFont"/>
    <w:link w:val="Header"/>
    <w:uiPriority w:val="99"/>
    <w:locked/>
    <w:rsid w:val="00236160"/>
    <w:rPr>
      <w:rFonts w:cs="Times New Roman"/>
    </w:rPr>
  </w:style>
  <w:style w:type="paragraph" w:styleId="Footer">
    <w:name w:val="footer"/>
    <w:basedOn w:val="Normal"/>
    <w:link w:val="FooterChar"/>
    <w:uiPriority w:val="99"/>
    <w:rsid w:val="00236160"/>
    <w:pPr>
      <w:tabs>
        <w:tab w:val="center" w:pos="4680"/>
        <w:tab w:val="right" w:pos="9360"/>
      </w:tabs>
    </w:pPr>
  </w:style>
  <w:style w:type="character" w:customStyle="1" w:styleId="FooterChar">
    <w:name w:val="Footer Char"/>
    <w:basedOn w:val="DefaultParagraphFont"/>
    <w:link w:val="Footer"/>
    <w:uiPriority w:val="99"/>
    <w:locked/>
    <w:rsid w:val="00236160"/>
    <w:rPr>
      <w:rFonts w:cs="Times New Roman"/>
    </w:rPr>
  </w:style>
  <w:style w:type="paragraph" w:styleId="FootnoteText">
    <w:name w:val="footnote text"/>
    <w:basedOn w:val="Normal"/>
    <w:link w:val="FootnoteTextChar"/>
    <w:uiPriority w:val="99"/>
    <w:rsid w:val="00236160"/>
  </w:style>
  <w:style w:type="character" w:customStyle="1" w:styleId="FootnoteTextChar">
    <w:name w:val="Footnote Text Char"/>
    <w:basedOn w:val="DefaultParagraphFont"/>
    <w:link w:val="FootnoteText"/>
    <w:uiPriority w:val="99"/>
    <w:locked/>
    <w:rsid w:val="00236160"/>
    <w:rPr>
      <w:rFonts w:cs="Times New Roman"/>
    </w:rPr>
  </w:style>
  <w:style w:type="character" w:styleId="FootnoteReference">
    <w:name w:val="footnote reference"/>
    <w:basedOn w:val="DefaultParagraphFont"/>
    <w:uiPriority w:val="99"/>
    <w:rsid w:val="00236160"/>
    <w:rPr>
      <w:rFonts w:cs="Times New Roman"/>
      <w:vertAlign w:val="superscript"/>
    </w:rPr>
  </w:style>
  <w:style w:type="character" w:styleId="CommentReference">
    <w:name w:val="annotation reference"/>
    <w:basedOn w:val="DefaultParagraphFont"/>
    <w:semiHidden/>
    <w:unhideWhenUsed/>
    <w:rsid w:val="006F418C"/>
    <w:rPr>
      <w:sz w:val="16"/>
      <w:szCs w:val="16"/>
    </w:rPr>
  </w:style>
  <w:style w:type="paragraph" w:styleId="CommentText">
    <w:name w:val="annotation text"/>
    <w:basedOn w:val="Normal"/>
    <w:link w:val="CommentTextChar"/>
    <w:semiHidden/>
    <w:unhideWhenUsed/>
    <w:rsid w:val="006F418C"/>
  </w:style>
  <w:style w:type="character" w:customStyle="1" w:styleId="CommentTextChar">
    <w:name w:val="Comment Text Char"/>
    <w:basedOn w:val="DefaultParagraphFont"/>
    <w:link w:val="CommentText"/>
    <w:semiHidden/>
    <w:rsid w:val="006F418C"/>
  </w:style>
  <w:style w:type="paragraph" w:styleId="CommentSubject">
    <w:name w:val="annotation subject"/>
    <w:basedOn w:val="CommentText"/>
    <w:next w:val="CommentText"/>
    <w:link w:val="CommentSubjectChar"/>
    <w:semiHidden/>
    <w:unhideWhenUsed/>
    <w:rsid w:val="006F418C"/>
    <w:rPr>
      <w:b/>
      <w:bCs/>
    </w:rPr>
  </w:style>
  <w:style w:type="character" w:customStyle="1" w:styleId="CommentSubjectChar">
    <w:name w:val="Comment Subject Char"/>
    <w:basedOn w:val="CommentTextChar"/>
    <w:link w:val="CommentSubject"/>
    <w:semiHidden/>
    <w:rsid w:val="006F41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C888A-3168-4A96-9D44-4A585245B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2226</Words>
  <Characters>12581</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2017-01-11T21:35:00Z</dcterms:created>
  <dcterms:modified xsi:type="dcterms:W3CDTF">2017-01-11T21:35:00Z</dcterms:modified>
</cp:coreProperties>
</file>