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E7385" w:rsidRPr="007E7385" w:rsidRDefault="007E7385" w:rsidP="007E7385">
      <w:pPr>
        <w:jc w:val="center"/>
        <w:rPr>
          <w:b/>
          <w:bCs/>
          <w:sz w:val="28"/>
          <w:szCs w:val="28"/>
        </w:rPr>
      </w:pPr>
      <w:r w:rsidRPr="007E7385">
        <w:rPr>
          <w:b/>
          <w:bCs/>
          <w:sz w:val="28"/>
          <w:szCs w:val="28"/>
        </w:rPr>
        <w:fldChar w:fldCharType="begin"/>
      </w:r>
      <w:r w:rsidRPr="007E7385">
        <w:rPr>
          <w:b/>
          <w:bCs/>
          <w:sz w:val="28"/>
          <w:szCs w:val="28"/>
        </w:rPr>
        <w:instrText xml:space="preserve"> SEQ CHAPTER \h \r 1</w:instrText>
      </w:r>
      <w:r w:rsidRPr="007E7385">
        <w:rPr>
          <w:b/>
          <w:bCs/>
          <w:sz w:val="28"/>
          <w:szCs w:val="28"/>
        </w:rPr>
        <w:fldChar w:fldCharType="end"/>
      </w:r>
      <w:r w:rsidRPr="007E7385">
        <w:rPr>
          <w:b/>
          <w:bCs/>
          <w:sz w:val="28"/>
          <w:szCs w:val="28"/>
        </w:rPr>
        <w:t>Supporting Statement for the State Annual</w:t>
      </w:r>
    </w:p>
    <w:p w:rsidR="007E7385" w:rsidRPr="007E7385" w:rsidRDefault="007E7385" w:rsidP="007E7385">
      <w:pPr>
        <w:jc w:val="center"/>
        <w:rPr>
          <w:b/>
          <w:bCs/>
          <w:sz w:val="28"/>
          <w:szCs w:val="28"/>
        </w:rPr>
      </w:pPr>
      <w:r w:rsidRPr="007E7385">
        <w:rPr>
          <w:b/>
          <w:bCs/>
          <w:sz w:val="28"/>
          <w:szCs w:val="28"/>
        </w:rPr>
        <w:t>Long Term Care Ombudsman Report for</w:t>
      </w:r>
      <w:r w:rsidR="007F5D8F">
        <w:rPr>
          <w:b/>
          <w:bCs/>
          <w:sz w:val="28"/>
          <w:szCs w:val="28"/>
        </w:rPr>
        <w:t xml:space="preserve"> FFY </w:t>
      </w:r>
      <w:r w:rsidR="00690EBE">
        <w:rPr>
          <w:b/>
          <w:bCs/>
          <w:sz w:val="28"/>
          <w:szCs w:val="28"/>
        </w:rPr>
        <w:t>201</w:t>
      </w:r>
      <w:r w:rsidR="005D7097">
        <w:rPr>
          <w:b/>
          <w:bCs/>
          <w:sz w:val="28"/>
          <w:szCs w:val="28"/>
        </w:rPr>
        <w:t>6</w:t>
      </w:r>
      <w:r w:rsidR="00690EBE">
        <w:rPr>
          <w:b/>
          <w:bCs/>
          <w:sz w:val="28"/>
          <w:szCs w:val="28"/>
        </w:rPr>
        <w:t>-201</w:t>
      </w:r>
      <w:r w:rsidR="001632E2">
        <w:rPr>
          <w:b/>
          <w:bCs/>
          <w:sz w:val="28"/>
          <w:szCs w:val="28"/>
        </w:rPr>
        <w:t>8</w:t>
      </w:r>
    </w:p>
    <w:p w:rsidR="006819CF" w:rsidRDefault="006819CF">
      <w:pPr>
        <w:rPr>
          <w:sz w:val="24"/>
        </w:rPr>
      </w:pPr>
    </w:p>
    <w:p w:rsidR="006819CF" w:rsidRDefault="006819CF">
      <w:pPr>
        <w:rPr>
          <w:b/>
          <w:bCs/>
          <w:sz w:val="24"/>
        </w:rPr>
      </w:pPr>
      <w:r>
        <w:rPr>
          <w:b/>
          <w:bCs/>
          <w:sz w:val="24"/>
        </w:rPr>
        <w:t>A.</w:t>
      </w:r>
      <w:r>
        <w:rPr>
          <w:b/>
          <w:bCs/>
          <w:sz w:val="24"/>
        </w:rPr>
        <w:tab/>
        <w:t>Justification</w:t>
      </w:r>
    </w:p>
    <w:p w:rsidR="006819CF" w:rsidRDefault="006819CF">
      <w:pPr>
        <w:rPr>
          <w:sz w:val="24"/>
        </w:rPr>
      </w:pPr>
    </w:p>
    <w:p w:rsidR="006819CF" w:rsidRDefault="006819CF">
      <w:pPr>
        <w:numPr>
          <w:ilvl w:val="0"/>
          <w:numId w:val="2"/>
        </w:numPr>
        <w:rPr>
          <w:b/>
          <w:sz w:val="24"/>
        </w:rPr>
      </w:pPr>
      <w:r>
        <w:rPr>
          <w:b/>
          <w:sz w:val="24"/>
          <w:u w:val="single"/>
        </w:rPr>
        <w:t>Circumstances Making the Collection of Information Necessary</w:t>
      </w:r>
    </w:p>
    <w:p w:rsidR="007E7385" w:rsidRDefault="006819CF" w:rsidP="007E7385">
      <w:pPr>
        <w:ind w:left="360"/>
        <w:rPr>
          <w:sz w:val="24"/>
        </w:rPr>
      </w:pPr>
      <w:r>
        <w:rPr>
          <w:sz w:val="24"/>
        </w:rPr>
        <w:tab/>
      </w:r>
    </w:p>
    <w:p w:rsidR="007E7385" w:rsidRPr="007E7385" w:rsidRDefault="007E7385" w:rsidP="007E7385">
      <w:pPr>
        <w:ind w:left="360" w:firstLine="360"/>
        <w:rPr>
          <w:sz w:val="24"/>
        </w:rPr>
      </w:pPr>
      <w:r w:rsidRPr="007E7385">
        <w:rPr>
          <w:sz w:val="24"/>
        </w:rPr>
        <w:t>The State Annual Long Term Care Ombudsman Report is needed to:</w:t>
      </w:r>
    </w:p>
    <w:p w:rsidR="007E7385" w:rsidRPr="007E7385" w:rsidRDefault="007E7385" w:rsidP="007E7385">
      <w:pPr>
        <w:ind w:left="360"/>
        <w:rPr>
          <w:sz w:val="24"/>
        </w:rPr>
      </w:pPr>
    </w:p>
    <w:p w:rsidR="007E7385" w:rsidRPr="007E7385" w:rsidRDefault="007E7385" w:rsidP="007E7385">
      <w:pPr>
        <w:numPr>
          <w:ilvl w:val="0"/>
          <w:numId w:val="43"/>
        </w:numPr>
        <w:tabs>
          <w:tab w:val="clear" w:pos="1080"/>
        </w:tabs>
        <w:ind w:left="1440"/>
        <w:rPr>
          <w:sz w:val="24"/>
        </w:rPr>
      </w:pPr>
      <w:r w:rsidRPr="007E7385">
        <w:rPr>
          <w:sz w:val="24"/>
        </w:rPr>
        <w:t>Comply with state and</w:t>
      </w:r>
      <w:r w:rsidR="00945946">
        <w:rPr>
          <w:sz w:val="24"/>
        </w:rPr>
        <w:t xml:space="preserve"> </w:t>
      </w:r>
      <w:r w:rsidRPr="007E7385">
        <w:rPr>
          <w:sz w:val="24"/>
        </w:rPr>
        <w:t>Administration on Aging (</w:t>
      </w:r>
      <w:proofErr w:type="spellStart"/>
      <w:r w:rsidRPr="007E7385">
        <w:rPr>
          <w:sz w:val="24"/>
        </w:rPr>
        <w:t>AoA</w:t>
      </w:r>
      <w:proofErr w:type="spellEnd"/>
      <w:r w:rsidRPr="007E7385">
        <w:rPr>
          <w:sz w:val="24"/>
        </w:rPr>
        <w:t>) reporting requirements in the Older Americans Act (OAA);</w:t>
      </w:r>
    </w:p>
    <w:p w:rsidR="007E7385" w:rsidRPr="007E7385" w:rsidRDefault="007E7385" w:rsidP="007E7385">
      <w:pPr>
        <w:ind w:left="1440" w:hanging="360"/>
        <w:rPr>
          <w:sz w:val="24"/>
        </w:rPr>
      </w:pPr>
    </w:p>
    <w:p w:rsidR="007E7385" w:rsidRPr="00211B38" w:rsidRDefault="007E7385" w:rsidP="007E7385">
      <w:pPr>
        <w:numPr>
          <w:ilvl w:val="0"/>
          <w:numId w:val="43"/>
        </w:numPr>
        <w:tabs>
          <w:tab w:val="clear" w:pos="1080"/>
        </w:tabs>
        <w:ind w:left="1440"/>
        <w:rPr>
          <w:sz w:val="24"/>
        </w:rPr>
      </w:pPr>
      <w:r w:rsidRPr="00211B38">
        <w:rPr>
          <w:sz w:val="24"/>
        </w:rPr>
        <w:t>Carry out recommendations made by the General Accounting Office (GAO), the Department of Health and Human Services’ Office of the Inspector General (OIG), and the Institute of Medicine (IOM);</w:t>
      </w:r>
    </w:p>
    <w:p w:rsidR="007E7385" w:rsidRPr="007E7385" w:rsidRDefault="007E7385" w:rsidP="007E7385">
      <w:pPr>
        <w:ind w:left="1440" w:hanging="360"/>
        <w:rPr>
          <w:sz w:val="24"/>
        </w:rPr>
      </w:pPr>
    </w:p>
    <w:p w:rsidR="007E7385" w:rsidRPr="007E7385" w:rsidRDefault="007E7385" w:rsidP="007E7385">
      <w:pPr>
        <w:numPr>
          <w:ilvl w:val="0"/>
          <w:numId w:val="43"/>
        </w:numPr>
        <w:tabs>
          <w:tab w:val="clear" w:pos="1080"/>
        </w:tabs>
        <w:ind w:left="1440"/>
        <w:rPr>
          <w:sz w:val="24"/>
        </w:rPr>
      </w:pPr>
      <w:r w:rsidRPr="007E7385">
        <w:rPr>
          <w:sz w:val="24"/>
        </w:rPr>
        <w:t xml:space="preserve">Advocate at the state and federal levels for changes needed to improve the quality of life and care in long-term care facilities; and </w:t>
      </w:r>
    </w:p>
    <w:p w:rsidR="007E7385" w:rsidRPr="007E7385" w:rsidRDefault="007E7385" w:rsidP="007E7385">
      <w:pPr>
        <w:ind w:left="1440" w:hanging="360"/>
        <w:rPr>
          <w:sz w:val="24"/>
        </w:rPr>
      </w:pPr>
    </w:p>
    <w:p w:rsidR="007E7385" w:rsidRPr="007E7385" w:rsidRDefault="007E7385" w:rsidP="007E7385">
      <w:pPr>
        <w:numPr>
          <w:ilvl w:val="0"/>
          <w:numId w:val="43"/>
        </w:numPr>
        <w:tabs>
          <w:tab w:val="clear" w:pos="1080"/>
        </w:tabs>
        <w:ind w:left="1440"/>
        <w:rPr>
          <w:sz w:val="24"/>
        </w:rPr>
      </w:pPr>
      <w:r w:rsidRPr="007E7385">
        <w:rPr>
          <w:sz w:val="24"/>
        </w:rPr>
        <w:t>Effectively manage the Long-Term Care Ombudsman Program at the local, state and federal levels.</w:t>
      </w:r>
    </w:p>
    <w:p w:rsidR="00093834" w:rsidRDefault="00093834" w:rsidP="00093834">
      <w:pPr>
        <w:rPr>
          <w:sz w:val="24"/>
        </w:rPr>
      </w:pPr>
    </w:p>
    <w:p w:rsidR="00093834" w:rsidRDefault="00093834" w:rsidP="00093834">
      <w:pPr>
        <w:ind w:left="720"/>
        <w:jc w:val="both"/>
        <w:rPr>
          <w:sz w:val="24"/>
        </w:rPr>
      </w:pPr>
      <w:r w:rsidRPr="007E7385">
        <w:rPr>
          <w:sz w:val="24"/>
        </w:rPr>
        <w:t>The National Ombudsman Reporting System (NORS) was developed in response to these needs and directives and approved by the Office of Management and Budget for use in</w:t>
      </w:r>
      <w:r w:rsidR="007F5D8F">
        <w:rPr>
          <w:sz w:val="24"/>
        </w:rPr>
        <w:t xml:space="preserve"> FFY </w:t>
      </w:r>
      <w:r w:rsidRPr="007E7385">
        <w:rPr>
          <w:sz w:val="24"/>
        </w:rPr>
        <w:t>1995-96.  It was extended with slight modifications for use in</w:t>
      </w:r>
      <w:r w:rsidR="007F5D8F">
        <w:rPr>
          <w:sz w:val="24"/>
        </w:rPr>
        <w:t xml:space="preserve"> FFY </w:t>
      </w:r>
      <w:r w:rsidRPr="007E7385">
        <w:rPr>
          <w:sz w:val="24"/>
        </w:rPr>
        <w:t xml:space="preserve">1997-2001 and </w:t>
      </w:r>
      <w:proofErr w:type="gramStart"/>
      <w:r w:rsidRPr="007E7385">
        <w:rPr>
          <w:sz w:val="24"/>
        </w:rPr>
        <w:t>extended</w:t>
      </w:r>
      <w:proofErr w:type="gramEnd"/>
      <w:r w:rsidRPr="007E7385">
        <w:rPr>
          <w:sz w:val="24"/>
        </w:rPr>
        <w:t xml:space="preserve"> with minor revisions for use in</w:t>
      </w:r>
      <w:r w:rsidR="007F5D8F">
        <w:rPr>
          <w:sz w:val="24"/>
        </w:rPr>
        <w:t xml:space="preserve"> FFY </w:t>
      </w:r>
      <w:r w:rsidRPr="007E7385">
        <w:rPr>
          <w:sz w:val="24"/>
        </w:rPr>
        <w:t xml:space="preserve">2002-2006.  In 2005, </w:t>
      </w:r>
      <w:proofErr w:type="spellStart"/>
      <w:r w:rsidRPr="007E7385">
        <w:rPr>
          <w:sz w:val="24"/>
        </w:rPr>
        <w:t>AoA</w:t>
      </w:r>
      <w:proofErr w:type="spellEnd"/>
      <w:r w:rsidRPr="007E7385">
        <w:rPr>
          <w:sz w:val="24"/>
        </w:rPr>
        <w:t xml:space="preserve"> requested an extension with no changes for the balance of</w:t>
      </w:r>
      <w:r w:rsidR="007F5D8F">
        <w:rPr>
          <w:sz w:val="24"/>
        </w:rPr>
        <w:t xml:space="preserve"> FFY </w:t>
      </w:r>
      <w:r w:rsidRPr="007E7385">
        <w:rPr>
          <w:sz w:val="24"/>
        </w:rPr>
        <w:t>2006 through 2009.  The NORS was extended, with modifications, a fourth time for use from</w:t>
      </w:r>
      <w:r w:rsidR="007F5D8F">
        <w:rPr>
          <w:sz w:val="24"/>
        </w:rPr>
        <w:t xml:space="preserve"> FFY </w:t>
      </w:r>
      <w:r w:rsidRPr="007E7385">
        <w:rPr>
          <w:sz w:val="24"/>
        </w:rPr>
        <w:t>2007-2008</w:t>
      </w:r>
      <w:r>
        <w:rPr>
          <w:sz w:val="24"/>
        </w:rPr>
        <w:t xml:space="preserve"> and extended with no modifications from</w:t>
      </w:r>
      <w:r w:rsidR="007F5D8F">
        <w:rPr>
          <w:sz w:val="24"/>
        </w:rPr>
        <w:t xml:space="preserve"> FFY </w:t>
      </w:r>
      <w:r>
        <w:rPr>
          <w:sz w:val="24"/>
        </w:rPr>
        <w:t>2009-2011</w:t>
      </w:r>
      <w:r w:rsidRPr="007E7385">
        <w:rPr>
          <w:sz w:val="24"/>
        </w:rPr>
        <w:t>.</w:t>
      </w:r>
      <w:r>
        <w:rPr>
          <w:sz w:val="24"/>
        </w:rPr>
        <w:t xml:space="preserve"> There was another extension with no modifications from</w:t>
      </w:r>
      <w:r w:rsidR="007F5D8F">
        <w:rPr>
          <w:sz w:val="24"/>
        </w:rPr>
        <w:t xml:space="preserve"> FFY </w:t>
      </w:r>
      <w:r>
        <w:rPr>
          <w:sz w:val="24"/>
        </w:rPr>
        <w:t>2012-2014</w:t>
      </w:r>
      <w:r w:rsidR="00A577B1">
        <w:rPr>
          <w:sz w:val="24"/>
        </w:rPr>
        <w:t xml:space="preserve"> and for FFY 2015-2018</w:t>
      </w:r>
      <w:r>
        <w:rPr>
          <w:sz w:val="24"/>
        </w:rPr>
        <w:t xml:space="preserve">. </w:t>
      </w:r>
      <w:r w:rsidRPr="007E7385">
        <w:rPr>
          <w:sz w:val="24"/>
        </w:rPr>
        <w:t xml:space="preserve">This current request is to </w:t>
      </w:r>
      <w:r>
        <w:rPr>
          <w:sz w:val="24"/>
        </w:rPr>
        <w:t xml:space="preserve">acquire new approval </w:t>
      </w:r>
      <w:r w:rsidR="005D7097">
        <w:rPr>
          <w:sz w:val="24"/>
        </w:rPr>
        <w:t xml:space="preserve">for FFY 2016-2018 </w:t>
      </w:r>
      <w:r>
        <w:rPr>
          <w:sz w:val="24"/>
        </w:rPr>
        <w:t>with</w:t>
      </w:r>
      <w:r w:rsidR="00690EBE">
        <w:rPr>
          <w:sz w:val="24"/>
        </w:rPr>
        <w:t xml:space="preserve"> </w:t>
      </w:r>
      <w:r w:rsidR="005D7097">
        <w:rPr>
          <w:sz w:val="24"/>
        </w:rPr>
        <w:t>modifications to include organizational conflict of interest reporting as required by the reauthorized Older Americans Act and the LTC Ombudsman program rule CFR 1324.21.</w:t>
      </w:r>
      <w:r>
        <w:rPr>
          <w:sz w:val="24"/>
        </w:rPr>
        <w:t xml:space="preserve"> </w:t>
      </w:r>
    </w:p>
    <w:p w:rsidR="00093834" w:rsidRDefault="00093834" w:rsidP="007E7385">
      <w:pPr>
        <w:ind w:left="720"/>
        <w:rPr>
          <w:sz w:val="24"/>
        </w:rPr>
      </w:pPr>
    </w:p>
    <w:p w:rsidR="00093834" w:rsidRDefault="00093834" w:rsidP="00093834">
      <w:pPr>
        <w:ind w:left="720"/>
        <w:jc w:val="both"/>
        <w:rPr>
          <w:sz w:val="24"/>
        </w:rPr>
      </w:pPr>
      <w:r w:rsidRPr="007E7385">
        <w:rPr>
          <w:sz w:val="24"/>
        </w:rPr>
        <w:t xml:space="preserve">The form and instructions are posted on the </w:t>
      </w:r>
      <w:r w:rsidR="00C44F6C">
        <w:rPr>
          <w:sz w:val="24"/>
        </w:rPr>
        <w:t>AOA</w:t>
      </w:r>
      <w:r w:rsidR="00945946">
        <w:rPr>
          <w:sz w:val="24"/>
        </w:rPr>
        <w:t xml:space="preserve"> </w:t>
      </w:r>
      <w:r w:rsidR="00330BFC">
        <w:rPr>
          <w:sz w:val="24"/>
        </w:rPr>
        <w:t>w</w:t>
      </w:r>
      <w:r w:rsidRPr="007E7385">
        <w:rPr>
          <w:sz w:val="24"/>
        </w:rPr>
        <w:t xml:space="preserve">eb site at: </w:t>
      </w:r>
    </w:p>
    <w:p w:rsidR="00093834" w:rsidRPr="007E7385" w:rsidRDefault="00093834" w:rsidP="00093834">
      <w:pPr>
        <w:ind w:left="720"/>
        <w:jc w:val="both"/>
        <w:rPr>
          <w:sz w:val="24"/>
        </w:rPr>
      </w:pPr>
    </w:p>
    <w:p w:rsidR="004117F3" w:rsidRDefault="001B7C8D" w:rsidP="00093834">
      <w:pPr>
        <w:ind w:left="720"/>
        <w:jc w:val="both"/>
        <w:rPr>
          <w:sz w:val="24"/>
        </w:rPr>
      </w:pPr>
      <w:hyperlink r:id="rId9" w:history="1">
        <w:r w:rsidR="00093834" w:rsidRPr="001052E5">
          <w:rPr>
            <w:rStyle w:val="Hyperlink"/>
            <w:sz w:val="24"/>
          </w:rPr>
          <w:t>http://www.aoa.acl.gov/AoA_Programs/Elder_Rights/Ombudsman/index.aspx</w:t>
        </w:r>
      </w:hyperlink>
      <w:r w:rsidR="00093834">
        <w:rPr>
          <w:sz w:val="24"/>
        </w:rPr>
        <w:t xml:space="preserve"> </w:t>
      </w:r>
    </w:p>
    <w:p w:rsidR="007E7385" w:rsidRPr="007E7385" w:rsidRDefault="007E7385" w:rsidP="007E7385">
      <w:pPr>
        <w:ind w:left="720"/>
        <w:rPr>
          <w:sz w:val="24"/>
        </w:rPr>
      </w:pPr>
    </w:p>
    <w:p w:rsidR="007E7385" w:rsidRPr="007E7385" w:rsidRDefault="007E7385" w:rsidP="007E7385">
      <w:pPr>
        <w:ind w:left="720"/>
        <w:rPr>
          <w:sz w:val="24"/>
        </w:rPr>
      </w:pPr>
      <w:r w:rsidRPr="007E7385">
        <w:rPr>
          <w:sz w:val="24"/>
        </w:rPr>
        <w:t>Section 712(c) of the OAA requires the state agency to establish a statewide uniform reporting system to:</w:t>
      </w:r>
    </w:p>
    <w:p w:rsidR="007E7385" w:rsidRPr="007E7385" w:rsidRDefault="007E7385" w:rsidP="007E7385">
      <w:pPr>
        <w:ind w:left="720"/>
        <w:rPr>
          <w:sz w:val="24"/>
        </w:rPr>
      </w:pPr>
    </w:p>
    <w:p w:rsidR="007E7385" w:rsidRPr="007E7385" w:rsidRDefault="007E7385" w:rsidP="007E7385">
      <w:pPr>
        <w:ind w:left="1080"/>
        <w:rPr>
          <w:sz w:val="24"/>
        </w:rPr>
      </w:pPr>
      <w:r w:rsidRPr="007E7385">
        <w:rPr>
          <w:sz w:val="24"/>
        </w:rPr>
        <w:t>(1)</w:t>
      </w:r>
      <w:r w:rsidRPr="007E7385">
        <w:rPr>
          <w:sz w:val="24"/>
        </w:rPr>
        <w:tab/>
        <w:t>Collect and analyze data relating to complaints and conditions in long-term care facilities and to residents for the purpose of identifying and resolving significant problems and</w:t>
      </w:r>
    </w:p>
    <w:p w:rsidR="007E7385" w:rsidRPr="007E7385" w:rsidRDefault="007E7385" w:rsidP="007E7385">
      <w:pPr>
        <w:ind w:left="1080"/>
        <w:rPr>
          <w:sz w:val="24"/>
        </w:rPr>
      </w:pPr>
    </w:p>
    <w:p w:rsidR="007E7385" w:rsidRPr="007E7385" w:rsidRDefault="007E7385" w:rsidP="007E7385">
      <w:pPr>
        <w:ind w:left="1080"/>
        <w:rPr>
          <w:sz w:val="24"/>
        </w:rPr>
      </w:pPr>
      <w:r w:rsidRPr="007E7385">
        <w:rPr>
          <w:sz w:val="24"/>
        </w:rPr>
        <w:t>(2)</w:t>
      </w:r>
      <w:r w:rsidRPr="007E7385">
        <w:rPr>
          <w:sz w:val="24"/>
        </w:rPr>
        <w:tab/>
        <w:t>Submit the data on a regular basis to the state licensing/certifying agency, other state and federal entities that the ombudsman determines to be appropriate; the Assistant Secretary for Aging; and the National Long-Term Care Ombudsman Resource Center.</w:t>
      </w:r>
    </w:p>
    <w:p w:rsidR="007E7385" w:rsidRPr="007E7385" w:rsidRDefault="007E7385" w:rsidP="007E7385">
      <w:pPr>
        <w:ind w:left="720"/>
        <w:rPr>
          <w:sz w:val="24"/>
        </w:rPr>
      </w:pPr>
    </w:p>
    <w:p w:rsidR="007E7385" w:rsidRDefault="007E7385" w:rsidP="007E7385">
      <w:pPr>
        <w:ind w:left="720"/>
        <w:rPr>
          <w:sz w:val="24"/>
        </w:rPr>
      </w:pPr>
      <w:r w:rsidRPr="007E7385">
        <w:rPr>
          <w:sz w:val="24"/>
        </w:rPr>
        <w:t>Section 712(h)(1) requires the state agency to require the Office of the State Long-Term Care Ombudsman to prepare an annual report describing the activities carried out by the ombudsman office in the year for which the report is prepared.  The report is to contain</w:t>
      </w:r>
    </w:p>
    <w:p w:rsidR="007E7385" w:rsidRPr="007E7385" w:rsidRDefault="007E7385" w:rsidP="007E7385">
      <w:pPr>
        <w:ind w:left="720"/>
        <w:rPr>
          <w:sz w:val="24"/>
        </w:rPr>
      </w:pPr>
    </w:p>
    <w:p w:rsidR="007E7385" w:rsidRDefault="007E7385" w:rsidP="007E7385">
      <w:pPr>
        <w:ind w:left="1170"/>
        <w:rPr>
          <w:sz w:val="24"/>
        </w:rPr>
      </w:pPr>
    </w:p>
    <w:p w:rsidR="007E7385" w:rsidRPr="007E7385" w:rsidRDefault="007E7385" w:rsidP="007E7385">
      <w:pPr>
        <w:numPr>
          <w:ilvl w:val="0"/>
          <w:numId w:val="45"/>
        </w:numPr>
        <w:tabs>
          <w:tab w:val="clear" w:pos="1890"/>
          <w:tab w:val="num" w:pos="1440"/>
        </w:tabs>
        <w:ind w:hanging="720"/>
        <w:rPr>
          <w:sz w:val="24"/>
        </w:rPr>
      </w:pPr>
      <w:r w:rsidRPr="007E7385">
        <w:rPr>
          <w:sz w:val="24"/>
        </w:rPr>
        <w:t>The data and an analysis of the data collected under Section 712(c);</w:t>
      </w:r>
    </w:p>
    <w:p w:rsidR="007E7385" w:rsidRPr="007E7385" w:rsidRDefault="007E7385" w:rsidP="007E7385">
      <w:pPr>
        <w:ind w:left="1440" w:hanging="270"/>
        <w:rPr>
          <w:sz w:val="24"/>
        </w:rPr>
      </w:pPr>
    </w:p>
    <w:p w:rsidR="007E7385" w:rsidRPr="007E7385" w:rsidRDefault="007E7385" w:rsidP="007E7385">
      <w:pPr>
        <w:numPr>
          <w:ilvl w:val="0"/>
          <w:numId w:val="44"/>
        </w:numPr>
        <w:ind w:hanging="270"/>
        <w:rPr>
          <w:sz w:val="24"/>
        </w:rPr>
      </w:pPr>
      <w:r w:rsidRPr="007E7385">
        <w:rPr>
          <w:sz w:val="24"/>
        </w:rPr>
        <w:t>Evaluation of the problems experienced and the complaints made by, or on behalf, of residents;</w:t>
      </w:r>
    </w:p>
    <w:p w:rsidR="007E7385" w:rsidRPr="007E7385" w:rsidRDefault="007E7385" w:rsidP="007E7385">
      <w:pPr>
        <w:ind w:left="1440" w:hanging="270"/>
        <w:rPr>
          <w:sz w:val="24"/>
        </w:rPr>
      </w:pPr>
    </w:p>
    <w:p w:rsidR="007E7385" w:rsidRPr="007E7385" w:rsidRDefault="007E7385" w:rsidP="007E7385">
      <w:pPr>
        <w:numPr>
          <w:ilvl w:val="0"/>
          <w:numId w:val="44"/>
        </w:numPr>
        <w:rPr>
          <w:sz w:val="24"/>
        </w:rPr>
      </w:pPr>
      <w:r w:rsidRPr="007E7385">
        <w:rPr>
          <w:sz w:val="24"/>
        </w:rPr>
        <w:t>Recommendations for improving quality of care and life and protecting the health, safety, welfare and rights of residents;</w:t>
      </w:r>
    </w:p>
    <w:p w:rsidR="007E7385" w:rsidRPr="007E7385" w:rsidRDefault="007E7385" w:rsidP="007E7385">
      <w:pPr>
        <w:ind w:left="1440" w:hanging="360"/>
        <w:rPr>
          <w:sz w:val="24"/>
        </w:rPr>
      </w:pPr>
    </w:p>
    <w:p w:rsidR="007E7385" w:rsidRPr="007E7385" w:rsidRDefault="007E7385" w:rsidP="007E7385">
      <w:pPr>
        <w:numPr>
          <w:ilvl w:val="0"/>
          <w:numId w:val="44"/>
        </w:numPr>
        <w:rPr>
          <w:sz w:val="24"/>
        </w:rPr>
      </w:pPr>
      <w:r w:rsidRPr="007E7385">
        <w:rPr>
          <w:sz w:val="24"/>
        </w:rPr>
        <w:t>Analysis of the success of the program, including success in providing services to residents of board and care facilities and other similar adult care facilities;</w:t>
      </w:r>
    </w:p>
    <w:p w:rsidR="007E7385" w:rsidRPr="007E7385" w:rsidRDefault="007E7385" w:rsidP="007E7385">
      <w:pPr>
        <w:ind w:left="1440" w:hanging="360"/>
        <w:rPr>
          <w:sz w:val="24"/>
        </w:rPr>
      </w:pPr>
    </w:p>
    <w:p w:rsidR="007E7385" w:rsidRPr="007E7385" w:rsidRDefault="007E7385" w:rsidP="007E7385">
      <w:pPr>
        <w:numPr>
          <w:ilvl w:val="0"/>
          <w:numId w:val="44"/>
        </w:numPr>
        <w:rPr>
          <w:sz w:val="24"/>
        </w:rPr>
      </w:pPr>
      <w:r w:rsidRPr="007E7385">
        <w:rPr>
          <w:sz w:val="24"/>
        </w:rPr>
        <w:t>Identification of barriers that prevent the optimal operation of the program; and</w:t>
      </w:r>
    </w:p>
    <w:p w:rsidR="007E7385" w:rsidRPr="007E7385" w:rsidRDefault="007E7385" w:rsidP="007E7385">
      <w:pPr>
        <w:ind w:left="1440" w:hanging="360"/>
        <w:rPr>
          <w:sz w:val="24"/>
        </w:rPr>
      </w:pPr>
    </w:p>
    <w:p w:rsidR="007E7385" w:rsidRPr="007E7385" w:rsidRDefault="007E7385" w:rsidP="007E7385">
      <w:pPr>
        <w:numPr>
          <w:ilvl w:val="0"/>
          <w:numId w:val="44"/>
        </w:numPr>
        <w:rPr>
          <w:sz w:val="24"/>
        </w:rPr>
      </w:pPr>
      <w:r w:rsidRPr="007E7385">
        <w:rPr>
          <w:sz w:val="24"/>
        </w:rPr>
        <w:t>Policy, regulatory and legislative recommendations to solve identified problems; resolve the complaints; improve the quality of care and life of residents; protect the health, safety, welfare and rights of residents; and remove the barriers.</w:t>
      </w:r>
    </w:p>
    <w:p w:rsidR="007E7385" w:rsidRPr="007E7385" w:rsidRDefault="007E7385" w:rsidP="007E7385">
      <w:pPr>
        <w:ind w:left="1440" w:hanging="270"/>
        <w:rPr>
          <w:sz w:val="24"/>
        </w:rPr>
      </w:pPr>
    </w:p>
    <w:p w:rsidR="007E7385" w:rsidRPr="007E7385" w:rsidRDefault="007E7385" w:rsidP="007E7385">
      <w:pPr>
        <w:ind w:left="720"/>
        <w:rPr>
          <w:sz w:val="24"/>
        </w:rPr>
      </w:pPr>
      <w:r w:rsidRPr="007E7385">
        <w:rPr>
          <w:sz w:val="24"/>
        </w:rPr>
        <w:t xml:space="preserve">Section 712 (h) (B) requires the state agency to require the </w:t>
      </w:r>
      <w:r w:rsidR="00945946">
        <w:rPr>
          <w:sz w:val="24"/>
        </w:rPr>
        <w:t>O</w:t>
      </w:r>
      <w:r w:rsidRPr="007E7385">
        <w:rPr>
          <w:sz w:val="24"/>
        </w:rPr>
        <w:t xml:space="preserve">ffice of the </w:t>
      </w:r>
      <w:r w:rsidR="00945946">
        <w:rPr>
          <w:sz w:val="24"/>
        </w:rPr>
        <w:t>O</w:t>
      </w:r>
      <w:r w:rsidRPr="007E7385">
        <w:rPr>
          <w:sz w:val="24"/>
        </w:rPr>
        <w:t>mbudsman to make the annual report available to the public and submit it to the Assistant Secretary for Aging, the chief executive officer of the state, the state legislature, the state agency responsible for licensing and certifying long-term care facilities, and other appropriate governmental entities.</w:t>
      </w:r>
    </w:p>
    <w:p w:rsidR="007E7385" w:rsidRPr="007E7385" w:rsidRDefault="007E7385" w:rsidP="007E7385">
      <w:pPr>
        <w:ind w:left="720"/>
        <w:rPr>
          <w:b/>
          <w:sz w:val="24"/>
        </w:rPr>
      </w:pPr>
    </w:p>
    <w:p w:rsidR="007E7385" w:rsidRPr="007E7385" w:rsidRDefault="007E7385" w:rsidP="007E7385">
      <w:pPr>
        <w:ind w:left="720"/>
        <w:rPr>
          <w:sz w:val="24"/>
        </w:rPr>
      </w:pPr>
      <w:r w:rsidRPr="007E7385">
        <w:rPr>
          <w:b/>
          <w:sz w:val="24"/>
        </w:rPr>
        <w:t xml:space="preserve">Older Americans Act </w:t>
      </w:r>
      <w:r w:rsidRPr="007E7385">
        <w:rPr>
          <w:sz w:val="24"/>
        </w:rPr>
        <w:t>–</w:t>
      </w:r>
      <w:r w:rsidRPr="007E7385">
        <w:rPr>
          <w:b/>
          <w:sz w:val="24"/>
        </w:rPr>
        <w:t xml:space="preserve"> Ombudsman Reporting Requirements for </w:t>
      </w:r>
      <w:proofErr w:type="spellStart"/>
      <w:r w:rsidRPr="007E7385">
        <w:rPr>
          <w:b/>
          <w:sz w:val="24"/>
        </w:rPr>
        <w:t>AoA</w:t>
      </w:r>
      <w:proofErr w:type="spellEnd"/>
    </w:p>
    <w:p w:rsidR="007E7385" w:rsidRPr="007E7385" w:rsidRDefault="007E7385" w:rsidP="007E7385">
      <w:pPr>
        <w:ind w:left="720"/>
        <w:rPr>
          <w:sz w:val="24"/>
        </w:rPr>
      </w:pPr>
    </w:p>
    <w:p w:rsidR="007E7385" w:rsidRPr="007E7385" w:rsidRDefault="007E7385" w:rsidP="007E7385">
      <w:pPr>
        <w:ind w:left="720"/>
        <w:rPr>
          <w:sz w:val="24"/>
        </w:rPr>
      </w:pPr>
      <w:r w:rsidRPr="007E7385">
        <w:rPr>
          <w:sz w:val="24"/>
        </w:rPr>
        <w:t>Title II of the OAA requires the Assistant Secretary to compile an annual national ombudsman report.  The report must:</w:t>
      </w:r>
    </w:p>
    <w:p w:rsidR="007E7385" w:rsidRPr="007E7385" w:rsidRDefault="007E7385" w:rsidP="007E7385">
      <w:pPr>
        <w:ind w:left="720"/>
        <w:rPr>
          <w:sz w:val="24"/>
        </w:rPr>
      </w:pPr>
    </w:p>
    <w:p w:rsidR="007E7385" w:rsidRPr="007E7385" w:rsidRDefault="007E7385" w:rsidP="008A0828">
      <w:pPr>
        <w:numPr>
          <w:ilvl w:val="0"/>
          <w:numId w:val="46"/>
        </w:numPr>
        <w:rPr>
          <w:sz w:val="24"/>
        </w:rPr>
      </w:pPr>
      <w:r w:rsidRPr="007E7385">
        <w:rPr>
          <w:sz w:val="24"/>
        </w:rPr>
        <w:t>Summarize and analyze the data collected by the states under Section 712(c) and (h) for the most recently concluded fiscal year;</w:t>
      </w:r>
    </w:p>
    <w:p w:rsidR="007E7385" w:rsidRPr="007E7385" w:rsidRDefault="007E7385" w:rsidP="007E7385">
      <w:pPr>
        <w:ind w:left="720"/>
        <w:rPr>
          <w:sz w:val="24"/>
        </w:rPr>
      </w:pPr>
    </w:p>
    <w:p w:rsidR="007E7385" w:rsidRPr="007E7385" w:rsidRDefault="007E7385" w:rsidP="008A0828">
      <w:pPr>
        <w:numPr>
          <w:ilvl w:val="0"/>
          <w:numId w:val="46"/>
        </w:numPr>
        <w:rPr>
          <w:sz w:val="24"/>
        </w:rPr>
      </w:pPr>
      <w:r w:rsidRPr="007E7385">
        <w:rPr>
          <w:sz w:val="24"/>
        </w:rPr>
        <w:t>Identify significant problems and issues revealed by such data (with special emphasis on problems relating to quality of care and residents' rights);</w:t>
      </w:r>
    </w:p>
    <w:p w:rsidR="007E7385" w:rsidRPr="007E7385" w:rsidRDefault="007E7385" w:rsidP="007E7385">
      <w:pPr>
        <w:ind w:left="720"/>
        <w:rPr>
          <w:sz w:val="24"/>
        </w:rPr>
      </w:pPr>
    </w:p>
    <w:p w:rsidR="007E7385" w:rsidRPr="007E7385" w:rsidRDefault="007E7385" w:rsidP="008A0828">
      <w:pPr>
        <w:numPr>
          <w:ilvl w:val="0"/>
          <w:numId w:val="46"/>
        </w:numPr>
        <w:rPr>
          <w:sz w:val="24"/>
        </w:rPr>
      </w:pPr>
      <w:r w:rsidRPr="007E7385">
        <w:rPr>
          <w:sz w:val="24"/>
        </w:rPr>
        <w:t xml:space="preserve">Discuss current issues concerning </w:t>
      </w:r>
      <w:r w:rsidR="00397C5D" w:rsidRPr="007E7385">
        <w:rPr>
          <w:sz w:val="24"/>
        </w:rPr>
        <w:t>the</w:t>
      </w:r>
      <w:r w:rsidR="00397C5D">
        <w:rPr>
          <w:sz w:val="24"/>
        </w:rPr>
        <w:t xml:space="preserve"> </w:t>
      </w:r>
      <w:r w:rsidR="00397C5D" w:rsidRPr="007E7385">
        <w:rPr>
          <w:sz w:val="24"/>
        </w:rPr>
        <w:t>Long</w:t>
      </w:r>
      <w:r w:rsidRPr="007E7385">
        <w:rPr>
          <w:sz w:val="24"/>
        </w:rPr>
        <w:t>-</w:t>
      </w:r>
      <w:r w:rsidR="00945946">
        <w:rPr>
          <w:sz w:val="24"/>
        </w:rPr>
        <w:t>T</w:t>
      </w:r>
      <w:r w:rsidRPr="007E7385">
        <w:rPr>
          <w:sz w:val="24"/>
        </w:rPr>
        <w:t xml:space="preserve">erm </w:t>
      </w:r>
      <w:r w:rsidR="00945946">
        <w:rPr>
          <w:sz w:val="24"/>
        </w:rPr>
        <w:t>C</w:t>
      </w:r>
      <w:r w:rsidRPr="007E7385">
        <w:rPr>
          <w:sz w:val="24"/>
        </w:rPr>
        <w:t xml:space="preserve">are </w:t>
      </w:r>
      <w:r w:rsidR="00945946">
        <w:rPr>
          <w:sz w:val="24"/>
        </w:rPr>
        <w:t>O</w:t>
      </w:r>
      <w:r w:rsidRPr="007E7385">
        <w:rPr>
          <w:sz w:val="24"/>
        </w:rPr>
        <w:t>mbudsman programs of the states; and</w:t>
      </w:r>
    </w:p>
    <w:p w:rsidR="007E7385" w:rsidRPr="007E7385" w:rsidRDefault="007E7385" w:rsidP="007E7385">
      <w:pPr>
        <w:ind w:left="720"/>
        <w:rPr>
          <w:sz w:val="24"/>
        </w:rPr>
      </w:pPr>
    </w:p>
    <w:p w:rsidR="007E7385" w:rsidRPr="007E7385" w:rsidRDefault="007E7385" w:rsidP="008A0828">
      <w:pPr>
        <w:numPr>
          <w:ilvl w:val="0"/>
          <w:numId w:val="46"/>
        </w:numPr>
        <w:rPr>
          <w:sz w:val="24"/>
        </w:rPr>
      </w:pPr>
      <w:r w:rsidRPr="007E7385">
        <w:rPr>
          <w:sz w:val="24"/>
        </w:rPr>
        <w:t xml:space="preserve">Make recommendations regarding legislation and administrative actions to </w:t>
      </w:r>
      <w:r w:rsidR="00397C5D" w:rsidRPr="007E7385">
        <w:rPr>
          <w:sz w:val="24"/>
        </w:rPr>
        <w:t>resolve such</w:t>
      </w:r>
      <w:r w:rsidRPr="007E7385">
        <w:rPr>
          <w:sz w:val="24"/>
        </w:rPr>
        <w:t xml:space="preserve"> problems.</w:t>
      </w:r>
    </w:p>
    <w:p w:rsidR="007E7385" w:rsidRPr="007E7385" w:rsidRDefault="007E7385" w:rsidP="007E7385">
      <w:pPr>
        <w:ind w:left="720"/>
        <w:rPr>
          <w:sz w:val="24"/>
        </w:rPr>
      </w:pPr>
    </w:p>
    <w:p w:rsidR="007E7385" w:rsidRDefault="007E7385" w:rsidP="007E7385">
      <w:pPr>
        <w:ind w:left="720"/>
        <w:rPr>
          <w:sz w:val="24"/>
        </w:rPr>
      </w:pPr>
      <w:r w:rsidRPr="007E7385">
        <w:rPr>
          <w:sz w:val="24"/>
        </w:rPr>
        <w:t xml:space="preserve">The Assistant Secretary is required to submit the report to the congressional committees of jurisdiction for the OAA and to the Director of the Centers for Medicare and Medicaid Services, the Office of the Inspector General of the Department of Health and Human Services, the Administrator of the Veterans' Administration, and agencies which house the state ombudsman office. </w:t>
      </w:r>
    </w:p>
    <w:p w:rsidR="007A6682" w:rsidRDefault="007A6682" w:rsidP="007E7385">
      <w:pPr>
        <w:ind w:left="720"/>
        <w:rPr>
          <w:sz w:val="24"/>
        </w:rPr>
      </w:pPr>
    </w:p>
    <w:p w:rsidR="007A6682" w:rsidRDefault="007A6682" w:rsidP="007E7385">
      <w:pPr>
        <w:ind w:left="720"/>
        <w:rPr>
          <w:sz w:val="24"/>
        </w:rPr>
      </w:pPr>
      <w:r>
        <w:rPr>
          <w:sz w:val="24"/>
        </w:rPr>
        <w:t>The Older American’s Act as a</w:t>
      </w:r>
      <w:r w:rsidRPr="007A6682">
        <w:rPr>
          <w:sz w:val="24"/>
        </w:rPr>
        <w:t xml:space="preserve">mended </w:t>
      </w:r>
      <w:r>
        <w:rPr>
          <w:sz w:val="24"/>
        </w:rPr>
        <w:t>t</w:t>
      </w:r>
      <w:r w:rsidRPr="007A6682">
        <w:rPr>
          <w:sz w:val="24"/>
        </w:rPr>
        <w:t>hrough P.L. 114–144, Enacted April 19, 2016</w:t>
      </w:r>
      <w:r>
        <w:rPr>
          <w:sz w:val="24"/>
        </w:rPr>
        <w:t>, requires in Section 712(f)(2) that organizational conflicts of interest be i</w:t>
      </w:r>
      <w:r w:rsidRPr="007A6682">
        <w:rPr>
          <w:sz w:val="24"/>
        </w:rPr>
        <w:t>dentified by the State agency;</w:t>
      </w:r>
      <w:r>
        <w:rPr>
          <w:sz w:val="24"/>
        </w:rPr>
        <w:t xml:space="preserve"> </w:t>
      </w:r>
      <w:r w:rsidRPr="007A6682">
        <w:rPr>
          <w:sz w:val="24"/>
        </w:rPr>
        <w:t xml:space="preserve"> disclosed by the State agency to the Assistant</w:t>
      </w:r>
      <w:r>
        <w:rPr>
          <w:sz w:val="24"/>
        </w:rPr>
        <w:t xml:space="preserve"> </w:t>
      </w:r>
      <w:r w:rsidRPr="007A6682">
        <w:rPr>
          <w:sz w:val="24"/>
        </w:rPr>
        <w:t>Secretary in writing; and</w:t>
      </w:r>
      <w:r>
        <w:rPr>
          <w:sz w:val="24"/>
        </w:rPr>
        <w:t xml:space="preserve"> </w:t>
      </w:r>
      <w:r w:rsidRPr="007A6682">
        <w:rPr>
          <w:sz w:val="24"/>
        </w:rPr>
        <w:t>remedied</w:t>
      </w:r>
      <w:r>
        <w:rPr>
          <w:sz w:val="24"/>
        </w:rPr>
        <w:t xml:space="preserve">. </w:t>
      </w:r>
    </w:p>
    <w:p w:rsidR="007A6682" w:rsidRDefault="007A6682" w:rsidP="007E7385">
      <w:pPr>
        <w:ind w:left="720"/>
        <w:rPr>
          <w:sz w:val="24"/>
        </w:rPr>
      </w:pPr>
    </w:p>
    <w:p w:rsidR="00CA3E9C" w:rsidRDefault="007A6682" w:rsidP="007A6682">
      <w:pPr>
        <w:ind w:left="720"/>
        <w:rPr>
          <w:sz w:val="24"/>
        </w:rPr>
      </w:pPr>
      <w:r>
        <w:rPr>
          <w:bCs/>
          <w:sz w:val="24"/>
        </w:rPr>
        <w:t>Additionally t</w:t>
      </w:r>
      <w:r w:rsidR="00CA3E9C" w:rsidRPr="00CA3E9C">
        <w:rPr>
          <w:bCs/>
          <w:sz w:val="24"/>
        </w:rPr>
        <w:t xml:space="preserve">he Long-Term Care Ombudsman Programs final rule </w:t>
      </w:r>
      <w:r w:rsidR="00CA3E9C" w:rsidRPr="00CA3E9C">
        <w:rPr>
          <w:sz w:val="24"/>
        </w:rPr>
        <w:t>§</w:t>
      </w:r>
      <w:r w:rsidR="00CA3E9C" w:rsidRPr="00CA3E9C">
        <w:rPr>
          <w:bCs/>
          <w:sz w:val="24"/>
        </w:rPr>
        <w:t xml:space="preserve">1324.21 </w:t>
      </w:r>
      <w:r>
        <w:rPr>
          <w:sz w:val="24"/>
        </w:rPr>
        <w:t>requires that t</w:t>
      </w:r>
      <w:r w:rsidRPr="007A6682">
        <w:rPr>
          <w:sz w:val="24"/>
        </w:rPr>
        <w:t>he Ombudsman identify organizational conflicts of interest in the Ombudsman</w:t>
      </w:r>
      <w:r>
        <w:rPr>
          <w:sz w:val="24"/>
        </w:rPr>
        <w:t xml:space="preserve"> </w:t>
      </w:r>
      <w:r w:rsidRPr="007A6682">
        <w:rPr>
          <w:sz w:val="24"/>
        </w:rPr>
        <w:t>program and describe steps taken to remove or remedy conflicts within the annual</w:t>
      </w:r>
      <w:r>
        <w:rPr>
          <w:sz w:val="24"/>
        </w:rPr>
        <w:t xml:space="preserve"> </w:t>
      </w:r>
      <w:r w:rsidRPr="007A6682">
        <w:rPr>
          <w:sz w:val="24"/>
        </w:rPr>
        <w:t>report submitted to the Assistant Secretary through the National Ombudsman</w:t>
      </w:r>
      <w:r>
        <w:rPr>
          <w:sz w:val="24"/>
        </w:rPr>
        <w:t xml:space="preserve"> </w:t>
      </w:r>
      <w:r w:rsidRPr="007A6682">
        <w:rPr>
          <w:sz w:val="24"/>
        </w:rPr>
        <w:t>Reporting System.</w:t>
      </w:r>
    </w:p>
    <w:p w:rsidR="008A0828" w:rsidRPr="007E7385" w:rsidRDefault="008A0828" w:rsidP="007E7385">
      <w:pPr>
        <w:ind w:left="720"/>
        <w:rPr>
          <w:sz w:val="24"/>
        </w:rPr>
      </w:pPr>
    </w:p>
    <w:p w:rsidR="007E7385" w:rsidRPr="00211B38" w:rsidRDefault="008A0828" w:rsidP="007E7385">
      <w:pPr>
        <w:ind w:left="720"/>
        <w:rPr>
          <w:b/>
          <w:sz w:val="24"/>
        </w:rPr>
      </w:pPr>
      <w:r w:rsidRPr="00211B38">
        <w:rPr>
          <w:b/>
          <w:sz w:val="24"/>
        </w:rPr>
        <w:t>T</w:t>
      </w:r>
      <w:r w:rsidR="007E7385" w:rsidRPr="00211B38">
        <w:rPr>
          <w:b/>
          <w:sz w:val="24"/>
        </w:rPr>
        <w:t xml:space="preserve">he General Accounting Office (GAO), U.S. Department of Health and Human Services OIG (OIG) and Institute of Medicine (IOM) Recommendations Regarding State Ombudsman Reporting to </w:t>
      </w:r>
      <w:proofErr w:type="spellStart"/>
      <w:r w:rsidR="007E7385" w:rsidRPr="00211B38">
        <w:rPr>
          <w:b/>
          <w:sz w:val="24"/>
        </w:rPr>
        <w:t>AoA</w:t>
      </w:r>
      <w:proofErr w:type="spellEnd"/>
      <w:r w:rsidR="00D9209B" w:rsidRPr="00211B38">
        <w:rPr>
          <w:b/>
          <w:sz w:val="24"/>
        </w:rPr>
        <w:t>:</w:t>
      </w:r>
    </w:p>
    <w:p w:rsidR="007E7385" w:rsidRPr="00211B38" w:rsidRDefault="007E7385" w:rsidP="007E7385">
      <w:pPr>
        <w:ind w:left="720"/>
        <w:rPr>
          <w:sz w:val="24"/>
        </w:rPr>
      </w:pPr>
    </w:p>
    <w:p w:rsidR="007E7385" w:rsidRPr="00211B38" w:rsidRDefault="007E7385" w:rsidP="007E7385">
      <w:pPr>
        <w:ind w:left="720"/>
        <w:rPr>
          <w:sz w:val="24"/>
        </w:rPr>
      </w:pPr>
      <w:r w:rsidRPr="00211B38">
        <w:rPr>
          <w:sz w:val="24"/>
        </w:rPr>
        <w:t>A May 1992 GAO report entitled "The Older Americans Act: Access to and Utilization of the Ombudsman Program" stated:</w:t>
      </w:r>
    </w:p>
    <w:p w:rsidR="007E7385" w:rsidRPr="00211B38" w:rsidRDefault="007E7385" w:rsidP="007E7385">
      <w:pPr>
        <w:ind w:left="720"/>
        <w:rPr>
          <w:sz w:val="24"/>
        </w:rPr>
      </w:pPr>
    </w:p>
    <w:p w:rsidR="007E7385" w:rsidRPr="00211B38" w:rsidRDefault="007E7385" w:rsidP="007E7385">
      <w:pPr>
        <w:ind w:left="720"/>
        <w:rPr>
          <w:sz w:val="24"/>
        </w:rPr>
      </w:pPr>
      <w:r w:rsidRPr="00211B38">
        <w:rPr>
          <w:sz w:val="24"/>
        </w:rPr>
        <w:t xml:space="preserve">We believe that, at a minimum, there is a need to modify </w:t>
      </w:r>
      <w:proofErr w:type="spellStart"/>
      <w:r w:rsidRPr="00211B38">
        <w:rPr>
          <w:sz w:val="24"/>
        </w:rPr>
        <w:t>AoA's</w:t>
      </w:r>
      <w:proofErr w:type="spellEnd"/>
      <w:r w:rsidRPr="00211B38">
        <w:rPr>
          <w:sz w:val="24"/>
        </w:rPr>
        <w:t xml:space="preserve"> annual data collection instrument to correct its defects and to allow measurement of utilization rates of the ombudsman program.  The latter would involve collecting information on (1) the total number of complaints received, by type of facility (nursing home or board and care facility), and (2) the total number of nursing home and board and care residents (or, at a minimum, beds).  To appropriately evaluate the ombudsman program, a standard definition of what constitutes the resolution of a complaint should be developed.  In addition, we conclude that sufficient data to measure the impact of the program are not being collected at the national level.</w:t>
      </w:r>
    </w:p>
    <w:p w:rsidR="007E7385" w:rsidRPr="00211B38" w:rsidRDefault="007E7385" w:rsidP="007E7385">
      <w:pPr>
        <w:ind w:left="720"/>
        <w:rPr>
          <w:sz w:val="24"/>
        </w:rPr>
      </w:pPr>
    </w:p>
    <w:p w:rsidR="007E7385" w:rsidRPr="00211B38" w:rsidRDefault="007E7385" w:rsidP="007E7385">
      <w:pPr>
        <w:ind w:left="720"/>
        <w:rPr>
          <w:sz w:val="24"/>
        </w:rPr>
      </w:pPr>
      <w:r w:rsidRPr="00211B38">
        <w:rPr>
          <w:sz w:val="24"/>
        </w:rPr>
        <w:t xml:space="preserve">In a three-part report issued in June 1991, the OIG recommended that </w:t>
      </w:r>
      <w:proofErr w:type="spellStart"/>
      <w:r w:rsidRPr="00211B38">
        <w:rPr>
          <w:sz w:val="24"/>
        </w:rPr>
        <w:t>AoA</w:t>
      </w:r>
      <w:proofErr w:type="spellEnd"/>
      <w:r w:rsidRPr="00211B38">
        <w:rPr>
          <w:sz w:val="24"/>
        </w:rPr>
        <w:t xml:space="preserve"> develop standards for State ombudsman programs in the following areas: frequency of facility visits; staff-to-bed ratios; volunteer-to-bed ratios; complaint response time; complaint resolution percentages; and recruitment, training and retention of staff and volunteers.  </w:t>
      </w:r>
      <w:r w:rsidRPr="00211B38">
        <w:rPr>
          <w:sz w:val="24"/>
        </w:rPr>
        <w:lastRenderedPageBreak/>
        <w:t xml:space="preserve">The OIG also recommended that </w:t>
      </w:r>
      <w:proofErr w:type="spellStart"/>
      <w:r w:rsidRPr="00211B38">
        <w:rPr>
          <w:sz w:val="24"/>
        </w:rPr>
        <w:t>AoA</w:t>
      </w:r>
      <w:proofErr w:type="spellEnd"/>
      <w:r w:rsidRPr="00211B38">
        <w:rPr>
          <w:sz w:val="24"/>
        </w:rPr>
        <w:t xml:space="preserve"> develop and implement a system for rating the progress of States in developing their ombudsman systems and providing needed technical assistance.</w:t>
      </w:r>
    </w:p>
    <w:p w:rsidR="007E7385" w:rsidRPr="00211B38" w:rsidRDefault="007E7385" w:rsidP="007E7385">
      <w:pPr>
        <w:ind w:left="720"/>
        <w:rPr>
          <w:sz w:val="24"/>
        </w:rPr>
      </w:pPr>
    </w:p>
    <w:p w:rsidR="007E7385" w:rsidRPr="00211B38" w:rsidRDefault="007E7385" w:rsidP="007E7385">
      <w:pPr>
        <w:ind w:left="720"/>
        <w:rPr>
          <w:sz w:val="24"/>
        </w:rPr>
      </w:pPr>
      <w:r w:rsidRPr="00211B38">
        <w:rPr>
          <w:sz w:val="24"/>
        </w:rPr>
        <w:t>In January 1995 the IOM issued a report on its evaluation of the ombudsman program.  The report contained several recommendations regarding data and information systems.</w:t>
      </w:r>
    </w:p>
    <w:p w:rsidR="007E7385" w:rsidRPr="00211B38" w:rsidRDefault="007E7385" w:rsidP="007E7385">
      <w:pPr>
        <w:ind w:left="720"/>
        <w:rPr>
          <w:sz w:val="24"/>
        </w:rPr>
      </w:pPr>
    </w:p>
    <w:p w:rsidR="007E7385" w:rsidRPr="007E7385" w:rsidRDefault="007E7385" w:rsidP="007E7385">
      <w:pPr>
        <w:ind w:left="720"/>
        <w:rPr>
          <w:sz w:val="24"/>
        </w:rPr>
      </w:pPr>
      <w:r w:rsidRPr="00211B38">
        <w:rPr>
          <w:sz w:val="24"/>
        </w:rPr>
        <w:t>The NORS reporting system is responsive to the GAO, OIG and IOM recommendations.</w:t>
      </w:r>
    </w:p>
    <w:p w:rsidR="007E7385" w:rsidRPr="007E7385" w:rsidRDefault="007E7385" w:rsidP="007E7385">
      <w:pPr>
        <w:ind w:left="720"/>
        <w:rPr>
          <w:sz w:val="24"/>
        </w:rPr>
      </w:pPr>
      <w:r w:rsidRPr="007E7385">
        <w:rPr>
          <w:sz w:val="24"/>
        </w:rPr>
        <w:t xml:space="preserve">  </w:t>
      </w:r>
    </w:p>
    <w:p w:rsidR="007E7385" w:rsidRPr="007E7385" w:rsidRDefault="007E7385" w:rsidP="007E7385">
      <w:pPr>
        <w:ind w:left="720"/>
        <w:rPr>
          <w:sz w:val="24"/>
        </w:rPr>
      </w:pPr>
      <w:r w:rsidRPr="007E7385">
        <w:rPr>
          <w:b/>
          <w:sz w:val="24"/>
        </w:rPr>
        <w:t>Consultation with State and Local Ombudsmen and State Agencies on Aging</w:t>
      </w:r>
    </w:p>
    <w:p w:rsidR="007E7385" w:rsidRPr="007E7385" w:rsidRDefault="007E7385" w:rsidP="007E7385">
      <w:pPr>
        <w:ind w:left="720"/>
        <w:rPr>
          <w:sz w:val="24"/>
        </w:rPr>
      </w:pPr>
    </w:p>
    <w:p w:rsidR="007E7385" w:rsidRDefault="007E7385" w:rsidP="007E7385">
      <w:pPr>
        <w:ind w:left="720"/>
        <w:rPr>
          <w:sz w:val="24"/>
        </w:rPr>
      </w:pPr>
      <w:r w:rsidRPr="007E7385">
        <w:rPr>
          <w:sz w:val="24"/>
        </w:rPr>
        <w:t xml:space="preserve">From the beginning of the NORS, </w:t>
      </w:r>
      <w:proofErr w:type="spellStart"/>
      <w:r w:rsidRPr="007E7385">
        <w:rPr>
          <w:sz w:val="24"/>
        </w:rPr>
        <w:t>AoA</w:t>
      </w:r>
      <w:proofErr w:type="spellEnd"/>
      <w:r w:rsidRPr="007E7385">
        <w:rPr>
          <w:sz w:val="24"/>
        </w:rPr>
        <w:t xml:space="preserve"> has worked with state and local ombudsmen to </w:t>
      </w:r>
      <w:r w:rsidR="00D9209B" w:rsidRPr="007E7385">
        <w:rPr>
          <w:sz w:val="24"/>
        </w:rPr>
        <w:t>develop</w:t>
      </w:r>
      <w:r w:rsidRPr="007E7385">
        <w:rPr>
          <w:sz w:val="24"/>
        </w:rPr>
        <w:t xml:space="preserve"> and improve the reporting system.  Representatives of the state and local national ombudsman associations worked with </w:t>
      </w:r>
      <w:proofErr w:type="spellStart"/>
      <w:r w:rsidRPr="007E7385">
        <w:rPr>
          <w:sz w:val="24"/>
        </w:rPr>
        <w:t>AoA</w:t>
      </w:r>
      <w:proofErr w:type="spellEnd"/>
      <w:r w:rsidRPr="007E7385">
        <w:rPr>
          <w:sz w:val="24"/>
        </w:rPr>
        <w:t xml:space="preserve"> staff to develop changes in the reporting form and instructions for the 2006 submission. </w:t>
      </w:r>
      <w:proofErr w:type="spellStart"/>
      <w:r w:rsidR="005670FC" w:rsidRPr="00211B38">
        <w:rPr>
          <w:sz w:val="24"/>
        </w:rPr>
        <w:t>AoA</w:t>
      </w:r>
      <w:proofErr w:type="spellEnd"/>
      <w:r w:rsidR="005670FC" w:rsidRPr="00211B38">
        <w:rPr>
          <w:sz w:val="24"/>
        </w:rPr>
        <w:t xml:space="preserve"> staff and the National Ombudsman Resource Center continue to provide training and technical assistance on the NORS definitions, codes and effective uses of</w:t>
      </w:r>
      <w:r w:rsidRPr="00211B38">
        <w:rPr>
          <w:sz w:val="24"/>
        </w:rPr>
        <w:t xml:space="preserve"> </w:t>
      </w:r>
      <w:r w:rsidR="005670FC" w:rsidRPr="00211B38">
        <w:rPr>
          <w:sz w:val="24"/>
        </w:rPr>
        <w:t>data.</w:t>
      </w:r>
    </w:p>
    <w:p w:rsidR="002B6BCE" w:rsidRDefault="002B6BCE" w:rsidP="007E7385">
      <w:pPr>
        <w:ind w:left="720"/>
        <w:rPr>
          <w:sz w:val="24"/>
        </w:rPr>
      </w:pPr>
    </w:p>
    <w:p w:rsidR="007A6682" w:rsidRPr="007E7385" w:rsidRDefault="007A6682" w:rsidP="007E7385">
      <w:pPr>
        <w:ind w:left="720"/>
        <w:rPr>
          <w:sz w:val="24"/>
        </w:rPr>
      </w:pPr>
    </w:p>
    <w:p w:rsidR="008A0828" w:rsidRPr="008A0828" w:rsidRDefault="006819CF">
      <w:pPr>
        <w:numPr>
          <w:ilvl w:val="0"/>
          <w:numId w:val="2"/>
        </w:numPr>
        <w:rPr>
          <w:b/>
          <w:sz w:val="24"/>
        </w:rPr>
      </w:pPr>
      <w:r>
        <w:rPr>
          <w:b/>
          <w:sz w:val="24"/>
          <w:u w:val="single"/>
        </w:rPr>
        <w:t>Purpose and Use of Information Collection</w:t>
      </w:r>
    </w:p>
    <w:p w:rsidR="008A0828" w:rsidRDefault="008A0828" w:rsidP="008A0828">
      <w:pPr>
        <w:ind w:left="720"/>
        <w:rPr>
          <w:b/>
          <w:sz w:val="24"/>
        </w:rPr>
      </w:pPr>
    </w:p>
    <w:p w:rsidR="008A0828" w:rsidRDefault="008A0828" w:rsidP="008A0828">
      <w:pPr>
        <w:ind w:left="720"/>
        <w:rPr>
          <w:sz w:val="24"/>
        </w:rPr>
      </w:pPr>
      <w:r w:rsidRPr="008A0828">
        <w:rPr>
          <w:sz w:val="24"/>
        </w:rPr>
        <w:t>The information will be provided to the legislative and executive branch officials cited in the OAA, state directors on aging, state ombudsmen, national organizations involved in</w:t>
      </w:r>
      <w:r w:rsidR="000F0457">
        <w:rPr>
          <w:sz w:val="24"/>
        </w:rPr>
        <w:t xml:space="preserve"> residential</w:t>
      </w:r>
      <w:r w:rsidR="0002300C">
        <w:rPr>
          <w:sz w:val="24"/>
        </w:rPr>
        <w:t xml:space="preserve"> </w:t>
      </w:r>
      <w:r w:rsidRPr="008A0828">
        <w:rPr>
          <w:sz w:val="24"/>
        </w:rPr>
        <w:t xml:space="preserve">long term care issues, and private citizens who request it.  It will be posted </w:t>
      </w:r>
      <w:r w:rsidR="002A2496" w:rsidRPr="00211B38">
        <w:rPr>
          <w:sz w:val="24"/>
        </w:rPr>
        <w:t xml:space="preserve">in the </w:t>
      </w:r>
      <w:proofErr w:type="spellStart"/>
      <w:r w:rsidR="002A2496" w:rsidRPr="005557B8">
        <w:rPr>
          <w:sz w:val="24"/>
        </w:rPr>
        <w:t>AG</w:t>
      </w:r>
      <w:r w:rsidR="00F74470" w:rsidRPr="005557B8">
        <w:rPr>
          <w:sz w:val="24"/>
        </w:rPr>
        <w:t>g</w:t>
      </w:r>
      <w:r w:rsidR="002A2496" w:rsidRPr="005557B8">
        <w:rPr>
          <w:sz w:val="24"/>
        </w:rPr>
        <w:t>ing</w:t>
      </w:r>
      <w:proofErr w:type="spellEnd"/>
      <w:r w:rsidR="002A2496" w:rsidRPr="005557B8">
        <w:rPr>
          <w:sz w:val="24"/>
        </w:rPr>
        <w:t xml:space="preserve"> Integrated Database (AGID)</w:t>
      </w:r>
      <w:r w:rsidR="005557B8" w:rsidRPr="005557B8">
        <w:t xml:space="preserve"> </w:t>
      </w:r>
      <w:hyperlink r:id="rId10" w:history="1">
        <w:r w:rsidR="005557B8" w:rsidRPr="0030039F">
          <w:rPr>
            <w:rStyle w:val="Hyperlink"/>
            <w:sz w:val="24"/>
          </w:rPr>
          <w:t>http://www.agid.acl.gov</w:t>
        </w:r>
      </w:hyperlink>
      <w:r w:rsidR="005557B8">
        <w:rPr>
          <w:sz w:val="24"/>
        </w:rPr>
        <w:t xml:space="preserve"> </w:t>
      </w:r>
      <w:r w:rsidR="00211B38">
        <w:rPr>
          <w:sz w:val="24"/>
        </w:rPr>
        <w:t xml:space="preserve">and the </w:t>
      </w:r>
      <w:r w:rsidR="00211B38" w:rsidRPr="005557B8">
        <w:rPr>
          <w:sz w:val="24"/>
        </w:rPr>
        <w:t>ACL/AoA website</w:t>
      </w:r>
      <w:r w:rsidR="00211B38">
        <w:rPr>
          <w:sz w:val="24"/>
        </w:rPr>
        <w:t xml:space="preserve">. </w:t>
      </w:r>
    </w:p>
    <w:p w:rsidR="00211B38" w:rsidRDefault="00211B38" w:rsidP="008A0828">
      <w:pPr>
        <w:ind w:left="720"/>
        <w:rPr>
          <w:sz w:val="24"/>
        </w:rPr>
      </w:pPr>
    </w:p>
    <w:p w:rsidR="008A0828" w:rsidRPr="008A0828" w:rsidRDefault="008A0828" w:rsidP="008A0828">
      <w:pPr>
        <w:ind w:left="720"/>
        <w:rPr>
          <w:sz w:val="24"/>
        </w:rPr>
      </w:pPr>
      <w:r w:rsidRPr="008A0828">
        <w:rPr>
          <w:sz w:val="24"/>
        </w:rPr>
        <w:t xml:space="preserve">Information from the national reports </w:t>
      </w:r>
      <w:r w:rsidR="0085358E">
        <w:rPr>
          <w:sz w:val="24"/>
        </w:rPr>
        <w:t>will be</w:t>
      </w:r>
      <w:r w:rsidR="000F0457">
        <w:rPr>
          <w:sz w:val="24"/>
        </w:rPr>
        <w:t xml:space="preserve"> </w:t>
      </w:r>
      <w:r w:rsidRPr="008A0828">
        <w:rPr>
          <w:sz w:val="24"/>
        </w:rPr>
        <w:t>used:</w:t>
      </w:r>
    </w:p>
    <w:p w:rsidR="008A0828" w:rsidRPr="008A0828" w:rsidRDefault="008A0828" w:rsidP="008A0828">
      <w:pPr>
        <w:ind w:left="720"/>
        <w:rPr>
          <w:sz w:val="24"/>
        </w:rPr>
      </w:pPr>
    </w:p>
    <w:p w:rsidR="00EB4486" w:rsidRPr="001632E2" w:rsidRDefault="008A0828" w:rsidP="00EB4486">
      <w:pPr>
        <w:numPr>
          <w:ilvl w:val="0"/>
          <w:numId w:val="47"/>
        </w:numPr>
        <w:rPr>
          <w:sz w:val="24"/>
        </w:rPr>
      </w:pPr>
      <w:r w:rsidRPr="00EB4486">
        <w:rPr>
          <w:sz w:val="24"/>
        </w:rPr>
        <w:t xml:space="preserve">By </w:t>
      </w:r>
      <w:proofErr w:type="spellStart"/>
      <w:r w:rsidRPr="00EB4486">
        <w:rPr>
          <w:sz w:val="24"/>
        </w:rPr>
        <w:t>AoA</w:t>
      </w:r>
      <w:proofErr w:type="spellEnd"/>
      <w:r w:rsidRPr="00EB4486">
        <w:rPr>
          <w:sz w:val="24"/>
        </w:rPr>
        <w:t xml:space="preserve"> to advocate within the Department on specific issues affecting</w:t>
      </w:r>
      <w:r w:rsidR="000F0457" w:rsidRPr="00EB4486">
        <w:rPr>
          <w:sz w:val="24"/>
        </w:rPr>
        <w:t xml:space="preserve"> persons living in long-term care facilities</w:t>
      </w:r>
      <w:r w:rsidR="00A2521B" w:rsidRPr="00EB4486">
        <w:rPr>
          <w:sz w:val="24"/>
        </w:rPr>
        <w:t>.  F</w:t>
      </w:r>
      <w:r w:rsidR="000F0457" w:rsidRPr="00EB4486">
        <w:rPr>
          <w:sz w:val="24"/>
        </w:rPr>
        <w:t>or example</w:t>
      </w:r>
      <w:r w:rsidR="00A2521B" w:rsidRPr="00EB4486">
        <w:rPr>
          <w:sz w:val="24"/>
        </w:rPr>
        <w:t>,</w:t>
      </w:r>
      <w:r w:rsidR="000F0457" w:rsidRPr="00EB4486">
        <w:rPr>
          <w:sz w:val="24"/>
        </w:rPr>
        <w:t xml:space="preserve"> in </w:t>
      </w:r>
      <w:r w:rsidR="000F0457" w:rsidRPr="005557B8">
        <w:rPr>
          <w:sz w:val="24"/>
        </w:rPr>
        <w:t xml:space="preserve">CMS’ NPRM </w:t>
      </w:r>
      <w:r w:rsidR="00A2521B" w:rsidRPr="00EB4486">
        <w:rPr>
          <w:sz w:val="24"/>
        </w:rPr>
        <w:t xml:space="preserve"> of Long-Term Care facilities</w:t>
      </w:r>
      <w:r w:rsidR="002E18E7" w:rsidRPr="00EB4486">
        <w:rPr>
          <w:sz w:val="24"/>
        </w:rPr>
        <w:t>,</w:t>
      </w:r>
      <w:r w:rsidR="00EB4486" w:rsidRPr="00EB4486">
        <w:rPr>
          <w:sz w:val="24"/>
        </w:rPr>
        <w:t xml:space="preserve">  </w:t>
      </w:r>
      <w:hyperlink r:id="rId11" w:history="1">
        <w:r w:rsidR="00774489" w:rsidRPr="00C5382D">
          <w:rPr>
            <w:rStyle w:val="Hyperlink"/>
            <w:szCs w:val="20"/>
          </w:rPr>
          <w:t>https://www.federalregister.gov/articles/2015/07/16/2015-17207/medicare-and-medicaid-programs-reform-of-requirements-for-long-term-care-facilities?utm_content=header&amp;utm_medium=slideshow&amp;utm_source=homepage</w:t>
        </w:r>
      </w:hyperlink>
    </w:p>
    <w:p w:rsidR="00DF35AD" w:rsidRPr="001632E2" w:rsidRDefault="00DF35AD" w:rsidP="005D7097">
      <w:pPr>
        <w:ind w:left="1440"/>
        <w:rPr>
          <w:sz w:val="24"/>
        </w:rPr>
      </w:pPr>
    </w:p>
    <w:p w:rsidR="00DF35AD" w:rsidRPr="00DF35AD" w:rsidRDefault="00DF35AD" w:rsidP="00EB4486">
      <w:pPr>
        <w:numPr>
          <w:ilvl w:val="0"/>
          <w:numId w:val="47"/>
        </w:numPr>
        <w:rPr>
          <w:sz w:val="24"/>
        </w:rPr>
      </w:pPr>
      <w:r w:rsidRPr="001632E2">
        <w:rPr>
          <w:sz w:val="24"/>
        </w:rPr>
        <w:t xml:space="preserve">By </w:t>
      </w:r>
      <w:proofErr w:type="spellStart"/>
      <w:r w:rsidRPr="001632E2">
        <w:rPr>
          <w:sz w:val="24"/>
        </w:rPr>
        <w:t>AoA</w:t>
      </w:r>
      <w:proofErr w:type="spellEnd"/>
      <w:r w:rsidRPr="001632E2">
        <w:rPr>
          <w:sz w:val="24"/>
        </w:rPr>
        <w:t xml:space="preserve"> as a quality assurance tool to ensure that conflicts of interest are identified and remedied</w:t>
      </w:r>
      <w:r w:rsidR="00F13869">
        <w:rPr>
          <w:sz w:val="24"/>
        </w:rPr>
        <w:t>;</w:t>
      </w:r>
    </w:p>
    <w:p w:rsidR="00774489" w:rsidRPr="00EB4486" w:rsidRDefault="00774489" w:rsidP="00774489">
      <w:pPr>
        <w:ind w:left="1440"/>
        <w:rPr>
          <w:sz w:val="24"/>
        </w:rPr>
      </w:pPr>
    </w:p>
    <w:p w:rsidR="008A0828" w:rsidRPr="008A0828" w:rsidRDefault="00A2521B" w:rsidP="00A2521B">
      <w:pPr>
        <w:numPr>
          <w:ilvl w:val="0"/>
          <w:numId w:val="47"/>
        </w:numPr>
        <w:rPr>
          <w:sz w:val="24"/>
        </w:rPr>
      </w:pPr>
      <w:r>
        <w:rPr>
          <w:sz w:val="24"/>
        </w:rPr>
        <w:t>CMS cited Ombudsman data as a factor</w:t>
      </w:r>
      <w:r w:rsidR="002E18E7">
        <w:rPr>
          <w:sz w:val="24"/>
        </w:rPr>
        <w:t xml:space="preserve"> for regulatory changes regarding resident transfer, discharge and eviction</w:t>
      </w:r>
      <w:r w:rsidRPr="00A2521B">
        <w:rPr>
          <w:sz w:val="24"/>
        </w:rPr>
        <w:t xml:space="preserve">. </w:t>
      </w:r>
      <w:r w:rsidR="008A0828" w:rsidRPr="008A0828">
        <w:rPr>
          <w:sz w:val="24"/>
        </w:rPr>
        <w:t xml:space="preserve"> </w:t>
      </w:r>
      <w:proofErr w:type="spellStart"/>
      <w:r w:rsidR="002E18E7">
        <w:rPr>
          <w:sz w:val="24"/>
        </w:rPr>
        <w:t>AoA</w:t>
      </w:r>
      <w:proofErr w:type="spellEnd"/>
      <w:r w:rsidR="002E18E7">
        <w:rPr>
          <w:sz w:val="24"/>
        </w:rPr>
        <w:t xml:space="preserve"> also uses the data to </w:t>
      </w:r>
      <w:r w:rsidR="00D9209B">
        <w:rPr>
          <w:sz w:val="24"/>
        </w:rPr>
        <w:t>identify</w:t>
      </w:r>
      <w:r w:rsidR="008A0828" w:rsidRPr="008A0828">
        <w:rPr>
          <w:sz w:val="24"/>
        </w:rPr>
        <w:t xml:space="preserve"> areas where technical assistance and program direction to the states are indicated, and</w:t>
      </w:r>
      <w:r w:rsidR="00C02ACC">
        <w:rPr>
          <w:sz w:val="24"/>
        </w:rPr>
        <w:t xml:space="preserve"> to</w:t>
      </w:r>
      <w:r w:rsidR="008A0828" w:rsidRPr="008A0828">
        <w:rPr>
          <w:sz w:val="24"/>
        </w:rPr>
        <w:t xml:space="preserve"> prepare planning and reporting documents, including budget</w:t>
      </w:r>
      <w:r w:rsidR="00C02ACC">
        <w:rPr>
          <w:sz w:val="24"/>
        </w:rPr>
        <w:t xml:space="preserve"> justification, outputs and outcomes measures and indicators</w:t>
      </w:r>
      <w:r w:rsidR="008A0828" w:rsidRPr="008A0828">
        <w:rPr>
          <w:sz w:val="24"/>
        </w:rPr>
        <w:t>;</w:t>
      </w:r>
    </w:p>
    <w:p w:rsidR="008A0828" w:rsidRPr="008A0828" w:rsidRDefault="008A0828" w:rsidP="008A0828">
      <w:pPr>
        <w:ind w:left="720"/>
        <w:rPr>
          <w:sz w:val="24"/>
        </w:rPr>
      </w:pPr>
    </w:p>
    <w:p w:rsidR="008A0828" w:rsidRPr="008A0828" w:rsidRDefault="008A0828" w:rsidP="008A0828">
      <w:pPr>
        <w:numPr>
          <w:ilvl w:val="0"/>
          <w:numId w:val="47"/>
        </w:numPr>
        <w:rPr>
          <w:sz w:val="24"/>
        </w:rPr>
      </w:pPr>
      <w:r w:rsidRPr="008A0828">
        <w:rPr>
          <w:sz w:val="24"/>
        </w:rPr>
        <w:t xml:space="preserve">By state and area-level managers of aging programs to compare operation of their </w:t>
      </w:r>
      <w:r w:rsidRPr="008A0828">
        <w:rPr>
          <w:sz w:val="24"/>
        </w:rPr>
        <w:lastRenderedPageBreak/>
        <w:t>ombudsman programs with those in other states and make changes which may be needed as a result of the comparison;</w:t>
      </w:r>
    </w:p>
    <w:p w:rsidR="008A0828" w:rsidRPr="008A0828" w:rsidRDefault="008A0828" w:rsidP="008A0828">
      <w:pPr>
        <w:ind w:left="1080"/>
        <w:rPr>
          <w:sz w:val="24"/>
        </w:rPr>
      </w:pPr>
    </w:p>
    <w:p w:rsidR="008A0828" w:rsidRPr="008A0828" w:rsidRDefault="008A0828" w:rsidP="008A0828">
      <w:pPr>
        <w:numPr>
          <w:ilvl w:val="0"/>
          <w:numId w:val="47"/>
        </w:numPr>
        <w:rPr>
          <w:sz w:val="24"/>
        </w:rPr>
      </w:pPr>
      <w:r w:rsidRPr="008A0828">
        <w:rPr>
          <w:sz w:val="24"/>
        </w:rPr>
        <w:t xml:space="preserve">By state and local </w:t>
      </w:r>
      <w:r w:rsidR="00945946">
        <w:rPr>
          <w:sz w:val="24"/>
        </w:rPr>
        <w:t>O</w:t>
      </w:r>
      <w:r w:rsidRPr="008A0828">
        <w:rPr>
          <w:sz w:val="24"/>
        </w:rPr>
        <w:t>mbudsmen to determine problems</w:t>
      </w:r>
      <w:r w:rsidR="00D9209B">
        <w:rPr>
          <w:sz w:val="24"/>
        </w:rPr>
        <w:t xml:space="preserve"> that</w:t>
      </w:r>
      <w:r w:rsidRPr="008A0828">
        <w:rPr>
          <w:sz w:val="24"/>
        </w:rPr>
        <w:t xml:space="preserve"> residents </w:t>
      </w:r>
      <w:r w:rsidR="00C02ACC">
        <w:rPr>
          <w:sz w:val="24"/>
        </w:rPr>
        <w:t xml:space="preserve"> experience  in order to </w:t>
      </w:r>
      <w:r w:rsidRPr="008A0828">
        <w:rPr>
          <w:sz w:val="24"/>
        </w:rPr>
        <w:t>plan training, technical assistance and public education programs to address these problems; and</w:t>
      </w:r>
    </w:p>
    <w:p w:rsidR="008A0828" w:rsidRPr="008A0828" w:rsidRDefault="008A0828" w:rsidP="008A0828">
      <w:pPr>
        <w:ind w:left="720"/>
        <w:rPr>
          <w:sz w:val="24"/>
        </w:rPr>
      </w:pPr>
    </w:p>
    <w:p w:rsidR="004D139B" w:rsidRDefault="008A0828" w:rsidP="004D139B">
      <w:pPr>
        <w:numPr>
          <w:ilvl w:val="0"/>
          <w:numId w:val="47"/>
        </w:numPr>
        <w:rPr>
          <w:sz w:val="24"/>
        </w:rPr>
      </w:pPr>
      <w:r w:rsidRPr="008A0828">
        <w:rPr>
          <w:sz w:val="24"/>
        </w:rPr>
        <w:t xml:space="preserve">By </w:t>
      </w:r>
      <w:r w:rsidR="006C1201">
        <w:rPr>
          <w:sz w:val="24"/>
        </w:rPr>
        <w:t xml:space="preserve">other agencies, </w:t>
      </w:r>
      <w:r w:rsidRPr="008A0828">
        <w:rPr>
          <w:sz w:val="24"/>
        </w:rPr>
        <w:t xml:space="preserve">researchers and the general public in all manner of inquiry </w:t>
      </w:r>
      <w:r w:rsidR="004D139B">
        <w:rPr>
          <w:sz w:val="24"/>
        </w:rPr>
        <w:t>related to</w:t>
      </w:r>
      <w:r w:rsidR="00C02ACC">
        <w:rPr>
          <w:sz w:val="24"/>
        </w:rPr>
        <w:t xml:space="preserve"> residential</w:t>
      </w:r>
      <w:r w:rsidRPr="008A0828">
        <w:rPr>
          <w:sz w:val="24"/>
        </w:rPr>
        <w:t xml:space="preserve"> long</w:t>
      </w:r>
      <w:r w:rsidR="00C02ACC">
        <w:rPr>
          <w:sz w:val="24"/>
        </w:rPr>
        <w:t>-</w:t>
      </w:r>
      <w:r w:rsidR="00C02ACC" w:rsidRPr="008A0828">
        <w:rPr>
          <w:sz w:val="24"/>
        </w:rPr>
        <w:t>term</w:t>
      </w:r>
      <w:r w:rsidR="00C02ACC">
        <w:rPr>
          <w:sz w:val="24"/>
        </w:rPr>
        <w:t xml:space="preserve"> services and supports</w:t>
      </w:r>
      <w:r w:rsidRPr="008A0828">
        <w:rPr>
          <w:sz w:val="24"/>
        </w:rPr>
        <w:t>.</w:t>
      </w:r>
    </w:p>
    <w:p w:rsidR="004D139B" w:rsidRDefault="004D139B" w:rsidP="004D139B">
      <w:pPr>
        <w:pStyle w:val="ListParagraph"/>
        <w:rPr>
          <w:sz w:val="24"/>
        </w:rPr>
      </w:pPr>
    </w:p>
    <w:p w:rsidR="008A0828" w:rsidRDefault="008A0828" w:rsidP="004D139B">
      <w:pPr>
        <w:numPr>
          <w:ilvl w:val="0"/>
          <w:numId w:val="47"/>
        </w:numPr>
        <w:rPr>
          <w:sz w:val="24"/>
        </w:rPr>
      </w:pPr>
      <w:r w:rsidRPr="004D139B">
        <w:rPr>
          <w:sz w:val="24"/>
        </w:rPr>
        <w:t xml:space="preserve">By states and local </w:t>
      </w:r>
      <w:r w:rsidR="00945946" w:rsidRPr="004D139B">
        <w:rPr>
          <w:sz w:val="24"/>
        </w:rPr>
        <w:t>O</w:t>
      </w:r>
      <w:r w:rsidRPr="004D139B">
        <w:rPr>
          <w:sz w:val="24"/>
        </w:rPr>
        <w:t xml:space="preserve">mbudsman </w:t>
      </w:r>
      <w:r w:rsidR="00C02ACC" w:rsidRPr="004D139B">
        <w:rPr>
          <w:sz w:val="24"/>
        </w:rPr>
        <w:t xml:space="preserve"> entities </w:t>
      </w:r>
      <w:r w:rsidRPr="004D139B">
        <w:rPr>
          <w:sz w:val="24"/>
        </w:rPr>
        <w:t xml:space="preserve">to determine program objectives and outcome measures </w:t>
      </w:r>
    </w:p>
    <w:p w:rsidR="004D139B" w:rsidRDefault="004D139B" w:rsidP="004D139B">
      <w:pPr>
        <w:pStyle w:val="ListParagraph"/>
        <w:rPr>
          <w:sz w:val="24"/>
        </w:rPr>
      </w:pPr>
    </w:p>
    <w:p w:rsidR="004D139B" w:rsidRPr="004D139B" w:rsidRDefault="004D139B" w:rsidP="004D139B">
      <w:pPr>
        <w:rPr>
          <w:sz w:val="24"/>
        </w:rPr>
      </w:pPr>
    </w:p>
    <w:p w:rsidR="006819CF" w:rsidRPr="006C1201" w:rsidRDefault="006819CF">
      <w:pPr>
        <w:numPr>
          <w:ilvl w:val="0"/>
          <w:numId w:val="2"/>
        </w:numPr>
        <w:rPr>
          <w:sz w:val="24"/>
        </w:rPr>
      </w:pPr>
      <w:r>
        <w:rPr>
          <w:b/>
          <w:sz w:val="24"/>
          <w:u w:val="single"/>
        </w:rPr>
        <w:t>Use of Improved Information Technology and Burden Reduction</w:t>
      </w:r>
    </w:p>
    <w:p w:rsidR="006C1201" w:rsidRDefault="006C1201" w:rsidP="006C1201">
      <w:pPr>
        <w:ind w:left="720"/>
        <w:rPr>
          <w:sz w:val="24"/>
        </w:rPr>
      </w:pPr>
    </w:p>
    <w:p w:rsidR="00703C09" w:rsidRDefault="00703C09" w:rsidP="006C1201">
      <w:pPr>
        <w:widowControl/>
        <w:ind w:left="720"/>
        <w:rPr>
          <w:sz w:val="24"/>
        </w:rPr>
      </w:pPr>
      <w:r w:rsidRPr="00703C09">
        <w:rPr>
          <w:sz w:val="24"/>
        </w:rPr>
        <w:t xml:space="preserve">Beginning in 2008 states were required to submit their annual Ombudsman reports to </w:t>
      </w:r>
      <w:proofErr w:type="spellStart"/>
      <w:r w:rsidRPr="00703C09">
        <w:rPr>
          <w:sz w:val="24"/>
        </w:rPr>
        <w:t>AoA</w:t>
      </w:r>
      <w:proofErr w:type="spellEnd"/>
      <w:r w:rsidRPr="00703C09">
        <w:rPr>
          <w:sz w:val="24"/>
        </w:rPr>
        <w:t xml:space="preserve"> on a computer version of the NORS form, the Ombudsman Reporting Tool (ORT), a software program developed by Harmony Information Systems, Inc. under contract with ACL/</w:t>
      </w:r>
      <w:proofErr w:type="spellStart"/>
      <w:r w:rsidRPr="00703C09">
        <w:rPr>
          <w:sz w:val="24"/>
        </w:rPr>
        <w:t>AoA</w:t>
      </w:r>
      <w:proofErr w:type="spellEnd"/>
      <w:r w:rsidR="004D139B">
        <w:rPr>
          <w:sz w:val="24"/>
        </w:rPr>
        <w:t>.</w:t>
      </w:r>
    </w:p>
    <w:p w:rsidR="00703C09" w:rsidRDefault="00703C09" w:rsidP="006C1201">
      <w:pPr>
        <w:widowControl/>
        <w:ind w:left="720"/>
        <w:rPr>
          <w:sz w:val="24"/>
        </w:rPr>
      </w:pPr>
    </w:p>
    <w:p w:rsidR="006C1201" w:rsidRPr="006C1201" w:rsidRDefault="00703C09" w:rsidP="006C1201">
      <w:pPr>
        <w:widowControl/>
        <w:ind w:left="720"/>
        <w:rPr>
          <w:sz w:val="24"/>
        </w:rPr>
      </w:pPr>
      <w:r>
        <w:rPr>
          <w:sz w:val="24"/>
        </w:rPr>
        <w:t>A</w:t>
      </w:r>
      <w:r w:rsidR="004D139B">
        <w:rPr>
          <w:sz w:val="24"/>
        </w:rPr>
        <w:t>ll state ombudsman programs</w:t>
      </w:r>
      <w:r>
        <w:rPr>
          <w:sz w:val="24"/>
        </w:rPr>
        <w:t xml:space="preserve"> use </w:t>
      </w:r>
      <w:r w:rsidR="002A2496" w:rsidRPr="006C1201">
        <w:rPr>
          <w:sz w:val="24"/>
        </w:rPr>
        <w:t xml:space="preserve">software </w:t>
      </w:r>
      <w:r w:rsidR="002A2496">
        <w:rPr>
          <w:sz w:val="24"/>
        </w:rPr>
        <w:t>to</w:t>
      </w:r>
      <w:r w:rsidR="006C1201" w:rsidRPr="006C1201">
        <w:rPr>
          <w:sz w:val="24"/>
        </w:rPr>
        <w:t xml:space="preserve"> collect their case, complaint and program information from the local ombudsman programs, and</w:t>
      </w:r>
      <w:r w:rsidR="002E18E7">
        <w:rPr>
          <w:sz w:val="24"/>
        </w:rPr>
        <w:t xml:space="preserve"> two-thirds </w:t>
      </w:r>
      <w:r w:rsidR="006C1201" w:rsidRPr="006C1201">
        <w:rPr>
          <w:sz w:val="24"/>
        </w:rPr>
        <w:t xml:space="preserve">of the states </w:t>
      </w:r>
      <w:r>
        <w:rPr>
          <w:sz w:val="24"/>
        </w:rPr>
        <w:t xml:space="preserve">use </w:t>
      </w:r>
      <w:proofErr w:type="spellStart"/>
      <w:r w:rsidR="00B04F57" w:rsidRPr="006C1201">
        <w:rPr>
          <w:sz w:val="24"/>
        </w:rPr>
        <w:t>Ombudsmanager</w:t>
      </w:r>
      <w:proofErr w:type="spellEnd"/>
      <w:r w:rsidR="006C1201" w:rsidRPr="006C1201">
        <w:rPr>
          <w:sz w:val="24"/>
        </w:rPr>
        <w:t>.  This and other</w:t>
      </w:r>
      <w:r w:rsidR="002A2496">
        <w:rPr>
          <w:sz w:val="24"/>
        </w:rPr>
        <w:t xml:space="preserve"> software</w:t>
      </w:r>
      <w:r w:rsidR="006C1201" w:rsidRPr="006C1201">
        <w:rPr>
          <w:sz w:val="24"/>
        </w:rPr>
        <w:t xml:space="preserve"> programs enable states to collect state-specific data, in addition to the data they collect for their NORS reports</w:t>
      </w:r>
      <w:r>
        <w:rPr>
          <w:sz w:val="24"/>
        </w:rPr>
        <w:t>,</w:t>
      </w:r>
      <w:r w:rsidR="006C1201" w:rsidRPr="006C1201">
        <w:rPr>
          <w:sz w:val="24"/>
        </w:rPr>
        <w:t xml:space="preserve"> to more efficiently manage their ombudsman  programs</w:t>
      </w:r>
      <w:r>
        <w:rPr>
          <w:sz w:val="24"/>
        </w:rPr>
        <w:t xml:space="preserve"> and to readily transmit  their  data  to the ORT</w:t>
      </w:r>
      <w:r w:rsidR="006C1201" w:rsidRPr="006C1201">
        <w:rPr>
          <w:sz w:val="24"/>
        </w:rPr>
        <w:t xml:space="preserve">. </w:t>
      </w:r>
    </w:p>
    <w:p w:rsidR="006819CF" w:rsidRDefault="006C1201" w:rsidP="00774489">
      <w:pPr>
        <w:widowControl/>
        <w:ind w:left="720"/>
        <w:rPr>
          <w:sz w:val="24"/>
        </w:rPr>
      </w:pPr>
      <w:r w:rsidRPr="006C1201">
        <w:rPr>
          <w:sz w:val="24"/>
        </w:rPr>
        <w:t xml:space="preserve"> </w:t>
      </w:r>
    </w:p>
    <w:p w:rsidR="006819CF" w:rsidRDefault="006819CF">
      <w:pPr>
        <w:numPr>
          <w:ilvl w:val="0"/>
          <w:numId w:val="2"/>
        </w:numPr>
        <w:rPr>
          <w:b/>
          <w:sz w:val="24"/>
        </w:rPr>
      </w:pPr>
      <w:r>
        <w:rPr>
          <w:b/>
          <w:sz w:val="24"/>
          <w:u w:val="single"/>
        </w:rPr>
        <w:t>Efforts to  Identify Duplication and Use of Similar Information</w:t>
      </w:r>
    </w:p>
    <w:p w:rsidR="006819CF" w:rsidRDefault="006819CF">
      <w:pPr>
        <w:ind w:left="720"/>
        <w:rPr>
          <w:b/>
          <w:sz w:val="24"/>
        </w:rPr>
      </w:pPr>
    </w:p>
    <w:p w:rsidR="006C1201" w:rsidRPr="006C1201" w:rsidRDefault="006C1201" w:rsidP="006C1201">
      <w:pPr>
        <w:ind w:left="720"/>
        <w:rPr>
          <w:sz w:val="24"/>
        </w:rPr>
      </w:pPr>
      <w:r w:rsidRPr="006C1201">
        <w:rPr>
          <w:sz w:val="24"/>
        </w:rPr>
        <w:t>All information in the ombudsman report is unique to the Ombudsman Program except for the numbers of long term care facilities and beds in the state.</w:t>
      </w:r>
    </w:p>
    <w:p w:rsidR="006C1201" w:rsidRPr="006C1201" w:rsidRDefault="006C1201" w:rsidP="006C1201">
      <w:pPr>
        <w:ind w:left="720"/>
        <w:rPr>
          <w:sz w:val="24"/>
        </w:rPr>
      </w:pPr>
    </w:p>
    <w:p w:rsidR="006C1201" w:rsidRPr="006C1201" w:rsidRDefault="006C1201" w:rsidP="006C1201">
      <w:pPr>
        <w:ind w:left="720"/>
        <w:rPr>
          <w:sz w:val="24"/>
        </w:rPr>
      </w:pPr>
      <w:r w:rsidRPr="006C1201">
        <w:rPr>
          <w:sz w:val="24"/>
        </w:rPr>
        <w:t>Per OMB instructions in</w:t>
      </w:r>
      <w:r w:rsidR="007F5D8F">
        <w:rPr>
          <w:sz w:val="24"/>
        </w:rPr>
        <w:t xml:space="preserve"> FFY </w:t>
      </w:r>
      <w:r w:rsidRPr="006C1201">
        <w:rPr>
          <w:sz w:val="24"/>
        </w:rPr>
        <w:t>1995, states are not required to provide the number of nursing facilities certified by Medicare and Medicaid because this information is available from the Centers for Medicare and Medicaid Services.</w:t>
      </w:r>
      <w:r w:rsidR="00121A87">
        <w:rPr>
          <w:sz w:val="24"/>
        </w:rPr>
        <w:t xml:space="preserve"> </w:t>
      </w:r>
      <w:r w:rsidR="00CB66C5">
        <w:rPr>
          <w:sz w:val="24"/>
        </w:rPr>
        <w:t xml:space="preserve"> </w:t>
      </w:r>
      <w:r w:rsidR="0069675F">
        <w:rPr>
          <w:sz w:val="24"/>
        </w:rPr>
        <w:t xml:space="preserve">While some </w:t>
      </w:r>
      <w:r w:rsidR="0069675F" w:rsidRPr="006C1201">
        <w:rPr>
          <w:sz w:val="24"/>
        </w:rPr>
        <w:t>studies</w:t>
      </w:r>
      <w:r w:rsidRPr="006C1201">
        <w:rPr>
          <w:sz w:val="24"/>
        </w:rPr>
        <w:t xml:space="preserve"> have provided estimates on the number of board and care and similar facilities and beds, the annual </w:t>
      </w:r>
      <w:proofErr w:type="spellStart"/>
      <w:r w:rsidRPr="006C1201">
        <w:rPr>
          <w:sz w:val="24"/>
        </w:rPr>
        <w:t>AoA</w:t>
      </w:r>
      <w:proofErr w:type="spellEnd"/>
      <w:r w:rsidRPr="006C1201">
        <w:rPr>
          <w:sz w:val="24"/>
        </w:rPr>
        <w:t xml:space="preserve"> ombudsman report, based on the state reports, provides the only consistent national data on the number of homes and beds classified as board and care or similar adult care homes, including assisted living.</w:t>
      </w:r>
    </w:p>
    <w:p w:rsidR="006C1201" w:rsidRPr="006C1201" w:rsidRDefault="006C1201" w:rsidP="006C1201">
      <w:pPr>
        <w:ind w:left="720"/>
        <w:rPr>
          <w:sz w:val="24"/>
        </w:rPr>
      </w:pPr>
    </w:p>
    <w:p w:rsidR="006C1201" w:rsidRPr="006C1201" w:rsidRDefault="006C1201" w:rsidP="006C1201">
      <w:pPr>
        <w:ind w:left="720"/>
        <w:rPr>
          <w:sz w:val="24"/>
        </w:rPr>
      </w:pPr>
      <w:r w:rsidRPr="006C1201">
        <w:rPr>
          <w:sz w:val="24"/>
        </w:rPr>
        <w:t>If the names and descriptions of types of board and care and similar facilities covered by their programs have not changed since the previous annual ombudsman report, states are instructed to write "no change since previous report</w:t>
      </w:r>
      <w:r w:rsidR="00211B38">
        <w:rPr>
          <w:sz w:val="24"/>
        </w:rPr>
        <w:t xml:space="preserve">. </w:t>
      </w:r>
      <w:r w:rsidRPr="006C1201">
        <w:rPr>
          <w:sz w:val="24"/>
        </w:rPr>
        <w:t xml:space="preserve"> </w:t>
      </w:r>
    </w:p>
    <w:p w:rsidR="006819CF" w:rsidRDefault="006819CF">
      <w:pPr>
        <w:ind w:left="1008"/>
        <w:rPr>
          <w:sz w:val="24"/>
        </w:rPr>
      </w:pPr>
    </w:p>
    <w:p w:rsidR="006819CF" w:rsidRDefault="006819CF">
      <w:pPr>
        <w:numPr>
          <w:ilvl w:val="0"/>
          <w:numId w:val="2"/>
        </w:numPr>
        <w:rPr>
          <w:color w:val="000000"/>
          <w:sz w:val="24"/>
        </w:rPr>
      </w:pPr>
      <w:r>
        <w:rPr>
          <w:b/>
          <w:sz w:val="24"/>
          <w:u w:val="single"/>
        </w:rPr>
        <w:lastRenderedPageBreak/>
        <w:t>Impact on Small Businesses or Other Small Entities</w:t>
      </w:r>
    </w:p>
    <w:p w:rsidR="006819CF" w:rsidRDefault="006819CF">
      <w:pPr>
        <w:ind w:left="720"/>
        <w:rPr>
          <w:color w:val="000000"/>
          <w:sz w:val="24"/>
        </w:rPr>
      </w:pPr>
    </w:p>
    <w:p w:rsidR="006819CF" w:rsidRDefault="006C1201">
      <w:pPr>
        <w:ind w:left="360"/>
        <w:rPr>
          <w:color w:val="000000"/>
          <w:sz w:val="24"/>
        </w:rPr>
      </w:pPr>
      <w:r w:rsidRPr="006C1201">
        <w:rPr>
          <w:color w:val="000000"/>
          <w:sz w:val="24"/>
        </w:rPr>
        <w:tab/>
        <w:t>No small businesses will be involved in this study.</w:t>
      </w:r>
    </w:p>
    <w:p w:rsidR="006C1201" w:rsidRPr="006C1201" w:rsidRDefault="006C1201">
      <w:pPr>
        <w:ind w:left="360"/>
        <w:rPr>
          <w:sz w:val="24"/>
        </w:rPr>
      </w:pPr>
    </w:p>
    <w:p w:rsidR="006819CF" w:rsidRDefault="006819CF">
      <w:pPr>
        <w:numPr>
          <w:ilvl w:val="0"/>
          <w:numId w:val="2"/>
        </w:numPr>
        <w:rPr>
          <w:b/>
          <w:sz w:val="24"/>
        </w:rPr>
      </w:pPr>
      <w:r>
        <w:rPr>
          <w:b/>
          <w:sz w:val="24"/>
          <w:u w:val="single"/>
        </w:rPr>
        <w:t>Consequences of Collecting the Information Less Frequent Collection</w:t>
      </w:r>
    </w:p>
    <w:p w:rsidR="006819CF" w:rsidRDefault="006819CF">
      <w:pPr>
        <w:ind w:left="720"/>
        <w:rPr>
          <w:b/>
          <w:sz w:val="24"/>
        </w:rPr>
      </w:pPr>
    </w:p>
    <w:p w:rsidR="006C1201" w:rsidRPr="006C1201" w:rsidRDefault="006C1201" w:rsidP="006C1201">
      <w:pPr>
        <w:ind w:left="720"/>
        <w:rPr>
          <w:sz w:val="24"/>
        </w:rPr>
      </w:pPr>
      <w:r w:rsidRPr="006C1201">
        <w:rPr>
          <w:sz w:val="24"/>
        </w:rPr>
        <w:t xml:space="preserve">If collection were less frequent than annual, neither the states nor </w:t>
      </w:r>
      <w:proofErr w:type="spellStart"/>
      <w:r w:rsidRPr="006C1201">
        <w:rPr>
          <w:sz w:val="24"/>
        </w:rPr>
        <w:t>AoA</w:t>
      </w:r>
      <w:proofErr w:type="spellEnd"/>
      <w:r w:rsidRPr="006C1201">
        <w:rPr>
          <w:sz w:val="24"/>
        </w:rPr>
        <w:t xml:space="preserve"> would be able to meet reporting requirements in the OAA; and both advocacy and program management functions dependent on the information in the NORS would suffer from lack of current data.</w:t>
      </w:r>
    </w:p>
    <w:p w:rsidR="006819CF" w:rsidRDefault="006819CF">
      <w:pPr>
        <w:ind w:left="1080"/>
        <w:rPr>
          <w:sz w:val="24"/>
        </w:rPr>
      </w:pPr>
      <w:r>
        <w:rPr>
          <w:sz w:val="24"/>
        </w:rPr>
        <w:tab/>
      </w:r>
    </w:p>
    <w:p w:rsidR="006819CF" w:rsidRDefault="006819CF">
      <w:pPr>
        <w:numPr>
          <w:ilvl w:val="0"/>
          <w:numId w:val="2"/>
        </w:numPr>
        <w:rPr>
          <w:b/>
          <w:sz w:val="24"/>
        </w:rPr>
      </w:pPr>
      <w:r>
        <w:rPr>
          <w:b/>
          <w:sz w:val="24"/>
          <w:u w:val="single"/>
        </w:rPr>
        <w:t>Special Circumstances Relating to the Guidelines of 5 CFR 1320.5</w:t>
      </w:r>
    </w:p>
    <w:p w:rsidR="00FB485C" w:rsidRDefault="00FB485C" w:rsidP="00FB485C">
      <w:pPr>
        <w:ind w:left="360"/>
        <w:rPr>
          <w:sz w:val="24"/>
        </w:rPr>
      </w:pPr>
    </w:p>
    <w:p w:rsidR="00FB485C" w:rsidRPr="00FB485C" w:rsidRDefault="00FB485C" w:rsidP="00FB485C">
      <w:pPr>
        <w:ind w:left="360"/>
        <w:rPr>
          <w:sz w:val="24"/>
        </w:rPr>
      </w:pPr>
      <w:r>
        <w:rPr>
          <w:sz w:val="24"/>
        </w:rPr>
        <w:tab/>
      </w:r>
      <w:r w:rsidRPr="00FB485C">
        <w:rPr>
          <w:sz w:val="24"/>
        </w:rPr>
        <w:t>None of the listed circumstances applies to this submission.</w:t>
      </w:r>
    </w:p>
    <w:p w:rsidR="006819CF" w:rsidRDefault="006819CF">
      <w:pPr>
        <w:ind w:left="360"/>
        <w:rPr>
          <w:sz w:val="24"/>
        </w:rPr>
      </w:pPr>
    </w:p>
    <w:p w:rsidR="006819CF" w:rsidRDefault="006819CF">
      <w:pPr>
        <w:numPr>
          <w:ilvl w:val="0"/>
          <w:numId w:val="2"/>
        </w:numPr>
        <w:rPr>
          <w:b/>
          <w:sz w:val="24"/>
        </w:rPr>
      </w:pPr>
      <w:r>
        <w:rPr>
          <w:b/>
          <w:iCs/>
          <w:sz w:val="24"/>
          <w:u w:val="single"/>
        </w:rPr>
        <w:t>Comments in Response to the Federal Register</w:t>
      </w:r>
      <w:r>
        <w:rPr>
          <w:b/>
          <w:sz w:val="24"/>
          <w:u w:val="single"/>
        </w:rPr>
        <w:t xml:space="preserve"> Notice/Outside Consultation</w:t>
      </w:r>
    </w:p>
    <w:p w:rsidR="006819CF" w:rsidRPr="00DC736D" w:rsidRDefault="006819CF" w:rsidP="00DC736D">
      <w:pPr>
        <w:ind w:left="720"/>
        <w:jc w:val="both"/>
        <w:rPr>
          <w:b/>
          <w:sz w:val="24"/>
        </w:rPr>
      </w:pPr>
    </w:p>
    <w:p w:rsidR="008A2B20" w:rsidRDefault="008A2B20" w:rsidP="008A2B20">
      <w:pPr>
        <w:ind w:left="720"/>
        <w:rPr>
          <w:sz w:val="24"/>
        </w:rPr>
      </w:pPr>
      <w:r w:rsidRPr="008A2B20">
        <w:rPr>
          <w:sz w:val="24"/>
        </w:rPr>
        <w:t xml:space="preserve">A notice was published in  Federal Register / Vol. 81, No. 126 / Thursday, June 30, 2016 Notices, Pages  42712-42713  announcing that </w:t>
      </w:r>
      <w:proofErr w:type="spellStart"/>
      <w:r w:rsidRPr="008A2B20">
        <w:rPr>
          <w:sz w:val="24"/>
        </w:rPr>
        <w:t>AoA</w:t>
      </w:r>
      <w:proofErr w:type="spellEnd"/>
      <w:r w:rsidRPr="008A2B20">
        <w:rPr>
          <w:sz w:val="24"/>
        </w:rPr>
        <w:t xml:space="preserve"> was requesting  modification  of the current form and instructions  to incorporate conflict of </w:t>
      </w:r>
      <w:r>
        <w:rPr>
          <w:sz w:val="24"/>
        </w:rPr>
        <w:t>interest reporting requirements</w:t>
      </w:r>
      <w:r w:rsidRPr="008A2B20">
        <w:rPr>
          <w:sz w:val="24"/>
        </w:rPr>
        <w:t xml:space="preserve">, directing readers to the </w:t>
      </w:r>
      <w:proofErr w:type="spellStart"/>
      <w:r w:rsidRPr="008A2B20">
        <w:rPr>
          <w:sz w:val="24"/>
        </w:rPr>
        <w:t>AoA</w:t>
      </w:r>
      <w:proofErr w:type="spellEnd"/>
      <w:r w:rsidRPr="008A2B20">
        <w:rPr>
          <w:sz w:val="24"/>
        </w:rPr>
        <w:t xml:space="preserve"> website where these documents are posted and providing an opportunity for public comment.  One comment was received by the National Association of Ombudsman Programs (NASOP). </w:t>
      </w:r>
    </w:p>
    <w:p w:rsidR="008A2B20" w:rsidRDefault="008A2B20" w:rsidP="008A2B20">
      <w:pPr>
        <w:ind w:left="720"/>
        <w:rPr>
          <w:sz w:val="24"/>
        </w:rPr>
      </w:pPr>
    </w:p>
    <w:p w:rsidR="008A2B20" w:rsidRPr="008A2B20" w:rsidRDefault="008A2B20" w:rsidP="008A2B20">
      <w:pPr>
        <w:ind w:left="720"/>
        <w:rPr>
          <w:sz w:val="24"/>
        </w:rPr>
      </w:pPr>
      <w:r w:rsidRPr="008A2B20">
        <w:rPr>
          <w:sz w:val="24"/>
        </w:rPr>
        <w:t xml:space="preserve"> NASOP members disagreed with the burden estimate by </w:t>
      </w:r>
      <w:proofErr w:type="spellStart"/>
      <w:r w:rsidRPr="008A2B20">
        <w:rPr>
          <w:sz w:val="24"/>
        </w:rPr>
        <w:t>AoA</w:t>
      </w:r>
      <w:proofErr w:type="spellEnd"/>
      <w:r w:rsidRPr="008A2B20">
        <w:rPr>
          <w:sz w:val="24"/>
        </w:rPr>
        <w:t xml:space="preserve"> stating: </w:t>
      </w:r>
    </w:p>
    <w:p w:rsidR="008A2B20" w:rsidRPr="008A2B20" w:rsidRDefault="008A2B20" w:rsidP="008A2B20">
      <w:pPr>
        <w:ind w:left="720"/>
        <w:rPr>
          <w:i/>
          <w:sz w:val="24"/>
        </w:rPr>
      </w:pPr>
      <w:r w:rsidRPr="008A2B20">
        <w:rPr>
          <w:i/>
          <w:sz w:val="24"/>
        </w:rPr>
        <w:t>Because an overwhelming majority of state long-term care ombudsman programs designate local ombudsman entities, those circumstances lead to a greater likelihood of organizational conflicts of interest.  The burden is compounded by the number of local ombudsman entities within a state and will have multiple sources of reporting organizational conflicts at local or regional levels up to the states before states can report via NORS. Further, because approximately half of state long-term care ombudsman programs are housed within an umbrella agency, this also increases the likelihood that state programs have multiple organizational conflicts that must be identified, remedied or removed, and reported via NORS.</w:t>
      </w:r>
    </w:p>
    <w:p w:rsidR="008A2B20" w:rsidRPr="008A2B20" w:rsidRDefault="008A2B20" w:rsidP="008A2B20">
      <w:pPr>
        <w:ind w:left="720"/>
        <w:rPr>
          <w:i/>
          <w:sz w:val="24"/>
        </w:rPr>
      </w:pPr>
    </w:p>
    <w:p w:rsidR="008A2B20" w:rsidRPr="008A2B20" w:rsidRDefault="008A2B20" w:rsidP="008A2B20">
      <w:pPr>
        <w:ind w:left="720"/>
        <w:rPr>
          <w:sz w:val="24"/>
        </w:rPr>
      </w:pPr>
      <w:r w:rsidRPr="008A2B20">
        <w:rPr>
          <w:sz w:val="24"/>
        </w:rPr>
        <w:t xml:space="preserve">NASOP also requested additions to the instructions such as the ability to certify that there was no change in conflicts/remedies form the previous reporting year; and to allow for the ability to report a conflict and remedy that applies to many entities as on reporting entry.  These suggestions were helpful and were incorporated into the instructions. </w:t>
      </w:r>
    </w:p>
    <w:p w:rsidR="008A2B20" w:rsidRPr="008A2B20" w:rsidRDefault="008A2B20" w:rsidP="008A2B20">
      <w:pPr>
        <w:ind w:left="720"/>
        <w:rPr>
          <w:sz w:val="24"/>
        </w:rPr>
      </w:pPr>
    </w:p>
    <w:p w:rsidR="008A2B20" w:rsidRDefault="008A2B20" w:rsidP="008A2B20">
      <w:pPr>
        <w:ind w:left="720"/>
        <w:rPr>
          <w:sz w:val="24"/>
        </w:rPr>
      </w:pPr>
      <w:r w:rsidRPr="008A2B20">
        <w:rPr>
          <w:sz w:val="24"/>
        </w:rPr>
        <w:t xml:space="preserve">NASOP also recommended that </w:t>
      </w:r>
      <w:proofErr w:type="spellStart"/>
      <w:r w:rsidRPr="008A2B20">
        <w:rPr>
          <w:sz w:val="24"/>
        </w:rPr>
        <w:t>AoA</w:t>
      </w:r>
      <w:proofErr w:type="spellEnd"/>
      <w:r w:rsidRPr="008A2B20">
        <w:rPr>
          <w:sz w:val="24"/>
        </w:rPr>
        <w:t xml:space="preserve">/ACL add a reporting option in a check box to indicate a state has identified a conflict, but the conflict has not been remedied.  We do not intend to take this recommendation because it would be contrary to the rule and law.  ACL is providing on-going technical assistance to states on implementation of the Ombudsman program rule, including technical assistance on conflicts of interest and </w:t>
      </w:r>
      <w:r w:rsidRPr="008A2B20">
        <w:rPr>
          <w:sz w:val="24"/>
        </w:rPr>
        <w:lastRenderedPageBreak/>
        <w:t>steps to remedy any identified conflicts.</w:t>
      </w:r>
    </w:p>
    <w:p w:rsidR="008A2B20" w:rsidRDefault="008A2B20" w:rsidP="008A2B20">
      <w:pPr>
        <w:ind w:left="720"/>
        <w:rPr>
          <w:sz w:val="24"/>
        </w:rPr>
      </w:pPr>
    </w:p>
    <w:p w:rsidR="00A07EE5" w:rsidRPr="00A07EE5" w:rsidRDefault="006819CF">
      <w:pPr>
        <w:numPr>
          <w:ilvl w:val="0"/>
          <w:numId w:val="2"/>
        </w:numPr>
        <w:rPr>
          <w:b/>
          <w:sz w:val="24"/>
        </w:rPr>
      </w:pPr>
      <w:r>
        <w:rPr>
          <w:b/>
          <w:sz w:val="24"/>
          <w:u w:val="single"/>
        </w:rPr>
        <w:t>Explanation of any Payment/Gift to Respondents</w:t>
      </w:r>
      <w:r w:rsidR="00FB485C">
        <w:rPr>
          <w:b/>
          <w:sz w:val="24"/>
          <w:u w:val="single"/>
        </w:rPr>
        <w:t xml:space="preserve"> </w:t>
      </w:r>
    </w:p>
    <w:p w:rsidR="00A07EE5" w:rsidRDefault="00A07EE5" w:rsidP="00A07EE5">
      <w:pPr>
        <w:ind w:left="720"/>
        <w:rPr>
          <w:b/>
          <w:sz w:val="24"/>
        </w:rPr>
      </w:pPr>
    </w:p>
    <w:p w:rsidR="006819CF" w:rsidRPr="00A07EE5" w:rsidRDefault="00A07EE5" w:rsidP="00A07EE5">
      <w:pPr>
        <w:ind w:left="720"/>
        <w:rPr>
          <w:b/>
          <w:sz w:val="24"/>
        </w:rPr>
      </w:pPr>
      <w:r>
        <w:rPr>
          <w:sz w:val="24"/>
        </w:rPr>
        <w:t>N</w:t>
      </w:r>
      <w:r w:rsidR="00FB485C" w:rsidRPr="00A07EE5">
        <w:rPr>
          <w:sz w:val="24"/>
        </w:rPr>
        <w:t>ot applicable</w:t>
      </w:r>
      <w:r>
        <w:rPr>
          <w:sz w:val="24"/>
        </w:rPr>
        <w:t>.</w:t>
      </w:r>
    </w:p>
    <w:p w:rsidR="006819CF" w:rsidRDefault="006819CF">
      <w:pPr>
        <w:ind w:left="1440"/>
        <w:rPr>
          <w:sz w:val="24"/>
        </w:rPr>
      </w:pPr>
    </w:p>
    <w:p w:rsidR="006819CF" w:rsidRDefault="006819CF">
      <w:pPr>
        <w:numPr>
          <w:ilvl w:val="0"/>
          <w:numId w:val="2"/>
        </w:numPr>
        <w:rPr>
          <w:b/>
          <w:sz w:val="24"/>
        </w:rPr>
      </w:pPr>
      <w:r>
        <w:rPr>
          <w:b/>
          <w:sz w:val="24"/>
          <w:u w:val="single"/>
        </w:rPr>
        <w:t>Assurance of Confidentiality Provided to Respondents</w:t>
      </w:r>
    </w:p>
    <w:p w:rsidR="00FB485C" w:rsidRDefault="00FB485C" w:rsidP="00FB485C">
      <w:pPr>
        <w:rPr>
          <w:sz w:val="24"/>
        </w:rPr>
      </w:pPr>
    </w:p>
    <w:p w:rsidR="00D86944" w:rsidRDefault="00FB485C" w:rsidP="00FB485C">
      <w:pPr>
        <w:ind w:left="720"/>
        <w:rPr>
          <w:sz w:val="24"/>
        </w:rPr>
      </w:pPr>
      <w:r w:rsidRPr="00211B38">
        <w:rPr>
          <w:sz w:val="24"/>
        </w:rPr>
        <w:t xml:space="preserve">Individuals are not identified in the report.  </w:t>
      </w:r>
      <w:r w:rsidRPr="00D86944">
        <w:rPr>
          <w:sz w:val="24"/>
        </w:rPr>
        <w:t xml:space="preserve">Ombudsman data collection </w:t>
      </w:r>
      <w:r w:rsidR="00E6661D" w:rsidRPr="00D86944">
        <w:rPr>
          <w:sz w:val="24"/>
        </w:rPr>
        <w:t xml:space="preserve">programs </w:t>
      </w:r>
      <w:r w:rsidRPr="00D86944">
        <w:rPr>
          <w:sz w:val="24"/>
        </w:rPr>
        <w:t xml:space="preserve">are designed </w:t>
      </w:r>
      <w:r w:rsidR="00D86944" w:rsidRPr="00D86944">
        <w:rPr>
          <w:sz w:val="24"/>
        </w:rPr>
        <w:t xml:space="preserve">to </w:t>
      </w:r>
      <w:r w:rsidR="00D86944">
        <w:rPr>
          <w:sz w:val="24"/>
        </w:rPr>
        <w:t xml:space="preserve">protect </w:t>
      </w:r>
      <w:r w:rsidRPr="00D86944">
        <w:rPr>
          <w:sz w:val="24"/>
        </w:rPr>
        <w:t>the confidentiality of residents and complainants,</w:t>
      </w:r>
      <w:r w:rsidR="00D86944">
        <w:rPr>
          <w:sz w:val="24"/>
        </w:rPr>
        <w:t xml:space="preserve"> in accordance with the disclosure provisions of  </w:t>
      </w:r>
      <w:r w:rsidR="00D86944" w:rsidRPr="00D86944">
        <w:rPr>
          <w:sz w:val="24"/>
        </w:rPr>
        <w:t>section 712(d) of the</w:t>
      </w:r>
      <w:r w:rsidR="00CB66C5">
        <w:rPr>
          <w:sz w:val="24"/>
        </w:rPr>
        <w:t xml:space="preserve"> Older Americans</w:t>
      </w:r>
      <w:r w:rsidR="00D86944" w:rsidRPr="00D86944">
        <w:rPr>
          <w:sz w:val="24"/>
        </w:rPr>
        <w:t xml:space="preserve"> Act</w:t>
      </w:r>
      <w:r w:rsidR="00D86944" w:rsidRPr="00D86944">
        <w:t xml:space="preserve"> </w:t>
      </w:r>
      <w:r w:rsidR="00D86944">
        <w:t xml:space="preserve"> </w:t>
      </w:r>
      <w:r w:rsidR="00D86944" w:rsidRPr="00D86944">
        <w:rPr>
          <w:sz w:val="24"/>
        </w:rPr>
        <w:t>and §1327.13</w:t>
      </w:r>
      <w:r w:rsidR="00D86944">
        <w:rPr>
          <w:sz w:val="24"/>
        </w:rPr>
        <w:t xml:space="preserve"> (5)(e) of the LTC Ombudsman program rule.</w:t>
      </w:r>
    </w:p>
    <w:p w:rsidR="00FB485C" w:rsidRPr="00FB485C" w:rsidRDefault="00D86944" w:rsidP="00FB485C">
      <w:pPr>
        <w:ind w:left="720"/>
        <w:rPr>
          <w:b/>
          <w:sz w:val="24"/>
        </w:rPr>
      </w:pPr>
      <w:r>
        <w:rPr>
          <w:sz w:val="24"/>
        </w:rPr>
        <w:t xml:space="preserve"> </w:t>
      </w:r>
      <w:r w:rsidRPr="00D86944">
        <w:rPr>
          <w:sz w:val="24"/>
        </w:rPr>
        <w:t xml:space="preserve"> </w:t>
      </w:r>
    </w:p>
    <w:p w:rsidR="006819CF" w:rsidRDefault="006819CF">
      <w:pPr>
        <w:numPr>
          <w:ilvl w:val="0"/>
          <w:numId w:val="2"/>
        </w:numPr>
        <w:rPr>
          <w:b/>
          <w:sz w:val="24"/>
        </w:rPr>
      </w:pPr>
      <w:r>
        <w:rPr>
          <w:b/>
          <w:sz w:val="24"/>
          <w:u w:val="single"/>
        </w:rPr>
        <w:t>Justification for Sensitive Questions</w:t>
      </w:r>
    </w:p>
    <w:p w:rsidR="00FB485C" w:rsidRDefault="00FB485C" w:rsidP="00FB485C">
      <w:pPr>
        <w:ind w:left="360"/>
        <w:rPr>
          <w:sz w:val="24"/>
        </w:rPr>
      </w:pPr>
    </w:p>
    <w:p w:rsidR="00FB485C" w:rsidRPr="00FB485C" w:rsidRDefault="00FB485C" w:rsidP="00FB485C">
      <w:pPr>
        <w:ind w:left="360" w:firstLine="360"/>
        <w:rPr>
          <w:sz w:val="24"/>
        </w:rPr>
      </w:pPr>
      <w:r w:rsidRPr="00FB485C">
        <w:rPr>
          <w:sz w:val="24"/>
        </w:rPr>
        <w:t>The report does not include questions of a sensitive nature.</w:t>
      </w:r>
    </w:p>
    <w:p w:rsidR="006819CF" w:rsidRDefault="006819CF">
      <w:pPr>
        <w:ind w:left="360"/>
        <w:rPr>
          <w:sz w:val="24"/>
        </w:rPr>
      </w:pPr>
    </w:p>
    <w:p w:rsidR="00E16260" w:rsidRPr="00784328" w:rsidRDefault="006819CF" w:rsidP="00E16260">
      <w:pPr>
        <w:numPr>
          <w:ilvl w:val="0"/>
          <w:numId w:val="2"/>
        </w:numPr>
        <w:rPr>
          <w:sz w:val="24"/>
        </w:rPr>
      </w:pPr>
      <w:r w:rsidRPr="00784328">
        <w:rPr>
          <w:b/>
          <w:sz w:val="24"/>
          <w:u w:val="single"/>
        </w:rPr>
        <w:t xml:space="preserve">Estimates of Annualized Burden Hours </w:t>
      </w:r>
      <w:r w:rsidRPr="00784328">
        <w:rPr>
          <w:b/>
          <w:sz w:val="24"/>
        </w:rPr>
        <w:t>(Total Hours &amp; Wages</w:t>
      </w:r>
      <w:r w:rsidRPr="00784328">
        <w:rPr>
          <w:sz w:val="24"/>
        </w:rPr>
        <w:t>)</w:t>
      </w:r>
    </w:p>
    <w:p w:rsidR="00E16260" w:rsidRDefault="00E16260" w:rsidP="00E16260">
      <w:pPr>
        <w:ind w:left="720"/>
        <w:rPr>
          <w:sz w:val="24"/>
        </w:rPr>
      </w:pPr>
    </w:p>
    <w:p w:rsidR="00E16260" w:rsidRPr="00E16260" w:rsidRDefault="00E16260" w:rsidP="00E16260">
      <w:pPr>
        <w:ind w:left="720"/>
        <w:rPr>
          <w:sz w:val="24"/>
          <w:highlight w:val="yellow"/>
        </w:rPr>
      </w:pPr>
      <w:r>
        <w:rPr>
          <w:sz w:val="24"/>
        </w:rPr>
        <w:t>12A. Estimated Annualized Burden Hours</w:t>
      </w:r>
    </w:p>
    <w:p w:rsidR="00E16260" w:rsidRDefault="00E16260" w:rsidP="00E16260">
      <w:pPr>
        <w:ind w:left="720"/>
        <w:rPr>
          <w:sz w:val="24"/>
        </w:rPr>
      </w:pPr>
    </w:p>
    <w:p w:rsidR="00380A82" w:rsidRDefault="00E16260" w:rsidP="00E16260">
      <w:pPr>
        <w:ind w:left="720"/>
        <w:rPr>
          <w:sz w:val="24"/>
        </w:rPr>
      </w:pPr>
      <w:r w:rsidRPr="00E16260">
        <w:rPr>
          <w:sz w:val="24"/>
        </w:rPr>
        <w:t xml:space="preserve">The hour burden is based on the number of cases </w:t>
      </w:r>
      <w:r w:rsidR="00974AC0" w:rsidRPr="00E16260">
        <w:rPr>
          <w:sz w:val="24"/>
        </w:rPr>
        <w:t xml:space="preserve">managed </w:t>
      </w:r>
      <w:r w:rsidR="00974AC0">
        <w:rPr>
          <w:sz w:val="24"/>
        </w:rPr>
        <w:t>by</w:t>
      </w:r>
      <w:r w:rsidRPr="00E16260">
        <w:rPr>
          <w:sz w:val="24"/>
        </w:rPr>
        <w:t xml:space="preserve"> the nationwide Long-Term </w:t>
      </w:r>
      <w:r w:rsidRPr="00182B74">
        <w:rPr>
          <w:sz w:val="24"/>
        </w:rPr>
        <w:t xml:space="preserve">Care Ombudsman Program </w:t>
      </w:r>
      <w:r w:rsidR="00EE0582" w:rsidRPr="00182B74">
        <w:rPr>
          <w:sz w:val="24"/>
        </w:rPr>
        <w:t>(consisting of 50 states plus DC and Puerto Rico</w:t>
      </w:r>
      <w:r w:rsidR="00B04F57">
        <w:rPr>
          <w:sz w:val="24"/>
        </w:rPr>
        <w:t>=</w:t>
      </w:r>
      <w:r w:rsidR="00EE0582" w:rsidRPr="00182B74">
        <w:rPr>
          <w:sz w:val="24"/>
        </w:rPr>
        <w:t xml:space="preserve">52) </w:t>
      </w:r>
      <w:r w:rsidRPr="00182B74">
        <w:rPr>
          <w:sz w:val="24"/>
        </w:rPr>
        <w:t xml:space="preserve">in the most recent year for which data is available.  Closed cases reported by </w:t>
      </w:r>
      <w:r w:rsidR="00EE0582" w:rsidRPr="00182B74">
        <w:rPr>
          <w:sz w:val="24"/>
        </w:rPr>
        <w:t>the 52</w:t>
      </w:r>
      <w:r w:rsidRPr="00182B74">
        <w:rPr>
          <w:sz w:val="24"/>
        </w:rPr>
        <w:t xml:space="preserve"> states for</w:t>
      </w:r>
      <w:r w:rsidR="007F5D8F">
        <w:rPr>
          <w:sz w:val="24"/>
        </w:rPr>
        <w:t xml:space="preserve"> FFY </w:t>
      </w:r>
      <w:r w:rsidR="000D2527">
        <w:rPr>
          <w:sz w:val="24"/>
        </w:rPr>
        <w:t>2013</w:t>
      </w:r>
      <w:r w:rsidR="004117F3" w:rsidRPr="00182B74">
        <w:rPr>
          <w:sz w:val="24"/>
        </w:rPr>
        <w:t xml:space="preserve"> was</w:t>
      </w:r>
      <w:r w:rsidRPr="00182B74">
        <w:rPr>
          <w:sz w:val="24"/>
        </w:rPr>
        <w:t xml:space="preserve"> </w:t>
      </w:r>
      <w:r w:rsidR="000D2527">
        <w:rPr>
          <w:sz w:val="24"/>
        </w:rPr>
        <w:t>123,666</w:t>
      </w:r>
      <w:r w:rsidRPr="00182B74">
        <w:rPr>
          <w:sz w:val="24"/>
        </w:rPr>
        <w:t>.</w:t>
      </w:r>
      <w:r w:rsidR="00EE0582" w:rsidRPr="00182B74">
        <w:rPr>
          <w:sz w:val="24"/>
        </w:rPr>
        <w:t xml:space="preserve"> Based on average time required by early pilot states to document a case by computer (10 minutes), total documentation time</w:t>
      </w:r>
      <w:r w:rsidR="00EE0582">
        <w:rPr>
          <w:sz w:val="24"/>
        </w:rPr>
        <w:t xml:space="preserve"> is calculated by multiplying total cases by 10 minutes, totaling </w:t>
      </w:r>
      <w:r w:rsidRPr="00E16260">
        <w:rPr>
          <w:sz w:val="24"/>
        </w:rPr>
        <w:t>1,</w:t>
      </w:r>
      <w:r w:rsidR="000D2527">
        <w:rPr>
          <w:sz w:val="24"/>
        </w:rPr>
        <w:t>236,660</w:t>
      </w:r>
      <w:r w:rsidR="004117F3">
        <w:rPr>
          <w:sz w:val="24"/>
        </w:rPr>
        <w:t xml:space="preserve"> </w:t>
      </w:r>
      <w:r w:rsidRPr="00E16260">
        <w:rPr>
          <w:sz w:val="24"/>
        </w:rPr>
        <w:t xml:space="preserve"> minutes</w:t>
      </w:r>
      <w:r w:rsidR="00EE0582">
        <w:rPr>
          <w:sz w:val="24"/>
        </w:rPr>
        <w:t>, divided by 60</w:t>
      </w:r>
      <w:r w:rsidRPr="00E16260">
        <w:rPr>
          <w:sz w:val="24"/>
        </w:rPr>
        <w:t xml:space="preserve"> = </w:t>
      </w:r>
      <w:r w:rsidR="000D2527">
        <w:rPr>
          <w:sz w:val="24"/>
        </w:rPr>
        <w:t>20,611</w:t>
      </w:r>
      <w:r w:rsidRPr="00E16260">
        <w:rPr>
          <w:sz w:val="24"/>
        </w:rPr>
        <w:t xml:space="preserve"> hours </w:t>
      </w:r>
      <w:r w:rsidR="00784328">
        <w:rPr>
          <w:sz w:val="24"/>
        </w:rPr>
        <w:t xml:space="preserve">of </w:t>
      </w:r>
      <w:r w:rsidRPr="00E16260">
        <w:rPr>
          <w:sz w:val="24"/>
        </w:rPr>
        <w:t>paid ombudsman</w:t>
      </w:r>
      <w:r w:rsidR="00EE0582">
        <w:rPr>
          <w:sz w:val="24"/>
        </w:rPr>
        <w:t xml:space="preserve"> time. </w:t>
      </w:r>
      <w:r w:rsidR="00D443CC" w:rsidRPr="00E16260">
        <w:rPr>
          <w:sz w:val="24"/>
        </w:rPr>
        <w:t xml:space="preserve">However, about two-thirds of the information entered for a typical case is for use at the state level and is not required for the </w:t>
      </w:r>
      <w:proofErr w:type="spellStart"/>
      <w:r w:rsidR="00D443CC" w:rsidRPr="00E16260">
        <w:rPr>
          <w:sz w:val="24"/>
        </w:rPr>
        <w:t>AoA</w:t>
      </w:r>
      <w:proofErr w:type="spellEnd"/>
      <w:r w:rsidR="00D443CC" w:rsidRPr="00E16260">
        <w:rPr>
          <w:sz w:val="24"/>
        </w:rPr>
        <w:t xml:space="preserve"> report</w:t>
      </w:r>
      <w:r w:rsidR="00D443CC" w:rsidRPr="00375859">
        <w:rPr>
          <w:sz w:val="24"/>
        </w:rPr>
        <w:t xml:space="preserve">.  Therefore, only </w:t>
      </w:r>
      <w:r w:rsidR="000D2527" w:rsidRPr="00375859">
        <w:rPr>
          <w:sz w:val="24"/>
        </w:rPr>
        <w:t>6</w:t>
      </w:r>
      <w:r w:rsidR="003F7374">
        <w:rPr>
          <w:sz w:val="24"/>
        </w:rPr>
        <w:t>,</w:t>
      </w:r>
      <w:r w:rsidR="000D2527" w:rsidRPr="00375859">
        <w:rPr>
          <w:sz w:val="24"/>
        </w:rPr>
        <w:t>870.3</w:t>
      </w:r>
      <w:r w:rsidR="00D443CC" w:rsidRPr="00375859">
        <w:rPr>
          <w:sz w:val="24"/>
        </w:rPr>
        <w:t xml:space="preserve"> hours (one-third of the </w:t>
      </w:r>
      <w:r w:rsidR="002C1EEB" w:rsidRPr="00375859">
        <w:rPr>
          <w:sz w:val="24"/>
        </w:rPr>
        <w:t>20</w:t>
      </w:r>
      <w:r w:rsidR="00D77AB8" w:rsidRPr="00375859">
        <w:rPr>
          <w:sz w:val="24"/>
        </w:rPr>
        <w:t>,</w:t>
      </w:r>
      <w:r w:rsidR="002C1EEB" w:rsidRPr="00375859">
        <w:rPr>
          <w:sz w:val="24"/>
        </w:rPr>
        <w:t>611</w:t>
      </w:r>
      <w:r w:rsidR="00375859" w:rsidRPr="00375859">
        <w:rPr>
          <w:sz w:val="24"/>
        </w:rPr>
        <w:t>)</w:t>
      </w:r>
      <w:r w:rsidR="00D443CC" w:rsidRPr="00375859">
        <w:rPr>
          <w:sz w:val="24"/>
        </w:rPr>
        <w:t xml:space="preserve"> are required to document data needed for the </w:t>
      </w:r>
      <w:proofErr w:type="spellStart"/>
      <w:r w:rsidR="00D443CC" w:rsidRPr="00375859">
        <w:rPr>
          <w:sz w:val="24"/>
        </w:rPr>
        <w:t>AoA</w:t>
      </w:r>
      <w:proofErr w:type="spellEnd"/>
      <w:r w:rsidR="00D443CC" w:rsidRPr="00375859">
        <w:rPr>
          <w:sz w:val="24"/>
        </w:rPr>
        <w:t xml:space="preserve"> report</w:t>
      </w:r>
      <w:r w:rsidR="002E18E7">
        <w:rPr>
          <w:sz w:val="24"/>
        </w:rPr>
        <w:t xml:space="preserve">.  </w:t>
      </w:r>
    </w:p>
    <w:p w:rsidR="008570DA" w:rsidRDefault="008570DA" w:rsidP="00E16260">
      <w:pPr>
        <w:ind w:left="720"/>
        <w:rPr>
          <w:sz w:val="24"/>
        </w:rPr>
      </w:pPr>
    </w:p>
    <w:p w:rsidR="00686504" w:rsidRPr="001632E2" w:rsidRDefault="00E16260" w:rsidP="00E16260">
      <w:pPr>
        <w:ind w:left="720"/>
        <w:rPr>
          <w:sz w:val="24"/>
        </w:rPr>
      </w:pPr>
      <w:r w:rsidRPr="00E16260">
        <w:rPr>
          <w:sz w:val="24"/>
        </w:rPr>
        <w:t xml:space="preserve">Based on reports from state </w:t>
      </w:r>
      <w:r w:rsidR="009D5BDA">
        <w:rPr>
          <w:sz w:val="24"/>
        </w:rPr>
        <w:t>O</w:t>
      </w:r>
      <w:r w:rsidRPr="00E16260">
        <w:rPr>
          <w:sz w:val="24"/>
        </w:rPr>
        <w:t>mbudsm</w:t>
      </w:r>
      <w:r w:rsidR="00EE2413">
        <w:rPr>
          <w:sz w:val="24"/>
        </w:rPr>
        <w:t>a</w:t>
      </w:r>
      <w:r w:rsidRPr="00E16260">
        <w:rPr>
          <w:sz w:val="24"/>
        </w:rPr>
        <w:t>n</w:t>
      </w:r>
      <w:r w:rsidR="00EE2413">
        <w:rPr>
          <w:sz w:val="24"/>
        </w:rPr>
        <w:t xml:space="preserve"> programs</w:t>
      </w:r>
      <w:r w:rsidR="009D1341">
        <w:rPr>
          <w:sz w:val="24"/>
        </w:rPr>
        <w:t xml:space="preserve"> obtained in 1995 and 2005</w:t>
      </w:r>
      <w:r w:rsidRPr="00E16260">
        <w:rPr>
          <w:sz w:val="24"/>
        </w:rPr>
        <w:t xml:space="preserve">, states </w:t>
      </w:r>
      <w:r w:rsidR="003115B5">
        <w:rPr>
          <w:sz w:val="24"/>
        </w:rPr>
        <w:t xml:space="preserve">estimate that they </w:t>
      </w:r>
      <w:r w:rsidRPr="00E16260">
        <w:rPr>
          <w:sz w:val="24"/>
        </w:rPr>
        <w:t xml:space="preserve">spend anywhere from 4 hours to 4 days checking and verifying data from the local programs and compiling their annual report to </w:t>
      </w:r>
      <w:proofErr w:type="spellStart"/>
      <w:r w:rsidRPr="00E16260">
        <w:rPr>
          <w:sz w:val="24"/>
        </w:rPr>
        <w:t>AoA</w:t>
      </w:r>
      <w:proofErr w:type="spellEnd"/>
      <w:r w:rsidRPr="00E16260">
        <w:rPr>
          <w:sz w:val="24"/>
        </w:rPr>
        <w:t xml:space="preserve">. </w:t>
      </w:r>
      <w:r w:rsidR="005560E1">
        <w:rPr>
          <w:sz w:val="24"/>
        </w:rPr>
        <w:t xml:space="preserve">  T</w:t>
      </w:r>
      <w:r w:rsidR="005560E1" w:rsidRPr="005560E1">
        <w:rPr>
          <w:sz w:val="24"/>
        </w:rPr>
        <w:t xml:space="preserve">he introduction of the ORT in </w:t>
      </w:r>
      <w:r w:rsidR="00B04F57" w:rsidRPr="005560E1">
        <w:rPr>
          <w:sz w:val="24"/>
        </w:rPr>
        <w:t>2008</w:t>
      </w:r>
      <w:r w:rsidR="005560E1" w:rsidRPr="005560E1">
        <w:rPr>
          <w:sz w:val="24"/>
        </w:rPr>
        <w:t xml:space="preserve"> has increased reporting consistency; the software is routinely updated but maintains the familiar report format. State Ombudsmen report few, if any problems with the reporting tool and based on the years of experience, the actual burden to states might be less now than when the ORT was first implemented.  Importing data is very rapid and the import fills in all complaint, activity and FTE numbers on the 17 pages, the state Ombudsman (or staff) must then write, copy and paste in a narrative description and complete the funds expended section.  </w:t>
      </w:r>
      <w:r w:rsidR="003F7374">
        <w:rPr>
          <w:sz w:val="24"/>
        </w:rPr>
        <w:t>Eighteen (</w:t>
      </w:r>
      <w:r w:rsidR="005560E1">
        <w:rPr>
          <w:sz w:val="24"/>
        </w:rPr>
        <w:t>18</w:t>
      </w:r>
      <w:r w:rsidR="003F7374">
        <w:rPr>
          <w:sz w:val="24"/>
        </w:rPr>
        <w:t>)</w:t>
      </w:r>
      <w:r w:rsidR="005560E1">
        <w:rPr>
          <w:sz w:val="24"/>
        </w:rPr>
        <w:t xml:space="preserve"> states manually entered their data in the ORT </w:t>
      </w:r>
      <w:r w:rsidR="002E18E7">
        <w:rPr>
          <w:sz w:val="24"/>
        </w:rPr>
        <w:t xml:space="preserve">FFY 2014 and 34 imported their data through </w:t>
      </w:r>
      <w:proofErr w:type="spellStart"/>
      <w:r w:rsidR="002E18E7">
        <w:rPr>
          <w:sz w:val="24"/>
        </w:rPr>
        <w:t>Ombuds</w:t>
      </w:r>
      <w:r w:rsidR="00B04F57">
        <w:rPr>
          <w:sz w:val="24"/>
        </w:rPr>
        <w:t>m</w:t>
      </w:r>
      <w:r w:rsidR="002E18E7">
        <w:rPr>
          <w:sz w:val="24"/>
        </w:rPr>
        <w:t>anager</w:t>
      </w:r>
      <w:proofErr w:type="spellEnd"/>
      <w:r w:rsidR="002E18E7">
        <w:rPr>
          <w:sz w:val="24"/>
        </w:rPr>
        <w:t xml:space="preserve"> or other software import formats</w:t>
      </w:r>
      <w:r w:rsidR="00E6661D">
        <w:rPr>
          <w:sz w:val="24"/>
        </w:rPr>
        <w:t xml:space="preserve">. </w:t>
      </w:r>
      <w:r w:rsidRPr="00E16260">
        <w:rPr>
          <w:sz w:val="24"/>
        </w:rPr>
        <w:t xml:space="preserve"> </w:t>
      </w:r>
      <w:r w:rsidR="001608C5">
        <w:rPr>
          <w:sz w:val="24"/>
        </w:rPr>
        <w:t>Importing</w:t>
      </w:r>
      <w:r w:rsidR="002E18E7">
        <w:rPr>
          <w:sz w:val="24"/>
        </w:rPr>
        <w:t xml:space="preserve"> data takes a few minutes while </w:t>
      </w:r>
      <w:r w:rsidR="001608C5">
        <w:rPr>
          <w:sz w:val="24"/>
        </w:rPr>
        <w:t>e</w:t>
      </w:r>
      <w:r w:rsidRPr="00E16260">
        <w:rPr>
          <w:sz w:val="24"/>
        </w:rPr>
        <w:t xml:space="preserve">ntering the data </w:t>
      </w:r>
      <w:r w:rsidR="002E18E7">
        <w:rPr>
          <w:sz w:val="24"/>
        </w:rPr>
        <w:t xml:space="preserve">manually </w:t>
      </w:r>
      <w:r w:rsidRPr="00E16260">
        <w:rPr>
          <w:sz w:val="24"/>
        </w:rPr>
        <w:t xml:space="preserve">requires about </w:t>
      </w:r>
      <w:r w:rsidR="002E18E7">
        <w:rPr>
          <w:sz w:val="24"/>
        </w:rPr>
        <w:t xml:space="preserve">one </w:t>
      </w:r>
      <w:r w:rsidRPr="00E16260">
        <w:rPr>
          <w:sz w:val="24"/>
        </w:rPr>
        <w:t>hour for a typical state</w:t>
      </w:r>
      <w:r w:rsidR="00527419">
        <w:rPr>
          <w:sz w:val="24"/>
        </w:rPr>
        <w:t xml:space="preserve">.   Writing </w:t>
      </w:r>
      <w:r w:rsidRPr="00E16260">
        <w:rPr>
          <w:sz w:val="24"/>
        </w:rPr>
        <w:t xml:space="preserve">the narrative and correcting </w:t>
      </w:r>
      <w:r w:rsidRPr="00E16260">
        <w:rPr>
          <w:sz w:val="24"/>
        </w:rPr>
        <w:lastRenderedPageBreak/>
        <w:t>mistakes require additional time</w:t>
      </w:r>
      <w:r w:rsidRPr="001632E2">
        <w:rPr>
          <w:sz w:val="24"/>
        </w:rPr>
        <w:t xml:space="preserve">.  A fair estimate for an average state is </w:t>
      </w:r>
      <w:r w:rsidR="000028F1" w:rsidRPr="001632E2">
        <w:rPr>
          <w:sz w:val="24"/>
        </w:rPr>
        <w:t xml:space="preserve">17 </w:t>
      </w:r>
      <w:r w:rsidRPr="001632E2">
        <w:rPr>
          <w:sz w:val="24"/>
        </w:rPr>
        <w:t>hours of staff time.</w:t>
      </w:r>
      <w:r w:rsidR="00686504" w:rsidRPr="001632E2">
        <w:rPr>
          <w:sz w:val="24"/>
        </w:rPr>
        <w:t xml:space="preserve">  </w:t>
      </w:r>
      <w:r w:rsidR="008570DA" w:rsidRPr="001632E2">
        <w:rPr>
          <w:sz w:val="24"/>
        </w:rPr>
        <w:t>Seventeen hours</w:t>
      </w:r>
      <w:r w:rsidR="00686504" w:rsidRPr="001632E2">
        <w:rPr>
          <w:sz w:val="24"/>
        </w:rPr>
        <w:t xml:space="preserve"> </w:t>
      </w:r>
      <w:r w:rsidR="001632E2" w:rsidRPr="001632E2">
        <w:rPr>
          <w:sz w:val="24"/>
        </w:rPr>
        <w:t>times’</w:t>
      </w:r>
      <w:r w:rsidR="00686504" w:rsidRPr="001632E2">
        <w:rPr>
          <w:sz w:val="24"/>
        </w:rPr>
        <w:t xml:space="preserve"> 52 states </w:t>
      </w:r>
      <w:r w:rsidR="00C3126F" w:rsidRPr="001632E2">
        <w:rPr>
          <w:sz w:val="24"/>
        </w:rPr>
        <w:t>total</w:t>
      </w:r>
      <w:r w:rsidR="00C3126F">
        <w:rPr>
          <w:sz w:val="24"/>
        </w:rPr>
        <w:t xml:space="preserve"> </w:t>
      </w:r>
      <w:r w:rsidR="000028F1" w:rsidRPr="001632E2">
        <w:rPr>
          <w:sz w:val="24"/>
        </w:rPr>
        <w:t>884</w:t>
      </w:r>
      <w:r w:rsidR="00686504" w:rsidRPr="001632E2">
        <w:rPr>
          <w:sz w:val="24"/>
        </w:rPr>
        <w:t xml:space="preserve">.  </w:t>
      </w:r>
    </w:p>
    <w:p w:rsidR="00686504" w:rsidRPr="001632E2" w:rsidRDefault="00686504" w:rsidP="00E16260">
      <w:pPr>
        <w:ind w:left="720"/>
        <w:rPr>
          <w:sz w:val="24"/>
        </w:rPr>
      </w:pPr>
    </w:p>
    <w:p w:rsidR="00D443CC" w:rsidRPr="001632E2" w:rsidRDefault="004F091F" w:rsidP="00E16260">
      <w:pPr>
        <w:ind w:left="720"/>
        <w:rPr>
          <w:sz w:val="24"/>
        </w:rPr>
      </w:pPr>
      <w:r w:rsidRPr="001632E2">
        <w:rPr>
          <w:sz w:val="24"/>
        </w:rPr>
        <w:t>Thus, total</w:t>
      </w:r>
      <w:r w:rsidR="00686504" w:rsidRPr="001632E2">
        <w:rPr>
          <w:sz w:val="24"/>
        </w:rPr>
        <w:t xml:space="preserve"> hours are estimated as </w:t>
      </w:r>
      <w:r w:rsidR="000D2527" w:rsidRPr="001632E2">
        <w:rPr>
          <w:sz w:val="24"/>
        </w:rPr>
        <w:t>6</w:t>
      </w:r>
      <w:r w:rsidR="003F7374">
        <w:rPr>
          <w:sz w:val="24"/>
        </w:rPr>
        <w:t>,</w:t>
      </w:r>
      <w:r w:rsidR="000D2527" w:rsidRPr="001632E2">
        <w:rPr>
          <w:sz w:val="24"/>
        </w:rPr>
        <w:t>870.3</w:t>
      </w:r>
      <w:r w:rsidR="00380A82" w:rsidRPr="001632E2">
        <w:rPr>
          <w:sz w:val="24"/>
        </w:rPr>
        <w:t xml:space="preserve"> </w:t>
      </w:r>
      <w:r w:rsidR="00686504" w:rsidRPr="001632E2">
        <w:rPr>
          <w:sz w:val="24"/>
        </w:rPr>
        <w:t xml:space="preserve">for collecting plus </w:t>
      </w:r>
      <w:r w:rsidR="008570DA" w:rsidRPr="001632E2">
        <w:rPr>
          <w:sz w:val="24"/>
        </w:rPr>
        <w:t>884</w:t>
      </w:r>
      <w:r w:rsidR="00686504" w:rsidRPr="001632E2">
        <w:rPr>
          <w:sz w:val="24"/>
        </w:rPr>
        <w:t xml:space="preserve"> for entering =</w:t>
      </w:r>
      <w:r w:rsidR="008570DA" w:rsidRPr="001632E2">
        <w:rPr>
          <w:sz w:val="24"/>
        </w:rPr>
        <w:t xml:space="preserve"> 7</w:t>
      </w:r>
      <w:r w:rsidR="003F7374">
        <w:rPr>
          <w:sz w:val="24"/>
        </w:rPr>
        <w:t>,</w:t>
      </w:r>
      <w:r w:rsidR="008570DA" w:rsidRPr="001632E2">
        <w:rPr>
          <w:sz w:val="24"/>
        </w:rPr>
        <w:t>754.3</w:t>
      </w:r>
      <w:r w:rsidR="000D2527" w:rsidRPr="001632E2">
        <w:rPr>
          <w:sz w:val="24"/>
        </w:rPr>
        <w:t xml:space="preserve"> </w:t>
      </w:r>
    </w:p>
    <w:p w:rsidR="004F091F" w:rsidRDefault="00686504" w:rsidP="00E16260">
      <w:pPr>
        <w:ind w:left="720"/>
        <w:rPr>
          <w:sz w:val="24"/>
        </w:rPr>
      </w:pPr>
      <w:r w:rsidRPr="001632E2">
        <w:rPr>
          <w:sz w:val="24"/>
        </w:rPr>
        <w:t>Average burden hours per s</w:t>
      </w:r>
      <w:r w:rsidR="000D2527" w:rsidRPr="001632E2">
        <w:rPr>
          <w:sz w:val="24"/>
        </w:rPr>
        <w:t xml:space="preserve">tate are calculated by </w:t>
      </w:r>
      <w:r w:rsidR="001632E2" w:rsidRPr="001632E2">
        <w:rPr>
          <w:sz w:val="24"/>
        </w:rPr>
        <w:t>dividing 7</w:t>
      </w:r>
      <w:r w:rsidR="003F7374">
        <w:rPr>
          <w:sz w:val="24"/>
        </w:rPr>
        <w:t>,</w:t>
      </w:r>
      <w:r w:rsidR="001632E2" w:rsidRPr="001632E2">
        <w:rPr>
          <w:sz w:val="24"/>
        </w:rPr>
        <w:t>754.3 by</w:t>
      </w:r>
      <w:r w:rsidRPr="001632E2">
        <w:rPr>
          <w:sz w:val="24"/>
        </w:rPr>
        <w:t xml:space="preserve"> 52 = </w:t>
      </w:r>
      <w:r w:rsidR="000D2527" w:rsidRPr="001632E2">
        <w:rPr>
          <w:sz w:val="24"/>
        </w:rPr>
        <w:t>14</w:t>
      </w:r>
      <w:r w:rsidR="008570DA" w:rsidRPr="001632E2">
        <w:rPr>
          <w:sz w:val="24"/>
        </w:rPr>
        <w:t>9</w:t>
      </w:r>
      <w:r w:rsidR="000D2527" w:rsidRPr="001632E2">
        <w:rPr>
          <w:sz w:val="24"/>
        </w:rPr>
        <w:t>.1</w:t>
      </w:r>
    </w:p>
    <w:p w:rsidR="00555D26" w:rsidRDefault="00555D26" w:rsidP="00E16260">
      <w:pPr>
        <w:ind w:left="720"/>
        <w:rPr>
          <w:sz w:val="24"/>
        </w:rPr>
      </w:pPr>
    </w:p>
    <w:p w:rsidR="00555D26" w:rsidRDefault="00555D26" w:rsidP="00E16260">
      <w:pPr>
        <w:ind w:left="720"/>
        <w:rPr>
          <w:sz w:val="24"/>
        </w:rPr>
      </w:pPr>
      <w:r>
        <w:rPr>
          <w:sz w:val="24"/>
        </w:rPr>
        <w:t xml:space="preserve">The </w:t>
      </w:r>
      <w:r w:rsidR="00F13869">
        <w:rPr>
          <w:sz w:val="24"/>
        </w:rPr>
        <w:t xml:space="preserve">additional </w:t>
      </w:r>
      <w:r>
        <w:rPr>
          <w:sz w:val="24"/>
        </w:rPr>
        <w:t>estimated burden hours for conflict of interest reporting are based on the following:</w:t>
      </w:r>
    </w:p>
    <w:p w:rsidR="00497FA8" w:rsidRDefault="00497FA8" w:rsidP="00E16260">
      <w:pPr>
        <w:ind w:left="720"/>
        <w:rPr>
          <w:sz w:val="24"/>
        </w:rPr>
      </w:pPr>
    </w:p>
    <w:p w:rsidR="00497FA8" w:rsidRDefault="00497FA8" w:rsidP="001632E2">
      <w:pPr>
        <w:numPr>
          <w:ilvl w:val="0"/>
          <w:numId w:val="48"/>
        </w:numPr>
        <w:rPr>
          <w:sz w:val="24"/>
        </w:rPr>
      </w:pPr>
      <w:r>
        <w:rPr>
          <w:sz w:val="24"/>
        </w:rPr>
        <w:t>Burden time is calculated based on how long it takes to write a summary of the conflict and remedy, not</w:t>
      </w:r>
      <w:r w:rsidR="002B6BCE">
        <w:rPr>
          <w:sz w:val="24"/>
        </w:rPr>
        <w:t xml:space="preserve"> to </w:t>
      </w:r>
      <w:r>
        <w:rPr>
          <w:sz w:val="24"/>
        </w:rPr>
        <w:t xml:space="preserve">identify and </w:t>
      </w:r>
      <w:r w:rsidR="002B6BCE">
        <w:rPr>
          <w:sz w:val="24"/>
        </w:rPr>
        <w:t xml:space="preserve">take steps to </w:t>
      </w:r>
      <w:r>
        <w:rPr>
          <w:sz w:val="24"/>
        </w:rPr>
        <w:t>remedy.  Typically a conflict and remedy can be described in a paragraph or two.</w:t>
      </w:r>
    </w:p>
    <w:p w:rsidR="00351C1E" w:rsidRDefault="00351C1E" w:rsidP="00E16260">
      <w:pPr>
        <w:ind w:left="720"/>
        <w:rPr>
          <w:sz w:val="24"/>
        </w:rPr>
      </w:pPr>
    </w:p>
    <w:p w:rsidR="00351C1E" w:rsidRDefault="001B4EC6" w:rsidP="001632E2">
      <w:pPr>
        <w:numPr>
          <w:ilvl w:val="0"/>
          <w:numId w:val="48"/>
        </w:numPr>
        <w:rPr>
          <w:sz w:val="24"/>
        </w:rPr>
      </w:pPr>
      <w:r>
        <w:rPr>
          <w:sz w:val="24"/>
        </w:rPr>
        <w:t xml:space="preserve">All </w:t>
      </w:r>
      <w:r w:rsidR="00351C1E">
        <w:rPr>
          <w:sz w:val="24"/>
        </w:rPr>
        <w:t>52</w:t>
      </w:r>
      <w:r w:rsidR="008A721B">
        <w:rPr>
          <w:sz w:val="24"/>
        </w:rPr>
        <w:t xml:space="preserve"> states will need to report</w:t>
      </w:r>
      <w:r>
        <w:rPr>
          <w:sz w:val="24"/>
        </w:rPr>
        <w:t xml:space="preserve"> on</w:t>
      </w:r>
      <w:r w:rsidR="002B6BCE">
        <w:rPr>
          <w:sz w:val="24"/>
        </w:rPr>
        <w:t xml:space="preserve"> whether there are any</w:t>
      </w:r>
      <w:r>
        <w:rPr>
          <w:sz w:val="24"/>
        </w:rPr>
        <w:t xml:space="preserve"> organizational</w:t>
      </w:r>
      <w:r w:rsidR="00351C1E">
        <w:rPr>
          <w:sz w:val="24"/>
        </w:rPr>
        <w:t xml:space="preserve"> conflict</w:t>
      </w:r>
      <w:r>
        <w:rPr>
          <w:sz w:val="24"/>
        </w:rPr>
        <w:t>s</w:t>
      </w:r>
      <w:r w:rsidR="00351C1E">
        <w:rPr>
          <w:sz w:val="24"/>
        </w:rPr>
        <w:t xml:space="preserve"> of interest and remedies at the State Office of Long-Term Care Ombudsman. </w:t>
      </w:r>
      <w:r w:rsidR="008A721B">
        <w:rPr>
          <w:sz w:val="24"/>
        </w:rPr>
        <w:t>Some of these states may indicate that there are no organizational conflicts</w:t>
      </w:r>
      <w:r w:rsidR="002A0BD3">
        <w:rPr>
          <w:sz w:val="24"/>
        </w:rPr>
        <w:t xml:space="preserve"> due to their organizational placement</w:t>
      </w:r>
      <w:r w:rsidR="008A721B">
        <w:rPr>
          <w:sz w:val="24"/>
        </w:rPr>
        <w:t>.</w:t>
      </w:r>
    </w:p>
    <w:p w:rsidR="00351C1E" w:rsidRDefault="00351C1E" w:rsidP="00E16260">
      <w:pPr>
        <w:ind w:left="720"/>
        <w:rPr>
          <w:sz w:val="24"/>
        </w:rPr>
      </w:pPr>
    </w:p>
    <w:p w:rsidR="001B4EC6" w:rsidRDefault="001B4EC6" w:rsidP="001632E2">
      <w:pPr>
        <w:numPr>
          <w:ilvl w:val="0"/>
          <w:numId w:val="48"/>
        </w:numPr>
        <w:rPr>
          <w:sz w:val="24"/>
        </w:rPr>
      </w:pPr>
      <w:r>
        <w:rPr>
          <w:sz w:val="24"/>
        </w:rPr>
        <w:t xml:space="preserve">20 State Ombudsman programs are centralized </w:t>
      </w:r>
      <w:r w:rsidR="002B6BCE">
        <w:rPr>
          <w:sz w:val="24"/>
        </w:rPr>
        <w:t xml:space="preserve">and will not have reporting related to </w:t>
      </w:r>
      <w:r>
        <w:rPr>
          <w:sz w:val="24"/>
        </w:rPr>
        <w:t xml:space="preserve">local Ombudsman </w:t>
      </w:r>
      <w:r w:rsidR="002B6BCE">
        <w:rPr>
          <w:sz w:val="24"/>
        </w:rPr>
        <w:t>entities.</w:t>
      </w:r>
    </w:p>
    <w:p w:rsidR="001B4EC6" w:rsidRDefault="001B4EC6" w:rsidP="00E16260">
      <w:pPr>
        <w:ind w:left="720"/>
        <w:rPr>
          <w:sz w:val="24"/>
        </w:rPr>
      </w:pPr>
      <w:r>
        <w:rPr>
          <w:sz w:val="24"/>
        </w:rPr>
        <w:t xml:space="preserve"> </w:t>
      </w:r>
    </w:p>
    <w:p w:rsidR="00351C1E" w:rsidRDefault="00351C1E" w:rsidP="001632E2">
      <w:pPr>
        <w:numPr>
          <w:ilvl w:val="0"/>
          <w:numId w:val="48"/>
        </w:numPr>
        <w:rPr>
          <w:sz w:val="24"/>
        </w:rPr>
      </w:pPr>
      <w:r>
        <w:rPr>
          <w:sz w:val="24"/>
        </w:rPr>
        <w:t xml:space="preserve">32 State Ombudsman programs </w:t>
      </w:r>
      <w:r w:rsidR="008A721B">
        <w:rPr>
          <w:sz w:val="24"/>
        </w:rPr>
        <w:t>have local Ombudsman entities (local/regional programs) and are required</w:t>
      </w:r>
      <w:r>
        <w:rPr>
          <w:sz w:val="24"/>
        </w:rPr>
        <w:t xml:space="preserve"> to report conflict of interest at the local entity level.  NASOP expressed concerns about the burden to report on numerous entities</w:t>
      </w:r>
      <w:r w:rsidR="007A43FE">
        <w:rPr>
          <w:sz w:val="24"/>
        </w:rPr>
        <w:t xml:space="preserve"> and NORS</w:t>
      </w:r>
      <w:r>
        <w:rPr>
          <w:sz w:val="24"/>
        </w:rPr>
        <w:t xml:space="preserve"> FFY 201</w:t>
      </w:r>
      <w:r w:rsidR="008A721B">
        <w:rPr>
          <w:sz w:val="24"/>
        </w:rPr>
        <w:t>5</w:t>
      </w:r>
      <w:r>
        <w:rPr>
          <w:sz w:val="24"/>
        </w:rPr>
        <w:t xml:space="preserve"> data indicates that there are a total of 547 local entities</w:t>
      </w:r>
      <w:r w:rsidR="007A43FE">
        <w:rPr>
          <w:sz w:val="24"/>
        </w:rPr>
        <w:t>. However if</w:t>
      </w:r>
      <w:r>
        <w:rPr>
          <w:sz w:val="24"/>
        </w:rPr>
        <w:t xml:space="preserve"> a remedy applies to multiple entities</w:t>
      </w:r>
      <w:r w:rsidR="00710EDC">
        <w:rPr>
          <w:sz w:val="24"/>
        </w:rPr>
        <w:t>,</w:t>
      </w:r>
      <w:r>
        <w:rPr>
          <w:sz w:val="24"/>
        </w:rPr>
        <w:t xml:space="preserve"> it only needs to be reported once, thus a state with 52 local </w:t>
      </w:r>
      <w:r w:rsidR="007A43FE">
        <w:rPr>
          <w:sz w:val="24"/>
        </w:rPr>
        <w:t>Ombudsman</w:t>
      </w:r>
      <w:r>
        <w:rPr>
          <w:sz w:val="24"/>
        </w:rPr>
        <w:t xml:space="preserve"> </w:t>
      </w:r>
      <w:r w:rsidR="007A43FE">
        <w:rPr>
          <w:sz w:val="24"/>
        </w:rPr>
        <w:t>entities</w:t>
      </w:r>
      <w:r>
        <w:rPr>
          <w:sz w:val="24"/>
        </w:rPr>
        <w:t xml:space="preserve"> – all Area Agencies on Aging, for example, will not have to report on 52 individual entities</w:t>
      </w:r>
      <w:r w:rsidR="00710EDC">
        <w:rPr>
          <w:sz w:val="24"/>
        </w:rPr>
        <w:t>,</w:t>
      </w:r>
      <w:r>
        <w:rPr>
          <w:sz w:val="24"/>
        </w:rPr>
        <w:t xml:space="preserve"> but rather the types of conflicts and the remedies used to address the conflict</w:t>
      </w:r>
      <w:r w:rsidR="00F13869">
        <w:rPr>
          <w:sz w:val="24"/>
        </w:rPr>
        <w:t>s</w:t>
      </w:r>
      <w:r>
        <w:rPr>
          <w:sz w:val="24"/>
        </w:rPr>
        <w:t xml:space="preserve">. </w:t>
      </w:r>
      <w:r w:rsidR="00497FA8">
        <w:rPr>
          <w:sz w:val="24"/>
        </w:rPr>
        <w:t xml:space="preserve">In other words, remedies can be “bundled” by type of conflict and the number of entities </w:t>
      </w:r>
      <w:r w:rsidR="002B6BCE">
        <w:rPr>
          <w:sz w:val="24"/>
        </w:rPr>
        <w:t>which</w:t>
      </w:r>
      <w:r w:rsidR="00497FA8">
        <w:rPr>
          <w:sz w:val="24"/>
        </w:rPr>
        <w:t xml:space="preserve"> it applies. </w:t>
      </w:r>
      <w:r>
        <w:rPr>
          <w:sz w:val="24"/>
        </w:rPr>
        <w:t xml:space="preserve"> </w:t>
      </w:r>
      <w:r w:rsidR="008A721B">
        <w:rPr>
          <w:sz w:val="24"/>
        </w:rPr>
        <w:t xml:space="preserve"> Not all of these entities will have organizational conflicts.</w:t>
      </w:r>
    </w:p>
    <w:p w:rsidR="00351C1E" w:rsidRDefault="00351C1E" w:rsidP="00E16260">
      <w:pPr>
        <w:ind w:left="720"/>
        <w:rPr>
          <w:sz w:val="24"/>
        </w:rPr>
      </w:pPr>
    </w:p>
    <w:p w:rsidR="00D443CC" w:rsidRDefault="00D443CC" w:rsidP="00E16260">
      <w:pPr>
        <w:ind w:left="720"/>
        <w:rPr>
          <w:sz w:val="24"/>
        </w:rPr>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440"/>
        <w:gridCol w:w="1350"/>
        <w:gridCol w:w="1440"/>
        <w:gridCol w:w="1440"/>
      </w:tblGrid>
      <w:tr w:rsidR="00784328" w:rsidRPr="00E72AB0" w:rsidTr="00E72AB0">
        <w:trPr>
          <w:trHeight w:val="1059"/>
        </w:trPr>
        <w:tc>
          <w:tcPr>
            <w:tcW w:w="1440" w:type="dxa"/>
          </w:tcPr>
          <w:p w:rsidR="004F091F" w:rsidRPr="00E72AB0" w:rsidRDefault="00677E9F" w:rsidP="00873E95">
            <w:pPr>
              <w:widowControl/>
              <w:rPr>
                <w:b/>
                <w:bCs/>
                <w:sz w:val="24"/>
              </w:rPr>
            </w:pPr>
            <w:r>
              <w:rPr>
                <w:b/>
                <w:bCs/>
                <w:sz w:val="22"/>
                <w:szCs w:val="22"/>
              </w:rPr>
              <w:t xml:space="preserve">Affected Public </w:t>
            </w:r>
          </w:p>
        </w:tc>
        <w:tc>
          <w:tcPr>
            <w:tcW w:w="1440" w:type="dxa"/>
          </w:tcPr>
          <w:p w:rsidR="004F091F" w:rsidRPr="00E72AB0" w:rsidRDefault="00677E9F" w:rsidP="00677E9F">
            <w:pPr>
              <w:widowControl/>
              <w:rPr>
                <w:b/>
                <w:bCs/>
                <w:sz w:val="24"/>
              </w:rPr>
            </w:pPr>
            <w:r>
              <w:rPr>
                <w:b/>
                <w:bCs/>
                <w:sz w:val="24"/>
              </w:rPr>
              <w:t>Instrument</w:t>
            </w:r>
          </w:p>
        </w:tc>
        <w:tc>
          <w:tcPr>
            <w:tcW w:w="1440" w:type="dxa"/>
          </w:tcPr>
          <w:p w:rsidR="004F091F" w:rsidRPr="00E72AB0" w:rsidRDefault="004F091F" w:rsidP="00E72AB0">
            <w:pPr>
              <w:widowControl/>
              <w:rPr>
                <w:b/>
                <w:bCs/>
                <w:sz w:val="22"/>
                <w:szCs w:val="22"/>
              </w:rPr>
            </w:pPr>
            <w:r w:rsidRPr="00E72AB0">
              <w:rPr>
                <w:b/>
                <w:bCs/>
                <w:sz w:val="22"/>
                <w:szCs w:val="22"/>
              </w:rPr>
              <w:t>No. of</w:t>
            </w:r>
          </w:p>
          <w:p w:rsidR="004F091F" w:rsidRPr="00E72AB0" w:rsidRDefault="004F091F" w:rsidP="00E72AB0">
            <w:pPr>
              <w:widowControl/>
              <w:rPr>
                <w:b/>
                <w:bCs/>
                <w:sz w:val="24"/>
              </w:rPr>
            </w:pPr>
            <w:r w:rsidRPr="00E72AB0">
              <w:rPr>
                <w:b/>
                <w:bCs/>
                <w:sz w:val="22"/>
                <w:szCs w:val="22"/>
              </w:rPr>
              <w:t>Respondents</w:t>
            </w:r>
          </w:p>
        </w:tc>
        <w:tc>
          <w:tcPr>
            <w:tcW w:w="1350" w:type="dxa"/>
          </w:tcPr>
          <w:p w:rsidR="004F091F" w:rsidRPr="00E72AB0" w:rsidRDefault="004F091F" w:rsidP="00E72AB0">
            <w:pPr>
              <w:widowControl/>
              <w:rPr>
                <w:b/>
                <w:bCs/>
                <w:sz w:val="22"/>
                <w:szCs w:val="22"/>
              </w:rPr>
            </w:pPr>
            <w:r w:rsidRPr="00E72AB0">
              <w:rPr>
                <w:b/>
                <w:bCs/>
                <w:sz w:val="22"/>
                <w:szCs w:val="22"/>
              </w:rPr>
              <w:t>No.</w:t>
            </w:r>
          </w:p>
          <w:p w:rsidR="004F091F" w:rsidRPr="00E72AB0" w:rsidRDefault="004F091F" w:rsidP="00E72AB0">
            <w:pPr>
              <w:widowControl/>
              <w:rPr>
                <w:b/>
                <w:bCs/>
                <w:sz w:val="22"/>
                <w:szCs w:val="22"/>
              </w:rPr>
            </w:pPr>
            <w:r w:rsidRPr="00E72AB0">
              <w:rPr>
                <w:b/>
                <w:bCs/>
                <w:sz w:val="22"/>
                <w:szCs w:val="22"/>
              </w:rPr>
              <w:t>Responses</w:t>
            </w:r>
          </w:p>
          <w:p w:rsidR="004F091F" w:rsidRPr="00E72AB0" w:rsidRDefault="004F091F" w:rsidP="00E72AB0">
            <w:pPr>
              <w:widowControl/>
              <w:rPr>
                <w:b/>
                <w:bCs/>
                <w:sz w:val="22"/>
                <w:szCs w:val="22"/>
              </w:rPr>
            </w:pPr>
            <w:r w:rsidRPr="00E72AB0">
              <w:rPr>
                <w:b/>
                <w:bCs/>
                <w:sz w:val="22"/>
                <w:szCs w:val="22"/>
              </w:rPr>
              <w:t>per</w:t>
            </w:r>
          </w:p>
          <w:p w:rsidR="004F091F" w:rsidRPr="00E72AB0" w:rsidRDefault="004F091F" w:rsidP="00E72AB0">
            <w:pPr>
              <w:widowControl/>
              <w:rPr>
                <w:b/>
                <w:bCs/>
                <w:sz w:val="22"/>
                <w:szCs w:val="22"/>
              </w:rPr>
            </w:pPr>
            <w:r w:rsidRPr="00E72AB0">
              <w:rPr>
                <w:b/>
                <w:bCs/>
                <w:sz w:val="22"/>
                <w:szCs w:val="22"/>
              </w:rPr>
              <w:t>Respondent</w:t>
            </w:r>
          </w:p>
        </w:tc>
        <w:tc>
          <w:tcPr>
            <w:tcW w:w="1440" w:type="dxa"/>
          </w:tcPr>
          <w:p w:rsidR="004F091F" w:rsidRPr="00E72AB0" w:rsidRDefault="004F091F" w:rsidP="00E72AB0">
            <w:pPr>
              <w:widowControl/>
              <w:rPr>
                <w:b/>
                <w:bCs/>
                <w:sz w:val="22"/>
                <w:szCs w:val="22"/>
              </w:rPr>
            </w:pPr>
            <w:r w:rsidRPr="00E72AB0">
              <w:rPr>
                <w:b/>
                <w:bCs/>
                <w:sz w:val="22"/>
                <w:szCs w:val="22"/>
              </w:rPr>
              <w:t>Average</w:t>
            </w:r>
          </w:p>
          <w:p w:rsidR="004F091F" w:rsidRPr="00E72AB0" w:rsidRDefault="004F091F" w:rsidP="00E72AB0">
            <w:pPr>
              <w:widowControl/>
              <w:rPr>
                <w:b/>
                <w:bCs/>
                <w:sz w:val="22"/>
                <w:szCs w:val="22"/>
              </w:rPr>
            </w:pPr>
            <w:r w:rsidRPr="00E72AB0">
              <w:rPr>
                <w:b/>
                <w:bCs/>
                <w:sz w:val="22"/>
                <w:szCs w:val="22"/>
              </w:rPr>
              <w:t>Burden per Response</w:t>
            </w:r>
          </w:p>
          <w:p w:rsidR="004F091F" w:rsidRPr="00E72AB0" w:rsidRDefault="004F091F" w:rsidP="00E72AB0">
            <w:pPr>
              <w:widowControl/>
              <w:rPr>
                <w:b/>
                <w:bCs/>
                <w:sz w:val="22"/>
                <w:szCs w:val="22"/>
              </w:rPr>
            </w:pPr>
            <w:r w:rsidRPr="00E72AB0">
              <w:rPr>
                <w:b/>
                <w:bCs/>
                <w:sz w:val="22"/>
                <w:szCs w:val="22"/>
              </w:rPr>
              <w:t>(in hours)</w:t>
            </w:r>
          </w:p>
        </w:tc>
        <w:tc>
          <w:tcPr>
            <w:tcW w:w="1440" w:type="dxa"/>
          </w:tcPr>
          <w:p w:rsidR="004F091F" w:rsidRPr="00E72AB0" w:rsidRDefault="004F091F" w:rsidP="00E72AB0">
            <w:pPr>
              <w:widowControl/>
              <w:rPr>
                <w:b/>
                <w:bCs/>
                <w:sz w:val="22"/>
                <w:szCs w:val="22"/>
              </w:rPr>
            </w:pPr>
            <w:r w:rsidRPr="00E72AB0">
              <w:rPr>
                <w:b/>
                <w:bCs/>
                <w:sz w:val="22"/>
                <w:szCs w:val="22"/>
              </w:rPr>
              <w:t>Total Burden Hours</w:t>
            </w:r>
          </w:p>
        </w:tc>
      </w:tr>
      <w:tr w:rsidR="00784328" w:rsidRPr="00E72AB0" w:rsidTr="00E72AB0">
        <w:tc>
          <w:tcPr>
            <w:tcW w:w="1440" w:type="dxa"/>
          </w:tcPr>
          <w:p w:rsidR="004F091F" w:rsidRPr="00677E9F" w:rsidRDefault="00677E9F" w:rsidP="00DC736D">
            <w:pPr>
              <w:widowControl/>
              <w:rPr>
                <w:b/>
                <w:bCs/>
                <w:sz w:val="22"/>
                <w:szCs w:val="22"/>
              </w:rPr>
            </w:pPr>
            <w:r w:rsidRPr="00DC736D">
              <w:rPr>
                <w:iCs/>
                <w:sz w:val="22"/>
                <w:szCs w:val="22"/>
              </w:rPr>
              <w:t>State, Local, or Tribal Governments</w:t>
            </w:r>
          </w:p>
        </w:tc>
        <w:tc>
          <w:tcPr>
            <w:tcW w:w="1440" w:type="dxa"/>
          </w:tcPr>
          <w:p w:rsidR="004F091F" w:rsidRPr="00DC736D" w:rsidRDefault="004F091F" w:rsidP="00E72AB0">
            <w:pPr>
              <w:widowControl/>
              <w:rPr>
                <w:b/>
                <w:bCs/>
                <w:sz w:val="22"/>
                <w:szCs w:val="22"/>
              </w:rPr>
            </w:pPr>
            <w:r w:rsidRPr="00873E95">
              <w:rPr>
                <w:sz w:val="22"/>
                <w:szCs w:val="22"/>
              </w:rPr>
              <w:t>Annual State Ombudsman Report</w:t>
            </w:r>
          </w:p>
        </w:tc>
        <w:tc>
          <w:tcPr>
            <w:tcW w:w="1440" w:type="dxa"/>
          </w:tcPr>
          <w:p w:rsidR="004F091F" w:rsidRPr="00E72AB0" w:rsidRDefault="004F091F" w:rsidP="00E72AB0">
            <w:pPr>
              <w:widowControl/>
              <w:rPr>
                <w:b/>
                <w:bCs/>
                <w:sz w:val="24"/>
              </w:rPr>
            </w:pPr>
            <w:r w:rsidRPr="00E72AB0">
              <w:rPr>
                <w:sz w:val="24"/>
              </w:rPr>
              <w:t>52</w:t>
            </w:r>
          </w:p>
        </w:tc>
        <w:tc>
          <w:tcPr>
            <w:tcW w:w="1350" w:type="dxa"/>
          </w:tcPr>
          <w:p w:rsidR="004F091F" w:rsidRPr="00E72AB0" w:rsidRDefault="004F091F" w:rsidP="00E72AB0">
            <w:pPr>
              <w:widowControl/>
              <w:rPr>
                <w:b/>
                <w:bCs/>
                <w:sz w:val="24"/>
              </w:rPr>
            </w:pPr>
            <w:r w:rsidRPr="00E72AB0">
              <w:rPr>
                <w:sz w:val="24"/>
              </w:rPr>
              <w:t>1</w:t>
            </w:r>
          </w:p>
        </w:tc>
        <w:tc>
          <w:tcPr>
            <w:tcW w:w="1440" w:type="dxa"/>
          </w:tcPr>
          <w:p w:rsidR="004F091F" w:rsidRPr="000D2527" w:rsidRDefault="000D2527" w:rsidP="00E72AB0">
            <w:pPr>
              <w:widowControl/>
              <w:rPr>
                <w:bCs/>
                <w:sz w:val="24"/>
              </w:rPr>
            </w:pPr>
            <w:r w:rsidRPr="000D2527">
              <w:rPr>
                <w:bCs/>
                <w:sz w:val="24"/>
              </w:rPr>
              <w:t>148.1</w:t>
            </w:r>
          </w:p>
        </w:tc>
        <w:tc>
          <w:tcPr>
            <w:tcW w:w="1440" w:type="dxa"/>
          </w:tcPr>
          <w:p w:rsidR="004F091F" w:rsidRPr="000D2527" w:rsidRDefault="000D2527" w:rsidP="00E72AB0">
            <w:pPr>
              <w:widowControl/>
              <w:rPr>
                <w:bCs/>
                <w:sz w:val="24"/>
              </w:rPr>
            </w:pPr>
            <w:r w:rsidRPr="000D2527">
              <w:rPr>
                <w:bCs/>
                <w:sz w:val="24"/>
              </w:rPr>
              <w:t>7702.3</w:t>
            </w:r>
          </w:p>
        </w:tc>
      </w:tr>
      <w:tr w:rsidR="0029698D" w:rsidRPr="00E72AB0" w:rsidTr="00E72AB0">
        <w:tc>
          <w:tcPr>
            <w:tcW w:w="1440" w:type="dxa"/>
          </w:tcPr>
          <w:p w:rsidR="0029698D" w:rsidRPr="00DC736D" w:rsidRDefault="0029698D" w:rsidP="00DC736D">
            <w:pPr>
              <w:widowControl/>
              <w:rPr>
                <w:iCs/>
                <w:sz w:val="22"/>
                <w:szCs w:val="22"/>
              </w:rPr>
            </w:pPr>
          </w:p>
        </w:tc>
        <w:tc>
          <w:tcPr>
            <w:tcW w:w="1440" w:type="dxa"/>
          </w:tcPr>
          <w:p w:rsidR="0029698D" w:rsidRPr="00873E95" w:rsidRDefault="0029698D" w:rsidP="00E72AB0">
            <w:pPr>
              <w:widowControl/>
              <w:rPr>
                <w:sz w:val="22"/>
                <w:szCs w:val="22"/>
              </w:rPr>
            </w:pPr>
            <w:r>
              <w:rPr>
                <w:sz w:val="22"/>
                <w:szCs w:val="22"/>
              </w:rPr>
              <w:t>Additional Conflict of Interest Reporting</w:t>
            </w:r>
          </w:p>
        </w:tc>
        <w:tc>
          <w:tcPr>
            <w:tcW w:w="1440" w:type="dxa"/>
          </w:tcPr>
          <w:p w:rsidR="0029698D" w:rsidRPr="00E72AB0" w:rsidRDefault="0029698D" w:rsidP="00E72AB0">
            <w:pPr>
              <w:widowControl/>
              <w:rPr>
                <w:sz w:val="24"/>
              </w:rPr>
            </w:pPr>
            <w:r>
              <w:rPr>
                <w:sz w:val="24"/>
              </w:rPr>
              <w:t>52</w:t>
            </w:r>
          </w:p>
        </w:tc>
        <w:tc>
          <w:tcPr>
            <w:tcW w:w="1350" w:type="dxa"/>
          </w:tcPr>
          <w:p w:rsidR="0029698D" w:rsidRPr="00E72AB0" w:rsidRDefault="0029698D" w:rsidP="00E72AB0">
            <w:pPr>
              <w:widowControl/>
              <w:rPr>
                <w:sz w:val="24"/>
              </w:rPr>
            </w:pPr>
            <w:r>
              <w:rPr>
                <w:sz w:val="24"/>
              </w:rPr>
              <w:t>1</w:t>
            </w:r>
          </w:p>
        </w:tc>
        <w:tc>
          <w:tcPr>
            <w:tcW w:w="1440" w:type="dxa"/>
          </w:tcPr>
          <w:p w:rsidR="0029698D" w:rsidRPr="000D2527" w:rsidRDefault="002A0BD3" w:rsidP="00E72AB0">
            <w:pPr>
              <w:widowControl/>
              <w:rPr>
                <w:bCs/>
                <w:sz w:val="24"/>
              </w:rPr>
            </w:pPr>
            <w:r>
              <w:rPr>
                <w:bCs/>
                <w:sz w:val="24"/>
              </w:rPr>
              <w:t>1</w:t>
            </w:r>
          </w:p>
        </w:tc>
        <w:tc>
          <w:tcPr>
            <w:tcW w:w="1440" w:type="dxa"/>
          </w:tcPr>
          <w:p w:rsidR="0029698D" w:rsidRPr="000D2527" w:rsidRDefault="002A0BD3" w:rsidP="00E72AB0">
            <w:pPr>
              <w:widowControl/>
              <w:rPr>
                <w:bCs/>
                <w:sz w:val="24"/>
              </w:rPr>
            </w:pPr>
            <w:r>
              <w:rPr>
                <w:bCs/>
                <w:sz w:val="24"/>
              </w:rPr>
              <w:t>52</w:t>
            </w:r>
          </w:p>
        </w:tc>
      </w:tr>
      <w:tr w:rsidR="0029698D" w:rsidRPr="00E72AB0" w:rsidTr="00E72AB0">
        <w:tc>
          <w:tcPr>
            <w:tcW w:w="1440" w:type="dxa"/>
          </w:tcPr>
          <w:p w:rsidR="0029698D" w:rsidRPr="00DC736D" w:rsidRDefault="0029698D" w:rsidP="00DC736D">
            <w:pPr>
              <w:widowControl/>
              <w:rPr>
                <w:iCs/>
                <w:sz w:val="22"/>
                <w:szCs w:val="22"/>
              </w:rPr>
            </w:pPr>
          </w:p>
        </w:tc>
        <w:tc>
          <w:tcPr>
            <w:tcW w:w="1440" w:type="dxa"/>
          </w:tcPr>
          <w:p w:rsidR="0029698D" w:rsidRPr="00873E95" w:rsidRDefault="0029698D" w:rsidP="00E72AB0">
            <w:pPr>
              <w:widowControl/>
              <w:rPr>
                <w:sz w:val="22"/>
                <w:szCs w:val="22"/>
              </w:rPr>
            </w:pPr>
            <w:r>
              <w:rPr>
                <w:sz w:val="22"/>
                <w:szCs w:val="22"/>
              </w:rPr>
              <w:t xml:space="preserve">Revised </w:t>
            </w:r>
            <w:r>
              <w:rPr>
                <w:sz w:val="22"/>
                <w:szCs w:val="22"/>
              </w:rPr>
              <w:lastRenderedPageBreak/>
              <w:t>annual total</w:t>
            </w:r>
          </w:p>
        </w:tc>
        <w:tc>
          <w:tcPr>
            <w:tcW w:w="1440" w:type="dxa"/>
          </w:tcPr>
          <w:p w:rsidR="0029698D" w:rsidRPr="00E72AB0" w:rsidRDefault="002A0BD3" w:rsidP="00E72AB0">
            <w:pPr>
              <w:widowControl/>
              <w:rPr>
                <w:sz w:val="24"/>
              </w:rPr>
            </w:pPr>
            <w:r>
              <w:rPr>
                <w:sz w:val="24"/>
              </w:rPr>
              <w:lastRenderedPageBreak/>
              <w:t>52</w:t>
            </w:r>
          </w:p>
        </w:tc>
        <w:tc>
          <w:tcPr>
            <w:tcW w:w="1350" w:type="dxa"/>
          </w:tcPr>
          <w:p w:rsidR="0029698D" w:rsidRPr="00E72AB0" w:rsidRDefault="002A0BD3" w:rsidP="00E72AB0">
            <w:pPr>
              <w:widowControl/>
              <w:rPr>
                <w:sz w:val="24"/>
              </w:rPr>
            </w:pPr>
            <w:r>
              <w:rPr>
                <w:sz w:val="24"/>
              </w:rPr>
              <w:t>1</w:t>
            </w:r>
          </w:p>
        </w:tc>
        <w:tc>
          <w:tcPr>
            <w:tcW w:w="1440" w:type="dxa"/>
          </w:tcPr>
          <w:p w:rsidR="0029698D" w:rsidRPr="000D2527" w:rsidRDefault="002A0BD3" w:rsidP="00E72AB0">
            <w:pPr>
              <w:widowControl/>
              <w:rPr>
                <w:bCs/>
                <w:sz w:val="24"/>
              </w:rPr>
            </w:pPr>
            <w:r>
              <w:rPr>
                <w:bCs/>
                <w:sz w:val="24"/>
              </w:rPr>
              <w:t>149.1</w:t>
            </w:r>
          </w:p>
        </w:tc>
        <w:tc>
          <w:tcPr>
            <w:tcW w:w="1440" w:type="dxa"/>
          </w:tcPr>
          <w:p w:rsidR="0029698D" w:rsidRPr="000D2527" w:rsidRDefault="002A0BD3" w:rsidP="00E72AB0">
            <w:pPr>
              <w:widowControl/>
              <w:rPr>
                <w:bCs/>
                <w:sz w:val="24"/>
              </w:rPr>
            </w:pPr>
            <w:r>
              <w:rPr>
                <w:bCs/>
                <w:sz w:val="24"/>
              </w:rPr>
              <w:t>7754.3</w:t>
            </w:r>
          </w:p>
        </w:tc>
      </w:tr>
    </w:tbl>
    <w:p w:rsidR="004F091F" w:rsidRPr="00E16260" w:rsidRDefault="004F091F" w:rsidP="00E16260">
      <w:pPr>
        <w:ind w:left="720"/>
        <w:rPr>
          <w:sz w:val="24"/>
        </w:rPr>
      </w:pPr>
    </w:p>
    <w:p w:rsidR="007326DD" w:rsidRDefault="006819CF" w:rsidP="007326DD">
      <w:pPr>
        <w:tabs>
          <w:tab w:val="left" w:pos="480"/>
          <w:tab w:val="left" w:pos="2520"/>
        </w:tabs>
        <w:ind w:firstLine="720"/>
        <w:rPr>
          <w:sz w:val="24"/>
        </w:rPr>
      </w:pPr>
      <w:r w:rsidRPr="007326DD">
        <w:rPr>
          <w:sz w:val="24"/>
        </w:rPr>
        <w:t>12B</w:t>
      </w:r>
      <w:r w:rsidR="00B36B5D" w:rsidRPr="007326DD">
        <w:rPr>
          <w:sz w:val="24"/>
        </w:rPr>
        <w:t>. Costs</w:t>
      </w:r>
      <w:r w:rsidR="007326DD" w:rsidRPr="007326DD">
        <w:rPr>
          <w:sz w:val="24"/>
        </w:rPr>
        <w:t xml:space="preserve"> to Respondents</w:t>
      </w:r>
    </w:p>
    <w:p w:rsidR="007326DD" w:rsidRDefault="007326DD" w:rsidP="007326DD">
      <w:pPr>
        <w:tabs>
          <w:tab w:val="left" w:pos="480"/>
          <w:tab w:val="left" w:pos="2520"/>
        </w:tabs>
        <w:ind w:firstLine="720"/>
        <w:rPr>
          <w:sz w:val="24"/>
        </w:rPr>
      </w:pPr>
    </w:p>
    <w:p w:rsidR="007326DD" w:rsidRPr="007326DD" w:rsidRDefault="007326DD" w:rsidP="007326DD">
      <w:pPr>
        <w:tabs>
          <w:tab w:val="left" w:pos="480"/>
          <w:tab w:val="left" w:pos="810"/>
          <w:tab w:val="left" w:pos="1350"/>
        </w:tabs>
        <w:ind w:firstLine="720"/>
        <w:rPr>
          <w:sz w:val="24"/>
        </w:rPr>
      </w:pPr>
      <w:r>
        <w:rPr>
          <w:sz w:val="24"/>
        </w:rPr>
        <w:tab/>
      </w:r>
      <w:r>
        <w:rPr>
          <w:b/>
          <w:sz w:val="24"/>
        </w:rPr>
        <w:tab/>
      </w:r>
      <w:r w:rsidRPr="007326DD">
        <w:rPr>
          <w:sz w:val="24"/>
        </w:rPr>
        <w:t>Documentation (local level)</w:t>
      </w:r>
    </w:p>
    <w:p w:rsidR="007326DD" w:rsidRDefault="007326DD" w:rsidP="007326DD">
      <w:pPr>
        <w:tabs>
          <w:tab w:val="left" w:pos="480"/>
          <w:tab w:val="left" w:pos="810"/>
        </w:tabs>
        <w:ind w:firstLine="720"/>
        <w:rPr>
          <w:b/>
          <w:sz w:val="24"/>
        </w:rPr>
      </w:pPr>
    </w:p>
    <w:p w:rsidR="003C6454" w:rsidRPr="009B07D4" w:rsidRDefault="007326DD" w:rsidP="003C6454">
      <w:pPr>
        <w:tabs>
          <w:tab w:val="left" w:pos="480"/>
          <w:tab w:val="left" w:pos="810"/>
          <w:tab w:val="left" w:pos="1350"/>
        </w:tabs>
        <w:ind w:firstLine="720"/>
        <w:rPr>
          <w:sz w:val="24"/>
        </w:rPr>
      </w:pPr>
      <w:r>
        <w:rPr>
          <w:b/>
          <w:sz w:val="24"/>
        </w:rPr>
        <w:tab/>
      </w:r>
      <w:r w:rsidR="003C6454" w:rsidRPr="009B07D4">
        <w:rPr>
          <w:sz w:val="24"/>
        </w:rPr>
        <w:t>6</w:t>
      </w:r>
      <w:r w:rsidR="00710EDC">
        <w:rPr>
          <w:sz w:val="24"/>
        </w:rPr>
        <w:t>,</w:t>
      </w:r>
      <w:r w:rsidR="003C6454" w:rsidRPr="009B07D4">
        <w:rPr>
          <w:sz w:val="24"/>
        </w:rPr>
        <w:t xml:space="preserve">870.3 burden hours \ 52 states = 132.1 hours per state </w:t>
      </w:r>
    </w:p>
    <w:p w:rsidR="003C6454" w:rsidRPr="009B07D4" w:rsidRDefault="003C6454" w:rsidP="009B07D4">
      <w:pPr>
        <w:tabs>
          <w:tab w:val="left" w:pos="480"/>
          <w:tab w:val="left" w:pos="810"/>
          <w:tab w:val="left" w:pos="1350"/>
        </w:tabs>
        <w:ind w:left="720"/>
        <w:rPr>
          <w:sz w:val="24"/>
        </w:rPr>
      </w:pPr>
      <w:r w:rsidRPr="009B07D4">
        <w:rPr>
          <w:sz w:val="24"/>
        </w:rPr>
        <w:t>132.1 hours x $44.64 per hour (22.32 per hour estimated average local salary</w:t>
      </w:r>
      <w:r w:rsidR="0084239D" w:rsidRPr="00B04F57">
        <w:rPr>
          <w:rStyle w:val="FootnoteReference"/>
          <w:sz w:val="16"/>
          <w:szCs w:val="16"/>
        </w:rPr>
        <w:footnoteReference w:id="1"/>
      </w:r>
      <w:r w:rsidRPr="009B07D4">
        <w:rPr>
          <w:sz w:val="24"/>
        </w:rPr>
        <w:t xml:space="preserve"> plus estimated benefits and overhead of $22.32 per hour) = $5</w:t>
      </w:r>
      <w:r w:rsidR="00B638CF">
        <w:rPr>
          <w:sz w:val="24"/>
        </w:rPr>
        <w:t>,</w:t>
      </w:r>
      <w:r w:rsidRPr="009B07D4">
        <w:rPr>
          <w:sz w:val="24"/>
        </w:rPr>
        <w:t>896.94 per state</w:t>
      </w:r>
    </w:p>
    <w:p w:rsidR="003C6454" w:rsidRPr="009B07D4" w:rsidRDefault="003C6454" w:rsidP="003C6454">
      <w:pPr>
        <w:tabs>
          <w:tab w:val="left" w:pos="480"/>
          <w:tab w:val="left" w:pos="810"/>
          <w:tab w:val="left" w:pos="1350"/>
        </w:tabs>
        <w:ind w:firstLine="720"/>
        <w:rPr>
          <w:sz w:val="24"/>
        </w:rPr>
      </w:pPr>
      <w:r w:rsidRPr="009B07D4">
        <w:rPr>
          <w:sz w:val="24"/>
        </w:rPr>
        <w:tab/>
        <w:t>$5</w:t>
      </w:r>
      <w:r w:rsidR="00710EDC">
        <w:rPr>
          <w:sz w:val="24"/>
        </w:rPr>
        <w:t>,</w:t>
      </w:r>
      <w:r w:rsidRPr="009B07D4">
        <w:rPr>
          <w:sz w:val="24"/>
        </w:rPr>
        <w:t>896.94 x 52 states = $306,641</w:t>
      </w:r>
    </w:p>
    <w:p w:rsidR="00784328" w:rsidRPr="007326DD" w:rsidRDefault="007326DD" w:rsidP="007326DD">
      <w:pPr>
        <w:tabs>
          <w:tab w:val="left" w:pos="1080"/>
        </w:tabs>
        <w:ind w:firstLine="720"/>
        <w:rPr>
          <w:sz w:val="24"/>
        </w:rPr>
      </w:pPr>
      <w:r w:rsidRPr="009B07D4">
        <w:rPr>
          <w:sz w:val="24"/>
        </w:rPr>
        <w:tab/>
      </w:r>
    </w:p>
    <w:p w:rsidR="00784328" w:rsidRPr="007326DD" w:rsidRDefault="007326DD" w:rsidP="007326DD">
      <w:pPr>
        <w:tabs>
          <w:tab w:val="left" w:pos="480"/>
          <w:tab w:val="left" w:pos="1350"/>
        </w:tabs>
        <w:ind w:firstLine="720"/>
        <w:rPr>
          <w:sz w:val="24"/>
        </w:rPr>
      </w:pPr>
      <w:r>
        <w:rPr>
          <w:b/>
          <w:sz w:val="24"/>
        </w:rPr>
        <w:tab/>
      </w:r>
      <w:r w:rsidR="00784328" w:rsidRPr="007326DD">
        <w:rPr>
          <w:sz w:val="24"/>
        </w:rPr>
        <w:t xml:space="preserve">Preparing </w:t>
      </w:r>
      <w:proofErr w:type="spellStart"/>
      <w:r w:rsidR="00784328" w:rsidRPr="007326DD">
        <w:rPr>
          <w:sz w:val="24"/>
        </w:rPr>
        <w:t>AoA</w:t>
      </w:r>
      <w:proofErr w:type="spellEnd"/>
      <w:r w:rsidR="00784328" w:rsidRPr="007326DD">
        <w:rPr>
          <w:sz w:val="24"/>
        </w:rPr>
        <w:t xml:space="preserve"> Report</w:t>
      </w:r>
      <w:r w:rsidR="00784328" w:rsidRPr="007326DD">
        <w:rPr>
          <w:sz w:val="24"/>
        </w:rPr>
        <w:tab/>
      </w:r>
      <w:r w:rsidR="00B36B5D">
        <w:rPr>
          <w:sz w:val="24"/>
        </w:rPr>
        <w:t>(state level)</w:t>
      </w:r>
      <w:r w:rsidR="00784328" w:rsidRPr="007326DD">
        <w:rPr>
          <w:sz w:val="24"/>
        </w:rPr>
        <w:tab/>
      </w:r>
      <w:r w:rsidR="00784328" w:rsidRPr="007326DD">
        <w:rPr>
          <w:sz w:val="24"/>
        </w:rPr>
        <w:tab/>
      </w:r>
      <w:r w:rsidR="00784328" w:rsidRPr="007326DD">
        <w:rPr>
          <w:sz w:val="24"/>
        </w:rPr>
        <w:tab/>
      </w:r>
      <w:r w:rsidR="00784328" w:rsidRPr="007326DD">
        <w:rPr>
          <w:sz w:val="24"/>
        </w:rPr>
        <w:tab/>
      </w:r>
      <w:r w:rsidR="00784328" w:rsidRPr="007326DD">
        <w:rPr>
          <w:sz w:val="24"/>
        </w:rPr>
        <w:tab/>
        <w:t xml:space="preserve">  </w:t>
      </w:r>
    </w:p>
    <w:p w:rsidR="00784328" w:rsidRPr="007326DD" w:rsidRDefault="00784328" w:rsidP="007326DD">
      <w:pPr>
        <w:tabs>
          <w:tab w:val="left" w:pos="480"/>
          <w:tab w:val="left" w:pos="2520"/>
        </w:tabs>
        <w:ind w:firstLine="720"/>
        <w:rPr>
          <w:sz w:val="24"/>
        </w:rPr>
      </w:pPr>
    </w:p>
    <w:p w:rsidR="00A84F43" w:rsidRDefault="00F13869" w:rsidP="007326DD">
      <w:pPr>
        <w:tabs>
          <w:tab w:val="left" w:pos="480"/>
          <w:tab w:val="left" w:pos="720"/>
          <w:tab w:val="left" w:pos="1350"/>
        </w:tabs>
        <w:ind w:firstLine="720"/>
        <w:rPr>
          <w:sz w:val="24"/>
        </w:rPr>
      </w:pPr>
      <w:r>
        <w:rPr>
          <w:sz w:val="24"/>
        </w:rPr>
        <w:t xml:space="preserve"> 884 </w:t>
      </w:r>
      <w:r w:rsidR="00A84F43">
        <w:rPr>
          <w:sz w:val="24"/>
        </w:rPr>
        <w:t>burden hours/52 states = 1</w:t>
      </w:r>
      <w:r w:rsidR="00266E9C">
        <w:rPr>
          <w:sz w:val="24"/>
        </w:rPr>
        <w:t>7</w:t>
      </w:r>
      <w:r w:rsidR="00A84F43">
        <w:rPr>
          <w:sz w:val="24"/>
        </w:rPr>
        <w:t xml:space="preserve"> hours per state</w:t>
      </w:r>
    </w:p>
    <w:p w:rsidR="00B04F57" w:rsidRDefault="00784328" w:rsidP="007326DD">
      <w:pPr>
        <w:tabs>
          <w:tab w:val="left" w:pos="480"/>
          <w:tab w:val="left" w:pos="720"/>
          <w:tab w:val="left" w:pos="1350"/>
        </w:tabs>
        <w:ind w:firstLine="720"/>
        <w:rPr>
          <w:sz w:val="24"/>
        </w:rPr>
      </w:pPr>
      <w:r w:rsidRPr="007326DD">
        <w:rPr>
          <w:sz w:val="24"/>
        </w:rPr>
        <w:t>1</w:t>
      </w:r>
      <w:r w:rsidR="00F13869">
        <w:rPr>
          <w:sz w:val="24"/>
        </w:rPr>
        <w:t>7</w:t>
      </w:r>
      <w:r w:rsidRPr="007326DD">
        <w:rPr>
          <w:sz w:val="24"/>
        </w:rPr>
        <w:t xml:space="preserve"> hours per state x </w:t>
      </w:r>
      <w:r w:rsidR="00D907C3">
        <w:rPr>
          <w:sz w:val="24"/>
        </w:rPr>
        <w:t>$67.30 (</w:t>
      </w:r>
      <w:r w:rsidR="002D7E13">
        <w:rPr>
          <w:sz w:val="24"/>
        </w:rPr>
        <w:t xml:space="preserve">$33.65 </w:t>
      </w:r>
      <w:r w:rsidRPr="007326DD">
        <w:rPr>
          <w:sz w:val="24"/>
        </w:rPr>
        <w:t>(</w:t>
      </w:r>
      <w:r w:rsidR="003B6561">
        <w:rPr>
          <w:sz w:val="24"/>
        </w:rPr>
        <w:t>median</w:t>
      </w:r>
      <w:r w:rsidR="00D907C3">
        <w:rPr>
          <w:sz w:val="24"/>
        </w:rPr>
        <w:t xml:space="preserve"> hourly wage </w:t>
      </w:r>
      <w:r w:rsidR="00974AC0">
        <w:rPr>
          <w:sz w:val="24"/>
        </w:rPr>
        <w:t xml:space="preserve">of </w:t>
      </w:r>
      <w:r w:rsidR="002D7E13">
        <w:rPr>
          <w:sz w:val="24"/>
        </w:rPr>
        <w:t xml:space="preserve">37 </w:t>
      </w:r>
      <w:r w:rsidRPr="007326DD">
        <w:rPr>
          <w:sz w:val="24"/>
        </w:rPr>
        <w:t xml:space="preserve">state salary </w:t>
      </w:r>
      <w:r w:rsidR="00974AC0">
        <w:rPr>
          <w:sz w:val="24"/>
        </w:rPr>
        <w:t>sampling</w:t>
      </w:r>
      <w:r w:rsidR="0084239D" w:rsidRPr="00B04F57">
        <w:rPr>
          <w:rStyle w:val="FootnoteReference"/>
          <w:sz w:val="16"/>
          <w:szCs w:val="16"/>
        </w:rPr>
        <w:footnoteReference w:id="2"/>
      </w:r>
      <w:r w:rsidR="00974AC0" w:rsidRPr="00B04F57">
        <w:rPr>
          <w:sz w:val="16"/>
          <w:szCs w:val="16"/>
        </w:rPr>
        <w:t xml:space="preserve"> </w:t>
      </w:r>
    </w:p>
    <w:p w:rsidR="00784328" w:rsidRDefault="00C3126F" w:rsidP="00B04F57">
      <w:pPr>
        <w:tabs>
          <w:tab w:val="left" w:pos="480"/>
          <w:tab w:val="left" w:pos="720"/>
          <w:tab w:val="left" w:pos="1350"/>
        </w:tabs>
        <w:ind w:left="480"/>
        <w:rPr>
          <w:sz w:val="24"/>
        </w:rPr>
      </w:pPr>
      <w:r>
        <w:rPr>
          <w:sz w:val="24"/>
        </w:rPr>
        <w:tab/>
      </w:r>
      <w:r w:rsidR="00784328" w:rsidRPr="007326DD">
        <w:rPr>
          <w:sz w:val="24"/>
        </w:rPr>
        <w:t xml:space="preserve">reported in </w:t>
      </w:r>
      <w:r w:rsidR="002D7E13">
        <w:rPr>
          <w:sz w:val="24"/>
        </w:rPr>
        <w:t>August 2015</w:t>
      </w:r>
      <w:r w:rsidR="003B6561">
        <w:rPr>
          <w:sz w:val="24"/>
        </w:rPr>
        <w:t>) plus</w:t>
      </w:r>
      <w:r w:rsidR="00A94285">
        <w:rPr>
          <w:sz w:val="24"/>
        </w:rPr>
        <w:t xml:space="preserve"> estimated </w:t>
      </w:r>
      <w:r w:rsidR="003B6561">
        <w:rPr>
          <w:sz w:val="24"/>
        </w:rPr>
        <w:t>benefits and overhead</w:t>
      </w:r>
      <w:r w:rsidR="00A94285">
        <w:rPr>
          <w:sz w:val="24"/>
        </w:rPr>
        <w:t xml:space="preserve"> of $33.65</w:t>
      </w:r>
      <w:r w:rsidR="003B6561">
        <w:rPr>
          <w:sz w:val="24"/>
        </w:rPr>
        <w:t>)</w:t>
      </w:r>
      <w:r w:rsidR="002D7E13">
        <w:rPr>
          <w:sz w:val="24"/>
        </w:rPr>
        <w:t xml:space="preserve"> </w:t>
      </w:r>
      <w:r w:rsidR="00784328" w:rsidRPr="007326DD">
        <w:rPr>
          <w:sz w:val="24"/>
        </w:rPr>
        <w:t xml:space="preserve">= </w:t>
      </w:r>
      <w:r>
        <w:rPr>
          <w:sz w:val="24"/>
        </w:rPr>
        <w:t>1144.10</w:t>
      </w:r>
      <w:r w:rsidR="00AD58FF">
        <w:rPr>
          <w:sz w:val="24"/>
        </w:rPr>
        <w:t xml:space="preserve"> </w:t>
      </w:r>
      <w:r w:rsidR="00B36B5D">
        <w:rPr>
          <w:sz w:val="24"/>
        </w:rPr>
        <w:t xml:space="preserve">per </w:t>
      </w:r>
      <w:r>
        <w:rPr>
          <w:sz w:val="24"/>
        </w:rPr>
        <w:tab/>
      </w:r>
      <w:r w:rsidR="00B36B5D">
        <w:rPr>
          <w:sz w:val="24"/>
        </w:rPr>
        <w:t xml:space="preserve">state </w:t>
      </w:r>
      <w:r w:rsidR="007326DD">
        <w:rPr>
          <w:sz w:val="24"/>
        </w:rPr>
        <w:t xml:space="preserve">x </w:t>
      </w:r>
      <w:r w:rsidR="00B36B5D">
        <w:rPr>
          <w:sz w:val="24"/>
        </w:rPr>
        <w:t>52 states</w:t>
      </w:r>
      <w:r w:rsidR="00784328" w:rsidRPr="007326DD">
        <w:rPr>
          <w:sz w:val="24"/>
        </w:rPr>
        <w:t xml:space="preserve"> = </w:t>
      </w:r>
      <w:r w:rsidR="00266E9C">
        <w:rPr>
          <w:sz w:val="24"/>
        </w:rPr>
        <w:t xml:space="preserve">59,493 </w:t>
      </w:r>
    </w:p>
    <w:p w:rsidR="00266E9C" w:rsidRDefault="00266E9C" w:rsidP="00B04F57">
      <w:pPr>
        <w:tabs>
          <w:tab w:val="left" w:pos="480"/>
          <w:tab w:val="left" w:pos="720"/>
          <w:tab w:val="left" w:pos="1350"/>
        </w:tabs>
        <w:ind w:left="480"/>
        <w:rPr>
          <w:sz w:val="24"/>
        </w:rPr>
      </w:pPr>
    </w:p>
    <w:tbl>
      <w:tblPr>
        <w:tblW w:w="820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188"/>
        <w:gridCol w:w="1135"/>
        <w:gridCol w:w="1473"/>
        <w:gridCol w:w="1205"/>
        <w:gridCol w:w="1744"/>
      </w:tblGrid>
      <w:tr w:rsidR="00AD58FF" w:rsidRPr="00E72AB0" w:rsidTr="009B07D4">
        <w:trPr>
          <w:trHeight w:val="903"/>
        </w:trPr>
        <w:tc>
          <w:tcPr>
            <w:tcW w:w="1463" w:type="dxa"/>
          </w:tcPr>
          <w:p w:rsidR="00AD58FF" w:rsidRPr="00C3126F" w:rsidRDefault="00AD58FF" w:rsidP="00E72AB0">
            <w:pPr>
              <w:widowControl/>
              <w:rPr>
                <w:b/>
                <w:bCs/>
                <w:szCs w:val="20"/>
              </w:rPr>
            </w:pPr>
            <w:r w:rsidRPr="00C3126F">
              <w:rPr>
                <w:b/>
                <w:bCs/>
                <w:szCs w:val="20"/>
              </w:rPr>
              <w:t>Type of</w:t>
            </w:r>
          </w:p>
          <w:p w:rsidR="00AD58FF" w:rsidRPr="00C3126F" w:rsidRDefault="00AD58FF" w:rsidP="00E72AB0">
            <w:pPr>
              <w:widowControl/>
              <w:rPr>
                <w:szCs w:val="20"/>
              </w:rPr>
            </w:pPr>
            <w:r w:rsidRPr="00C3126F">
              <w:rPr>
                <w:b/>
                <w:bCs/>
                <w:szCs w:val="20"/>
              </w:rPr>
              <w:t>Respondent</w:t>
            </w:r>
          </w:p>
          <w:p w:rsidR="00AD58FF" w:rsidRPr="00C3126F" w:rsidRDefault="00AD58FF" w:rsidP="00E72AB0">
            <w:pPr>
              <w:widowControl/>
              <w:rPr>
                <w:b/>
                <w:bCs/>
                <w:szCs w:val="20"/>
              </w:rPr>
            </w:pPr>
          </w:p>
        </w:tc>
        <w:tc>
          <w:tcPr>
            <w:tcW w:w="1188" w:type="dxa"/>
          </w:tcPr>
          <w:p w:rsidR="00AD58FF" w:rsidRPr="00C3126F" w:rsidRDefault="00AD58FF" w:rsidP="00E72AB0">
            <w:pPr>
              <w:widowControl/>
              <w:rPr>
                <w:b/>
                <w:bCs/>
                <w:szCs w:val="20"/>
              </w:rPr>
            </w:pPr>
            <w:r w:rsidRPr="00C3126F">
              <w:rPr>
                <w:b/>
                <w:bCs/>
                <w:szCs w:val="20"/>
              </w:rPr>
              <w:t>Total Burden</w:t>
            </w:r>
          </w:p>
          <w:p w:rsidR="00AD58FF" w:rsidRPr="00C3126F" w:rsidRDefault="00AD58FF" w:rsidP="00E72AB0">
            <w:pPr>
              <w:widowControl/>
              <w:rPr>
                <w:szCs w:val="20"/>
              </w:rPr>
            </w:pPr>
            <w:r w:rsidRPr="00C3126F">
              <w:rPr>
                <w:b/>
                <w:bCs/>
                <w:szCs w:val="20"/>
              </w:rPr>
              <w:t>Hours</w:t>
            </w:r>
          </w:p>
          <w:p w:rsidR="00AD58FF" w:rsidRPr="00C3126F" w:rsidRDefault="00AD58FF" w:rsidP="00E72AB0">
            <w:pPr>
              <w:widowControl/>
              <w:rPr>
                <w:b/>
                <w:bCs/>
                <w:szCs w:val="20"/>
              </w:rPr>
            </w:pPr>
          </w:p>
        </w:tc>
        <w:tc>
          <w:tcPr>
            <w:tcW w:w="1135" w:type="dxa"/>
          </w:tcPr>
          <w:p w:rsidR="00AD58FF" w:rsidRPr="00C3126F" w:rsidRDefault="00AD58FF" w:rsidP="00E72AB0">
            <w:pPr>
              <w:widowControl/>
              <w:rPr>
                <w:b/>
                <w:bCs/>
                <w:szCs w:val="20"/>
              </w:rPr>
            </w:pPr>
            <w:r w:rsidRPr="00C3126F">
              <w:rPr>
                <w:b/>
                <w:bCs/>
                <w:szCs w:val="20"/>
              </w:rPr>
              <w:t>Hourly</w:t>
            </w:r>
          </w:p>
          <w:p w:rsidR="00AD58FF" w:rsidRPr="00C3126F" w:rsidRDefault="00AD58FF" w:rsidP="00E72AB0">
            <w:pPr>
              <w:widowControl/>
              <w:rPr>
                <w:szCs w:val="20"/>
              </w:rPr>
            </w:pPr>
            <w:r w:rsidRPr="00C3126F">
              <w:rPr>
                <w:b/>
                <w:bCs/>
                <w:szCs w:val="20"/>
              </w:rPr>
              <w:t>Wage Rate</w:t>
            </w:r>
          </w:p>
          <w:p w:rsidR="00AD58FF" w:rsidRPr="00C3126F" w:rsidRDefault="00AD58FF" w:rsidP="00E72AB0">
            <w:pPr>
              <w:widowControl/>
              <w:rPr>
                <w:b/>
                <w:bCs/>
                <w:szCs w:val="20"/>
              </w:rPr>
            </w:pPr>
          </w:p>
        </w:tc>
        <w:tc>
          <w:tcPr>
            <w:tcW w:w="1473" w:type="dxa"/>
          </w:tcPr>
          <w:p w:rsidR="00AD58FF" w:rsidRPr="00C3126F" w:rsidRDefault="00AD58FF" w:rsidP="00E72AB0">
            <w:pPr>
              <w:widowControl/>
              <w:rPr>
                <w:b/>
                <w:bCs/>
                <w:szCs w:val="20"/>
              </w:rPr>
            </w:pPr>
            <w:r w:rsidRPr="00C3126F">
              <w:rPr>
                <w:b/>
                <w:bCs/>
                <w:szCs w:val="20"/>
              </w:rPr>
              <w:t>Overhead and benefits</w:t>
            </w:r>
          </w:p>
        </w:tc>
        <w:tc>
          <w:tcPr>
            <w:tcW w:w="1205" w:type="dxa"/>
          </w:tcPr>
          <w:p w:rsidR="00AD58FF" w:rsidRPr="00C3126F" w:rsidRDefault="00AD58FF" w:rsidP="00E72AB0">
            <w:pPr>
              <w:widowControl/>
              <w:rPr>
                <w:b/>
                <w:bCs/>
                <w:szCs w:val="20"/>
              </w:rPr>
            </w:pPr>
            <w:r w:rsidRPr="00C3126F">
              <w:rPr>
                <w:b/>
                <w:bCs/>
                <w:szCs w:val="20"/>
              </w:rPr>
              <w:t>Total</w:t>
            </w:r>
          </w:p>
        </w:tc>
        <w:tc>
          <w:tcPr>
            <w:tcW w:w="1744" w:type="dxa"/>
          </w:tcPr>
          <w:p w:rsidR="00AD58FF" w:rsidRPr="00C3126F" w:rsidRDefault="00AD58FF" w:rsidP="00E72AB0">
            <w:pPr>
              <w:widowControl/>
              <w:rPr>
                <w:szCs w:val="20"/>
              </w:rPr>
            </w:pPr>
            <w:r w:rsidRPr="00C3126F">
              <w:rPr>
                <w:b/>
                <w:bCs/>
                <w:szCs w:val="20"/>
              </w:rPr>
              <w:t>Total Respondent Costs</w:t>
            </w:r>
          </w:p>
          <w:p w:rsidR="00AD58FF" w:rsidRPr="00C3126F" w:rsidRDefault="00AD58FF" w:rsidP="00E72AB0">
            <w:pPr>
              <w:widowControl/>
              <w:rPr>
                <w:b/>
                <w:bCs/>
                <w:szCs w:val="20"/>
              </w:rPr>
            </w:pPr>
          </w:p>
        </w:tc>
      </w:tr>
      <w:tr w:rsidR="00AD58FF" w:rsidRPr="00E72AB0" w:rsidTr="009B07D4">
        <w:trPr>
          <w:trHeight w:val="151"/>
        </w:trPr>
        <w:tc>
          <w:tcPr>
            <w:tcW w:w="1463" w:type="dxa"/>
          </w:tcPr>
          <w:p w:rsidR="00AD58FF" w:rsidRPr="00C3126F" w:rsidRDefault="00AD58FF">
            <w:pPr>
              <w:rPr>
                <w:szCs w:val="20"/>
              </w:rPr>
            </w:pPr>
            <w:r w:rsidRPr="00C3126F">
              <w:rPr>
                <w:szCs w:val="20"/>
              </w:rPr>
              <w:t>Local Ombudsmen</w:t>
            </w:r>
          </w:p>
        </w:tc>
        <w:tc>
          <w:tcPr>
            <w:tcW w:w="1188" w:type="dxa"/>
          </w:tcPr>
          <w:p w:rsidR="003C6454" w:rsidRPr="00C3126F" w:rsidRDefault="003C6454" w:rsidP="003C6454">
            <w:pPr>
              <w:rPr>
                <w:szCs w:val="20"/>
              </w:rPr>
            </w:pPr>
            <w:r w:rsidRPr="00C3126F">
              <w:rPr>
                <w:szCs w:val="20"/>
              </w:rPr>
              <w:t>132.1</w:t>
            </w:r>
          </w:p>
        </w:tc>
        <w:tc>
          <w:tcPr>
            <w:tcW w:w="1135" w:type="dxa"/>
          </w:tcPr>
          <w:p w:rsidR="00AD58FF" w:rsidRPr="00C3126F" w:rsidRDefault="00AD58FF" w:rsidP="00C3126F">
            <w:pPr>
              <w:jc w:val="center"/>
              <w:rPr>
                <w:szCs w:val="20"/>
              </w:rPr>
            </w:pPr>
            <w:r w:rsidRPr="00C3126F">
              <w:rPr>
                <w:szCs w:val="20"/>
              </w:rPr>
              <w:t>$ 22.32</w:t>
            </w:r>
          </w:p>
        </w:tc>
        <w:tc>
          <w:tcPr>
            <w:tcW w:w="1473" w:type="dxa"/>
          </w:tcPr>
          <w:p w:rsidR="00AD58FF" w:rsidRPr="00C3126F" w:rsidRDefault="00AD58FF" w:rsidP="00C3126F">
            <w:pPr>
              <w:jc w:val="center"/>
              <w:rPr>
                <w:szCs w:val="20"/>
              </w:rPr>
            </w:pPr>
            <w:r w:rsidRPr="00C3126F">
              <w:rPr>
                <w:szCs w:val="20"/>
              </w:rPr>
              <w:t>$22.32</w:t>
            </w:r>
          </w:p>
        </w:tc>
        <w:tc>
          <w:tcPr>
            <w:tcW w:w="1205" w:type="dxa"/>
          </w:tcPr>
          <w:p w:rsidR="00AD58FF" w:rsidRPr="00C3126F" w:rsidDel="00AD58FF" w:rsidRDefault="00AD58FF" w:rsidP="00D81CF7">
            <w:pPr>
              <w:jc w:val="right"/>
              <w:rPr>
                <w:szCs w:val="20"/>
              </w:rPr>
            </w:pPr>
            <w:r w:rsidRPr="00C3126F">
              <w:rPr>
                <w:szCs w:val="20"/>
              </w:rPr>
              <w:t>$44.64</w:t>
            </w:r>
          </w:p>
        </w:tc>
        <w:tc>
          <w:tcPr>
            <w:tcW w:w="1744" w:type="dxa"/>
          </w:tcPr>
          <w:p w:rsidR="003B6561" w:rsidRPr="00C3126F" w:rsidRDefault="003C6454" w:rsidP="003C6454">
            <w:pPr>
              <w:jc w:val="right"/>
              <w:rPr>
                <w:szCs w:val="20"/>
              </w:rPr>
            </w:pPr>
            <w:r w:rsidRPr="00C3126F">
              <w:rPr>
                <w:szCs w:val="20"/>
              </w:rPr>
              <w:t>$5</w:t>
            </w:r>
            <w:r w:rsidR="00B638CF" w:rsidRPr="00C3126F">
              <w:rPr>
                <w:szCs w:val="20"/>
              </w:rPr>
              <w:t>,</w:t>
            </w:r>
            <w:r w:rsidRPr="00C3126F">
              <w:rPr>
                <w:szCs w:val="20"/>
              </w:rPr>
              <w:t xml:space="preserve">896.94 </w:t>
            </w:r>
          </w:p>
        </w:tc>
      </w:tr>
      <w:tr w:rsidR="00AD58FF" w:rsidRPr="00E72AB0" w:rsidTr="009B07D4">
        <w:trPr>
          <w:trHeight w:val="151"/>
        </w:trPr>
        <w:tc>
          <w:tcPr>
            <w:tcW w:w="1463" w:type="dxa"/>
          </w:tcPr>
          <w:p w:rsidR="00AD58FF" w:rsidRPr="00C3126F" w:rsidRDefault="00AD58FF">
            <w:pPr>
              <w:rPr>
                <w:szCs w:val="20"/>
              </w:rPr>
            </w:pPr>
            <w:r w:rsidRPr="00C3126F">
              <w:rPr>
                <w:szCs w:val="20"/>
              </w:rPr>
              <w:t>State Ombudsman Staff</w:t>
            </w:r>
          </w:p>
        </w:tc>
        <w:tc>
          <w:tcPr>
            <w:tcW w:w="1188" w:type="dxa"/>
          </w:tcPr>
          <w:p w:rsidR="00AD58FF" w:rsidRPr="00C3126F" w:rsidRDefault="00AD58FF" w:rsidP="00266E9C">
            <w:pPr>
              <w:rPr>
                <w:szCs w:val="20"/>
              </w:rPr>
            </w:pPr>
            <w:r w:rsidRPr="00C3126F">
              <w:rPr>
                <w:szCs w:val="20"/>
              </w:rPr>
              <w:t>1</w:t>
            </w:r>
            <w:r w:rsidR="00266E9C" w:rsidRPr="00C3126F">
              <w:rPr>
                <w:szCs w:val="20"/>
              </w:rPr>
              <w:t>7</w:t>
            </w:r>
          </w:p>
        </w:tc>
        <w:tc>
          <w:tcPr>
            <w:tcW w:w="1135" w:type="dxa"/>
          </w:tcPr>
          <w:p w:rsidR="00AD58FF" w:rsidRPr="00C3126F" w:rsidRDefault="00AD58FF" w:rsidP="00C3126F">
            <w:pPr>
              <w:jc w:val="center"/>
              <w:rPr>
                <w:szCs w:val="20"/>
              </w:rPr>
            </w:pPr>
            <w:r w:rsidRPr="00C3126F">
              <w:rPr>
                <w:szCs w:val="20"/>
              </w:rPr>
              <w:t>$33.65</w:t>
            </w:r>
          </w:p>
        </w:tc>
        <w:tc>
          <w:tcPr>
            <w:tcW w:w="1473" w:type="dxa"/>
          </w:tcPr>
          <w:p w:rsidR="00AD58FF" w:rsidRPr="00C3126F" w:rsidRDefault="00AD58FF" w:rsidP="00C3126F">
            <w:pPr>
              <w:jc w:val="center"/>
              <w:rPr>
                <w:szCs w:val="20"/>
              </w:rPr>
            </w:pPr>
            <w:r w:rsidRPr="00C3126F">
              <w:rPr>
                <w:szCs w:val="20"/>
              </w:rPr>
              <w:t>$33.65</w:t>
            </w:r>
          </w:p>
        </w:tc>
        <w:tc>
          <w:tcPr>
            <w:tcW w:w="1205" w:type="dxa"/>
          </w:tcPr>
          <w:p w:rsidR="00AD58FF" w:rsidRPr="00C3126F" w:rsidDel="00AD58FF" w:rsidRDefault="00AD58FF" w:rsidP="00FB4D1C">
            <w:pPr>
              <w:jc w:val="right"/>
              <w:rPr>
                <w:szCs w:val="20"/>
              </w:rPr>
            </w:pPr>
            <w:r w:rsidRPr="00C3126F">
              <w:rPr>
                <w:szCs w:val="20"/>
              </w:rPr>
              <w:t>$67.30</w:t>
            </w:r>
          </w:p>
        </w:tc>
        <w:tc>
          <w:tcPr>
            <w:tcW w:w="1744" w:type="dxa"/>
          </w:tcPr>
          <w:p w:rsidR="003B6561" w:rsidRPr="00C3126F" w:rsidRDefault="00266E9C" w:rsidP="00FB4D1C">
            <w:pPr>
              <w:jc w:val="right"/>
              <w:rPr>
                <w:szCs w:val="20"/>
              </w:rPr>
            </w:pPr>
            <w:r w:rsidRPr="00C3126F">
              <w:rPr>
                <w:szCs w:val="20"/>
              </w:rPr>
              <w:t>$1,144.10</w:t>
            </w:r>
          </w:p>
        </w:tc>
      </w:tr>
      <w:tr w:rsidR="00AD58FF" w:rsidRPr="00E72AB0" w:rsidTr="009B07D4">
        <w:trPr>
          <w:trHeight w:val="461"/>
        </w:trPr>
        <w:tc>
          <w:tcPr>
            <w:tcW w:w="1463" w:type="dxa"/>
          </w:tcPr>
          <w:p w:rsidR="00AD58FF" w:rsidRPr="00C3126F" w:rsidRDefault="00AD58FF" w:rsidP="00E72AB0">
            <w:pPr>
              <w:widowControl/>
              <w:rPr>
                <w:b/>
                <w:szCs w:val="20"/>
              </w:rPr>
            </w:pPr>
            <w:r w:rsidRPr="00C3126F">
              <w:rPr>
                <w:b/>
                <w:szCs w:val="20"/>
              </w:rPr>
              <w:t>Total</w:t>
            </w:r>
            <w:r w:rsidR="00B638CF" w:rsidRPr="00C3126F">
              <w:rPr>
                <w:b/>
                <w:szCs w:val="20"/>
              </w:rPr>
              <w:t xml:space="preserve"> Cost per Respondent</w:t>
            </w:r>
          </w:p>
        </w:tc>
        <w:tc>
          <w:tcPr>
            <w:tcW w:w="1188" w:type="dxa"/>
          </w:tcPr>
          <w:p w:rsidR="00AD58FF" w:rsidRPr="00C3126F" w:rsidRDefault="00C3126F" w:rsidP="00A84F43">
            <w:pPr>
              <w:widowControl/>
              <w:rPr>
                <w:szCs w:val="20"/>
              </w:rPr>
            </w:pPr>
            <w:r w:rsidRPr="00C3126F">
              <w:rPr>
                <w:szCs w:val="20"/>
              </w:rPr>
              <w:t>149.1</w:t>
            </w:r>
          </w:p>
        </w:tc>
        <w:tc>
          <w:tcPr>
            <w:tcW w:w="1135" w:type="dxa"/>
          </w:tcPr>
          <w:p w:rsidR="00AD58FF" w:rsidRPr="00C3126F" w:rsidRDefault="00AD58FF" w:rsidP="00C3126F">
            <w:pPr>
              <w:widowControl/>
              <w:jc w:val="center"/>
              <w:rPr>
                <w:szCs w:val="20"/>
              </w:rPr>
            </w:pPr>
          </w:p>
        </w:tc>
        <w:tc>
          <w:tcPr>
            <w:tcW w:w="1473" w:type="dxa"/>
          </w:tcPr>
          <w:p w:rsidR="00AD58FF" w:rsidRPr="00C3126F" w:rsidRDefault="00AD58FF" w:rsidP="00C3126F">
            <w:pPr>
              <w:widowControl/>
              <w:jc w:val="center"/>
              <w:rPr>
                <w:szCs w:val="20"/>
              </w:rPr>
            </w:pPr>
          </w:p>
        </w:tc>
        <w:tc>
          <w:tcPr>
            <w:tcW w:w="1205" w:type="dxa"/>
          </w:tcPr>
          <w:p w:rsidR="00AD58FF" w:rsidRPr="00C3126F" w:rsidRDefault="00AD58FF" w:rsidP="00D81CF7">
            <w:pPr>
              <w:widowControl/>
              <w:jc w:val="right"/>
              <w:rPr>
                <w:szCs w:val="20"/>
              </w:rPr>
            </w:pPr>
          </w:p>
        </w:tc>
        <w:tc>
          <w:tcPr>
            <w:tcW w:w="1744" w:type="dxa"/>
          </w:tcPr>
          <w:p w:rsidR="003C6454" w:rsidRPr="00C3126F" w:rsidRDefault="00266E9C" w:rsidP="003B6561">
            <w:pPr>
              <w:widowControl/>
              <w:jc w:val="right"/>
              <w:rPr>
                <w:szCs w:val="20"/>
              </w:rPr>
            </w:pPr>
            <w:r w:rsidRPr="00C3126F">
              <w:rPr>
                <w:szCs w:val="20"/>
              </w:rPr>
              <w:t xml:space="preserve">$7,041.04 </w:t>
            </w:r>
          </w:p>
          <w:p w:rsidR="00266E9C" w:rsidRPr="00C3126F" w:rsidRDefault="00266E9C" w:rsidP="003B6561">
            <w:pPr>
              <w:widowControl/>
              <w:jc w:val="right"/>
              <w:rPr>
                <w:szCs w:val="20"/>
              </w:rPr>
            </w:pPr>
          </w:p>
          <w:p w:rsidR="00AD58FF" w:rsidRPr="00C3126F" w:rsidRDefault="00AD58FF" w:rsidP="003B6561">
            <w:pPr>
              <w:widowControl/>
              <w:jc w:val="right"/>
              <w:rPr>
                <w:szCs w:val="20"/>
              </w:rPr>
            </w:pPr>
          </w:p>
          <w:p w:rsidR="003B6561" w:rsidRPr="00C3126F" w:rsidRDefault="003B6561" w:rsidP="003C6454">
            <w:pPr>
              <w:widowControl/>
              <w:jc w:val="right"/>
              <w:rPr>
                <w:szCs w:val="20"/>
              </w:rPr>
            </w:pPr>
          </w:p>
        </w:tc>
      </w:tr>
    </w:tbl>
    <w:p w:rsidR="006819CF" w:rsidRDefault="006819CF">
      <w:pPr>
        <w:pStyle w:val="BodyTextIndent"/>
        <w:ind w:left="1080"/>
        <w:rPr>
          <w:rFonts w:ascii="Times New Roman" w:hAnsi="Times New Roman"/>
        </w:rPr>
      </w:pPr>
    </w:p>
    <w:p w:rsidR="00894998" w:rsidRDefault="00A12021" w:rsidP="00B04F57">
      <w:pPr>
        <w:ind w:left="720"/>
        <w:rPr>
          <w:sz w:val="24"/>
        </w:rPr>
      </w:pPr>
      <w:r w:rsidRPr="00B36B5D">
        <w:rPr>
          <w:sz w:val="24"/>
        </w:rPr>
        <w:t>Total Annual Costs to All Respondents:</w:t>
      </w:r>
      <w:r w:rsidR="00894998" w:rsidRPr="00894998">
        <w:rPr>
          <w:sz w:val="24"/>
        </w:rPr>
        <w:t xml:space="preserve"> </w:t>
      </w:r>
      <w:r w:rsidR="005B680E" w:rsidRPr="005B680E">
        <w:rPr>
          <w:sz w:val="24"/>
        </w:rPr>
        <w:t xml:space="preserve">Total Annual Costs to All Respondents: </w:t>
      </w:r>
      <w:r w:rsidR="00266E9C" w:rsidRPr="00266E9C">
        <w:rPr>
          <w:sz w:val="24"/>
        </w:rPr>
        <w:t xml:space="preserve">$7,041.04 </w:t>
      </w:r>
      <w:r w:rsidR="00B638CF">
        <w:rPr>
          <w:sz w:val="24"/>
        </w:rPr>
        <w:t>x 52 states</w:t>
      </w:r>
      <w:r w:rsidR="005B680E" w:rsidRPr="005B680E">
        <w:rPr>
          <w:sz w:val="24"/>
        </w:rPr>
        <w:t xml:space="preserve"> </w:t>
      </w:r>
      <w:r w:rsidR="001632E2" w:rsidRPr="005B680E">
        <w:rPr>
          <w:sz w:val="24"/>
        </w:rPr>
        <w:t xml:space="preserve">= </w:t>
      </w:r>
      <w:r w:rsidR="001632E2">
        <w:rPr>
          <w:sz w:val="24"/>
        </w:rPr>
        <w:t>$</w:t>
      </w:r>
      <w:r w:rsidR="00266E9C" w:rsidRPr="00266E9C">
        <w:rPr>
          <w:sz w:val="24"/>
        </w:rPr>
        <w:t>366,134.29</w:t>
      </w:r>
    </w:p>
    <w:p w:rsidR="00EB4486" w:rsidRPr="00894998" w:rsidRDefault="00EB4486" w:rsidP="00894998">
      <w:pPr>
        <w:ind w:left="1080" w:firstLine="120"/>
        <w:rPr>
          <w:sz w:val="24"/>
        </w:rPr>
      </w:pPr>
    </w:p>
    <w:p w:rsidR="006819CF" w:rsidRDefault="006819CF" w:rsidP="00EB4486">
      <w:pPr>
        <w:numPr>
          <w:ilvl w:val="0"/>
          <w:numId w:val="2"/>
        </w:numPr>
        <w:rPr>
          <w:b/>
          <w:sz w:val="24"/>
        </w:rPr>
      </w:pPr>
      <w:r>
        <w:rPr>
          <w:b/>
          <w:sz w:val="24"/>
          <w:u w:val="single"/>
        </w:rPr>
        <w:t xml:space="preserve">Estimates of other Total Annual Cost Burden to Respondents or </w:t>
      </w:r>
      <w:r w:rsidR="00974AC0">
        <w:rPr>
          <w:b/>
          <w:sz w:val="24"/>
          <w:u w:val="single"/>
        </w:rPr>
        <w:t>Record keepers</w:t>
      </w:r>
      <w:r>
        <w:rPr>
          <w:b/>
          <w:sz w:val="24"/>
          <w:u w:val="single"/>
        </w:rPr>
        <w:t>/Capital Costs</w:t>
      </w:r>
    </w:p>
    <w:p w:rsidR="006819CF" w:rsidRDefault="006819CF">
      <w:pPr>
        <w:ind w:left="720"/>
        <w:rPr>
          <w:b/>
          <w:sz w:val="24"/>
        </w:rPr>
      </w:pPr>
    </w:p>
    <w:p w:rsidR="006819CF" w:rsidRDefault="00A76ADD" w:rsidP="00A76ADD">
      <w:pPr>
        <w:ind w:left="360" w:firstLine="360"/>
        <w:rPr>
          <w:sz w:val="24"/>
        </w:rPr>
      </w:pPr>
      <w:r>
        <w:rPr>
          <w:sz w:val="24"/>
        </w:rPr>
        <w:lastRenderedPageBreak/>
        <w:t>There are no other costs to respondents or record keepers or capital costs.</w:t>
      </w:r>
    </w:p>
    <w:p w:rsidR="00A76ADD" w:rsidRDefault="00A76ADD" w:rsidP="00A76ADD">
      <w:pPr>
        <w:ind w:left="360" w:firstLine="360"/>
        <w:rPr>
          <w:sz w:val="24"/>
        </w:rPr>
      </w:pPr>
    </w:p>
    <w:p w:rsidR="006819CF" w:rsidRDefault="006819CF">
      <w:pPr>
        <w:numPr>
          <w:ilvl w:val="0"/>
          <w:numId w:val="2"/>
        </w:numPr>
        <w:rPr>
          <w:b/>
          <w:sz w:val="24"/>
        </w:rPr>
      </w:pPr>
      <w:r>
        <w:rPr>
          <w:b/>
          <w:sz w:val="24"/>
          <w:u w:val="single"/>
        </w:rPr>
        <w:t>Annualized Cost to Federal Government</w:t>
      </w:r>
    </w:p>
    <w:p w:rsidR="006819CF" w:rsidRDefault="006819CF">
      <w:pPr>
        <w:ind w:left="720"/>
        <w:rPr>
          <w:sz w:val="24"/>
        </w:rPr>
      </w:pPr>
    </w:p>
    <w:p w:rsidR="0024482E" w:rsidRDefault="006D1F9F">
      <w:pPr>
        <w:ind w:left="720"/>
        <w:rPr>
          <w:sz w:val="24"/>
        </w:rPr>
      </w:pPr>
      <w:r>
        <w:rPr>
          <w:sz w:val="24"/>
        </w:rPr>
        <w:t>The table below describes the annualized cost to the federal government.</w:t>
      </w:r>
      <w:r w:rsidR="000824C6">
        <w:rPr>
          <w:sz w:val="24"/>
        </w:rPr>
        <w:t xml:space="preserve"> </w:t>
      </w:r>
      <w:r w:rsidR="00AB00DC" w:rsidRPr="00AB00DC">
        <w:rPr>
          <w:sz w:val="24"/>
        </w:rPr>
        <w:t xml:space="preserve">Cost to </w:t>
      </w:r>
      <w:r w:rsidR="00AB00DC">
        <w:rPr>
          <w:sz w:val="24"/>
        </w:rPr>
        <w:t>the federal government includes</w:t>
      </w:r>
      <w:r w:rsidR="00AB00DC" w:rsidRPr="00AB00DC">
        <w:rPr>
          <w:sz w:val="24"/>
        </w:rPr>
        <w:t xml:space="preserve"> staff time to review data for accuracy, analysis for trends, and costs associated with the contractor and oversight of contract.</w:t>
      </w:r>
      <w:r w:rsidR="00AB00DC">
        <w:rPr>
          <w:sz w:val="24"/>
        </w:rPr>
        <w:t xml:space="preserve">  The cost below </w:t>
      </w:r>
      <w:r w:rsidR="000824C6">
        <w:rPr>
          <w:sz w:val="24"/>
        </w:rPr>
        <w:t xml:space="preserve">is based on the General Schedule Locality Pay Table for the Washington-Baltimore-Northern Virginia area. </w:t>
      </w:r>
    </w:p>
    <w:p w:rsidR="006D1F9F" w:rsidRDefault="006D1F9F">
      <w:pPr>
        <w:ind w:left="720"/>
        <w:rPr>
          <w:sz w:val="24"/>
        </w:rPr>
      </w:pPr>
    </w:p>
    <w:tbl>
      <w:tblPr>
        <w:tblW w:w="603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0"/>
        <w:gridCol w:w="2010"/>
      </w:tblGrid>
      <w:tr w:rsidR="0024482E" w:rsidRPr="00E72AB0" w:rsidTr="0024482E">
        <w:trPr>
          <w:trHeight w:val="903"/>
        </w:trPr>
        <w:tc>
          <w:tcPr>
            <w:tcW w:w="2010" w:type="dxa"/>
          </w:tcPr>
          <w:p w:rsidR="0024482E" w:rsidRPr="00E72AB0" w:rsidRDefault="0024482E" w:rsidP="007123B1">
            <w:pPr>
              <w:widowControl/>
              <w:rPr>
                <w:b/>
                <w:bCs/>
                <w:sz w:val="22"/>
                <w:szCs w:val="22"/>
              </w:rPr>
            </w:pPr>
            <w:r>
              <w:rPr>
                <w:b/>
                <w:bCs/>
                <w:sz w:val="22"/>
                <w:szCs w:val="22"/>
              </w:rPr>
              <w:t>GS Grade/Step</w:t>
            </w:r>
          </w:p>
        </w:tc>
        <w:tc>
          <w:tcPr>
            <w:tcW w:w="2010" w:type="dxa"/>
          </w:tcPr>
          <w:p w:rsidR="0024482E" w:rsidRPr="00E72AB0" w:rsidRDefault="0024482E" w:rsidP="007123B1">
            <w:pPr>
              <w:widowControl/>
              <w:rPr>
                <w:b/>
                <w:bCs/>
                <w:sz w:val="22"/>
                <w:szCs w:val="22"/>
              </w:rPr>
            </w:pPr>
            <w:r>
              <w:rPr>
                <w:b/>
                <w:bCs/>
                <w:sz w:val="22"/>
                <w:szCs w:val="22"/>
              </w:rPr>
              <w:t>Percent Time</w:t>
            </w:r>
          </w:p>
        </w:tc>
        <w:tc>
          <w:tcPr>
            <w:tcW w:w="2010" w:type="dxa"/>
          </w:tcPr>
          <w:p w:rsidR="0024482E" w:rsidRPr="00E72AB0" w:rsidRDefault="0024482E" w:rsidP="007123B1">
            <w:pPr>
              <w:widowControl/>
              <w:rPr>
                <w:b/>
                <w:bCs/>
                <w:sz w:val="22"/>
                <w:szCs w:val="22"/>
              </w:rPr>
            </w:pPr>
            <w:r>
              <w:rPr>
                <w:b/>
                <w:bCs/>
                <w:sz w:val="22"/>
                <w:szCs w:val="22"/>
              </w:rPr>
              <w:t>Estimated Cost</w:t>
            </w:r>
          </w:p>
        </w:tc>
      </w:tr>
      <w:tr w:rsidR="0024482E" w:rsidRPr="00E72AB0" w:rsidTr="0024482E">
        <w:trPr>
          <w:trHeight w:val="151"/>
        </w:trPr>
        <w:tc>
          <w:tcPr>
            <w:tcW w:w="2010" w:type="dxa"/>
          </w:tcPr>
          <w:p w:rsidR="0024482E" w:rsidRPr="00E72AB0" w:rsidRDefault="0024482E" w:rsidP="007123B1">
            <w:pPr>
              <w:rPr>
                <w:sz w:val="24"/>
              </w:rPr>
            </w:pPr>
            <w:r>
              <w:rPr>
                <w:sz w:val="24"/>
              </w:rPr>
              <w:t>GS 15-4</w:t>
            </w:r>
          </w:p>
        </w:tc>
        <w:tc>
          <w:tcPr>
            <w:tcW w:w="2010" w:type="dxa"/>
          </w:tcPr>
          <w:p w:rsidR="0024482E" w:rsidRPr="00E72AB0" w:rsidRDefault="0024482E" w:rsidP="007123B1">
            <w:pPr>
              <w:rPr>
                <w:sz w:val="24"/>
              </w:rPr>
            </w:pPr>
            <w:r>
              <w:rPr>
                <w:sz w:val="24"/>
              </w:rPr>
              <w:t>2%</w:t>
            </w:r>
          </w:p>
        </w:tc>
        <w:tc>
          <w:tcPr>
            <w:tcW w:w="2010" w:type="dxa"/>
          </w:tcPr>
          <w:p w:rsidR="0024482E" w:rsidRPr="00E72AB0" w:rsidRDefault="000824C6" w:rsidP="0002300C">
            <w:pPr>
              <w:jc w:val="right"/>
              <w:rPr>
                <w:sz w:val="24"/>
              </w:rPr>
            </w:pPr>
            <w:r>
              <w:rPr>
                <w:sz w:val="24"/>
              </w:rPr>
              <w:t>$2</w:t>
            </w:r>
            <w:r w:rsidR="0002300C">
              <w:rPr>
                <w:sz w:val="24"/>
              </w:rPr>
              <w:t>,</w:t>
            </w:r>
            <w:r>
              <w:rPr>
                <w:sz w:val="24"/>
              </w:rPr>
              <w:t>777.42</w:t>
            </w:r>
          </w:p>
        </w:tc>
      </w:tr>
      <w:tr w:rsidR="0024482E" w:rsidRPr="00E72AB0" w:rsidTr="0024482E">
        <w:trPr>
          <w:trHeight w:val="151"/>
        </w:trPr>
        <w:tc>
          <w:tcPr>
            <w:tcW w:w="2010" w:type="dxa"/>
          </w:tcPr>
          <w:p w:rsidR="0024482E" w:rsidRPr="00E72AB0" w:rsidRDefault="0024482E" w:rsidP="007123B1">
            <w:pPr>
              <w:rPr>
                <w:sz w:val="24"/>
              </w:rPr>
            </w:pPr>
            <w:r>
              <w:rPr>
                <w:sz w:val="24"/>
              </w:rPr>
              <w:t>GS 13-8</w:t>
            </w:r>
          </w:p>
        </w:tc>
        <w:tc>
          <w:tcPr>
            <w:tcW w:w="2010" w:type="dxa"/>
          </w:tcPr>
          <w:p w:rsidR="0024482E" w:rsidRPr="00E72AB0" w:rsidRDefault="0024482E" w:rsidP="007123B1">
            <w:pPr>
              <w:rPr>
                <w:sz w:val="24"/>
              </w:rPr>
            </w:pPr>
            <w:r>
              <w:rPr>
                <w:sz w:val="24"/>
              </w:rPr>
              <w:t>5%</w:t>
            </w:r>
          </w:p>
        </w:tc>
        <w:tc>
          <w:tcPr>
            <w:tcW w:w="2010" w:type="dxa"/>
          </w:tcPr>
          <w:p w:rsidR="0024482E" w:rsidRPr="00E72AB0" w:rsidRDefault="0024482E" w:rsidP="000824C6">
            <w:pPr>
              <w:jc w:val="right"/>
              <w:rPr>
                <w:sz w:val="24"/>
              </w:rPr>
            </w:pPr>
            <w:r>
              <w:rPr>
                <w:sz w:val="24"/>
              </w:rPr>
              <w:t>$</w:t>
            </w:r>
            <w:r w:rsidR="000824C6">
              <w:rPr>
                <w:sz w:val="24"/>
              </w:rPr>
              <w:t>5,600.70</w:t>
            </w:r>
          </w:p>
        </w:tc>
      </w:tr>
      <w:tr w:rsidR="0024482E" w:rsidRPr="00E72AB0" w:rsidTr="0024482E">
        <w:trPr>
          <w:trHeight w:val="461"/>
        </w:trPr>
        <w:tc>
          <w:tcPr>
            <w:tcW w:w="2010" w:type="dxa"/>
          </w:tcPr>
          <w:p w:rsidR="0024482E" w:rsidRPr="00E72AB0" w:rsidRDefault="0024482E" w:rsidP="007123B1">
            <w:pPr>
              <w:widowControl/>
              <w:rPr>
                <w:sz w:val="24"/>
              </w:rPr>
            </w:pPr>
            <w:r>
              <w:rPr>
                <w:sz w:val="24"/>
              </w:rPr>
              <w:t>GS 13-4</w:t>
            </w:r>
          </w:p>
        </w:tc>
        <w:tc>
          <w:tcPr>
            <w:tcW w:w="2010" w:type="dxa"/>
          </w:tcPr>
          <w:p w:rsidR="0024482E" w:rsidRPr="00E72AB0" w:rsidRDefault="0024482E" w:rsidP="007123B1">
            <w:pPr>
              <w:widowControl/>
              <w:rPr>
                <w:sz w:val="24"/>
              </w:rPr>
            </w:pPr>
            <w:r>
              <w:rPr>
                <w:sz w:val="24"/>
              </w:rPr>
              <w:t xml:space="preserve">10% </w:t>
            </w:r>
          </w:p>
        </w:tc>
        <w:tc>
          <w:tcPr>
            <w:tcW w:w="2010" w:type="dxa"/>
          </w:tcPr>
          <w:p w:rsidR="0024482E" w:rsidRPr="00E72AB0" w:rsidRDefault="0024482E" w:rsidP="000824C6">
            <w:pPr>
              <w:widowControl/>
              <w:jc w:val="right"/>
              <w:rPr>
                <w:sz w:val="24"/>
              </w:rPr>
            </w:pPr>
            <w:r>
              <w:rPr>
                <w:sz w:val="24"/>
              </w:rPr>
              <w:t>$</w:t>
            </w:r>
            <w:r w:rsidR="000824C6">
              <w:rPr>
                <w:sz w:val="24"/>
              </w:rPr>
              <w:t>9,990.50</w:t>
            </w:r>
          </w:p>
        </w:tc>
      </w:tr>
      <w:tr w:rsidR="0024482E" w:rsidRPr="00E72AB0" w:rsidTr="0024482E">
        <w:trPr>
          <w:trHeight w:val="461"/>
        </w:trPr>
        <w:tc>
          <w:tcPr>
            <w:tcW w:w="2010" w:type="dxa"/>
          </w:tcPr>
          <w:p w:rsidR="0024482E" w:rsidRDefault="0024482E" w:rsidP="007123B1">
            <w:pPr>
              <w:widowControl/>
              <w:rPr>
                <w:sz w:val="24"/>
              </w:rPr>
            </w:pPr>
          </w:p>
        </w:tc>
        <w:tc>
          <w:tcPr>
            <w:tcW w:w="2010" w:type="dxa"/>
          </w:tcPr>
          <w:p w:rsidR="0024482E" w:rsidRDefault="0024482E" w:rsidP="007123B1">
            <w:pPr>
              <w:widowControl/>
              <w:rPr>
                <w:sz w:val="24"/>
              </w:rPr>
            </w:pPr>
            <w:r>
              <w:rPr>
                <w:sz w:val="24"/>
              </w:rPr>
              <w:t>Contract Cost</w:t>
            </w:r>
          </w:p>
        </w:tc>
        <w:tc>
          <w:tcPr>
            <w:tcW w:w="2010" w:type="dxa"/>
          </w:tcPr>
          <w:p w:rsidR="0024482E" w:rsidRDefault="0024482E" w:rsidP="007123B1">
            <w:pPr>
              <w:widowControl/>
              <w:jc w:val="right"/>
              <w:rPr>
                <w:sz w:val="24"/>
              </w:rPr>
            </w:pPr>
            <w:r>
              <w:rPr>
                <w:sz w:val="24"/>
              </w:rPr>
              <w:t>$172,500</w:t>
            </w:r>
          </w:p>
        </w:tc>
      </w:tr>
      <w:tr w:rsidR="0024482E" w:rsidRPr="00E72AB0" w:rsidTr="0024482E">
        <w:trPr>
          <w:trHeight w:val="461"/>
        </w:trPr>
        <w:tc>
          <w:tcPr>
            <w:tcW w:w="2010" w:type="dxa"/>
          </w:tcPr>
          <w:p w:rsidR="0024482E" w:rsidRDefault="0024482E" w:rsidP="007123B1">
            <w:pPr>
              <w:widowControl/>
              <w:rPr>
                <w:sz w:val="24"/>
              </w:rPr>
            </w:pPr>
          </w:p>
        </w:tc>
        <w:tc>
          <w:tcPr>
            <w:tcW w:w="2010" w:type="dxa"/>
          </w:tcPr>
          <w:p w:rsidR="0024482E" w:rsidRDefault="0024482E" w:rsidP="007123B1">
            <w:pPr>
              <w:widowControl/>
              <w:rPr>
                <w:sz w:val="24"/>
              </w:rPr>
            </w:pPr>
            <w:r>
              <w:rPr>
                <w:sz w:val="24"/>
              </w:rPr>
              <w:t>Annualized Cost to Federal Government</w:t>
            </w:r>
          </w:p>
        </w:tc>
        <w:tc>
          <w:tcPr>
            <w:tcW w:w="2010" w:type="dxa"/>
          </w:tcPr>
          <w:p w:rsidR="0024482E" w:rsidRDefault="000824C6" w:rsidP="007123B1">
            <w:pPr>
              <w:widowControl/>
              <w:jc w:val="right"/>
              <w:rPr>
                <w:sz w:val="24"/>
              </w:rPr>
            </w:pPr>
            <w:r>
              <w:rPr>
                <w:sz w:val="24"/>
              </w:rPr>
              <w:t>$190,868.62</w:t>
            </w:r>
          </w:p>
        </w:tc>
      </w:tr>
    </w:tbl>
    <w:p w:rsidR="00AA6414" w:rsidRPr="00A76ADD" w:rsidRDefault="00AA6414" w:rsidP="0024482E">
      <w:pPr>
        <w:rPr>
          <w:sz w:val="24"/>
        </w:rPr>
      </w:pPr>
    </w:p>
    <w:p w:rsidR="00BF247A" w:rsidRDefault="00A76ADD" w:rsidP="0024482E">
      <w:pPr>
        <w:keepNext/>
        <w:keepLines/>
        <w:tabs>
          <w:tab w:val="left" w:pos="1200"/>
        </w:tabs>
        <w:ind w:left="6480" w:hanging="6000"/>
        <w:rPr>
          <w:sz w:val="24"/>
        </w:rPr>
      </w:pPr>
      <w:r w:rsidRPr="00A76ADD">
        <w:rPr>
          <w:sz w:val="24"/>
        </w:rPr>
        <w:tab/>
      </w:r>
      <w:r w:rsidRPr="00BF247A">
        <w:rPr>
          <w:sz w:val="24"/>
        </w:rPr>
        <w:t xml:space="preserve"> </w:t>
      </w:r>
    </w:p>
    <w:p w:rsidR="006819CF" w:rsidRPr="00A12021" w:rsidRDefault="006819CF">
      <w:pPr>
        <w:numPr>
          <w:ilvl w:val="0"/>
          <w:numId w:val="2"/>
        </w:numPr>
        <w:rPr>
          <w:b/>
          <w:sz w:val="24"/>
        </w:rPr>
      </w:pPr>
      <w:r w:rsidRPr="00A12021">
        <w:rPr>
          <w:b/>
          <w:sz w:val="24"/>
          <w:u w:val="single"/>
        </w:rPr>
        <w:t>Explanation for Program Changes or Adjustments</w:t>
      </w:r>
    </w:p>
    <w:p w:rsidR="00A12021" w:rsidRPr="00595557" w:rsidRDefault="003F7374" w:rsidP="00A12021">
      <w:pPr>
        <w:ind w:left="720"/>
        <w:rPr>
          <w:sz w:val="24"/>
        </w:rPr>
      </w:pPr>
      <w:r>
        <w:rPr>
          <w:sz w:val="24"/>
        </w:rPr>
        <w:t xml:space="preserve">As noted </w:t>
      </w:r>
      <w:r w:rsidR="00710EDC">
        <w:rPr>
          <w:sz w:val="24"/>
        </w:rPr>
        <w:t>in</w:t>
      </w:r>
      <w:r>
        <w:rPr>
          <w:sz w:val="24"/>
        </w:rPr>
        <w:t xml:space="preserve"> the response to question 12, the overall </w:t>
      </w:r>
      <w:r w:rsidR="00595557">
        <w:rPr>
          <w:sz w:val="24"/>
        </w:rPr>
        <w:t xml:space="preserve">burden hours </w:t>
      </w:r>
      <w:r w:rsidR="00710EDC">
        <w:rPr>
          <w:sz w:val="24"/>
        </w:rPr>
        <w:t>for State, local, or tribal governments under</w:t>
      </w:r>
      <w:r>
        <w:rPr>
          <w:sz w:val="24"/>
        </w:rPr>
        <w:t xml:space="preserve"> the current data collection </w:t>
      </w:r>
      <w:r w:rsidR="00595557">
        <w:rPr>
          <w:sz w:val="24"/>
        </w:rPr>
        <w:t>decreased from 8,569 hours to 7,702 hours due to a decrease in the number of</w:t>
      </w:r>
      <w:r w:rsidR="005D163F">
        <w:rPr>
          <w:sz w:val="24"/>
        </w:rPr>
        <w:t xml:space="preserve"> cases</w:t>
      </w:r>
      <w:r w:rsidR="00595557">
        <w:rPr>
          <w:sz w:val="24"/>
        </w:rPr>
        <w:t>.</w:t>
      </w:r>
      <w:r>
        <w:rPr>
          <w:sz w:val="24"/>
        </w:rPr>
        <w:t xml:space="preserve">  However, this decrease is partially offset by the addition of the new element </w:t>
      </w:r>
      <w:r w:rsidR="00710EDC">
        <w:rPr>
          <w:sz w:val="24"/>
        </w:rPr>
        <w:t>on</w:t>
      </w:r>
      <w:r>
        <w:rPr>
          <w:sz w:val="24"/>
        </w:rPr>
        <w:t xml:space="preserve"> conflict of interest.  This added an additional 52 hours for a revised total annual </w:t>
      </w:r>
      <w:r w:rsidR="00710EDC">
        <w:rPr>
          <w:sz w:val="24"/>
        </w:rPr>
        <w:t>burden</w:t>
      </w:r>
      <w:r>
        <w:rPr>
          <w:sz w:val="24"/>
        </w:rPr>
        <w:t xml:space="preserve"> of 7,754.3.  </w:t>
      </w:r>
    </w:p>
    <w:p w:rsidR="006819CF" w:rsidRDefault="006819CF">
      <w:pPr>
        <w:ind w:left="720"/>
        <w:rPr>
          <w:b/>
          <w:sz w:val="24"/>
        </w:rPr>
      </w:pPr>
    </w:p>
    <w:p w:rsidR="006819CF" w:rsidRPr="00A76ADD" w:rsidRDefault="006819CF">
      <w:pPr>
        <w:numPr>
          <w:ilvl w:val="0"/>
          <w:numId w:val="2"/>
        </w:numPr>
        <w:rPr>
          <w:b/>
          <w:sz w:val="24"/>
        </w:rPr>
      </w:pPr>
      <w:r>
        <w:rPr>
          <w:b/>
          <w:sz w:val="24"/>
          <w:u w:val="single"/>
        </w:rPr>
        <w:t>Plans for Tabulation and Publication and Project Time Schedule</w:t>
      </w:r>
    </w:p>
    <w:p w:rsidR="00A76ADD" w:rsidRPr="00801E41" w:rsidRDefault="00A76ADD" w:rsidP="00A76ADD">
      <w:pPr>
        <w:rPr>
          <w:sz w:val="24"/>
        </w:rPr>
      </w:pPr>
    </w:p>
    <w:p w:rsidR="009C6D70" w:rsidRDefault="00801E41" w:rsidP="00375859">
      <w:pPr>
        <w:ind w:left="720"/>
        <w:rPr>
          <w:sz w:val="24"/>
        </w:rPr>
      </w:pPr>
      <w:r w:rsidRPr="00801E41">
        <w:rPr>
          <w:sz w:val="24"/>
        </w:rPr>
        <w:t xml:space="preserve">States </w:t>
      </w:r>
      <w:r w:rsidR="0095615D">
        <w:rPr>
          <w:sz w:val="24"/>
        </w:rPr>
        <w:t xml:space="preserve">collect their data from October 1 through September 30 of the fiscal year.  They </w:t>
      </w:r>
      <w:r w:rsidRPr="00801E41">
        <w:rPr>
          <w:sz w:val="24"/>
        </w:rPr>
        <w:t>submit t</w:t>
      </w:r>
      <w:r w:rsidR="00A76ADD" w:rsidRPr="00801E41">
        <w:rPr>
          <w:sz w:val="24"/>
        </w:rPr>
        <w:t>he data and narrative</w:t>
      </w:r>
      <w:r w:rsidR="00CE66D8">
        <w:rPr>
          <w:sz w:val="24"/>
        </w:rPr>
        <w:t xml:space="preserve"> to the</w:t>
      </w:r>
      <w:r w:rsidR="00121A87">
        <w:rPr>
          <w:sz w:val="24"/>
        </w:rPr>
        <w:t xml:space="preserve"> Ombudsman Reporting Tool (ORT)</w:t>
      </w:r>
      <w:r w:rsidR="00CE66D8">
        <w:rPr>
          <w:sz w:val="24"/>
        </w:rPr>
        <w:t>.</w:t>
      </w:r>
    </w:p>
    <w:p w:rsidR="00375859" w:rsidRDefault="00375859" w:rsidP="0043593B">
      <w:pPr>
        <w:rPr>
          <w:sz w:val="24"/>
        </w:rPr>
      </w:pPr>
    </w:p>
    <w:p w:rsidR="00CE66D8" w:rsidRDefault="00801E41" w:rsidP="00375859">
      <w:pPr>
        <w:ind w:left="720"/>
        <w:rPr>
          <w:sz w:val="24"/>
        </w:rPr>
      </w:pPr>
      <w:r>
        <w:rPr>
          <w:sz w:val="24"/>
        </w:rPr>
        <w:t>The due date for the State reports is January 3</w:t>
      </w:r>
      <w:r w:rsidR="004C76C4">
        <w:rPr>
          <w:sz w:val="24"/>
        </w:rPr>
        <w:t>1</w:t>
      </w:r>
      <w:r>
        <w:rPr>
          <w:sz w:val="24"/>
        </w:rPr>
        <w:t xml:space="preserve"> for the previous fiscal year</w:t>
      </w:r>
      <w:r w:rsidR="00564E8D">
        <w:rPr>
          <w:sz w:val="24"/>
        </w:rPr>
        <w:t xml:space="preserve">. </w:t>
      </w:r>
      <w:r>
        <w:rPr>
          <w:sz w:val="24"/>
        </w:rPr>
        <w:t>The data is reviewed by the contractor, inconsistencies are noted and, when needed, states are asked to correct and resubmit their reports.</w:t>
      </w:r>
      <w:r w:rsidR="00C44F6C">
        <w:rPr>
          <w:sz w:val="24"/>
        </w:rPr>
        <w:t xml:space="preserve">  AOA</w:t>
      </w:r>
      <w:r w:rsidR="009C6D70">
        <w:rPr>
          <w:sz w:val="24"/>
        </w:rPr>
        <w:t xml:space="preserve"> staff conducts a final review based on the findings of the contractor and certifies the report as final when all corrections have been made. </w:t>
      </w:r>
      <w:r>
        <w:rPr>
          <w:sz w:val="24"/>
        </w:rPr>
        <w:t xml:space="preserve">  </w:t>
      </w:r>
      <w:r w:rsidR="0095615D">
        <w:rPr>
          <w:sz w:val="24"/>
        </w:rPr>
        <w:t xml:space="preserve">This process typically takes three to four months. When the national data is finalized, the tables are posted on the </w:t>
      </w:r>
      <w:r w:rsidR="00564E8D">
        <w:rPr>
          <w:sz w:val="24"/>
        </w:rPr>
        <w:t>ACL/</w:t>
      </w:r>
      <w:r w:rsidR="00C44F6C">
        <w:rPr>
          <w:sz w:val="24"/>
        </w:rPr>
        <w:t xml:space="preserve">AOA </w:t>
      </w:r>
      <w:r w:rsidR="0095615D">
        <w:rPr>
          <w:sz w:val="24"/>
        </w:rPr>
        <w:t>website</w:t>
      </w:r>
      <w:r w:rsidR="00121A87">
        <w:rPr>
          <w:sz w:val="24"/>
        </w:rPr>
        <w:t xml:space="preserve">.  States can access </w:t>
      </w:r>
      <w:r w:rsidR="0095615D">
        <w:rPr>
          <w:sz w:val="24"/>
        </w:rPr>
        <w:t>charts and graphs</w:t>
      </w:r>
      <w:r w:rsidR="00121A87">
        <w:rPr>
          <w:sz w:val="24"/>
        </w:rPr>
        <w:t xml:space="preserve"> </w:t>
      </w:r>
      <w:r w:rsidR="00CE66D8">
        <w:rPr>
          <w:sz w:val="24"/>
        </w:rPr>
        <w:t>i</w:t>
      </w:r>
      <w:r w:rsidR="00121A87">
        <w:rPr>
          <w:sz w:val="24"/>
        </w:rPr>
        <w:t>n the ORT for any fiscal year.</w:t>
      </w:r>
      <w:r w:rsidR="00375859">
        <w:rPr>
          <w:sz w:val="24"/>
        </w:rPr>
        <w:t xml:space="preserve"> </w:t>
      </w:r>
      <w:r w:rsidR="0095615D">
        <w:rPr>
          <w:sz w:val="24"/>
        </w:rPr>
        <w:t>The report to Congress is prepared in the summer months and submitted as soon as it is approved, typically in the early fall.</w:t>
      </w:r>
    </w:p>
    <w:p w:rsidR="00CE66D8" w:rsidRDefault="00CE66D8" w:rsidP="0095615D">
      <w:pPr>
        <w:ind w:left="720"/>
        <w:rPr>
          <w:sz w:val="24"/>
        </w:rPr>
      </w:pPr>
    </w:p>
    <w:p w:rsidR="00CE66D8" w:rsidRDefault="00CE66D8" w:rsidP="00CE66D8">
      <w:pPr>
        <w:ind w:left="720"/>
        <w:rPr>
          <w:sz w:val="24"/>
        </w:rPr>
      </w:pPr>
      <w:proofErr w:type="spellStart"/>
      <w:r w:rsidRPr="00CE66D8">
        <w:rPr>
          <w:sz w:val="24"/>
        </w:rPr>
        <w:lastRenderedPageBreak/>
        <w:t>AoA</w:t>
      </w:r>
      <w:proofErr w:type="spellEnd"/>
      <w:r w:rsidRPr="00CE66D8">
        <w:rPr>
          <w:sz w:val="24"/>
        </w:rPr>
        <w:t xml:space="preserve"> prepares reports, a fact sheet and other information based on the data and posts the data tables on its website at:</w:t>
      </w:r>
    </w:p>
    <w:p w:rsidR="00B133C7" w:rsidRDefault="00B133C7" w:rsidP="00CE66D8">
      <w:pPr>
        <w:ind w:left="720"/>
        <w:rPr>
          <w:sz w:val="24"/>
        </w:rPr>
      </w:pPr>
    </w:p>
    <w:p w:rsidR="00B133C7" w:rsidRDefault="001B7C8D" w:rsidP="00CE66D8">
      <w:pPr>
        <w:ind w:left="720"/>
        <w:rPr>
          <w:sz w:val="24"/>
        </w:rPr>
      </w:pPr>
      <w:hyperlink r:id="rId12" w:history="1">
        <w:r w:rsidR="00B133C7" w:rsidRPr="005D201C">
          <w:rPr>
            <w:rStyle w:val="Hyperlink"/>
            <w:sz w:val="24"/>
          </w:rPr>
          <w:t>http://www.agid.acl.gov</w:t>
        </w:r>
      </w:hyperlink>
    </w:p>
    <w:p w:rsidR="00CE66D8" w:rsidRPr="00CE66D8" w:rsidRDefault="00CE66D8" w:rsidP="00CE66D8">
      <w:pPr>
        <w:ind w:left="720"/>
        <w:rPr>
          <w:sz w:val="24"/>
        </w:rPr>
      </w:pPr>
    </w:p>
    <w:p w:rsidR="00CE66D8" w:rsidRPr="00CE66D8" w:rsidRDefault="001B7C8D" w:rsidP="00CE66D8">
      <w:pPr>
        <w:ind w:left="720"/>
        <w:rPr>
          <w:sz w:val="24"/>
        </w:rPr>
      </w:pPr>
      <w:hyperlink r:id="rId13" w:history="1">
        <w:r w:rsidR="00375859" w:rsidRPr="00AD4575">
          <w:rPr>
            <w:rStyle w:val="Hyperlink"/>
            <w:sz w:val="24"/>
          </w:rPr>
          <w:t>http://www.aoa.acl.gov/AoA_Programs/Elder_Rights/Ombudsman/index.aspx</w:t>
        </w:r>
      </w:hyperlink>
      <w:r w:rsidR="00375859">
        <w:rPr>
          <w:sz w:val="24"/>
        </w:rPr>
        <w:t xml:space="preserve"> </w:t>
      </w:r>
    </w:p>
    <w:p w:rsidR="0095615D" w:rsidRDefault="0095615D" w:rsidP="00375859">
      <w:pPr>
        <w:rPr>
          <w:sz w:val="24"/>
        </w:rPr>
      </w:pPr>
    </w:p>
    <w:p w:rsidR="00B04F57" w:rsidRDefault="00B04F57" w:rsidP="00B638CF">
      <w:pPr>
        <w:ind w:left="720"/>
        <w:rPr>
          <w:b/>
          <w:sz w:val="24"/>
          <w:u w:val="single"/>
        </w:rPr>
      </w:pPr>
    </w:p>
    <w:p w:rsidR="00DA7FF5" w:rsidRDefault="00B04F57" w:rsidP="00B04F57">
      <w:pPr>
        <w:numPr>
          <w:ilvl w:val="0"/>
          <w:numId w:val="2"/>
        </w:numPr>
        <w:ind w:left="720"/>
        <w:rPr>
          <w:b/>
          <w:sz w:val="24"/>
          <w:u w:val="single"/>
        </w:rPr>
      </w:pPr>
      <w:r w:rsidRPr="00B04F57">
        <w:rPr>
          <w:b/>
          <w:sz w:val="24"/>
          <w:u w:val="single"/>
        </w:rPr>
        <w:t>E</w:t>
      </w:r>
      <w:r w:rsidR="006819CF" w:rsidRPr="00B04F57">
        <w:rPr>
          <w:b/>
          <w:sz w:val="24"/>
          <w:u w:val="single"/>
        </w:rPr>
        <w:t xml:space="preserve">xpiration Date </w:t>
      </w:r>
    </w:p>
    <w:p w:rsidR="00B04F57" w:rsidRDefault="00B04F57" w:rsidP="00B04F57">
      <w:pPr>
        <w:ind w:left="720"/>
        <w:rPr>
          <w:b/>
          <w:sz w:val="24"/>
          <w:u w:val="single"/>
        </w:rPr>
      </w:pPr>
    </w:p>
    <w:p w:rsidR="00B04F57" w:rsidRPr="00B04F57" w:rsidRDefault="00B04F57" w:rsidP="00B04F57">
      <w:pPr>
        <w:ind w:firstLine="720"/>
        <w:rPr>
          <w:sz w:val="24"/>
        </w:rPr>
      </w:pPr>
      <w:r w:rsidRPr="00B04F57">
        <w:rPr>
          <w:sz w:val="24"/>
        </w:rPr>
        <w:t>The expiration date will be displayed in the header; the expiration date is July 31, 2017</w:t>
      </w:r>
    </w:p>
    <w:p w:rsidR="00DA7FF5" w:rsidRPr="00DA7FF5" w:rsidRDefault="00DA7FF5" w:rsidP="00B04F57">
      <w:pPr>
        <w:rPr>
          <w:sz w:val="24"/>
        </w:rPr>
      </w:pPr>
    </w:p>
    <w:p w:rsidR="006819CF" w:rsidRDefault="006819CF">
      <w:pPr>
        <w:ind w:left="360"/>
        <w:rPr>
          <w:sz w:val="24"/>
        </w:rPr>
      </w:pPr>
    </w:p>
    <w:p w:rsidR="006819CF" w:rsidRDefault="006819CF" w:rsidP="00B04F57">
      <w:pPr>
        <w:numPr>
          <w:ilvl w:val="0"/>
          <w:numId w:val="2"/>
        </w:numPr>
        <w:ind w:left="720"/>
        <w:rPr>
          <w:b/>
          <w:sz w:val="24"/>
        </w:rPr>
      </w:pPr>
      <w:r>
        <w:rPr>
          <w:b/>
          <w:sz w:val="24"/>
          <w:u w:val="single"/>
        </w:rPr>
        <w:t>Exceptions to Certification for Paperwork Reduction Act Submissions</w:t>
      </w:r>
    </w:p>
    <w:p w:rsidR="00DA7FF5" w:rsidRDefault="00DA7FF5">
      <w:pPr>
        <w:pStyle w:val="BodyTextIndent"/>
        <w:ind w:left="1080"/>
        <w:rPr>
          <w:rFonts w:ascii="Times New Roman" w:hAnsi="Times New Roman"/>
        </w:rPr>
      </w:pPr>
    </w:p>
    <w:p w:rsidR="006819CF" w:rsidRDefault="002E4DA4" w:rsidP="00DA7FF5">
      <w:pPr>
        <w:pStyle w:val="BodyTextIndent"/>
        <w:ind w:left="1080" w:hanging="360"/>
        <w:rPr>
          <w:rFonts w:ascii="Times New Roman" w:hAnsi="Times New Roman"/>
        </w:rPr>
      </w:pPr>
      <w:r>
        <w:rPr>
          <w:rFonts w:ascii="Times New Roman" w:hAnsi="Times New Roman"/>
        </w:rPr>
        <w:t xml:space="preserve"> </w:t>
      </w:r>
      <w:r w:rsidR="006819CF">
        <w:rPr>
          <w:rFonts w:ascii="Times New Roman" w:hAnsi="Times New Roman"/>
        </w:rPr>
        <w:t>There are no e</w:t>
      </w:r>
      <w:r>
        <w:rPr>
          <w:rFonts w:ascii="Times New Roman" w:hAnsi="Times New Roman"/>
        </w:rPr>
        <w:t>xceptions to the certification.</w:t>
      </w:r>
    </w:p>
    <w:p w:rsidR="006819CF" w:rsidRDefault="006819CF">
      <w:pPr>
        <w:pStyle w:val="BodyTextIndent"/>
        <w:ind w:left="1080"/>
        <w:rPr>
          <w:rFonts w:ascii="Times New Roman" w:hAnsi="Times New Roman"/>
        </w:rPr>
      </w:pPr>
    </w:p>
    <w:p w:rsidR="006819CF" w:rsidRDefault="006819CF">
      <w:pPr>
        <w:pStyle w:val="Heading1"/>
        <w:ind w:left="720"/>
      </w:pPr>
      <w:r>
        <w:t>B.</w:t>
      </w:r>
      <w:r>
        <w:tab/>
        <w:t>Collection of Informatio</w:t>
      </w:r>
      <w:r w:rsidR="004717F0">
        <w:t>n Employing Statistical Methods. If st</w:t>
      </w:r>
      <w:r>
        <w:t xml:space="preserve">atistical methods will not be used to select respondents and item 17 on Form 83-I is checked “No” use this section to describe data collection procedures.  </w:t>
      </w:r>
    </w:p>
    <w:p w:rsidR="006819CF" w:rsidRPr="00DA7FF5" w:rsidRDefault="006819CF">
      <w:pPr>
        <w:pStyle w:val="Heading1"/>
        <w:ind w:left="720"/>
        <w:rPr>
          <w:b w:val="0"/>
        </w:rPr>
      </w:pPr>
    </w:p>
    <w:p w:rsidR="004717F0" w:rsidRPr="004717F0" w:rsidRDefault="00DA7FF5" w:rsidP="004717F0">
      <w:pPr>
        <w:ind w:left="720"/>
      </w:pPr>
      <w:r w:rsidRPr="004717F0">
        <w:rPr>
          <w:bCs/>
          <w:sz w:val="24"/>
        </w:rPr>
        <w:t xml:space="preserve">These collections do not employ statistical methods.  The Older Americans Act requires all states to submit an annual ombudsman report to </w:t>
      </w:r>
      <w:proofErr w:type="spellStart"/>
      <w:r w:rsidRPr="004717F0">
        <w:rPr>
          <w:bCs/>
          <w:sz w:val="24"/>
        </w:rPr>
        <w:t>AoA</w:t>
      </w:r>
      <w:proofErr w:type="spellEnd"/>
      <w:r w:rsidRPr="004717F0">
        <w:rPr>
          <w:bCs/>
          <w:sz w:val="24"/>
        </w:rPr>
        <w:t xml:space="preserve"> and </w:t>
      </w:r>
      <w:proofErr w:type="spellStart"/>
      <w:r w:rsidRPr="004717F0">
        <w:rPr>
          <w:bCs/>
          <w:sz w:val="24"/>
        </w:rPr>
        <w:t>AoA</w:t>
      </w:r>
      <w:proofErr w:type="spellEnd"/>
      <w:r w:rsidRPr="004717F0">
        <w:rPr>
          <w:bCs/>
          <w:sz w:val="24"/>
        </w:rPr>
        <w:t xml:space="preserve"> to submit an annual report to Congress and others.</w:t>
      </w:r>
      <w:r w:rsidRPr="004717F0">
        <w:t xml:space="preserve">  </w:t>
      </w:r>
    </w:p>
    <w:p w:rsidR="004717F0" w:rsidRDefault="004717F0" w:rsidP="004717F0">
      <w:pPr>
        <w:ind w:left="720"/>
        <w:rPr>
          <w:sz w:val="24"/>
        </w:rPr>
      </w:pPr>
    </w:p>
    <w:p w:rsidR="004717F0" w:rsidRPr="004717F0" w:rsidRDefault="004717F0" w:rsidP="004717F0">
      <w:pPr>
        <w:ind w:left="720"/>
        <w:rPr>
          <w:sz w:val="24"/>
        </w:rPr>
      </w:pPr>
      <w:r w:rsidRPr="004717F0">
        <w:rPr>
          <w:sz w:val="24"/>
        </w:rPr>
        <w:t>As explained in item 3, states have their own data collection systems, which they use statewide for collection throughout the reporting year</w:t>
      </w:r>
      <w:r>
        <w:rPr>
          <w:sz w:val="24"/>
        </w:rPr>
        <w:t xml:space="preserve">.  They submit this data on software provided by an </w:t>
      </w:r>
      <w:proofErr w:type="spellStart"/>
      <w:r>
        <w:rPr>
          <w:sz w:val="24"/>
        </w:rPr>
        <w:t>AoA</w:t>
      </w:r>
      <w:proofErr w:type="spellEnd"/>
      <w:r>
        <w:rPr>
          <w:sz w:val="24"/>
        </w:rPr>
        <w:t xml:space="preserve"> contractor</w:t>
      </w:r>
      <w:r w:rsidRPr="004717F0">
        <w:rPr>
          <w:sz w:val="24"/>
        </w:rPr>
        <w:t>.</w:t>
      </w:r>
    </w:p>
    <w:p w:rsidR="00DA7FF5" w:rsidRPr="00DA7FF5" w:rsidRDefault="00DA7FF5" w:rsidP="00D412CE">
      <w:pPr>
        <w:pStyle w:val="Heading1"/>
        <w:rPr>
          <w:b w:val="0"/>
        </w:rPr>
      </w:pPr>
    </w:p>
    <w:p w:rsidR="006819CF" w:rsidRDefault="00E84474" w:rsidP="00DA7FF5">
      <w:pPr>
        <w:pStyle w:val="Heading1"/>
        <w:ind w:left="720"/>
      </w:pPr>
      <w:r>
        <w:t>Supplementary Documents</w:t>
      </w:r>
    </w:p>
    <w:sectPr w:rsidR="006819CF">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8D" w:rsidRDefault="001B7C8D">
      <w:r>
        <w:separator/>
      </w:r>
    </w:p>
  </w:endnote>
  <w:endnote w:type="continuationSeparator" w:id="0">
    <w:p w:rsidR="001B7C8D" w:rsidRDefault="001B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CB" w:rsidRDefault="001704CB">
    <w:pPr>
      <w:spacing w:line="240" w:lineRule="exact"/>
    </w:pPr>
  </w:p>
  <w:p w:rsidR="001704CB" w:rsidRDefault="001704C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B021B">
      <w:rPr>
        <w:noProof/>
        <w:sz w:val="24"/>
      </w:rPr>
      <w:t>11</w:t>
    </w:r>
    <w:r>
      <w:rPr>
        <w:sz w:val="24"/>
      </w:rPr>
      <w:fldChar w:fldCharType="end"/>
    </w:r>
  </w:p>
  <w:p w:rsidR="001704CB" w:rsidRDefault="001704C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8D" w:rsidRDefault="001B7C8D">
      <w:r>
        <w:separator/>
      </w:r>
    </w:p>
  </w:footnote>
  <w:footnote w:type="continuationSeparator" w:id="0">
    <w:p w:rsidR="001B7C8D" w:rsidRDefault="001B7C8D">
      <w:r>
        <w:continuationSeparator/>
      </w:r>
    </w:p>
  </w:footnote>
  <w:footnote w:id="1">
    <w:p w:rsidR="0084239D" w:rsidRDefault="0084239D" w:rsidP="0084239D">
      <w:pPr>
        <w:pStyle w:val="FootnoteText"/>
        <w:rPr>
          <w:sz w:val="16"/>
          <w:szCs w:val="16"/>
        </w:rPr>
      </w:pPr>
      <w:r w:rsidRPr="009B07D4">
        <w:rPr>
          <w:rStyle w:val="FootnoteReference"/>
          <w:sz w:val="16"/>
          <w:szCs w:val="16"/>
        </w:rPr>
        <w:footnoteRef/>
      </w:r>
      <w:r w:rsidRPr="009B07D4">
        <w:rPr>
          <w:sz w:val="16"/>
          <w:szCs w:val="16"/>
        </w:rPr>
        <w:t xml:space="preserve">    National Ombudsman Resource Center</w:t>
      </w:r>
      <w:r w:rsidR="00C97081">
        <w:rPr>
          <w:sz w:val="16"/>
          <w:szCs w:val="16"/>
        </w:rPr>
        <w:t xml:space="preserve"> (NORC) </w:t>
      </w:r>
      <w:r w:rsidRPr="009B07D4">
        <w:rPr>
          <w:sz w:val="16"/>
          <w:szCs w:val="16"/>
        </w:rPr>
        <w:t xml:space="preserve"> (</w:t>
      </w:r>
      <w:proofErr w:type="spellStart"/>
      <w:r w:rsidRPr="009B07D4">
        <w:rPr>
          <w:sz w:val="16"/>
          <w:szCs w:val="16"/>
        </w:rPr>
        <w:t>AoA</w:t>
      </w:r>
      <w:proofErr w:type="spellEnd"/>
      <w:r w:rsidRPr="009B07D4">
        <w:rPr>
          <w:sz w:val="16"/>
          <w:szCs w:val="16"/>
        </w:rPr>
        <w:t xml:space="preserve"> grantee) - Local Long-Term Care Ombudsmen Salary Analysis August 2015</w:t>
      </w:r>
    </w:p>
    <w:p w:rsidR="00573057" w:rsidRPr="009B07D4" w:rsidRDefault="00C97081" w:rsidP="0084239D">
      <w:pPr>
        <w:pStyle w:val="FootnoteText"/>
        <w:rPr>
          <w:sz w:val="16"/>
          <w:szCs w:val="16"/>
        </w:rPr>
      </w:pPr>
      <w:r>
        <w:rPr>
          <w:sz w:val="16"/>
          <w:szCs w:val="16"/>
        </w:rPr>
        <w:t>From NORC: “</w:t>
      </w:r>
      <w:r w:rsidR="00573057" w:rsidRPr="00573057">
        <w:rPr>
          <w:sz w:val="16"/>
          <w:szCs w:val="16"/>
        </w:rPr>
        <w:t>The information for this report was gathered via an online survey that was sent to Local Long-Term Care Ombudsmen (LLTCO).  281 LLTCO provided data regarding their salaries and local programs.  The LLTCO were given the option to keep the information they disclosed confidential; therefore, this report will include only salary ranges and aggregate data.  For more details about this resource, contact NORC at ombudcenter@theconsumervoice.org</w:t>
      </w:r>
      <w:r>
        <w:rPr>
          <w:sz w:val="16"/>
          <w:szCs w:val="16"/>
        </w:rPr>
        <w:t>”</w:t>
      </w:r>
      <w:r w:rsidR="00573057" w:rsidRPr="00573057">
        <w:rPr>
          <w:sz w:val="16"/>
          <w:szCs w:val="16"/>
        </w:rPr>
        <w:t>.</w:t>
      </w:r>
    </w:p>
  </w:footnote>
  <w:footnote w:id="2">
    <w:p w:rsidR="0084239D" w:rsidRDefault="0084239D">
      <w:pPr>
        <w:pStyle w:val="FootnoteText"/>
        <w:rPr>
          <w:sz w:val="16"/>
          <w:szCs w:val="16"/>
        </w:rPr>
      </w:pPr>
      <w:r>
        <w:rPr>
          <w:rStyle w:val="FootnoteReference"/>
        </w:rPr>
        <w:footnoteRef/>
      </w:r>
      <w:r>
        <w:t xml:space="preserve"> </w:t>
      </w:r>
      <w:r w:rsidRPr="00A84F43">
        <w:rPr>
          <w:sz w:val="16"/>
          <w:szCs w:val="16"/>
        </w:rPr>
        <w:t xml:space="preserve">National Ombudsman Resource Center </w:t>
      </w:r>
      <w:r w:rsidR="00FA0FAF">
        <w:rPr>
          <w:sz w:val="16"/>
          <w:szCs w:val="16"/>
        </w:rPr>
        <w:t xml:space="preserve">(NORC) </w:t>
      </w:r>
      <w:r w:rsidRPr="00A84F43">
        <w:rPr>
          <w:sz w:val="16"/>
          <w:szCs w:val="16"/>
        </w:rPr>
        <w:t>(</w:t>
      </w:r>
      <w:proofErr w:type="spellStart"/>
      <w:r w:rsidRPr="00A84F43">
        <w:rPr>
          <w:sz w:val="16"/>
          <w:szCs w:val="16"/>
        </w:rPr>
        <w:t>AoA</w:t>
      </w:r>
      <w:proofErr w:type="spellEnd"/>
      <w:r w:rsidRPr="00A84F43">
        <w:rPr>
          <w:sz w:val="16"/>
          <w:szCs w:val="16"/>
        </w:rPr>
        <w:t xml:space="preserve"> grantee) - State Long-Term Care Ombudsmen Salary Analysis August 2015</w:t>
      </w:r>
      <w:r w:rsidR="00573057">
        <w:rPr>
          <w:sz w:val="16"/>
          <w:szCs w:val="16"/>
        </w:rPr>
        <w:t xml:space="preserve"> BLS data removed – contractor used old data from 2002.  Current BLS salary data was too high and not in alignment with recent salary survey.</w:t>
      </w:r>
    </w:p>
    <w:p w:rsidR="00573057" w:rsidRPr="00B638CF" w:rsidRDefault="00C97081">
      <w:pPr>
        <w:pStyle w:val="FootnoteText"/>
        <w:rPr>
          <w:sz w:val="16"/>
          <w:szCs w:val="16"/>
        </w:rPr>
      </w:pPr>
      <w:r>
        <w:rPr>
          <w:sz w:val="16"/>
          <w:szCs w:val="16"/>
        </w:rPr>
        <w:t>From NORC “</w:t>
      </w:r>
      <w:r w:rsidR="00573057" w:rsidRPr="00A84F43">
        <w:rPr>
          <w:sz w:val="16"/>
          <w:szCs w:val="16"/>
        </w:rPr>
        <w:t>The information for this report was gathered via an online survey that was sent to all 52 State Long-Term Care Ombudsmen (SLTCO).  Thirty-eight SLTCO provided data for their programs.  The SLTCO were given the option to keep the information they disclosed confidential; therefore, this report will include only salary ranges and aggregate data.  The report will be retained as a resource document and distributed to the SLTCO, and will not be published to the NORC website or released publicly.</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1DF"/>
    <w:multiLevelType w:val="hybridMultilevel"/>
    <w:tmpl w:val="AC9C776C"/>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0964ED"/>
    <w:multiLevelType w:val="hybridMultilevel"/>
    <w:tmpl w:val="67B62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94D02E0"/>
    <w:multiLevelType w:val="hybridMultilevel"/>
    <w:tmpl w:val="FE000F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0203C5"/>
    <w:multiLevelType w:val="hybridMultilevel"/>
    <w:tmpl w:val="9DD8F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6DB523C"/>
    <w:multiLevelType w:val="hybridMultilevel"/>
    <w:tmpl w:val="31E8E8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2343938"/>
    <w:multiLevelType w:val="hybridMultilevel"/>
    <w:tmpl w:val="B486FC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65A4E82"/>
    <w:multiLevelType w:val="hybridMultilevel"/>
    <w:tmpl w:val="F0E883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4"/>
  </w:num>
  <w:num w:numId="3">
    <w:abstractNumId w:val="14"/>
  </w:num>
  <w:num w:numId="4">
    <w:abstractNumId w:val="43"/>
  </w:num>
  <w:num w:numId="5">
    <w:abstractNumId w:val="46"/>
  </w:num>
  <w:num w:numId="6">
    <w:abstractNumId w:val="9"/>
  </w:num>
  <w:num w:numId="7">
    <w:abstractNumId w:val="39"/>
  </w:num>
  <w:num w:numId="8">
    <w:abstractNumId w:val="19"/>
  </w:num>
  <w:num w:numId="9">
    <w:abstractNumId w:val="28"/>
  </w:num>
  <w:num w:numId="10">
    <w:abstractNumId w:val="21"/>
  </w:num>
  <w:num w:numId="11">
    <w:abstractNumId w:val="8"/>
  </w:num>
  <w:num w:numId="12">
    <w:abstractNumId w:val="27"/>
  </w:num>
  <w:num w:numId="13">
    <w:abstractNumId w:val="22"/>
  </w:num>
  <w:num w:numId="14">
    <w:abstractNumId w:val="25"/>
  </w:num>
  <w:num w:numId="15">
    <w:abstractNumId w:val="7"/>
  </w:num>
  <w:num w:numId="16">
    <w:abstractNumId w:val="1"/>
  </w:num>
  <w:num w:numId="17">
    <w:abstractNumId w:val="2"/>
  </w:num>
  <w:num w:numId="18">
    <w:abstractNumId w:val="15"/>
  </w:num>
  <w:num w:numId="19">
    <w:abstractNumId w:val="38"/>
  </w:num>
  <w:num w:numId="20">
    <w:abstractNumId w:val="35"/>
  </w:num>
  <w:num w:numId="21">
    <w:abstractNumId w:val="20"/>
  </w:num>
  <w:num w:numId="22">
    <w:abstractNumId w:val="42"/>
  </w:num>
  <w:num w:numId="23">
    <w:abstractNumId w:val="33"/>
  </w:num>
  <w:num w:numId="24">
    <w:abstractNumId w:val="34"/>
  </w:num>
  <w:num w:numId="25">
    <w:abstractNumId w:val="45"/>
  </w:num>
  <w:num w:numId="26">
    <w:abstractNumId w:val="41"/>
  </w:num>
  <w:num w:numId="27">
    <w:abstractNumId w:val="4"/>
  </w:num>
  <w:num w:numId="28">
    <w:abstractNumId w:val="17"/>
  </w:num>
  <w:num w:numId="29">
    <w:abstractNumId w:val="44"/>
  </w:num>
  <w:num w:numId="30">
    <w:abstractNumId w:val="40"/>
  </w:num>
  <w:num w:numId="31">
    <w:abstractNumId w:val="36"/>
  </w:num>
  <w:num w:numId="32">
    <w:abstractNumId w:val="10"/>
  </w:num>
  <w:num w:numId="33">
    <w:abstractNumId w:val="3"/>
  </w:num>
  <w:num w:numId="34">
    <w:abstractNumId w:val="30"/>
  </w:num>
  <w:num w:numId="35">
    <w:abstractNumId w:val="12"/>
  </w:num>
  <w:num w:numId="36">
    <w:abstractNumId w:val="11"/>
  </w:num>
  <w:num w:numId="37">
    <w:abstractNumId w:val="13"/>
  </w:num>
  <w:num w:numId="38">
    <w:abstractNumId w:val="5"/>
  </w:num>
  <w:num w:numId="39">
    <w:abstractNumId w:val="32"/>
  </w:num>
  <w:num w:numId="40">
    <w:abstractNumId w:val="6"/>
  </w:num>
  <w:num w:numId="41">
    <w:abstractNumId w:val="31"/>
  </w:num>
  <w:num w:numId="42">
    <w:abstractNumId w:val="26"/>
  </w:num>
  <w:num w:numId="43">
    <w:abstractNumId w:val="23"/>
  </w:num>
  <w:num w:numId="44">
    <w:abstractNumId w:val="29"/>
  </w:num>
  <w:num w:numId="45">
    <w:abstractNumId w:val="0"/>
  </w:num>
  <w:num w:numId="46">
    <w:abstractNumId w:val="18"/>
  </w:num>
  <w:num w:numId="47">
    <w:abstractNumId w:val="16"/>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85"/>
    <w:rsid w:val="000028F1"/>
    <w:rsid w:val="00014A5D"/>
    <w:rsid w:val="0002300C"/>
    <w:rsid w:val="000824C6"/>
    <w:rsid w:val="0008396A"/>
    <w:rsid w:val="00083D16"/>
    <w:rsid w:val="00093834"/>
    <w:rsid w:val="000955D1"/>
    <w:rsid w:val="000A2E6D"/>
    <w:rsid w:val="000B07A0"/>
    <w:rsid w:val="000D2527"/>
    <w:rsid w:val="000F0457"/>
    <w:rsid w:val="000F5533"/>
    <w:rsid w:val="00116118"/>
    <w:rsid w:val="001178C4"/>
    <w:rsid w:val="00121A87"/>
    <w:rsid w:val="00145F0D"/>
    <w:rsid w:val="00156DA9"/>
    <w:rsid w:val="001608C5"/>
    <w:rsid w:val="00162FE2"/>
    <w:rsid w:val="001632E2"/>
    <w:rsid w:val="001704CB"/>
    <w:rsid w:val="00182B74"/>
    <w:rsid w:val="00192427"/>
    <w:rsid w:val="001A4E8D"/>
    <w:rsid w:val="001A6FD1"/>
    <w:rsid w:val="001B4EC6"/>
    <w:rsid w:val="001B7C8D"/>
    <w:rsid w:val="001C1F2B"/>
    <w:rsid w:val="001E5CF5"/>
    <w:rsid w:val="00210367"/>
    <w:rsid w:val="00211B38"/>
    <w:rsid w:val="0021217C"/>
    <w:rsid w:val="002151FC"/>
    <w:rsid w:val="00222500"/>
    <w:rsid w:val="002246B4"/>
    <w:rsid w:val="002430FC"/>
    <w:rsid w:val="0024482E"/>
    <w:rsid w:val="00266E9C"/>
    <w:rsid w:val="0026773B"/>
    <w:rsid w:val="00273C29"/>
    <w:rsid w:val="0029698D"/>
    <w:rsid w:val="002A0BD3"/>
    <w:rsid w:val="002A1ABF"/>
    <w:rsid w:val="002A2496"/>
    <w:rsid w:val="002A654F"/>
    <w:rsid w:val="002B6BCE"/>
    <w:rsid w:val="002C1EEB"/>
    <w:rsid w:val="002C7BDC"/>
    <w:rsid w:val="002D7E13"/>
    <w:rsid w:val="002E18E7"/>
    <w:rsid w:val="002E4DA4"/>
    <w:rsid w:val="003115B5"/>
    <w:rsid w:val="003136D1"/>
    <w:rsid w:val="00316233"/>
    <w:rsid w:val="00330BFC"/>
    <w:rsid w:val="00331595"/>
    <w:rsid w:val="00335C73"/>
    <w:rsid w:val="003363D7"/>
    <w:rsid w:val="00343C0D"/>
    <w:rsid w:val="00351C1E"/>
    <w:rsid w:val="0036002C"/>
    <w:rsid w:val="00363A86"/>
    <w:rsid w:val="00375859"/>
    <w:rsid w:val="00380808"/>
    <w:rsid w:val="00380A82"/>
    <w:rsid w:val="00382EC5"/>
    <w:rsid w:val="00397C5D"/>
    <w:rsid w:val="003A1D96"/>
    <w:rsid w:val="003B021B"/>
    <w:rsid w:val="003B1EF4"/>
    <w:rsid w:val="003B6561"/>
    <w:rsid w:val="003C0041"/>
    <w:rsid w:val="003C6454"/>
    <w:rsid w:val="003D5BF6"/>
    <w:rsid w:val="003F625E"/>
    <w:rsid w:val="003F7374"/>
    <w:rsid w:val="004062F1"/>
    <w:rsid w:val="004117F3"/>
    <w:rsid w:val="00430661"/>
    <w:rsid w:val="0043593B"/>
    <w:rsid w:val="004377B1"/>
    <w:rsid w:val="004717F0"/>
    <w:rsid w:val="00473803"/>
    <w:rsid w:val="00490F75"/>
    <w:rsid w:val="0049273D"/>
    <w:rsid w:val="00497FA8"/>
    <w:rsid w:val="004A549E"/>
    <w:rsid w:val="004A6F26"/>
    <w:rsid w:val="004C2C6D"/>
    <w:rsid w:val="004C7536"/>
    <w:rsid w:val="004C76C4"/>
    <w:rsid w:val="004D139B"/>
    <w:rsid w:val="004E3247"/>
    <w:rsid w:val="004F091F"/>
    <w:rsid w:val="00523900"/>
    <w:rsid w:val="00527419"/>
    <w:rsid w:val="005557B8"/>
    <w:rsid w:val="00555D26"/>
    <w:rsid w:val="005560E1"/>
    <w:rsid w:val="00561576"/>
    <w:rsid w:val="00564E8D"/>
    <w:rsid w:val="005670FC"/>
    <w:rsid w:val="0057087C"/>
    <w:rsid w:val="00573057"/>
    <w:rsid w:val="005939F5"/>
    <w:rsid w:val="00595557"/>
    <w:rsid w:val="005A57A5"/>
    <w:rsid w:val="005B680E"/>
    <w:rsid w:val="005D163F"/>
    <w:rsid w:val="005D7097"/>
    <w:rsid w:val="005F645B"/>
    <w:rsid w:val="006063F9"/>
    <w:rsid w:val="00611EC1"/>
    <w:rsid w:val="006226EA"/>
    <w:rsid w:val="00623EE6"/>
    <w:rsid w:val="00635FCC"/>
    <w:rsid w:val="00644552"/>
    <w:rsid w:val="00654747"/>
    <w:rsid w:val="006766E3"/>
    <w:rsid w:val="00677E9F"/>
    <w:rsid w:val="00680EAD"/>
    <w:rsid w:val="006819CF"/>
    <w:rsid w:val="00686504"/>
    <w:rsid w:val="00690EBE"/>
    <w:rsid w:val="0069675F"/>
    <w:rsid w:val="006C1201"/>
    <w:rsid w:val="006C48EA"/>
    <w:rsid w:val="006D1F9F"/>
    <w:rsid w:val="006D1FDA"/>
    <w:rsid w:val="00703C09"/>
    <w:rsid w:val="00710EDC"/>
    <w:rsid w:val="007123B1"/>
    <w:rsid w:val="007326DD"/>
    <w:rsid w:val="00734794"/>
    <w:rsid w:val="00740B90"/>
    <w:rsid w:val="0075495F"/>
    <w:rsid w:val="0077116A"/>
    <w:rsid w:val="00774489"/>
    <w:rsid w:val="00784328"/>
    <w:rsid w:val="00790EEB"/>
    <w:rsid w:val="007A43FE"/>
    <w:rsid w:val="007A6682"/>
    <w:rsid w:val="007C166F"/>
    <w:rsid w:val="007C4C4A"/>
    <w:rsid w:val="007D442A"/>
    <w:rsid w:val="007E7385"/>
    <w:rsid w:val="007F5D8F"/>
    <w:rsid w:val="00801E41"/>
    <w:rsid w:val="00802B5F"/>
    <w:rsid w:val="00802D2A"/>
    <w:rsid w:val="00803466"/>
    <w:rsid w:val="0084239D"/>
    <w:rsid w:val="0085358E"/>
    <w:rsid w:val="008570DA"/>
    <w:rsid w:val="00857B3A"/>
    <w:rsid w:val="00863784"/>
    <w:rsid w:val="00873E95"/>
    <w:rsid w:val="00880792"/>
    <w:rsid w:val="008866FA"/>
    <w:rsid w:val="00894200"/>
    <w:rsid w:val="00894998"/>
    <w:rsid w:val="008A0828"/>
    <w:rsid w:val="008A2B20"/>
    <w:rsid w:val="008A652A"/>
    <w:rsid w:val="008A721B"/>
    <w:rsid w:val="008C6797"/>
    <w:rsid w:val="008F75EC"/>
    <w:rsid w:val="008F7DE3"/>
    <w:rsid w:val="00900073"/>
    <w:rsid w:val="00901690"/>
    <w:rsid w:val="00945946"/>
    <w:rsid w:val="009514F0"/>
    <w:rsid w:val="0095615D"/>
    <w:rsid w:val="00974AC0"/>
    <w:rsid w:val="00986AF1"/>
    <w:rsid w:val="009B07D4"/>
    <w:rsid w:val="009B49F4"/>
    <w:rsid w:val="009C04DE"/>
    <w:rsid w:val="009C6D70"/>
    <w:rsid w:val="009D1341"/>
    <w:rsid w:val="009D5BDA"/>
    <w:rsid w:val="009E531F"/>
    <w:rsid w:val="00A02C56"/>
    <w:rsid w:val="00A07EE5"/>
    <w:rsid w:val="00A12021"/>
    <w:rsid w:val="00A1350F"/>
    <w:rsid w:val="00A2521B"/>
    <w:rsid w:val="00A25838"/>
    <w:rsid w:val="00A34D8A"/>
    <w:rsid w:val="00A40331"/>
    <w:rsid w:val="00A51C39"/>
    <w:rsid w:val="00A577B1"/>
    <w:rsid w:val="00A76ADD"/>
    <w:rsid w:val="00A819A7"/>
    <w:rsid w:val="00A81A06"/>
    <w:rsid w:val="00A83B13"/>
    <w:rsid w:val="00A84F43"/>
    <w:rsid w:val="00A94285"/>
    <w:rsid w:val="00AA6414"/>
    <w:rsid w:val="00AB00DC"/>
    <w:rsid w:val="00AB31F6"/>
    <w:rsid w:val="00AB70A7"/>
    <w:rsid w:val="00AC22F5"/>
    <w:rsid w:val="00AC38D3"/>
    <w:rsid w:val="00AD58FF"/>
    <w:rsid w:val="00B04F57"/>
    <w:rsid w:val="00B07440"/>
    <w:rsid w:val="00B07F85"/>
    <w:rsid w:val="00B133C7"/>
    <w:rsid w:val="00B15DC0"/>
    <w:rsid w:val="00B17D89"/>
    <w:rsid w:val="00B220F0"/>
    <w:rsid w:val="00B24182"/>
    <w:rsid w:val="00B36B5D"/>
    <w:rsid w:val="00B43C50"/>
    <w:rsid w:val="00B46CEB"/>
    <w:rsid w:val="00B54C72"/>
    <w:rsid w:val="00B638CF"/>
    <w:rsid w:val="00B63E97"/>
    <w:rsid w:val="00B66E45"/>
    <w:rsid w:val="00BD1B87"/>
    <w:rsid w:val="00BD1E4F"/>
    <w:rsid w:val="00BE1960"/>
    <w:rsid w:val="00BE7E80"/>
    <w:rsid w:val="00BF247A"/>
    <w:rsid w:val="00C0035F"/>
    <w:rsid w:val="00C02ACC"/>
    <w:rsid w:val="00C13B2F"/>
    <w:rsid w:val="00C3126F"/>
    <w:rsid w:val="00C34910"/>
    <w:rsid w:val="00C44F6C"/>
    <w:rsid w:val="00C53F8B"/>
    <w:rsid w:val="00C56068"/>
    <w:rsid w:val="00C60DA6"/>
    <w:rsid w:val="00C75CBB"/>
    <w:rsid w:val="00C81128"/>
    <w:rsid w:val="00C81FDC"/>
    <w:rsid w:val="00C9325D"/>
    <w:rsid w:val="00C97081"/>
    <w:rsid w:val="00CA3E9C"/>
    <w:rsid w:val="00CB66C5"/>
    <w:rsid w:val="00CC0EF0"/>
    <w:rsid w:val="00CE08D0"/>
    <w:rsid w:val="00CE66D8"/>
    <w:rsid w:val="00D07295"/>
    <w:rsid w:val="00D355E8"/>
    <w:rsid w:val="00D412CE"/>
    <w:rsid w:val="00D443CC"/>
    <w:rsid w:val="00D77AB8"/>
    <w:rsid w:val="00D81CF7"/>
    <w:rsid w:val="00D86944"/>
    <w:rsid w:val="00D907C3"/>
    <w:rsid w:val="00D9209B"/>
    <w:rsid w:val="00DA7FF5"/>
    <w:rsid w:val="00DC736D"/>
    <w:rsid w:val="00DD2164"/>
    <w:rsid w:val="00DF35AD"/>
    <w:rsid w:val="00E04913"/>
    <w:rsid w:val="00E12F54"/>
    <w:rsid w:val="00E13AC3"/>
    <w:rsid w:val="00E16260"/>
    <w:rsid w:val="00E242B3"/>
    <w:rsid w:val="00E25A35"/>
    <w:rsid w:val="00E4380C"/>
    <w:rsid w:val="00E46EA3"/>
    <w:rsid w:val="00E6661D"/>
    <w:rsid w:val="00E72AB0"/>
    <w:rsid w:val="00E75BA1"/>
    <w:rsid w:val="00E81FD6"/>
    <w:rsid w:val="00E84474"/>
    <w:rsid w:val="00E94C1F"/>
    <w:rsid w:val="00E94FAA"/>
    <w:rsid w:val="00EB4486"/>
    <w:rsid w:val="00EC5B6B"/>
    <w:rsid w:val="00ED00C9"/>
    <w:rsid w:val="00EE0582"/>
    <w:rsid w:val="00EE2413"/>
    <w:rsid w:val="00F13869"/>
    <w:rsid w:val="00F16346"/>
    <w:rsid w:val="00F32248"/>
    <w:rsid w:val="00F567B9"/>
    <w:rsid w:val="00F61965"/>
    <w:rsid w:val="00F74470"/>
    <w:rsid w:val="00F9535A"/>
    <w:rsid w:val="00FA0FAF"/>
    <w:rsid w:val="00FB485C"/>
    <w:rsid w:val="00FB4D1C"/>
    <w:rsid w:val="00FD52AE"/>
    <w:rsid w:val="00FD5E78"/>
    <w:rsid w:val="00FD7522"/>
    <w:rsid w:val="00FE2677"/>
    <w:rsid w:val="00FF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7385"/>
    <w:rPr>
      <w:color w:val="0000FF"/>
      <w:u w:val="single"/>
    </w:rPr>
  </w:style>
  <w:style w:type="paragraph" w:styleId="Footer">
    <w:name w:val="footer"/>
    <w:basedOn w:val="Normal"/>
    <w:rsid w:val="009C04DE"/>
    <w:pPr>
      <w:tabs>
        <w:tab w:val="center" w:pos="4320"/>
        <w:tab w:val="right" w:pos="8640"/>
      </w:tabs>
    </w:pPr>
  </w:style>
  <w:style w:type="character" w:styleId="PageNumber">
    <w:name w:val="page number"/>
    <w:basedOn w:val="DefaultParagraphFont"/>
    <w:rsid w:val="009C04DE"/>
  </w:style>
  <w:style w:type="character" w:styleId="FollowedHyperlink">
    <w:name w:val="FollowedHyperlink"/>
    <w:rsid w:val="00093834"/>
    <w:rPr>
      <w:color w:val="954F72"/>
      <w:u w:val="single"/>
    </w:rPr>
  </w:style>
  <w:style w:type="character" w:styleId="CommentReference">
    <w:name w:val="annotation reference"/>
    <w:rsid w:val="00093834"/>
    <w:rPr>
      <w:sz w:val="16"/>
      <w:szCs w:val="16"/>
    </w:rPr>
  </w:style>
  <w:style w:type="paragraph" w:styleId="CommentText">
    <w:name w:val="annotation text"/>
    <w:basedOn w:val="Normal"/>
    <w:link w:val="CommentTextChar"/>
    <w:rsid w:val="00093834"/>
    <w:rPr>
      <w:szCs w:val="20"/>
    </w:rPr>
  </w:style>
  <w:style w:type="character" w:customStyle="1" w:styleId="CommentTextChar">
    <w:name w:val="Comment Text Char"/>
    <w:basedOn w:val="DefaultParagraphFont"/>
    <w:link w:val="CommentText"/>
    <w:rsid w:val="00093834"/>
  </w:style>
  <w:style w:type="paragraph" w:styleId="CommentSubject">
    <w:name w:val="annotation subject"/>
    <w:basedOn w:val="CommentText"/>
    <w:next w:val="CommentText"/>
    <w:link w:val="CommentSubjectChar"/>
    <w:rsid w:val="00093834"/>
    <w:rPr>
      <w:b/>
      <w:bCs/>
    </w:rPr>
  </w:style>
  <w:style w:type="character" w:customStyle="1" w:styleId="CommentSubjectChar">
    <w:name w:val="Comment Subject Char"/>
    <w:link w:val="CommentSubject"/>
    <w:rsid w:val="00093834"/>
    <w:rPr>
      <w:b/>
      <w:bCs/>
    </w:rPr>
  </w:style>
  <w:style w:type="paragraph" w:styleId="BalloonText">
    <w:name w:val="Balloon Text"/>
    <w:basedOn w:val="Normal"/>
    <w:link w:val="BalloonTextChar"/>
    <w:rsid w:val="00093834"/>
    <w:rPr>
      <w:rFonts w:ascii="Segoe UI" w:hAnsi="Segoe UI" w:cs="Segoe UI"/>
      <w:sz w:val="18"/>
      <w:szCs w:val="18"/>
    </w:rPr>
  </w:style>
  <w:style w:type="character" w:customStyle="1" w:styleId="BalloonTextChar">
    <w:name w:val="Balloon Text Char"/>
    <w:link w:val="BalloonText"/>
    <w:rsid w:val="00093834"/>
    <w:rPr>
      <w:rFonts w:ascii="Segoe UI" w:hAnsi="Segoe UI" w:cs="Segoe UI"/>
      <w:sz w:val="18"/>
      <w:szCs w:val="18"/>
    </w:rPr>
  </w:style>
  <w:style w:type="paragraph" w:styleId="Revision">
    <w:name w:val="Revision"/>
    <w:hidden/>
    <w:uiPriority w:val="99"/>
    <w:semiHidden/>
    <w:rsid w:val="00A51C39"/>
    <w:rPr>
      <w:szCs w:val="24"/>
    </w:rPr>
  </w:style>
  <w:style w:type="paragraph" w:styleId="ListParagraph">
    <w:name w:val="List Paragraph"/>
    <w:basedOn w:val="Normal"/>
    <w:uiPriority w:val="34"/>
    <w:qFormat/>
    <w:rsid w:val="004D139B"/>
    <w:pPr>
      <w:ind w:left="720"/>
    </w:pPr>
  </w:style>
  <w:style w:type="paragraph" w:styleId="FootnoteText">
    <w:name w:val="footnote text"/>
    <w:basedOn w:val="Normal"/>
    <w:link w:val="FootnoteTextChar"/>
    <w:rsid w:val="0077116A"/>
    <w:rPr>
      <w:szCs w:val="20"/>
    </w:rPr>
  </w:style>
  <w:style w:type="character" w:customStyle="1" w:styleId="FootnoteTextChar">
    <w:name w:val="Footnote Text Char"/>
    <w:basedOn w:val="DefaultParagraphFont"/>
    <w:link w:val="FootnoteText"/>
    <w:rsid w:val="00771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7385"/>
    <w:rPr>
      <w:color w:val="0000FF"/>
      <w:u w:val="single"/>
    </w:rPr>
  </w:style>
  <w:style w:type="paragraph" w:styleId="Footer">
    <w:name w:val="footer"/>
    <w:basedOn w:val="Normal"/>
    <w:rsid w:val="009C04DE"/>
    <w:pPr>
      <w:tabs>
        <w:tab w:val="center" w:pos="4320"/>
        <w:tab w:val="right" w:pos="8640"/>
      </w:tabs>
    </w:pPr>
  </w:style>
  <w:style w:type="character" w:styleId="PageNumber">
    <w:name w:val="page number"/>
    <w:basedOn w:val="DefaultParagraphFont"/>
    <w:rsid w:val="009C04DE"/>
  </w:style>
  <w:style w:type="character" w:styleId="FollowedHyperlink">
    <w:name w:val="FollowedHyperlink"/>
    <w:rsid w:val="00093834"/>
    <w:rPr>
      <w:color w:val="954F72"/>
      <w:u w:val="single"/>
    </w:rPr>
  </w:style>
  <w:style w:type="character" w:styleId="CommentReference">
    <w:name w:val="annotation reference"/>
    <w:rsid w:val="00093834"/>
    <w:rPr>
      <w:sz w:val="16"/>
      <w:szCs w:val="16"/>
    </w:rPr>
  </w:style>
  <w:style w:type="paragraph" w:styleId="CommentText">
    <w:name w:val="annotation text"/>
    <w:basedOn w:val="Normal"/>
    <w:link w:val="CommentTextChar"/>
    <w:rsid w:val="00093834"/>
    <w:rPr>
      <w:szCs w:val="20"/>
    </w:rPr>
  </w:style>
  <w:style w:type="character" w:customStyle="1" w:styleId="CommentTextChar">
    <w:name w:val="Comment Text Char"/>
    <w:basedOn w:val="DefaultParagraphFont"/>
    <w:link w:val="CommentText"/>
    <w:rsid w:val="00093834"/>
  </w:style>
  <w:style w:type="paragraph" w:styleId="CommentSubject">
    <w:name w:val="annotation subject"/>
    <w:basedOn w:val="CommentText"/>
    <w:next w:val="CommentText"/>
    <w:link w:val="CommentSubjectChar"/>
    <w:rsid w:val="00093834"/>
    <w:rPr>
      <w:b/>
      <w:bCs/>
    </w:rPr>
  </w:style>
  <w:style w:type="character" w:customStyle="1" w:styleId="CommentSubjectChar">
    <w:name w:val="Comment Subject Char"/>
    <w:link w:val="CommentSubject"/>
    <w:rsid w:val="00093834"/>
    <w:rPr>
      <w:b/>
      <w:bCs/>
    </w:rPr>
  </w:style>
  <w:style w:type="paragraph" w:styleId="BalloonText">
    <w:name w:val="Balloon Text"/>
    <w:basedOn w:val="Normal"/>
    <w:link w:val="BalloonTextChar"/>
    <w:rsid w:val="00093834"/>
    <w:rPr>
      <w:rFonts w:ascii="Segoe UI" w:hAnsi="Segoe UI" w:cs="Segoe UI"/>
      <w:sz w:val="18"/>
      <w:szCs w:val="18"/>
    </w:rPr>
  </w:style>
  <w:style w:type="character" w:customStyle="1" w:styleId="BalloonTextChar">
    <w:name w:val="Balloon Text Char"/>
    <w:link w:val="BalloonText"/>
    <w:rsid w:val="00093834"/>
    <w:rPr>
      <w:rFonts w:ascii="Segoe UI" w:hAnsi="Segoe UI" w:cs="Segoe UI"/>
      <w:sz w:val="18"/>
      <w:szCs w:val="18"/>
    </w:rPr>
  </w:style>
  <w:style w:type="paragraph" w:styleId="Revision">
    <w:name w:val="Revision"/>
    <w:hidden/>
    <w:uiPriority w:val="99"/>
    <w:semiHidden/>
    <w:rsid w:val="00A51C39"/>
    <w:rPr>
      <w:szCs w:val="24"/>
    </w:rPr>
  </w:style>
  <w:style w:type="paragraph" w:styleId="ListParagraph">
    <w:name w:val="List Paragraph"/>
    <w:basedOn w:val="Normal"/>
    <w:uiPriority w:val="34"/>
    <w:qFormat/>
    <w:rsid w:val="004D139B"/>
    <w:pPr>
      <w:ind w:left="720"/>
    </w:pPr>
  </w:style>
  <w:style w:type="paragraph" w:styleId="FootnoteText">
    <w:name w:val="footnote text"/>
    <w:basedOn w:val="Normal"/>
    <w:link w:val="FootnoteTextChar"/>
    <w:rsid w:val="0077116A"/>
    <w:rPr>
      <w:szCs w:val="20"/>
    </w:rPr>
  </w:style>
  <w:style w:type="character" w:customStyle="1" w:styleId="FootnoteTextChar">
    <w:name w:val="Footnote Text Char"/>
    <w:basedOn w:val="DefaultParagraphFont"/>
    <w:link w:val="FootnoteText"/>
    <w:rsid w:val="0077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8663">
      <w:bodyDiv w:val="1"/>
      <w:marLeft w:val="0"/>
      <w:marRight w:val="0"/>
      <w:marTop w:val="0"/>
      <w:marBottom w:val="0"/>
      <w:divBdr>
        <w:top w:val="none" w:sz="0" w:space="0" w:color="auto"/>
        <w:left w:val="none" w:sz="0" w:space="0" w:color="auto"/>
        <w:bottom w:val="none" w:sz="0" w:space="0" w:color="auto"/>
        <w:right w:val="none" w:sz="0" w:space="0" w:color="auto"/>
      </w:divBdr>
    </w:div>
    <w:div w:id="836846352">
      <w:bodyDiv w:val="1"/>
      <w:marLeft w:val="0"/>
      <w:marRight w:val="0"/>
      <w:marTop w:val="0"/>
      <w:marBottom w:val="0"/>
      <w:divBdr>
        <w:top w:val="none" w:sz="0" w:space="0" w:color="auto"/>
        <w:left w:val="none" w:sz="0" w:space="0" w:color="auto"/>
        <w:bottom w:val="none" w:sz="0" w:space="0" w:color="auto"/>
        <w:right w:val="none" w:sz="0" w:space="0" w:color="auto"/>
      </w:divBdr>
    </w:div>
    <w:div w:id="13888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oa.acl.gov/AoA_Programs/Elder_Rights/Ombudsman/index.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gid.acl.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articles/2015/07/16/2015-17207/medicare-and-medicaid-programs-reform-of-requirements-for-long-term-care-facilities?utm_content=header&amp;utm_medium=slideshow&amp;utm_source=homepa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gid.acl.gov" TargetMode="External"/><Relationship Id="rId4" Type="http://schemas.microsoft.com/office/2007/relationships/stylesWithEffects" Target="stylesWithEffects.xml"/><Relationship Id="rId9" Type="http://schemas.openxmlformats.org/officeDocument/2006/relationships/hyperlink" Target="http://www.aoa.acl.gov/AoA_Programs/Elder_Rights/Ombudsman/index.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CA10-C151-47E9-9D5F-3F32CD27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23535</CharactersWithSpaces>
  <SharedDoc>false</SharedDoc>
  <HLinks>
    <vt:vector size="30" baseType="variant">
      <vt:variant>
        <vt:i4>3276901</vt:i4>
      </vt:variant>
      <vt:variant>
        <vt:i4>14</vt:i4>
      </vt:variant>
      <vt:variant>
        <vt:i4>0</vt:i4>
      </vt:variant>
      <vt:variant>
        <vt:i4>5</vt:i4>
      </vt:variant>
      <vt:variant>
        <vt:lpwstr>http://www.aoa.acl.gov/AoA_Programs/Elder_Rights/Ombudsman/index.aspx</vt:lpwstr>
      </vt:variant>
      <vt:variant>
        <vt:lpwstr/>
      </vt:variant>
      <vt:variant>
        <vt:i4>79</vt:i4>
      </vt:variant>
      <vt:variant>
        <vt:i4>11</vt:i4>
      </vt:variant>
      <vt:variant>
        <vt:i4>0</vt:i4>
      </vt:variant>
      <vt:variant>
        <vt:i4>5</vt:i4>
      </vt:variant>
      <vt:variant>
        <vt:lpwstr>http://www.agid.acl.gov/</vt:lpwstr>
      </vt:variant>
      <vt:variant>
        <vt:lpwstr/>
      </vt:variant>
      <vt:variant>
        <vt:i4>5177459</vt:i4>
      </vt:variant>
      <vt:variant>
        <vt:i4>8</vt:i4>
      </vt:variant>
      <vt:variant>
        <vt:i4>0</vt:i4>
      </vt:variant>
      <vt:variant>
        <vt:i4>5</vt:i4>
      </vt:variant>
      <vt:variant>
        <vt:lpwstr>https://www.federalregister.gov/articles/2015/07/16/2015-17207/medicare-and-medicaid-programs-reform-of-requirements-for-long-term-care-facilities?utm_content=header&amp;utm_medium=slideshow&amp;utm_source=homepage</vt:lpwstr>
      </vt:variant>
      <vt:variant>
        <vt:lpwstr/>
      </vt:variant>
      <vt:variant>
        <vt:i4>79</vt:i4>
      </vt:variant>
      <vt:variant>
        <vt:i4>5</vt:i4>
      </vt:variant>
      <vt:variant>
        <vt:i4>0</vt:i4>
      </vt:variant>
      <vt:variant>
        <vt:i4>5</vt:i4>
      </vt:variant>
      <vt:variant>
        <vt:lpwstr>http://www.agid.acl.gov/</vt:lpwstr>
      </vt:variant>
      <vt:variant>
        <vt:lpwstr/>
      </vt:variant>
      <vt:variant>
        <vt:i4>3276901</vt:i4>
      </vt:variant>
      <vt:variant>
        <vt:i4>2</vt:i4>
      </vt:variant>
      <vt:variant>
        <vt:i4>0</vt:i4>
      </vt:variant>
      <vt:variant>
        <vt:i4>5</vt:i4>
      </vt:variant>
      <vt:variant>
        <vt:lpwstr>http://www.aoa.acl.gov/AoA_Programs/Elder_Rights/Ombudsman/index.aspx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Windows User</cp:lastModifiedBy>
  <cp:revision>3</cp:revision>
  <cp:lastPrinted>2017-01-23T17:08:00Z</cp:lastPrinted>
  <dcterms:created xsi:type="dcterms:W3CDTF">2017-01-23T18:13:00Z</dcterms:created>
  <dcterms:modified xsi:type="dcterms:W3CDTF">2017-01-26T21:04:00Z</dcterms:modified>
</cp:coreProperties>
</file>