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287C9" w14:textId="77777777" w:rsidR="00103B0A" w:rsidRPr="00762E22" w:rsidRDefault="002931F5" w:rsidP="00696A02">
      <w:pPr>
        <w:jc w:val="center"/>
        <w:rPr>
          <w:b/>
          <w:szCs w:val="24"/>
        </w:rPr>
      </w:pPr>
      <w:r w:rsidRPr="00762E22">
        <w:rPr>
          <w:b/>
          <w:szCs w:val="24"/>
        </w:rPr>
        <w:t xml:space="preserve">AFCARS </w:t>
      </w:r>
      <w:r w:rsidR="009C28B0">
        <w:rPr>
          <w:b/>
          <w:szCs w:val="24"/>
        </w:rPr>
        <w:t xml:space="preserve">Final Rule </w:t>
      </w:r>
      <w:r w:rsidR="00983A81" w:rsidRPr="00762E22">
        <w:rPr>
          <w:b/>
          <w:szCs w:val="24"/>
        </w:rPr>
        <w:t>Supporting Statement</w:t>
      </w:r>
      <w:r w:rsidR="00BA0C0C" w:rsidRPr="00762E22">
        <w:rPr>
          <w:b/>
          <w:szCs w:val="24"/>
        </w:rPr>
        <w:fldChar w:fldCharType="begin"/>
      </w:r>
      <w:r w:rsidR="00103B0A" w:rsidRPr="00762E22">
        <w:rPr>
          <w:b/>
          <w:szCs w:val="24"/>
        </w:rPr>
        <w:instrText xml:space="preserve">PRIVATE </w:instrText>
      </w:r>
      <w:r w:rsidR="00BA0C0C" w:rsidRPr="00762E22">
        <w:rPr>
          <w:b/>
          <w:szCs w:val="24"/>
        </w:rPr>
        <w:fldChar w:fldCharType="end"/>
      </w:r>
    </w:p>
    <w:p w14:paraId="32C022A8" w14:textId="77777777" w:rsidR="001A733C" w:rsidRPr="00762E22" w:rsidRDefault="001A733C" w:rsidP="00103B0A">
      <w:pPr>
        <w:rPr>
          <w:szCs w:val="24"/>
        </w:rPr>
      </w:pPr>
    </w:p>
    <w:p w14:paraId="0FFE4B72" w14:textId="77777777" w:rsidR="00103B0A" w:rsidRPr="00762E22" w:rsidRDefault="00103B0A" w:rsidP="00103B0A">
      <w:pPr>
        <w:rPr>
          <w:b/>
          <w:szCs w:val="24"/>
        </w:rPr>
      </w:pPr>
      <w:r w:rsidRPr="00762E22">
        <w:rPr>
          <w:b/>
          <w:szCs w:val="24"/>
        </w:rPr>
        <w:t>A.</w:t>
      </w:r>
      <w:r w:rsidRPr="00762E22">
        <w:rPr>
          <w:b/>
          <w:szCs w:val="24"/>
        </w:rPr>
        <w:tab/>
        <w:t>Justification</w:t>
      </w:r>
    </w:p>
    <w:p w14:paraId="29A101AC" w14:textId="77777777" w:rsidR="00814A83" w:rsidRPr="00762E22" w:rsidRDefault="00A001AC" w:rsidP="00814A83">
      <w:pPr>
        <w:pStyle w:val="ListParagraph"/>
        <w:numPr>
          <w:ilvl w:val="0"/>
          <w:numId w:val="10"/>
        </w:numPr>
        <w:spacing w:before="100" w:beforeAutospacing="1" w:after="100" w:afterAutospacing="1"/>
        <w:rPr>
          <w:snapToGrid/>
          <w:szCs w:val="24"/>
          <w:u w:val="single"/>
        </w:rPr>
      </w:pPr>
      <w:r w:rsidRPr="00762E22">
        <w:rPr>
          <w:snapToGrid/>
          <w:szCs w:val="24"/>
          <w:u w:val="single"/>
        </w:rPr>
        <w:t>Circumstances Making the Collection of Information Necessary</w:t>
      </w:r>
    </w:p>
    <w:p w14:paraId="20C9F23C" w14:textId="77777777" w:rsidR="000D4572" w:rsidRPr="000D4572" w:rsidRDefault="000D4572" w:rsidP="000D4572">
      <w:pPr>
        <w:widowControl/>
        <w:rPr>
          <w:snapToGrid/>
          <w:szCs w:val="24"/>
        </w:rPr>
      </w:pPr>
      <w:r w:rsidRPr="000D4572">
        <w:rPr>
          <w:rFonts w:eastAsiaTheme="minorHAnsi"/>
          <w:iCs/>
          <w:snapToGrid/>
          <w:color w:val="000000"/>
          <w:szCs w:val="24"/>
        </w:rPr>
        <w:t xml:space="preserve">Section 479 of the Social Security Act (the Act) requires that ACF regulate a national data collection system that provides comprehensive demographic and case-specific information on children who are in foster care and adopted with state or county child welfare agency involvement (42 U.S.C. § 679).  The data collection system is the Adoption and Foster Care </w:t>
      </w:r>
      <w:r w:rsidR="006B0059">
        <w:rPr>
          <w:rFonts w:eastAsiaTheme="minorHAnsi"/>
          <w:iCs/>
          <w:snapToGrid/>
          <w:color w:val="000000"/>
          <w:szCs w:val="24"/>
        </w:rPr>
        <w:t xml:space="preserve">Analysis </w:t>
      </w:r>
      <w:r w:rsidRPr="000D4572">
        <w:rPr>
          <w:rFonts w:eastAsiaTheme="minorHAnsi"/>
          <w:iCs/>
          <w:snapToGrid/>
          <w:color w:val="000000"/>
          <w:szCs w:val="24"/>
        </w:rPr>
        <w:t xml:space="preserve">Reporting System (AFCARS). </w:t>
      </w:r>
    </w:p>
    <w:p w14:paraId="7E5EBDF6" w14:textId="77777777" w:rsidR="00E65BD4" w:rsidRDefault="00E65BD4" w:rsidP="000D4572">
      <w:pPr>
        <w:widowControl/>
        <w:rPr>
          <w:snapToGrid/>
          <w:szCs w:val="24"/>
        </w:rPr>
      </w:pPr>
    </w:p>
    <w:p w14:paraId="13AA823A" w14:textId="77777777" w:rsidR="00E65BD4" w:rsidRDefault="000D4572" w:rsidP="000D4572">
      <w:pPr>
        <w:widowControl/>
        <w:rPr>
          <w:snapToGrid/>
          <w:szCs w:val="24"/>
        </w:rPr>
      </w:pPr>
      <w:r w:rsidRPr="000D4572">
        <w:rPr>
          <w:snapToGrid/>
          <w:szCs w:val="24"/>
        </w:rPr>
        <w:t>The Indian Child Welfare Act (ICWA) was enacted by Congress in 1978 in response to alarming numbers of AI/</w:t>
      </w:r>
      <w:proofErr w:type="gramStart"/>
      <w:r w:rsidRPr="000D4572">
        <w:rPr>
          <w:snapToGrid/>
          <w:szCs w:val="24"/>
        </w:rPr>
        <w:t>AN</w:t>
      </w:r>
      <w:proofErr w:type="gramEnd"/>
      <w:r w:rsidRPr="000D4572">
        <w:rPr>
          <w:snapToGrid/>
          <w:szCs w:val="24"/>
        </w:rPr>
        <w:t xml:space="preserve"> children being removed from their families by public and private child welfare agencies, most often being placed in non-Indian homes far from their tribal communities. </w:t>
      </w:r>
      <w:r>
        <w:rPr>
          <w:snapToGrid/>
          <w:szCs w:val="24"/>
        </w:rPr>
        <w:t xml:space="preserve"> </w:t>
      </w:r>
      <w:r w:rsidRPr="000D4572">
        <w:rPr>
          <w:snapToGrid/>
          <w:szCs w:val="24"/>
        </w:rPr>
        <w:t>ICWA was enacted to protect AI/</w:t>
      </w:r>
      <w:proofErr w:type="gramStart"/>
      <w:r w:rsidRPr="000D4572">
        <w:rPr>
          <w:snapToGrid/>
          <w:szCs w:val="24"/>
        </w:rPr>
        <w:t>AN</w:t>
      </w:r>
      <w:proofErr w:type="gramEnd"/>
      <w:r w:rsidRPr="000D4572">
        <w:rPr>
          <w:snapToGrid/>
          <w:szCs w:val="24"/>
        </w:rPr>
        <w:t xml:space="preserve"> families and to give tribes a role in making child welfare decisions for AI/AN children.  </w:t>
      </w:r>
    </w:p>
    <w:p w14:paraId="0F52A84A" w14:textId="77777777" w:rsidR="00E65BD4" w:rsidRDefault="00E65BD4" w:rsidP="000D4572">
      <w:pPr>
        <w:widowControl/>
        <w:rPr>
          <w:bCs/>
          <w:kern w:val="36"/>
          <w:szCs w:val="24"/>
        </w:rPr>
      </w:pPr>
    </w:p>
    <w:p w14:paraId="710EE1B7" w14:textId="53FD1082" w:rsidR="00E65BD4" w:rsidRDefault="00E65BD4" w:rsidP="000D4572">
      <w:pPr>
        <w:widowControl/>
        <w:rPr>
          <w:iCs/>
          <w:color w:val="000000"/>
          <w:szCs w:val="24"/>
        </w:rPr>
      </w:pPr>
      <w:r w:rsidRPr="00580D82">
        <w:rPr>
          <w:bCs/>
          <w:kern w:val="36"/>
          <w:szCs w:val="24"/>
        </w:rPr>
        <w:t>This final rule replace</w:t>
      </w:r>
      <w:r>
        <w:rPr>
          <w:bCs/>
          <w:kern w:val="36"/>
          <w:szCs w:val="24"/>
        </w:rPr>
        <w:t>s</w:t>
      </w:r>
      <w:r w:rsidRPr="00580D82">
        <w:rPr>
          <w:iCs/>
          <w:color w:val="000000"/>
          <w:szCs w:val="24"/>
        </w:rPr>
        <w:t xml:space="preserve"> existing </w:t>
      </w:r>
      <w:r>
        <w:rPr>
          <w:iCs/>
          <w:color w:val="000000"/>
          <w:szCs w:val="24"/>
        </w:rPr>
        <w:t>AFCARS</w:t>
      </w:r>
      <w:r w:rsidRPr="00580D82">
        <w:rPr>
          <w:iCs/>
          <w:color w:val="000000"/>
          <w:szCs w:val="24"/>
        </w:rPr>
        <w:t xml:space="preserve"> regulations</w:t>
      </w:r>
      <w:r w:rsidRPr="00580D82">
        <w:rPr>
          <w:szCs w:val="24"/>
        </w:rPr>
        <w:t xml:space="preserve"> at 45 CFR 1355.40 and the appendices </w:t>
      </w:r>
      <w:r>
        <w:rPr>
          <w:szCs w:val="24"/>
        </w:rPr>
        <w:t xml:space="preserve">to part 1355 </w:t>
      </w:r>
      <w:r w:rsidRPr="00580D82">
        <w:rPr>
          <w:iCs/>
          <w:color w:val="000000"/>
          <w:szCs w:val="24"/>
        </w:rPr>
        <w:t>to require title IV-E agencies to collect and report data to ACF on children in out-of-home care and who exit out-of-home care to adoption or legal guardianship, children in out-of-home care who are covered by the Indian Child Welfare Act</w:t>
      </w:r>
      <w:r>
        <w:rPr>
          <w:iCs/>
          <w:color w:val="000000"/>
          <w:szCs w:val="24"/>
        </w:rPr>
        <w:t xml:space="preserve"> of 1978 (ICWA)</w:t>
      </w:r>
      <w:r w:rsidRPr="00580D82">
        <w:rPr>
          <w:iCs/>
          <w:color w:val="000000"/>
          <w:szCs w:val="24"/>
        </w:rPr>
        <w:t>, children who are adopted with a title IV-E adoption assistance agreement,</w:t>
      </w:r>
      <w:r w:rsidR="00B70C15">
        <w:rPr>
          <w:iCs/>
          <w:color w:val="000000"/>
          <w:szCs w:val="24"/>
        </w:rPr>
        <w:t xml:space="preserve"> and children who exited foster care due to guardianship and who have a title IV-E guardianship assistance agreement.</w:t>
      </w:r>
      <w:r w:rsidRPr="00580D82">
        <w:rPr>
          <w:iCs/>
          <w:color w:val="000000"/>
          <w:szCs w:val="24"/>
        </w:rPr>
        <w:t>.</w:t>
      </w:r>
    </w:p>
    <w:p w14:paraId="62F62A95" w14:textId="77777777" w:rsidR="00E65BD4" w:rsidRPr="000D4572" w:rsidRDefault="00E65BD4" w:rsidP="000D4572">
      <w:pPr>
        <w:widowControl/>
        <w:rPr>
          <w:snapToGrid/>
          <w:szCs w:val="24"/>
        </w:rPr>
      </w:pPr>
    </w:p>
    <w:p w14:paraId="18CC6EC6" w14:textId="77777777" w:rsidR="00103B0A" w:rsidRPr="00762E22" w:rsidRDefault="00103B0A" w:rsidP="000F7541">
      <w:pPr>
        <w:spacing w:before="100" w:beforeAutospacing="1" w:after="100" w:afterAutospacing="1"/>
        <w:ind w:left="360"/>
        <w:rPr>
          <w:szCs w:val="24"/>
        </w:rPr>
      </w:pPr>
      <w:r w:rsidRPr="00762E22">
        <w:rPr>
          <w:szCs w:val="24"/>
        </w:rPr>
        <w:t xml:space="preserve">2.   </w:t>
      </w:r>
      <w:r w:rsidRPr="00762E22">
        <w:rPr>
          <w:szCs w:val="24"/>
          <w:u w:val="single"/>
        </w:rPr>
        <w:t>Purpose and Use of Information</w:t>
      </w:r>
      <w:r w:rsidR="00A001AC" w:rsidRPr="00762E22">
        <w:rPr>
          <w:szCs w:val="24"/>
          <w:u w:val="single"/>
        </w:rPr>
        <w:t xml:space="preserve"> Collection</w:t>
      </w:r>
    </w:p>
    <w:p w14:paraId="75C250D5" w14:textId="212FFAF3" w:rsidR="009F38CC" w:rsidRDefault="00103B0A" w:rsidP="00333598">
      <w:pPr>
        <w:rPr>
          <w:szCs w:val="24"/>
        </w:rPr>
      </w:pPr>
      <w:r w:rsidRPr="00762E22">
        <w:rPr>
          <w:szCs w:val="24"/>
        </w:rPr>
        <w:t xml:space="preserve">AFCARS is the only nationally mandated collection of data on children in foster care and those who have been adopted </w:t>
      </w:r>
      <w:r w:rsidR="0020233B" w:rsidRPr="00762E22">
        <w:rPr>
          <w:szCs w:val="24"/>
        </w:rPr>
        <w:t>with involvement by state and tribal</w:t>
      </w:r>
      <w:r w:rsidRPr="00762E22">
        <w:rPr>
          <w:szCs w:val="24"/>
        </w:rPr>
        <w:t xml:space="preserve"> child welfare agenc</w:t>
      </w:r>
      <w:r w:rsidR="0020233B" w:rsidRPr="00762E22">
        <w:rPr>
          <w:szCs w:val="24"/>
        </w:rPr>
        <w:t>ies</w:t>
      </w:r>
      <w:r w:rsidRPr="00762E22">
        <w:rPr>
          <w:szCs w:val="24"/>
        </w:rPr>
        <w:t xml:space="preserve">.  </w:t>
      </w:r>
      <w:r w:rsidR="009738A6">
        <w:rPr>
          <w:szCs w:val="24"/>
        </w:rPr>
        <w:t xml:space="preserve">State title IV-E agencies have been reporting information to AFCARS since 1995.  </w:t>
      </w:r>
      <w:r w:rsidRPr="00762E22">
        <w:rPr>
          <w:szCs w:val="24"/>
        </w:rPr>
        <w:t>The Department of Health and Human Services (</w:t>
      </w:r>
      <w:r w:rsidR="00CD4AE8" w:rsidRPr="00762E22">
        <w:rPr>
          <w:szCs w:val="24"/>
        </w:rPr>
        <w:t>the Department</w:t>
      </w:r>
      <w:r w:rsidRPr="00762E22">
        <w:rPr>
          <w:szCs w:val="24"/>
        </w:rPr>
        <w:t xml:space="preserve">) uses the information submitted by </w:t>
      </w:r>
      <w:r w:rsidR="00AC7BBD" w:rsidRPr="00762E22">
        <w:rPr>
          <w:szCs w:val="24"/>
        </w:rPr>
        <w:t>child welfare agencies</w:t>
      </w:r>
      <w:r w:rsidRPr="00762E22">
        <w:rPr>
          <w:szCs w:val="24"/>
        </w:rPr>
        <w:t xml:space="preserve"> </w:t>
      </w:r>
      <w:r w:rsidR="009F38CC">
        <w:rPr>
          <w:szCs w:val="24"/>
        </w:rPr>
        <w:t>to:</w:t>
      </w:r>
    </w:p>
    <w:p w14:paraId="3AA3F058" w14:textId="77777777" w:rsidR="00745D6B" w:rsidRPr="00745D6B" w:rsidRDefault="00745D6B" w:rsidP="00333598">
      <w:pPr>
        <w:numPr>
          <w:ilvl w:val="0"/>
          <w:numId w:val="29"/>
        </w:numPr>
        <w:rPr>
          <w:bCs/>
          <w:szCs w:val="24"/>
        </w:rPr>
      </w:pPr>
      <w:r w:rsidRPr="00745D6B">
        <w:rPr>
          <w:bCs/>
          <w:szCs w:val="24"/>
        </w:rPr>
        <w:t>Draw national statistics and trends about the foster care and adoption populations for assessing the current state of foster care and adoption.</w:t>
      </w:r>
    </w:p>
    <w:p w14:paraId="3E482846" w14:textId="77777777" w:rsidR="00745D6B" w:rsidRPr="00745D6B" w:rsidRDefault="00745D6B" w:rsidP="00333598">
      <w:pPr>
        <w:numPr>
          <w:ilvl w:val="0"/>
          <w:numId w:val="29"/>
        </w:numPr>
        <w:rPr>
          <w:bCs/>
          <w:szCs w:val="24"/>
        </w:rPr>
      </w:pPr>
      <w:r w:rsidRPr="00745D6B">
        <w:rPr>
          <w:bCs/>
          <w:szCs w:val="24"/>
        </w:rPr>
        <w:t>Complete the annual Child Welfare Outcomes Report to Congress (section 479A of the Act).</w:t>
      </w:r>
    </w:p>
    <w:p w14:paraId="713DEA21" w14:textId="77777777" w:rsidR="00745D6B" w:rsidRPr="00745D6B" w:rsidRDefault="00745D6B" w:rsidP="00333598">
      <w:pPr>
        <w:numPr>
          <w:ilvl w:val="0"/>
          <w:numId w:val="29"/>
        </w:numPr>
        <w:rPr>
          <w:bCs/>
          <w:szCs w:val="24"/>
        </w:rPr>
      </w:pPr>
      <w:r w:rsidRPr="00745D6B">
        <w:rPr>
          <w:bCs/>
          <w:szCs w:val="24"/>
        </w:rPr>
        <w:t>Develop our budgets.</w:t>
      </w:r>
    </w:p>
    <w:p w14:paraId="6F4BF8FC" w14:textId="77777777" w:rsidR="00745D6B" w:rsidRPr="00745D6B" w:rsidRDefault="00745D6B" w:rsidP="00333598">
      <w:pPr>
        <w:numPr>
          <w:ilvl w:val="0"/>
          <w:numId w:val="29"/>
        </w:numPr>
        <w:rPr>
          <w:bCs/>
          <w:szCs w:val="24"/>
        </w:rPr>
      </w:pPr>
      <w:r w:rsidRPr="00745D6B">
        <w:rPr>
          <w:bCs/>
          <w:szCs w:val="24"/>
        </w:rPr>
        <w:t xml:space="preserve">Calculate payments for the Adoption and Guardianship Incentive Payments program. </w:t>
      </w:r>
    </w:p>
    <w:p w14:paraId="509BC545" w14:textId="77777777" w:rsidR="00745D6B" w:rsidRPr="00745D6B" w:rsidRDefault="00745D6B" w:rsidP="00333598">
      <w:pPr>
        <w:numPr>
          <w:ilvl w:val="0"/>
          <w:numId w:val="29"/>
        </w:numPr>
        <w:rPr>
          <w:bCs/>
          <w:szCs w:val="24"/>
        </w:rPr>
      </w:pPr>
      <w:r w:rsidRPr="00745D6B">
        <w:rPr>
          <w:bCs/>
          <w:szCs w:val="24"/>
        </w:rPr>
        <w:t>Monitor title IV-E agency compliance with title IV-B and IV-E requirements, including drawing the population sample for title IV-E reviews.</w:t>
      </w:r>
    </w:p>
    <w:p w14:paraId="02EBCD4C" w14:textId="77777777" w:rsidR="00745D6B" w:rsidRPr="00745D6B" w:rsidRDefault="00745D6B" w:rsidP="00333598">
      <w:pPr>
        <w:numPr>
          <w:ilvl w:val="0"/>
          <w:numId w:val="30"/>
        </w:numPr>
        <w:rPr>
          <w:bCs/>
          <w:szCs w:val="24"/>
        </w:rPr>
      </w:pPr>
      <w:r w:rsidRPr="00745D6B">
        <w:rPr>
          <w:bCs/>
          <w:szCs w:val="24"/>
        </w:rPr>
        <w:t xml:space="preserve">Develop appropriate national policies with respect to adoption and foster care; and </w:t>
      </w:r>
    </w:p>
    <w:p w14:paraId="2B2F9F4C" w14:textId="77777777" w:rsidR="00745D6B" w:rsidRPr="00745D6B" w:rsidRDefault="00745D6B" w:rsidP="00333598">
      <w:pPr>
        <w:numPr>
          <w:ilvl w:val="0"/>
          <w:numId w:val="30"/>
        </w:numPr>
        <w:rPr>
          <w:bCs/>
          <w:szCs w:val="24"/>
        </w:rPr>
      </w:pPr>
      <w:r w:rsidRPr="00745D6B">
        <w:rPr>
          <w:bCs/>
          <w:szCs w:val="24"/>
        </w:rPr>
        <w:t>Address the unique needs of Indian children as defined by ICWA in foster care or who exit to adoption, and their families.</w:t>
      </w:r>
    </w:p>
    <w:p w14:paraId="784EA007" w14:textId="77777777" w:rsidR="00103B0A" w:rsidRPr="00762E22" w:rsidRDefault="00103B0A" w:rsidP="000F7541">
      <w:pPr>
        <w:spacing w:before="100" w:beforeAutospacing="1" w:after="100" w:afterAutospacing="1"/>
        <w:ind w:left="360"/>
        <w:rPr>
          <w:snapToGrid/>
          <w:szCs w:val="24"/>
        </w:rPr>
      </w:pPr>
      <w:r w:rsidRPr="00762E22">
        <w:rPr>
          <w:szCs w:val="24"/>
        </w:rPr>
        <w:t xml:space="preserve">3.   </w:t>
      </w:r>
      <w:r w:rsidR="00A001AC" w:rsidRPr="00762E22">
        <w:rPr>
          <w:snapToGrid/>
          <w:szCs w:val="24"/>
          <w:u w:val="single"/>
        </w:rPr>
        <w:t>Use of Improved Information Technology and Burden Reduction</w:t>
      </w:r>
    </w:p>
    <w:p w14:paraId="7B5E24E0" w14:textId="77777777" w:rsidR="00103B0A" w:rsidRPr="00762E22" w:rsidRDefault="00103B0A" w:rsidP="005A0CE0">
      <w:pPr>
        <w:spacing w:before="100" w:beforeAutospacing="1" w:after="100" w:afterAutospacing="1"/>
        <w:rPr>
          <w:szCs w:val="24"/>
        </w:rPr>
      </w:pPr>
      <w:r w:rsidRPr="00762E22">
        <w:rPr>
          <w:szCs w:val="24"/>
        </w:rPr>
        <w:t>AFCARS data are required to be submitted electronically to the Department on a semi-annual basis</w:t>
      </w:r>
      <w:r w:rsidR="00363D37" w:rsidRPr="00762E22">
        <w:rPr>
          <w:szCs w:val="24"/>
        </w:rPr>
        <w:t xml:space="preserve"> (twice a year)</w:t>
      </w:r>
      <w:r w:rsidR="0090108B" w:rsidRPr="00762E22">
        <w:rPr>
          <w:szCs w:val="24"/>
        </w:rPr>
        <w:t xml:space="preserve">.  </w:t>
      </w:r>
      <w:r w:rsidR="00690457" w:rsidRPr="00762E22">
        <w:rPr>
          <w:szCs w:val="24"/>
        </w:rPr>
        <w:t xml:space="preserve">FISMA approved software is used that allows for secure </w:t>
      </w:r>
      <w:r w:rsidRPr="00762E22">
        <w:rPr>
          <w:szCs w:val="24"/>
        </w:rPr>
        <w:t xml:space="preserve">direct </w:t>
      </w:r>
      <w:r w:rsidR="004E155E" w:rsidRPr="00762E22">
        <w:rPr>
          <w:szCs w:val="24"/>
        </w:rPr>
        <w:t>transmission of data files</w:t>
      </w:r>
      <w:r w:rsidRPr="00762E22">
        <w:rPr>
          <w:szCs w:val="24"/>
        </w:rPr>
        <w:t xml:space="preserve"> </w:t>
      </w:r>
      <w:r w:rsidRPr="00762E22">
        <w:rPr>
          <w:szCs w:val="24"/>
        </w:rPr>
        <w:lastRenderedPageBreak/>
        <w:t xml:space="preserve">between </w:t>
      </w:r>
      <w:r w:rsidR="00363D37" w:rsidRPr="00762E22">
        <w:rPr>
          <w:szCs w:val="24"/>
        </w:rPr>
        <w:t>the title IV-E agencies a</w:t>
      </w:r>
      <w:r w:rsidRPr="00762E22">
        <w:rPr>
          <w:szCs w:val="24"/>
        </w:rPr>
        <w:t xml:space="preserve">nd the Federal Government. </w:t>
      </w:r>
    </w:p>
    <w:p w14:paraId="65B99AC9" w14:textId="77777777" w:rsidR="00103B0A" w:rsidRPr="00762E22" w:rsidRDefault="00103B0A" w:rsidP="000F7541">
      <w:pPr>
        <w:spacing w:before="100" w:beforeAutospacing="1" w:after="100" w:afterAutospacing="1"/>
        <w:ind w:left="360"/>
        <w:rPr>
          <w:szCs w:val="24"/>
        </w:rPr>
      </w:pPr>
      <w:r w:rsidRPr="00762E22">
        <w:rPr>
          <w:szCs w:val="24"/>
        </w:rPr>
        <w:t xml:space="preserve">4.   </w:t>
      </w:r>
      <w:r w:rsidR="006168DD" w:rsidRPr="00762E22">
        <w:rPr>
          <w:snapToGrid/>
          <w:szCs w:val="24"/>
          <w:u w:val="single"/>
        </w:rPr>
        <w:t>Efforts to Identify Duplication and Use of Similar Information</w:t>
      </w:r>
    </w:p>
    <w:p w14:paraId="1C740323" w14:textId="77777777" w:rsidR="003E682B" w:rsidRPr="005A0CE0" w:rsidRDefault="00A746D9" w:rsidP="003E682B">
      <w:pPr>
        <w:rPr>
          <w:szCs w:val="24"/>
        </w:rPr>
      </w:pPr>
      <w:r>
        <w:rPr>
          <w:szCs w:val="24"/>
        </w:rPr>
        <w:t xml:space="preserve">ACF </w:t>
      </w:r>
      <w:r w:rsidR="005A0CE0" w:rsidRPr="005A0CE0">
        <w:rPr>
          <w:szCs w:val="24"/>
        </w:rPr>
        <w:t>determined that a regulation is the best and most cost effective way to implement the statutory</w:t>
      </w:r>
      <w:r>
        <w:rPr>
          <w:szCs w:val="24"/>
        </w:rPr>
        <w:t xml:space="preserve"> </w:t>
      </w:r>
      <w:r w:rsidR="005A0CE0" w:rsidRPr="005A0CE0">
        <w:rPr>
          <w:szCs w:val="24"/>
        </w:rPr>
        <w:t>mandate for a data collection system regarding children in foster care and those that are adopted</w:t>
      </w:r>
      <w:r>
        <w:rPr>
          <w:szCs w:val="24"/>
        </w:rPr>
        <w:t xml:space="preserve"> </w:t>
      </w:r>
      <w:r w:rsidR="005A0CE0" w:rsidRPr="005A0CE0">
        <w:rPr>
          <w:szCs w:val="24"/>
        </w:rPr>
        <w:t>and support other statutory obligations to provide oversight of child welfare programs</w:t>
      </w:r>
      <w:r w:rsidR="00881187">
        <w:rPr>
          <w:szCs w:val="24"/>
        </w:rPr>
        <w:t xml:space="preserve">.  </w:t>
      </w:r>
      <w:r w:rsidR="005A0CE0" w:rsidRPr="005A0CE0">
        <w:rPr>
          <w:szCs w:val="24"/>
        </w:rPr>
        <w:t xml:space="preserve">AFCARS is the only </w:t>
      </w:r>
      <w:r w:rsidR="006B0059">
        <w:rPr>
          <w:szCs w:val="24"/>
        </w:rPr>
        <w:t xml:space="preserve">national </w:t>
      </w:r>
      <w:r w:rsidR="005A0CE0" w:rsidRPr="005A0CE0">
        <w:rPr>
          <w:szCs w:val="24"/>
        </w:rPr>
        <w:t>comprehensive case-level data set on the incidence</w:t>
      </w:r>
      <w:r>
        <w:rPr>
          <w:szCs w:val="24"/>
        </w:rPr>
        <w:t xml:space="preserve"> </w:t>
      </w:r>
      <w:r w:rsidR="005A0CE0" w:rsidRPr="005A0CE0">
        <w:rPr>
          <w:szCs w:val="24"/>
        </w:rPr>
        <w:t>and experiences of children who are in foster care and/or adoption or guardianship with</w:t>
      </w:r>
      <w:r>
        <w:rPr>
          <w:szCs w:val="24"/>
        </w:rPr>
        <w:t xml:space="preserve"> </w:t>
      </w:r>
      <w:r w:rsidR="005A0CE0" w:rsidRPr="005A0CE0">
        <w:rPr>
          <w:szCs w:val="24"/>
        </w:rPr>
        <w:t>the involvement of the state or tribal title IV–E agency.</w:t>
      </w:r>
    </w:p>
    <w:p w14:paraId="29A921B2" w14:textId="77777777" w:rsidR="005A0CE0" w:rsidRPr="00A746D9" w:rsidRDefault="005A0CE0" w:rsidP="00C144A4">
      <w:pPr>
        <w:rPr>
          <w:szCs w:val="24"/>
        </w:rPr>
      </w:pPr>
    </w:p>
    <w:p w14:paraId="587E642F" w14:textId="77777777" w:rsidR="00103B0A" w:rsidRPr="00762E22" w:rsidRDefault="00103B0A" w:rsidP="000F7541">
      <w:pPr>
        <w:spacing w:before="100" w:beforeAutospacing="1" w:after="100" w:afterAutospacing="1"/>
        <w:ind w:left="360"/>
        <w:rPr>
          <w:szCs w:val="24"/>
        </w:rPr>
      </w:pPr>
      <w:r w:rsidRPr="00762E22">
        <w:rPr>
          <w:szCs w:val="24"/>
        </w:rPr>
        <w:t>5.</w:t>
      </w:r>
      <w:r w:rsidRPr="00762E22">
        <w:rPr>
          <w:szCs w:val="24"/>
        </w:rPr>
        <w:tab/>
      </w:r>
      <w:r w:rsidRPr="00762E22">
        <w:rPr>
          <w:szCs w:val="24"/>
          <w:u w:val="single"/>
        </w:rPr>
        <w:t>Impact on Small Businesses or Other Small Entities</w:t>
      </w:r>
    </w:p>
    <w:p w14:paraId="03D63399" w14:textId="77777777" w:rsidR="00DC1978" w:rsidRDefault="00DC1978" w:rsidP="00C144A4">
      <w:pPr>
        <w:spacing w:before="100" w:beforeAutospacing="1" w:after="100" w:afterAutospacing="1"/>
        <w:rPr>
          <w:szCs w:val="24"/>
        </w:rPr>
      </w:pPr>
      <w:r w:rsidRPr="00DC1978">
        <w:rPr>
          <w:szCs w:val="24"/>
        </w:rPr>
        <w:t>This information colle</w:t>
      </w:r>
      <w:r>
        <w:rPr>
          <w:szCs w:val="24"/>
        </w:rPr>
        <w:t>ction is required of state and t</w:t>
      </w:r>
      <w:r w:rsidRPr="00DC1978">
        <w:rPr>
          <w:szCs w:val="24"/>
        </w:rPr>
        <w:t xml:space="preserve">ribal </w:t>
      </w:r>
      <w:r>
        <w:rPr>
          <w:szCs w:val="24"/>
        </w:rPr>
        <w:t xml:space="preserve">title IV-E </w:t>
      </w:r>
      <w:r w:rsidRPr="00DC1978">
        <w:rPr>
          <w:szCs w:val="24"/>
        </w:rPr>
        <w:t>agencies only and does not impact small businesses or other small entities.  The Department requires reporting only on those children for whom the title IV-E agency has responsibility for placement and care</w:t>
      </w:r>
      <w:r w:rsidR="00011ECC">
        <w:rPr>
          <w:szCs w:val="24"/>
        </w:rPr>
        <w:t xml:space="preserve"> or children who were adopted with a title IV-E adoption assistance agreement who were not in foster care</w:t>
      </w:r>
      <w:r w:rsidRPr="00DC1978">
        <w:rPr>
          <w:szCs w:val="24"/>
        </w:rPr>
        <w:t>.</w:t>
      </w:r>
    </w:p>
    <w:p w14:paraId="4B8623DD" w14:textId="77777777" w:rsidR="00103B0A" w:rsidRPr="00762E22" w:rsidRDefault="00103B0A" w:rsidP="000F7541">
      <w:pPr>
        <w:spacing w:before="100" w:beforeAutospacing="1" w:after="100" w:afterAutospacing="1"/>
        <w:ind w:left="360"/>
        <w:rPr>
          <w:szCs w:val="24"/>
        </w:rPr>
      </w:pPr>
      <w:r w:rsidRPr="00762E22">
        <w:rPr>
          <w:szCs w:val="24"/>
        </w:rPr>
        <w:t xml:space="preserve">6.   </w:t>
      </w:r>
      <w:r w:rsidRPr="00762E22">
        <w:rPr>
          <w:szCs w:val="24"/>
          <w:u w:val="single"/>
        </w:rPr>
        <w:t>Consequence</w:t>
      </w:r>
      <w:r w:rsidR="006168DD" w:rsidRPr="00762E22">
        <w:rPr>
          <w:szCs w:val="24"/>
          <w:u w:val="single"/>
        </w:rPr>
        <w:t>s</w:t>
      </w:r>
      <w:r w:rsidRPr="00762E22">
        <w:rPr>
          <w:szCs w:val="24"/>
          <w:u w:val="single"/>
        </w:rPr>
        <w:t xml:space="preserve"> of </w:t>
      </w:r>
      <w:r w:rsidR="006168DD" w:rsidRPr="00762E22">
        <w:rPr>
          <w:szCs w:val="24"/>
          <w:u w:val="single"/>
        </w:rPr>
        <w:t>Collecting the Information Less Frequently</w:t>
      </w:r>
    </w:p>
    <w:p w14:paraId="741AA05C" w14:textId="77777777" w:rsidR="00103B0A" w:rsidRPr="00762E22" w:rsidRDefault="00103B0A" w:rsidP="00696A02">
      <w:pPr>
        <w:spacing w:before="100" w:beforeAutospacing="1" w:after="100" w:afterAutospacing="1"/>
        <w:rPr>
          <w:szCs w:val="24"/>
        </w:rPr>
      </w:pPr>
      <w:r w:rsidRPr="00762E22">
        <w:rPr>
          <w:szCs w:val="24"/>
        </w:rPr>
        <w:t xml:space="preserve">Information must be collected on an on-going basis in order to provide </w:t>
      </w:r>
      <w:r w:rsidR="0088481F" w:rsidRPr="00762E22">
        <w:rPr>
          <w:szCs w:val="24"/>
        </w:rPr>
        <w:t xml:space="preserve">for </w:t>
      </w:r>
      <w:r w:rsidR="00BE1CA8" w:rsidRPr="00762E22">
        <w:rPr>
          <w:szCs w:val="24"/>
        </w:rPr>
        <w:t>future evaluation</w:t>
      </w:r>
      <w:r w:rsidRPr="00762E22">
        <w:rPr>
          <w:szCs w:val="24"/>
        </w:rPr>
        <w:t xml:space="preserve"> and</w:t>
      </w:r>
      <w:r w:rsidR="00F02211" w:rsidRPr="00762E22">
        <w:rPr>
          <w:szCs w:val="24"/>
        </w:rPr>
        <w:t xml:space="preserve"> other information</w:t>
      </w:r>
      <w:r w:rsidRPr="00762E22">
        <w:rPr>
          <w:szCs w:val="24"/>
        </w:rPr>
        <w:t xml:space="preserve"> for children in foster care.  As the only nationally mandated child welfare information collection system, AFCARS is the primary source of information.  In order to reduce the burden on </w:t>
      </w:r>
      <w:r w:rsidR="00C37B35" w:rsidRPr="00762E22">
        <w:rPr>
          <w:szCs w:val="24"/>
        </w:rPr>
        <w:t>title IV-agencie</w:t>
      </w:r>
      <w:r w:rsidRPr="00762E22">
        <w:rPr>
          <w:szCs w:val="24"/>
        </w:rPr>
        <w:t>s, and still gather data on a timely basis, a semi-annual reporting period has been required in the regulation.</w:t>
      </w:r>
      <w:r w:rsidR="00D41C25" w:rsidRPr="00762E22">
        <w:rPr>
          <w:szCs w:val="24"/>
        </w:rPr>
        <w:t xml:space="preserve"> </w:t>
      </w:r>
      <w:r w:rsidR="00A15354" w:rsidRPr="00762E22">
        <w:rPr>
          <w:noProof/>
          <w:szCs w:val="24"/>
        </w:rPr>
        <w:t xml:space="preserve"> </w:t>
      </w:r>
    </w:p>
    <w:p w14:paraId="3C86E9C6" w14:textId="77777777" w:rsidR="00103B0A" w:rsidRPr="00762E22" w:rsidRDefault="00103B0A" w:rsidP="000F7541">
      <w:pPr>
        <w:spacing w:before="100" w:beforeAutospacing="1" w:after="100" w:afterAutospacing="1"/>
        <w:ind w:left="360"/>
        <w:rPr>
          <w:snapToGrid/>
          <w:szCs w:val="24"/>
        </w:rPr>
      </w:pPr>
      <w:r w:rsidRPr="00762E22">
        <w:rPr>
          <w:szCs w:val="24"/>
        </w:rPr>
        <w:t xml:space="preserve">7.   </w:t>
      </w:r>
      <w:r w:rsidR="006168DD" w:rsidRPr="00762E22">
        <w:rPr>
          <w:snapToGrid/>
          <w:szCs w:val="24"/>
          <w:u w:val="single"/>
        </w:rPr>
        <w:t>Special Circumstances Relating to the Guidelines of 5 CFR 1320.5</w:t>
      </w:r>
    </w:p>
    <w:p w14:paraId="1EC3309E" w14:textId="77777777" w:rsidR="00103B0A" w:rsidRPr="00762E22" w:rsidRDefault="00103B0A" w:rsidP="00696A02">
      <w:pPr>
        <w:spacing w:before="100" w:beforeAutospacing="1" w:after="100" w:afterAutospacing="1"/>
        <w:rPr>
          <w:szCs w:val="24"/>
        </w:rPr>
      </w:pPr>
      <w:r w:rsidRPr="00762E22">
        <w:rPr>
          <w:szCs w:val="24"/>
        </w:rPr>
        <w:t>There are no special circumstances required in the collection of this information in a manner other than that required by OMB.</w:t>
      </w:r>
    </w:p>
    <w:p w14:paraId="412CCF27" w14:textId="77777777" w:rsidR="00103B0A" w:rsidRPr="00762E22" w:rsidRDefault="00103B0A" w:rsidP="000F7541">
      <w:pPr>
        <w:spacing w:before="100" w:beforeAutospacing="1" w:after="100" w:afterAutospacing="1"/>
        <w:ind w:left="360"/>
        <w:rPr>
          <w:szCs w:val="24"/>
        </w:rPr>
      </w:pPr>
      <w:r w:rsidRPr="00762E22">
        <w:rPr>
          <w:szCs w:val="24"/>
        </w:rPr>
        <w:t xml:space="preserve">8.   </w:t>
      </w:r>
      <w:r w:rsidR="006168DD" w:rsidRPr="00762E22">
        <w:rPr>
          <w:snapToGrid/>
          <w:szCs w:val="24"/>
          <w:u w:val="single"/>
        </w:rPr>
        <w:t>Comments in Response to the Federal Register Notice and Efforts to Consult Outside the Agency</w:t>
      </w:r>
    </w:p>
    <w:p w14:paraId="67066943" w14:textId="4BD6CE22" w:rsidR="006E6997" w:rsidRPr="00762E22" w:rsidRDefault="00897737" w:rsidP="00BA2D44">
      <w:pPr>
        <w:rPr>
          <w:szCs w:val="24"/>
        </w:rPr>
      </w:pPr>
      <w:bookmarkStart w:id="0" w:name="_GoBack"/>
      <w:r>
        <w:rPr>
          <w:szCs w:val="24"/>
        </w:rPr>
        <w:t>T</w:t>
      </w:r>
      <w:r w:rsidR="00DC61A6" w:rsidRPr="00762E22">
        <w:rPr>
          <w:szCs w:val="24"/>
        </w:rPr>
        <w:t>he mechanism by which the Department solicit</w:t>
      </w:r>
      <w:r>
        <w:rPr>
          <w:szCs w:val="24"/>
        </w:rPr>
        <w:t>ed</w:t>
      </w:r>
      <w:r w:rsidR="00DC61A6" w:rsidRPr="00762E22">
        <w:rPr>
          <w:szCs w:val="24"/>
        </w:rPr>
        <w:t xml:space="preserve"> comments on proposed changes to AFCARS</w:t>
      </w:r>
      <w:r w:rsidR="00552AA1" w:rsidRPr="00762E22">
        <w:rPr>
          <w:szCs w:val="24"/>
        </w:rPr>
        <w:t xml:space="preserve"> </w:t>
      </w:r>
      <w:r>
        <w:rPr>
          <w:szCs w:val="24"/>
        </w:rPr>
        <w:t xml:space="preserve">was </w:t>
      </w:r>
      <w:r w:rsidRPr="00580D82">
        <w:rPr>
          <w:rFonts w:eastAsia="Calibri"/>
          <w:bCs/>
          <w:iCs/>
          <w:szCs w:val="24"/>
        </w:rPr>
        <w:t xml:space="preserve">a Notice of Proposed Rulemaking </w:t>
      </w:r>
      <w:r>
        <w:rPr>
          <w:rFonts w:eastAsia="Calibri"/>
          <w:bCs/>
          <w:iCs/>
          <w:szCs w:val="24"/>
        </w:rPr>
        <w:t xml:space="preserve">issued </w:t>
      </w:r>
      <w:r w:rsidRPr="00580D82">
        <w:rPr>
          <w:rFonts w:eastAsia="Calibri"/>
          <w:bCs/>
          <w:iCs/>
          <w:szCs w:val="24"/>
        </w:rPr>
        <w:t>o</w:t>
      </w:r>
      <w:r>
        <w:rPr>
          <w:rFonts w:eastAsia="Calibri"/>
          <w:bCs/>
          <w:iCs/>
          <w:szCs w:val="24"/>
        </w:rPr>
        <w:t>n February 9, 2015 (80 FR 7132) (</w:t>
      </w:r>
      <w:r w:rsidRPr="00580D82">
        <w:rPr>
          <w:rFonts w:eastAsia="Calibri"/>
          <w:bCs/>
          <w:iCs/>
          <w:szCs w:val="24"/>
        </w:rPr>
        <w:t>2015 NPRM) and in a S</w:t>
      </w:r>
      <w:r w:rsidRPr="00580D82">
        <w:rPr>
          <w:rFonts w:eastAsia="Calibri"/>
          <w:bCs/>
          <w:szCs w:val="24"/>
        </w:rPr>
        <w:t xml:space="preserve">upplemental Notice of Proposed Rulemaking </w:t>
      </w:r>
      <w:r>
        <w:rPr>
          <w:rFonts w:eastAsia="Calibri"/>
          <w:bCs/>
          <w:szCs w:val="24"/>
        </w:rPr>
        <w:t>issued on April 7, 2016 (81 FR 20283) (</w:t>
      </w:r>
      <w:r w:rsidRPr="00580D82">
        <w:rPr>
          <w:rFonts w:eastAsia="Calibri"/>
          <w:bCs/>
          <w:szCs w:val="24"/>
        </w:rPr>
        <w:t>2016 SNPRM)</w:t>
      </w:r>
      <w:r w:rsidR="00DC61A6" w:rsidRPr="00762E22">
        <w:rPr>
          <w:szCs w:val="24"/>
        </w:rPr>
        <w:t>.</w:t>
      </w:r>
      <w:r w:rsidR="008F0290">
        <w:rPr>
          <w:szCs w:val="24"/>
        </w:rPr>
        <w:t xml:space="preserve">  ACF </w:t>
      </w:r>
      <w:r w:rsidR="00AD4A44" w:rsidRPr="00762E22">
        <w:rPr>
          <w:szCs w:val="24"/>
        </w:rPr>
        <w:t>considered the input from comments to the 2015 NPRM</w:t>
      </w:r>
      <w:r w:rsidR="008F0290">
        <w:rPr>
          <w:szCs w:val="24"/>
        </w:rPr>
        <w:t xml:space="preserve"> and 2016 SNPRM.</w:t>
      </w:r>
      <w:r w:rsidR="00036766">
        <w:rPr>
          <w:szCs w:val="24"/>
        </w:rPr>
        <w:t xml:space="preserve">  </w:t>
      </w:r>
      <w:r w:rsidR="00036766" w:rsidRPr="00036766">
        <w:rPr>
          <w:szCs w:val="24"/>
        </w:rPr>
        <w:t xml:space="preserve">In response to </w:t>
      </w:r>
      <w:r w:rsidR="00BA2D44">
        <w:rPr>
          <w:szCs w:val="24"/>
        </w:rPr>
        <w:t>both proposals</w:t>
      </w:r>
      <w:r w:rsidR="00036766" w:rsidRPr="00036766">
        <w:rPr>
          <w:szCs w:val="24"/>
        </w:rPr>
        <w:t xml:space="preserve">, we received </w:t>
      </w:r>
      <w:r w:rsidR="00BA2D44">
        <w:rPr>
          <w:szCs w:val="24"/>
        </w:rPr>
        <w:t>a variety of comments but we</w:t>
      </w:r>
      <w:r w:rsidR="00BA2D44" w:rsidRPr="00BA2D44">
        <w:rPr>
          <w:szCs w:val="24"/>
        </w:rPr>
        <w:t xml:space="preserve"> received too few</w:t>
      </w:r>
      <w:r w:rsidR="00BA2D44">
        <w:rPr>
          <w:szCs w:val="24"/>
        </w:rPr>
        <w:t xml:space="preserve"> </w:t>
      </w:r>
      <w:r w:rsidR="00BA2D44" w:rsidRPr="00BA2D44">
        <w:rPr>
          <w:szCs w:val="24"/>
        </w:rPr>
        <w:t>estimates to assist in calculating the</w:t>
      </w:r>
      <w:r w:rsidR="00BA2D44">
        <w:rPr>
          <w:szCs w:val="24"/>
        </w:rPr>
        <w:t xml:space="preserve"> costs </w:t>
      </w:r>
      <w:r w:rsidR="00BA2D44" w:rsidRPr="00BA2D44">
        <w:rPr>
          <w:szCs w:val="24"/>
        </w:rPr>
        <w:t>associated with this</w:t>
      </w:r>
      <w:r w:rsidR="00BA2D44">
        <w:rPr>
          <w:szCs w:val="24"/>
        </w:rPr>
        <w:t xml:space="preserve"> final rule</w:t>
      </w:r>
      <w:r w:rsidR="00BA2D44" w:rsidRPr="00BA2D44">
        <w:rPr>
          <w:szCs w:val="24"/>
        </w:rPr>
        <w:t>. Therefore, ACF provides</w:t>
      </w:r>
      <w:r w:rsidR="00BA2D44">
        <w:rPr>
          <w:szCs w:val="24"/>
        </w:rPr>
        <w:t xml:space="preserve"> </w:t>
      </w:r>
      <w:r w:rsidR="00BA2D44" w:rsidRPr="00BA2D44">
        <w:rPr>
          <w:szCs w:val="24"/>
        </w:rPr>
        <w:t>estimates using the best available</w:t>
      </w:r>
      <w:r w:rsidR="00A075C4">
        <w:rPr>
          <w:szCs w:val="24"/>
        </w:rPr>
        <w:t xml:space="preserve"> </w:t>
      </w:r>
      <w:r w:rsidR="00BA2D44" w:rsidRPr="00BA2D44">
        <w:rPr>
          <w:szCs w:val="24"/>
        </w:rPr>
        <w:t>information.</w:t>
      </w:r>
      <w:r w:rsidR="00036766" w:rsidRPr="00036766">
        <w:rPr>
          <w:szCs w:val="24"/>
        </w:rPr>
        <w:t xml:space="preserve"> </w:t>
      </w:r>
    </w:p>
    <w:bookmarkEnd w:id="0"/>
    <w:p w14:paraId="7C011B75" w14:textId="77777777" w:rsidR="00103B0A" w:rsidRPr="00762E22" w:rsidRDefault="00103B0A" w:rsidP="000F7541">
      <w:pPr>
        <w:spacing w:before="100" w:beforeAutospacing="1" w:after="100" w:afterAutospacing="1"/>
        <w:ind w:left="360"/>
        <w:rPr>
          <w:szCs w:val="24"/>
        </w:rPr>
      </w:pPr>
      <w:r w:rsidRPr="00762E22">
        <w:rPr>
          <w:szCs w:val="24"/>
        </w:rPr>
        <w:t xml:space="preserve">9.  </w:t>
      </w:r>
      <w:r w:rsidR="006168DD" w:rsidRPr="00762E22">
        <w:rPr>
          <w:snapToGrid/>
          <w:szCs w:val="24"/>
          <w:u w:val="single"/>
        </w:rPr>
        <w:t>Explanation of Any Payment or Gift to Respondents</w:t>
      </w:r>
    </w:p>
    <w:p w14:paraId="51875BD4" w14:textId="77777777" w:rsidR="00103B0A" w:rsidRPr="00762E22" w:rsidRDefault="00103B0A" w:rsidP="00696A02">
      <w:pPr>
        <w:spacing w:before="100" w:beforeAutospacing="1" w:after="100" w:afterAutospacing="1"/>
        <w:rPr>
          <w:szCs w:val="24"/>
        </w:rPr>
      </w:pPr>
      <w:r w:rsidRPr="00762E22">
        <w:rPr>
          <w:szCs w:val="24"/>
        </w:rPr>
        <w:t xml:space="preserve">No payments, other than Federal financial participation (FFP), will be made to </w:t>
      </w:r>
      <w:r w:rsidR="00AE2B02" w:rsidRPr="00762E22">
        <w:rPr>
          <w:szCs w:val="24"/>
        </w:rPr>
        <w:t>s</w:t>
      </w:r>
      <w:r w:rsidRPr="00762E22">
        <w:rPr>
          <w:szCs w:val="24"/>
        </w:rPr>
        <w:t>tates</w:t>
      </w:r>
      <w:r w:rsidR="00BA7F69" w:rsidRPr="00762E22">
        <w:rPr>
          <w:szCs w:val="24"/>
        </w:rPr>
        <w:t xml:space="preserve"> </w:t>
      </w:r>
      <w:r w:rsidRPr="00762E22">
        <w:rPr>
          <w:szCs w:val="24"/>
        </w:rPr>
        <w:t>for the maintenance and development of an information system.</w:t>
      </w:r>
    </w:p>
    <w:p w14:paraId="50DAA576" w14:textId="77777777" w:rsidR="00103B0A" w:rsidRPr="00762E22" w:rsidRDefault="00103B0A" w:rsidP="000F7541">
      <w:pPr>
        <w:spacing w:before="100" w:beforeAutospacing="1" w:after="100" w:afterAutospacing="1"/>
        <w:ind w:left="360"/>
        <w:rPr>
          <w:szCs w:val="24"/>
        </w:rPr>
      </w:pPr>
      <w:r w:rsidRPr="00762E22">
        <w:rPr>
          <w:szCs w:val="24"/>
        </w:rPr>
        <w:lastRenderedPageBreak/>
        <w:t xml:space="preserve">10.  </w:t>
      </w:r>
      <w:r w:rsidR="006168DD" w:rsidRPr="00762E22">
        <w:rPr>
          <w:snapToGrid/>
          <w:szCs w:val="24"/>
          <w:u w:val="single"/>
        </w:rPr>
        <w:t>Assurance of Confidentiality Provided to Respondents</w:t>
      </w:r>
    </w:p>
    <w:p w14:paraId="6F0A8AB6" w14:textId="77777777" w:rsidR="00AE5208" w:rsidRPr="00762E22" w:rsidRDefault="00103B0A" w:rsidP="00696A02">
      <w:pPr>
        <w:spacing w:before="100" w:beforeAutospacing="1" w:after="100" w:afterAutospacing="1"/>
        <w:rPr>
          <w:szCs w:val="24"/>
        </w:rPr>
      </w:pPr>
      <w:r w:rsidRPr="00762E22">
        <w:rPr>
          <w:szCs w:val="24"/>
        </w:rPr>
        <w:t>All</w:t>
      </w:r>
      <w:r w:rsidR="00AE5208">
        <w:rPr>
          <w:szCs w:val="24"/>
        </w:rPr>
        <w:t xml:space="preserve"> </w:t>
      </w:r>
      <w:r w:rsidRPr="00762E22">
        <w:rPr>
          <w:szCs w:val="24"/>
        </w:rPr>
        <w:t xml:space="preserve">data </w:t>
      </w:r>
      <w:r w:rsidR="00AE5208">
        <w:rPr>
          <w:szCs w:val="24"/>
        </w:rPr>
        <w:t>reported to AFCARS</w:t>
      </w:r>
      <w:r w:rsidR="00AE2B02" w:rsidRPr="00762E22">
        <w:rPr>
          <w:szCs w:val="24"/>
        </w:rPr>
        <w:t xml:space="preserve"> </w:t>
      </w:r>
      <w:r w:rsidRPr="00762E22">
        <w:rPr>
          <w:szCs w:val="24"/>
        </w:rPr>
        <w:t>will be collected with the assurance of confidentiality.  The data must be kept confidential as the purpose of its collection is to conduct policy analyses and not to track individual children at the national level.  The identity of individual children and families will be known to the reporting</w:t>
      </w:r>
      <w:r w:rsidR="00DC61A6" w:rsidRPr="00762E22">
        <w:rPr>
          <w:szCs w:val="24"/>
        </w:rPr>
        <w:t xml:space="preserve"> title</w:t>
      </w:r>
      <w:r w:rsidRPr="00762E22">
        <w:rPr>
          <w:szCs w:val="24"/>
        </w:rPr>
        <w:t xml:space="preserve"> </w:t>
      </w:r>
      <w:r w:rsidR="00BA7F69" w:rsidRPr="00762E22">
        <w:rPr>
          <w:szCs w:val="24"/>
        </w:rPr>
        <w:t>IV-E agency</w:t>
      </w:r>
      <w:r w:rsidRPr="00762E22">
        <w:rPr>
          <w:szCs w:val="24"/>
        </w:rPr>
        <w:t xml:space="preserve"> only.  ACF has approved two methods for the creation of an AFCARS record number, encryption or sequential numbering.  ACF has assisted</w:t>
      </w:r>
      <w:r w:rsidR="00DC61A6" w:rsidRPr="00762E22">
        <w:rPr>
          <w:szCs w:val="24"/>
        </w:rPr>
        <w:t xml:space="preserve"> title</w:t>
      </w:r>
      <w:r w:rsidRPr="00762E22">
        <w:rPr>
          <w:szCs w:val="24"/>
        </w:rPr>
        <w:t xml:space="preserve"> </w:t>
      </w:r>
      <w:r w:rsidR="00BA7F69" w:rsidRPr="00762E22">
        <w:rPr>
          <w:szCs w:val="24"/>
        </w:rPr>
        <w:t>IV-E agencie</w:t>
      </w:r>
      <w:r w:rsidRPr="00762E22">
        <w:rPr>
          <w:szCs w:val="24"/>
        </w:rPr>
        <w:t xml:space="preserve">s in developing an algorithm to encrypt. </w:t>
      </w:r>
      <w:r w:rsidR="004E155E" w:rsidRPr="00762E22">
        <w:rPr>
          <w:szCs w:val="24"/>
        </w:rPr>
        <w:t xml:space="preserve"> All title IV-E agencies encrypt the record number. </w:t>
      </w:r>
      <w:r w:rsidRPr="00762E22">
        <w:rPr>
          <w:szCs w:val="24"/>
        </w:rPr>
        <w:t xml:space="preserve"> </w:t>
      </w:r>
    </w:p>
    <w:p w14:paraId="02786913" w14:textId="77777777" w:rsidR="00103B0A" w:rsidRPr="00762E22" w:rsidRDefault="00103B0A" w:rsidP="000F7541">
      <w:pPr>
        <w:spacing w:before="100" w:beforeAutospacing="1" w:after="100" w:afterAutospacing="1"/>
        <w:ind w:left="360"/>
        <w:rPr>
          <w:szCs w:val="24"/>
        </w:rPr>
      </w:pPr>
      <w:r w:rsidRPr="00762E22">
        <w:rPr>
          <w:szCs w:val="24"/>
        </w:rPr>
        <w:t xml:space="preserve">11.  </w:t>
      </w:r>
      <w:r w:rsidR="006168DD" w:rsidRPr="00762E22">
        <w:rPr>
          <w:snapToGrid/>
          <w:szCs w:val="24"/>
          <w:u w:val="single"/>
        </w:rPr>
        <w:t>Justification for Sensitive Questions</w:t>
      </w:r>
    </w:p>
    <w:p w14:paraId="6063A23E" w14:textId="77777777" w:rsidR="00CA6D35" w:rsidRPr="00CA6D35" w:rsidRDefault="00CA6D35" w:rsidP="00CA6D35">
      <w:pPr>
        <w:rPr>
          <w:szCs w:val="24"/>
        </w:rPr>
      </w:pPr>
      <w:r>
        <w:rPr>
          <w:szCs w:val="24"/>
        </w:rPr>
        <w:t>AFCARS is a collection of information from public state and tribal child welfare agencies</w:t>
      </w:r>
      <w:r w:rsidR="00F45FFD">
        <w:rPr>
          <w:szCs w:val="24"/>
        </w:rPr>
        <w:t xml:space="preserve">, not individuals.  </w:t>
      </w:r>
      <w:r w:rsidR="00ED1BB2">
        <w:rPr>
          <w:szCs w:val="24"/>
        </w:rPr>
        <w:t>State and tribal child welfare agencies collect information in individual case files that are maintained by the agency.</w:t>
      </w:r>
    </w:p>
    <w:p w14:paraId="69540209" w14:textId="77777777" w:rsidR="00CA6D35" w:rsidRDefault="00CA6D35" w:rsidP="00C144A4">
      <w:pPr>
        <w:ind w:left="360"/>
        <w:rPr>
          <w:szCs w:val="24"/>
        </w:rPr>
      </w:pPr>
    </w:p>
    <w:p w14:paraId="42E1A9D5" w14:textId="77777777" w:rsidR="00CA6D35" w:rsidRDefault="00CA6D35" w:rsidP="00C144A4">
      <w:pPr>
        <w:ind w:left="360"/>
        <w:rPr>
          <w:szCs w:val="24"/>
        </w:rPr>
      </w:pPr>
    </w:p>
    <w:p w14:paraId="663D31C9" w14:textId="77777777" w:rsidR="00103B0A" w:rsidRPr="00762E22" w:rsidRDefault="00103B0A" w:rsidP="00C144A4">
      <w:pPr>
        <w:ind w:left="360"/>
        <w:rPr>
          <w:szCs w:val="24"/>
        </w:rPr>
      </w:pPr>
      <w:r w:rsidRPr="00762E22">
        <w:rPr>
          <w:szCs w:val="24"/>
        </w:rPr>
        <w:t xml:space="preserve">12.  </w:t>
      </w:r>
      <w:r w:rsidR="006168DD" w:rsidRPr="00762E22">
        <w:rPr>
          <w:snapToGrid/>
          <w:szCs w:val="24"/>
          <w:u w:val="single"/>
        </w:rPr>
        <w:t>Estimates of Annualized Burden Hours and Costs</w:t>
      </w:r>
    </w:p>
    <w:p w14:paraId="54ABCAF4" w14:textId="77777777" w:rsidR="00B82A09" w:rsidRDefault="00B82A09" w:rsidP="00562FBA">
      <w:pPr>
        <w:spacing w:before="100" w:beforeAutospacing="1" w:after="100" w:afterAutospacing="1"/>
        <w:rPr>
          <w:szCs w:val="24"/>
        </w:rPr>
      </w:pPr>
      <w:r w:rsidRPr="00B82A09">
        <w:rPr>
          <w:szCs w:val="24"/>
        </w:rPr>
        <w:t>Annual Burden Estimates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2"/>
        <w:gridCol w:w="2096"/>
        <w:gridCol w:w="1750"/>
        <w:gridCol w:w="1722"/>
        <w:gridCol w:w="1710"/>
      </w:tblGrid>
      <w:tr w:rsidR="00385D04" w:rsidRPr="00385D04" w14:paraId="7E6306D8" w14:textId="77777777" w:rsidTr="00723A3F">
        <w:tc>
          <w:tcPr>
            <w:tcW w:w="2072" w:type="dxa"/>
            <w:shd w:val="clear" w:color="auto" w:fill="auto"/>
          </w:tcPr>
          <w:p w14:paraId="0285AC6B" w14:textId="77777777" w:rsidR="00385D04" w:rsidRPr="00385D04" w:rsidRDefault="00385D04" w:rsidP="00627801">
            <w:pPr>
              <w:widowControl/>
              <w:rPr>
                <w:rFonts w:eastAsia="Calibri"/>
                <w:b/>
                <w:snapToGrid/>
                <w:szCs w:val="24"/>
              </w:rPr>
            </w:pPr>
            <w:r w:rsidRPr="00385D04">
              <w:rPr>
                <w:rFonts w:eastAsia="Calibri"/>
                <w:b/>
                <w:snapToGrid/>
                <w:szCs w:val="24"/>
              </w:rPr>
              <w:t>Collection - AFCARS</w:t>
            </w:r>
          </w:p>
        </w:tc>
        <w:tc>
          <w:tcPr>
            <w:tcW w:w="2096" w:type="dxa"/>
            <w:shd w:val="clear" w:color="auto" w:fill="auto"/>
          </w:tcPr>
          <w:p w14:paraId="5D343F77" w14:textId="77777777" w:rsidR="00385D04" w:rsidRPr="00385D04" w:rsidRDefault="00385D04" w:rsidP="00627801">
            <w:pPr>
              <w:widowControl/>
              <w:rPr>
                <w:rFonts w:eastAsia="Calibri"/>
                <w:b/>
                <w:snapToGrid/>
                <w:szCs w:val="24"/>
              </w:rPr>
            </w:pPr>
            <w:r w:rsidRPr="00385D04">
              <w:rPr>
                <w:rFonts w:eastAsia="Calibri"/>
                <w:b/>
                <w:snapToGrid/>
                <w:szCs w:val="24"/>
              </w:rPr>
              <w:t>Number of respondents</w:t>
            </w:r>
          </w:p>
        </w:tc>
        <w:tc>
          <w:tcPr>
            <w:tcW w:w="1750" w:type="dxa"/>
            <w:shd w:val="clear" w:color="auto" w:fill="auto"/>
          </w:tcPr>
          <w:p w14:paraId="387393B9" w14:textId="77777777" w:rsidR="00385D04" w:rsidRPr="00385D04" w:rsidRDefault="00385D04" w:rsidP="00627801">
            <w:pPr>
              <w:widowControl/>
              <w:rPr>
                <w:rFonts w:eastAsia="Calibri"/>
                <w:b/>
                <w:snapToGrid/>
                <w:szCs w:val="24"/>
              </w:rPr>
            </w:pPr>
            <w:r w:rsidRPr="00385D04">
              <w:rPr>
                <w:rFonts w:eastAsia="Calibri"/>
                <w:b/>
                <w:snapToGrid/>
                <w:szCs w:val="24"/>
              </w:rPr>
              <w:t>Number of responses per respondent</w:t>
            </w:r>
          </w:p>
        </w:tc>
        <w:tc>
          <w:tcPr>
            <w:tcW w:w="1722" w:type="dxa"/>
            <w:shd w:val="clear" w:color="auto" w:fill="auto"/>
          </w:tcPr>
          <w:p w14:paraId="44F6E25E" w14:textId="77777777" w:rsidR="00385D04" w:rsidRPr="00385D04" w:rsidRDefault="00385D04" w:rsidP="00627801">
            <w:pPr>
              <w:widowControl/>
              <w:rPr>
                <w:rFonts w:eastAsia="Calibri"/>
                <w:b/>
                <w:snapToGrid/>
                <w:szCs w:val="24"/>
              </w:rPr>
            </w:pPr>
            <w:r w:rsidRPr="00385D04">
              <w:rPr>
                <w:rFonts w:eastAsia="Calibri"/>
                <w:b/>
                <w:snapToGrid/>
                <w:szCs w:val="24"/>
              </w:rPr>
              <w:t>Average burden hours per response</w:t>
            </w:r>
          </w:p>
        </w:tc>
        <w:tc>
          <w:tcPr>
            <w:tcW w:w="1710" w:type="dxa"/>
            <w:shd w:val="clear" w:color="auto" w:fill="auto"/>
          </w:tcPr>
          <w:p w14:paraId="4E5718E6" w14:textId="77777777" w:rsidR="00385D04" w:rsidRPr="00385D04" w:rsidRDefault="00385D04" w:rsidP="00627801">
            <w:pPr>
              <w:widowControl/>
              <w:rPr>
                <w:rFonts w:eastAsia="Calibri"/>
                <w:b/>
                <w:snapToGrid/>
                <w:szCs w:val="24"/>
              </w:rPr>
            </w:pPr>
            <w:r w:rsidRPr="00385D04">
              <w:rPr>
                <w:rFonts w:eastAsia="Calibri"/>
                <w:b/>
                <w:snapToGrid/>
                <w:szCs w:val="24"/>
              </w:rPr>
              <w:t>Total annual burden hours</w:t>
            </w:r>
          </w:p>
        </w:tc>
      </w:tr>
      <w:tr w:rsidR="00385D04" w:rsidRPr="00385D04" w14:paraId="7FD87DDB" w14:textId="77777777" w:rsidTr="00723A3F">
        <w:tc>
          <w:tcPr>
            <w:tcW w:w="2072" w:type="dxa"/>
            <w:shd w:val="clear" w:color="auto" w:fill="auto"/>
          </w:tcPr>
          <w:p w14:paraId="380A7DC3" w14:textId="77777777" w:rsidR="00385D04" w:rsidRPr="00385D04" w:rsidRDefault="00385D04" w:rsidP="00627801">
            <w:pPr>
              <w:widowControl/>
              <w:rPr>
                <w:rFonts w:eastAsia="Calibri"/>
                <w:snapToGrid/>
                <w:szCs w:val="24"/>
              </w:rPr>
            </w:pPr>
            <w:r w:rsidRPr="00385D04">
              <w:rPr>
                <w:rFonts w:eastAsia="Calibri"/>
                <w:snapToGrid/>
                <w:szCs w:val="24"/>
              </w:rPr>
              <w:t>Recordkeeping</w:t>
            </w:r>
          </w:p>
        </w:tc>
        <w:tc>
          <w:tcPr>
            <w:tcW w:w="2096" w:type="dxa"/>
            <w:shd w:val="clear" w:color="auto" w:fill="auto"/>
          </w:tcPr>
          <w:p w14:paraId="05876DE5" w14:textId="77777777" w:rsidR="00385D04" w:rsidRPr="00385D04" w:rsidRDefault="00385D04" w:rsidP="00627801">
            <w:pPr>
              <w:widowControl/>
              <w:rPr>
                <w:rFonts w:eastAsia="Calibri"/>
                <w:snapToGrid/>
                <w:szCs w:val="24"/>
              </w:rPr>
            </w:pPr>
            <w:r w:rsidRPr="00385D04">
              <w:rPr>
                <w:rFonts w:eastAsia="Calibri"/>
                <w:snapToGrid/>
                <w:szCs w:val="24"/>
              </w:rPr>
              <w:t>59</w:t>
            </w:r>
          </w:p>
        </w:tc>
        <w:tc>
          <w:tcPr>
            <w:tcW w:w="1750" w:type="dxa"/>
            <w:shd w:val="clear" w:color="auto" w:fill="auto"/>
          </w:tcPr>
          <w:p w14:paraId="378FABAE" w14:textId="77777777" w:rsidR="00385D04" w:rsidRPr="00385D04" w:rsidRDefault="00385D04" w:rsidP="00627801">
            <w:pPr>
              <w:widowControl/>
              <w:rPr>
                <w:rFonts w:eastAsia="Calibri"/>
                <w:snapToGrid/>
                <w:szCs w:val="24"/>
              </w:rPr>
            </w:pPr>
            <w:r w:rsidRPr="00385D04">
              <w:rPr>
                <w:rFonts w:eastAsia="Calibri"/>
                <w:snapToGrid/>
                <w:szCs w:val="24"/>
              </w:rPr>
              <w:t>2</w:t>
            </w:r>
          </w:p>
        </w:tc>
        <w:tc>
          <w:tcPr>
            <w:tcW w:w="1722" w:type="dxa"/>
            <w:shd w:val="clear" w:color="auto" w:fill="auto"/>
          </w:tcPr>
          <w:p w14:paraId="1DBA029D" w14:textId="77777777" w:rsidR="00385D04" w:rsidRPr="00385D04" w:rsidRDefault="00385D04" w:rsidP="00627801">
            <w:pPr>
              <w:widowControl/>
              <w:rPr>
                <w:rFonts w:eastAsia="Calibri"/>
                <w:snapToGrid/>
                <w:szCs w:val="24"/>
              </w:rPr>
            </w:pPr>
            <w:r w:rsidRPr="00385D04">
              <w:rPr>
                <w:rFonts w:eastAsia="Calibri"/>
                <w:snapToGrid/>
                <w:szCs w:val="24"/>
              </w:rPr>
              <w:t>8,204.25</w:t>
            </w:r>
          </w:p>
        </w:tc>
        <w:tc>
          <w:tcPr>
            <w:tcW w:w="1710" w:type="dxa"/>
            <w:shd w:val="clear" w:color="auto" w:fill="auto"/>
          </w:tcPr>
          <w:p w14:paraId="0402F0B2" w14:textId="77777777" w:rsidR="00385D04" w:rsidRPr="00385D04" w:rsidRDefault="00385D04" w:rsidP="00627801">
            <w:pPr>
              <w:widowControl/>
              <w:rPr>
                <w:rFonts w:eastAsia="Calibri"/>
                <w:snapToGrid/>
                <w:szCs w:val="24"/>
              </w:rPr>
            </w:pPr>
            <w:r w:rsidRPr="00385D04">
              <w:rPr>
                <w:rFonts w:eastAsia="Calibri"/>
                <w:snapToGrid/>
                <w:szCs w:val="24"/>
              </w:rPr>
              <w:t>968,102</w:t>
            </w:r>
          </w:p>
        </w:tc>
      </w:tr>
      <w:tr w:rsidR="00385D04" w:rsidRPr="00385D04" w14:paraId="6D44E4CF" w14:textId="77777777" w:rsidTr="00723A3F">
        <w:trPr>
          <w:trHeight w:val="287"/>
        </w:trPr>
        <w:tc>
          <w:tcPr>
            <w:tcW w:w="2072" w:type="dxa"/>
            <w:shd w:val="clear" w:color="auto" w:fill="auto"/>
          </w:tcPr>
          <w:p w14:paraId="2F61264F" w14:textId="77777777" w:rsidR="00385D04" w:rsidRPr="00385D04" w:rsidRDefault="00385D04" w:rsidP="00627801">
            <w:pPr>
              <w:widowControl/>
              <w:rPr>
                <w:rFonts w:eastAsia="Calibri"/>
                <w:snapToGrid/>
                <w:szCs w:val="24"/>
              </w:rPr>
            </w:pPr>
            <w:r w:rsidRPr="00385D04">
              <w:rPr>
                <w:rFonts w:eastAsia="Calibri"/>
                <w:snapToGrid/>
                <w:szCs w:val="24"/>
              </w:rPr>
              <w:t>Reporting</w:t>
            </w:r>
          </w:p>
        </w:tc>
        <w:tc>
          <w:tcPr>
            <w:tcW w:w="2096" w:type="dxa"/>
            <w:shd w:val="clear" w:color="auto" w:fill="auto"/>
          </w:tcPr>
          <w:p w14:paraId="3D075FF8" w14:textId="77777777" w:rsidR="00385D04" w:rsidRPr="00385D04" w:rsidRDefault="00385D04" w:rsidP="00627801">
            <w:pPr>
              <w:widowControl/>
              <w:rPr>
                <w:rFonts w:eastAsia="Calibri"/>
                <w:snapToGrid/>
                <w:szCs w:val="24"/>
              </w:rPr>
            </w:pPr>
            <w:r w:rsidRPr="00385D04">
              <w:rPr>
                <w:rFonts w:eastAsia="Calibri"/>
                <w:snapToGrid/>
                <w:szCs w:val="24"/>
              </w:rPr>
              <w:t>59</w:t>
            </w:r>
          </w:p>
        </w:tc>
        <w:tc>
          <w:tcPr>
            <w:tcW w:w="1750" w:type="dxa"/>
            <w:shd w:val="clear" w:color="auto" w:fill="auto"/>
          </w:tcPr>
          <w:p w14:paraId="5EF97A91" w14:textId="77777777" w:rsidR="00385D04" w:rsidRPr="00385D04" w:rsidRDefault="00385D04" w:rsidP="00627801">
            <w:pPr>
              <w:widowControl/>
              <w:rPr>
                <w:rFonts w:eastAsia="Calibri"/>
                <w:snapToGrid/>
                <w:szCs w:val="24"/>
              </w:rPr>
            </w:pPr>
            <w:r w:rsidRPr="00385D04">
              <w:rPr>
                <w:rFonts w:eastAsia="Calibri"/>
                <w:snapToGrid/>
                <w:szCs w:val="24"/>
              </w:rPr>
              <w:t>2</w:t>
            </w:r>
          </w:p>
        </w:tc>
        <w:tc>
          <w:tcPr>
            <w:tcW w:w="1722" w:type="dxa"/>
            <w:shd w:val="clear" w:color="auto" w:fill="auto"/>
          </w:tcPr>
          <w:p w14:paraId="23E005D6" w14:textId="77777777" w:rsidR="00385D04" w:rsidRPr="00385D04" w:rsidRDefault="00385D04" w:rsidP="00627801">
            <w:pPr>
              <w:widowControl/>
              <w:rPr>
                <w:rFonts w:eastAsia="Calibri"/>
                <w:snapToGrid/>
                <w:szCs w:val="24"/>
              </w:rPr>
            </w:pPr>
            <w:r w:rsidRPr="00385D04">
              <w:rPr>
                <w:rFonts w:eastAsia="Calibri"/>
                <w:snapToGrid/>
                <w:szCs w:val="24"/>
              </w:rPr>
              <w:t>18</w:t>
            </w:r>
          </w:p>
        </w:tc>
        <w:tc>
          <w:tcPr>
            <w:tcW w:w="1710" w:type="dxa"/>
            <w:shd w:val="clear" w:color="auto" w:fill="auto"/>
          </w:tcPr>
          <w:p w14:paraId="644CB191" w14:textId="77777777" w:rsidR="00385D04" w:rsidRPr="00385D04" w:rsidRDefault="00385D04" w:rsidP="00627801">
            <w:pPr>
              <w:widowControl/>
              <w:rPr>
                <w:rFonts w:eastAsia="Calibri"/>
                <w:snapToGrid/>
                <w:szCs w:val="24"/>
              </w:rPr>
            </w:pPr>
            <w:r w:rsidRPr="00385D04">
              <w:rPr>
                <w:rFonts w:eastAsia="Calibri"/>
                <w:snapToGrid/>
                <w:szCs w:val="24"/>
              </w:rPr>
              <w:t>2,124</w:t>
            </w:r>
          </w:p>
        </w:tc>
      </w:tr>
      <w:tr w:rsidR="00385D04" w:rsidRPr="00385D04" w14:paraId="5D2F03AB" w14:textId="77777777" w:rsidTr="00723A3F">
        <w:trPr>
          <w:trHeight w:val="287"/>
        </w:trPr>
        <w:tc>
          <w:tcPr>
            <w:tcW w:w="2072" w:type="dxa"/>
            <w:shd w:val="clear" w:color="auto" w:fill="auto"/>
          </w:tcPr>
          <w:p w14:paraId="070AD0F0" w14:textId="77777777" w:rsidR="00385D04" w:rsidRPr="00385D04" w:rsidRDefault="00385D04" w:rsidP="00627801">
            <w:pPr>
              <w:widowControl/>
              <w:rPr>
                <w:rFonts w:eastAsia="Calibri"/>
                <w:b/>
                <w:snapToGrid/>
                <w:szCs w:val="24"/>
              </w:rPr>
            </w:pPr>
            <w:r w:rsidRPr="00385D04">
              <w:rPr>
                <w:rFonts w:eastAsia="Calibri"/>
                <w:b/>
                <w:snapToGrid/>
                <w:szCs w:val="24"/>
              </w:rPr>
              <w:t>Total</w:t>
            </w:r>
          </w:p>
        </w:tc>
        <w:tc>
          <w:tcPr>
            <w:tcW w:w="2096" w:type="dxa"/>
            <w:shd w:val="clear" w:color="auto" w:fill="auto"/>
          </w:tcPr>
          <w:p w14:paraId="44FE44DA" w14:textId="77777777" w:rsidR="00385D04" w:rsidRPr="00385D04" w:rsidRDefault="00385D04" w:rsidP="00627801">
            <w:pPr>
              <w:widowControl/>
              <w:rPr>
                <w:rFonts w:eastAsia="Calibri"/>
                <w:snapToGrid/>
                <w:szCs w:val="24"/>
              </w:rPr>
            </w:pPr>
          </w:p>
        </w:tc>
        <w:tc>
          <w:tcPr>
            <w:tcW w:w="1750" w:type="dxa"/>
            <w:shd w:val="clear" w:color="auto" w:fill="auto"/>
          </w:tcPr>
          <w:p w14:paraId="69A44BD7" w14:textId="77777777" w:rsidR="00385D04" w:rsidRPr="00385D04" w:rsidRDefault="00385D04" w:rsidP="00627801">
            <w:pPr>
              <w:widowControl/>
              <w:rPr>
                <w:rFonts w:eastAsia="Calibri"/>
                <w:snapToGrid/>
                <w:szCs w:val="24"/>
              </w:rPr>
            </w:pPr>
          </w:p>
        </w:tc>
        <w:tc>
          <w:tcPr>
            <w:tcW w:w="1722" w:type="dxa"/>
            <w:shd w:val="clear" w:color="auto" w:fill="auto"/>
          </w:tcPr>
          <w:p w14:paraId="5EFE5F7B" w14:textId="77777777" w:rsidR="00385D04" w:rsidRPr="00385D04" w:rsidRDefault="00385D04" w:rsidP="00627801">
            <w:pPr>
              <w:widowControl/>
              <w:rPr>
                <w:rFonts w:eastAsia="Calibri"/>
                <w:snapToGrid/>
                <w:szCs w:val="24"/>
              </w:rPr>
            </w:pPr>
          </w:p>
        </w:tc>
        <w:tc>
          <w:tcPr>
            <w:tcW w:w="1710" w:type="dxa"/>
            <w:shd w:val="clear" w:color="auto" w:fill="auto"/>
          </w:tcPr>
          <w:p w14:paraId="5FA1CC7F" w14:textId="77777777" w:rsidR="00385D04" w:rsidRPr="00385D04" w:rsidRDefault="00385D04" w:rsidP="00627801">
            <w:pPr>
              <w:widowControl/>
              <w:rPr>
                <w:rFonts w:eastAsia="Calibri"/>
                <w:b/>
                <w:snapToGrid/>
                <w:szCs w:val="24"/>
              </w:rPr>
            </w:pPr>
            <w:r w:rsidRPr="00385D04">
              <w:rPr>
                <w:rFonts w:eastAsia="Calibri"/>
                <w:b/>
                <w:snapToGrid/>
                <w:szCs w:val="24"/>
              </w:rPr>
              <w:t>970,226</w:t>
            </w:r>
          </w:p>
        </w:tc>
      </w:tr>
    </w:tbl>
    <w:p w14:paraId="080F2BC5" w14:textId="77777777" w:rsidR="00E14BD4" w:rsidRDefault="00E14BD4" w:rsidP="00E14BD4">
      <w:pPr>
        <w:widowControl/>
        <w:rPr>
          <w:szCs w:val="24"/>
        </w:rPr>
      </w:pPr>
    </w:p>
    <w:p w14:paraId="490ED1D3" w14:textId="77777777" w:rsidR="00E14BD4" w:rsidRPr="00E14BD4" w:rsidRDefault="00E14BD4" w:rsidP="00E14BD4">
      <w:pPr>
        <w:widowControl/>
        <w:rPr>
          <w:szCs w:val="24"/>
        </w:rPr>
      </w:pPr>
      <w:r w:rsidRPr="00C144A4">
        <w:rPr>
          <w:szCs w:val="24"/>
          <w:u w:val="single"/>
        </w:rPr>
        <w:t>Respondents</w:t>
      </w:r>
      <w:r w:rsidRPr="00E14BD4">
        <w:rPr>
          <w:szCs w:val="24"/>
        </w:rPr>
        <w:t xml:space="preserve">: The 59 respondents comprise 52 state </w:t>
      </w:r>
      <w:r w:rsidR="006B0059">
        <w:rPr>
          <w:szCs w:val="24"/>
        </w:rPr>
        <w:t xml:space="preserve">(including the District of Columbia and Puerto Rico) </w:t>
      </w:r>
      <w:r w:rsidRPr="00E14BD4">
        <w:rPr>
          <w:szCs w:val="24"/>
        </w:rPr>
        <w:t xml:space="preserve">title IV–E agencies and seven tribal title IV-E agencies, which are Indian tribes, tribal organizations or consortium with an approved title IV-E plan under section 479B of the Act. </w:t>
      </w:r>
    </w:p>
    <w:p w14:paraId="58945A67" w14:textId="77777777" w:rsidR="00E14BD4" w:rsidRPr="00E14BD4" w:rsidRDefault="00E14BD4" w:rsidP="00E14BD4">
      <w:pPr>
        <w:widowControl/>
        <w:rPr>
          <w:szCs w:val="24"/>
        </w:rPr>
      </w:pPr>
      <w:r w:rsidRPr="00C144A4">
        <w:rPr>
          <w:szCs w:val="24"/>
          <w:u w:val="single"/>
        </w:rPr>
        <w:t>Recordkeeping burden</w:t>
      </w:r>
      <w:r w:rsidRPr="00E14BD4">
        <w:rPr>
          <w:szCs w:val="24"/>
        </w:rPr>
        <w:t>: Searching data sources, gathering information, and entering the information into the system, developing or modifying procedures and systems to collect, validate, and verify the information and adjusting existing ways to comply with AFCARS requirements, administrative tasks associated with training personnel on the AFCARS requirements (e.g., reviewing instructions, developing the training and manuals), and training personnel on AFCARS requirements.</w:t>
      </w:r>
    </w:p>
    <w:p w14:paraId="4E5CF796" w14:textId="77777777" w:rsidR="00E14BD4" w:rsidRPr="00E14BD4" w:rsidRDefault="00E14BD4" w:rsidP="00E14BD4">
      <w:pPr>
        <w:widowControl/>
        <w:rPr>
          <w:szCs w:val="24"/>
        </w:rPr>
      </w:pPr>
      <w:r w:rsidRPr="00C144A4">
        <w:rPr>
          <w:szCs w:val="24"/>
          <w:u w:val="single"/>
        </w:rPr>
        <w:t>Reporting burden</w:t>
      </w:r>
      <w:r w:rsidRPr="00E14BD4">
        <w:rPr>
          <w:szCs w:val="24"/>
        </w:rPr>
        <w:t>: Extracting the information for AFCARS reporting and transmitting the information to ACF.</w:t>
      </w:r>
    </w:p>
    <w:p w14:paraId="522E4B61" w14:textId="2E6F2238" w:rsidR="00562FBA" w:rsidRDefault="00B57FB9" w:rsidP="00627801">
      <w:pPr>
        <w:spacing w:before="100" w:beforeAutospacing="1" w:after="100" w:afterAutospacing="1"/>
        <w:rPr>
          <w:szCs w:val="24"/>
        </w:rPr>
      </w:pPr>
      <w:r>
        <w:rPr>
          <w:szCs w:val="24"/>
        </w:rPr>
        <w:t>Annual Cost Estimates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620"/>
        <w:gridCol w:w="1890"/>
        <w:gridCol w:w="1710"/>
        <w:gridCol w:w="1463"/>
        <w:gridCol w:w="1463"/>
      </w:tblGrid>
      <w:tr w:rsidR="0053590F" w:rsidRPr="004A13CE" w14:paraId="41891E19" w14:textId="473DC125" w:rsidTr="0053590F">
        <w:tc>
          <w:tcPr>
            <w:tcW w:w="1705" w:type="dxa"/>
            <w:shd w:val="clear" w:color="auto" w:fill="auto"/>
          </w:tcPr>
          <w:p w14:paraId="10F4D31E" w14:textId="77777777" w:rsidR="0053590F" w:rsidRPr="004A13CE" w:rsidRDefault="0053590F" w:rsidP="0053590F">
            <w:pPr>
              <w:widowControl/>
              <w:rPr>
                <w:rFonts w:eastAsia="Calibri"/>
                <w:b/>
                <w:snapToGrid/>
                <w:szCs w:val="24"/>
              </w:rPr>
            </w:pPr>
            <w:r w:rsidRPr="004A13CE">
              <w:rPr>
                <w:rFonts w:eastAsia="Calibri"/>
                <w:b/>
                <w:snapToGrid/>
                <w:szCs w:val="24"/>
              </w:rPr>
              <w:t>Collection - AFCARS</w:t>
            </w:r>
          </w:p>
        </w:tc>
        <w:tc>
          <w:tcPr>
            <w:tcW w:w="1620" w:type="dxa"/>
            <w:shd w:val="clear" w:color="auto" w:fill="auto"/>
          </w:tcPr>
          <w:p w14:paraId="1B53EE48" w14:textId="77777777" w:rsidR="0053590F" w:rsidRPr="004A13CE" w:rsidRDefault="0053590F" w:rsidP="0053590F">
            <w:pPr>
              <w:widowControl/>
              <w:rPr>
                <w:rFonts w:eastAsia="Calibri"/>
                <w:b/>
                <w:snapToGrid/>
                <w:szCs w:val="24"/>
              </w:rPr>
            </w:pPr>
            <w:r w:rsidRPr="004A13CE">
              <w:rPr>
                <w:rFonts w:eastAsia="Calibri"/>
                <w:b/>
                <w:snapToGrid/>
                <w:szCs w:val="24"/>
              </w:rPr>
              <w:t>Total annual burden hours</w:t>
            </w:r>
          </w:p>
        </w:tc>
        <w:tc>
          <w:tcPr>
            <w:tcW w:w="1890" w:type="dxa"/>
            <w:shd w:val="clear" w:color="auto" w:fill="auto"/>
          </w:tcPr>
          <w:p w14:paraId="7DE90576" w14:textId="77777777" w:rsidR="0053590F" w:rsidRPr="004A13CE" w:rsidRDefault="0053590F" w:rsidP="0053590F">
            <w:pPr>
              <w:widowControl/>
              <w:rPr>
                <w:rFonts w:eastAsia="Calibri"/>
                <w:b/>
                <w:snapToGrid/>
                <w:szCs w:val="24"/>
              </w:rPr>
            </w:pPr>
            <w:r w:rsidRPr="004A13CE">
              <w:rPr>
                <w:rFonts w:eastAsia="Calibri"/>
                <w:b/>
                <w:snapToGrid/>
                <w:szCs w:val="24"/>
              </w:rPr>
              <w:t>Average hourly labor rate</w:t>
            </w:r>
          </w:p>
        </w:tc>
        <w:tc>
          <w:tcPr>
            <w:tcW w:w="1710" w:type="dxa"/>
            <w:shd w:val="clear" w:color="auto" w:fill="auto"/>
          </w:tcPr>
          <w:p w14:paraId="6F8380BE" w14:textId="77777777" w:rsidR="0053590F" w:rsidRPr="004A13CE" w:rsidRDefault="0053590F" w:rsidP="0053590F">
            <w:pPr>
              <w:widowControl/>
              <w:rPr>
                <w:rFonts w:eastAsia="Calibri"/>
                <w:b/>
                <w:snapToGrid/>
                <w:szCs w:val="24"/>
              </w:rPr>
            </w:pPr>
            <w:r w:rsidRPr="004A13CE">
              <w:rPr>
                <w:rFonts w:eastAsia="Calibri"/>
                <w:b/>
                <w:snapToGrid/>
                <w:szCs w:val="24"/>
              </w:rPr>
              <w:t>Total cost</w:t>
            </w:r>
          </w:p>
        </w:tc>
        <w:tc>
          <w:tcPr>
            <w:tcW w:w="1463" w:type="dxa"/>
            <w:shd w:val="clear" w:color="auto" w:fill="auto"/>
          </w:tcPr>
          <w:p w14:paraId="22EEE30D" w14:textId="244246A3" w:rsidR="0053590F" w:rsidRPr="004A13CE" w:rsidRDefault="0053590F" w:rsidP="0053590F">
            <w:pPr>
              <w:widowControl/>
              <w:rPr>
                <w:rFonts w:eastAsia="Calibri"/>
                <w:b/>
                <w:snapToGrid/>
                <w:szCs w:val="24"/>
              </w:rPr>
            </w:pPr>
            <w:r>
              <w:rPr>
                <w:rFonts w:eastAsia="Calibri"/>
                <w:b/>
                <w:snapToGrid/>
                <w:szCs w:val="24"/>
              </w:rPr>
              <w:t>Number of respondents</w:t>
            </w:r>
          </w:p>
        </w:tc>
        <w:tc>
          <w:tcPr>
            <w:tcW w:w="1463" w:type="dxa"/>
          </w:tcPr>
          <w:p w14:paraId="2727753F" w14:textId="5B009329" w:rsidR="0053590F" w:rsidRDefault="0053590F" w:rsidP="0053590F">
            <w:pPr>
              <w:widowControl/>
              <w:rPr>
                <w:rFonts w:eastAsia="Calibri"/>
                <w:b/>
                <w:snapToGrid/>
                <w:szCs w:val="24"/>
              </w:rPr>
            </w:pPr>
            <w:r>
              <w:rPr>
                <w:rFonts w:eastAsia="Calibri"/>
                <w:b/>
                <w:szCs w:val="24"/>
              </w:rPr>
              <w:t>Net average cost per respondent</w:t>
            </w:r>
          </w:p>
        </w:tc>
      </w:tr>
      <w:tr w:rsidR="0053590F" w:rsidRPr="004A13CE" w14:paraId="0E685415" w14:textId="2FC9AC55" w:rsidTr="0053590F">
        <w:tc>
          <w:tcPr>
            <w:tcW w:w="1705" w:type="dxa"/>
            <w:shd w:val="clear" w:color="auto" w:fill="auto"/>
          </w:tcPr>
          <w:p w14:paraId="44547DA6" w14:textId="77777777" w:rsidR="0053590F" w:rsidRPr="004A13CE" w:rsidRDefault="0053590F" w:rsidP="0053590F">
            <w:pPr>
              <w:widowControl/>
              <w:rPr>
                <w:rFonts w:eastAsia="Calibri"/>
                <w:snapToGrid/>
                <w:szCs w:val="24"/>
              </w:rPr>
            </w:pPr>
            <w:r w:rsidRPr="004A13CE">
              <w:rPr>
                <w:rFonts w:eastAsia="Calibri"/>
                <w:snapToGrid/>
                <w:szCs w:val="24"/>
              </w:rPr>
              <w:t>Recordkeeping</w:t>
            </w:r>
          </w:p>
        </w:tc>
        <w:tc>
          <w:tcPr>
            <w:tcW w:w="1620" w:type="dxa"/>
            <w:shd w:val="clear" w:color="auto" w:fill="auto"/>
          </w:tcPr>
          <w:p w14:paraId="7865179A" w14:textId="77777777" w:rsidR="0053590F" w:rsidRPr="004A13CE" w:rsidRDefault="0053590F" w:rsidP="0053590F">
            <w:pPr>
              <w:widowControl/>
              <w:rPr>
                <w:rFonts w:eastAsia="Calibri"/>
                <w:snapToGrid/>
                <w:szCs w:val="24"/>
              </w:rPr>
            </w:pPr>
            <w:r w:rsidRPr="004A13CE">
              <w:rPr>
                <w:rFonts w:eastAsia="Calibri"/>
                <w:snapToGrid/>
                <w:szCs w:val="24"/>
              </w:rPr>
              <w:t>968,102</w:t>
            </w:r>
          </w:p>
        </w:tc>
        <w:tc>
          <w:tcPr>
            <w:tcW w:w="1890" w:type="dxa"/>
            <w:shd w:val="clear" w:color="auto" w:fill="auto"/>
          </w:tcPr>
          <w:p w14:paraId="59476807" w14:textId="77777777" w:rsidR="0053590F" w:rsidRPr="004A13CE" w:rsidRDefault="0053590F" w:rsidP="0053590F">
            <w:pPr>
              <w:widowControl/>
              <w:rPr>
                <w:rFonts w:eastAsia="Calibri"/>
                <w:snapToGrid/>
                <w:szCs w:val="24"/>
              </w:rPr>
            </w:pPr>
            <w:r w:rsidRPr="004A13CE">
              <w:rPr>
                <w:rFonts w:eastAsia="Calibri"/>
                <w:snapToGrid/>
                <w:szCs w:val="24"/>
              </w:rPr>
              <w:t>$84</w:t>
            </w:r>
          </w:p>
        </w:tc>
        <w:tc>
          <w:tcPr>
            <w:tcW w:w="1710" w:type="dxa"/>
            <w:shd w:val="clear" w:color="auto" w:fill="auto"/>
          </w:tcPr>
          <w:p w14:paraId="236EC2C4" w14:textId="77777777" w:rsidR="0053590F" w:rsidRPr="004A13CE" w:rsidRDefault="0053590F" w:rsidP="0053590F">
            <w:pPr>
              <w:widowControl/>
              <w:rPr>
                <w:rFonts w:eastAsia="Calibri"/>
                <w:snapToGrid/>
                <w:szCs w:val="24"/>
              </w:rPr>
            </w:pPr>
            <w:r w:rsidRPr="004A13CE">
              <w:rPr>
                <w:rFonts w:eastAsia="Calibri"/>
                <w:snapToGrid/>
                <w:szCs w:val="24"/>
              </w:rPr>
              <w:t>$81,320,668</w:t>
            </w:r>
          </w:p>
        </w:tc>
        <w:tc>
          <w:tcPr>
            <w:tcW w:w="1463" w:type="dxa"/>
            <w:shd w:val="clear" w:color="auto" w:fill="auto"/>
          </w:tcPr>
          <w:p w14:paraId="6B329418" w14:textId="5B681F97" w:rsidR="0053590F" w:rsidRPr="004A13CE" w:rsidRDefault="0053590F" w:rsidP="0053590F">
            <w:pPr>
              <w:widowControl/>
              <w:rPr>
                <w:rFonts w:eastAsia="Calibri"/>
                <w:snapToGrid/>
                <w:szCs w:val="24"/>
              </w:rPr>
            </w:pPr>
            <w:r>
              <w:rPr>
                <w:rFonts w:eastAsia="Calibri"/>
                <w:snapToGrid/>
                <w:szCs w:val="24"/>
              </w:rPr>
              <w:t>59</w:t>
            </w:r>
          </w:p>
        </w:tc>
        <w:tc>
          <w:tcPr>
            <w:tcW w:w="1463" w:type="dxa"/>
          </w:tcPr>
          <w:p w14:paraId="66E5066D" w14:textId="1892A8CC" w:rsidR="0053590F" w:rsidRPr="004A13CE" w:rsidRDefault="0053590F" w:rsidP="0053590F">
            <w:pPr>
              <w:widowControl/>
              <w:rPr>
                <w:rFonts w:eastAsia="Calibri"/>
                <w:snapToGrid/>
                <w:szCs w:val="24"/>
              </w:rPr>
            </w:pPr>
            <w:r>
              <w:rPr>
                <w:rFonts w:eastAsia="Calibri"/>
                <w:snapToGrid/>
                <w:szCs w:val="24"/>
              </w:rPr>
              <w:t>$1,378,316</w:t>
            </w:r>
          </w:p>
        </w:tc>
      </w:tr>
      <w:tr w:rsidR="0053590F" w:rsidRPr="004A13CE" w14:paraId="42F58BF9" w14:textId="7B3483B9" w:rsidTr="0053590F">
        <w:trPr>
          <w:trHeight w:val="287"/>
        </w:trPr>
        <w:tc>
          <w:tcPr>
            <w:tcW w:w="1705" w:type="dxa"/>
            <w:shd w:val="clear" w:color="auto" w:fill="auto"/>
          </w:tcPr>
          <w:p w14:paraId="536E6ABE" w14:textId="77777777" w:rsidR="0053590F" w:rsidRPr="004A13CE" w:rsidRDefault="0053590F" w:rsidP="0053590F">
            <w:pPr>
              <w:widowControl/>
              <w:rPr>
                <w:rFonts w:eastAsia="Calibri"/>
                <w:snapToGrid/>
                <w:szCs w:val="24"/>
              </w:rPr>
            </w:pPr>
            <w:r w:rsidRPr="004A13CE">
              <w:rPr>
                <w:rFonts w:eastAsia="Calibri"/>
                <w:snapToGrid/>
                <w:szCs w:val="24"/>
              </w:rPr>
              <w:t>Reporting</w:t>
            </w:r>
          </w:p>
        </w:tc>
        <w:tc>
          <w:tcPr>
            <w:tcW w:w="1620" w:type="dxa"/>
            <w:shd w:val="clear" w:color="auto" w:fill="auto"/>
          </w:tcPr>
          <w:p w14:paraId="4E01CEF1" w14:textId="77777777" w:rsidR="0053590F" w:rsidRPr="004A13CE" w:rsidRDefault="0053590F" w:rsidP="0053590F">
            <w:pPr>
              <w:widowControl/>
              <w:rPr>
                <w:rFonts w:eastAsia="Calibri"/>
                <w:snapToGrid/>
                <w:szCs w:val="24"/>
              </w:rPr>
            </w:pPr>
            <w:r w:rsidRPr="004A13CE">
              <w:rPr>
                <w:rFonts w:eastAsia="Calibri"/>
                <w:snapToGrid/>
                <w:szCs w:val="24"/>
              </w:rPr>
              <w:t>2,124</w:t>
            </w:r>
          </w:p>
        </w:tc>
        <w:tc>
          <w:tcPr>
            <w:tcW w:w="1890" w:type="dxa"/>
            <w:shd w:val="clear" w:color="auto" w:fill="auto"/>
          </w:tcPr>
          <w:p w14:paraId="366CDE2D" w14:textId="77777777" w:rsidR="0053590F" w:rsidRPr="004A13CE" w:rsidRDefault="0053590F" w:rsidP="0053590F">
            <w:pPr>
              <w:widowControl/>
              <w:rPr>
                <w:rFonts w:eastAsia="Calibri"/>
                <w:snapToGrid/>
                <w:szCs w:val="24"/>
              </w:rPr>
            </w:pPr>
            <w:r w:rsidRPr="004A13CE">
              <w:rPr>
                <w:rFonts w:eastAsia="Calibri"/>
                <w:snapToGrid/>
                <w:szCs w:val="24"/>
              </w:rPr>
              <w:t>$84</w:t>
            </w:r>
          </w:p>
        </w:tc>
        <w:tc>
          <w:tcPr>
            <w:tcW w:w="1710" w:type="dxa"/>
            <w:shd w:val="clear" w:color="auto" w:fill="auto"/>
          </w:tcPr>
          <w:p w14:paraId="09942A09" w14:textId="77777777" w:rsidR="0053590F" w:rsidRPr="004A13CE" w:rsidRDefault="0053590F" w:rsidP="0053590F">
            <w:pPr>
              <w:widowControl/>
              <w:rPr>
                <w:rFonts w:eastAsia="Calibri"/>
                <w:snapToGrid/>
                <w:szCs w:val="24"/>
              </w:rPr>
            </w:pPr>
            <w:r w:rsidRPr="004A13CE">
              <w:rPr>
                <w:rFonts w:eastAsia="Calibri"/>
                <w:snapToGrid/>
                <w:szCs w:val="24"/>
              </w:rPr>
              <w:t>$178,416</w:t>
            </w:r>
          </w:p>
        </w:tc>
        <w:tc>
          <w:tcPr>
            <w:tcW w:w="1463" w:type="dxa"/>
            <w:shd w:val="clear" w:color="auto" w:fill="auto"/>
          </w:tcPr>
          <w:p w14:paraId="141D4BE7" w14:textId="4490C09E" w:rsidR="0053590F" w:rsidRPr="004A13CE" w:rsidRDefault="0053590F" w:rsidP="0053590F">
            <w:pPr>
              <w:widowControl/>
              <w:rPr>
                <w:rFonts w:eastAsia="Calibri"/>
                <w:snapToGrid/>
                <w:szCs w:val="24"/>
              </w:rPr>
            </w:pPr>
            <w:r>
              <w:rPr>
                <w:rFonts w:eastAsia="Calibri"/>
                <w:snapToGrid/>
                <w:szCs w:val="24"/>
              </w:rPr>
              <w:t>59</w:t>
            </w:r>
          </w:p>
        </w:tc>
        <w:tc>
          <w:tcPr>
            <w:tcW w:w="1463" w:type="dxa"/>
          </w:tcPr>
          <w:p w14:paraId="28AE4147" w14:textId="4D626377" w:rsidR="0053590F" w:rsidRPr="004A13CE" w:rsidRDefault="0053590F" w:rsidP="0053590F">
            <w:pPr>
              <w:widowControl/>
              <w:rPr>
                <w:rFonts w:eastAsia="Calibri"/>
                <w:snapToGrid/>
                <w:szCs w:val="24"/>
              </w:rPr>
            </w:pPr>
            <w:r>
              <w:rPr>
                <w:rFonts w:eastAsia="Calibri"/>
                <w:snapToGrid/>
                <w:szCs w:val="24"/>
              </w:rPr>
              <w:t>$3,024</w:t>
            </w:r>
          </w:p>
        </w:tc>
      </w:tr>
    </w:tbl>
    <w:p w14:paraId="0748A192" w14:textId="77777777" w:rsidR="004A13CE" w:rsidRDefault="004A13CE" w:rsidP="00181816">
      <w:pPr>
        <w:pStyle w:val="CommentText"/>
        <w:rPr>
          <w:sz w:val="24"/>
          <w:szCs w:val="24"/>
        </w:rPr>
      </w:pPr>
    </w:p>
    <w:p w14:paraId="550E9CC2" w14:textId="77777777" w:rsidR="00CB74D3" w:rsidRPr="0010626C" w:rsidRDefault="00CB74D3" w:rsidP="00181816">
      <w:pPr>
        <w:widowControl/>
        <w:autoSpaceDE w:val="0"/>
        <w:autoSpaceDN w:val="0"/>
        <w:adjustRightInd w:val="0"/>
        <w:rPr>
          <w:rFonts w:eastAsia="Calibri"/>
          <w:snapToGrid/>
          <w:color w:val="000000"/>
          <w:szCs w:val="24"/>
        </w:rPr>
      </w:pPr>
      <w:r w:rsidRPr="00CB74D3">
        <w:rPr>
          <w:rFonts w:eastAsia="Calibri"/>
          <w:snapToGrid/>
          <w:color w:val="000000"/>
          <w:szCs w:val="24"/>
        </w:rPr>
        <w:lastRenderedPageBreak/>
        <w:t>The estimated cost for the collection of information is based on an average wage</w:t>
      </w:r>
      <w:r>
        <w:rPr>
          <w:rFonts w:eastAsia="Calibri"/>
          <w:snapToGrid/>
          <w:color w:val="000000"/>
          <w:szCs w:val="24"/>
        </w:rPr>
        <w:t xml:space="preserve">s from the </w:t>
      </w:r>
      <w:r w:rsidRPr="00CB74D3">
        <w:rPr>
          <w:rFonts w:eastAsia="Calibri"/>
          <w:snapToGrid/>
          <w:color w:val="000000"/>
          <w:szCs w:val="24"/>
        </w:rPr>
        <w:t xml:space="preserve">Bureau of Labor Statistics </w:t>
      </w:r>
      <w:r>
        <w:rPr>
          <w:rFonts w:eastAsia="Calibri"/>
          <w:snapToGrid/>
          <w:color w:val="000000"/>
          <w:szCs w:val="24"/>
        </w:rPr>
        <w:t>for</w:t>
      </w:r>
      <w:r w:rsidRPr="00CB74D3">
        <w:rPr>
          <w:rFonts w:eastAsia="Calibri"/>
          <w:snapToGrid/>
          <w:color w:val="000000"/>
          <w:szCs w:val="24"/>
        </w:rPr>
        <w:t xml:space="preserve"> Computer and Mathematical Operations</w:t>
      </w:r>
      <w:r>
        <w:rPr>
          <w:rFonts w:eastAsia="Calibri"/>
          <w:snapToGrid/>
          <w:color w:val="000000"/>
          <w:szCs w:val="24"/>
        </w:rPr>
        <w:t xml:space="preserve">, </w:t>
      </w:r>
      <w:r w:rsidRPr="00CB74D3">
        <w:rPr>
          <w:rFonts w:eastAsia="Calibri"/>
          <w:snapToGrid/>
          <w:color w:val="000000"/>
          <w:szCs w:val="24"/>
        </w:rPr>
        <w:t xml:space="preserve">Social </w:t>
      </w:r>
      <w:r>
        <w:rPr>
          <w:rFonts w:eastAsia="Calibri"/>
          <w:snapToGrid/>
          <w:color w:val="000000"/>
          <w:szCs w:val="24"/>
        </w:rPr>
        <w:t xml:space="preserve">Workers, Management Analyst, </w:t>
      </w:r>
      <w:r w:rsidRPr="00CB74D3">
        <w:rPr>
          <w:rFonts w:eastAsia="Calibri"/>
          <w:snapToGrid/>
          <w:color w:val="000000"/>
          <w:szCs w:val="24"/>
        </w:rPr>
        <w:t xml:space="preserve">Social </w:t>
      </w:r>
      <w:r>
        <w:rPr>
          <w:rFonts w:eastAsia="Calibri"/>
          <w:snapToGrid/>
          <w:color w:val="000000"/>
          <w:szCs w:val="24"/>
        </w:rPr>
        <w:t xml:space="preserve">and Community Service Managers, </w:t>
      </w:r>
      <w:r w:rsidRPr="00CB74D3">
        <w:rPr>
          <w:rFonts w:eastAsia="Calibri"/>
          <w:snapToGrid/>
          <w:color w:val="000000"/>
          <w:szCs w:val="24"/>
        </w:rPr>
        <w:t xml:space="preserve">and </w:t>
      </w:r>
      <w:r>
        <w:rPr>
          <w:rFonts w:eastAsia="Calibri"/>
          <w:snapToGrid/>
          <w:color w:val="000000"/>
          <w:szCs w:val="24"/>
        </w:rPr>
        <w:t xml:space="preserve">Paralegals and Legal Assistants.  </w:t>
      </w:r>
      <w:r w:rsidRPr="00CB74D3">
        <w:rPr>
          <w:rFonts w:eastAsia="Calibri"/>
          <w:snapToGrid/>
          <w:color w:val="000000"/>
          <w:szCs w:val="24"/>
        </w:rPr>
        <w:t>ACF averaged these wages to come to an average labor rate of $42</w:t>
      </w:r>
      <w:r>
        <w:rPr>
          <w:rFonts w:eastAsia="Calibri"/>
          <w:snapToGrid/>
          <w:color w:val="000000"/>
          <w:szCs w:val="24"/>
        </w:rPr>
        <w:t xml:space="preserve"> a</w:t>
      </w:r>
      <w:r w:rsidR="00915D83">
        <w:rPr>
          <w:rFonts w:eastAsia="Calibri"/>
          <w:snapToGrid/>
          <w:color w:val="000000"/>
          <w:szCs w:val="24"/>
        </w:rPr>
        <w:t>nd ACF doubled this rate ($84) to take</w:t>
      </w:r>
      <w:r w:rsidRPr="00CB74D3">
        <w:rPr>
          <w:rFonts w:eastAsia="Calibri"/>
          <w:snapToGrid/>
          <w:color w:val="000000"/>
          <w:szCs w:val="24"/>
        </w:rPr>
        <w:t xml:space="preserve"> into account overhead costs ass</w:t>
      </w:r>
      <w:r w:rsidR="00915D83">
        <w:rPr>
          <w:rFonts w:eastAsia="Calibri"/>
          <w:snapToGrid/>
          <w:color w:val="000000"/>
          <w:szCs w:val="24"/>
        </w:rPr>
        <w:t>ociated with these labor costs.</w:t>
      </w:r>
    </w:p>
    <w:p w14:paraId="2CA0941F" w14:textId="77777777" w:rsidR="00566FB2" w:rsidRPr="00762E22" w:rsidRDefault="00566FB2" w:rsidP="00181816">
      <w:pPr>
        <w:widowControl/>
        <w:autoSpaceDE w:val="0"/>
        <w:autoSpaceDN w:val="0"/>
        <w:adjustRightInd w:val="0"/>
        <w:spacing w:after="200"/>
        <w:rPr>
          <w:szCs w:val="24"/>
        </w:rPr>
      </w:pPr>
    </w:p>
    <w:p w14:paraId="275F3457" w14:textId="77777777" w:rsidR="0049254B" w:rsidRPr="00762E22" w:rsidRDefault="0049254B" w:rsidP="00181816">
      <w:pPr>
        <w:pStyle w:val="PlainText"/>
        <w:spacing w:before="100" w:beforeAutospacing="1" w:after="100" w:afterAutospacing="1"/>
        <w:ind w:left="360"/>
        <w:rPr>
          <w:rFonts w:cs="Times New Roman"/>
          <w:sz w:val="24"/>
          <w:szCs w:val="24"/>
        </w:rPr>
      </w:pPr>
      <w:r w:rsidRPr="00762E22">
        <w:rPr>
          <w:rFonts w:cs="Times New Roman"/>
          <w:sz w:val="24"/>
          <w:szCs w:val="24"/>
        </w:rPr>
        <w:t xml:space="preserve">13.  </w:t>
      </w:r>
      <w:r w:rsidR="006168DD" w:rsidRPr="00762E22">
        <w:rPr>
          <w:rFonts w:cs="Times New Roman"/>
          <w:sz w:val="24"/>
          <w:szCs w:val="24"/>
          <w:u w:val="single"/>
        </w:rPr>
        <w:t>Estimates of Other Total Annual Cost Burden to Respondents and Record Keepers</w:t>
      </w:r>
      <w:r w:rsidRPr="00762E22">
        <w:rPr>
          <w:rFonts w:cs="Times New Roman"/>
          <w:sz w:val="24"/>
          <w:szCs w:val="24"/>
        </w:rPr>
        <w:tab/>
      </w:r>
    </w:p>
    <w:p w14:paraId="0A67C799" w14:textId="77777777" w:rsidR="00103B0A" w:rsidRPr="00762E22" w:rsidRDefault="00103B0A" w:rsidP="00983F23">
      <w:pPr>
        <w:spacing w:before="100" w:beforeAutospacing="1" w:after="100" w:afterAutospacing="1"/>
        <w:rPr>
          <w:szCs w:val="24"/>
        </w:rPr>
      </w:pPr>
      <w:r w:rsidRPr="00762E22">
        <w:rPr>
          <w:szCs w:val="24"/>
        </w:rPr>
        <w:t>There are no AFCARS</w:t>
      </w:r>
      <w:r w:rsidR="00CD4AE8" w:rsidRPr="00762E22">
        <w:rPr>
          <w:szCs w:val="24"/>
        </w:rPr>
        <w:t>-</w:t>
      </w:r>
      <w:r w:rsidRPr="00762E22">
        <w:rPr>
          <w:szCs w:val="24"/>
        </w:rPr>
        <w:t xml:space="preserve">only data collection systems.  </w:t>
      </w:r>
      <w:r w:rsidR="00461C0B">
        <w:rPr>
          <w:szCs w:val="24"/>
        </w:rPr>
        <w:t>Title IV-E agencies</w:t>
      </w:r>
      <w:r w:rsidR="00461C0B" w:rsidRPr="00762E22">
        <w:rPr>
          <w:szCs w:val="24"/>
        </w:rPr>
        <w:t xml:space="preserve"> </w:t>
      </w:r>
      <w:r w:rsidR="00D60144" w:rsidRPr="00762E22">
        <w:rPr>
          <w:szCs w:val="24"/>
        </w:rPr>
        <w:t xml:space="preserve">utilize existing computer </w:t>
      </w:r>
      <w:r w:rsidR="003B79E2" w:rsidRPr="00762E22">
        <w:rPr>
          <w:szCs w:val="24"/>
        </w:rPr>
        <w:t xml:space="preserve">information </w:t>
      </w:r>
      <w:r w:rsidR="00D60144" w:rsidRPr="00762E22">
        <w:rPr>
          <w:szCs w:val="24"/>
        </w:rPr>
        <w:t xml:space="preserve">systems to record and collect information pertaining to the case work associated with children in </w:t>
      </w:r>
      <w:r w:rsidR="00461C0B">
        <w:rPr>
          <w:szCs w:val="24"/>
        </w:rPr>
        <w:t>their placement and care responsibility</w:t>
      </w:r>
      <w:r w:rsidR="00D60144" w:rsidRPr="00762E22">
        <w:rPr>
          <w:szCs w:val="24"/>
        </w:rPr>
        <w:t xml:space="preserve">.  </w:t>
      </w:r>
      <w:r w:rsidR="00146EE9" w:rsidRPr="00762E22">
        <w:rPr>
          <w:szCs w:val="24"/>
        </w:rPr>
        <w:t>Some</w:t>
      </w:r>
      <w:r w:rsidR="006B413B" w:rsidRPr="00762E22">
        <w:rPr>
          <w:szCs w:val="24"/>
        </w:rPr>
        <w:t xml:space="preserve"> of the costs that title IV-E agencies incur as a result of the revisions to AFCARS will be eligible for </w:t>
      </w:r>
      <w:r w:rsidR="00CD4AE8" w:rsidRPr="00762E22">
        <w:rPr>
          <w:szCs w:val="24"/>
        </w:rPr>
        <w:t>FFP</w:t>
      </w:r>
      <w:r w:rsidR="006B413B" w:rsidRPr="00762E22">
        <w:rPr>
          <w:szCs w:val="24"/>
        </w:rPr>
        <w:t xml:space="preserve">.  There </w:t>
      </w:r>
      <w:r w:rsidR="00461C0B">
        <w:rPr>
          <w:szCs w:val="24"/>
        </w:rPr>
        <w:t>may</w:t>
      </w:r>
      <w:r w:rsidR="00461C0B" w:rsidRPr="00762E22">
        <w:rPr>
          <w:szCs w:val="24"/>
        </w:rPr>
        <w:t xml:space="preserve"> </w:t>
      </w:r>
      <w:r w:rsidR="006B413B" w:rsidRPr="00762E22">
        <w:rPr>
          <w:szCs w:val="24"/>
        </w:rPr>
        <w:t xml:space="preserve">be costs associated with </w:t>
      </w:r>
      <w:r w:rsidR="003B79E2" w:rsidRPr="00762E22">
        <w:rPr>
          <w:szCs w:val="24"/>
        </w:rPr>
        <w:t xml:space="preserve">incorporating the proposed information into </w:t>
      </w:r>
      <w:r w:rsidR="0048278E" w:rsidRPr="00762E22">
        <w:rPr>
          <w:szCs w:val="24"/>
        </w:rPr>
        <w:t xml:space="preserve">the electronic case file, if not already there, and </w:t>
      </w:r>
      <w:r w:rsidR="006B413B" w:rsidRPr="00762E22">
        <w:rPr>
          <w:szCs w:val="24"/>
        </w:rPr>
        <w:t xml:space="preserve">a new program code to extract the data from </w:t>
      </w:r>
      <w:r w:rsidR="00461C0B">
        <w:rPr>
          <w:szCs w:val="24"/>
        </w:rPr>
        <w:t>agencies’</w:t>
      </w:r>
      <w:r w:rsidR="00461C0B" w:rsidRPr="00762E22">
        <w:rPr>
          <w:szCs w:val="24"/>
        </w:rPr>
        <w:t xml:space="preserve"> </w:t>
      </w:r>
      <w:r w:rsidR="006B413B" w:rsidRPr="00762E22">
        <w:rPr>
          <w:szCs w:val="24"/>
        </w:rPr>
        <w:t xml:space="preserve">information systems.  </w:t>
      </w:r>
      <w:r w:rsidR="009862D9" w:rsidRPr="00762E22">
        <w:rPr>
          <w:szCs w:val="24"/>
        </w:rPr>
        <w:t xml:space="preserve">There will be costs </w:t>
      </w:r>
      <w:r w:rsidR="00461C0B">
        <w:rPr>
          <w:szCs w:val="24"/>
        </w:rPr>
        <w:t>for</w:t>
      </w:r>
      <w:r w:rsidR="00461C0B" w:rsidRPr="00762E22">
        <w:rPr>
          <w:szCs w:val="24"/>
        </w:rPr>
        <w:t xml:space="preserve"> </w:t>
      </w:r>
      <w:r w:rsidR="009862D9" w:rsidRPr="00762E22">
        <w:rPr>
          <w:szCs w:val="24"/>
        </w:rPr>
        <w:t>collecting, entering, and reporting the information.</w:t>
      </w:r>
    </w:p>
    <w:p w14:paraId="4A60F1D4" w14:textId="77777777" w:rsidR="00AC77DC" w:rsidRPr="00762E22" w:rsidRDefault="00B95FD0" w:rsidP="005A6E4F">
      <w:pPr>
        <w:spacing w:before="100" w:beforeAutospacing="1" w:after="100" w:afterAutospacing="1"/>
        <w:ind w:left="360"/>
        <w:rPr>
          <w:snapToGrid/>
          <w:szCs w:val="24"/>
        </w:rPr>
      </w:pPr>
      <w:r w:rsidRPr="00762E22">
        <w:rPr>
          <w:szCs w:val="24"/>
        </w:rPr>
        <w:t xml:space="preserve">14.  </w:t>
      </w:r>
      <w:r w:rsidR="00011D8C" w:rsidRPr="00762E22">
        <w:rPr>
          <w:snapToGrid/>
          <w:szCs w:val="24"/>
          <w:u w:val="single"/>
        </w:rPr>
        <w:t>Annualized Cost to the Federal Government</w:t>
      </w:r>
    </w:p>
    <w:p w14:paraId="042A232B" w14:textId="77777777" w:rsidR="00C907CA" w:rsidRDefault="00734C9C" w:rsidP="00C144A4">
      <w:pPr>
        <w:rPr>
          <w:rFonts w:eastAsia="Calibri"/>
          <w:snapToGrid/>
          <w:color w:val="000000"/>
          <w:szCs w:val="24"/>
        </w:rPr>
      </w:pPr>
      <w:r w:rsidRPr="00734C9C">
        <w:rPr>
          <w:rFonts w:eastAsia="Calibri"/>
          <w:snapToGrid/>
          <w:color w:val="000000"/>
          <w:szCs w:val="24"/>
        </w:rPr>
        <w:t>Federal reimbursement under title IV-E will be available for a portion of</w:t>
      </w:r>
      <w:r>
        <w:rPr>
          <w:rFonts w:eastAsia="Calibri"/>
          <w:snapToGrid/>
          <w:color w:val="000000"/>
          <w:szCs w:val="24"/>
        </w:rPr>
        <w:t xml:space="preserve"> </w:t>
      </w:r>
      <w:r w:rsidRPr="00734C9C">
        <w:rPr>
          <w:rFonts w:eastAsia="Calibri"/>
          <w:snapToGrid/>
          <w:color w:val="000000"/>
          <w:szCs w:val="24"/>
        </w:rPr>
        <w:t xml:space="preserve">the costs that title IV-E agencies will incur as a result of the revisions in this </w:t>
      </w:r>
      <w:r w:rsidR="00CB3C45">
        <w:rPr>
          <w:rFonts w:eastAsia="Calibri"/>
          <w:snapToGrid/>
          <w:color w:val="000000"/>
          <w:szCs w:val="24"/>
        </w:rPr>
        <w:t xml:space="preserve">final </w:t>
      </w:r>
      <w:r w:rsidRPr="00734C9C">
        <w:rPr>
          <w:rFonts w:eastAsia="Calibri"/>
          <w:snapToGrid/>
          <w:color w:val="000000"/>
          <w:szCs w:val="24"/>
        </w:rPr>
        <w:t>rule,</w:t>
      </w:r>
      <w:r>
        <w:rPr>
          <w:rFonts w:eastAsia="Calibri"/>
          <w:snapToGrid/>
          <w:color w:val="000000"/>
          <w:szCs w:val="24"/>
        </w:rPr>
        <w:t xml:space="preserve"> </w:t>
      </w:r>
      <w:r w:rsidRPr="00734C9C">
        <w:rPr>
          <w:rFonts w:eastAsia="Calibri"/>
          <w:snapToGrid/>
          <w:color w:val="000000"/>
          <w:szCs w:val="24"/>
        </w:rPr>
        <w:t>depending on each agency’s cost allocation plan, information system, and other factors.</w:t>
      </w:r>
      <w:r w:rsidR="005A6E4F">
        <w:rPr>
          <w:rFonts w:eastAsia="Calibri"/>
          <w:snapToGrid/>
          <w:color w:val="000000"/>
          <w:szCs w:val="24"/>
        </w:rPr>
        <w:t xml:space="preserve">  For this estimate, we used the 50% FFP rate.</w:t>
      </w:r>
    </w:p>
    <w:p w14:paraId="5F93D13B" w14:textId="77777777" w:rsidR="005A4217" w:rsidRPr="00D52F2E" w:rsidRDefault="005A4217" w:rsidP="00C144A4">
      <w:pPr>
        <w:rPr>
          <w:rFonts w:eastAsia="Calibri"/>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620"/>
        <w:gridCol w:w="1890"/>
        <w:gridCol w:w="1710"/>
        <w:gridCol w:w="2250"/>
      </w:tblGrid>
      <w:tr w:rsidR="004A13CE" w:rsidRPr="004A13CE" w14:paraId="244B0D8A" w14:textId="77777777" w:rsidTr="00723A3F">
        <w:tc>
          <w:tcPr>
            <w:tcW w:w="1705" w:type="dxa"/>
            <w:shd w:val="clear" w:color="auto" w:fill="auto"/>
          </w:tcPr>
          <w:p w14:paraId="03AC2A93"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Collection - AFCARS</w:t>
            </w:r>
          </w:p>
        </w:tc>
        <w:tc>
          <w:tcPr>
            <w:tcW w:w="1620" w:type="dxa"/>
            <w:shd w:val="clear" w:color="auto" w:fill="auto"/>
          </w:tcPr>
          <w:p w14:paraId="7EEA0617"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Total annual burden hours</w:t>
            </w:r>
          </w:p>
        </w:tc>
        <w:tc>
          <w:tcPr>
            <w:tcW w:w="1890" w:type="dxa"/>
            <w:shd w:val="clear" w:color="auto" w:fill="auto"/>
          </w:tcPr>
          <w:p w14:paraId="72F8A580"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Average hourly labor rate</w:t>
            </w:r>
          </w:p>
        </w:tc>
        <w:tc>
          <w:tcPr>
            <w:tcW w:w="1710" w:type="dxa"/>
            <w:shd w:val="clear" w:color="auto" w:fill="auto"/>
          </w:tcPr>
          <w:p w14:paraId="47F21729"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Total cost</w:t>
            </w:r>
          </w:p>
        </w:tc>
        <w:tc>
          <w:tcPr>
            <w:tcW w:w="2250" w:type="dxa"/>
            <w:shd w:val="clear" w:color="auto" w:fill="auto"/>
          </w:tcPr>
          <w:p w14:paraId="2D6F5CE2"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 xml:space="preserve">Estimate Federal costs (50% </w:t>
            </w:r>
            <w:proofErr w:type="spellStart"/>
            <w:r w:rsidRPr="004A13CE">
              <w:rPr>
                <w:rFonts w:eastAsia="Calibri"/>
                <w:b/>
                <w:snapToGrid/>
                <w:szCs w:val="24"/>
              </w:rPr>
              <w:t>FFP</w:t>
            </w:r>
            <w:proofErr w:type="spellEnd"/>
            <w:r w:rsidRPr="004A13CE">
              <w:rPr>
                <w:rFonts w:eastAsia="Calibri"/>
                <w:b/>
                <w:snapToGrid/>
                <w:szCs w:val="24"/>
              </w:rPr>
              <w:t>)</w:t>
            </w:r>
          </w:p>
        </w:tc>
      </w:tr>
      <w:tr w:rsidR="004A13CE" w:rsidRPr="004A13CE" w14:paraId="41EE8D01" w14:textId="77777777" w:rsidTr="00723A3F">
        <w:tc>
          <w:tcPr>
            <w:tcW w:w="1705" w:type="dxa"/>
            <w:shd w:val="clear" w:color="auto" w:fill="auto"/>
          </w:tcPr>
          <w:p w14:paraId="6E532CE3"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Recordkeeping</w:t>
            </w:r>
          </w:p>
        </w:tc>
        <w:tc>
          <w:tcPr>
            <w:tcW w:w="1620" w:type="dxa"/>
            <w:shd w:val="clear" w:color="auto" w:fill="auto"/>
          </w:tcPr>
          <w:p w14:paraId="07EE04CB"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968,102</w:t>
            </w:r>
          </w:p>
        </w:tc>
        <w:tc>
          <w:tcPr>
            <w:tcW w:w="1890" w:type="dxa"/>
            <w:shd w:val="clear" w:color="auto" w:fill="auto"/>
          </w:tcPr>
          <w:p w14:paraId="513A8AD4"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$84</w:t>
            </w:r>
          </w:p>
        </w:tc>
        <w:tc>
          <w:tcPr>
            <w:tcW w:w="1710" w:type="dxa"/>
            <w:shd w:val="clear" w:color="auto" w:fill="auto"/>
          </w:tcPr>
          <w:p w14:paraId="4DECD1DD"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$81,320,668</w:t>
            </w:r>
          </w:p>
        </w:tc>
        <w:tc>
          <w:tcPr>
            <w:tcW w:w="2250" w:type="dxa"/>
            <w:shd w:val="clear" w:color="auto" w:fill="auto"/>
          </w:tcPr>
          <w:p w14:paraId="113BE5E0"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$40,660,284</w:t>
            </w:r>
          </w:p>
        </w:tc>
      </w:tr>
      <w:tr w:rsidR="004A13CE" w:rsidRPr="004A13CE" w14:paraId="530AA4B5" w14:textId="77777777" w:rsidTr="00723A3F">
        <w:trPr>
          <w:trHeight w:val="287"/>
        </w:trPr>
        <w:tc>
          <w:tcPr>
            <w:tcW w:w="1705" w:type="dxa"/>
            <w:shd w:val="clear" w:color="auto" w:fill="auto"/>
          </w:tcPr>
          <w:p w14:paraId="77A435E7"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Reporting</w:t>
            </w:r>
          </w:p>
        </w:tc>
        <w:tc>
          <w:tcPr>
            <w:tcW w:w="1620" w:type="dxa"/>
            <w:shd w:val="clear" w:color="auto" w:fill="auto"/>
          </w:tcPr>
          <w:p w14:paraId="71B4D740"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2,124</w:t>
            </w:r>
          </w:p>
        </w:tc>
        <w:tc>
          <w:tcPr>
            <w:tcW w:w="1890" w:type="dxa"/>
            <w:shd w:val="clear" w:color="auto" w:fill="auto"/>
          </w:tcPr>
          <w:p w14:paraId="41B2A7AA"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$84</w:t>
            </w:r>
          </w:p>
        </w:tc>
        <w:tc>
          <w:tcPr>
            <w:tcW w:w="1710" w:type="dxa"/>
            <w:shd w:val="clear" w:color="auto" w:fill="auto"/>
          </w:tcPr>
          <w:p w14:paraId="7DD6F082"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$178,416</w:t>
            </w:r>
          </w:p>
        </w:tc>
        <w:tc>
          <w:tcPr>
            <w:tcW w:w="2250" w:type="dxa"/>
            <w:shd w:val="clear" w:color="auto" w:fill="auto"/>
          </w:tcPr>
          <w:p w14:paraId="39D59D91"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$89,208</w:t>
            </w:r>
          </w:p>
        </w:tc>
      </w:tr>
      <w:tr w:rsidR="004A13CE" w:rsidRPr="004A13CE" w14:paraId="1533C477" w14:textId="77777777" w:rsidTr="00723A3F">
        <w:trPr>
          <w:trHeight w:val="287"/>
        </w:trPr>
        <w:tc>
          <w:tcPr>
            <w:tcW w:w="1705" w:type="dxa"/>
            <w:shd w:val="clear" w:color="auto" w:fill="auto"/>
          </w:tcPr>
          <w:p w14:paraId="5A5D9635" w14:textId="77777777" w:rsidR="004A13CE" w:rsidRPr="004A13CE" w:rsidRDefault="004A13CE" w:rsidP="004A13CE">
            <w:pPr>
              <w:widowControl/>
              <w:spacing w:line="480" w:lineRule="auto"/>
              <w:rPr>
                <w:rFonts w:eastAsia="Calibri"/>
                <w:b/>
                <w:snapToGrid/>
                <w:szCs w:val="24"/>
              </w:rPr>
            </w:pPr>
            <w:r w:rsidRPr="004A13CE">
              <w:rPr>
                <w:rFonts w:eastAsia="Calibri"/>
                <w:b/>
                <w:snapToGrid/>
                <w:szCs w:val="24"/>
              </w:rPr>
              <w:t xml:space="preserve">Total </w:t>
            </w:r>
          </w:p>
        </w:tc>
        <w:tc>
          <w:tcPr>
            <w:tcW w:w="1620" w:type="dxa"/>
            <w:shd w:val="clear" w:color="auto" w:fill="auto"/>
          </w:tcPr>
          <w:p w14:paraId="53586304" w14:textId="77777777" w:rsidR="004A13CE" w:rsidRPr="004A13CE" w:rsidRDefault="004A13CE" w:rsidP="004A13CE">
            <w:pPr>
              <w:widowControl/>
              <w:spacing w:line="480" w:lineRule="auto"/>
              <w:rPr>
                <w:rFonts w:eastAsia="Calibri"/>
                <w:snapToGrid/>
                <w:szCs w:val="24"/>
              </w:rPr>
            </w:pPr>
          </w:p>
        </w:tc>
        <w:tc>
          <w:tcPr>
            <w:tcW w:w="1890" w:type="dxa"/>
            <w:shd w:val="clear" w:color="auto" w:fill="auto"/>
          </w:tcPr>
          <w:p w14:paraId="00DB82A6" w14:textId="77777777" w:rsidR="004A13CE" w:rsidRPr="004A13CE" w:rsidRDefault="004A13CE" w:rsidP="004A13CE">
            <w:pPr>
              <w:widowControl/>
              <w:spacing w:line="480" w:lineRule="auto"/>
              <w:rPr>
                <w:rFonts w:eastAsia="Calibri"/>
                <w:snapToGrid/>
                <w:szCs w:val="24"/>
              </w:rPr>
            </w:pPr>
          </w:p>
        </w:tc>
        <w:tc>
          <w:tcPr>
            <w:tcW w:w="1710" w:type="dxa"/>
            <w:shd w:val="clear" w:color="auto" w:fill="auto"/>
          </w:tcPr>
          <w:p w14:paraId="002FC6E4" w14:textId="77777777" w:rsidR="004A13CE" w:rsidRPr="004A13CE" w:rsidRDefault="004A13CE" w:rsidP="004A13CE">
            <w:pPr>
              <w:widowControl/>
              <w:spacing w:line="480" w:lineRule="auto"/>
              <w:rPr>
                <w:rFonts w:eastAsia="Calibri"/>
                <w:snapToGrid/>
                <w:szCs w:val="24"/>
              </w:rPr>
            </w:pPr>
          </w:p>
        </w:tc>
        <w:tc>
          <w:tcPr>
            <w:tcW w:w="2250" w:type="dxa"/>
            <w:shd w:val="clear" w:color="auto" w:fill="auto"/>
          </w:tcPr>
          <w:p w14:paraId="43EDCF3A" w14:textId="77777777" w:rsidR="004A13CE" w:rsidRPr="004A13CE" w:rsidRDefault="004A13CE" w:rsidP="004A13CE">
            <w:pPr>
              <w:widowControl/>
              <w:spacing w:line="480" w:lineRule="auto"/>
              <w:rPr>
                <w:rFonts w:eastAsia="Calibri"/>
                <w:snapToGrid/>
                <w:szCs w:val="24"/>
              </w:rPr>
            </w:pPr>
            <w:r w:rsidRPr="004A13CE">
              <w:rPr>
                <w:rFonts w:eastAsia="Calibri"/>
                <w:snapToGrid/>
                <w:szCs w:val="24"/>
              </w:rPr>
              <w:t>$40,749,492</w:t>
            </w:r>
          </w:p>
        </w:tc>
      </w:tr>
    </w:tbl>
    <w:p w14:paraId="358D70AB" w14:textId="77777777" w:rsidR="00AE5733" w:rsidRPr="00762E22" w:rsidRDefault="00AE5733" w:rsidP="00B832A3">
      <w:pPr>
        <w:widowControl/>
        <w:rPr>
          <w:snapToGrid/>
          <w:color w:val="FF0000"/>
          <w:szCs w:val="24"/>
        </w:rPr>
      </w:pPr>
    </w:p>
    <w:p w14:paraId="0E281AE7" w14:textId="77777777" w:rsidR="00103B0A" w:rsidRPr="00762E22" w:rsidRDefault="00103B0A" w:rsidP="000F7541">
      <w:pPr>
        <w:spacing w:before="100" w:beforeAutospacing="1" w:after="100" w:afterAutospacing="1"/>
        <w:ind w:left="360"/>
        <w:rPr>
          <w:szCs w:val="24"/>
        </w:rPr>
      </w:pPr>
      <w:r w:rsidRPr="00762E22">
        <w:rPr>
          <w:szCs w:val="24"/>
        </w:rPr>
        <w:t xml:space="preserve">15.  </w:t>
      </w:r>
      <w:r w:rsidR="00113A6A" w:rsidRPr="00762E22">
        <w:rPr>
          <w:snapToGrid/>
          <w:szCs w:val="24"/>
          <w:u w:val="single"/>
        </w:rPr>
        <w:t>Explanation for Program Changes or Adjustments</w:t>
      </w:r>
    </w:p>
    <w:p w14:paraId="339CCE09" w14:textId="4D4C5107" w:rsidR="00103B0A" w:rsidRPr="00762E22" w:rsidRDefault="00CF1956" w:rsidP="00983F23">
      <w:pPr>
        <w:spacing w:before="100" w:beforeAutospacing="1" w:after="100" w:afterAutospacing="1"/>
        <w:rPr>
          <w:szCs w:val="24"/>
        </w:rPr>
      </w:pPr>
      <w:r w:rsidRPr="00762E22">
        <w:rPr>
          <w:szCs w:val="24"/>
        </w:rPr>
        <w:t xml:space="preserve">This </w:t>
      </w:r>
      <w:r w:rsidR="00CF3015">
        <w:rPr>
          <w:szCs w:val="24"/>
        </w:rPr>
        <w:t>final rule</w:t>
      </w:r>
      <w:r w:rsidR="00CF3015" w:rsidRPr="00762E22">
        <w:rPr>
          <w:szCs w:val="24"/>
        </w:rPr>
        <w:t xml:space="preserve"> </w:t>
      </w:r>
      <w:r w:rsidRPr="00762E22">
        <w:rPr>
          <w:szCs w:val="24"/>
        </w:rPr>
        <w:t xml:space="preserve">changes the collection requirements by adding </w:t>
      </w:r>
      <w:r w:rsidR="00F21EDB" w:rsidRPr="00762E22">
        <w:rPr>
          <w:szCs w:val="24"/>
        </w:rPr>
        <w:t>for the first time, ICWA-related data elements to AFCARS</w:t>
      </w:r>
      <w:r w:rsidR="00CF3015">
        <w:rPr>
          <w:szCs w:val="24"/>
        </w:rPr>
        <w:t xml:space="preserve"> for state title IV-E agencies and requiring </w:t>
      </w:r>
      <w:r w:rsidR="00CE093E">
        <w:rPr>
          <w:szCs w:val="24"/>
        </w:rPr>
        <w:t xml:space="preserve">all </w:t>
      </w:r>
      <w:r w:rsidR="00CF3015">
        <w:rPr>
          <w:szCs w:val="24"/>
        </w:rPr>
        <w:t>title IV-E agencies to report historical information on all of the child’s removals, placements, permanency plans, caseworker visits, and exits</w:t>
      </w:r>
      <w:r w:rsidR="00F21EDB" w:rsidRPr="00762E22">
        <w:rPr>
          <w:szCs w:val="24"/>
        </w:rPr>
        <w:t>.  The</w:t>
      </w:r>
      <w:r w:rsidRPr="00762E22">
        <w:rPr>
          <w:szCs w:val="24"/>
        </w:rPr>
        <w:t xml:space="preserve"> burden hours may be an overestimate since we are unable to</w:t>
      </w:r>
      <w:r w:rsidR="001206C2" w:rsidRPr="00762E22">
        <w:rPr>
          <w:szCs w:val="24"/>
        </w:rPr>
        <w:t xml:space="preserve"> know exactly</w:t>
      </w:r>
      <w:r w:rsidRPr="00762E22">
        <w:rPr>
          <w:szCs w:val="24"/>
        </w:rPr>
        <w:t xml:space="preserve"> </w:t>
      </w:r>
      <w:r w:rsidR="001206C2" w:rsidRPr="00762E22">
        <w:rPr>
          <w:szCs w:val="24"/>
        </w:rPr>
        <w:t>what</w:t>
      </w:r>
      <w:r w:rsidRPr="00762E22">
        <w:rPr>
          <w:szCs w:val="24"/>
        </w:rPr>
        <w:t xml:space="preserve"> information </w:t>
      </w:r>
      <w:r w:rsidR="00F21EDB" w:rsidRPr="00762E22">
        <w:rPr>
          <w:szCs w:val="24"/>
        </w:rPr>
        <w:t xml:space="preserve">state </w:t>
      </w:r>
      <w:r w:rsidRPr="00762E22">
        <w:rPr>
          <w:szCs w:val="24"/>
        </w:rPr>
        <w:t>title IV-E agencies currently collect for their own purposes</w:t>
      </w:r>
      <w:r w:rsidR="00563119">
        <w:rPr>
          <w:szCs w:val="24"/>
        </w:rPr>
        <w:t xml:space="preserve"> related to ICWA</w:t>
      </w:r>
      <w:r w:rsidRPr="00762E22">
        <w:rPr>
          <w:szCs w:val="24"/>
        </w:rPr>
        <w:t xml:space="preserve">.  </w:t>
      </w:r>
      <w:r w:rsidR="009C5D2B" w:rsidRPr="00762E22">
        <w:rPr>
          <w:szCs w:val="24"/>
        </w:rPr>
        <w:t xml:space="preserve">While agencies may collect the information in some </w:t>
      </w:r>
      <w:r w:rsidR="00563119">
        <w:rPr>
          <w:szCs w:val="24"/>
        </w:rPr>
        <w:t xml:space="preserve">ICWA-related </w:t>
      </w:r>
      <w:r w:rsidR="009C5D2B" w:rsidRPr="00762E22">
        <w:rPr>
          <w:szCs w:val="24"/>
        </w:rPr>
        <w:t xml:space="preserve">format for their own purposes, the </w:t>
      </w:r>
      <w:r w:rsidR="00563119">
        <w:rPr>
          <w:szCs w:val="24"/>
        </w:rPr>
        <w:t xml:space="preserve">final rule </w:t>
      </w:r>
      <w:r w:rsidR="009C5D2B" w:rsidRPr="00762E22">
        <w:rPr>
          <w:szCs w:val="24"/>
        </w:rPr>
        <w:t xml:space="preserve">will require the automated collection and reporting of this information </w:t>
      </w:r>
      <w:r w:rsidR="00A24903">
        <w:rPr>
          <w:szCs w:val="24"/>
        </w:rPr>
        <w:t xml:space="preserve">and other historical information </w:t>
      </w:r>
      <w:r w:rsidR="009C5D2B" w:rsidRPr="00762E22">
        <w:rPr>
          <w:szCs w:val="24"/>
        </w:rPr>
        <w:t>to the Federal government for the first time.</w:t>
      </w:r>
      <w:r w:rsidR="00CE093E">
        <w:rPr>
          <w:szCs w:val="24"/>
        </w:rPr>
        <w:t xml:space="preserve"> Also, this final rule collects information on children receiving adoption assistance or guardianship assistance on an on-going basis. </w:t>
      </w:r>
      <w:r w:rsidR="009C5D2B" w:rsidRPr="00762E22">
        <w:rPr>
          <w:szCs w:val="24"/>
        </w:rPr>
        <w:t xml:space="preserve"> </w:t>
      </w:r>
      <w:r w:rsidR="00062DD9">
        <w:rPr>
          <w:szCs w:val="24"/>
        </w:rPr>
        <w:t xml:space="preserve">While the reporting of </w:t>
      </w:r>
      <w:r w:rsidR="00062DD9">
        <w:rPr>
          <w:szCs w:val="24"/>
        </w:rPr>
        <w:lastRenderedPageBreak/>
        <w:t>this information is new, agencies have this data in their case record systems for the purpose of making monthly subsidy payments.</w:t>
      </w:r>
      <w:r w:rsidR="009C5D2B" w:rsidRPr="00762E22">
        <w:rPr>
          <w:szCs w:val="24"/>
        </w:rPr>
        <w:t xml:space="preserve">   </w:t>
      </w:r>
    </w:p>
    <w:p w14:paraId="2198F900" w14:textId="77777777" w:rsidR="00103B0A" w:rsidRPr="00762E22" w:rsidRDefault="00103B0A" w:rsidP="000F7541">
      <w:pPr>
        <w:spacing w:before="100" w:beforeAutospacing="1" w:after="100" w:afterAutospacing="1"/>
        <w:ind w:left="360"/>
        <w:rPr>
          <w:szCs w:val="24"/>
        </w:rPr>
      </w:pPr>
      <w:r w:rsidRPr="00762E22">
        <w:rPr>
          <w:szCs w:val="24"/>
        </w:rPr>
        <w:t xml:space="preserve">16.  </w:t>
      </w:r>
      <w:r w:rsidR="00113A6A" w:rsidRPr="00762E22">
        <w:rPr>
          <w:snapToGrid/>
          <w:szCs w:val="24"/>
          <w:u w:val="single"/>
        </w:rPr>
        <w:t>Plans for Tabulation and Publication and Project Time Schedule</w:t>
      </w:r>
    </w:p>
    <w:p w14:paraId="049544A7" w14:textId="77777777" w:rsidR="00103B0A" w:rsidRPr="00762E22" w:rsidRDefault="00103B0A" w:rsidP="00983F23">
      <w:pPr>
        <w:spacing w:before="100" w:beforeAutospacing="1" w:after="100" w:afterAutospacing="1"/>
        <w:rPr>
          <w:szCs w:val="24"/>
        </w:rPr>
      </w:pPr>
      <w:r w:rsidRPr="00762E22">
        <w:rPr>
          <w:szCs w:val="24"/>
        </w:rPr>
        <w:t xml:space="preserve">There is no timetable or end date for the project, as collection of data will be ongoing.  </w:t>
      </w:r>
    </w:p>
    <w:p w14:paraId="6D77715D" w14:textId="77777777" w:rsidR="00103B0A" w:rsidRPr="00762E22" w:rsidRDefault="00103B0A" w:rsidP="000F7541">
      <w:pPr>
        <w:spacing w:before="100" w:beforeAutospacing="1" w:after="100" w:afterAutospacing="1"/>
        <w:ind w:left="360"/>
        <w:rPr>
          <w:szCs w:val="24"/>
        </w:rPr>
      </w:pPr>
      <w:r w:rsidRPr="00762E22">
        <w:rPr>
          <w:szCs w:val="24"/>
        </w:rPr>
        <w:t xml:space="preserve">17.  </w:t>
      </w:r>
      <w:r w:rsidR="00113A6A" w:rsidRPr="00762E22">
        <w:rPr>
          <w:snapToGrid/>
          <w:szCs w:val="24"/>
          <w:u w:val="single"/>
        </w:rPr>
        <w:t>Reason(s) Display of OMB Expiration Date is Inappropriate</w:t>
      </w:r>
    </w:p>
    <w:p w14:paraId="1A44ED8E" w14:textId="71204A76" w:rsidR="00103B0A" w:rsidRPr="00762E22" w:rsidRDefault="00103B0A" w:rsidP="00983F23">
      <w:pPr>
        <w:spacing w:before="100" w:beforeAutospacing="1" w:after="100" w:afterAutospacing="1"/>
        <w:rPr>
          <w:szCs w:val="24"/>
        </w:rPr>
      </w:pPr>
      <w:r w:rsidRPr="00762E22">
        <w:rPr>
          <w:szCs w:val="24"/>
        </w:rPr>
        <w:t xml:space="preserve">The Department is requesting that the OMB number and expiration date not be displayed as there is no </w:t>
      </w:r>
      <w:r w:rsidR="0090108B" w:rsidRPr="00762E22">
        <w:rPr>
          <w:szCs w:val="24"/>
        </w:rPr>
        <w:t>forms that the title IV-E agencies use</w:t>
      </w:r>
      <w:r w:rsidRPr="00762E22">
        <w:rPr>
          <w:szCs w:val="24"/>
        </w:rPr>
        <w:t xml:space="preserve"> to </w:t>
      </w:r>
      <w:r w:rsidR="00F02211" w:rsidRPr="00762E22">
        <w:rPr>
          <w:szCs w:val="24"/>
        </w:rPr>
        <w:t>submit AFCARS data.  All data are</w:t>
      </w:r>
      <w:r w:rsidRPr="00762E22">
        <w:rPr>
          <w:szCs w:val="24"/>
        </w:rPr>
        <w:t xml:space="preserve"> submitted electronically.  The OMB number is displayed at 45 CFR 1355.40.</w:t>
      </w:r>
    </w:p>
    <w:p w14:paraId="615A224C" w14:textId="77777777" w:rsidR="00103B0A" w:rsidRPr="00762E22" w:rsidRDefault="00103B0A" w:rsidP="000F7541">
      <w:pPr>
        <w:spacing w:before="100" w:beforeAutospacing="1" w:after="100" w:afterAutospacing="1"/>
        <w:ind w:left="360"/>
        <w:rPr>
          <w:szCs w:val="24"/>
        </w:rPr>
      </w:pPr>
      <w:r w:rsidRPr="00762E22">
        <w:rPr>
          <w:szCs w:val="24"/>
        </w:rPr>
        <w:t xml:space="preserve">18.  </w:t>
      </w:r>
      <w:r w:rsidR="00113A6A" w:rsidRPr="00762E22">
        <w:rPr>
          <w:snapToGrid/>
          <w:szCs w:val="24"/>
          <w:u w:val="single"/>
        </w:rPr>
        <w:t>Exceptions to Certification for Paperwork Reduction Act Submissions</w:t>
      </w:r>
    </w:p>
    <w:p w14:paraId="59E2A2E9" w14:textId="77777777" w:rsidR="00103B0A" w:rsidRDefault="00103B0A" w:rsidP="00983F23">
      <w:pPr>
        <w:spacing w:before="100" w:beforeAutospacing="1" w:after="100" w:afterAutospacing="1"/>
        <w:rPr>
          <w:szCs w:val="24"/>
        </w:rPr>
      </w:pPr>
      <w:r w:rsidRPr="00762E22">
        <w:rPr>
          <w:szCs w:val="24"/>
        </w:rPr>
        <w:t>There are no exceptions to the certification statement.</w:t>
      </w:r>
    </w:p>
    <w:p w14:paraId="6690B4A9" w14:textId="77777777" w:rsidR="00F0732D" w:rsidRPr="00762E22" w:rsidRDefault="00F0732D" w:rsidP="00983F23">
      <w:pPr>
        <w:spacing w:before="100" w:beforeAutospacing="1" w:after="100" w:afterAutospacing="1"/>
        <w:rPr>
          <w:szCs w:val="24"/>
        </w:rPr>
      </w:pPr>
    </w:p>
    <w:p w14:paraId="586FA670" w14:textId="77777777" w:rsidR="00113A6A" w:rsidRPr="00762E22" w:rsidRDefault="00113A6A" w:rsidP="000F7541">
      <w:pPr>
        <w:widowControl/>
        <w:spacing w:before="100" w:beforeAutospacing="1" w:after="100" w:afterAutospacing="1"/>
        <w:rPr>
          <w:snapToGrid/>
          <w:szCs w:val="24"/>
        </w:rPr>
      </w:pPr>
      <w:r w:rsidRPr="00762E22">
        <w:rPr>
          <w:szCs w:val="24"/>
        </w:rPr>
        <w:t xml:space="preserve">B.   </w:t>
      </w:r>
      <w:r w:rsidRPr="00762E22">
        <w:rPr>
          <w:b/>
          <w:bCs/>
          <w:snapToGrid/>
          <w:szCs w:val="24"/>
        </w:rPr>
        <w:t>Statistical Methods</w:t>
      </w:r>
      <w:r w:rsidRPr="00762E22">
        <w:rPr>
          <w:snapToGrid/>
          <w:szCs w:val="24"/>
        </w:rPr>
        <w:t xml:space="preserve"> </w:t>
      </w:r>
      <w:r w:rsidRPr="00762E22">
        <w:rPr>
          <w:b/>
          <w:bCs/>
          <w:snapToGrid/>
          <w:szCs w:val="24"/>
        </w:rPr>
        <w:t>(used for collection of information employing statistical methods)</w:t>
      </w:r>
    </w:p>
    <w:p w14:paraId="4E50F7DE" w14:textId="77777777" w:rsidR="00103B0A" w:rsidRPr="00762E22" w:rsidRDefault="00103B0A" w:rsidP="000F7541">
      <w:pPr>
        <w:spacing w:before="100" w:beforeAutospacing="1" w:after="100" w:afterAutospacing="1"/>
        <w:rPr>
          <w:szCs w:val="24"/>
        </w:rPr>
      </w:pPr>
      <w:r w:rsidRPr="00762E22">
        <w:rPr>
          <w:szCs w:val="24"/>
        </w:rPr>
        <w:t xml:space="preserve">The information collected in AFCARS does not require the use of statistical methods. </w:t>
      </w:r>
    </w:p>
    <w:sectPr w:rsidR="00103B0A" w:rsidRPr="00762E22" w:rsidSect="009A690C">
      <w:footerReference w:type="even" r:id="rId12"/>
      <w:footerReference w:type="default" r:id="rId13"/>
      <w:endnotePr>
        <w:numFmt w:val="decimal"/>
      </w:endnotePr>
      <w:pgSz w:w="12240" w:h="15840" w:code="1"/>
      <w:pgMar w:top="1440" w:right="1080" w:bottom="1440" w:left="108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09F75" w14:textId="77777777" w:rsidR="00846AAF" w:rsidRDefault="00846AAF">
      <w:r>
        <w:separator/>
      </w:r>
    </w:p>
  </w:endnote>
  <w:endnote w:type="continuationSeparator" w:id="0">
    <w:p w14:paraId="78686F6C" w14:textId="77777777" w:rsidR="00846AAF" w:rsidRDefault="0084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7718"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end"/>
    </w:r>
  </w:p>
  <w:p w14:paraId="3C62ABFC" w14:textId="77777777" w:rsidR="00E122A1" w:rsidRDefault="00E12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B572"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separate"/>
    </w:r>
    <w:r w:rsidR="00A075C4">
      <w:rPr>
        <w:rStyle w:val="PageNumber"/>
        <w:noProof/>
      </w:rPr>
      <w:t>2</w:t>
    </w:r>
    <w:r>
      <w:rPr>
        <w:rStyle w:val="PageNumber"/>
      </w:rPr>
      <w:fldChar w:fldCharType="end"/>
    </w:r>
  </w:p>
  <w:p w14:paraId="174CC323" w14:textId="77777777" w:rsidR="00E122A1" w:rsidRDefault="00E12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AF0F9" w14:textId="77777777" w:rsidR="00846AAF" w:rsidRDefault="00846AAF">
      <w:r>
        <w:separator/>
      </w:r>
    </w:p>
  </w:footnote>
  <w:footnote w:type="continuationSeparator" w:id="0">
    <w:p w14:paraId="28B913F1" w14:textId="77777777" w:rsidR="00846AAF" w:rsidRDefault="00846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747"/>
    <w:multiLevelType w:val="hybridMultilevel"/>
    <w:tmpl w:val="E14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157A"/>
    <w:multiLevelType w:val="hybridMultilevel"/>
    <w:tmpl w:val="48F0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F39"/>
    <w:multiLevelType w:val="hybridMultilevel"/>
    <w:tmpl w:val="0B96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2B38FA"/>
    <w:multiLevelType w:val="hybridMultilevel"/>
    <w:tmpl w:val="0DB4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27457"/>
    <w:multiLevelType w:val="hybridMultilevel"/>
    <w:tmpl w:val="AA4A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D53B3"/>
    <w:multiLevelType w:val="hybridMultilevel"/>
    <w:tmpl w:val="6F5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20C00B5"/>
    <w:multiLevelType w:val="hybridMultilevel"/>
    <w:tmpl w:val="8DA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85861"/>
    <w:multiLevelType w:val="hybridMultilevel"/>
    <w:tmpl w:val="7786C380"/>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563E0A"/>
    <w:multiLevelType w:val="hybridMultilevel"/>
    <w:tmpl w:val="AAC25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8D32AD2"/>
    <w:multiLevelType w:val="hybridMultilevel"/>
    <w:tmpl w:val="F336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02E5645"/>
    <w:multiLevelType w:val="hybridMultilevel"/>
    <w:tmpl w:val="B3428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075A31"/>
    <w:multiLevelType w:val="hybridMultilevel"/>
    <w:tmpl w:val="A2D6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B0F76"/>
    <w:multiLevelType w:val="hybridMultilevel"/>
    <w:tmpl w:val="A75C1A8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D019CD"/>
    <w:multiLevelType w:val="hybridMultilevel"/>
    <w:tmpl w:val="0B16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432546A"/>
    <w:multiLevelType w:val="hybridMultilevel"/>
    <w:tmpl w:val="7862CF0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220031"/>
    <w:multiLevelType w:val="hybridMultilevel"/>
    <w:tmpl w:val="F584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EA2723"/>
    <w:multiLevelType w:val="hybridMultilevel"/>
    <w:tmpl w:val="67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123C3"/>
    <w:multiLevelType w:val="hybridMultilevel"/>
    <w:tmpl w:val="483EC2BC"/>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E76E1C"/>
    <w:multiLevelType w:val="hybridMultilevel"/>
    <w:tmpl w:val="F5E02646"/>
    <w:lvl w:ilvl="0" w:tplc="C78A90F8">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E85249"/>
    <w:multiLevelType w:val="hybridMultilevel"/>
    <w:tmpl w:val="FB9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8461C"/>
    <w:multiLevelType w:val="hybridMultilevel"/>
    <w:tmpl w:val="C45E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7"/>
  </w:num>
  <w:num w:numId="4">
    <w:abstractNumId w:val="25"/>
  </w:num>
  <w:num w:numId="5">
    <w:abstractNumId w:val="13"/>
  </w:num>
  <w:num w:numId="6">
    <w:abstractNumId w:val="11"/>
  </w:num>
  <w:num w:numId="7">
    <w:abstractNumId w:val="26"/>
  </w:num>
  <w:num w:numId="8">
    <w:abstractNumId w:val="18"/>
  </w:num>
  <w:num w:numId="9">
    <w:abstractNumId w:val="7"/>
  </w:num>
  <w:num w:numId="10">
    <w:abstractNumId w:val="22"/>
  </w:num>
  <w:num w:numId="11">
    <w:abstractNumId w:val="10"/>
  </w:num>
  <w:num w:numId="12">
    <w:abstractNumId w:val="23"/>
  </w:num>
  <w:num w:numId="13">
    <w:abstractNumId w:val="9"/>
  </w:num>
  <w:num w:numId="14">
    <w:abstractNumId w:val="16"/>
  </w:num>
  <w:num w:numId="15">
    <w:abstractNumId w:val="24"/>
  </w:num>
  <w:num w:numId="16">
    <w:abstractNumId w:val="20"/>
  </w:num>
  <w:num w:numId="17">
    <w:abstractNumId w:val="14"/>
  </w:num>
  <w:num w:numId="18">
    <w:abstractNumId w:val="4"/>
  </w:num>
  <w:num w:numId="19">
    <w:abstractNumId w:val="28"/>
  </w:num>
  <w:num w:numId="20">
    <w:abstractNumId w:val="5"/>
  </w:num>
  <w:num w:numId="21">
    <w:abstractNumId w:val="2"/>
  </w:num>
  <w:num w:numId="22">
    <w:abstractNumId w:val="21"/>
  </w:num>
  <w:num w:numId="23">
    <w:abstractNumId w:val="0"/>
  </w:num>
  <w:num w:numId="24">
    <w:abstractNumId w:val="17"/>
  </w:num>
  <w:num w:numId="25">
    <w:abstractNumId w:val="6"/>
  </w:num>
  <w:num w:numId="26">
    <w:abstractNumId w:val="29"/>
  </w:num>
  <w:num w:numId="27">
    <w:abstractNumId w:val="1"/>
  </w:num>
  <w:num w:numId="28">
    <w:abstractNumId w:val="12"/>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0A"/>
    <w:rsid w:val="00001E10"/>
    <w:rsid w:val="000112AA"/>
    <w:rsid w:val="00011D8C"/>
    <w:rsid w:val="00011ECC"/>
    <w:rsid w:val="00012707"/>
    <w:rsid w:val="00024C1E"/>
    <w:rsid w:val="000250E5"/>
    <w:rsid w:val="00036766"/>
    <w:rsid w:val="000414A9"/>
    <w:rsid w:val="00041557"/>
    <w:rsid w:val="00045B0B"/>
    <w:rsid w:val="0005249E"/>
    <w:rsid w:val="000544F0"/>
    <w:rsid w:val="00062DD9"/>
    <w:rsid w:val="000716CC"/>
    <w:rsid w:val="0007230D"/>
    <w:rsid w:val="00073E59"/>
    <w:rsid w:val="000929A2"/>
    <w:rsid w:val="000974B8"/>
    <w:rsid w:val="000B0DCD"/>
    <w:rsid w:val="000D02A5"/>
    <w:rsid w:val="000D2DB1"/>
    <w:rsid w:val="000D4572"/>
    <w:rsid w:val="000F7541"/>
    <w:rsid w:val="00102523"/>
    <w:rsid w:val="00103B0A"/>
    <w:rsid w:val="0010626C"/>
    <w:rsid w:val="00113A6A"/>
    <w:rsid w:val="00115A55"/>
    <w:rsid w:val="001206C2"/>
    <w:rsid w:val="0012468D"/>
    <w:rsid w:val="00127D56"/>
    <w:rsid w:val="001352EF"/>
    <w:rsid w:val="00146EE9"/>
    <w:rsid w:val="00157C4F"/>
    <w:rsid w:val="00163E31"/>
    <w:rsid w:val="001656E2"/>
    <w:rsid w:val="001675E2"/>
    <w:rsid w:val="00177C27"/>
    <w:rsid w:val="00180AD2"/>
    <w:rsid w:val="00181816"/>
    <w:rsid w:val="001973B7"/>
    <w:rsid w:val="001A5ECB"/>
    <w:rsid w:val="001A733C"/>
    <w:rsid w:val="001B0970"/>
    <w:rsid w:val="001B4D2D"/>
    <w:rsid w:val="001D2214"/>
    <w:rsid w:val="001D6EFE"/>
    <w:rsid w:val="0020233B"/>
    <w:rsid w:val="002114A4"/>
    <w:rsid w:val="002157C8"/>
    <w:rsid w:val="002401DF"/>
    <w:rsid w:val="002428D9"/>
    <w:rsid w:val="00246FE6"/>
    <w:rsid w:val="0024728D"/>
    <w:rsid w:val="0025415F"/>
    <w:rsid w:val="00257FF9"/>
    <w:rsid w:val="00262475"/>
    <w:rsid w:val="00263066"/>
    <w:rsid w:val="002756AE"/>
    <w:rsid w:val="00290FF8"/>
    <w:rsid w:val="00291DDA"/>
    <w:rsid w:val="002930CD"/>
    <w:rsid w:val="002931F5"/>
    <w:rsid w:val="002C40B9"/>
    <w:rsid w:val="002C668D"/>
    <w:rsid w:val="002C76C3"/>
    <w:rsid w:val="002D0A25"/>
    <w:rsid w:val="002D3193"/>
    <w:rsid w:val="002D3F0E"/>
    <w:rsid w:val="002D4845"/>
    <w:rsid w:val="002E40E4"/>
    <w:rsid w:val="002E5EE3"/>
    <w:rsid w:val="002F3AB5"/>
    <w:rsid w:val="003068B4"/>
    <w:rsid w:val="00307F0D"/>
    <w:rsid w:val="00331768"/>
    <w:rsid w:val="00333598"/>
    <w:rsid w:val="00334574"/>
    <w:rsid w:val="003401BE"/>
    <w:rsid w:val="00363D37"/>
    <w:rsid w:val="00381B97"/>
    <w:rsid w:val="00385D04"/>
    <w:rsid w:val="003916C7"/>
    <w:rsid w:val="003A1E3F"/>
    <w:rsid w:val="003A47EA"/>
    <w:rsid w:val="003B0077"/>
    <w:rsid w:val="003B0FA0"/>
    <w:rsid w:val="003B191F"/>
    <w:rsid w:val="003B79E2"/>
    <w:rsid w:val="003D4095"/>
    <w:rsid w:val="003E40AE"/>
    <w:rsid w:val="003E448A"/>
    <w:rsid w:val="003E682B"/>
    <w:rsid w:val="003F2BC1"/>
    <w:rsid w:val="0040464C"/>
    <w:rsid w:val="00406DEB"/>
    <w:rsid w:val="00411021"/>
    <w:rsid w:val="00417CE0"/>
    <w:rsid w:val="00423ADB"/>
    <w:rsid w:val="00440BCE"/>
    <w:rsid w:val="0044244B"/>
    <w:rsid w:val="00455E63"/>
    <w:rsid w:val="00461C0B"/>
    <w:rsid w:val="00462E41"/>
    <w:rsid w:val="00471FB5"/>
    <w:rsid w:val="0048278E"/>
    <w:rsid w:val="004863E5"/>
    <w:rsid w:val="0048685D"/>
    <w:rsid w:val="0049254B"/>
    <w:rsid w:val="004A0C82"/>
    <w:rsid w:val="004A13CE"/>
    <w:rsid w:val="004A5289"/>
    <w:rsid w:val="004B3617"/>
    <w:rsid w:val="004C21B0"/>
    <w:rsid w:val="004E155E"/>
    <w:rsid w:val="00505071"/>
    <w:rsid w:val="005135AC"/>
    <w:rsid w:val="00522475"/>
    <w:rsid w:val="005232FB"/>
    <w:rsid w:val="00523913"/>
    <w:rsid w:val="0053590F"/>
    <w:rsid w:val="005408F0"/>
    <w:rsid w:val="0054776C"/>
    <w:rsid w:val="00552AA1"/>
    <w:rsid w:val="00562FBA"/>
    <w:rsid w:val="00563119"/>
    <w:rsid w:val="0056357B"/>
    <w:rsid w:val="00564B18"/>
    <w:rsid w:val="00566702"/>
    <w:rsid w:val="00566FB2"/>
    <w:rsid w:val="00581B1E"/>
    <w:rsid w:val="00584950"/>
    <w:rsid w:val="005854F4"/>
    <w:rsid w:val="0059039D"/>
    <w:rsid w:val="0059188A"/>
    <w:rsid w:val="0059258C"/>
    <w:rsid w:val="005A0841"/>
    <w:rsid w:val="005A0CE0"/>
    <w:rsid w:val="005A4217"/>
    <w:rsid w:val="005A6E30"/>
    <w:rsid w:val="005A6E4F"/>
    <w:rsid w:val="005B4DBC"/>
    <w:rsid w:val="005B6924"/>
    <w:rsid w:val="005B7007"/>
    <w:rsid w:val="005D012F"/>
    <w:rsid w:val="005D7055"/>
    <w:rsid w:val="005E19B5"/>
    <w:rsid w:val="005E51FD"/>
    <w:rsid w:val="005F0212"/>
    <w:rsid w:val="005F686C"/>
    <w:rsid w:val="0061033F"/>
    <w:rsid w:val="00611632"/>
    <w:rsid w:val="00616470"/>
    <w:rsid w:val="006168DD"/>
    <w:rsid w:val="00623C66"/>
    <w:rsid w:val="00627801"/>
    <w:rsid w:val="00631180"/>
    <w:rsid w:val="00634686"/>
    <w:rsid w:val="0064060F"/>
    <w:rsid w:val="00647B48"/>
    <w:rsid w:val="00653959"/>
    <w:rsid w:val="00654712"/>
    <w:rsid w:val="00680D4B"/>
    <w:rsid w:val="00686DFA"/>
    <w:rsid w:val="00690457"/>
    <w:rsid w:val="00692593"/>
    <w:rsid w:val="00696A02"/>
    <w:rsid w:val="006B0059"/>
    <w:rsid w:val="006B413B"/>
    <w:rsid w:val="006C7B8C"/>
    <w:rsid w:val="006D51E6"/>
    <w:rsid w:val="006E43DF"/>
    <w:rsid w:val="006E6997"/>
    <w:rsid w:val="006F4138"/>
    <w:rsid w:val="006F4631"/>
    <w:rsid w:val="006F66C5"/>
    <w:rsid w:val="0071412D"/>
    <w:rsid w:val="007320AC"/>
    <w:rsid w:val="00734C9C"/>
    <w:rsid w:val="00745D6B"/>
    <w:rsid w:val="00762E22"/>
    <w:rsid w:val="00781FD4"/>
    <w:rsid w:val="00792242"/>
    <w:rsid w:val="00794459"/>
    <w:rsid w:val="007967FD"/>
    <w:rsid w:val="007A1A50"/>
    <w:rsid w:val="007A1E3A"/>
    <w:rsid w:val="007A7A1C"/>
    <w:rsid w:val="007C1DBF"/>
    <w:rsid w:val="007D00DD"/>
    <w:rsid w:val="007D0668"/>
    <w:rsid w:val="007D2225"/>
    <w:rsid w:val="007D4C91"/>
    <w:rsid w:val="007E5C41"/>
    <w:rsid w:val="007F0906"/>
    <w:rsid w:val="007F0FD8"/>
    <w:rsid w:val="007F3F56"/>
    <w:rsid w:val="007F429E"/>
    <w:rsid w:val="008129BC"/>
    <w:rsid w:val="00814A83"/>
    <w:rsid w:val="00820D42"/>
    <w:rsid w:val="008230DF"/>
    <w:rsid w:val="00824A35"/>
    <w:rsid w:val="00836FFE"/>
    <w:rsid w:val="00846AAF"/>
    <w:rsid w:val="00855C9B"/>
    <w:rsid w:val="00872303"/>
    <w:rsid w:val="008753C2"/>
    <w:rsid w:val="008806E6"/>
    <w:rsid w:val="00881187"/>
    <w:rsid w:val="00883C42"/>
    <w:rsid w:val="0088481F"/>
    <w:rsid w:val="00897737"/>
    <w:rsid w:val="008C11A1"/>
    <w:rsid w:val="008C29A8"/>
    <w:rsid w:val="008D0EAA"/>
    <w:rsid w:val="008D2C0E"/>
    <w:rsid w:val="008E71C0"/>
    <w:rsid w:val="008F0290"/>
    <w:rsid w:val="008F0510"/>
    <w:rsid w:val="008F1923"/>
    <w:rsid w:val="00900880"/>
    <w:rsid w:val="00900CBC"/>
    <w:rsid w:val="0090108B"/>
    <w:rsid w:val="00915D83"/>
    <w:rsid w:val="009216B0"/>
    <w:rsid w:val="00930560"/>
    <w:rsid w:val="0093177E"/>
    <w:rsid w:val="009418ED"/>
    <w:rsid w:val="00946956"/>
    <w:rsid w:val="009528B5"/>
    <w:rsid w:val="00957EAA"/>
    <w:rsid w:val="009738A6"/>
    <w:rsid w:val="00983A81"/>
    <w:rsid w:val="00983CB3"/>
    <w:rsid w:val="00983F23"/>
    <w:rsid w:val="0098582E"/>
    <w:rsid w:val="009862D9"/>
    <w:rsid w:val="009A690C"/>
    <w:rsid w:val="009C0D89"/>
    <w:rsid w:val="009C28B0"/>
    <w:rsid w:val="009C30D5"/>
    <w:rsid w:val="009C3894"/>
    <w:rsid w:val="009C5D2B"/>
    <w:rsid w:val="009C6344"/>
    <w:rsid w:val="009E0D2D"/>
    <w:rsid w:val="009E4BBD"/>
    <w:rsid w:val="009E6317"/>
    <w:rsid w:val="009F2DC3"/>
    <w:rsid w:val="009F38CC"/>
    <w:rsid w:val="009F59ED"/>
    <w:rsid w:val="00A001AC"/>
    <w:rsid w:val="00A0410E"/>
    <w:rsid w:val="00A075C4"/>
    <w:rsid w:val="00A10EEC"/>
    <w:rsid w:val="00A15354"/>
    <w:rsid w:val="00A24903"/>
    <w:rsid w:val="00A275A2"/>
    <w:rsid w:val="00A3411D"/>
    <w:rsid w:val="00A472CE"/>
    <w:rsid w:val="00A566E6"/>
    <w:rsid w:val="00A64FF9"/>
    <w:rsid w:val="00A746D9"/>
    <w:rsid w:val="00A903D4"/>
    <w:rsid w:val="00A91D6F"/>
    <w:rsid w:val="00A9399C"/>
    <w:rsid w:val="00AB1C10"/>
    <w:rsid w:val="00AB3D3E"/>
    <w:rsid w:val="00AB4B95"/>
    <w:rsid w:val="00AC77DC"/>
    <w:rsid w:val="00AC7BBD"/>
    <w:rsid w:val="00AD4A44"/>
    <w:rsid w:val="00AE02FE"/>
    <w:rsid w:val="00AE2B02"/>
    <w:rsid w:val="00AE5208"/>
    <w:rsid w:val="00AE5733"/>
    <w:rsid w:val="00AF4C37"/>
    <w:rsid w:val="00B0048C"/>
    <w:rsid w:val="00B14C43"/>
    <w:rsid w:val="00B16DF9"/>
    <w:rsid w:val="00B17359"/>
    <w:rsid w:val="00B26823"/>
    <w:rsid w:val="00B415D7"/>
    <w:rsid w:val="00B41CE2"/>
    <w:rsid w:val="00B44920"/>
    <w:rsid w:val="00B456B7"/>
    <w:rsid w:val="00B546EA"/>
    <w:rsid w:val="00B54E99"/>
    <w:rsid w:val="00B57FB9"/>
    <w:rsid w:val="00B70C15"/>
    <w:rsid w:val="00B82A09"/>
    <w:rsid w:val="00B832A3"/>
    <w:rsid w:val="00B875C0"/>
    <w:rsid w:val="00B92B22"/>
    <w:rsid w:val="00B95FD0"/>
    <w:rsid w:val="00BA039E"/>
    <w:rsid w:val="00BA0C0C"/>
    <w:rsid w:val="00BA2D44"/>
    <w:rsid w:val="00BA2DBC"/>
    <w:rsid w:val="00BA69AF"/>
    <w:rsid w:val="00BA6A89"/>
    <w:rsid w:val="00BA7F69"/>
    <w:rsid w:val="00BB6D30"/>
    <w:rsid w:val="00BB7A02"/>
    <w:rsid w:val="00BE19E5"/>
    <w:rsid w:val="00BE1CA8"/>
    <w:rsid w:val="00BE2C09"/>
    <w:rsid w:val="00C03845"/>
    <w:rsid w:val="00C0685F"/>
    <w:rsid w:val="00C10558"/>
    <w:rsid w:val="00C144A4"/>
    <w:rsid w:val="00C27A6B"/>
    <w:rsid w:val="00C30678"/>
    <w:rsid w:val="00C325E9"/>
    <w:rsid w:val="00C37B35"/>
    <w:rsid w:val="00C41861"/>
    <w:rsid w:val="00C44CCC"/>
    <w:rsid w:val="00C56BCD"/>
    <w:rsid w:val="00C62C29"/>
    <w:rsid w:val="00C7617F"/>
    <w:rsid w:val="00C77D63"/>
    <w:rsid w:val="00C820E0"/>
    <w:rsid w:val="00C833FD"/>
    <w:rsid w:val="00C86E0E"/>
    <w:rsid w:val="00C907CA"/>
    <w:rsid w:val="00C949DE"/>
    <w:rsid w:val="00CA6466"/>
    <w:rsid w:val="00CA6D35"/>
    <w:rsid w:val="00CA71DB"/>
    <w:rsid w:val="00CB3C45"/>
    <w:rsid w:val="00CB74D3"/>
    <w:rsid w:val="00CC0554"/>
    <w:rsid w:val="00CD4AE8"/>
    <w:rsid w:val="00CD50B3"/>
    <w:rsid w:val="00CD7FA8"/>
    <w:rsid w:val="00CE093E"/>
    <w:rsid w:val="00CE4D74"/>
    <w:rsid w:val="00CF1956"/>
    <w:rsid w:val="00CF3015"/>
    <w:rsid w:val="00D121D1"/>
    <w:rsid w:val="00D151E8"/>
    <w:rsid w:val="00D20750"/>
    <w:rsid w:val="00D20C5F"/>
    <w:rsid w:val="00D21BBB"/>
    <w:rsid w:val="00D261D3"/>
    <w:rsid w:val="00D32FC4"/>
    <w:rsid w:val="00D336BF"/>
    <w:rsid w:val="00D41C25"/>
    <w:rsid w:val="00D454B0"/>
    <w:rsid w:val="00D45DD9"/>
    <w:rsid w:val="00D51632"/>
    <w:rsid w:val="00D60144"/>
    <w:rsid w:val="00D62FE6"/>
    <w:rsid w:val="00D675C8"/>
    <w:rsid w:val="00D71ED0"/>
    <w:rsid w:val="00D73C33"/>
    <w:rsid w:val="00D8544D"/>
    <w:rsid w:val="00D91CE7"/>
    <w:rsid w:val="00DB2C40"/>
    <w:rsid w:val="00DC1978"/>
    <w:rsid w:val="00DC61A6"/>
    <w:rsid w:val="00DD30C1"/>
    <w:rsid w:val="00DD577F"/>
    <w:rsid w:val="00DF40CB"/>
    <w:rsid w:val="00DF53AA"/>
    <w:rsid w:val="00E00A64"/>
    <w:rsid w:val="00E0264F"/>
    <w:rsid w:val="00E122A1"/>
    <w:rsid w:val="00E14BD4"/>
    <w:rsid w:val="00E15A43"/>
    <w:rsid w:val="00E245B8"/>
    <w:rsid w:val="00E31C7B"/>
    <w:rsid w:val="00E40FC2"/>
    <w:rsid w:val="00E45DDE"/>
    <w:rsid w:val="00E64803"/>
    <w:rsid w:val="00E65BD4"/>
    <w:rsid w:val="00E70C63"/>
    <w:rsid w:val="00E81337"/>
    <w:rsid w:val="00EA3A7D"/>
    <w:rsid w:val="00EB321F"/>
    <w:rsid w:val="00EB623D"/>
    <w:rsid w:val="00EC7D9E"/>
    <w:rsid w:val="00ED1859"/>
    <w:rsid w:val="00ED1BB2"/>
    <w:rsid w:val="00ED3979"/>
    <w:rsid w:val="00EE2277"/>
    <w:rsid w:val="00F02211"/>
    <w:rsid w:val="00F0732D"/>
    <w:rsid w:val="00F21EDB"/>
    <w:rsid w:val="00F2375A"/>
    <w:rsid w:val="00F37393"/>
    <w:rsid w:val="00F37A52"/>
    <w:rsid w:val="00F417F9"/>
    <w:rsid w:val="00F427A4"/>
    <w:rsid w:val="00F45FFD"/>
    <w:rsid w:val="00F46962"/>
    <w:rsid w:val="00F50269"/>
    <w:rsid w:val="00F55D17"/>
    <w:rsid w:val="00F646EC"/>
    <w:rsid w:val="00F64DC7"/>
    <w:rsid w:val="00F67F58"/>
    <w:rsid w:val="00F76C81"/>
    <w:rsid w:val="00F82686"/>
    <w:rsid w:val="00F940C5"/>
    <w:rsid w:val="00F94442"/>
    <w:rsid w:val="00FA0332"/>
    <w:rsid w:val="00FA18CE"/>
    <w:rsid w:val="00FA1C60"/>
    <w:rsid w:val="00FA78B3"/>
    <w:rsid w:val="00FB3711"/>
    <w:rsid w:val="00FC167D"/>
    <w:rsid w:val="00FE1379"/>
    <w:rsid w:val="00FE13BC"/>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paragraph" w:styleId="BalloonText">
    <w:name w:val="Balloon Text"/>
    <w:basedOn w:val="Normal"/>
    <w:link w:val="BalloonTextChar"/>
    <w:semiHidden/>
    <w:unhideWhenUsed/>
    <w:rsid w:val="00F427A4"/>
    <w:rPr>
      <w:rFonts w:ascii="Tahoma" w:hAnsi="Tahoma" w:cs="Tahoma"/>
      <w:sz w:val="16"/>
      <w:szCs w:val="16"/>
    </w:rPr>
  </w:style>
  <w:style w:type="character" w:customStyle="1" w:styleId="BalloonTextChar">
    <w:name w:val="Balloon Text Char"/>
    <w:basedOn w:val="DefaultParagraphFont"/>
    <w:link w:val="BalloonText"/>
    <w:semiHidden/>
    <w:rsid w:val="00F427A4"/>
    <w:rPr>
      <w:rFonts w:ascii="Tahoma" w:hAnsi="Tahoma" w:cs="Tahoma"/>
      <w:snapToGrid w:val="0"/>
      <w:sz w:val="16"/>
      <w:szCs w:val="16"/>
    </w:rPr>
  </w:style>
  <w:style w:type="character" w:styleId="CommentReference">
    <w:name w:val="annotation reference"/>
    <w:basedOn w:val="DefaultParagraphFont"/>
    <w:semiHidden/>
    <w:unhideWhenUsed/>
    <w:rsid w:val="002428D9"/>
    <w:rPr>
      <w:sz w:val="16"/>
      <w:szCs w:val="16"/>
    </w:rPr>
  </w:style>
  <w:style w:type="paragraph" w:styleId="CommentText">
    <w:name w:val="annotation text"/>
    <w:basedOn w:val="Normal"/>
    <w:link w:val="CommentTextChar"/>
    <w:unhideWhenUsed/>
    <w:rsid w:val="002428D9"/>
    <w:rPr>
      <w:sz w:val="20"/>
    </w:rPr>
  </w:style>
  <w:style w:type="character" w:customStyle="1" w:styleId="CommentTextChar">
    <w:name w:val="Comment Text Char"/>
    <w:basedOn w:val="DefaultParagraphFont"/>
    <w:link w:val="CommentText"/>
    <w:rsid w:val="002428D9"/>
    <w:rPr>
      <w:snapToGrid w:val="0"/>
    </w:rPr>
  </w:style>
  <w:style w:type="paragraph" w:styleId="CommentSubject">
    <w:name w:val="annotation subject"/>
    <w:basedOn w:val="CommentText"/>
    <w:next w:val="CommentText"/>
    <w:link w:val="CommentSubjectChar"/>
    <w:semiHidden/>
    <w:unhideWhenUsed/>
    <w:rsid w:val="002428D9"/>
    <w:rPr>
      <w:b/>
      <w:bCs/>
    </w:rPr>
  </w:style>
  <w:style w:type="character" w:customStyle="1" w:styleId="CommentSubjectChar">
    <w:name w:val="Comment Subject Char"/>
    <w:basedOn w:val="CommentTextChar"/>
    <w:link w:val="CommentSubject"/>
    <w:semiHidden/>
    <w:rsid w:val="002428D9"/>
    <w:rPr>
      <w:b/>
      <w:bCs/>
      <w:snapToGrid w:val="0"/>
    </w:rPr>
  </w:style>
  <w:style w:type="paragraph" w:styleId="ListParagraph">
    <w:name w:val="List Paragraph"/>
    <w:basedOn w:val="Normal"/>
    <w:uiPriority w:val="34"/>
    <w:qFormat/>
    <w:rsid w:val="00814A83"/>
    <w:pPr>
      <w:ind w:left="720"/>
      <w:contextualSpacing/>
    </w:pPr>
  </w:style>
  <w:style w:type="paragraph" w:styleId="Revision">
    <w:name w:val="Revision"/>
    <w:hidden/>
    <w:uiPriority w:val="99"/>
    <w:semiHidden/>
    <w:rsid w:val="00045B0B"/>
    <w:rPr>
      <w:snapToGrid w:val="0"/>
      <w:sz w:val="24"/>
    </w:rPr>
  </w:style>
  <w:style w:type="table" w:styleId="TableGrid">
    <w:name w:val="Table Grid"/>
    <w:basedOn w:val="TableNormal"/>
    <w:uiPriority w:val="59"/>
    <w:rsid w:val="0056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69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41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1C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 w:type="paragraph" w:styleId="BalloonText">
    <w:name w:val="Balloon Text"/>
    <w:basedOn w:val="Normal"/>
    <w:link w:val="BalloonTextChar"/>
    <w:semiHidden/>
    <w:unhideWhenUsed/>
    <w:rsid w:val="00F427A4"/>
    <w:rPr>
      <w:rFonts w:ascii="Tahoma" w:hAnsi="Tahoma" w:cs="Tahoma"/>
      <w:sz w:val="16"/>
      <w:szCs w:val="16"/>
    </w:rPr>
  </w:style>
  <w:style w:type="character" w:customStyle="1" w:styleId="BalloonTextChar">
    <w:name w:val="Balloon Text Char"/>
    <w:basedOn w:val="DefaultParagraphFont"/>
    <w:link w:val="BalloonText"/>
    <w:semiHidden/>
    <w:rsid w:val="00F427A4"/>
    <w:rPr>
      <w:rFonts w:ascii="Tahoma" w:hAnsi="Tahoma" w:cs="Tahoma"/>
      <w:snapToGrid w:val="0"/>
      <w:sz w:val="16"/>
      <w:szCs w:val="16"/>
    </w:rPr>
  </w:style>
  <w:style w:type="character" w:styleId="CommentReference">
    <w:name w:val="annotation reference"/>
    <w:basedOn w:val="DefaultParagraphFont"/>
    <w:semiHidden/>
    <w:unhideWhenUsed/>
    <w:rsid w:val="002428D9"/>
    <w:rPr>
      <w:sz w:val="16"/>
      <w:szCs w:val="16"/>
    </w:rPr>
  </w:style>
  <w:style w:type="paragraph" w:styleId="CommentText">
    <w:name w:val="annotation text"/>
    <w:basedOn w:val="Normal"/>
    <w:link w:val="CommentTextChar"/>
    <w:unhideWhenUsed/>
    <w:rsid w:val="002428D9"/>
    <w:rPr>
      <w:sz w:val="20"/>
    </w:rPr>
  </w:style>
  <w:style w:type="character" w:customStyle="1" w:styleId="CommentTextChar">
    <w:name w:val="Comment Text Char"/>
    <w:basedOn w:val="DefaultParagraphFont"/>
    <w:link w:val="CommentText"/>
    <w:rsid w:val="002428D9"/>
    <w:rPr>
      <w:snapToGrid w:val="0"/>
    </w:rPr>
  </w:style>
  <w:style w:type="paragraph" w:styleId="CommentSubject">
    <w:name w:val="annotation subject"/>
    <w:basedOn w:val="CommentText"/>
    <w:next w:val="CommentText"/>
    <w:link w:val="CommentSubjectChar"/>
    <w:semiHidden/>
    <w:unhideWhenUsed/>
    <w:rsid w:val="002428D9"/>
    <w:rPr>
      <w:b/>
      <w:bCs/>
    </w:rPr>
  </w:style>
  <w:style w:type="character" w:customStyle="1" w:styleId="CommentSubjectChar">
    <w:name w:val="Comment Subject Char"/>
    <w:basedOn w:val="CommentTextChar"/>
    <w:link w:val="CommentSubject"/>
    <w:semiHidden/>
    <w:rsid w:val="002428D9"/>
    <w:rPr>
      <w:b/>
      <w:bCs/>
      <w:snapToGrid w:val="0"/>
    </w:rPr>
  </w:style>
  <w:style w:type="paragraph" w:styleId="ListParagraph">
    <w:name w:val="List Paragraph"/>
    <w:basedOn w:val="Normal"/>
    <w:uiPriority w:val="34"/>
    <w:qFormat/>
    <w:rsid w:val="00814A83"/>
    <w:pPr>
      <w:ind w:left="720"/>
      <w:contextualSpacing/>
    </w:pPr>
  </w:style>
  <w:style w:type="paragraph" w:styleId="Revision">
    <w:name w:val="Revision"/>
    <w:hidden/>
    <w:uiPriority w:val="99"/>
    <w:semiHidden/>
    <w:rsid w:val="00045B0B"/>
    <w:rPr>
      <w:snapToGrid w:val="0"/>
      <w:sz w:val="24"/>
    </w:rPr>
  </w:style>
  <w:style w:type="table" w:styleId="TableGrid">
    <w:name w:val="Table Grid"/>
    <w:basedOn w:val="TableNormal"/>
    <w:uiPriority w:val="59"/>
    <w:rsid w:val="0056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99"/>
    <w:rsid w:val="0069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41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1C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ACYF-0017</ACF_x0020_Tracking_x0020_No_x002e_>
    <Description0 xmlns="e059a2d5-a4f8-4fd8-b836-4c9cf26100e7">AFCARS Renwal Supporting statement</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7C23-9190-41B2-A464-957CA199645B}">
  <ds:schemaRefs>
    <ds:schemaRef ds:uri="http://schemas.microsoft.com/sharepoint/v3/contenttype/forms"/>
  </ds:schemaRefs>
</ds:datastoreItem>
</file>

<file path=customXml/itemProps2.xml><?xml version="1.0" encoding="utf-8"?>
<ds:datastoreItem xmlns:ds="http://schemas.openxmlformats.org/officeDocument/2006/customXml" ds:itemID="{DBA56ABD-9B96-4083-9B53-BBD7F2E6F376}">
  <ds:schemaRefs>
    <ds:schemaRef ds:uri="http://purl.org/dc/dcmitype/"/>
    <ds:schemaRef ds:uri="http://schemas.microsoft.com/office/infopath/2007/PartnerControls"/>
    <ds:schemaRef ds:uri="e059a2d5-a4f8-4fd8-b836-4c9cf26100e7"/>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0B59B3C-4776-4711-9C1F-E972609C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331C3-9DD5-4980-B6BD-AFF9260F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1752</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Children's Bureau</dc:creator>
  <cp:lastModifiedBy>Children's Bureau</cp:lastModifiedBy>
  <cp:revision>7</cp:revision>
  <cp:lastPrinted>2008-01-08T20:25:00Z</cp:lastPrinted>
  <dcterms:created xsi:type="dcterms:W3CDTF">2016-12-14T15:00:00Z</dcterms:created>
  <dcterms:modified xsi:type="dcterms:W3CDTF">2016-12-14T17:29:00Z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