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9F30B" w14:textId="7DA75613"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378F3">
        <w:rPr>
          <w:sz w:val="28"/>
        </w:rPr>
        <w:t>0920</w:t>
      </w:r>
      <w:r>
        <w:rPr>
          <w:sz w:val="28"/>
        </w:rPr>
        <w:t>-</w:t>
      </w:r>
      <w:r w:rsidR="002C10B8">
        <w:rPr>
          <w:sz w:val="28"/>
        </w:rPr>
        <w:t>10</w:t>
      </w:r>
      <w:r w:rsidR="004736C4">
        <w:rPr>
          <w:sz w:val="28"/>
        </w:rPr>
        <w:t>09</w:t>
      </w:r>
      <w:r>
        <w:rPr>
          <w:sz w:val="28"/>
        </w:rPr>
        <w:t>)</w:t>
      </w:r>
    </w:p>
    <w:p w14:paraId="7CFDCDCD" w14:textId="77777777" w:rsidR="001A551F" w:rsidRDefault="00E2594A" w:rsidP="001A551F">
      <w:r>
        <w:rPr>
          <w:noProof/>
        </w:rPr>
        <mc:AlternateContent>
          <mc:Choice Requires="wps">
            <w:drawing>
              <wp:anchor distT="0" distB="0" distL="114300" distR="114300" simplePos="0" relativeHeight="251658240" behindDoc="0" locked="0" layoutInCell="0" allowOverlap="1" wp14:anchorId="56BF7A8C" wp14:editId="0ACD30B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3E948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1A551F">
        <w:t xml:space="preserve"> </w:t>
      </w:r>
    </w:p>
    <w:p w14:paraId="2FCD2563" w14:textId="627E9D8A" w:rsidR="001A551F" w:rsidRPr="009239AA" w:rsidRDefault="0040725F" w:rsidP="001A551F">
      <w:pPr>
        <w:rPr>
          <w:b/>
        </w:rPr>
      </w:pPr>
      <w:r>
        <w:t>Recipient Meeting Participant’s Feedback</w:t>
      </w:r>
      <w:r w:rsidR="002C10B8">
        <w:t xml:space="preserve"> - </w:t>
      </w:r>
      <w:r w:rsidR="002C10B8" w:rsidRPr="009D5E2A">
        <w:t>Division of Violence</w:t>
      </w:r>
      <w:r w:rsidR="002C10B8">
        <w:t xml:space="preserve"> Prevention</w:t>
      </w:r>
    </w:p>
    <w:p w14:paraId="6C2020CD" w14:textId="77777777" w:rsidR="00B46F2C" w:rsidRDefault="00B46F2C"/>
    <w:p w14:paraId="27975082" w14:textId="77777777" w:rsidR="00B46F2C" w:rsidRDefault="00B46F2C" w:rsidP="00840FCA">
      <w:pPr>
        <w:rPr>
          <w:b/>
        </w:rPr>
      </w:pPr>
      <w:r>
        <w:rPr>
          <w:b/>
        </w:rPr>
        <w:t>PURPOSE</w:t>
      </w:r>
      <w:r w:rsidRPr="009239AA">
        <w:rPr>
          <w:b/>
        </w:rPr>
        <w:t>:</w:t>
      </w:r>
    </w:p>
    <w:p w14:paraId="72F864C3" w14:textId="353B2D69" w:rsidR="001A551F" w:rsidRDefault="001A551F" w:rsidP="001A551F">
      <w:r w:rsidRPr="00E11938">
        <w:t xml:space="preserve">The Division of Violence Prevention funds various state and local </w:t>
      </w:r>
      <w:r w:rsidR="009C5AFE">
        <w:t>recipients</w:t>
      </w:r>
      <w:r w:rsidR="009C5AFE" w:rsidRPr="00E11938">
        <w:t xml:space="preserve"> </w:t>
      </w:r>
      <w:r w:rsidRPr="00E11938">
        <w:t>to implement and evaluate violence prevention programs. As part of various cooperative agreements, CDC provides sponsored activities</w:t>
      </w:r>
      <w:r>
        <w:t xml:space="preserve"> </w:t>
      </w:r>
      <w:r w:rsidRPr="00E11938">
        <w:t xml:space="preserve">to support </w:t>
      </w:r>
      <w:r w:rsidR="009C5AFE">
        <w:t>recipients</w:t>
      </w:r>
      <w:r w:rsidR="009C5AFE" w:rsidRPr="00E11938">
        <w:t xml:space="preserve"> </w:t>
      </w:r>
      <w:r w:rsidRPr="00E11938">
        <w:t>with implementation and/or ev</w:t>
      </w:r>
      <w:r>
        <w:t xml:space="preserve">aluation of their initiatives. </w:t>
      </w:r>
      <w:r w:rsidRPr="00E11938">
        <w:t xml:space="preserve">The Prevention Practice &amp; Translation Branch provides </w:t>
      </w:r>
      <w:r>
        <w:t xml:space="preserve">these sponsored activities in the form of </w:t>
      </w:r>
      <w:r w:rsidRPr="00E11938">
        <w:t xml:space="preserve">technical assistance, training, resources, and supports to the funded awardees and practitioners in the field. </w:t>
      </w:r>
    </w:p>
    <w:p w14:paraId="37F1173D" w14:textId="1FDE9DF4" w:rsidR="0040725F" w:rsidRDefault="0040725F" w:rsidP="001A551F"/>
    <w:p w14:paraId="183121FC" w14:textId="632BCF37" w:rsidR="0040725F" w:rsidRDefault="0040725F" w:rsidP="001A551F">
      <w:pPr>
        <w:rPr>
          <w:b/>
        </w:rPr>
      </w:pPr>
      <w:r>
        <w:t>The purpose of this request is to gather timely feedback from individuals who attended the CE16-1605 Preventing Teen Dating and Youth Violence by Addressing Shared Risk and Protective Factors 2019 Recipient Meeting</w:t>
      </w:r>
      <w:r w:rsidR="00212DD0">
        <w:t xml:space="preserve"> (</w:t>
      </w:r>
      <w:r w:rsidR="00E45F97">
        <w:t>August 6-8,</w:t>
      </w:r>
      <w:r w:rsidR="00162EF1">
        <w:t xml:space="preserve"> </w:t>
      </w:r>
      <w:r w:rsidR="00E45F97">
        <w:t>2019</w:t>
      </w:r>
      <w:r w:rsidR="00212DD0">
        <w:t>)</w:t>
      </w:r>
      <w:r>
        <w:t>. The Recipient Meeting provide</w:t>
      </w:r>
      <w:r w:rsidR="00212DD0">
        <w:t>d</w:t>
      </w:r>
      <w:r>
        <w:t xml:space="preserve"> the local health department recipients and their partners with opportunities to receive technical assistance on the implementation, evaluation, and sustainability of comprehensive violence prevention strategies. Feedback gathered, including satisfaction with delivery and content, will help project officers and evaluation officers working with the recipients to better understand the capacity and supports needed by the recipients. The information collected will also provide a feedback mechanism to identify areas of improvement for future recipient meetings </w:t>
      </w:r>
      <w:r w:rsidR="00212DD0">
        <w:t xml:space="preserve">and technical assistance </w:t>
      </w:r>
      <w:r w:rsidR="00E45F97">
        <w:t>efforts and</w:t>
      </w:r>
      <w:r>
        <w:t xml:space="preserve"> allow for ongoing communication and collaboration with funded </w:t>
      </w:r>
      <w:r w:rsidR="009C5AFE">
        <w:t>recipients</w:t>
      </w:r>
      <w:r>
        <w:t xml:space="preserve">. Participant feedback is vital to ensure </w:t>
      </w:r>
      <w:r w:rsidR="00B67B1D">
        <w:t>learning opportunities</w:t>
      </w:r>
      <w:r>
        <w:t xml:space="preserve"> are beneficial for participants, and without such data collection this information would be unknown. </w:t>
      </w:r>
    </w:p>
    <w:p w14:paraId="2FD3FBDD" w14:textId="77777777" w:rsidR="00B46F2C" w:rsidRDefault="00B46F2C" w:rsidP="00434E33">
      <w:pPr>
        <w:pStyle w:val="Header"/>
        <w:tabs>
          <w:tab w:val="clear" w:pos="4320"/>
          <w:tab w:val="clear" w:pos="8640"/>
        </w:tabs>
        <w:rPr>
          <w:b/>
        </w:rPr>
      </w:pPr>
    </w:p>
    <w:p w14:paraId="72721EE1" w14:textId="77777777" w:rsidR="00840FCA" w:rsidRDefault="00B46F2C" w:rsidP="00840FCA">
      <w:pPr>
        <w:pStyle w:val="Header"/>
        <w:tabs>
          <w:tab w:val="clear" w:pos="4320"/>
          <w:tab w:val="clear" w:pos="8640"/>
        </w:tabs>
      </w:pPr>
      <w:r w:rsidRPr="00434E33">
        <w:rPr>
          <w:b/>
        </w:rPr>
        <w:t>DESCRIPTION OF RESPONDENTS</w:t>
      </w:r>
      <w:r>
        <w:t>:</w:t>
      </w:r>
    </w:p>
    <w:p w14:paraId="2BCB9ED1" w14:textId="2ED63D28" w:rsidR="00595A4A" w:rsidRPr="001A551F" w:rsidRDefault="00595A4A" w:rsidP="00840FCA">
      <w:pPr>
        <w:pStyle w:val="Header"/>
        <w:tabs>
          <w:tab w:val="clear" w:pos="4320"/>
          <w:tab w:val="clear" w:pos="8640"/>
        </w:tabs>
      </w:pPr>
      <w:r>
        <w:t>Potential respondents are individuals who attend the CE16-1605 Preventing Teen Dating and Youth Violence by Addressing Shared Risk and Protective Factors 2019 Recipient Meeting. Participants include</w:t>
      </w:r>
      <w:r w:rsidR="00212DD0">
        <w:t>d</w:t>
      </w:r>
      <w:r>
        <w:t xml:space="preserve"> local health department staff, public health practitioners,</w:t>
      </w:r>
      <w:r w:rsidR="00E45F97">
        <w:t xml:space="preserve"> program staff,</w:t>
      </w:r>
      <w:r>
        <w:t xml:space="preserve"> and researchers responsible for implementing and evaluating violence prevention programs and strategies.</w:t>
      </w:r>
    </w:p>
    <w:p w14:paraId="68AFA136" w14:textId="77777777" w:rsidR="00B46F2C" w:rsidRDefault="00B46F2C">
      <w:pPr>
        <w:rPr>
          <w:b/>
        </w:rPr>
      </w:pPr>
    </w:p>
    <w:p w14:paraId="34C87713" w14:textId="77777777" w:rsidR="00B46F2C" w:rsidRPr="00F06866" w:rsidRDefault="00B46F2C">
      <w:pPr>
        <w:rPr>
          <w:b/>
        </w:rPr>
      </w:pPr>
      <w:r>
        <w:rPr>
          <w:b/>
        </w:rPr>
        <w:t>TYPE OF COLLECTION:</w:t>
      </w:r>
      <w:r w:rsidRPr="00F06866">
        <w:t xml:space="preserve"> (Check one)</w:t>
      </w:r>
    </w:p>
    <w:p w14:paraId="098CE14F" w14:textId="77777777" w:rsidR="00B46F2C" w:rsidRPr="00434E33" w:rsidRDefault="00B46F2C" w:rsidP="0096108F">
      <w:pPr>
        <w:pStyle w:val="BodyTextIndent"/>
        <w:tabs>
          <w:tab w:val="left" w:pos="360"/>
        </w:tabs>
        <w:ind w:left="0"/>
        <w:rPr>
          <w:bCs/>
          <w:sz w:val="16"/>
          <w:szCs w:val="16"/>
        </w:rPr>
      </w:pPr>
    </w:p>
    <w:p w14:paraId="7CAC3929"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551F">
        <w:rPr>
          <w:bCs/>
          <w:sz w:val="24"/>
        </w:rPr>
        <w:t>X</w:t>
      </w:r>
      <w:r w:rsidRPr="00F06866">
        <w:rPr>
          <w:bCs/>
          <w:sz w:val="24"/>
        </w:rPr>
        <w:t xml:space="preserve">] Customer Satisfaction Survey  </w:t>
      </w:r>
    </w:p>
    <w:p w14:paraId="7619D333"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7C84EBA"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3A811182" w14:textId="77777777" w:rsidR="001D0776" w:rsidRDefault="001D0776">
      <w:pPr>
        <w:rPr>
          <w:b/>
        </w:rPr>
      </w:pPr>
    </w:p>
    <w:p w14:paraId="04897D33" w14:textId="77777777" w:rsidR="00B46F2C" w:rsidRDefault="00B46F2C">
      <w:pPr>
        <w:rPr>
          <w:b/>
        </w:rPr>
      </w:pPr>
      <w:r>
        <w:rPr>
          <w:b/>
        </w:rPr>
        <w:t>CERTIFICATION:</w:t>
      </w:r>
    </w:p>
    <w:p w14:paraId="2994C041" w14:textId="77777777" w:rsidR="00B46F2C" w:rsidRDefault="00B46F2C">
      <w:pPr>
        <w:rPr>
          <w:sz w:val="16"/>
          <w:szCs w:val="16"/>
        </w:rPr>
      </w:pPr>
    </w:p>
    <w:p w14:paraId="4AA05654" w14:textId="77777777" w:rsidR="00B46F2C" w:rsidRPr="009C13B9" w:rsidRDefault="00B46F2C" w:rsidP="008101A5">
      <w:r>
        <w:t xml:space="preserve">I certify the following to be true: </w:t>
      </w:r>
    </w:p>
    <w:p w14:paraId="041CB0C2" w14:textId="77777777" w:rsidR="00B46F2C" w:rsidRDefault="00B46F2C" w:rsidP="008101A5">
      <w:pPr>
        <w:pStyle w:val="ListParagraph"/>
        <w:numPr>
          <w:ilvl w:val="0"/>
          <w:numId w:val="14"/>
        </w:numPr>
      </w:pPr>
      <w:r>
        <w:t>The collection is voluntary.</w:t>
      </w:r>
      <w:r w:rsidRPr="00C14CC4">
        <w:t xml:space="preserve"> </w:t>
      </w:r>
    </w:p>
    <w:p w14:paraId="5BB5A697"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2C4DDD3"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57EC1D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AE02FC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69041" w14:textId="77777777"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5C290413" w14:textId="77777777" w:rsidR="00B46F2C" w:rsidRDefault="00B46F2C" w:rsidP="009C13B9"/>
    <w:p w14:paraId="2C8E2D69" w14:textId="58DE7399" w:rsidR="00B46F2C" w:rsidRDefault="00DF6F4D" w:rsidP="009C13B9">
      <w:r>
        <w:t xml:space="preserve">Name: </w:t>
      </w:r>
      <w:r w:rsidR="002C10B8">
        <w:t>Karen Angel</w:t>
      </w:r>
    </w:p>
    <w:p w14:paraId="6570ED2F" w14:textId="77777777" w:rsidR="00B46F2C" w:rsidRDefault="00B46F2C" w:rsidP="009C13B9">
      <w:pPr>
        <w:pStyle w:val="ListParagraph"/>
        <w:ind w:left="360"/>
      </w:pPr>
    </w:p>
    <w:p w14:paraId="38480E53" w14:textId="77777777" w:rsidR="00B46F2C" w:rsidRDefault="00B46F2C" w:rsidP="009C13B9">
      <w:r>
        <w:t>To assist review, please provide answers to the following question:</w:t>
      </w:r>
    </w:p>
    <w:p w14:paraId="3F5A4F5C" w14:textId="77777777" w:rsidR="00B46F2C" w:rsidRDefault="00B46F2C" w:rsidP="009C13B9">
      <w:pPr>
        <w:pStyle w:val="ListParagraph"/>
        <w:ind w:left="360"/>
      </w:pPr>
    </w:p>
    <w:p w14:paraId="06A341A9" w14:textId="77777777" w:rsidR="00B46F2C" w:rsidRPr="00C86E91" w:rsidRDefault="00B46F2C" w:rsidP="00C86E91">
      <w:pPr>
        <w:rPr>
          <w:b/>
        </w:rPr>
      </w:pPr>
      <w:r w:rsidRPr="00C86E91">
        <w:rPr>
          <w:b/>
        </w:rPr>
        <w:t>Personally Identifiable Information:</w:t>
      </w:r>
    </w:p>
    <w:p w14:paraId="401A9D94" w14:textId="77777777" w:rsidR="00B46F2C" w:rsidRDefault="00B46F2C" w:rsidP="00C86E91">
      <w:pPr>
        <w:pStyle w:val="ListParagraph"/>
        <w:numPr>
          <w:ilvl w:val="0"/>
          <w:numId w:val="18"/>
        </w:numPr>
      </w:pPr>
      <w:r>
        <w:t>Is personally identifiable information (PII) collected?  [  ] Yes  [</w:t>
      </w:r>
      <w:r w:rsidR="001A551F">
        <w:t>X</w:t>
      </w:r>
      <w:r>
        <w:t xml:space="preserve"> ]  No </w:t>
      </w:r>
    </w:p>
    <w:p w14:paraId="581BFE8C" w14:textId="77777777" w:rsidR="00B46F2C" w:rsidRDefault="00B46F2C" w:rsidP="00C86E91">
      <w:pPr>
        <w:pStyle w:val="ListParagraph"/>
        <w:numPr>
          <w:ilvl w:val="0"/>
          <w:numId w:val="18"/>
        </w:numPr>
      </w:pPr>
      <w:r>
        <w:t>If Yes, is the information that will be collected included in records that are subject to the Privacy Act of 1974?   [  ] Yes [</w:t>
      </w:r>
      <w:r w:rsidR="001A551F">
        <w:t>X</w:t>
      </w:r>
      <w:r>
        <w:t xml:space="preserve">  ] No  </w:t>
      </w:r>
    </w:p>
    <w:p w14:paraId="45011B26" w14:textId="646346DC" w:rsidR="00B46F2C" w:rsidRDefault="00B46F2C" w:rsidP="00C86E91">
      <w:pPr>
        <w:pStyle w:val="ListParagraph"/>
        <w:numPr>
          <w:ilvl w:val="0"/>
          <w:numId w:val="18"/>
        </w:numPr>
      </w:pPr>
      <w:r>
        <w:t>If Applicable, has a System or Records Notice been published?  [  ] Yes  [</w:t>
      </w:r>
      <w:r w:rsidR="001A551F">
        <w:t>X</w:t>
      </w:r>
      <w:r>
        <w:t xml:space="preserve">  ] No</w:t>
      </w:r>
    </w:p>
    <w:p w14:paraId="4FA24980" w14:textId="77777777" w:rsidR="004736C4" w:rsidRDefault="004736C4" w:rsidP="00C11413"/>
    <w:p w14:paraId="2F1FE86E" w14:textId="2E1F1356" w:rsidR="004736C4" w:rsidRPr="00747012" w:rsidRDefault="004736C4" w:rsidP="00C11413">
      <w:pPr>
        <w:pStyle w:val="ListParagraph"/>
        <w:ind w:left="360"/>
      </w:pPr>
      <w:r>
        <w:t xml:space="preserve">Privacy Act does not apply for this information collection </w:t>
      </w:r>
      <w:r w:rsidR="00D822C5">
        <w:t>request. (</w:t>
      </w:r>
      <w:r w:rsidR="00476609">
        <w:t>Att 3)</w:t>
      </w:r>
      <w:r w:rsidR="00DD3B86">
        <w:t>.</w:t>
      </w:r>
      <w:r>
        <w:t xml:space="preserve"> Personal Private Information is not collected. All procedures have been developed, in accordance with federal, state and local guidelines, to ensure that the rights and privacy of respondents will be protected and maintained.</w:t>
      </w:r>
    </w:p>
    <w:p w14:paraId="76248FDC" w14:textId="77777777" w:rsidR="004736C4" w:rsidRDefault="004736C4" w:rsidP="00C11413">
      <w:pPr>
        <w:pStyle w:val="ListParagraph"/>
        <w:ind w:left="360"/>
      </w:pPr>
    </w:p>
    <w:p w14:paraId="5DEED9A1" w14:textId="77777777" w:rsidR="004736C4" w:rsidRDefault="004736C4" w:rsidP="00C11413">
      <w:pPr>
        <w:pStyle w:val="ListParagraph"/>
        <w:ind w:left="360"/>
      </w:pPr>
    </w:p>
    <w:p w14:paraId="567B55EC" w14:textId="77777777" w:rsidR="00B46F2C" w:rsidRPr="00C86E91" w:rsidRDefault="00B46F2C" w:rsidP="00C86E91">
      <w:pPr>
        <w:pStyle w:val="ListParagraph"/>
        <w:ind w:left="0"/>
        <w:rPr>
          <w:b/>
        </w:rPr>
      </w:pPr>
      <w:r>
        <w:rPr>
          <w:b/>
        </w:rPr>
        <w:t>Gifts or Payments:</w:t>
      </w:r>
    </w:p>
    <w:p w14:paraId="431EE66F" w14:textId="77777777" w:rsidR="001D0776" w:rsidRDefault="00B46F2C" w:rsidP="00C86E91">
      <w:r>
        <w:t>Is an incentive (e.g., money or reimbursement of expenses, token of appreciation) provided to participants?  [  ] Yes [</w:t>
      </w:r>
      <w:r w:rsidR="001A551F">
        <w:t>X</w:t>
      </w:r>
      <w:r>
        <w:t xml:space="preserve"> ] No</w:t>
      </w:r>
    </w:p>
    <w:p w14:paraId="71110CA3" w14:textId="77777777" w:rsidR="002C10B8" w:rsidRDefault="002C10B8" w:rsidP="00C86E91">
      <w:pPr>
        <w:rPr>
          <w:b/>
        </w:rPr>
      </w:pPr>
    </w:p>
    <w:p w14:paraId="05617A51" w14:textId="137B0239" w:rsidR="00B46F2C" w:rsidRDefault="00B46F2C" w:rsidP="00C86E91">
      <w:pPr>
        <w:rPr>
          <w:i/>
        </w:rPr>
      </w:pPr>
      <w:r>
        <w:rPr>
          <w:b/>
        </w:rPr>
        <w:t>BURDEN HOURS</w:t>
      </w:r>
      <w:r>
        <w:t xml:space="preserve"> </w:t>
      </w:r>
    </w:p>
    <w:p w14:paraId="079E2C0D" w14:textId="77777777" w:rsidR="00B46F2C" w:rsidRDefault="00B46F2C" w:rsidP="00F3170F">
      <w:pPr>
        <w:keepNext/>
        <w:keepLines/>
        <w:rPr>
          <w:b/>
        </w:rPr>
      </w:pPr>
    </w:p>
    <w:p w14:paraId="628A3FA3" w14:textId="4E6D6B2B" w:rsidR="00595A4A" w:rsidRDefault="00595A4A" w:rsidP="001A551F">
      <w:r>
        <w:t xml:space="preserve">The target respondents will </w:t>
      </w:r>
      <w:r w:rsidR="00C11413">
        <w:t>all be</w:t>
      </w:r>
      <w:r>
        <w:t xml:space="preserve"> participants at the 2019 Recipient Meeting. 42 individuals registered to attend the meeting. The web-based 2019 Recipient Meeting Feedback </w:t>
      </w:r>
      <w:r w:rsidR="00C11413">
        <w:t xml:space="preserve">Survey </w:t>
      </w:r>
      <w:r w:rsidR="007275D5">
        <w:t>(</w:t>
      </w:r>
      <w:r>
        <w:t>Attachment 1</w:t>
      </w:r>
      <w:r w:rsidR="009414A4">
        <w:t>a&amp;b</w:t>
      </w:r>
      <w:r>
        <w:t>) will be emailed (Attachment 2</w:t>
      </w:r>
      <w:r w:rsidR="00AB4913">
        <w:t>a</w:t>
      </w:r>
      <w:r>
        <w:t xml:space="preserve">) to participants </w:t>
      </w:r>
      <w:r w:rsidR="00212DD0">
        <w:t xml:space="preserve">upon OMB approval. The feedback form will open for </w:t>
      </w:r>
      <w:r w:rsidR="00E45F97">
        <w:t>three</w:t>
      </w:r>
      <w:r w:rsidR="00212DD0">
        <w:t xml:space="preserve"> weeks, and </w:t>
      </w:r>
      <w:r>
        <w:t xml:space="preserve">a reminder (Attachment </w:t>
      </w:r>
      <w:r w:rsidR="00AB4913">
        <w:t>2b</w:t>
      </w:r>
      <w:r>
        <w:t>)</w:t>
      </w:r>
      <w:r w:rsidR="00212DD0">
        <w:t xml:space="preserve"> will be sent </w:t>
      </w:r>
      <w:r w:rsidR="00E45F97">
        <w:t>two days</w:t>
      </w:r>
      <w:r w:rsidR="00212DD0">
        <w:t xml:space="preserve"> before the closing date</w:t>
      </w:r>
      <w:r>
        <w:t>. Participation in the data collection will be voluntary.</w:t>
      </w:r>
    </w:p>
    <w:p w14:paraId="380E31B5" w14:textId="6E7F752F" w:rsidR="00595A4A" w:rsidRDefault="00595A4A" w:rsidP="001A551F"/>
    <w:p w14:paraId="2ABF7400" w14:textId="67B02D4E" w:rsidR="00595A4A" w:rsidRDefault="00595A4A" w:rsidP="001A551F">
      <w:r>
        <w:t xml:space="preserve">The 2019 Recipient Meeting Feedback Form consists of </w:t>
      </w:r>
      <w:r w:rsidR="00162EF1">
        <w:t xml:space="preserve">5 </w:t>
      </w:r>
      <w:r>
        <w:t>parts and has 2</w:t>
      </w:r>
      <w:r w:rsidR="00162EF1">
        <w:t>8</w:t>
      </w:r>
      <w:r>
        <w:t xml:space="preserve"> questions</w:t>
      </w:r>
      <w:r w:rsidR="00162EF1">
        <w:t>.</w:t>
      </w:r>
      <w:r>
        <w:t xml:space="preserve"> Questions ask about the participants’ satisfaction with the meeting content and delivery; no personally identifiable information will be collected. Based on a pilot test with CDC fellows, the 2019 Recipient Meeting Form takes an average of</w:t>
      </w:r>
      <w:r w:rsidR="00B67B1D">
        <w:t xml:space="preserve"> </w:t>
      </w:r>
      <w:r w:rsidR="00E45F97">
        <w:t>nine</w:t>
      </w:r>
      <w:r>
        <w:t xml:space="preserve"> minutes to complete. There will be no direct costs to the respondents other than their time to respond to the survey.</w:t>
      </w:r>
    </w:p>
    <w:p w14:paraId="49ABF9C9" w14:textId="77777777" w:rsidR="001A551F" w:rsidRPr="006832D9" w:rsidRDefault="001A551F" w:rsidP="00F3170F">
      <w:pPr>
        <w:keepNext/>
        <w:keepLines/>
        <w:rPr>
          <w:b/>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2160"/>
        <w:gridCol w:w="1350"/>
        <w:gridCol w:w="2160"/>
        <w:gridCol w:w="1890"/>
      </w:tblGrid>
      <w:tr w:rsidR="00663674" w14:paraId="0EE3C12E" w14:textId="77777777" w:rsidTr="00C11413">
        <w:trPr>
          <w:trHeight w:val="274"/>
        </w:trPr>
        <w:tc>
          <w:tcPr>
            <w:tcW w:w="3055" w:type="dxa"/>
          </w:tcPr>
          <w:p w14:paraId="659A70EE" w14:textId="77777777" w:rsidR="00663674" w:rsidRPr="00512CA7" w:rsidRDefault="00663674" w:rsidP="00C8488C">
            <w:pPr>
              <w:rPr>
                <w:b/>
              </w:rPr>
            </w:pPr>
            <w:r w:rsidRPr="00512CA7">
              <w:rPr>
                <w:b/>
              </w:rPr>
              <w:t xml:space="preserve">Category of Respondent </w:t>
            </w:r>
          </w:p>
        </w:tc>
        <w:tc>
          <w:tcPr>
            <w:tcW w:w="2160" w:type="dxa"/>
          </w:tcPr>
          <w:p w14:paraId="70EB3D4A" w14:textId="77777777" w:rsidR="00663674" w:rsidRPr="00512CA7" w:rsidRDefault="00663674" w:rsidP="00843796">
            <w:pPr>
              <w:rPr>
                <w:b/>
              </w:rPr>
            </w:pPr>
            <w:r w:rsidRPr="00512CA7">
              <w:rPr>
                <w:b/>
              </w:rPr>
              <w:t>No. of Respondents</w:t>
            </w:r>
          </w:p>
        </w:tc>
        <w:tc>
          <w:tcPr>
            <w:tcW w:w="1350" w:type="dxa"/>
          </w:tcPr>
          <w:p w14:paraId="43495E45" w14:textId="2B744C5D" w:rsidR="00663674" w:rsidRPr="00512CA7" w:rsidRDefault="00663674" w:rsidP="00843796">
            <w:pPr>
              <w:rPr>
                <w:b/>
              </w:rPr>
            </w:pPr>
            <w:r>
              <w:rPr>
                <w:b/>
              </w:rPr>
              <w:t>Form Name</w:t>
            </w:r>
          </w:p>
        </w:tc>
        <w:tc>
          <w:tcPr>
            <w:tcW w:w="2160" w:type="dxa"/>
          </w:tcPr>
          <w:p w14:paraId="0B9B3021" w14:textId="763DFE15" w:rsidR="00663674" w:rsidRPr="00512CA7" w:rsidRDefault="00663674" w:rsidP="00843796">
            <w:pPr>
              <w:rPr>
                <w:b/>
              </w:rPr>
            </w:pPr>
            <w:r w:rsidRPr="00512CA7">
              <w:rPr>
                <w:b/>
              </w:rPr>
              <w:t>Participation Time</w:t>
            </w:r>
            <w:r>
              <w:rPr>
                <w:b/>
              </w:rPr>
              <w:t xml:space="preserve"> (Hours)</w:t>
            </w:r>
          </w:p>
        </w:tc>
        <w:tc>
          <w:tcPr>
            <w:tcW w:w="1890" w:type="dxa"/>
          </w:tcPr>
          <w:p w14:paraId="5B92195C" w14:textId="2783FA30" w:rsidR="00663674" w:rsidRPr="00512CA7" w:rsidRDefault="00663674" w:rsidP="00843796">
            <w:pPr>
              <w:rPr>
                <w:b/>
              </w:rPr>
            </w:pPr>
            <w:r w:rsidRPr="00512CA7">
              <w:rPr>
                <w:b/>
              </w:rPr>
              <w:t>Burden</w:t>
            </w:r>
            <w:r>
              <w:rPr>
                <w:b/>
              </w:rPr>
              <w:t xml:space="preserve"> (Hours)</w:t>
            </w:r>
          </w:p>
        </w:tc>
      </w:tr>
      <w:tr w:rsidR="00B915D9" w14:paraId="4991D8E6" w14:textId="77777777" w:rsidTr="00C11413">
        <w:trPr>
          <w:trHeight w:val="274"/>
        </w:trPr>
        <w:tc>
          <w:tcPr>
            <w:tcW w:w="3055" w:type="dxa"/>
            <w:vMerge w:val="restart"/>
          </w:tcPr>
          <w:p w14:paraId="5276C49F" w14:textId="5890820A" w:rsidR="00B915D9" w:rsidRDefault="00B915D9" w:rsidP="00843796">
            <w:r>
              <w:t>Meeting Participants</w:t>
            </w:r>
          </w:p>
        </w:tc>
        <w:tc>
          <w:tcPr>
            <w:tcW w:w="2160" w:type="dxa"/>
          </w:tcPr>
          <w:p w14:paraId="3161E978" w14:textId="68D9A1E0" w:rsidR="00B915D9" w:rsidRDefault="00B915D9" w:rsidP="00843796">
            <w:r>
              <w:t>42</w:t>
            </w:r>
          </w:p>
        </w:tc>
        <w:tc>
          <w:tcPr>
            <w:tcW w:w="1350" w:type="dxa"/>
          </w:tcPr>
          <w:p w14:paraId="043E59A6" w14:textId="4E91B3DA" w:rsidR="00B915D9" w:rsidRDefault="00B915D9" w:rsidP="00B67B1D">
            <w:r>
              <w:t>Feedback Survey (Att.1</w:t>
            </w:r>
            <w:r w:rsidR="00F20A58">
              <w:t>a&amp;b</w:t>
            </w:r>
            <w:r>
              <w:t xml:space="preserve"> )</w:t>
            </w:r>
          </w:p>
        </w:tc>
        <w:tc>
          <w:tcPr>
            <w:tcW w:w="2160" w:type="dxa"/>
          </w:tcPr>
          <w:p w14:paraId="1446750A" w14:textId="70B2539B" w:rsidR="00B915D9" w:rsidRDefault="00B915D9" w:rsidP="00B67B1D">
            <w:r>
              <w:t>9/60</w:t>
            </w:r>
          </w:p>
        </w:tc>
        <w:tc>
          <w:tcPr>
            <w:tcW w:w="1890" w:type="dxa"/>
          </w:tcPr>
          <w:p w14:paraId="6E04CF4E" w14:textId="60735B84" w:rsidR="00B915D9" w:rsidRDefault="007904E6" w:rsidP="00843796">
            <w:r>
              <w:t>6</w:t>
            </w:r>
            <w:r w:rsidR="00B915D9">
              <w:t xml:space="preserve"> </w:t>
            </w:r>
            <w:r>
              <w:t>hrs</w:t>
            </w:r>
          </w:p>
        </w:tc>
      </w:tr>
      <w:tr w:rsidR="00B915D9" w14:paraId="2C38AE6B" w14:textId="77777777" w:rsidTr="00C11413">
        <w:trPr>
          <w:trHeight w:val="274"/>
        </w:trPr>
        <w:tc>
          <w:tcPr>
            <w:tcW w:w="3055" w:type="dxa"/>
            <w:vMerge/>
          </w:tcPr>
          <w:p w14:paraId="7B3AC93E" w14:textId="77777777" w:rsidR="00B915D9" w:rsidRDefault="00B915D9" w:rsidP="00843796"/>
        </w:tc>
        <w:tc>
          <w:tcPr>
            <w:tcW w:w="2160" w:type="dxa"/>
          </w:tcPr>
          <w:p w14:paraId="194739A0" w14:textId="5D9DDDA1" w:rsidR="00B915D9" w:rsidRDefault="00B915D9" w:rsidP="00843796">
            <w:r>
              <w:t>42</w:t>
            </w:r>
          </w:p>
        </w:tc>
        <w:tc>
          <w:tcPr>
            <w:tcW w:w="1350" w:type="dxa"/>
          </w:tcPr>
          <w:p w14:paraId="4DAE24F3" w14:textId="46AD9F37" w:rsidR="00B915D9" w:rsidRDefault="00B915D9" w:rsidP="00843796">
            <w:r>
              <w:t>Invitation Email (Att. 2</w:t>
            </w:r>
            <w:r w:rsidR="00F20A58">
              <w:t>a</w:t>
            </w:r>
            <w:r>
              <w:t>)</w:t>
            </w:r>
          </w:p>
        </w:tc>
        <w:tc>
          <w:tcPr>
            <w:tcW w:w="2160" w:type="dxa"/>
          </w:tcPr>
          <w:p w14:paraId="5C7A6A64" w14:textId="58DFF38C" w:rsidR="00B915D9" w:rsidRDefault="00B915D9" w:rsidP="00843796">
            <w:r>
              <w:t>1/60</w:t>
            </w:r>
          </w:p>
        </w:tc>
        <w:tc>
          <w:tcPr>
            <w:tcW w:w="1890" w:type="dxa"/>
          </w:tcPr>
          <w:p w14:paraId="5F50722A" w14:textId="030498E1" w:rsidR="00B915D9" w:rsidRDefault="007904E6" w:rsidP="00843796">
            <w:r>
              <w:t>1</w:t>
            </w:r>
            <w:r w:rsidR="00B915D9">
              <w:t xml:space="preserve"> </w:t>
            </w:r>
            <w:r>
              <w:t>hr</w:t>
            </w:r>
          </w:p>
        </w:tc>
      </w:tr>
      <w:tr w:rsidR="00B915D9" w14:paraId="23D1C0F5" w14:textId="77777777" w:rsidTr="00663674">
        <w:trPr>
          <w:trHeight w:val="274"/>
        </w:trPr>
        <w:tc>
          <w:tcPr>
            <w:tcW w:w="3055" w:type="dxa"/>
            <w:vMerge/>
          </w:tcPr>
          <w:p w14:paraId="150BB745" w14:textId="77777777" w:rsidR="00B915D9" w:rsidRDefault="00B915D9" w:rsidP="00663674"/>
        </w:tc>
        <w:tc>
          <w:tcPr>
            <w:tcW w:w="2160" w:type="dxa"/>
          </w:tcPr>
          <w:p w14:paraId="7D828BD5" w14:textId="0C4C4727" w:rsidR="00B915D9" w:rsidRDefault="00B915D9" w:rsidP="00663674">
            <w:r>
              <w:t>42</w:t>
            </w:r>
          </w:p>
        </w:tc>
        <w:tc>
          <w:tcPr>
            <w:tcW w:w="1350" w:type="dxa"/>
          </w:tcPr>
          <w:p w14:paraId="143B6C4F" w14:textId="629B08F3" w:rsidR="00B915D9" w:rsidRDefault="00B915D9" w:rsidP="00663674">
            <w:r>
              <w:t>Reminder Email (Att. 2</w:t>
            </w:r>
            <w:r w:rsidR="00F20A58">
              <w:t>b</w:t>
            </w:r>
            <w:r>
              <w:t>)</w:t>
            </w:r>
          </w:p>
        </w:tc>
        <w:tc>
          <w:tcPr>
            <w:tcW w:w="2160" w:type="dxa"/>
          </w:tcPr>
          <w:p w14:paraId="46B6C4FA" w14:textId="31CE97AF" w:rsidR="00B915D9" w:rsidRDefault="00B915D9" w:rsidP="00663674">
            <w:r>
              <w:t>1/60</w:t>
            </w:r>
          </w:p>
        </w:tc>
        <w:tc>
          <w:tcPr>
            <w:tcW w:w="1890" w:type="dxa"/>
          </w:tcPr>
          <w:p w14:paraId="6CAF8016" w14:textId="3B81F0ED" w:rsidR="00B915D9" w:rsidRDefault="007904E6" w:rsidP="00663674">
            <w:r>
              <w:t>1</w:t>
            </w:r>
            <w:r w:rsidR="00B915D9">
              <w:t xml:space="preserve"> </w:t>
            </w:r>
            <w:r>
              <w:t>hr</w:t>
            </w:r>
          </w:p>
        </w:tc>
      </w:tr>
      <w:tr w:rsidR="00663674" w14:paraId="29C60A0B" w14:textId="77777777" w:rsidTr="00C11413">
        <w:trPr>
          <w:trHeight w:val="289"/>
        </w:trPr>
        <w:tc>
          <w:tcPr>
            <w:tcW w:w="3055" w:type="dxa"/>
          </w:tcPr>
          <w:p w14:paraId="15880DB3" w14:textId="2038FA19" w:rsidR="00663674" w:rsidRPr="00512CA7" w:rsidRDefault="00663674" w:rsidP="00663674">
            <w:pPr>
              <w:rPr>
                <w:b/>
              </w:rPr>
            </w:pPr>
            <w:r w:rsidRPr="00512CA7">
              <w:rPr>
                <w:b/>
              </w:rPr>
              <w:t>Total</w:t>
            </w:r>
          </w:p>
        </w:tc>
        <w:tc>
          <w:tcPr>
            <w:tcW w:w="2160" w:type="dxa"/>
          </w:tcPr>
          <w:p w14:paraId="1F8242CD" w14:textId="44DF4E00" w:rsidR="00663674" w:rsidRPr="00512CA7" w:rsidRDefault="00663674" w:rsidP="00663674">
            <w:pPr>
              <w:rPr>
                <w:b/>
              </w:rPr>
            </w:pPr>
          </w:p>
        </w:tc>
        <w:tc>
          <w:tcPr>
            <w:tcW w:w="1350" w:type="dxa"/>
          </w:tcPr>
          <w:p w14:paraId="38FDEA4F" w14:textId="77777777" w:rsidR="00663674" w:rsidRDefault="00663674" w:rsidP="00663674"/>
        </w:tc>
        <w:tc>
          <w:tcPr>
            <w:tcW w:w="2160" w:type="dxa"/>
          </w:tcPr>
          <w:p w14:paraId="634983D8" w14:textId="2CCC69A7" w:rsidR="00663674" w:rsidRDefault="00663674" w:rsidP="00663674"/>
        </w:tc>
        <w:tc>
          <w:tcPr>
            <w:tcW w:w="1890" w:type="dxa"/>
          </w:tcPr>
          <w:p w14:paraId="1653D95A" w14:textId="74F0232A" w:rsidR="00663674" w:rsidRPr="00512CA7" w:rsidRDefault="007904E6" w:rsidP="00663674">
            <w:pPr>
              <w:rPr>
                <w:b/>
              </w:rPr>
            </w:pPr>
            <w:r>
              <w:rPr>
                <w:b/>
              </w:rPr>
              <w:t>8</w:t>
            </w:r>
            <w:r w:rsidR="00C11413">
              <w:rPr>
                <w:b/>
              </w:rPr>
              <w:t xml:space="preserve"> </w:t>
            </w:r>
            <w:r>
              <w:rPr>
                <w:b/>
              </w:rPr>
              <w:t>hours</w:t>
            </w:r>
          </w:p>
        </w:tc>
      </w:tr>
    </w:tbl>
    <w:p w14:paraId="2D7C1240" w14:textId="77777777" w:rsidR="00B46F2C" w:rsidRDefault="00B46F2C" w:rsidP="00F3170F"/>
    <w:p w14:paraId="0BD4FB51" w14:textId="77777777" w:rsidR="00B46F2C" w:rsidRDefault="00B46F2C" w:rsidP="00F3170F"/>
    <w:p w14:paraId="04BA12A5" w14:textId="22BFBF17" w:rsidR="00B46F2C" w:rsidRDefault="00B46F2C">
      <w:pPr>
        <w:rPr>
          <w:b/>
        </w:rPr>
      </w:pPr>
      <w:r>
        <w:rPr>
          <w:b/>
        </w:rPr>
        <w:t xml:space="preserve">FEDERAL COST:  </w:t>
      </w:r>
      <w:r>
        <w:t xml:space="preserve">The estimated annual cost to the Federal government is </w:t>
      </w:r>
      <w:r w:rsidR="00D2484F">
        <w:t>$</w:t>
      </w:r>
      <w:r w:rsidR="00DF6F4D">
        <w:t>965.4</w:t>
      </w:r>
      <w:r w:rsidR="009C5AFE">
        <w:t>0.</w:t>
      </w:r>
    </w:p>
    <w:p w14:paraId="7169EA9A" w14:textId="77777777" w:rsidR="00B46F2C" w:rsidRDefault="00B46F2C">
      <w:pPr>
        <w:rPr>
          <w:b/>
          <w:bCs/>
          <w:u w:val="single"/>
        </w:rPr>
      </w:pPr>
    </w:p>
    <w:p w14:paraId="075A0BA9"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247E13A9" w14:textId="77777777" w:rsidR="00B46F2C" w:rsidRDefault="00B46F2C" w:rsidP="00F06866">
      <w:pPr>
        <w:rPr>
          <w:b/>
        </w:rPr>
      </w:pPr>
    </w:p>
    <w:p w14:paraId="13C4F5E4" w14:textId="77777777" w:rsidR="00B46F2C" w:rsidRDefault="00B46F2C" w:rsidP="00F06866">
      <w:pPr>
        <w:rPr>
          <w:b/>
        </w:rPr>
      </w:pPr>
      <w:r>
        <w:rPr>
          <w:b/>
        </w:rPr>
        <w:t>The selection of your targeted respondents</w:t>
      </w:r>
    </w:p>
    <w:p w14:paraId="4C30F935" w14:textId="77777777" w:rsidR="009C5AFE"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p>
    <w:p w14:paraId="0619E7D9" w14:textId="5F75FB27" w:rsidR="00B46F2C" w:rsidRDefault="00B46F2C" w:rsidP="009C5AFE">
      <w:pPr>
        <w:pStyle w:val="ListParagraph"/>
        <w:ind w:left="360"/>
      </w:pPr>
      <w:r>
        <w:t>[</w:t>
      </w:r>
      <w:r w:rsidR="00B67B1D">
        <w:t>X</w:t>
      </w:r>
      <w:r>
        <w:t>] Yes</w:t>
      </w:r>
      <w:r>
        <w:tab/>
        <w:t>[ ] No</w:t>
      </w:r>
    </w:p>
    <w:p w14:paraId="2AE03644" w14:textId="77777777" w:rsidR="00B46F2C" w:rsidRDefault="00B46F2C" w:rsidP="00636621">
      <w:pPr>
        <w:pStyle w:val="ListParagraph"/>
      </w:pPr>
    </w:p>
    <w:p w14:paraId="768E9EA6"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8693F3D" w14:textId="72E9909E" w:rsidR="00B46F2C" w:rsidRDefault="00B46F2C" w:rsidP="00A403BB"/>
    <w:p w14:paraId="055DFB35" w14:textId="33BAD117" w:rsidR="00B67B1D" w:rsidRDefault="00B67B1D" w:rsidP="00A403BB">
      <w:r>
        <w:t>The customer list will consist of the registration list</w:t>
      </w:r>
      <w:r w:rsidR="004736C4">
        <w:t xml:space="preserve"> </w:t>
      </w:r>
      <w:r>
        <w:t>for the recipient meeting. Individuals who registered for the recipient meeting represent recipients and partners.</w:t>
      </w:r>
      <w:r w:rsidR="00DF6F4D">
        <w:t xml:space="preserve"> </w:t>
      </w:r>
    </w:p>
    <w:p w14:paraId="53906567" w14:textId="77777777" w:rsidR="00B67B1D" w:rsidRDefault="00B67B1D" w:rsidP="00A403BB"/>
    <w:p w14:paraId="02A4A392" w14:textId="6E65BF9F" w:rsidR="00DF6F4D" w:rsidRDefault="00DF6F4D" w:rsidP="001A551F">
      <w:r>
        <w:t>No sampling will be conducted in order to gather feedback from any meeting participant who is willing to volunteer feedback.</w:t>
      </w:r>
    </w:p>
    <w:p w14:paraId="6E8C3271" w14:textId="77777777" w:rsidR="001A551F" w:rsidRDefault="001A551F" w:rsidP="001A551F"/>
    <w:p w14:paraId="7EDE41D8" w14:textId="77777777" w:rsidR="00B46F2C" w:rsidRDefault="00B46F2C" w:rsidP="00A403BB">
      <w:pPr>
        <w:rPr>
          <w:b/>
        </w:rPr>
      </w:pPr>
    </w:p>
    <w:p w14:paraId="2F90EEB6" w14:textId="77777777" w:rsidR="00B46F2C" w:rsidRDefault="00B46F2C" w:rsidP="00A403BB">
      <w:pPr>
        <w:rPr>
          <w:b/>
        </w:rPr>
      </w:pPr>
      <w:r>
        <w:rPr>
          <w:b/>
        </w:rPr>
        <w:t>Administration of the Instrument</w:t>
      </w:r>
    </w:p>
    <w:p w14:paraId="66227DAD" w14:textId="77777777" w:rsidR="00B46F2C" w:rsidRDefault="00B46F2C" w:rsidP="00A403BB">
      <w:pPr>
        <w:pStyle w:val="ListParagraph"/>
        <w:numPr>
          <w:ilvl w:val="0"/>
          <w:numId w:val="17"/>
        </w:numPr>
      </w:pPr>
      <w:r>
        <w:t>How will you collect the information? (Check all that apply)</w:t>
      </w:r>
    </w:p>
    <w:p w14:paraId="543C5394" w14:textId="77777777" w:rsidR="00B46F2C" w:rsidRDefault="00B46F2C" w:rsidP="001B0AAA">
      <w:pPr>
        <w:ind w:left="720"/>
      </w:pPr>
      <w:r>
        <w:t xml:space="preserve">[ </w:t>
      </w:r>
      <w:r w:rsidR="001A551F">
        <w:t>X</w:t>
      </w:r>
      <w:r>
        <w:t xml:space="preserve"> ] Web-based or other forms of Social Media </w:t>
      </w:r>
    </w:p>
    <w:p w14:paraId="295F26AA" w14:textId="77777777" w:rsidR="00B46F2C" w:rsidRDefault="00B46F2C" w:rsidP="001B0AAA">
      <w:pPr>
        <w:ind w:left="720"/>
      </w:pPr>
      <w:r>
        <w:t>[  ] Telephone</w:t>
      </w:r>
      <w:r>
        <w:tab/>
      </w:r>
    </w:p>
    <w:p w14:paraId="425B0FB0" w14:textId="77777777" w:rsidR="00B46F2C" w:rsidRDefault="00B46F2C" w:rsidP="001B0AAA">
      <w:pPr>
        <w:ind w:left="720"/>
      </w:pPr>
      <w:r>
        <w:t>[  ] In-person</w:t>
      </w:r>
      <w:r>
        <w:tab/>
      </w:r>
    </w:p>
    <w:p w14:paraId="3A75BB2A" w14:textId="77777777" w:rsidR="00B46F2C" w:rsidRDefault="00B46F2C" w:rsidP="001B0AAA">
      <w:pPr>
        <w:ind w:left="720"/>
      </w:pPr>
      <w:r>
        <w:t xml:space="preserve">[  ] Mail </w:t>
      </w:r>
    </w:p>
    <w:p w14:paraId="519A0722" w14:textId="77777777" w:rsidR="00B46F2C" w:rsidRDefault="00B46F2C" w:rsidP="001B0AAA">
      <w:pPr>
        <w:ind w:left="720"/>
      </w:pPr>
      <w:r>
        <w:t>[  ] Other, Explain</w:t>
      </w:r>
    </w:p>
    <w:p w14:paraId="1D108B21" w14:textId="77777777" w:rsidR="00B46F2C" w:rsidRDefault="00B46F2C" w:rsidP="00F24CFC">
      <w:pPr>
        <w:pStyle w:val="ListParagraph"/>
        <w:numPr>
          <w:ilvl w:val="0"/>
          <w:numId w:val="17"/>
        </w:numPr>
      </w:pPr>
      <w:r>
        <w:t>Will interviewers or facilitators be used?  [  ] Yes [</w:t>
      </w:r>
      <w:r w:rsidR="001A551F">
        <w:t>X</w:t>
      </w:r>
      <w:r>
        <w:t xml:space="preserve"> ] No</w:t>
      </w:r>
    </w:p>
    <w:p w14:paraId="1EB63A6C" w14:textId="77777777" w:rsidR="00B46F2C" w:rsidRDefault="00B46F2C" w:rsidP="00F24CFC">
      <w:pPr>
        <w:pStyle w:val="ListParagraph"/>
        <w:ind w:left="360"/>
      </w:pPr>
      <w:r>
        <w:t xml:space="preserve"> </w:t>
      </w:r>
    </w:p>
    <w:p w14:paraId="61696CD3" w14:textId="77777777"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DF0E9" w14:textId="77777777" w:rsidR="004E261F" w:rsidRDefault="004E261F">
      <w:r>
        <w:separator/>
      </w:r>
    </w:p>
  </w:endnote>
  <w:endnote w:type="continuationSeparator" w:id="0">
    <w:p w14:paraId="751BCFB0" w14:textId="77777777" w:rsidR="004E261F" w:rsidRDefault="004E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4AFD1" w14:textId="77777777" w:rsidR="004E261F" w:rsidRDefault="004E261F">
      <w:r>
        <w:separator/>
      </w:r>
    </w:p>
  </w:footnote>
  <w:footnote w:type="continuationSeparator" w:id="0">
    <w:p w14:paraId="50DFB85F" w14:textId="77777777" w:rsidR="004E261F" w:rsidRDefault="004E2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10F4"/>
    <w:rsid w:val="00040DA6"/>
    <w:rsid w:val="00047A64"/>
    <w:rsid w:val="00067329"/>
    <w:rsid w:val="000B2838"/>
    <w:rsid w:val="000D44CA"/>
    <w:rsid w:val="000E200B"/>
    <w:rsid w:val="000F68BE"/>
    <w:rsid w:val="00162EF1"/>
    <w:rsid w:val="00176369"/>
    <w:rsid w:val="00177238"/>
    <w:rsid w:val="00180049"/>
    <w:rsid w:val="001927A4"/>
    <w:rsid w:val="00194AC6"/>
    <w:rsid w:val="001A23B0"/>
    <w:rsid w:val="001A25CC"/>
    <w:rsid w:val="001A551F"/>
    <w:rsid w:val="001B0AAA"/>
    <w:rsid w:val="001C39F7"/>
    <w:rsid w:val="001D0776"/>
    <w:rsid w:val="00212DD0"/>
    <w:rsid w:val="00237B48"/>
    <w:rsid w:val="0024521E"/>
    <w:rsid w:val="00263C3D"/>
    <w:rsid w:val="00274D0B"/>
    <w:rsid w:val="002821FF"/>
    <w:rsid w:val="002B3C95"/>
    <w:rsid w:val="002B5AD5"/>
    <w:rsid w:val="002C10B8"/>
    <w:rsid w:val="002D0B92"/>
    <w:rsid w:val="003675DB"/>
    <w:rsid w:val="003777A0"/>
    <w:rsid w:val="003D5BBE"/>
    <w:rsid w:val="003E3C61"/>
    <w:rsid w:val="003F1C5B"/>
    <w:rsid w:val="00404C8F"/>
    <w:rsid w:val="0040725F"/>
    <w:rsid w:val="0041337D"/>
    <w:rsid w:val="00434E33"/>
    <w:rsid w:val="00441434"/>
    <w:rsid w:val="0045264C"/>
    <w:rsid w:val="004736C4"/>
    <w:rsid w:val="00476609"/>
    <w:rsid w:val="004876EC"/>
    <w:rsid w:val="004D6E14"/>
    <w:rsid w:val="004E261F"/>
    <w:rsid w:val="005009B0"/>
    <w:rsid w:val="00512CA7"/>
    <w:rsid w:val="00525BB8"/>
    <w:rsid w:val="00563D22"/>
    <w:rsid w:val="00595A4A"/>
    <w:rsid w:val="005A1006"/>
    <w:rsid w:val="005A2F26"/>
    <w:rsid w:val="005B5772"/>
    <w:rsid w:val="005E714A"/>
    <w:rsid w:val="006140A0"/>
    <w:rsid w:val="00636621"/>
    <w:rsid w:val="00642B49"/>
    <w:rsid w:val="00663674"/>
    <w:rsid w:val="006832D9"/>
    <w:rsid w:val="0069403B"/>
    <w:rsid w:val="006E12B5"/>
    <w:rsid w:val="006F3DDE"/>
    <w:rsid w:val="00704678"/>
    <w:rsid w:val="007275D5"/>
    <w:rsid w:val="00734A5D"/>
    <w:rsid w:val="007425E7"/>
    <w:rsid w:val="00782B72"/>
    <w:rsid w:val="007904E6"/>
    <w:rsid w:val="00794C99"/>
    <w:rsid w:val="007D3D4F"/>
    <w:rsid w:val="00802607"/>
    <w:rsid w:val="008101A5"/>
    <w:rsid w:val="008160D5"/>
    <w:rsid w:val="00822664"/>
    <w:rsid w:val="00840FCA"/>
    <w:rsid w:val="00843796"/>
    <w:rsid w:val="00895229"/>
    <w:rsid w:val="008E2923"/>
    <w:rsid w:val="008E6FD9"/>
    <w:rsid w:val="008F0203"/>
    <w:rsid w:val="008F50D4"/>
    <w:rsid w:val="009114F9"/>
    <w:rsid w:val="00913EA3"/>
    <w:rsid w:val="009239AA"/>
    <w:rsid w:val="00935ADA"/>
    <w:rsid w:val="009414A4"/>
    <w:rsid w:val="00946B6C"/>
    <w:rsid w:val="00950A2E"/>
    <w:rsid w:val="00955A71"/>
    <w:rsid w:val="0096108F"/>
    <w:rsid w:val="009C13B9"/>
    <w:rsid w:val="009C5AFE"/>
    <w:rsid w:val="009D01A2"/>
    <w:rsid w:val="009F5923"/>
    <w:rsid w:val="00A403BB"/>
    <w:rsid w:val="00A674DF"/>
    <w:rsid w:val="00A83AA6"/>
    <w:rsid w:val="00AB4913"/>
    <w:rsid w:val="00AE1809"/>
    <w:rsid w:val="00B46F2C"/>
    <w:rsid w:val="00B6020A"/>
    <w:rsid w:val="00B67B1D"/>
    <w:rsid w:val="00B80D76"/>
    <w:rsid w:val="00B915D9"/>
    <w:rsid w:val="00BA2105"/>
    <w:rsid w:val="00BA7E06"/>
    <w:rsid w:val="00BB43B5"/>
    <w:rsid w:val="00BB6219"/>
    <w:rsid w:val="00BD290F"/>
    <w:rsid w:val="00C11413"/>
    <w:rsid w:val="00C14CC4"/>
    <w:rsid w:val="00C25947"/>
    <w:rsid w:val="00C33C52"/>
    <w:rsid w:val="00C40D8B"/>
    <w:rsid w:val="00C8407A"/>
    <w:rsid w:val="00C8488C"/>
    <w:rsid w:val="00C86E91"/>
    <w:rsid w:val="00C956E6"/>
    <w:rsid w:val="00CA2650"/>
    <w:rsid w:val="00CB1078"/>
    <w:rsid w:val="00CC6FAF"/>
    <w:rsid w:val="00D24698"/>
    <w:rsid w:val="00D2484F"/>
    <w:rsid w:val="00D6383F"/>
    <w:rsid w:val="00D71221"/>
    <w:rsid w:val="00D822C5"/>
    <w:rsid w:val="00DB1C07"/>
    <w:rsid w:val="00DB59D0"/>
    <w:rsid w:val="00DC33D3"/>
    <w:rsid w:val="00DD3B86"/>
    <w:rsid w:val="00DF6F4D"/>
    <w:rsid w:val="00E02761"/>
    <w:rsid w:val="00E2594A"/>
    <w:rsid w:val="00E26329"/>
    <w:rsid w:val="00E33229"/>
    <w:rsid w:val="00E378F3"/>
    <w:rsid w:val="00E40B50"/>
    <w:rsid w:val="00E45F97"/>
    <w:rsid w:val="00E50293"/>
    <w:rsid w:val="00E65FFC"/>
    <w:rsid w:val="00E80951"/>
    <w:rsid w:val="00E854FE"/>
    <w:rsid w:val="00E86CC6"/>
    <w:rsid w:val="00E95CD0"/>
    <w:rsid w:val="00EB56B3"/>
    <w:rsid w:val="00ED6492"/>
    <w:rsid w:val="00EF2095"/>
    <w:rsid w:val="00F06866"/>
    <w:rsid w:val="00F15956"/>
    <w:rsid w:val="00F20A58"/>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E01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212D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212D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2019-08-29T21:41:00Z</cp:lastPrinted>
  <dcterms:created xsi:type="dcterms:W3CDTF">2019-09-09T14:55:00Z</dcterms:created>
  <dcterms:modified xsi:type="dcterms:W3CDTF">2019-09-09T14:55:00Z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