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C57E0" w14:textId="77777777" w:rsidR="00490720" w:rsidRDefault="00490720">
      <w:pPr>
        <w:widowControl/>
        <w:autoSpaceDE/>
        <w:autoSpaceDN/>
        <w:adjustRightInd/>
        <w:rPr>
          <w:b/>
          <w:bCs/>
          <w:sz w:val="32"/>
          <w:szCs w:val="32"/>
        </w:rPr>
      </w:pPr>
    </w:p>
    <w:p w14:paraId="52240012" w14:textId="77777777" w:rsidR="00BA1A0C" w:rsidRPr="00574EA8" w:rsidRDefault="009B3794" w:rsidP="00CE5AA9">
      <w:pPr>
        <w:tabs>
          <w:tab w:val="center" w:pos="4680"/>
        </w:tabs>
        <w:spacing w:before="120"/>
        <w:jc w:val="center"/>
        <w:rPr>
          <w:b/>
          <w:bCs/>
          <w:sz w:val="32"/>
          <w:szCs w:val="32"/>
        </w:rPr>
      </w:pPr>
      <w:r w:rsidRPr="00574EA8">
        <w:rPr>
          <w:b/>
          <w:bCs/>
          <w:sz w:val="32"/>
          <w:szCs w:val="32"/>
        </w:rPr>
        <w:t xml:space="preserve">Supporting Statement </w:t>
      </w:r>
      <w:r w:rsidR="00BA1A0C" w:rsidRPr="00574EA8">
        <w:rPr>
          <w:b/>
          <w:bCs/>
          <w:sz w:val="32"/>
          <w:szCs w:val="32"/>
        </w:rPr>
        <w:t>A</w:t>
      </w:r>
    </w:p>
    <w:p w14:paraId="4A238842" w14:textId="77777777" w:rsidR="00BA1A0C" w:rsidRPr="00574EA8" w:rsidRDefault="00BA1A0C" w:rsidP="00CE5AA9">
      <w:pPr>
        <w:tabs>
          <w:tab w:val="center" w:pos="4680"/>
        </w:tabs>
        <w:spacing w:before="120"/>
        <w:jc w:val="center"/>
        <w:rPr>
          <w:b/>
          <w:bCs/>
          <w:sz w:val="32"/>
          <w:szCs w:val="32"/>
        </w:rPr>
      </w:pPr>
    </w:p>
    <w:p w14:paraId="502F1E06" w14:textId="40673CE1" w:rsidR="009B3794" w:rsidRPr="00574EA8" w:rsidRDefault="00A25722" w:rsidP="00CE5AA9">
      <w:pPr>
        <w:tabs>
          <w:tab w:val="center" w:pos="4680"/>
        </w:tabs>
        <w:spacing w:before="120"/>
        <w:jc w:val="center"/>
        <w:rPr>
          <w:b/>
          <w:bCs/>
          <w:sz w:val="32"/>
          <w:szCs w:val="32"/>
        </w:rPr>
      </w:pPr>
      <w:r>
        <w:rPr>
          <w:b/>
          <w:bCs/>
          <w:sz w:val="32"/>
          <w:szCs w:val="32"/>
        </w:rPr>
        <w:t>Evaluation and Assessment of HRSA Teaching Health Centers</w:t>
      </w:r>
    </w:p>
    <w:p w14:paraId="3A9FA20C" w14:textId="77777777" w:rsidR="00BA1A0C" w:rsidRPr="00574EA8" w:rsidRDefault="00BA1A0C" w:rsidP="00CE5AA9">
      <w:pPr>
        <w:tabs>
          <w:tab w:val="center" w:pos="4680"/>
        </w:tabs>
        <w:spacing w:before="120"/>
        <w:jc w:val="center"/>
        <w:rPr>
          <w:b/>
          <w:bCs/>
          <w:sz w:val="32"/>
          <w:szCs w:val="32"/>
        </w:rPr>
      </w:pPr>
    </w:p>
    <w:p w14:paraId="19188658" w14:textId="49D3E8F4" w:rsidR="00BA1A0C" w:rsidRDefault="00BA1A0C" w:rsidP="00CE5AA9">
      <w:pPr>
        <w:tabs>
          <w:tab w:val="center" w:pos="4680"/>
        </w:tabs>
        <w:spacing w:before="120"/>
        <w:jc w:val="center"/>
        <w:rPr>
          <w:b/>
          <w:bCs/>
          <w:sz w:val="32"/>
          <w:szCs w:val="32"/>
        </w:rPr>
      </w:pPr>
      <w:r w:rsidRPr="00574EA8">
        <w:rPr>
          <w:b/>
          <w:bCs/>
          <w:sz w:val="32"/>
          <w:szCs w:val="32"/>
        </w:rPr>
        <w:t>OMB Control No. 09</w:t>
      </w:r>
      <w:r w:rsidR="00E34A1F" w:rsidRPr="00574EA8">
        <w:rPr>
          <w:b/>
          <w:bCs/>
          <w:sz w:val="32"/>
          <w:szCs w:val="32"/>
        </w:rPr>
        <w:t>15</w:t>
      </w:r>
      <w:r w:rsidR="00A25722">
        <w:rPr>
          <w:b/>
          <w:bCs/>
          <w:sz w:val="32"/>
          <w:szCs w:val="32"/>
        </w:rPr>
        <w:t>-0376</w:t>
      </w:r>
    </w:p>
    <w:p w14:paraId="619CA2E5" w14:textId="37FEB6B1" w:rsidR="00ED39C0" w:rsidRDefault="00ED39C0" w:rsidP="00CE5AA9">
      <w:pPr>
        <w:tabs>
          <w:tab w:val="center" w:pos="4680"/>
        </w:tabs>
        <w:spacing w:before="120"/>
        <w:jc w:val="center"/>
        <w:rPr>
          <w:b/>
          <w:bCs/>
          <w:sz w:val="32"/>
          <w:szCs w:val="32"/>
        </w:rPr>
      </w:pPr>
    </w:p>
    <w:p w14:paraId="41B37646" w14:textId="610F7732" w:rsidR="00ED39C0" w:rsidRPr="00574EA8" w:rsidRDefault="00ED39C0" w:rsidP="00CE5AA9">
      <w:pPr>
        <w:tabs>
          <w:tab w:val="center" w:pos="4680"/>
        </w:tabs>
        <w:spacing w:before="120"/>
        <w:jc w:val="center"/>
        <w:rPr>
          <w:b/>
          <w:bCs/>
          <w:sz w:val="32"/>
          <w:szCs w:val="32"/>
        </w:rPr>
      </w:pPr>
      <w:r>
        <w:rPr>
          <w:b/>
          <w:bCs/>
          <w:sz w:val="32"/>
          <w:szCs w:val="32"/>
        </w:rPr>
        <w:t>Extension</w:t>
      </w:r>
    </w:p>
    <w:p w14:paraId="5CE6AB98" w14:textId="77777777" w:rsidR="00BA1A0C" w:rsidRPr="00574EA8" w:rsidRDefault="00BA1A0C" w:rsidP="00CE5AA9">
      <w:pPr>
        <w:tabs>
          <w:tab w:val="center" w:pos="4680"/>
        </w:tabs>
        <w:spacing w:before="120"/>
        <w:jc w:val="center"/>
        <w:rPr>
          <w:b/>
          <w:bCs/>
          <w:sz w:val="32"/>
          <w:szCs w:val="32"/>
        </w:rPr>
      </w:pPr>
    </w:p>
    <w:p w14:paraId="1851C6F4" w14:textId="77777777" w:rsidR="009B3794" w:rsidRPr="00574EA8" w:rsidRDefault="009B3794" w:rsidP="00CE5AA9">
      <w:pPr>
        <w:tabs>
          <w:tab w:val="center" w:pos="4680"/>
        </w:tabs>
        <w:spacing w:before="120"/>
        <w:jc w:val="center"/>
        <w:rPr>
          <w:b/>
          <w:bCs/>
          <w:sz w:val="32"/>
          <w:szCs w:val="32"/>
        </w:rPr>
      </w:pPr>
    </w:p>
    <w:p w14:paraId="144A453A" w14:textId="0A6F86B0" w:rsidR="009B3794" w:rsidRPr="00574EA8" w:rsidRDefault="00DE3A45" w:rsidP="00CE5AA9">
      <w:pPr>
        <w:spacing w:before="120"/>
        <w:rPr>
          <w:b/>
          <w:sz w:val="24"/>
        </w:rPr>
      </w:pPr>
      <w:r w:rsidRPr="00574EA8">
        <w:rPr>
          <w:b/>
          <w:sz w:val="24"/>
        </w:rPr>
        <w:t>Terms of Clearance</w:t>
      </w:r>
      <w:r w:rsidR="00BA1A0C" w:rsidRPr="00574EA8">
        <w:rPr>
          <w:b/>
          <w:sz w:val="24"/>
        </w:rPr>
        <w:t>:</w:t>
      </w:r>
      <w:r w:rsidR="00BA1A0C" w:rsidRPr="00574EA8">
        <w:rPr>
          <w:sz w:val="24"/>
        </w:rPr>
        <w:t xml:space="preserve">  </w:t>
      </w:r>
      <w:r w:rsidR="0027414E">
        <w:rPr>
          <w:b/>
          <w:sz w:val="24"/>
        </w:rPr>
        <w:t>None.</w:t>
      </w:r>
    </w:p>
    <w:p w14:paraId="004E7999" w14:textId="77777777" w:rsidR="009B3794" w:rsidRPr="00574EA8" w:rsidRDefault="009B3794" w:rsidP="00CA3DA6">
      <w:pPr>
        <w:spacing w:before="120"/>
        <w:rPr>
          <w:b/>
          <w:bCs/>
          <w:sz w:val="24"/>
        </w:rPr>
      </w:pPr>
      <w:r w:rsidRPr="00574EA8">
        <w:rPr>
          <w:b/>
          <w:bCs/>
          <w:sz w:val="24"/>
        </w:rPr>
        <w:t>A.</w:t>
      </w:r>
      <w:r w:rsidRPr="00574EA8">
        <w:rPr>
          <w:b/>
          <w:bCs/>
          <w:sz w:val="24"/>
        </w:rPr>
        <w:tab/>
        <w:t>Justification</w:t>
      </w:r>
    </w:p>
    <w:p w14:paraId="5D9B868C" w14:textId="77777777" w:rsidR="009B3794" w:rsidRPr="00574EA8" w:rsidRDefault="009B3794" w:rsidP="00CA3DA6">
      <w:pPr>
        <w:numPr>
          <w:ilvl w:val="0"/>
          <w:numId w:val="2"/>
        </w:numPr>
        <w:tabs>
          <w:tab w:val="clear" w:pos="1080"/>
          <w:tab w:val="num" w:pos="360"/>
        </w:tabs>
        <w:spacing w:before="240"/>
        <w:ind w:left="360"/>
        <w:rPr>
          <w:b/>
          <w:sz w:val="24"/>
        </w:rPr>
      </w:pPr>
      <w:r w:rsidRPr="00574EA8">
        <w:rPr>
          <w:b/>
          <w:sz w:val="24"/>
          <w:u w:val="single"/>
        </w:rPr>
        <w:t>Circumstances Making the Collection of Information Necessary</w:t>
      </w:r>
    </w:p>
    <w:p w14:paraId="328589E5" w14:textId="51A5712A" w:rsidR="007A35D0" w:rsidRPr="00574EA8" w:rsidRDefault="000C6212" w:rsidP="009C53C8">
      <w:pPr>
        <w:spacing w:before="120"/>
        <w:rPr>
          <w:color w:val="000000"/>
          <w:sz w:val="24"/>
        </w:rPr>
      </w:pPr>
      <w:r>
        <w:rPr>
          <w:color w:val="000000"/>
          <w:sz w:val="24"/>
        </w:rPr>
        <w:t>T</w:t>
      </w:r>
      <w:r w:rsidR="007A35D0" w:rsidRPr="00574EA8">
        <w:rPr>
          <w:color w:val="000000"/>
          <w:sz w:val="24"/>
        </w:rPr>
        <w:t xml:space="preserve">he Teaching Health Center Graduate Medical Education (THCGME) program </w:t>
      </w:r>
      <w:r w:rsidR="001938F9" w:rsidRPr="00574EA8">
        <w:rPr>
          <w:color w:val="000000"/>
          <w:sz w:val="24"/>
        </w:rPr>
        <w:t xml:space="preserve">under Title III of the Public Health Service Act </w:t>
      </w:r>
      <w:r w:rsidR="007A35D0" w:rsidRPr="00574EA8">
        <w:rPr>
          <w:color w:val="000000"/>
          <w:sz w:val="24"/>
        </w:rPr>
        <w:t>support</w:t>
      </w:r>
      <w:r w:rsidR="00727D44">
        <w:rPr>
          <w:color w:val="000000"/>
          <w:sz w:val="24"/>
        </w:rPr>
        <w:t>s</w:t>
      </w:r>
      <w:r w:rsidR="00830C4A">
        <w:rPr>
          <w:color w:val="000000"/>
          <w:sz w:val="24"/>
        </w:rPr>
        <w:t xml:space="preserve"> new and</w:t>
      </w:r>
      <w:r w:rsidR="007A35D0" w:rsidRPr="00574EA8">
        <w:rPr>
          <w:color w:val="000000"/>
          <w:sz w:val="24"/>
        </w:rPr>
        <w:t xml:space="preserve"> the expansion of existing primary care residency training programs in community-based settings. The primary goals of this program are to increase the production of primary care doctors who are well prepared to practice in community settings, particularly with underserved populations, and to improve the overall number and geographic distribution of primary care providers.</w:t>
      </w:r>
    </w:p>
    <w:p w14:paraId="4807E0AC" w14:textId="77777777" w:rsidR="007A35D0" w:rsidRPr="00574EA8" w:rsidRDefault="00EE6EE0" w:rsidP="009C53C8">
      <w:pPr>
        <w:spacing w:before="120"/>
        <w:rPr>
          <w:color w:val="000000"/>
          <w:sz w:val="24"/>
        </w:rPr>
      </w:pPr>
      <w:r w:rsidRPr="00574EA8">
        <w:rPr>
          <w:color w:val="000000"/>
          <w:sz w:val="24"/>
        </w:rPr>
        <w:t>The l</w:t>
      </w:r>
      <w:r w:rsidR="007A35D0" w:rsidRPr="00574EA8">
        <w:rPr>
          <w:color w:val="000000"/>
          <w:sz w:val="24"/>
        </w:rPr>
        <w:t>egislation</w:t>
      </w:r>
      <w:r w:rsidR="00A308FA" w:rsidRPr="00574EA8">
        <w:rPr>
          <w:color w:val="000000"/>
          <w:sz w:val="24"/>
        </w:rPr>
        <w:t xml:space="preserve"> specifically</w:t>
      </w:r>
      <w:r w:rsidR="00893BEB">
        <w:rPr>
          <w:color w:val="000000"/>
          <w:sz w:val="24"/>
        </w:rPr>
        <w:t xml:space="preserve"> requires that THC program award recipients</w:t>
      </w:r>
      <w:r w:rsidR="007A35D0" w:rsidRPr="00574EA8">
        <w:rPr>
          <w:color w:val="000000"/>
          <w:sz w:val="24"/>
        </w:rPr>
        <w:t xml:space="preserve"> report annually on the types of primary care residents trained, the number trained, the number who complete residency, the number who care for vulnerable populations, and any other information as deemed appropriate by the Secretary. </w:t>
      </w:r>
      <w:r w:rsidR="00A308FA" w:rsidRPr="00574EA8">
        <w:rPr>
          <w:color w:val="000000"/>
          <w:sz w:val="24"/>
        </w:rPr>
        <w:t>T</w:t>
      </w:r>
      <w:r w:rsidR="007A35D0" w:rsidRPr="00574EA8">
        <w:rPr>
          <w:color w:val="000000"/>
          <w:sz w:val="24"/>
        </w:rPr>
        <w:t xml:space="preserve">he law states: </w:t>
      </w:r>
    </w:p>
    <w:p w14:paraId="7142EF16" w14:textId="77777777" w:rsidR="00193AE4" w:rsidRPr="00574EA8" w:rsidRDefault="00193AE4" w:rsidP="009C53C8">
      <w:pPr>
        <w:spacing w:before="120"/>
        <w:rPr>
          <w:color w:val="000000"/>
          <w:sz w:val="24"/>
        </w:rPr>
      </w:pPr>
    </w:p>
    <w:p w14:paraId="2FDB1F92" w14:textId="77777777" w:rsidR="00A308FA" w:rsidRPr="00574EA8" w:rsidRDefault="00A308FA" w:rsidP="009C53C8">
      <w:pPr>
        <w:pStyle w:val="ListParagraph"/>
        <w:spacing w:before="120"/>
        <w:ind w:left="0" w:right="1440"/>
        <w:jc w:val="both"/>
        <w:rPr>
          <w:i/>
          <w:color w:val="000000"/>
          <w:sz w:val="24"/>
        </w:rPr>
      </w:pPr>
      <w:r w:rsidRPr="00574EA8">
        <w:rPr>
          <w:i/>
          <w:color w:val="000000"/>
          <w:sz w:val="24"/>
        </w:rPr>
        <w:t xml:space="preserve">(1) </w:t>
      </w:r>
      <w:r w:rsidRPr="00574EA8">
        <w:rPr>
          <w:i/>
          <w:smallCaps/>
          <w:color w:val="000000"/>
          <w:sz w:val="24"/>
        </w:rPr>
        <w:t>ANNUAL REPORT</w:t>
      </w:r>
      <w:r w:rsidRPr="00574EA8">
        <w:rPr>
          <w:i/>
          <w:color w:val="000000"/>
          <w:sz w:val="24"/>
        </w:rPr>
        <w:t xml:space="preserve">. </w:t>
      </w:r>
      <w:r w:rsidR="007A35D0" w:rsidRPr="00574EA8">
        <w:rPr>
          <w:i/>
          <w:color w:val="000000"/>
          <w:sz w:val="24"/>
        </w:rPr>
        <w:t xml:space="preserve">The report required under this paragraph for a qualified teaching health center for a fiscal year is a report that includes (in a form and manner specified by the Secretary) the following information for the residency academic year completed immediately prior to such fiscal year: </w:t>
      </w:r>
    </w:p>
    <w:p w14:paraId="0456F231" w14:textId="77777777" w:rsidR="00A308FA" w:rsidRPr="00574EA8" w:rsidRDefault="007A35D0" w:rsidP="009C53C8">
      <w:pPr>
        <w:pStyle w:val="ListParagraph"/>
        <w:spacing w:before="120"/>
        <w:ind w:left="0" w:right="1440"/>
        <w:jc w:val="both"/>
        <w:rPr>
          <w:i/>
          <w:color w:val="000000"/>
          <w:sz w:val="24"/>
        </w:rPr>
      </w:pPr>
      <w:r w:rsidRPr="00574EA8">
        <w:rPr>
          <w:i/>
          <w:color w:val="000000"/>
          <w:sz w:val="24"/>
        </w:rPr>
        <w:t xml:space="preserve">A) The types of primary care resident approved training programs that the qualified teaching health center provided for residents. </w:t>
      </w:r>
    </w:p>
    <w:p w14:paraId="16960696" w14:textId="77777777" w:rsidR="00A308FA" w:rsidRPr="00574EA8" w:rsidRDefault="00A308FA" w:rsidP="009C53C8">
      <w:pPr>
        <w:pStyle w:val="ListParagraph"/>
        <w:spacing w:before="120"/>
        <w:ind w:left="0" w:right="1440"/>
        <w:jc w:val="both"/>
        <w:rPr>
          <w:i/>
          <w:color w:val="000000"/>
          <w:sz w:val="24"/>
        </w:rPr>
      </w:pPr>
      <w:r w:rsidRPr="00574EA8">
        <w:rPr>
          <w:i/>
          <w:color w:val="000000"/>
          <w:sz w:val="24"/>
        </w:rPr>
        <w:t xml:space="preserve">(B) </w:t>
      </w:r>
      <w:r w:rsidR="007A35D0" w:rsidRPr="00574EA8">
        <w:rPr>
          <w:i/>
          <w:color w:val="000000"/>
          <w:sz w:val="24"/>
        </w:rPr>
        <w:t xml:space="preserve">The number of approved training positions for residents described in paragraph (4). </w:t>
      </w:r>
    </w:p>
    <w:p w14:paraId="14877898" w14:textId="77777777" w:rsidR="00A308FA" w:rsidRPr="00574EA8" w:rsidRDefault="007A35D0" w:rsidP="009C53C8">
      <w:pPr>
        <w:pStyle w:val="ListParagraph"/>
        <w:spacing w:before="120"/>
        <w:ind w:left="0" w:right="1440"/>
        <w:jc w:val="both"/>
        <w:rPr>
          <w:i/>
          <w:color w:val="000000"/>
          <w:sz w:val="24"/>
        </w:rPr>
      </w:pPr>
      <w:r w:rsidRPr="00574EA8">
        <w:rPr>
          <w:i/>
          <w:color w:val="000000"/>
          <w:sz w:val="24"/>
        </w:rPr>
        <w:t xml:space="preserve">(C) The number of residents described in paragraph (4) who completed their residency training at the end of such residency academic year and care for </w:t>
      </w:r>
      <w:r w:rsidRPr="00574EA8">
        <w:rPr>
          <w:i/>
          <w:color w:val="000000"/>
          <w:sz w:val="24"/>
        </w:rPr>
        <w:lastRenderedPageBreak/>
        <w:t>vulnerable populations living in underserved areas.</w:t>
      </w:r>
    </w:p>
    <w:p w14:paraId="2C2A195D" w14:textId="77777777" w:rsidR="00EE6EE0" w:rsidRPr="00574EA8" w:rsidRDefault="007A35D0" w:rsidP="009C53C8">
      <w:pPr>
        <w:pStyle w:val="ListParagraph"/>
        <w:spacing w:before="120"/>
        <w:ind w:left="0" w:right="1440"/>
        <w:jc w:val="both"/>
      </w:pPr>
      <w:r w:rsidRPr="00574EA8">
        <w:rPr>
          <w:i/>
          <w:color w:val="000000"/>
          <w:sz w:val="24"/>
        </w:rPr>
        <w:t>(D) Other information as deemed appropriate by the Secretary.</w:t>
      </w:r>
      <w:r w:rsidRPr="00574EA8">
        <w:rPr>
          <w:color w:val="000000"/>
          <w:sz w:val="24"/>
        </w:rPr>
        <w:t>”</w:t>
      </w:r>
    </w:p>
    <w:p w14:paraId="55F374E6" w14:textId="5873A821" w:rsidR="00BD4E79" w:rsidRPr="00574EA8" w:rsidRDefault="0038236E" w:rsidP="00BD4E79">
      <w:pPr>
        <w:spacing w:before="120"/>
        <w:rPr>
          <w:color w:val="000000"/>
          <w:sz w:val="24"/>
        </w:rPr>
      </w:pPr>
      <w:r w:rsidRPr="00574EA8">
        <w:rPr>
          <w:color w:val="000000"/>
          <w:sz w:val="24"/>
        </w:rPr>
        <w:t xml:space="preserve">This program aims to increase the number of new primary care physicians and dentists trained in community-based settings who go on to practice in primary care and in rural and underserved settings. The THCGME program differs from traditional funding of GME programs, largely through Medicare, by requiring that the funding go directly to a community-based ambulatory patient care site. This program is significantly different than traditional Medicare GME which is paid largely to inpatient hospitals, and therefore the THCGME program is expected to incentivize a different model of training with the aim of producing primary care providers who are better trained to provide primary care and practice in community-based, often underserved, settings. </w:t>
      </w:r>
      <w:r w:rsidR="00BD4E79" w:rsidRPr="00574EA8">
        <w:rPr>
          <w:color w:val="000000"/>
          <w:sz w:val="24"/>
        </w:rPr>
        <w:t>The George Washington University (GW), through a competitive process, was awarded the Evaluation and Initial Assessment of HRSA Teaching Health Centers contract. The purpose of this contract is to conduct an assessment over a five</w:t>
      </w:r>
      <w:r w:rsidR="00CD721D">
        <w:rPr>
          <w:color w:val="000000"/>
          <w:sz w:val="24"/>
        </w:rPr>
        <w:t>-</w:t>
      </w:r>
      <w:r w:rsidR="00BD4E79" w:rsidRPr="00574EA8">
        <w:rPr>
          <w:color w:val="000000"/>
          <w:sz w:val="24"/>
        </w:rPr>
        <w:t xml:space="preserve">year period to better understand this model of community-based residency training and examine </w:t>
      </w:r>
      <w:r w:rsidR="00893BEB">
        <w:rPr>
          <w:color w:val="000000"/>
          <w:sz w:val="24"/>
        </w:rPr>
        <w:t>the outcomes of the THC program award recipients</w:t>
      </w:r>
      <w:r w:rsidR="00BD4E79" w:rsidRPr="00574EA8">
        <w:rPr>
          <w:color w:val="000000"/>
          <w:sz w:val="24"/>
        </w:rPr>
        <w:t xml:space="preserve">, in terms of production of primary care providers and providers who practice in underserved settings. </w:t>
      </w:r>
    </w:p>
    <w:p w14:paraId="1C1E6A3C" w14:textId="0732FC04" w:rsidR="003F27B0" w:rsidRPr="00574EA8" w:rsidRDefault="00BD4E79" w:rsidP="00BD4E79">
      <w:pPr>
        <w:spacing w:before="120"/>
        <w:rPr>
          <w:color w:val="000000"/>
          <w:sz w:val="24"/>
        </w:rPr>
      </w:pPr>
      <w:r w:rsidRPr="00574EA8">
        <w:rPr>
          <w:color w:val="000000"/>
          <w:sz w:val="24"/>
        </w:rPr>
        <w:t xml:space="preserve">GW </w:t>
      </w:r>
      <w:r w:rsidR="00893BEB">
        <w:rPr>
          <w:color w:val="000000"/>
          <w:sz w:val="24"/>
        </w:rPr>
        <w:t>has been</w:t>
      </w:r>
      <w:r w:rsidRPr="00574EA8">
        <w:rPr>
          <w:color w:val="000000"/>
          <w:sz w:val="24"/>
        </w:rPr>
        <w:t xml:space="preserve"> collect</w:t>
      </w:r>
      <w:r w:rsidR="00893BEB">
        <w:rPr>
          <w:color w:val="000000"/>
          <w:sz w:val="24"/>
        </w:rPr>
        <w:t xml:space="preserve">ing information from THC </w:t>
      </w:r>
      <w:r w:rsidR="00AB7B66">
        <w:rPr>
          <w:color w:val="000000"/>
          <w:sz w:val="24"/>
        </w:rPr>
        <w:t xml:space="preserve">residency </w:t>
      </w:r>
      <w:r w:rsidR="00893BEB">
        <w:rPr>
          <w:color w:val="000000"/>
          <w:sz w:val="24"/>
        </w:rPr>
        <w:t>program award recipients</w:t>
      </w:r>
      <w:r w:rsidRPr="00574EA8">
        <w:rPr>
          <w:color w:val="000000"/>
          <w:sz w:val="24"/>
        </w:rPr>
        <w:t xml:space="preserve"> regarding the types of primary care residency programs and numbers trained, as well as information on curricular components that demonstrate community and primary care orientation. GW </w:t>
      </w:r>
      <w:r w:rsidR="00893BEB">
        <w:rPr>
          <w:color w:val="000000"/>
          <w:sz w:val="24"/>
        </w:rPr>
        <w:t xml:space="preserve">has also been </w:t>
      </w:r>
      <w:r w:rsidRPr="00574EA8">
        <w:rPr>
          <w:color w:val="000000"/>
          <w:sz w:val="24"/>
        </w:rPr>
        <w:t>directly gather</w:t>
      </w:r>
      <w:r w:rsidR="00893BEB">
        <w:rPr>
          <w:color w:val="000000"/>
          <w:sz w:val="24"/>
        </w:rPr>
        <w:t>ing</w:t>
      </w:r>
      <w:r w:rsidRPr="00574EA8">
        <w:rPr>
          <w:color w:val="000000"/>
          <w:sz w:val="24"/>
        </w:rPr>
        <w:t xml:space="preserve"> information from THC residents and alumni using a multi-staged survey format to establish a baseline census of the individuals who choose THC </w:t>
      </w:r>
      <w:r w:rsidR="00AB7B66">
        <w:rPr>
          <w:color w:val="000000"/>
          <w:sz w:val="24"/>
        </w:rPr>
        <w:t xml:space="preserve">residency </w:t>
      </w:r>
      <w:r w:rsidRPr="00574EA8">
        <w:rPr>
          <w:color w:val="000000"/>
          <w:sz w:val="24"/>
        </w:rPr>
        <w:t>programs and determine the career outcomes of THC graduates. Research has shown that certain factors are associated with primary care and underserved career choices.</w:t>
      </w:r>
      <w:r w:rsidR="003F27B0" w:rsidRPr="00B72301">
        <w:rPr>
          <w:rStyle w:val="FootnoteReference"/>
          <w:color w:val="000000"/>
          <w:sz w:val="24"/>
          <w:vertAlign w:val="superscript"/>
        </w:rPr>
        <w:footnoteReference w:id="1"/>
      </w:r>
      <w:r w:rsidRPr="00574EA8">
        <w:rPr>
          <w:color w:val="000000"/>
          <w:sz w:val="24"/>
        </w:rPr>
        <w:t xml:space="preserve"> At the individual level these factors include gender, age, rural background, student debt levels, and intent to practice in certain specialties or settings. Medical school level factors have also been shown to correlate with career outcomes, including primary </w:t>
      </w:r>
      <w:r w:rsidR="00C07246">
        <w:rPr>
          <w:color w:val="000000"/>
          <w:sz w:val="24"/>
        </w:rPr>
        <w:t>care and rural experiences.</w:t>
      </w:r>
      <w:r w:rsidR="003F27B0" w:rsidRPr="00B72301">
        <w:rPr>
          <w:rStyle w:val="FootnoteReference"/>
          <w:color w:val="000000"/>
          <w:sz w:val="24"/>
          <w:vertAlign w:val="superscript"/>
        </w:rPr>
        <w:footnoteReference w:id="2"/>
      </w:r>
      <w:r w:rsidR="00C07246">
        <w:rPr>
          <w:color w:val="000000"/>
          <w:sz w:val="24"/>
        </w:rPr>
        <w:t xml:space="preserve">  </w:t>
      </w:r>
      <w:r w:rsidRPr="00574EA8">
        <w:rPr>
          <w:color w:val="000000"/>
          <w:sz w:val="24"/>
        </w:rPr>
        <w:t>Collecting this information is important both to assess whether THC</w:t>
      </w:r>
      <w:r w:rsidR="00AB7B66">
        <w:rPr>
          <w:color w:val="000000"/>
          <w:sz w:val="24"/>
        </w:rPr>
        <w:t xml:space="preserve"> residency</w:t>
      </w:r>
      <w:r w:rsidRPr="00574EA8">
        <w:rPr>
          <w:color w:val="000000"/>
          <w:sz w:val="24"/>
        </w:rPr>
        <w:t xml:space="preserve"> programs are attracting those residents who are most likely to choose primary care and underserved careers, as well as to assess the relationship of these factors with future outcomes for THC</w:t>
      </w:r>
      <w:r w:rsidR="00AB7B66">
        <w:rPr>
          <w:color w:val="000000"/>
          <w:sz w:val="24"/>
        </w:rPr>
        <w:t xml:space="preserve"> residency</w:t>
      </w:r>
      <w:r w:rsidRPr="00574EA8">
        <w:rPr>
          <w:color w:val="000000"/>
          <w:sz w:val="24"/>
        </w:rPr>
        <w:t xml:space="preserve"> programs.</w:t>
      </w:r>
    </w:p>
    <w:p w14:paraId="495E0FDC" w14:textId="77777777" w:rsidR="009B3794" w:rsidRPr="00574EA8" w:rsidRDefault="009B3794" w:rsidP="00CA3DA6">
      <w:pPr>
        <w:spacing w:before="240"/>
        <w:rPr>
          <w:b/>
          <w:sz w:val="24"/>
        </w:rPr>
      </w:pPr>
      <w:r w:rsidRPr="00574EA8">
        <w:rPr>
          <w:b/>
          <w:sz w:val="24"/>
          <w:u w:val="single"/>
        </w:rPr>
        <w:t>Purpose and Use of Information Collection</w:t>
      </w:r>
    </w:p>
    <w:p w14:paraId="38933E78" w14:textId="77777777" w:rsidR="002858DB" w:rsidRPr="00574EA8" w:rsidRDefault="00EE6EE0" w:rsidP="002858DB">
      <w:pPr>
        <w:pStyle w:val="Heading4"/>
        <w:rPr>
          <w:rFonts w:ascii="Times New Roman" w:eastAsia="Times New Roman" w:hAnsi="Times New Roman" w:cs="Times New Roman"/>
          <w:b w:val="0"/>
          <w:bCs w:val="0"/>
          <w:i w:val="0"/>
          <w:iCs w:val="0"/>
          <w:color w:val="000000"/>
          <w:sz w:val="24"/>
        </w:rPr>
      </w:pPr>
      <w:r w:rsidRPr="00574EA8">
        <w:rPr>
          <w:color w:val="000000"/>
          <w:sz w:val="24"/>
        </w:rPr>
        <w:t xml:space="preserve">In order to ensure the goals </w:t>
      </w:r>
      <w:r w:rsidR="00193AE4" w:rsidRPr="00574EA8">
        <w:rPr>
          <w:color w:val="000000"/>
          <w:sz w:val="24"/>
        </w:rPr>
        <w:t xml:space="preserve">and reporting requirements </w:t>
      </w:r>
      <w:r w:rsidRPr="00574EA8">
        <w:rPr>
          <w:color w:val="000000"/>
          <w:sz w:val="24"/>
        </w:rPr>
        <w:t xml:space="preserve">of the THCGME program are met, </w:t>
      </w:r>
      <w:r w:rsidR="007A35D0" w:rsidRPr="00574EA8">
        <w:rPr>
          <w:color w:val="000000"/>
          <w:sz w:val="24"/>
        </w:rPr>
        <w:t>GW</w:t>
      </w:r>
      <w:r w:rsidR="00893BEB">
        <w:rPr>
          <w:color w:val="000000"/>
          <w:sz w:val="24"/>
        </w:rPr>
        <w:t>, under contract with BHW</w:t>
      </w:r>
      <w:r w:rsidR="002A6894" w:rsidRPr="00574EA8">
        <w:rPr>
          <w:color w:val="000000"/>
          <w:sz w:val="24"/>
        </w:rPr>
        <w:t xml:space="preserve">, </w:t>
      </w:r>
      <w:r w:rsidR="007A35D0" w:rsidRPr="00574EA8">
        <w:rPr>
          <w:color w:val="000000"/>
          <w:sz w:val="24"/>
        </w:rPr>
        <w:t xml:space="preserve">has developed </w:t>
      </w:r>
      <w:r w:rsidRPr="00574EA8">
        <w:rPr>
          <w:color w:val="000000"/>
          <w:sz w:val="24"/>
        </w:rPr>
        <w:t xml:space="preserve">four instruments to collect data </w:t>
      </w:r>
      <w:r w:rsidR="002A6894" w:rsidRPr="00574EA8">
        <w:rPr>
          <w:color w:val="000000"/>
          <w:sz w:val="24"/>
        </w:rPr>
        <w:t>from</w:t>
      </w:r>
      <w:r w:rsidRPr="00574EA8">
        <w:rPr>
          <w:color w:val="000000"/>
          <w:sz w:val="24"/>
        </w:rPr>
        <w:t xml:space="preserve"> each of the programs and their residents: 1) </w:t>
      </w:r>
      <w:r w:rsidR="00193AE4" w:rsidRPr="00574EA8">
        <w:rPr>
          <w:color w:val="000000"/>
          <w:sz w:val="24"/>
        </w:rPr>
        <w:t xml:space="preserve">Program </w:t>
      </w:r>
      <w:r w:rsidRPr="00574EA8">
        <w:rPr>
          <w:color w:val="000000"/>
          <w:sz w:val="24"/>
        </w:rPr>
        <w:t>Data Collection Tool, 2) THC Matricula</w:t>
      </w:r>
      <w:r w:rsidR="00193AE4" w:rsidRPr="00574EA8">
        <w:rPr>
          <w:color w:val="000000"/>
          <w:sz w:val="24"/>
        </w:rPr>
        <w:t>nt</w:t>
      </w:r>
      <w:r w:rsidRPr="00574EA8">
        <w:rPr>
          <w:color w:val="000000"/>
          <w:sz w:val="24"/>
        </w:rPr>
        <w:t xml:space="preserve"> Survey, 3) THC Graduat</w:t>
      </w:r>
      <w:r w:rsidR="009030C8" w:rsidRPr="00574EA8">
        <w:rPr>
          <w:color w:val="000000"/>
          <w:sz w:val="24"/>
        </w:rPr>
        <w:t>ion</w:t>
      </w:r>
      <w:r w:rsidRPr="00574EA8">
        <w:rPr>
          <w:color w:val="000000"/>
          <w:sz w:val="24"/>
        </w:rPr>
        <w:t xml:space="preserve"> Survey and 4) THC </w:t>
      </w:r>
      <w:r w:rsidR="00A56666">
        <w:rPr>
          <w:color w:val="000000"/>
          <w:sz w:val="24"/>
        </w:rPr>
        <w:t>Alumni</w:t>
      </w:r>
      <w:r w:rsidR="006B175B">
        <w:rPr>
          <w:color w:val="000000"/>
          <w:sz w:val="24"/>
        </w:rPr>
        <w:t xml:space="preserve"> </w:t>
      </w:r>
      <w:r w:rsidRPr="00574EA8">
        <w:rPr>
          <w:color w:val="000000"/>
          <w:sz w:val="24"/>
        </w:rPr>
        <w:t xml:space="preserve">Survey. </w:t>
      </w:r>
      <w:r w:rsidR="002858DB" w:rsidRPr="00574EA8">
        <w:rPr>
          <w:rFonts w:ascii="Times New Roman" w:eastAsia="Times New Roman" w:hAnsi="Times New Roman" w:cs="Times New Roman"/>
          <w:i w:val="0"/>
          <w:iCs w:val="0"/>
          <w:color w:val="000000"/>
          <w:sz w:val="24"/>
        </w:rPr>
        <w:t>Data Collection Instruments</w:t>
      </w:r>
      <w:r w:rsidR="002858DB" w:rsidRPr="00574EA8">
        <w:rPr>
          <w:rFonts w:ascii="Times New Roman" w:eastAsia="Times New Roman" w:hAnsi="Times New Roman" w:cs="Times New Roman"/>
          <w:b w:val="0"/>
          <w:bCs w:val="0"/>
          <w:i w:val="0"/>
          <w:iCs w:val="0"/>
          <w:color w:val="000000"/>
          <w:sz w:val="24"/>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3700"/>
        <w:gridCol w:w="2830"/>
        <w:gridCol w:w="2810"/>
      </w:tblGrid>
      <w:tr w:rsidR="002858DB" w:rsidRPr="00574EA8" w14:paraId="26533BE7" w14:textId="77777777" w:rsidTr="004973CD">
        <w:tc>
          <w:tcPr>
            <w:tcW w:w="3794" w:type="dxa"/>
            <w:tcBorders>
              <w:right w:val="nil"/>
            </w:tcBorders>
            <w:shd w:val="clear" w:color="auto" w:fill="4F81BD"/>
          </w:tcPr>
          <w:p w14:paraId="03D04961" w14:textId="77777777" w:rsidR="002858DB" w:rsidRPr="00574EA8" w:rsidRDefault="002858DB" w:rsidP="004973CD">
            <w:pPr>
              <w:rPr>
                <w:color w:val="000000"/>
                <w:sz w:val="24"/>
              </w:rPr>
            </w:pPr>
            <w:r w:rsidRPr="00574EA8">
              <w:rPr>
                <w:color w:val="000000"/>
                <w:sz w:val="24"/>
              </w:rPr>
              <w:t>Data Collection Instrument</w:t>
            </w:r>
          </w:p>
        </w:tc>
        <w:tc>
          <w:tcPr>
            <w:tcW w:w="2891" w:type="dxa"/>
            <w:tcBorders>
              <w:left w:val="nil"/>
              <w:right w:val="nil"/>
            </w:tcBorders>
            <w:shd w:val="clear" w:color="auto" w:fill="4F81BD"/>
          </w:tcPr>
          <w:p w14:paraId="689BC229" w14:textId="77777777" w:rsidR="002858DB" w:rsidRPr="00574EA8" w:rsidRDefault="002858DB" w:rsidP="004973CD">
            <w:pPr>
              <w:rPr>
                <w:color w:val="000000"/>
                <w:sz w:val="24"/>
              </w:rPr>
            </w:pPr>
            <w:r w:rsidRPr="00574EA8">
              <w:rPr>
                <w:color w:val="000000"/>
                <w:sz w:val="24"/>
              </w:rPr>
              <w:t>Subject (Recipient)</w:t>
            </w:r>
          </w:p>
        </w:tc>
        <w:tc>
          <w:tcPr>
            <w:tcW w:w="2891" w:type="dxa"/>
            <w:tcBorders>
              <w:left w:val="nil"/>
            </w:tcBorders>
            <w:shd w:val="clear" w:color="auto" w:fill="4F81BD"/>
          </w:tcPr>
          <w:p w14:paraId="3A749A61" w14:textId="77777777" w:rsidR="002858DB" w:rsidRPr="00574EA8" w:rsidRDefault="002858DB" w:rsidP="004973CD">
            <w:pPr>
              <w:rPr>
                <w:color w:val="000000"/>
                <w:sz w:val="24"/>
              </w:rPr>
            </w:pPr>
            <w:r w:rsidRPr="00574EA8">
              <w:rPr>
                <w:color w:val="000000"/>
                <w:sz w:val="24"/>
              </w:rPr>
              <w:t>Timeline</w:t>
            </w:r>
          </w:p>
        </w:tc>
      </w:tr>
      <w:tr w:rsidR="002858DB" w:rsidRPr="00574EA8" w14:paraId="4AFD240B" w14:textId="77777777" w:rsidTr="004973CD">
        <w:trPr>
          <w:trHeight w:val="367"/>
        </w:trPr>
        <w:tc>
          <w:tcPr>
            <w:tcW w:w="3794" w:type="dxa"/>
            <w:tcBorders>
              <w:right w:val="nil"/>
            </w:tcBorders>
            <w:shd w:val="clear" w:color="auto" w:fill="D3DFEE"/>
          </w:tcPr>
          <w:p w14:paraId="622DDD64" w14:textId="77777777" w:rsidR="002858DB" w:rsidRPr="00574EA8" w:rsidRDefault="002858DB" w:rsidP="002858DB">
            <w:pPr>
              <w:pStyle w:val="ListParagraph"/>
              <w:widowControl/>
              <w:numPr>
                <w:ilvl w:val="0"/>
                <w:numId w:val="52"/>
              </w:numPr>
              <w:autoSpaceDE/>
              <w:autoSpaceDN/>
              <w:adjustRightInd/>
              <w:ind w:left="360"/>
              <w:contextualSpacing/>
              <w:rPr>
                <w:color w:val="000000"/>
                <w:sz w:val="24"/>
              </w:rPr>
            </w:pPr>
            <w:r w:rsidRPr="00574EA8">
              <w:rPr>
                <w:color w:val="000000"/>
                <w:sz w:val="24"/>
              </w:rPr>
              <w:t>Program Data Collection Tool</w:t>
            </w:r>
          </w:p>
        </w:tc>
        <w:tc>
          <w:tcPr>
            <w:tcW w:w="2891" w:type="dxa"/>
            <w:tcBorders>
              <w:left w:val="nil"/>
              <w:right w:val="nil"/>
            </w:tcBorders>
            <w:shd w:val="clear" w:color="auto" w:fill="D3DFEE"/>
          </w:tcPr>
          <w:p w14:paraId="14932251" w14:textId="77777777" w:rsidR="002858DB" w:rsidRPr="00574EA8" w:rsidRDefault="002858DB" w:rsidP="004973CD">
            <w:pPr>
              <w:rPr>
                <w:color w:val="000000"/>
                <w:sz w:val="24"/>
              </w:rPr>
            </w:pPr>
            <w:r w:rsidRPr="00574EA8">
              <w:rPr>
                <w:color w:val="000000"/>
                <w:sz w:val="24"/>
              </w:rPr>
              <w:t>Program manager</w:t>
            </w:r>
          </w:p>
        </w:tc>
        <w:tc>
          <w:tcPr>
            <w:tcW w:w="2891" w:type="dxa"/>
            <w:tcBorders>
              <w:left w:val="nil"/>
            </w:tcBorders>
            <w:shd w:val="clear" w:color="auto" w:fill="D3DFEE"/>
          </w:tcPr>
          <w:p w14:paraId="6B9840DC" w14:textId="77777777" w:rsidR="002858DB" w:rsidRPr="00574EA8" w:rsidRDefault="00893BEB" w:rsidP="004973CD">
            <w:pPr>
              <w:rPr>
                <w:color w:val="000000"/>
                <w:sz w:val="24"/>
              </w:rPr>
            </w:pPr>
            <w:r>
              <w:rPr>
                <w:color w:val="000000"/>
                <w:sz w:val="24"/>
              </w:rPr>
              <w:t>Once for each program</w:t>
            </w:r>
          </w:p>
        </w:tc>
      </w:tr>
      <w:tr w:rsidR="002858DB" w:rsidRPr="00574EA8" w14:paraId="619499E0" w14:textId="77777777" w:rsidTr="004973CD">
        <w:trPr>
          <w:trHeight w:val="340"/>
        </w:trPr>
        <w:tc>
          <w:tcPr>
            <w:tcW w:w="3794" w:type="dxa"/>
            <w:tcBorders>
              <w:right w:val="nil"/>
            </w:tcBorders>
          </w:tcPr>
          <w:p w14:paraId="6C5C9807" w14:textId="77777777" w:rsidR="002858DB" w:rsidRPr="00574EA8" w:rsidRDefault="002858DB" w:rsidP="002858DB">
            <w:pPr>
              <w:pStyle w:val="ListParagraph"/>
              <w:widowControl/>
              <w:numPr>
                <w:ilvl w:val="0"/>
                <w:numId w:val="52"/>
              </w:numPr>
              <w:autoSpaceDE/>
              <w:autoSpaceDN/>
              <w:adjustRightInd/>
              <w:ind w:left="360"/>
              <w:contextualSpacing/>
              <w:rPr>
                <w:color w:val="000000"/>
                <w:sz w:val="24"/>
              </w:rPr>
            </w:pPr>
            <w:r w:rsidRPr="00574EA8">
              <w:rPr>
                <w:color w:val="000000"/>
                <w:sz w:val="24"/>
              </w:rPr>
              <w:lastRenderedPageBreak/>
              <w:t>Matriculant Survey</w:t>
            </w:r>
          </w:p>
        </w:tc>
        <w:tc>
          <w:tcPr>
            <w:tcW w:w="2891" w:type="dxa"/>
            <w:tcBorders>
              <w:left w:val="nil"/>
              <w:right w:val="nil"/>
            </w:tcBorders>
          </w:tcPr>
          <w:p w14:paraId="3741432C" w14:textId="77777777" w:rsidR="002858DB" w:rsidRPr="00574EA8" w:rsidRDefault="002858DB" w:rsidP="004973CD">
            <w:pPr>
              <w:rPr>
                <w:color w:val="000000"/>
                <w:sz w:val="24"/>
              </w:rPr>
            </w:pPr>
            <w:r w:rsidRPr="00574EA8">
              <w:rPr>
                <w:color w:val="000000"/>
                <w:sz w:val="24"/>
              </w:rPr>
              <w:t>Matriculating resident</w:t>
            </w:r>
          </w:p>
        </w:tc>
        <w:tc>
          <w:tcPr>
            <w:tcW w:w="2891" w:type="dxa"/>
            <w:tcBorders>
              <w:left w:val="nil"/>
            </w:tcBorders>
          </w:tcPr>
          <w:p w14:paraId="5DBAC7EC" w14:textId="77777777" w:rsidR="002858DB" w:rsidRPr="00574EA8" w:rsidRDefault="002858DB" w:rsidP="004973CD">
            <w:pPr>
              <w:rPr>
                <w:color w:val="000000"/>
                <w:sz w:val="24"/>
              </w:rPr>
            </w:pPr>
            <w:r w:rsidRPr="00574EA8">
              <w:rPr>
                <w:color w:val="000000"/>
                <w:sz w:val="24"/>
              </w:rPr>
              <w:t>Annual – July*</w:t>
            </w:r>
          </w:p>
        </w:tc>
      </w:tr>
      <w:tr w:rsidR="002858DB" w:rsidRPr="00574EA8" w14:paraId="7C61B177" w14:textId="77777777" w:rsidTr="004973CD">
        <w:trPr>
          <w:trHeight w:val="340"/>
        </w:trPr>
        <w:tc>
          <w:tcPr>
            <w:tcW w:w="3794" w:type="dxa"/>
            <w:tcBorders>
              <w:right w:val="nil"/>
            </w:tcBorders>
            <w:shd w:val="clear" w:color="auto" w:fill="D3DFEE"/>
          </w:tcPr>
          <w:p w14:paraId="1CE00ADB" w14:textId="77777777" w:rsidR="002858DB" w:rsidRPr="00574EA8" w:rsidRDefault="002858DB" w:rsidP="002858DB">
            <w:pPr>
              <w:pStyle w:val="ListParagraph"/>
              <w:widowControl/>
              <w:numPr>
                <w:ilvl w:val="0"/>
                <w:numId w:val="52"/>
              </w:numPr>
              <w:autoSpaceDE/>
              <w:autoSpaceDN/>
              <w:adjustRightInd/>
              <w:ind w:left="360"/>
              <w:contextualSpacing/>
              <w:rPr>
                <w:color w:val="000000"/>
                <w:sz w:val="24"/>
              </w:rPr>
            </w:pPr>
            <w:r w:rsidRPr="00574EA8">
              <w:rPr>
                <w:color w:val="000000"/>
                <w:sz w:val="24"/>
              </w:rPr>
              <w:t>Graduation Survey</w:t>
            </w:r>
          </w:p>
        </w:tc>
        <w:tc>
          <w:tcPr>
            <w:tcW w:w="2891" w:type="dxa"/>
            <w:tcBorders>
              <w:left w:val="nil"/>
              <w:right w:val="nil"/>
            </w:tcBorders>
            <w:shd w:val="clear" w:color="auto" w:fill="D3DFEE"/>
          </w:tcPr>
          <w:p w14:paraId="5A0D3D49" w14:textId="77777777" w:rsidR="002858DB" w:rsidRPr="00574EA8" w:rsidRDefault="002858DB" w:rsidP="004973CD">
            <w:pPr>
              <w:rPr>
                <w:color w:val="000000"/>
                <w:sz w:val="24"/>
              </w:rPr>
            </w:pPr>
            <w:r w:rsidRPr="00574EA8">
              <w:rPr>
                <w:color w:val="000000"/>
                <w:sz w:val="24"/>
              </w:rPr>
              <w:t>Graduating resident</w:t>
            </w:r>
          </w:p>
        </w:tc>
        <w:tc>
          <w:tcPr>
            <w:tcW w:w="2891" w:type="dxa"/>
            <w:tcBorders>
              <w:left w:val="nil"/>
            </w:tcBorders>
            <w:shd w:val="clear" w:color="auto" w:fill="D3DFEE"/>
          </w:tcPr>
          <w:p w14:paraId="48F50F88" w14:textId="77777777" w:rsidR="002858DB" w:rsidRPr="00574EA8" w:rsidRDefault="002858DB" w:rsidP="004973CD">
            <w:pPr>
              <w:rPr>
                <w:color w:val="000000"/>
                <w:sz w:val="24"/>
              </w:rPr>
            </w:pPr>
            <w:r w:rsidRPr="00574EA8">
              <w:rPr>
                <w:color w:val="000000"/>
                <w:sz w:val="24"/>
              </w:rPr>
              <w:t>Annual – June*</w:t>
            </w:r>
          </w:p>
        </w:tc>
      </w:tr>
      <w:tr w:rsidR="002858DB" w:rsidRPr="00574EA8" w14:paraId="53D97FE3" w14:textId="77777777" w:rsidTr="004973CD">
        <w:trPr>
          <w:trHeight w:val="610"/>
        </w:trPr>
        <w:tc>
          <w:tcPr>
            <w:tcW w:w="3794" w:type="dxa"/>
            <w:tcBorders>
              <w:right w:val="nil"/>
            </w:tcBorders>
          </w:tcPr>
          <w:p w14:paraId="4AE212FF" w14:textId="77777777" w:rsidR="002858DB" w:rsidRPr="00574EA8" w:rsidRDefault="00A56666" w:rsidP="002858DB">
            <w:pPr>
              <w:pStyle w:val="ListParagraph"/>
              <w:widowControl/>
              <w:numPr>
                <w:ilvl w:val="0"/>
                <w:numId w:val="52"/>
              </w:numPr>
              <w:autoSpaceDE/>
              <w:autoSpaceDN/>
              <w:adjustRightInd/>
              <w:ind w:left="360"/>
              <w:contextualSpacing/>
              <w:rPr>
                <w:color w:val="000000"/>
                <w:sz w:val="24"/>
              </w:rPr>
            </w:pPr>
            <w:r>
              <w:rPr>
                <w:color w:val="000000"/>
                <w:sz w:val="24"/>
              </w:rPr>
              <w:t>Alumni</w:t>
            </w:r>
            <w:r w:rsidR="002858DB" w:rsidRPr="00574EA8">
              <w:rPr>
                <w:color w:val="000000"/>
                <w:sz w:val="24"/>
              </w:rPr>
              <w:t xml:space="preserve"> Survey</w:t>
            </w:r>
          </w:p>
        </w:tc>
        <w:tc>
          <w:tcPr>
            <w:tcW w:w="2891" w:type="dxa"/>
            <w:tcBorders>
              <w:left w:val="nil"/>
              <w:right w:val="nil"/>
            </w:tcBorders>
          </w:tcPr>
          <w:p w14:paraId="5DFFA8B6" w14:textId="77777777" w:rsidR="002858DB" w:rsidRPr="00574EA8" w:rsidRDefault="002858DB" w:rsidP="004973CD">
            <w:pPr>
              <w:rPr>
                <w:color w:val="000000"/>
                <w:sz w:val="24"/>
              </w:rPr>
            </w:pPr>
            <w:r w:rsidRPr="00574EA8">
              <w:rPr>
                <w:color w:val="000000"/>
                <w:sz w:val="24"/>
              </w:rPr>
              <w:t>Graduate physician (one year post graduation)</w:t>
            </w:r>
          </w:p>
        </w:tc>
        <w:tc>
          <w:tcPr>
            <w:tcW w:w="2891" w:type="dxa"/>
            <w:tcBorders>
              <w:left w:val="nil"/>
            </w:tcBorders>
          </w:tcPr>
          <w:p w14:paraId="33F8336C" w14:textId="77777777" w:rsidR="002858DB" w:rsidRPr="00574EA8" w:rsidRDefault="002858DB" w:rsidP="004973CD">
            <w:pPr>
              <w:rPr>
                <w:color w:val="000000"/>
                <w:sz w:val="24"/>
              </w:rPr>
            </w:pPr>
            <w:r w:rsidRPr="00574EA8">
              <w:rPr>
                <w:color w:val="000000"/>
                <w:sz w:val="24"/>
              </w:rPr>
              <w:t>Annual – June*</w:t>
            </w:r>
          </w:p>
        </w:tc>
      </w:tr>
    </w:tbl>
    <w:p w14:paraId="5A0C1682" w14:textId="49FAE8F7" w:rsidR="002858DB" w:rsidRPr="00574EA8" w:rsidRDefault="00574EA8" w:rsidP="0032619C">
      <w:pPr>
        <w:widowControl/>
        <w:autoSpaceDE/>
        <w:autoSpaceDN/>
        <w:adjustRightInd/>
        <w:spacing w:after="200"/>
        <w:rPr>
          <w:szCs w:val="20"/>
        </w:rPr>
      </w:pPr>
      <w:r w:rsidRPr="00574EA8">
        <w:rPr>
          <w:szCs w:val="20"/>
        </w:rPr>
        <w:t xml:space="preserve">* </w:t>
      </w:r>
      <w:r w:rsidR="002858DB" w:rsidRPr="00574EA8">
        <w:rPr>
          <w:szCs w:val="20"/>
        </w:rPr>
        <w:t>Surveys will be implemented annually with different cohorts of matriculating, graduating and alumni residents (academic years for residency programs run from July to June); surveys will be implemented by GW, under contract with HRSA, through the end of the 5</w:t>
      </w:r>
      <w:r w:rsidR="00CD721D">
        <w:rPr>
          <w:szCs w:val="20"/>
        </w:rPr>
        <w:t>-</w:t>
      </w:r>
      <w:r w:rsidR="002858DB" w:rsidRPr="00574EA8">
        <w:rPr>
          <w:szCs w:val="20"/>
        </w:rPr>
        <w:t>year evaluation contract and then provide</w:t>
      </w:r>
      <w:r w:rsidR="00893BEB">
        <w:rPr>
          <w:szCs w:val="20"/>
        </w:rPr>
        <w:t>d as a resource for THC program award recipients</w:t>
      </w:r>
      <w:r w:rsidR="002858DB" w:rsidRPr="00574EA8">
        <w:rPr>
          <w:szCs w:val="20"/>
        </w:rPr>
        <w:t xml:space="preserve"> to continue collecting information on their residents and graduates.</w:t>
      </w:r>
    </w:p>
    <w:p w14:paraId="1CC85A69" w14:textId="0674C145" w:rsidR="00DE23CD" w:rsidRPr="00574EA8" w:rsidRDefault="0071781C" w:rsidP="007A35D0">
      <w:pPr>
        <w:spacing w:before="120"/>
        <w:rPr>
          <w:color w:val="000000"/>
          <w:sz w:val="24"/>
        </w:rPr>
      </w:pPr>
      <w:r w:rsidRPr="00574EA8">
        <w:rPr>
          <w:color w:val="000000"/>
          <w:sz w:val="24"/>
        </w:rPr>
        <w:t>The Program Data Collection Tool provides information on residency programs that receive funding for THC residents</w:t>
      </w:r>
      <w:r w:rsidR="00CA3343" w:rsidRPr="00574EA8">
        <w:rPr>
          <w:color w:val="000000"/>
          <w:sz w:val="24"/>
        </w:rPr>
        <w:t>.</w:t>
      </w:r>
      <w:r w:rsidRPr="00574EA8">
        <w:rPr>
          <w:color w:val="000000"/>
          <w:sz w:val="24"/>
        </w:rPr>
        <w:t xml:space="preserve"> </w:t>
      </w:r>
      <w:r w:rsidR="00EE6EE0" w:rsidRPr="00574EA8">
        <w:rPr>
          <w:color w:val="000000"/>
          <w:sz w:val="24"/>
        </w:rPr>
        <w:t xml:space="preserve">The </w:t>
      </w:r>
      <w:r w:rsidR="00193AE4" w:rsidRPr="00574EA8">
        <w:rPr>
          <w:color w:val="000000"/>
          <w:sz w:val="24"/>
        </w:rPr>
        <w:t xml:space="preserve">Program </w:t>
      </w:r>
      <w:r w:rsidR="00EE6EE0" w:rsidRPr="00574EA8">
        <w:rPr>
          <w:color w:val="000000"/>
          <w:sz w:val="24"/>
        </w:rPr>
        <w:t>Data Collection T</w:t>
      </w:r>
      <w:r w:rsidR="007A35D0" w:rsidRPr="00574EA8">
        <w:rPr>
          <w:color w:val="000000"/>
          <w:sz w:val="24"/>
        </w:rPr>
        <w:t xml:space="preserve">ool </w:t>
      </w:r>
      <w:r w:rsidR="00EE6EE0" w:rsidRPr="00574EA8">
        <w:rPr>
          <w:color w:val="000000"/>
          <w:sz w:val="24"/>
        </w:rPr>
        <w:t xml:space="preserve">will be administered </w:t>
      </w:r>
      <w:r w:rsidR="00893BEB">
        <w:rPr>
          <w:color w:val="000000"/>
          <w:sz w:val="24"/>
        </w:rPr>
        <w:t xml:space="preserve">one time </w:t>
      </w:r>
      <w:r w:rsidR="00193AE4" w:rsidRPr="00574EA8">
        <w:rPr>
          <w:color w:val="000000"/>
          <w:sz w:val="24"/>
        </w:rPr>
        <w:t>to</w:t>
      </w:r>
      <w:r w:rsidR="00EE6EE0" w:rsidRPr="00574EA8">
        <w:rPr>
          <w:color w:val="000000"/>
          <w:sz w:val="24"/>
        </w:rPr>
        <w:t xml:space="preserve"> THC Program Directors. </w:t>
      </w:r>
      <w:r w:rsidR="0032619C" w:rsidRPr="0032619C">
        <w:rPr>
          <w:color w:val="000000"/>
          <w:sz w:val="24"/>
        </w:rPr>
        <w:t xml:space="preserve">Annual updates are made on an as-needed basis. </w:t>
      </w:r>
      <w:r w:rsidR="00EE6EE0" w:rsidRPr="00574EA8">
        <w:rPr>
          <w:color w:val="000000"/>
          <w:sz w:val="24"/>
        </w:rPr>
        <w:t xml:space="preserve">It will </w:t>
      </w:r>
      <w:r w:rsidR="00514886" w:rsidRPr="00574EA8">
        <w:rPr>
          <w:color w:val="000000"/>
          <w:sz w:val="24"/>
        </w:rPr>
        <w:t>collect</w:t>
      </w:r>
      <w:r w:rsidR="007A35D0" w:rsidRPr="00574EA8">
        <w:rPr>
          <w:color w:val="000000"/>
          <w:sz w:val="24"/>
        </w:rPr>
        <w:t xml:space="preserve"> basic organizational and training characteristics of the programs (including program specialty, numbers trained, training sites, educational partners, and residency program financing), educational initiatives (particularly around training for changing health care delivery systems and community experiences), and health center characteristics (including current workforce and vacancies, clinical service provided by residents, and participation in workforce programs such as National Health Service Corps).</w:t>
      </w:r>
      <w:r w:rsidR="003155D3" w:rsidRPr="00574EA8">
        <w:rPr>
          <w:color w:val="000000"/>
          <w:sz w:val="24"/>
        </w:rPr>
        <w:t xml:space="preserve"> </w:t>
      </w:r>
    </w:p>
    <w:p w14:paraId="4D41382C" w14:textId="77777777" w:rsidR="00DE23CD" w:rsidRPr="00574EA8" w:rsidRDefault="00DE23CD" w:rsidP="00DE23CD">
      <w:pPr>
        <w:spacing w:before="120"/>
        <w:rPr>
          <w:color w:val="000000"/>
          <w:sz w:val="24"/>
        </w:rPr>
      </w:pPr>
      <w:r w:rsidRPr="00574EA8">
        <w:rPr>
          <w:color w:val="000000"/>
          <w:sz w:val="24"/>
        </w:rPr>
        <w:t>The tool addresses the following evaluation research questions:</w:t>
      </w:r>
    </w:p>
    <w:p w14:paraId="5A14DB81" w14:textId="77777777" w:rsidR="00DE23CD" w:rsidRPr="00574EA8" w:rsidRDefault="00DE23CD" w:rsidP="00D82701">
      <w:pPr>
        <w:pStyle w:val="ListParagraph"/>
        <w:numPr>
          <w:ilvl w:val="0"/>
          <w:numId w:val="51"/>
        </w:numPr>
        <w:spacing w:before="120"/>
        <w:rPr>
          <w:color w:val="000000"/>
          <w:sz w:val="24"/>
        </w:rPr>
      </w:pPr>
      <w:r w:rsidRPr="00574EA8">
        <w:rPr>
          <w:color w:val="000000"/>
          <w:sz w:val="24"/>
        </w:rPr>
        <w:t>What are the types of primary care resident approved training programs provided by the THC programs?</w:t>
      </w:r>
    </w:p>
    <w:p w14:paraId="6D35D6CD" w14:textId="77777777" w:rsidR="00DE23CD" w:rsidRPr="00574EA8" w:rsidRDefault="00DE23CD" w:rsidP="00D82701">
      <w:pPr>
        <w:pStyle w:val="ListParagraph"/>
        <w:numPr>
          <w:ilvl w:val="0"/>
          <w:numId w:val="51"/>
        </w:numPr>
        <w:spacing w:before="120"/>
        <w:rPr>
          <w:color w:val="000000"/>
          <w:sz w:val="24"/>
        </w:rPr>
      </w:pPr>
      <w:r w:rsidRPr="00574EA8">
        <w:rPr>
          <w:color w:val="000000"/>
          <w:sz w:val="24"/>
        </w:rPr>
        <w:t>What number of approved training positions is being provided by the THC programs?</w:t>
      </w:r>
    </w:p>
    <w:p w14:paraId="457E68BD" w14:textId="77777777" w:rsidR="00DE23CD" w:rsidRPr="00574EA8" w:rsidRDefault="00DE23CD" w:rsidP="00D82701">
      <w:pPr>
        <w:pStyle w:val="ListParagraph"/>
        <w:numPr>
          <w:ilvl w:val="0"/>
          <w:numId w:val="51"/>
        </w:numPr>
        <w:spacing w:before="120"/>
        <w:rPr>
          <w:color w:val="000000"/>
          <w:sz w:val="24"/>
        </w:rPr>
      </w:pPr>
      <w:r w:rsidRPr="00574EA8">
        <w:rPr>
          <w:color w:val="000000"/>
          <w:sz w:val="24"/>
        </w:rPr>
        <w:t>What advanced primary care delivery models (i.e. patient centered medical homes, inter</w:t>
      </w:r>
      <w:r w:rsidR="001C21AB" w:rsidRPr="00574EA8">
        <w:rPr>
          <w:color w:val="000000"/>
          <w:sz w:val="24"/>
        </w:rPr>
        <w:t>-</w:t>
      </w:r>
      <w:r w:rsidRPr="00574EA8">
        <w:rPr>
          <w:color w:val="000000"/>
          <w:sz w:val="24"/>
        </w:rPr>
        <w:t>professional team-based care, quality improvement) are THC residents training in?</w:t>
      </w:r>
    </w:p>
    <w:p w14:paraId="1D84F4A7" w14:textId="77777777" w:rsidR="00DE23CD" w:rsidRPr="00574EA8" w:rsidRDefault="00DE23CD" w:rsidP="00D82701">
      <w:pPr>
        <w:pStyle w:val="ListParagraph"/>
        <w:numPr>
          <w:ilvl w:val="0"/>
          <w:numId w:val="51"/>
        </w:numPr>
        <w:spacing w:before="120"/>
        <w:rPr>
          <w:color w:val="000000"/>
          <w:sz w:val="24"/>
        </w:rPr>
      </w:pPr>
      <w:r w:rsidRPr="00574EA8">
        <w:rPr>
          <w:color w:val="000000"/>
          <w:sz w:val="24"/>
        </w:rPr>
        <w:t>What community-based experiences are THC residents receiving?</w:t>
      </w:r>
    </w:p>
    <w:p w14:paraId="10AA63EB" w14:textId="77777777" w:rsidR="00DE23CD" w:rsidRPr="00574EA8" w:rsidRDefault="00DE23CD" w:rsidP="00D82701">
      <w:pPr>
        <w:pStyle w:val="ListParagraph"/>
        <w:numPr>
          <w:ilvl w:val="0"/>
          <w:numId w:val="51"/>
        </w:numPr>
        <w:spacing w:before="120"/>
        <w:rPr>
          <w:color w:val="000000"/>
          <w:sz w:val="24"/>
        </w:rPr>
      </w:pPr>
      <w:r w:rsidRPr="00574EA8">
        <w:rPr>
          <w:color w:val="000000"/>
          <w:sz w:val="24"/>
        </w:rPr>
        <w:t>What is the amount of training THC residents receive in the primary care setting?</w:t>
      </w:r>
    </w:p>
    <w:p w14:paraId="73C7D927" w14:textId="77777777" w:rsidR="007A35D0" w:rsidRPr="00574EA8" w:rsidRDefault="003155D3" w:rsidP="007A35D0">
      <w:pPr>
        <w:spacing w:before="120"/>
        <w:rPr>
          <w:color w:val="000000"/>
          <w:sz w:val="24"/>
        </w:rPr>
      </w:pPr>
      <w:r w:rsidRPr="00574EA8">
        <w:rPr>
          <w:color w:val="000000"/>
          <w:sz w:val="24"/>
        </w:rPr>
        <w:t>See Appendix</w:t>
      </w:r>
      <w:r w:rsidR="00290356" w:rsidRPr="00574EA8">
        <w:rPr>
          <w:color w:val="000000"/>
          <w:sz w:val="24"/>
        </w:rPr>
        <w:t xml:space="preserve"> </w:t>
      </w:r>
      <w:r w:rsidR="006F10B1" w:rsidRPr="00574EA8">
        <w:rPr>
          <w:color w:val="000000"/>
          <w:sz w:val="24"/>
        </w:rPr>
        <w:t>A</w:t>
      </w:r>
      <w:r w:rsidR="00290356" w:rsidRPr="00574EA8">
        <w:rPr>
          <w:color w:val="000000"/>
          <w:sz w:val="24"/>
        </w:rPr>
        <w:t xml:space="preserve"> for </w:t>
      </w:r>
      <w:r w:rsidR="006B175B">
        <w:rPr>
          <w:color w:val="000000"/>
          <w:sz w:val="24"/>
        </w:rPr>
        <w:t xml:space="preserve">the Program </w:t>
      </w:r>
      <w:r w:rsidR="00290356" w:rsidRPr="00574EA8">
        <w:rPr>
          <w:color w:val="000000"/>
          <w:sz w:val="24"/>
        </w:rPr>
        <w:t>Data Collection Tool.</w:t>
      </w:r>
      <w:r w:rsidR="002A6894" w:rsidRPr="00574EA8">
        <w:rPr>
          <w:color w:val="000000"/>
          <w:sz w:val="24"/>
        </w:rPr>
        <w:t xml:space="preserve"> This information will be used to monitor program activities and infor</w:t>
      </w:r>
      <w:r w:rsidR="0027414E">
        <w:rPr>
          <w:color w:val="000000"/>
          <w:sz w:val="24"/>
        </w:rPr>
        <w:t>m program management within BHW</w:t>
      </w:r>
      <w:r w:rsidR="002A6894" w:rsidRPr="00574EA8">
        <w:rPr>
          <w:color w:val="000000"/>
          <w:sz w:val="24"/>
        </w:rPr>
        <w:t>. In addition, this information is critical to understand the characteristics of a new program and follow its progress over time.</w:t>
      </w:r>
    </w:p>
    <w:p w14:paraId="54E2A281" w14:textId="39C81875" w:rsidR="002B3238" w:rsidRPr="00574EA8" w:rsidRDefault="00D818F0" w:rsidP="002B3238">
      <w:pPr>
        <w:spacing w:before="120"/>
        <w:rPr>
          <w:color w:val="000000"/>
          <w:sz w:val="24"/>
        </w:rPr>
      </w:pPr>
      <w:r w:rsidRPr="00574EA8">
        <w:rPr>
          <w:color w:val="000000"/>
          <w:sz w:val="24"/>
        </w:rPr>
        <w:t xml:space="preserve">Furthermore, three questionnaires have been developed for implementation with all THC residents at matriculation, graduation </w:t>
      </w:r>
      <w:r w:rsidR="004F353F">
        <w:rPr>
          <w:color w:val="000000"/>
          <w:sz w:val="24"/>
        </w:rPr>
        <w:t>and one</w:t>
      </w:r>
      <w:r w:rsidR="00CD721D">
        <w:rPr>
          <w:color w:val="000000"/>
          <w:sz w:val="24"/>
        </w:rPr>
        <w:t>-</w:t>
      </w:r>
      <w:r w:rsidR="004F353F">
        <w:rPr>
          <w:color w:val="000000"/>
          <w:sz w:val="24"/>
        </w:rPr>
        <w:t>year post-graduation: T</w:t>
      </w:r>
      <w:r w:rsidRPr="00574EA8">
        <w:rPr>
          <w:color w:val="000000"/>
          <w:sz w:val="24"/>
        </w:rPr>
        <w:t>H</w:t>
      </w:r>
      <w:r w:rsidR="004F353F">
        <w:rPr>
          <w:color w:val="000000"/>
          <w:sz w:val="24"/>
        </w:rPr>
        <w:t>C</w:t>
      </w:r>
      <w:r w:rsidRPr="00574EA8">
        <w:rPr>
          <w:color w:val="000000"/>
          <w:sz w:val="24"/>
        </w:rPr>
        <w:t xml:space="preserve"> Matriculant Survey, THC Graduation Survey, </w:t>
      </w:r>
      <w:r w:rsidR="00571F90" w:rsidRPr="00574EA8">
        <w:rPr>
          <w:color w:val="000000"/>
          <w:sz w:val="24"/>
        </w:rPr>
        <w:t xml:space="preserve">and </w:t>
      </w:r>
      <w:r w:rsidRPr="00574EA8">
        <w:rPr>
          <w:color w:val="000000"/>
          <w:sz w:val="24"/>
        </w:rPr>
        <w:t xml:space="preserve">THC </w:t>
      </w:r>
      <w:r w:rsidR="0027414E">
        <w:rPr>
          <w:color w:val="000000"/>
          <w:sz w:val="24"/>
        </w:rPr>
        <w:t>Alumni</w:t>
      </w:r>
      <w:r w:rsidRPr="00574EA8">
        <w:rPr>
          <w:color w:val="000000"/>
          <w:sz w:val="24"/>
        </w:rPr>
        <w:t xml:space="preserve"> Survey. </w:t>
      </w:r>
      <w:r w:rsidR="002B3238" w:rsidRPr="00574EA8">
        <w:rPr>
          <w:color w:val="000000"/>
          <w:sz w:val="24"/>
        </w:rPr>
        <w:t>Th</w:t>
      </w:r>
      <w:r w:rsidR="006D7ADC" w:rsidRPr="00574EA8">
        <w:rPr>
          <w:color w:val="000000"/>
          <w:sz w:val="24"/>
        </w:rPr>
        <w:t>ese th</w:t>
      </w:r>
      <w:r w:rsidR="002B3238" w:rsidRPr="00574EA8">
        <w:rPr>
          <w:color w:val="000000"/>
          <w:sz w:val="24"/>
        </w:rPr>
        <w:t>ree surveys will be administered to gather information on THC residents at different stages of their training and early clinical practice. The surveys are intended to identify the absolute number of primary care providers and providers that practice in underserved areas. This is a critical outcome measure for the THCGME program as THCs must be new or expanding residency programs. Therefore, THC graduates are new primary care providers above the number that would have been produced in the GME system prior to the THCGME program. The surveys also seek information about resident experience and satisfaction. As the THCGME program emphasizes a model of training that is different than the traditional hospital-based model, trainee satisfaction is an important outcome of the program. Program feedback questions also provide information on how well matched training is to the needs of primary care practice.</w:t>
      </w:r>
    </w:p>
    <w:p w14:paraId="15811A17" w14:textId="77777777" w:rsidR="002B3238" w:rsidRPr="00574EA8" w:rsidRDefault="002B3238" w:rsidP="002B3238">
      <w:pPr>
        <w:spacing w:before="120"/>
        <w:rPr>
          <w:color w:val="000000"/>
          <w:sz w:val="24"/>
        </w:rPr>
      </w:pPr>
      <w:r w:rsidRPr="00574EA8">
        <w:rPr>
          <w:color w:val="000000"/>
          <w:sz w:val="24"/>
        </w:rPr>
        <w:t>The tools address the following evaluation research questions:</w:t>
      </w:r>
    </w:p>
    <w:p w14:paraId="14D29510" w14:textId="77777777" w:rsidR="002B3238" w:rsidRPr="00574EA8" w:rsidRDefault="002B3238" w:rsidP="00D818F0">
      <w:pPr>
        <w:pStyle w:val="ListParagraph"/>
        <w:numPr>
          <w:ilvl w:val="0"/>
          <w:numId w:val="54"/>
        </w:numPr>
        <w:spacing w:before="120"/>
        <w:rPr>
          <w:color w:val="000000"/>
          <w:sz w:val="24"/>
        </w:rPr>
      </w:pPr>
      <w:r w:rsidRPr="00574EA8">
        <w:rPr>
          <w:color w:val="000000"/>
          <w:sz w:val="24"/>
        </w:rPr>
        <w:lastRenderedPageBreak/>
        <w:t>What number and percent of the THC graduates practice in primary care (plan at graduation and one year after graduation)?</w:t>
      </w:r>
    </w:p>
    <w:p w14:paraId="6DAD3CD5" w14:textId="77777777" w:rsidR="002B3238" w:rsidRPr="00574EA8" w:rsidRDefault="002B3238" w:rsidP="00D818F0">
      <w:pPr>
        <w:pStyle w:val="ListParagraph"/>
        <w:numPr>
          <w:ilvl w:val="0"/>
          <w:numId w:val="54"/>
        </w:numPr>
        <w:spacing w:before="120"/>
        <w:rPr>
          <w:color w:val="000000"/>
          <w:sz w:val="24"/>
        </w:rPr>
      </w:pPr>
      <w:r w:rsidRPr="00574EA8">
        <w:rPr>
          <w:color w:val="000000"/>
          <w:sz w:val="24"/>
        </w:rPr>
        <w:t xml:space="preserve">What number and percent of the THC graduates go on to practice in underserved settings (plan at graduation and one year after graduation)? </w:t>
      </w:r>
    </w:p>
    <w:p w14:paraId="2A03B629" w14:textId="77777777" w:rsidR="002B3238" w:rsidRPr="00574EA8" w:rsidRDefault="002B3238" w:rsidP="00D818F0">
      <w:pPr>
        <w:pStyle w:val="ListParagraph"/>
        <w:numPr>
          <w:ilvl w:val="0"/>
          <w:numId w:val="54"/>
        </w:numPr>
        <w:spacing w:before="120"/>
        <w:rPr>
          <w:color w:val="000000"/>
          <w:sz w:val="24"/>
        </w:rPr>
      </w:pPr>
      <w:r w:rsidRPr="00574EA8">
        <w:rPr>
          <w:color w:val="000000"/>
          <w:sz w:val="24"/>
        </w:rPr>
        <w:t>What are the characteristics of residents who choose THC programs, by demographics, intention to practice in primary care and intention to practice in rural and/or underserved areas?</w:t>
      </w:r>
    </w:p>
    <w:p w14:paraId="6B700341" w14:textId="77777777" w:rsidR="002B3238" w:rsidRPr="00574EA8" w:rsidRDefault="002B3238" w:rsidP="00D818F0">
      <w:pPr>
        <w:pStyle w:val="ListParagraph"/>
        <w:numPr>
          <w:ilvl w:val="0"/>
          <w:numId w:val="54"/>
        </w:numPr>
        <w:spacing w:before="120"/>
        <w:rPr>
          <w:color w:val="000000"/>
          <w:sz w:val="24"/>
        </w:rPr>
      </w:pPr>
      <w:r w:rsidRPr="00574EA8">
        <w:rPr>
          <w:color w:val="000000"/>
          <w:sz w:val="24"/>
        </w:rPr>
        <w:t>Are there correlations between resident characteristics and the intention to practice primary care and/or practice in underserved settings?</w:t>
      </w:r>
    </w:p>
    <w:p w14:paraId="4339D5F1" w14:textId="77777777" w:rsidR="002B3238" w:rsidRPr="00574EA8" w:rsidRDefault="002B3238" w:rsidP="00D818F0">
      <w:pPr>
        <w:pStyle w:val="ListParagraph"/>
        <w:numPr>
          <w:ilvl w:val="0"/>
          <w:numId w:val="54"/>
        </w:numPr>
        <w:spacing w:before="120"/>
        <w:rPr>
          <w:color w:val="000000"/>
          <w:sz w:val="24"/>
        </w:rPr>
      </w:pPr>
      <w:r w:rsidRPr="00574EA8">
        <w:rPr>
          <w:color w:val="000000"/>
          <w:sz w:val="24"/>
        </w:rPr>
        <w:t>How satisfied are residents with curriculum and enhanced programmatic features of the THC model?</w:t>
      </w:r>
    </w:p>
    <w:p w14:paraId="1CD145CF" w14:textId="77777777" w:rsidR="002B3238" w:rsidRPr="00574EA8" w:rsidRDefault="002B3238" w:rsidP="00D818F0">
      <w:pPr>
        <w:pStyle w:val="ListParagraph"/>
        <w:numPr>
          <w:ilvl w:val="0"/>
          <w:numId w:val="54"/>
        </w:numPr>
        <w:spacing w:before="120"/>
        <w:rPr>
          <w:color w:val="000000"/>
          <w:sz w:val="24"/>
        </w:rPr>
      </w:pPr>
      <w:r w:rsidRPr="00574EA8">
        <w:rPr>
          <w:color w:val="000000"/>
          <w:sz w:val="24"/>
        </w:rPr>
        <w:t xml:space="preserve">How do residents suggest that the THC residency program can be improved? </w:t>
      </w:r>
    </w:p>
    <w:p w14:paraId="236FE613" w14:textId="77777777" w:rsidR="00514886" w:rsidRPr="00574EA8" w:rsidRDefault="00EE6EE0" w:rsidP="002B3238">
      <w:pPr>
        <w:spacing w:before="120"/>
        <w:rPr>
          <w:color w:val="000000"/>
          <w:sz w:val="24"/>
        </w:rPr>
      </w:pPr>
      <w:r w:rsidRPr="00574EA8">
        <w:rPr>
          <w:color w:val="000000"/>
          <w:sz w:val="24"/>
        </w:rPr>
        <w:t>The THC Matricula</w:t>
      </w:r>
      <w:r w:rsidR="00514886" w:rsidRPr="00574EA8">
        <w:rPr>
          <w:color w:val="000000"/>
          <w:sz w:val="24"/>
        </w:rPr>
        <w:t>nt</w:t>
      </w:r>
      <w:r w:rsidRPr="00574EA8">
        <w:rPr>
          <w:color w:val="000000"/>
          <w:sz w:val="24"/>
        </w:rPr>
        <w:t xml:space="preserve"> Survey</w:t>
      </w:r>
      <w:r w:rsidR="007A35D0" w:rsidRPr="00574EA8">
        <w:rPr>
          <w:color w:val="000000"/>
          <w:sz w:val="24"/>
        </w:rPr>
        <w:t xml:space="preserve"> collect</w:t>
      </w:r>
      <w:r w:rsidR="0027414E">
        <w:rPr>
          <w:color w:val="000000"/>
          <w:sz w:val="24"/>
        </w:rPr>
        <w:t>s</w:t>
      </w:r>
      <w:r w:rsidR="007A35D0" w:rsidRPr="00574EA8">
        <w:rPr>
          <w:color w:val="000000"/>
          <w:sz w:val="24"/>
        </w:rPr>
        <w:t xml:space="preserve"> background information on THC residents to better understand the characteristics of individuals who apply and are</w:t>
      </w:r>
      <w:r w:rsidRPr="00574EA8">
        <w:rPr>
          <w:color w:val="000000"/>
          <w:sz w:val="24"/>
        </w:rPr>
        <w:t xml:space="preserve"> accepted to THC programs</w:t>
      </w:r>
      <w:r w:rsidR="003155D3" w:rsidRPr="00574EA8">
        <w:rPr>
          <w:color w:val="000000"/>
          <w:sz w:val="24"/>
        </w:rPr>
        <w:t xml:space="preserve"> (see Appendix</w:t>
      </w:r>
      <w:r w:rsidR="00290356" w:rsidRPr="00574EA8">
        <w:rPr>
          <w:color w:val="000000"/>
          <w:sz w:val="24"/>
        </w:rPr>
        <w:t xml:space="preserve"> </w:t>
      </w:r>
      <w:r w:rsidR="006F10B1" w:rsidRPr="00574EA8">
        <w:rPr>
          <w:color w:val="000000"/>
          <w:sz w:val="24"/>
        </w:rPr>
        <w:t>B</w:t>
      </w:r>
      <w:r w:rsidR="00290356" w:rsidRPr="00574EA8">
        <w:rPr>
          <w:color w:val="000000"/>
          <w:sz w:val="24"/>
        </w:rPr>
        <w:t>)</w:t>
      </w:r>
      <w:r w:rsidRPr="00574EA8">
        <w:rPr>
          <w:color w:val="000000"/>
          <w:sz w:val="24"/>
        </w:rPr>
        <w:t xml:space="preserve">. </w:t>
      </w:r>
      <w:r w:rsidR="002A6894" w:rsidRPr="00574EA8">
        <w:rPr>
          <w:color w:val="000000"/>
          <w:sz w:val="24"/>
        </w:rPr>
        <w:t xml:space="preserve">The </w:t>
      </w:r>
      <w:r w:rsidR="005B1656" w:rsidRPr="00574EA8">
        <w:rPr>
          <w:color w:val="000000"/>
          <w:sz w:val="24"/>
        </w:rPr>
        <w:t xml:space="preserve">THC </w:t>
      </w:r>
      <w:r w:rsidR="002A6894" w:rsidRPr="00574EA8">
        <w:rPr>
          <w:color w:val="000000"/>
          <w:sz w:val="24"/>
        </w:rPr>
        <w:t>Matriculant Survey largely gathers demographic and background information of incoming residents. This information is the first opportunity to examine whether programs are recruiting residents consistent with the goal to produce physicians who will practice primary care in rural and underserved settings.</w:t>
      </w:r>
      <w:r w:rsidR="00CC345E" w:rsidRPr="00574EA8">
        <w:rPr>
          <w:color w:val="000000"/>
          <w:sz w:val="24"/>
        </w:rPr>
        <w:t xml:space="preserve"> The THC Graduation Survey</w:t>
      </w:r>
      <w:r w:rsidR="002F6424" w:rsidRPr="00574EA8">
        <w:rPr>
          <w:color w:val="000000"/>
          <w:sz w:val="24"/>
        </w:rPr>
        <w:t xml:space="preserve"> gathers information on </w:t>
      </w:r>
      <w:r w:rsidR="00CC345E" w:rsidRPr="00574EA8">
        <w:rPr>
          <w:color w:val="000000"/>
          <w:sz w:val="24"/>
        </w:rPr>
        <w:t>career plans</w:t>
      </w:r>
      <w:r w:rsidR="002F6424" w:rsidRPr="00574EA8">
        <w:rPr>
          <w:color w:val="000000"/>
          <w:sz w:val="24"/>
        </w:rPr>
        <w:t xml:space="preserve"> (covered in an identifiable section), and on </w:t>
      </w:r>
      <w:r w:rsidR="00CC345E" w:rsidRPr="00574EA8">
        <w:rPr>
          <w:color w:val="000000"/>
          <w:sz w:val="24"/>
        </w:rPr>
        <w:t>the quality of training received at the THC (</w:t>
      </w:r>
      <w:r w:rsidR="002F6424" w:rsidRPr="00574EA8">
        <w:rPr>
          <w:color w:val="000000"/>
          <w:sz w:val="24"/>
        </w:rPr>
        <w:t>covered in an anonymous section). Please see Appendix C for the THC Graduation Survey</w:t>
      </w:r>
      <w:r w:rsidR="00CC345E" w:rsidRPr="00574EA8">
        <w:rPr>
          <w:color w:val="000000"/>
          <w:sz w:val="24"/>
        </w:rPr>
        <w:t xml:space="preserve">. </w:t>
      </w:r>
      <w:r w:rsidR="002A6894" w:rsidRPr="00574EA8">
        <w:rPr>
          <w:color w:val="000000"/>
          <w:sz w:val="24"/>
        </w:rPr>
        <w:t xml:space="preserve"> </w:t>
      </w:r>
      <w:r w:rsidR="009030C8" w:rsidRPr="00574EA8">
        <w:rPr>
          <w:color w:val="000000"/>
          <w:sz w:val="24"/>
        </w:rPr>
        <w:t>The Graduation</w:t>
      </w:r>
      <w:r w:rsidR="00514886" w:rsidRPr="00574EA8">
        <w:rPr>
          <w:color w:val="000000"/>
          <w:sz w:val="24"/>
        </w:rPr>
        <w:t xml:space="preserve"> Survey is the first opportunity to assess plans to continue to practice in primary care and in underserved areas.</w:t>
      </w:r>
      <w:r w:rsidR="007A35D0" w:rsidRPr="00574EA8">
        <w:rPr>
          <w:color w:val="000000"/>
          <w:sz w:val="24"/>
        </w:rPr>
        <w:t xml:space="preserve"> The </w:t>
      </w:r>
      <w:r w:rsidRPr="00574EA8">
        <w:rPr>
          <w:color w:val="000000"/>
          <w:sz w:val="24"/>
        </w:rPr>
        <w:t xml:space="preserve">THC </w:t>
      </w:r>
      <w:r w:rsidR="0027414E">
        <w:rPr>
          <w:color w:val="000000"/>
          <w:sz w:val="24"/>
        </w:rPr>
        <w:t>Alumni</w:t>
      </w:r>
      <w:r w:rsidR="00CB0DE2" w:rsidRPr="00574EA8">
        <w:rPr>
          <w:color w:val="000000"/>
          <w:sz w:val="24"/>
        </w:rPr>
        <w:t xml:space="preserve"> </w:t>
      </w:r>
      <w:r w:rsidRPr="00574EA8">
        <w:rPr>
          <w:color w:val="000000"/>
          <w:sz w:val="24"/>
        </w:rPr>
        <w:t xml:space="preserve">Survey </w:t>
      </w:r>
      <w:r w:rsidR="007A35D0" w:rsidRPr="00574EA8">
        <w:rPr>
          <w:color w:val="000000"/>
          <w:sz w:val="24"/>
        </w:rPr>
        <w:t xml:space="preserve">collects information </w:t>
      </w:r>
      <w:r w:rsidR="00514886" w:rsidRPr="00574EA8">
        <w:rPr>
          <w:color w:val="000000"/>
          <w:sz w:val="24"/>
        </w:rPr>
        <w:t xml:space="preserve">on </w:t>
      </w:r>
      <w:r w:rsidR="002A6894" w:rsidRPr="00574EA8">
        <w:rPr>
          <w:color w:val="000000"/>
          <w:sz w:val="24"/>
        </w:rPr>
        <w:t>actual</w:t>
      </w:r>
      <w:r w:rsidRPr="00574EA8">
        <w:rPr>
          <w:color w:val="000000"/>
          <w:sz w:val="24"/>
        </w:rPr>
        <w:t xml:space="preserve"> </w:t>
      </w:r>
      <w:r w:rsidR="007A35D0" w:rsidRPr="00574EA8">
        <w:rPr>
          <w:color w:val="000000"/>
          <w:sz w:val="24"/>
        </w:rPr>
        <w:t>career outcomes</w:t>
      </w:r>
      <w:r w:rsidR="00E27FC7" w:rsidRPr="00574EA8">
        <w:rPr>
          <w:color w:val="000000"/>
          <w:sz w:val="24"/>
        </w:rPr>
        <w:t>,</w:t>
      </w:r>
      <w:r w:rsidR="007D14C6" w:rsidRPr="00574EA8">
        <w:rPr>
          <w:color w:val="000000"/>
          <w:sz w:val="24"/>
        </w:rPr>
        <w:t xml:space="preserve"> </w:t>
      </w:r>
      <w:r w:rsidR="007A35D0" w:rsidRPr="00574EA8">
        <w:rPr>
          <w:color w:val="000000"/>
          <w:sz w:val="24"/>
        </w:rPr>
        <w:t>including practice in primary care and in underserved settings</w:t>
      </w:r>
      <w:r w:rsidR="00E27FC7" w:rsidRPr="00574EA8">
        <w:rPr>
          <w:color w:val="000000"/>
          <w:sz w:val="24"/>
        </w:rPr>
        <w:t xml:space="preserve"> </w:t>
      </w:r>
      <w:r w:rsidR="007A35D0" w:rsidRPr="00574EA8">
        <w:rPr>
          <w:color w:val="000000"/>
          <w:sz w:val="24"/>
        </w:rPr>
        <w:t>following graduation</w:t>
      </w:r>
      <w:r w:rsidR="00E27FC7" w:rsidRPr="00574EA8">
        <w:rPr>
          <w:color w:val="000000"/>
          <w:sz w:val="24"/>
        </w:rPr>
        <w:t xml:space="preserve"> (covered in an identifiable section),</w:t>
      </w:r>
      <w:r w:rsidR="007A35D0" w:rsidRPr="00574EA8">
        <w:rPr>
          <w:color w:val="000000"/>
          <w:sz w:val="24"/>
        </w:rPr>
        <w:t xml:space="preserve"> as well as feedback on the quality of training</w:t>
      </w:r>
      <w:r w:rsidR="00290356" w:rsidRPr="00574EA8">
        <w:rPr>
          <w:color w:val="000000"/>
          <w:sz w:val="24"/>
        </w:rPr>
        <w:t xml:space="preserve"> </w:t>
      </w:r>
      <w:r w:rsidR="00E27FC7" w:rsidRPr="00574EA8">
        <w:rPr>
          <w:color w:val="000000"/>
          <w:sz w:val="24"/>
        </w:rPr>
        <w:t>(covered in an anonymous section)</w:t>
      </w:r>
      <w:r w:rsidR="007D14C6" w:rsidRPr="00574EA8">
        <w:rPr>
          <w:color w:val="000000"/>
          <w:sz w:val="24"/>
        </w:rPr>
        <w:t>.</w:t>
      </w:r>
      <w:r w:rsidR="00E27FC7" w:rsidRPr="00574EA8">
        <w:rPr>
          <w:color w:val="000000"/>
          <w:sz w:val="24"/>
        </w:rPr>
        <w:t xml:space="preserve"> S</w:t>
      </w:r>
      <w:r w:rsidR="00290356" w:rsidRPr="00574EA8">
        <w:rPr>
          <w:color w:val="000000"/>
          <w:sz w:val="24"/>
        </w:rPr>
        <w:t>ee A</w:t>
      </w:r>
      <w:r w:rsidR="003155D3" w:rsidRPr="00574EA8">
        <w:rPr>
          <w:color w:val="000000"/>
          <w:sz w:val="24"/>
        </w:rPr>
        <w:t>ppendix</w:t>
      </w:r>
      <w:r w:rsidR="00290356" w:rsidRPr="00574EA8">
        <w:rPr>
          <w:color w:val="000000"/>
          <w:sz w:val="24"/>
        </w:rPr>
        <w:t xml:space="preserve"> </w:t>
      </w:r>
      <w:r w:rsidR="001E6077" w:rsidRPr="00574EA8">
        <w:rPr>
          <w:color w:val="000000"/>
          <w:sz w:val="24"/>
        </w:rPr>
        <w:t>D</w:t>
      </w:r>
      <w:r w:rsidR="00E27FC7" w:rsidRPr="00574EA8">
        <w:rPr>
          <w:color w:val="000000"/>
          <w:sz w:val="24"/>
        </w:rPr>
        <w:t xml:space="preserve"> for the THC </w:t>
      </w:r>
      <w:r w:rsidR="0027414E">
        <w:rPr>
          <w:color w:val="000000"/>
          <w:sz w:val="24"/>
        </w:rPr>
        <w:t>Alumni</w:t>
      </w:r>
      <w:r w:rsidR="00CB0DE2" w:rsidRPr="00574EA8">
        <w:rPr>
          <w:color w:val="000000"/>
          <w:sz w:val="24"/>
        </w:rPr>
        <w:t xml:space="preserve"> </w:t>
      </w:r>
      <w:r w:rsidR="00E27FC7" w:rsidRPr="00574EA8">
        <w:rPr>
          <w:color w:val="000000"/>
          <w:sz w:val="24"/>
        </w:rPr>
        <w:t>Survey</w:t>
      </w:r>
      <w:r w:rsidR="007A35D0" w:rsidRPr="00574EA8">
        <w:rPr>
          <w:color w:val="000000"/>
          <w:sz w:val="24"/>
        </w:rPr>
        <w:t>.</w:t>
      </w:r>
      <w:r w:rsidR="00514886" w:rsidRPr="00574EA8">
        <w:rPr>
          <w:color w:val="000000"/>
          <w:sz w:val="24"/>
        </w:rPr>
        <w:t xml:space="preserve"> </w:t>
      </w:r>
    </w:p>
    <w:p w14:paraId="16DA3282" w14:textId="77777777" w:rsidR="00EE6EE0" w:rsidRPr="00574EA8" w:rsidRDefault="00514886" w:rsidP="007A35D0">
      <w:pPr>
        <w:spacing w:before="120"/>
        <w:rPr>
          <w:color w:val="000000"/>
          <w:sz w:val="24"/>
        </w:rPr>
      </w:pPr>
      <w:r w:rsidRPr="00574EA8">
        <w:rPr>
          <w:color w:val="000000"/>
          <w:sz w:val="24"/>
        </w:rPr>
        <w:t>The purpose of the Program Data Collection Tool and the three individual level questionnaires is to collect the required reporting information in a standardized manner between all THC programs, and to examine characteristics of THC programs that are aligned with training in relevant and/or innovative health care delivery models. Data from the individual level surveys will be p</w:t>
      </w:r>
      <w:r w:rsidR="0027414E">
        <w:rPr>
          <w:color w:val="000000"/>
          <w:sz w:val="24"/>
        </w:rPr>
        <w:t>rovided back to the THC program award recipients</w:t>
      </w:r>
      <w:r w:rsidRPr="00574EA8">
        <w:rPr>
          <w:color w:val="000000"/>
          <w:sz w:val="24"/>
        </w:rPr>
        <w:t xml:space="preserve"> so that they can meet any additional reporting requirements to HRSA and receive program feedback from graduates. Survey tools will ultimately</w:t>
      </w:r>
      <w:r w:rsidR="007F0D16" w:rsidRPr="00574EA8">
        <w:rPr>
          <w:color w:val="000000"/>
          <w:sz w:val="24"/>
        </w:rPr>
        <w:t xml:space="preserve"> </w:t>
      </w:r>
      <w:r w:rsidR="004B5D89" w:rsidRPr="00574EA8">
        <w:rPr>
          <w:color w:val="000000"/>
          <w:sz w:val="24"/>
        </w:rPr>
        <w:t>b</w:t>
      </w:r>
      <w:r w:rsidR="0027414E">
        <w:rPr>
          <w:color w:val="000000"/>
          <w:sz w:val="24"/>
        </w:rPr>
        <w:t>e made available to THC program award recipients</w:t>
      </w:r>
      <w:r w:rsidR="004B5D89" w:rsidRPr="00574EA8">
        <w:rPr>
          <w:color w:val="000000"/>
          <w:sz w:val="24"/>
        </w:rPr>
        <w:t xml:space="preserve"> to continue post the THC Evaluation contract period.</w:t>
      </w:r>
    </w:p>
    <w:p w14:paraId="4BD06344" w14:textId="77777777" w:rsidR="001D737F" w:rsidRPr="00574EA8" w:rsidRDefault="007F0D16" w:rsidP="007A35D0">
      <w:pPr>
        <w:spacing w:before="120"/>
        <w:rPr>
          <w:color w:val="000000"/>
          <w:sz w:val="24"/>
        </w:rPr>
      </w:pPr>
      <w:r w:rsidRPr="00574EA8">
        <w:rPr>
          <w:color w:val="000000"/>
          <w:sz w:val="24"/>
        </w:rPr>
        <w:t>The questionnaires collect individual level information requi</w:t>
      </w:r>
      <w:r w:rsidR="0027414E">
        <w:rPr>
          <w:color w:val="000000"/>
          <w:sz w:val="24"/>
        </w:rPr>
        <w:t>red by THC program award recipients</w:t>
      </w:r>
      <w:r w:rsidRPr="00574EA8">
        <w:rPr>
          <w:color w:val="000000"/>
          <w:sz w:val="24"/>
        </w:rPr>
        <w:t xml:space="preserve"> to meet their annual reporting requirements. Implementation of standardized questionnaires will ensure data can be collated from all programs. </w:t>
      </w:r>
      <w:r w:rsidR="007A35D0" w:rsidRPr="00574EA8">
        <w:rPr>
          <w:color w:val="000000"/>
          <w:sz w:val="24"/>
        </w:rPr>
        <w:t>If this information is not collecte</w:t>
      </w:r>
      <w:r w:rsidR="003400FF" w:rsidRPr="00574EA8">
        <w:rPr>
          <w:color w:val="000000"/>
          <w:sz w:val="24"/>
        </w:rPr>
        <w:t xml:space="preserve">d there will be no data to evaluate the effectiveness and impact of the THCGME program. </w:t>
      </w:r>
      <w:r w:rsidR="001D737F">
        <w:rPr>
          <w:color w:val="000000"/>
          <w:sz w:val="24"/>
        </w:rPr>
        <w:t>To date, respon</w:t>
      </w:r>
      <w:r w:rsidR="00875B5A">
        <w:rPr>
          <w:color w:val="000000"/>
          <w:sz w:val="24"/>
        </w:rPr>
        <w:t>se rates have been</w:t>
      </w:r>
      <w:r w:rsidR="001D737F">
        <w:rPr>
          <w:color w:val="000000"/>
          <w:sz w:val="24"/>
        </w:rPr>
        <w:t xml:space="preserve"> high for the</w:t>
      </w:r>
      <w:r w:rsidR="00875B5A">
        <w:rPr>
          <w:color w:val="000000"/>
          <w:sz w:val="24"/>
        </w:rPr>
        <w:t xml:space="preserve"> survey</w:t>
      </w:r>
      <w:r w:rsidR="001D737F">
        <w:rPr>
          <w:color w:val="000000"/>
          <w:sz w:val="24"/>
        </w:rPr>
        <w:t xml:space="preserve"> measures. Over 75% of residency programs have already completed the program data collection tool. Only THC residency programs that have not yet completed it will be asked (approximately 10 residency programs). The most recent alumni survey administration had a response rate of over 70%; the graduate survey response rate was 89%; and the matriculant survey was over 85%. </w:t>
      </w:r>
      <w:r w:rsidR="00C84DBB">
        <w:rPr>
          <w:color w:val="000000"/>
          <w:sz w:val="24"/>
        </w:rPr>
        <w:t>Typical survey response rates for measures</w:t>
      </w:r>
      <w:r w:rsidR="00A4696C">
        <w:rPr>
          <w:color w:val="000000"/>
          <w:sz w:val="24"/>
        </w:rPr>
        <w:t xml:space="preserve"> like the matriculant and graduate</w:t>
      </w:r>
      <w:r w:rsidR="00C84DBB">
        <w:rPr>
          <w:color w:val="000000"/>
          <w:sz w:val="24"/>
        </w:rPr>
        <w:t xml:space="preserve"> surveys</w:t>
      </w:r>
      <w:r w:rsidR="00A4696C">
        <w:rPr>
          <w:color w:val="000000"/>
          <w:sz w:val="24"/>
        </w:rPr>
        <w:t xml:space="preserve"> have average response </w:t>
      </w:r>
      <w:r w:rsidR="00A4696C">
        <w:rPr>
          <w:color w:val="000000"/>
          <w:sz w:val="24"/>
        </w:rPr>
        <w:lastRenderedPageBreak/>
        <w:t xml:space="preserve">rates of around 30-35%, and external surveys like the alumni </w:t>
      </w:r>
      <w:r w:rsidR="00C84DBB">
        <w:rPr>
          <w:color w:val="000000"/>
          <w:sz w:val="24"/>
        </w:rPr>
        <w:t xml:space="preserve">survey </w:t>
      </w:r>
      <w:r w:rsidR="00A4696C">
        <w:rPr>
          <w:color w:val="000000"/>
          <w:sz w:val="24"/>
        </w:rPr>
        <w:t xml:space="preserve">average 10-15%. </w:t>
      </w:r>
      <w:r w:rsidR="002B3A2B">
        <w:rPr>
          <w:color w:val="000000"/>
          <w:sz w:val="24"/>
        </w:rPr>
        <w:t xml:space="preserve">Thus the interest and success of the THC measure administration has been quite good. </w:t>
      </w:r>
      <w:r w:rsidR="001D737F">
        <w:rPr>
          <w:color w:val="000000"/>
          <w:sz w:val="24"/>
        </w:rPr>
        <w:t xml:space="preserve">As the THC program has just had its first full round of alumni surveys completed (as residency programs are three to four years in length), this extension is particularly important so the GW evaluation team can </w:t>
      </w:r>
      <w:r w:rsidR="00875B5A">
        <w:rPr>
          <w:color w:val="000000"/>
          <w:sz w:val="24"/>
        </w:rPr>
        <w:t>complete survey administrations with sufficient numbers to completely answer the evaluation research questions.</w:t>
      </w:r>
      <w:r w:rsidR="00A4696C">
        <w:rPr>
          <w:color w:val="000000"/>
          <w:sz w:val="24"/>
        </w:rPr>
        <w:t xml:space="preserve"> Preliminary analyses of the data suggest that THC graduates are practicing in primary care as well as in underserved settings more than twice as frequently as national averages.</w:t>
      </w:r>
    </w:p>
    <w:p w14:paraId="147D10D5" w14:textId="77777777" w:rsidR="007A35D0" w:rsidRPr="00574EA8" w:rsidRDefault="007A35D0" w:rsidP="007A35D0">
      <w:pPr>
        <w:widowControl/>
        <w:autoSpaceDE/>
        <w:autoSpaceDN/>
        <w:adjustRightInd/>
        <w:spacing w:before="120"/>
        <w:rPr>
          <w:b/>
          <w:color w:val="000000"/>
          <w:sz w:val="24"/>
        </w:rPr>
      </w:pPr>
    </w:p>
    <w:p w14:paraId="1CFB68CA" w14:textId="77777777" w:rsidR="009B3794" w:rsidRPr="00574EA8" w:rsidRDefault="009B3794" w:rsidP="00CA3DA6">
      <w:pPr>
        <w:spacing w:before="240"/>
        <w:rPr>
          <w:sz w:val="24"/>
        </w:rPr>
      </w:pPr>
      <w:r w:rsidRPr="00574EA8">
        <w:rPr>
          <w:b/>
          <w:sz w:val="24"/>
          <w:u w:val="single"/>
        </w:rPr>
        <w:t>Use of Improved Information Technology and Burden Reduction</w:t>
      </w:r>
    </w:p>
    <w:p w14:paraId="73EFC3B4" w14:textId="77777777" w:rsidR="007A35D0" w:rsidRPr="00574EA8" w:rsidRDefault="007A35D0" w:rsidP="007A35D0">
      <w:pPr>
        <w:spacing w:before="240"/>
        <w:rPr>
          <w:sz w:val="24"/>
        </w:rPr>
      </w:pPr>
      <w:r w:rsidRPr="00574EA8">
        <w:rPr>
          <w:sz w:val="24"/>
        </w:rPr>
        <w:t>GW has developed data collection tools and questionnaires that utilize</w:t>
      </w:r>
      <w:r w:rsidR="00987451" w:rsidRPr="00574EA8">
        <w:rPr>
          <w:sz w:val="24"/>
        </w:rPr>
        <w:t xml:space="preserve"> technology to administer, collect a</w:t>
      </w:r>
      <w:r w:rsidR="00E72702" w:rsidRPr="00574EA8">
        <w:rPr>
          <w:sz w:val="24"/>
        </w:rPr>
        <w:t>nd analyze</w:t>
      </w:r>
      <w:r w:rsidR="00987451" w:rsidRPr="00574EA8">
        <w:rPr>
          <w:sz w:val="24"/>
        </w:rPr>
        <w:t xml:space="preserve"> the data. </w:t>
      </w:r>
      <w:r w:rsidR="005F7C0D" w:rsidRPr="00574EA8">
        <w:rPr>
          <w:sz w:val="24"/>
        </w:rPr>
        <w:t>The P</w:t>
      </w:r>
      <w:r w:rsidR="0027414E">
        <w:rPr>
          <w:sz w:val="24"/>
        </w:rPr>
        <w:t>rogram Data Collection Tool is</w:t>
      </w:r>
      <w:r w:rsidR="005F7C0D" w:rsidRPr="00574EA8">
        <w:rPr>
          <w:sz w:val="24"/>
        </w:rPr>
        <w:t xml:space="preserve"> implemented using fillable pdf forms. </w:t>
      </w:r>
      <w:r w:rsidR="00987451" w:rsidRPr="00574EA8">
        <w:rPr>
          <w:sz w:val="24"/>
        </w:rPr>
        <w:t xml:space="preserve">All of the responses (100%) for each </w:t>
      </w:r>
      <w:r w:rsidR="005F7C0D" w:rsidRPr="00574EA8">
        <w:rPr>
          <w:sz w:val="24"/>
        </w:rPr>
        <w:t xml:space="preserve">individual level </w:t>
      </w:r>
      <w:r w:rsidR="00987451" w:rsidRPr="00574EA8">
        <w:rPr>
          <w:sz w:val="24"/>
        </w:rPr>
        <w:t>questionnaire</w:t>
      </w:r>
      <w:r w:rsidR="009030C8" w:rsidRPr="00574EA8">
        <w:rPr>
          <w:sz w:val="24"/>
        </w:rPr>
        <w:t xml:space="preserve"> (Matriculant, Graduation</w:t>
      </w:r>
      <w:r w:rsidR="005F7C0D" w:rsidRPr="00574EA8">
        <w:rPr>
          <w:sz w:val="24"/>
        </w:rPr>
        <w:t xml:space="preserve">, and </w:t>
      </w:r>
      <w:r w:rsidR="008503A1">
        <w:rPr>
          <w:sz w:val="24"/>
        </w:rPr>
        <w:t>Alumni</w:t>
      </w:r>
      <w:r w:rsidR="00CB0DE2" w:rsidRPr="00574EA8">
        <w:rPr>
          <w:sz w:val="24"/>
        </w:rPr>
        <w:t xml:space="preserve"> </w:t>
      </w:r>
      <w:r w:rsidR="005F7C0D" w:rsidRPr="00574EA8">
        <w:rPr>
          <w:sz w:val="24"/>
        </w:rPr>
        <w:t>Surveys)</w:t>
      </w:r>
      <w:r w:rsidR="00987451" w:rsidRPr="00574EA8">
        <w:rPr>
          <w:sz w:val="24"/>
        </w:rPr>
        <w:t xml:space="preserve"> will be collected and submitted electronically. </w:t>
      </w:r>
      <w:r w:rsidR="00E72702" w:rsidRPr="00574EA8">
        <w:rPr>
          <w:sz w:val="24"/>
        </w:rPr>
        <w:t xml:space="preserve">Each of the three surveys will be completed using </w:t>
      </w:r>
      <w:r w:rsidR="00C75E50" w:rsidRPr="00574EA8">
        <w:rPr>
          <w:sz w:val="24"/>
        </w:rPr>
        <w:t>a</w:t>
      </w:r>
      <w:r w:rsidR="00193AE4" w:rsidRPr="00574EA8">
        <w:rPr>
          <w:sz w:val="24"/>
        </w:rPr>
        <w:t xml:space="preserve"> secure online </w:t>
      </w:r>
      <w:r w:rsidR="00C75E50" w:rsidRPr="00574EA8">
        <w:rPr>
          <w:sz w:val="24"/>
        </w:rPr>
        <w:t>survey tool</w:t>
      </w:r>
      <w:r w:rsidR="005F7C0D" w:rsidRPr="00574EA8">
        <w:rPr>
          <w:sz w:val="24"/>
        </w:rPr>
        <w:t xml:space="preserve"> with built in skip logic to minimize the number of questions</w:t>
      </w:r>
      <w:r w:rsidR="00810E33" w:rsidRPr="00574EA8">
        <w:rPr>
          <w:sz w:val="24"/>
        </w:rPr>
        <w:t xml:space="preserve"> for respondents</w:t>
      </w:r>
      <w:r w:rsidR="00E72702" w:rsidRPr="00574EA8">
        <w:rPr>
          <w:sz w:val="24"/>
        </w:rPr>
        <w:t>.</w:t>
      </w:r>
      <w:r w:rsidR="00103F8C" w:rsidRPr="00574EA8">
        <w:rPr>
          <w:sz w:val="24"/>
        </w:rPr>
        <w:t xml:space="preserve"> Responses for both the Program Data Collection Tool and surveys will be downloadable as collated spreadsheets.</w:t>
      </w:r>
    </w:p>
    <w:p w14:paraId="5033C4AE" w14:textId="77777777" w:rsidR="00A36395" w:rsidRPr="00574EA8" w:rsidRDefault="00A36395" w:rsidP="007A35D0">
      <w:pPr>
        <w:spacing w:before="240"/>
        <w:rPr>
          <w:sz w:val="24"/>
        </w:rPr>
      </w:pPr>
    </w:p>
    <w:p w14:paraId="6D0D1D73" w14:textId="4C5F1A58" w:rsidR="009B3794" w:rsidRPr="00574EA8" w:rsidRDefault="009B3794" w:rsidP="00CA3DA6">
      <w:pPr>
        <w:spacing w:before="240"/>
        <w:rPr>
          <w:b/>
          <w:sz w:val="24"/>
        </w:rPr>
      </w:pPr>
      <w:r w:rsidRPr="00574EA8">
        <w:rPr>
          <w:b/>
          <w:sz w:val="24"/>
          <w:u w:val="single"/>
        </w:rPr>
        <w:t>Efforts to Identify Duplication and Use of Similar Information</w:t>
      </w:r>
    </w:p>
    <w:p w14:paraId="2B2FC79B" w14:textId="629B33F7" w:rsidR="009B3794" w:rsidRPr="00574EA8" w:rsidRDefault="00AF307B" w:rsidP="00CA3DA6">
      <w:pPr>
        <w:spacing w:before="120"/>
        <w:rPr>
          <w:sz w:val="24"/>
        </w:rPr>
      </w:pPr>
      <w:r>
        <w:rPr>
          <w:sz w:val="24"/>
        </w:rPr>
        <w:t xml:space="preserve">Some existing THC residency programs had existing surveys they were using. </w:t>
      </w:r>
      <w:r w:rsidR="00103F8C" w:rsidRPr="00574EA8">
        <w:rPr>
          <w:sz w:val="24"/>
        </w:rPr>
        <w:t>The survey instruments developed for the THC Evaluation specifically took into consideration the existing survey instruments – particularly the content and format of questions. The</w:t>
      </w:r>
      <w:r>
        <w:rPr>
          <w:sz w:val="24"/>
        </w:rPr>
        <w:t>se</w:t>
      </w:r>
      <w:r w:rsidR="00103F8C" w:rsidRPr="00574EA8">
        <w:rPr>
          <w:sz w:val="24"/>
        </w:rPr>
        <w:t xml:space="preserve"> survey instruments have been developed to collect standardized information from THC trainees and graduates, as well as meet the needs of the THCs for program feedb</w:t>
      </w:r>
      <w:r>
        <w:rPr>
          <w:sz w:val="24"/>
        </w:rPr>
        <w:t>ack. The survey instruments are ultimately made available to</w:t>
      </w:r>
      <w:r w:rsidR="00103F8C" w:rsidRPr="00574EA8">
        <w:rPr>
          <w:sz w:val="24"/>
        </w:rPr>
        <w:t xml:space="preserve"> individual THC </w:t>
      </w:r>
      <w:r>
        <w:rPr>
          <w:sz w:val="24"/>
        </w:rPr>
        <w:t xml:space="preserve">residency </w:t>
      </w:r>
      <w:r w:rsidR="00103F8C" w:rsidRPr="00574EA8">
        <w:rPr>
          <w:sz w:val="24"/>
        </w:rPr>
        <w:t>programs to continue collecting relevant training information and add to as needed.</w:t>
      </w:r>
      <w:r>
        <w:rPr>
          <w:sz w:val="24"/>
        </w:rPr>
        <w:t xml:space="preserve"> Most THC residency programs have adopted the THC Evaluation surveys (in lieu of any existing surveys they had been using) and use the information for their own program administration, for completing HRSA performance measures, and for tracking their alumni. Because of this situation, there is no duplication of measures and exceptionally high response rates for the THC Evaluation survey measures.</w:t>
      </w:r>
    </w:p>
    <w:p w14:paraId="63093E7A" w14:textId="77777777" w:rsidR="00A36395" w:rsidRPr="00574EA8" w:rsidRDefault="00A36395" w:rsidP="00CA3DA6">
      <w:pPr>
        <w:spacing w:before="120"/>
        <w:rPr>
          <w:b/>
          <w:sz w:val="24"/>
        </w:rPr>
      </w:pPr>
    </w:p>
    <w:p w14:paraId="74AEBEDC" w14:textId="77777777" w:rsidR="00103F8C" w:rsidRPr="00574EA8" w:rsidRDefault="009B3794" w:rsidP="00103F8C">
      <w:pPr>
        <w:spacing w:before="240"/>
        <w:rPr>
          <w:color w:val="000000"/>
          <w:sz w:val="24"/>
        </w:rPr>
      </w:pPr>
      <w:r w:rsidRPr="00574EA8">
        <w:rPr>
          <w:b/>
          <w:sz w:val="24"/>
          <w:u w:val="single"/>
        </w:rPr>
        <w:t>Impact on Small Businesses or Other Small Entities</w:t>
      </w:r>
    </w:p>
    <w:p w14:paraId="6EDCF761" w14:textId="77777777" w:rsidR="00A36395" w:rsidRPr="00574EA8" w:rsidRDefault="00A36395" w:rsidP="00A36395">
      <w:pPr>
        <w:spacing w:before="240"/>
        <w:rPr>
          <w:color w:val="000000"/>
          <w:sz w:val="24"/>
        </w:rPr>
      </w:pPr>
      <w:r w:rsidRPr="00574EA8">
        <w:rPr>
          <w:color w:val="000000"/>
          <w:sz w:val="24"/>
        </w:rPr>
        <w:t xml:space="preserve">The survey instruments will be implemented with individual graduate physicians. In all cases, these individual </w:t>
      </w:r>
      <w:r w:rsidR="00047DC8" w:rsidRPr="00574EA8">
        <w:rPr>
          <w:color w:val="000000"/>
          <w:sz w:val="24"/>
        </w:rPr>
        <w:t xml:space="preserve">may </w:t>
      </w:r>
      <w:r w:rsidRPr="00574EA8">
        <w:rPr>
          <w:color w:val="000000"/>
          <w:sz w:val="24"/>
        </w:rPr>
        <w:t>be considered “small businesses” and therefore no additional short forms were developed. The surveys generally contain straightforward questions around demographics and practice plans or locations that should require minimal effort and time to complete. In addition, the online survey instruments include “skip logic” to allow respondents to skip questions that are not relevant based on their answers to other preceding questions.</w:t>
      </w:r>
    </w:p>
    <w:p w14:paraId="2E0B2F03" w14:textId="77777777" w:rsidR="00A36395" w:rsidRPr="00574EA8" w:rsidRDefault="00A36395" w:rsidP="00A36395">
      <w:pPr>
        <w:spacing w:before="240"/>
        <w:rPr>
          <w:color w:val="000000"/>
          <w:sz w:val="24"/>
        </w:rPr>
      </w:pPr>
    </w:p>
    <w:p w14:paraId="7E1759C8" w14:textId="77777777" w:rsidR="009B3794" w:rsidRPr="00574EA8" w:rsidRDefault="009B3794" w:rsidP="00CA3DA6">
      <w:pPr>
        <w:spacing w:before="240"/>
        <w:rPr>
          <w:b/>
          <w:sz w:val="24"/>
        </w:rPr>
      </w:pPr>
      <w:r w:rsidRPr="00574EA8">
        <w:rPr>
          <w:b/>
          <w:sz w:val="24"/>
          <w:u w:val="single"/>
        </w:rPr>
        <w:lastRenderedPageBreak/>
        <w:t>Consequences of Collecting the Information Less Frequent</w:t>
      </w:r>
      <w:r w:rsidR="001325B2" w:rsidRPr="00574EA8">
        <w:rPr>
          <w:b/>
          <w:sz w:val="24"/>
          <w:u w:val="single"/>
        </w:rPr>
        <w:t>ly</w:t>
      </w:r>
    </w:p>
    <w:p w14:paraId="60DC49BC" w14:textId="77777777" w:rsidR="00A36395" w:rsidRPr="00574EA8" w:rsidRDefault="00A36395" w:rsidP="00987451">
      <w:pPr>
        <w:widowControl/>
        <w:autoSpaceDE/>
        <w:autoSpaceDN/>
        <w:adjustRightInd/>
        <w:spacing w:before="120"/>
        <w:rPr>
          <w:sz w:val="24"/>
        </w:rPr>
      </w:pPr>
      <w:r w:rsidRPr="00574EA8">
        <w:rPr>
          <w:sz w:val="24"/>
        </w:rPr>
        <w:t>During the remaining THC Evaluation</w:t>
      </w:r>
      <w:r w:rsidR="00D515BC">
        <w:rPr>
          <w:sz w:val="24"/>
        </w:rPr>
        <w:t xml:space="preserve"> contract period (1-2</w:t>
      </w:r>
      <w:r w:rsidRPr="00574EA8">
        <w:rPr>
          <w:sz w:val="24"/>
        </w:rPr>
        <w:t xml:space="preserve"> years) all residents will be expected to </w:t>
      </w:r>
      <w:r w:rsidR="00987451" w:rsidRPr="00574EA8">
        <w:rPr>
          <w:sz w:val="24"/>
        </w:rPr>
        <w:t>respond to the Matricu</w:t>
      </w:r>
      <w:r w:rsidR="001C21AB" w:rsidRPr="00574EA8">
        <w:rPr>
          <w:sz w:val="24"/>
        </w:rPr>
        <w:t>l</w:t>
      </w:r>
      <w:r w:rsidRPr="00574EA8">
        <w:rPr>
          <w:sz w:val="24"/>
        </w:rPr>
        <w:t>ant</w:t>
      </w:r>
      <w:r w:rsidR="00987451" w:rsidRPr="00574EA8">
        <w:rPr>
          <w:sz w:val="24"/>
        </w:rPr>
        <w:t xml:space="preserve"> Survey </w:t>
      </w:r>
      <w:r w:rsidRPr="00574EA8">
        <w:rPr>
          <w:sz w:val="24"/>
        </w:rPr>
        <w:t>once</w:t>
      </w:r>
      <w:r w:rsidR="00987451" w:rsidRPr="00574EA8">
        <w:rPr>
          <w:sz w:val="24"/>
        </w:rPr>
        <w:t xml:space="preserve">. </w:t>
      </w:r>
      <w:r w:rsidRPr="00574EA8">
        <w:rPr>
          <w:sz w:val="24"/>
        </w:rPr>
        <w:t xml:space="preserve">For those residents that graduate during the contract period, they will be expected </w:t>
      </w:r>
      <w:r w:rsidR="00987451" w:rsidRPr="00574EA8">
        <w:rPr>
          <w:sz w:val="24"/>
        </w:rPr>
        <w:t xml:space="preserve">to </w:t>
      </w:r>
      <w:r w:rsidRPr="00574EA8">
        <w:rPr>
          <w:sz w:val="24"/>
        </w:rPr>
        <w:t xml:space="preserve">respond once to </w:t>
      </w:r>
      <w:r w:rsidR="00987451" w:rsidRPr="00574EA8">
        <w:rPr>
          <w:sz w:val="24"/>
        </w:rPr>
        <w:t>the Graduat</w:t>
      </w:r>
      <w:r w:rsidR="009030C8" w:rsidRPr="00574EA8">
        <w:rPr>
          <w:sz w:val="24"/>
        </w:rPr>
        <w:t>ion</w:t>
      </w:r>
      <w:r w:rsidR="00987451" w:rsidRPr="00574EA8">
        <w:rPr>
          <w:sz w:val="24"/>
        </w:rPr>
        <w:t xml:space="preserve"> Survey </w:t>
      </w:r>
      <w:r w:rsidRPr="00574EA8">
        <w:rPr>
          <w:sz w:val="24"/>
        </w:rPr>
        <w:t xml:space="preserve">and for those that graduate at least one year prior to the end of the contract period, they will be expected to respond once to the </w:t>
      </w:r>
      <w:r w:rsidR="00D515BC">
        <w:rPr>
          <w:sz w:val="24"/>
        </w:rPr>
        <w:t>Alumni</w:t>
      </w:r>
      <w:r w:rsidR="001C21AB" w:rsidRPr="00574EA8">
        <w:rPr>
          <w:sz w:val="24"/>
        </w:rPr>
        <w:t xml:space="preserve"> </w:t>
      </w:r>
      <w:r w:rsidR="00987451" w:rsidRPr="00574EA8">
        <w:rPr>
          <w:sz w:val="24"/>
        </w:rPr>
        <w:t>Survey</w:t>
      </w:r>
      <w:r w:rsidRPr="00574EA8">
        <w:rPr>
          <w:sz w:val="24"/>
        </w:rPr>
        <w:t>,</w:t>
      </w:r>
      <w:r w:rsidR="00987451" w:rsidRPr="00574EA8">
        <w:rPr>
          <w:sz w:val="24"/>
        </w:rPr>
        <w:t xml:space="preserve"> one year after graduation. </w:t>
      </w:r>
      <w:r w:rsidRPr="00574EA8">
        <w:rPr>
          <w:sz w:val="24"/>
        </w:rPr>
        <w:t xml:space="preserve">Timing of the survey is required to gather information about the characteristics of residents choosing and entering THC </w:t>
      </w:r>
      <w:r w:rsidR="003625F0">
        <w:rPr>
          <w:sz w:val="24"/>
        </w:rPr>
        <w:t xml:space="preserve">residency </w:t>
      </w:r>
      <w:r w:rsidRPr="00574EA8">
        <w:rPr>
          <w:sz w:val="24"/>
        </w:rPr>
        <w:t xml:space="preserve">programs as well as the career outcomes of those trained in THC </w:t>
      </w:r>
      <w:r w:rsidR="003625F0">
        <w:rPr>
          <w:sz w:val="24"/>
        </w:rPr>
        <w:t xml:space="preserve">residency </w:t>
      </w:r>
      <w:r w:rsidRPr="00574EA8">
        <w:rPr>
          <w:sz w:val="24"/>
        </w:rPr>
        <w:t>programs. A survey at graduation is the first opportunity to assess career plans</w:t>
      </w:r>
      <w:r w:rsidR="001C21AB" w:rsidRPr="00574EA8">
        <w:rPr>
          <w:sz w:val="24"/>
        </w:rPr>
        <w:t>;</w:t>
      </w:r>
      <w:r w:rsidRPr="00574EA8">
        <w:rPr>
          <w:sz w:val="24"/>
        </w:rPr>
        <w:t xml:space="preserve"> however, a follow up survey after graduation is needed to assess actual career outcomes.</w:t>
      </w:r>
    </w:p>
    <w:p w14:paraId="7E05A9B4" w14:textId="77777777" w:rsidR="00304160" w:rsidRDefault="00987451" w:rsidP="00987451">
      <w:pPr>
        <w:widowControl/>
        <w:autoSpaceDE/>
        <w:autoSpaceDN/>
        <w:adjustRightInd/>
        <w:spacing w:before="120"/>
        <w:rPr>
          <w:sz w:val="24"/>
        </w:rPr>
      </w:pPr>
      <w:r w:rsidRPr="00574EA8">
        <w:rPr>
          <w:sz w:val="24"/>
        </w:rPr>
        <w:t xml:space="preserve">Program Directors will complete </w:t>
      </w:r>
      <w:r w:rsidR="00991529" w:rsidRPr="00574EA8">
        <w:rPr>
          <w:sz w:val="24"/>
        </w:rPr>
        <w:t xml:space="preserve">a blank Program </w:t>
      </w:r>
      <w:r w:rsidRPr="00574EA8">
        <w:rPr>
          <w:sz w:val="24"/>
        </w:rPr>
        <w:t>Data Collection Tool once</w:t>
      </w:r>
      <w:r w:rsidR="00304160">
        <w:rPr>
          <w:sz w:val="24"/>
        </w:rPr>
        <w:t xml:space="preserve">. </w:t>
      </w:r>
    </w:p>
    <w:p w14:paraId="3A4C5A9F" w14:textId="77777777" w:rsidR="00987451" w:rsidRPr="00574EA8" w:rsidRDefault="00987451" w:rsidP="00987451">
      <w:pPr>
        <w:widowControl/>
        <w:autoSpaceDE/>
        <w:autoSpaceDN/>
        <w:adjustRightInd/>
        <w:spacing w:before="120"/>
        <w:rPr>
          <w:sz w:val="24"/>
        </w:rPr>
      </w:pPr>
      <w:r w:rsidRPr="00574EA8">
        <w:rPr>
          <w:sz w:val="24"/>
        </w:rPr>
        <w:t>There are no legal obstacles to reduce the burden</w:t>
      </w:r>
      <w:r w:rsidR="00E72702" w:rsidRPr="00574EA8">
        <w:rPr>
          <w:sz w:val="24"/>
        </w:rPr>
        <w:t>.</w:t>
      </w:r>
    </w:p>
    <w:p w14:paraId="1E3D65E6" w14:textId="77777777" w:rsidR="00991529" w:rsidRPr="00574EA8" w:rsidRDefault="00991529" w:rsidP="00987451">
      <w:pPr>
        <w:widowControl/>
        <w:autoSpaceDE/>
        <w:autoSpaceDN/>
        <w:adjustRightInd/>
        <w:spacing w:before="120"/>
        <w:rPr>
          <w:sz w:val="24"/>
        </w:rPr>
      </w:pPr>
    </w:p>
    <w:p w14:paraId="347ADDC1" w14:textId="77777777" w:rsidR="009B3794" w:rsidRPr="00574EA8" w:rsidRDefault="009B3794" w:rsidP="00CA3DA6">
      <w:pPr>
        <w:spacing w:before="240"/>
        <w:rPr>
          <w:b/>
          <w:sz w:val="24"/>
        </w:rPr>
      </w:pPr>
      <w:r w:rsidRPr="00574EA8">
        <w:rPr>
          <w:b/>
          <w:sz w:val="24"/>
          <w:u w:val="single"/>
        </w:rPr>
        <w:t>Special Circumstances Relating to the Guidelines of 5 CFR 1320.5</w:t>
      </w:r>
    </w:p>
    <w:p w14:paraId="689A0D9A" w14:textId="77777777" w:rsidR="009B3794" w:rsidRPr="00574EA8" w:rsidRDefault="00E72702" w:rsidP="009C53C8">
      <w:pPr>
        <w:widowControl/>
        <w:spacing w:before="120"/>
        <w:rPr>
          <w:sz w:val="24"/>
        </w:rPr>
      </w:pPr>
      <w:r w:rsidRPr="00574EA8">
        <w:rPr>
          <w:sz w:val="24"/>
        </w:rPr>
        <w:t xml:space="preserve">In this request, all guidelines are met and this request </w:t>
      </w:r>
      <w:r w:rsidR="009B3794" w:rsidRPr="00574EA8">
        <w:rPr>
          <w:sz w:val="24"/>
        </w:rPr>
        <w:t>fully complies with the regulation.</w:t>
      </w:r>
    </w:p>
    <w:p w14:paraId="7908BAA3" w14:textId="77777777" w:rsidR="00991529" w:rsidRPr="00574EA8" w:rsidRDefault="00991529" w:rsidP="00E72702">
      <w:pPr>
        <w:widowControl/>
        <w:spacing w:before="120"/>
        <w:rPr>
          <w:sz w:val="24"/>
        </w:rPr>
      </w:pPr>
    </w:p>
    <w:p w14:paraId="5EECFC6B" w14:textId="77777777" w:rsidR="009B3794" w:rsidRPr="00574EA8" w:rsidRDefault="009B3794" w:rsidP="00CA3DA6">
      <w:pPr>
        <w:spacing w:before="240"/>
        <w:rPr>
          <w:b/>
          <w:sz w:val="24"/>
        </w:rPr>
      </w:pPr>
      <w:r w:rsidRPr="00574EA8">
        <w:rPr>
          <w:b/>
          <w:iCs/>
          <w:sz w:val="24"/>
          <w:u w:val="single"/>
        </w:rPr>
        <w:t>Comments in Response to the Federal Register</w:t>
      </w:r>
      <w:r w:rsidRPr="00574EA8">
        <w:rPr>
          <w:b/>
          <w:sz w:val="24"/>
          <w:u w:val="single"/>
        </w:rPr>
        <w:t xml:space="preserve"> Notice/Outside Consultation</w:t>
      </w:r>
    </w:p>
    <w:p w14:paraId="449C82CA" w14:textId="77777777" w:rsidR="00DE3A45" w:rsidRPr="00574EA8" w:rsidRDefault="00DE3A45" w:rsidP="00CA3DA6">
      <w:pPr>
        <w:spacing w:before="120"/>
        <w:rPr>
          <w:b/>
          <w:sz w:val="24"/>
        </w:rPr>
      </w:pPr>
      <w:r w:rsidRPr="00574EA8">
        <w:rPr>
          <w:b/>
          <w:sz w:val="24"/>
        </w:rPr>
        <w:t>Section 8A:</w:t>
      </w:r>
    </w:p>
    <w:p w14:paraId="43526B21" w14:textId="511CB6BC" w:rsidR="00991529" w:rsidRPr="00574EA8" w:rsidRDefault="009B3794" w:rsidP="009C53C8">
      <w:pPr>
        <w:spacing w:before="120"/>
        <w:rPr>
          <w:sz w:val="24"/>
        </w:rPr>
      </w:pPr>
      <w:r w:rsidRPr="00574EA8">
        <w:rPr>
          <w:sz w:val="24"/>
        </w:rPr>
        <w:t xml:space="preserve">A 60-day Federal Register Notice was published in the </w:t>
      </w:r>
      <w:r w:rsidRPr="00574EA8">
        <w:rPr>
          <w:i/>
          <w:iCs/>
          <w:sz w:val="24"/>
        </w:rPr>
        <w:t xml:space="preserve">Federal Register </w:t>
      </w:r>
      <w:r w:rsidRPr="00574EA8">
        <w:rPr>
          <w:sz w:val="24"/>
        </w:rPr>
        <w:t xml:space="preserve">on </w:t>
      </w:r>
      <w:r w:rsidR="00B27FFA">
        <w:rPr>
          <w:sz w:val="24"/>
        </w:rPr>
        <w:t>October</w:t>
      </w:r>
      <w:r w:rsidRPr="00574EA8">
        <w:rPr>
          <w:sz w:val="24"/>
        </w:rPr>
        <w:t xml:space="preserve"> </w:t>
      </w:r>
      <w:r w:rsidR="00B27FFA">
        <w:rPr>
          <w:sz w:val="24"/>
        </w:rPr>
        <w:t>14</w:t>
      </w:r>
      <w:r w:rsidRPr="00574EA8">
        <w:rPr>
          <w:sz w:val="24"/>
        </w:rPr>
        <w:t>, 2</w:t>
      </w:r>
      <w:r w:rsidR="00B27FFA">
        <w:rPr>
          <w:sz w:val="24"/>
        </w:rPr>
        <w:t>016</w:t>
      </w:r>
      <w:r w:rsidRPr="00574EA8">
        <w:rPr>
          <w:sz w:val="24"/>
        </w:rPr>
        <w:t xml:space="preserve">, vol. </w:t>
      </w:r>
      <w:r w:rsidR="00B27FFA">
        <w:rPr>
          <w:sz w:val="24"/>
        </w:rPr>
        <w:t>81</w:t>
      </w:r>
      <w:r w:rsidRPr="00574EA8">
        <w:rPr>
          <w:sz w:val="24"/>
        </w:rPr>
        <w:t>, No.</w:t>
      </w:r>
      <w:r w:rsidR="00B27FFA">
        <w:rPr>
          <w:sz w:val="24"/>
        </w:rPr>
        <w:t xml:space="preserve"> 199</w:t>
      </w:r>
      <w:r w:rsidRPr="00574EA8">
        <w:rPr>
          <w:sz w:val="24"/>
        </w:rPr>
        <w:t xml:space="preserve">; pp. </w:t>
      </w:r>
      <w:r w:rsidR="00B27FFA">
        <w:rPr>
          <w:sz w:val="24"/>
        </w:rPr>
        <w:t>71108</w:t>
      </w:r>
      <w:r w:rsidRPr="00574EA8">
        <w:rPr>
          <w:sz w:val="24"/>
        </w:rPr>
        <w:t>-</w:t>
      </w:r>
      <w:r w:rsidR="00B27FFA">
        <w:rPr>
          <w:sz w:val="24"/>
        </w:rPr>
        <w:t>09</w:t>
      </w:r>
      <w:r w:rsidR="00A1531C">
        <w:rPr>
          <w:sz w:val="24"/>
        </w:rPr>
        <w:t xml:space="preserve">.  </w:t>
      </w:r>
      <w:r w:rsidR="003155D3" w:rsidRPr="00574EA8">
        <w:rPr>
          <w:sz w:val="24"/>
        </w:rPr>
        <w:t xml:space="preserve"> </w:t>
      </w:r>
      <w:r w:rsidRPr="00574EA8">
        <w:rPr>
          <w:sz w:val="24"/>
        </w:rPr>
        <w:t>There were</w:t>
      </w:r>
      <w:r w:rsidR="00694CDB">
        <w:rPr>
          <w:sz w:val="24"/>
        </w:rPr>
        <w:t xml:space="preserve"> no public comments.  </w:t>
      </w:r>
    </w:p>
    <w:p w14:paraId="4BE4B278" w14:textId="77777777" w:rsidR="00441598" w:rsidRPr="00574EA8" w:rsidRDefault="00441598" w:rsidP="00987451">
      <w:pPr>
        <w:spacing w:before="120"/>
        <w:rPr>
          <w:sz w:val="24"/>
        </w:rPr>
      </w:pPr>
    </w:p>
    <w:p w14:paraId="6BD8D5AD" w14:textId="77777777" w:rsidR="00DE3A45" w:rsidRPr="00574EA8" w:rsidRDefault="00DE3A45" w:rsidP="00CA3DA6">
      <w:pPr>
        <w:spacing w:before="120"/>
        <w:rPr>
          <w:b/>
          <w:sz w:val="24"/>
        </w:rPr>
      </w:pPr>
      <w:r w:rsidRPr="00574EA8">
        <w:rPr>
          <w:b/>
          <w:sz w:val="24"/>
        </w:rPr>
        <w:t>Section 8B:</w:t>
      </w:r>
    </w:p>
    <w:p w14:paraId="788A4F3F" w14:textId="77777777" w:rsidR="00BD3BCB" w:rsidRPr="00574EA8" w:rsidRDefault="005B46AD" w:rsidP="00CA3DA6">
      <w:pPr>
        <w:spacing w:before="120"/>
        <w:rPr>
          <w:sz w:val="24"/>
        </w:rPr>
      </w:pPr>
      <w:r w:rsidRPr="00574EA8">
        <w:rPr>
          <w:sz w:val="24"/>
        </w:rPr>
        <w:t>The resident</w:t>
      </w:r>
      <w:r w:rsidR="00BD3BCB" w:rsidRPr="00574EA8">
        <w:rPr>
          <w:sz w:val="24"/>
        </w:rPr>
        <w:t xml:space="preserve"> surveys were developed based on survey instruments shared by some of the existing THCs </w:t>
      </w:r>
      <w:r w:rsidR="00700D57" w:rsidRPr="00574EA8">
        <w:rPr>
          <w:sz w:val="24"/>
        </w:rPr>
        <w:t xml:space="preserve">as well as </w:t>
      </w:r>
      <w:r w:rsidR="00BD3BCB" w:rsidRPr="00574EA8">
        <w:rPr>
          <w:sz w:val="24"/>
        </w:rPr>
        <w:t>other existing similar surveys, such as the Washington, Wyoming, Alaska, Montana, Idaho (WWAMI) Family Medicine Residency Network survey</w:t>
      </w:r>
      <w:r w:rsidRPr="00574EA8">
        <w:rPr>
          <w:sz w:val="24"/>
        </w:rPr>
        <w:t>,</w:t>
      </w:r>
      <w:r w:rsidR="00BD3BCB" w:rsidRPr="00574EA8">
        <w:rPr>
          <w:sz w:val="24"/>
        </w:rPr>
        <w:t xml:space="preserve"> and the Association of American Medical Colleges (AAMC)</w:t>
      </w:r>
      <w:r w:rsidR="000F4329" w:rsidRPr="00574EA8">
        <w:rPr>
          <w:sz w:val="24"/>
        </w:rPr>
        <w:t xml:space="preserve"> matriculant and graduation</w:t>
      </w:r>
      <w:r w:rsidR="00BD3BCB" w:rsidRPr="00574EA8">
        <w:rPr>
          <w:sz w:val="24"/>
        </w:rPr>
        <w:t xml:space="preserve"> surveys. The surveys were also developed to correlate with the HRSA </w:t>
      </w:r>
      <w:r w:rsidR="00901B48">
        <w:rPr>
          <w:sz w:val="24"/>
        </w:rPr>
        <w:t>Bureau of Health Workforce</w:t>
      </w:r>
      <w:r w:rsidR="00700D57" w:rsidRPr="00574EA8">
        <w:rPr>
          <w:sz w:val="24"/>
        </w:rPr>
        <w:t xml:space="preserve"> </w:t>
      </w:r>
      <w:r w:rsidR="00BD3BCB" w:rsidRPr="00574EA8">
        <w:rPr>
          <w:sz w:val="24"/>
        </w:rPr>
        <w:t xml:space="preserve">performance measures. </w:t>
      </w:r>
    </w:p>
    <w:p w14:paraId="6D0F1866" w14:textId="77777777" w:rsidR="00700D57" w:rsidRPr="00574EA8" w:rsidRDefault="00700D57" w:rsidP="00CA3DA6">
      <w:pPr>
        <w:spacing w:before="120"/>
        <w:rPr>
          <w:sz w:val="24"/>
        </w:rPr>
      </w:pPr>
      <w:r w:rsidRPr="00574EA8">
        <w:rPr>
          <w:sz w:val="24"/>
        </w:rPr>
        <w:t>The GW team consulted the following individuals in developing the survey instruments:</w:t>
      </w:r>
    </w:p>
    <w:p w14:paraId="7727EC46" w14:textId="77777777" w:rsidR="00700D57" w:rsidRPr="00574EA8" w:rsidRDefault="00E128F2" w:rsidP="00E04789">
      <w:pPr>
        <w:spacing w:before="120"/>
        <w:rPr>
          <w:sz w:val="24"/>
        </w:rPr>
      </w:pPr>
      <w:r w:rsidRPr="00574EA8">
        <w:rPr>
          <w:sz w:val="24"/>
        </w:rPr>
        <w:t>Paul Ford, Department of Family Medicine, University of Washington</w:t>
      </w:r>
      <w:r w:rsidR="00E92943" w:rsidRPr="00574EA8">
        <w:rPr>
          <w:sz w:val="24"/>
        </w:rPr>
        <w:t xml:space="preserve"> (</w:t>
      </w:r>
      <w:hyperlink r:id="rId11" w:history="1">
        <w:r w:rsidR="00E92943" w:rsidRPr="00574EA8">
          <w:rPr>
            <w:rStyle w:val="Hyperlink"/>
            <w:sz w:val="24"/>
          </w:rPr>
          <w:t>pford@fammed.washington.edu</w:t>
        </w:r>
      </w:hyperlink>
      <w:r w:rsidR="00E92943" w:rsidRPr="00574EA8">
        <w:rPr>
          <w:sz w:val="24"/>
        </w:rPr>
        <w:t>) – Dr. Ford administers the WWAMI Family Medicine Residency Network alumni survey. He was consulted to discuss the content, implementation, and challenges faced in implementing the survey instrument among Family Medicine residency programs in the WWAMI Network. He was consulted in 2013.</w:t>
      </w:r>
    </w:p>
    <w:p w14:paraId="51A036EF" w14:textId="77777777" w:rsidR="00E92943" w:rsidRPr="00574EA8" w:rsidRDefault="00E92943" w:rsidP="00E04789">
      <w:pPr>
        <w:spacing w:before="120"/>
        <w:rPr>
          <w:sz w:val="24"/>
        </w:rPr>
      </w:pPr>
      <w:r w:rsidRPr="00574EA8">
        <w:rPr>
          <w:sz w:val="24"/>
        </w:rPr>
        <w:t>Henry Sondheimer, Association of American Medical Colleges (</w:t>
      </w:r>
      <w:hyperlink r:id="rId12" w:history="1">
        <w:r w:rsidRPr="00574EA8">
          <w:rPr>
            <w:rStyle w:val="Hyperlink"/>
            <w:sz w:val="24"/>
          </w:rPr>
          <w:t>hsondheimer@aamc.org</w:t>
        </w:r>
      </w:hyperlink>
      <w:r w:rsidRPr="00574EA8">
        <w:rPr>
          <w:sz w:val="24"/>
        </w:rPr>
        <w:t>) – Dr. Sondheimer administers the AAMC Medical Student Matriculant</w:t>
      </w:r>
      <w:r w:rsidR="000F4329" w:rsidRPr="00574EA8">
        <w:rPr>
          <w:sz w:val="24"/>
        </w:rPr>
        <w:t xml:space="preserve"> and Graduation</w:t>
      </w:r>
      <w:r w:rsidRPr="00574EA8">
        <w:rPr>
          <w:sz w:val="24"/>
        </w:rPr>
        <w:t xml:space="preserve"> Surveys. He was consulted to discuss the content of these surveys and the potential for future collaboration in order to compare resident responses to medical student responses. He was consulted in 2013.</w:t>
      </w:r>
    </w:p>
    <w:p w14:paraId="0A685242" w14:textId="77777777" w:rsidR="00E92943" w:rsidRPr="00574EA8" w:rsidRDefault="00E92943" w:rsidP="00E04789">
      <w:pPr>
        <w:spacing w:before="120"/>
        <w:rPr>
          <w:sz w:val="24"/>
        </w:rPr>
      </w:pPr>
      <w:r w:rsidRPr="00574EA8">
        <w:rPr>
          <w:sz w:val="24"/>
        </w:rPr>
        <w:t xml:space="preserve">In both cases, survey questions were modeled after those in the WWAMI and AAMC surveys in </w:t>
      </w:r>
      <w:r w:rsidRPr="00574EA8">
        <w:rPr>
          <w:sz w:val="24"/>
        </w:rPr>
        <w:lastRenderedPageBreak/>
        <w:t xml:space="preserve">order to allow comparison of responses – both individuals </w:t>
      </w:r>
      <w:r w:rsidR="00DF0AB0" w:rsidRPr="00574EA8">
        <w:rPr>
          <w:sz w:val="24"/>
        </w:rPr>
        <w:t>reported there were no proprietary concerns over using the same question formats.</w:t>
      </w:r>
    </w:p>
    <w:p w14:paraId="5F2862E0" w14:textId="77777777" w:rsidR="005847BA" w:rsidRPr="00574EA8" w:rsidRDefault="005847BA" w:rsidP="005847BA">
      <w:pPr>
        <w:rPr>
          <w:sz w:val="24"/>
        </w:rPr>
      </w:pPr>
    </w:p>
    <w:p w14:paraId="2B660E5B" w14:textId="77777777" w:rsidR="009B3794" w:rsidRPr="00574EA8" w:rsidRDefault="009B3794" w:rsidP="00CA3DA6">
      <w:pPr>
        <w:spacing w:before="240"/>
        <w:rPr>
          <w:b/>
          <w:sz w:val="24"/>
        </w:rPr>
      </w:pPr>
      <w:r w:rsidRPr="00574EA8">
        <w:rPr>
          <w:b/>
          <w:sz w:val="24"/>
          <w:u w:val="single"/>
        </w:rPr>
        <w:t>Explanation of any Payment/Gift to Respondents</w:t>
      </w:r>
    </w:p>
    <w:p w14:paraId="054190E1" w14:textId="77777777" w:rsidR="009B3794" w:rsidRPr="00574EA8" w:rsidRDefault="005847BA" w:rsidP="009C53C8">
      <w:pPr>
        <w:spacing w:before="120"/>
        <w:rPr>
          <w:sz w:val="24"/>
        </w:rPr>
      </w:pPr>
      <w:r w:rsidRPr="00574EA8">
        <w:rPr>
          <w:sz w:val="24"/>
        </w:rPr>
        <w:t xml:space="preserve">No </w:t>
      </w:r>
      <w:r w:rsidR="009B3794" w:rsidRPr="00574EA8">
        <w:rPr>
          <w:sz w:val="24"/>
        </w:rPr>
        <w:t>payments or gifts</w:t>
      </w:r>
      <w:r w:rsidRPr="00574EA8">
        <w:rPr>
          <w:sz w:val="24"/>
        </w:rPr>
        <w:t xml:space="preserve"> will be given</w:t>
      </w:r>
      <w:r w:rsidR="009B3794" w:rsidRPr="00574EA8">
        <w:rPr>
          <w:sz w:val="24"/>
        </w:rPr>
        <w:t xml:space="preserve"> to the respondents.</w:t>
      </w:r>
    </w:p>
    <w:p w14:paraId="3F5FB6B8" w14:textId="77777777" w:rsidR="00441598" w:rsidRPr="00574EA8" w:rsidRDefault="00441598" w:rsidP="009C53C8">
      <w:pPr>
        <w:spacing w:before="120"/>
        <w:rPr>
          <w:sz w:val="24"/>
        </w:rPr>
      </w:pPr>
    </w:p>
    <w:p w14:paraId="55F18669" w14:textId="77777777" w:rsidR="009B3794" w:rsidRPr="00574EA8" w:rsidRDefault="009B3794" w:rsidP="00CA3DA6">
      <w:pPr>
        <w:spacing w:before="240"/>
        <w:rPr>
          <w:b/>
          <w:sz w:val="24"/>
        </w:rPr>
      </w:pPr>
      <w:r w:rsidRPr="00574EA8">
        <w:rPr>
          <w:b/>
          <w:sz w:val="24"/>
          <w:u w:val="single"/>
        </w:rPr>
        <w:t>Assurance of Confidentiality Provided to Respondents</w:t>
      </w:r>
    </w:p>
    <w:p w14:paraId="2DBE549E" w14:textId="77777777" w:rsidR="00E04789" w:rsidRPr="00574EA8" w:rsidRDefault="00E04789" w:rsidP="00A645B9">
      <w:pPr>
        <w:spacing w:before="240"/>
        <w:rPr>
          <w:sz w:val="24"/>
        </w:rPr>
      </w:pPr>
      <w:r w:rsidRPr="00574EA8">
        <w:rPr>
          <w:sz w:val="24"/>
        </w:rPr>
        <w:t>All data will be collected through a secure online survey site or through secure password-protected e-mail. Program level data is aggregated and therefore by nature de-identified. Individual level data will be colle</w:t>
      </w:r>
      <w:r w:rsidR="00BE1695" w:rsidRPr="00574EA8">
        <w:rPr>
          <w:sz w:val="24"/>
        </w:rPr>
        <w:t xml:space="preserve">cted </w:t>
      </w:r>
      <w:r w:rsidRPr="00574EA8">
        <w:rPr>
          <w:sz w:val="24"/>
        </w:rPr>
        <w:t>with personal identifiers (ex. e-mail addresses provided by the THC programs). Personal identifiers are needed in order link surveys completed over time to examine individual characteristics that are related to different career outcomes – for example, practice in rural or other underserved areas. In addition, identified individual level data will be provided back to the THC program directors in order for THC</w:t>
      </w:r>
      <w:r w:rsidR="00901B48">
        <w:rPr>
          <w:sz w:val="24"/>
        </w:rPr>
        <w:t xml:space="preserve"> residency</w:t>
      </w:r>
      <w:r w:rsidRPr="00574EA8">
        <w:rPr>
          <w:sz w:val="24"/>
        </w:rPr>
        <w:t xml:space="preserve"> programs to provide accurate information for the HRSA performance measures. HRSA performance measures are required at an individual level, reported with a unique identifier</w:t>
      </w:r>
      <w:r w:rsidR="00BE1695" w:rsidRPr="00574EA8">
        <w:rPr>
          <w:sz w:val="24"/>
        </w:rPr>
        <w:t xml:space="preserve"> created by the THC program</w:t>
      </w:r>
      <w:r w:rsidRPr="00574EA8">
        <w:rPr>
          <w:sz w:val="24"/>
        </w:rPr>
        <w:t xml:space="preserve">. The survey instruments developed for the THC Evaluation will allow THC </w:t>
      </w:r>
      <w:r w:rsidR="00901B48">
        <w:rPr>
          <w:sz w:val="24"/>
        </w:rPr>
        <w:t xml:space="preserve">residency </w:t>
      </w:r>
      <w:r w:rsidRPr="00574EA8">
        <w:rPr>
          <w:sz w:val="24"/>
        </w:rPr>
        <w:t>programs to gather individual level data</w:t>
      </w:r>
      <w:r w:rsidR="00BE1695" w:rsidRPr="00574EA8">
        <w:rPr>
          <w:sz w:val="24"/>
        </w:rPr>
        <w:t xml:space="preserve"> in a standardized manner that can then be reported to HRSA for the required performance measure reporting. In all cases, respondents will be informed that surveys are identified and information will be provided back to their THC</w:t>
      </w:r>
      <w:r w:rsidR="00901B48">
        <w:rPr>
          <w:sz w:val="24"/>
        </w:rPr>
        <w:t xml:space="preserve"> residency</w:t>
      </w:r>
      <w:r w:rsidR="00BE1695" w:rsidRPr="00574EA8">
        <w:rPr>
          <w:sz w:val="24"/>
        </w:rPr>
        <w:t xml:space="preserve"> programs in an identified manner.</w:t>
      </w:r>
    </w:p>
    <w:p w14:paraId="79C10F81" w14:textId="77777777" w:rsidR="00441598" w:rsidRPr="00574EA8" w:rsidRDefault="00441598" w:rsidP="00A645B9">
      <w:pPr>
        <w:spacing w:before="240"/>
        <w:rPr>
          <w:sz w:val="24"/>
        </w:rPr>
      </w:pPr>
    </w:p>
    <w:p w14:paraId="7E7CCD75" w14:textId="77777777" w:rsidR="009B3794" w:rsidRPr="00574EA8" w:rsidRDefault="009B3794" w:rsidP="00CA3DA6">
      <w:pPr>
        <w:spacing w:before="240"/>
        <w:rPr>
          <w:b/>
          <w:sz w:val="24"/>
        </w:rPr>
      </w:pPr>
      <w:r w:rsidRPr="00574EA8">
        <w:rPr>
          <w:b/>
          <w:sz w:val="24"/>
          <w:u w:val="single"/>
        </w:rPr>
        <w:t>Justification for Sensitive Questions</w:t>
      </w:r>
    </w:p>
    <w:p w14:paraId="14E2FC9D" w14:textId="3B594291" w:rsidR="00104D58" w:rsidRPr="00574EA8" w:rsidRDefault="005847BA" w:rsidP="005847BA">
      <w:pPr>
        <w:widowControl/>
        <w:spacing w:before="120"/>
        <w:rPr>
          <w:sz w:val="24"/>
        </w:rPr>
      </w:pPr>
      <w:r w:rsidRPr="00574EA8">
        <w:rPr>
          <w:sz w:val="24"/>
        </w:rPr>
        <w:t>The THC Matriculant Survey asks the respondent to identify their race/ethnicity.</w:t>
      </w:r>
      <w:r w:rsidR="00104D58" w:rsidRPr="00574EA8">
        <w:rPr>
          <w:sz w:val="24"/>
        </w:rPr>
        <w:t xml:space="preserve"> This question is important to determine the different demographic characteristics of t</w:t>
      </w:r>
      <w:r w:rsidR="00901B48">
        <w:rPr>
          <w:sz w:val="24"/>
        </w:rPr>
        <w:t>he individuals entering into a</w:t>
      </w:r>
      <w:r w:rsidR="00104D58" w:rsidRPr="00574EA8">
        <w:rPr>
          <w:sz w:val="24"/>
        </w:rPr>
        <w:t xml:space="preserve"> THC </w:t>
      </w:r>
      <w:r w:rsidR="00901B48">
        <w:rPr>
          <w:sz w:val="24"/>
        </w:rPr>
        <w:t xml:space="preserve">residency </w:t>
      </w:r>
      <w:r w:rsidR="00104D58" w:rsidRPr="00574EA8">
        <w:rPr>
          <w:sz w:val="24"/>
        </w:rPr>
        <w:t xml:space="preserve">program. </w:t>
      </w:r>
    </w:p>
    <w:p w14:paraId="6301D74B" w14:textId="77777777" w:rsidR="00104D58" w:rsidRPr="00574EA8" w:rsidRDefault="00104D58" w:rsidP="00104D58">
      <w:pPr>
        <w:widowControl/>
        <w:spacing w:before="120"/>
        <w:rPr>
          <w:sz w:val="24"/>
        </w:rPr>
      </w:pPr>
      <w:r w:rsidRPr="00574EA8">
        <w:rPr>
          <w:sz w:val="24"/>
        </w:rPr>
        <w:t xml:space="preserve">No information is gathered on social security number, sexual behavior and attitudes, alcohol or drug use, religious beliefs, and other matters that are commonly considered private. </w:t>
      </w:r>
    </w:p>
    <w:p w14:paraId="58AD444B" w14:textId="77777777" w:rsidR="00441598" w:rsidRPr="00574EA8" w:rsidRDefault="00441598" w:rsidP="00104D58">
      <w:pPr>
        <w:widowControl/>
        <w:spacing w:before="120"/>
        <w:rPr>
          <w:sz w:val="24"/>
        </w:rPr>
      </w:pPr>
    </w:p>
    <w:p w14:paraId="0A21C83E" w14:textId="77777777" w:rsidR="009B3794" w:rsidRPr="00574EA8" w:rsidRDefault="009B3794" w:rsidP="00CA3DA6">
      <w:pPr>
        <w:spacing w:before="240"/>
        <w:rPr>
          <w:sz w:val="24"/>
        </w:rPr>
      </w:pPr>
      <w:r w:rsidRPr="00574EA8">
        <w:rPr>
          <w:b/>
          <w:sz w:val="24"/>
          <w:u w:val="single"/>
        </w:rPr>
        <w:t xml:space="preserve">Estimates of Annualized Hour and Cost Burden  </w:t>
      </w:r>
    </w:p>
    <w:p w14:paraId="4D0BA194" w14:textId="77777777" w:rsidR="00441598" w:rsidRPr="00574EA8" w:rsidRDefault="009B3794" w:rsidP="00CA3DA6">
      <w:pPr>
        <w:spacing w:before="120"/>
        <w:rPr>
          <w:sz w:val="24"/>
        </w:rPr>
      </w:pPr>
      <w:r w:rsidRPr="00574EA8">
        <w:rPr>
          <w:sz w:val="24"/>
        </w:rPr>
        <w:t xml:space="preserve">This section summarizes the total burden hours for this information collection in addition to the cost associated with those hours. </w:t>
      </w:r>
    </w:p>
    <w:p w14:paraId="5242874D" w14:textId="77777777" w:rsidR="009B3794" w:rsidRPr="00574EA8" w:rsidRDefault="009B3794" w:rsidP="00CA3DA6">
      <w:pPr>
        <w:widowControl/>
        <w:spacing w:before="120"/>
        <w:rPr>
          <w:b/>
          <w:sz w:val="24"/>
        </w:rPr>
      </w:pPr>
      <w:r w:rsidRPr="00574EA8">
        <w:rPr>
          <w:b/>
          <w:sz w:val="24"/>
        </w:rPr>
        <w:t>12A.</w:t>
      </w:r>
      <w:r w:rsidRPr="00574EA8">
        <w:rPr>
          <w:sz w:val="24"/>
        </w:rPr>
        <w:t xml:space="preserve"> </w:t>
      </w:r>
      <w:r w:rsidRPr="00574EA8">
        <w:rPr>
          <w:b/>
          <w:sz w:val="24"/>
        </w:rPr>
        <w:t>Estimated Annualized Burden Hours</w:t>
      </w:r>
    </w:p>
    <w:p w14:paraId="5D4D7B53" w14:textId="77777777" w:rsidR="00166520" w:rsidRPr="00574EA8" w:rsidRDefault="00166520" w:rsidP="00CA3DA6">
      <w:pPr>
        <w:widowControl/>
        <w:spacing w:before="120"/>
        <w:rPr>
          <w:sz w:val="24"/>
        </w:rPr>
      </w:pPr>
    </w:p>
    <w:tbl>
      <w:tblPr>
        <w:tblW w:w="9187" w:type="dxa"/>
        <w:tblLayout w:type="fixed"/>
        <w:tblCellMar>
          <w:left w:w="97" w:type="dxa"/>
          <w:right w:w="97" w:type="dxa"/>
        </w:tblCellMar>
        <w:tblLook w:val="0000" w:firstRow="0" w:lastRow="0" w:firstColumn="0" w:lastColumn="0" w:noHBand="0" w:noVBand="0"/>
      </w:tblPr>
      <w:tblGrid>
        <w:gridCol w:w="1800"/>
        <w:gridCol w:w="1800"/>
        <w:gridCol w:w="1440"/>
        <w:gridCol w:w="7"/>
        <w:gridCol w:w="1620"/>
        <w:gridCol w:w="1440"/>
        <w:gridCol w:w="1080"/>
      </w:tblGrid>
      <w:tr w:rsidR="008F687B" w:rsidRPr="00574EA8" w14:paraId="14EAD222" w14:textId="77777777" w:rsidTr="009C53C8">
        <w:trPr>
          <w:trHeight w:val="787"/>
        </w:trPr>
        <w:tc>
          <w:tcPr>
            <w:tcW w:w="1800" w:type="dxa"/>
            <w:tcBorders>
              <w:top w:val="single" w:sz="2" w:space="0" w:color="auto"/>
              <w:left w:val="single" w:sz="2" w:space="0" w:color="auto"/>
              <w:bottom w:val="single" w:sz="2" w:space="0" w:color="auto"/>
              <w:right w:val="single" w:sz="2" w:space="0" w:color="auto"/>
            </w:tcBorders>
          </w:tcPr>
          <w:p w14:paraId="0080FDA4" w14:textId="77777777" w:rsidR="008F687B" w:rsidRPr="00574EA8" w:rsidRDefault="008F687B" w:rsidP="008F687B">
            <w:pPr>
              <w:pStyle w:val="BodyText"/>
              <w:tabs>
                <w:tab w:val="left" w:pos="10080"/>
              </w:tabs>
              <w:rPr>
                <w:sz w:val="22"/>
              </w:rPr>
            </w:pPr>
            <w:r w:rsidRPr="00574EA8">
              <w:rPr>
                <w:sz w:val="22"/>
              </w:rPr>
              <w:t>Type of Respondent</w:t>
            </w:r>
          </w:p>
        </w:tc>
        <w:tc>
          <w:tcPr>
            <w:tcW w:w="1800" w:type="dxa"/>
            <w:tcBorders>
              <w:top w:val="single" w:sz="2" w:space="0" w:color="auto"/>
              <w:left w:val="single" w:sz="2" w:space="0" w:color="auto"/>
              <w:bottom w:val="single" w:sz="2" w:space="0" w:color="auto"/>
              <w:right w:val="single" w:sz="2" w:space="0" w:color="auto"/>
            </w:tcBorders>
          </w:tcPr>
          <w:p w14:paraId="6F8F31ED" w14:textId="77777777" w:rsidR="008F687B" w:rsidRPr="00574EA8" w:rsidRDefault="008F687B" w:rsidP="008F687B">
            <w:pPr>
              <w:pStyle w:val="BodyText"/>
              <w:tabs>
                <w:tab w:val="left" w:pos="10080"/>
              </w:tabs>
              <w:rPr>
                <w:sz w:val="22"/>
              </w:rPr>
            </w:pPr>
            <w:r w:rsidRPr="00574EA8">
              <w:rPr>
                <w:sz w:val="22"/>
              </w:rPr>
              <w:t>Form Name</w:t>
            </w:r>
          </w:p>
        </w:tc>
        <w:tc>
          <w:tcPr>
            <w:tcW w:w="1447" w:type="dxa"/>
            <w:gridSpan w:val="2"/>
            <w:tcBorders>
              <w:top w:val="single" w:sz="2" w:space="0" w:color="auto"/>
              <w:left w:val="single" w:sz="2" w:space="0" w:color="auto"/>
              <w:bottom w:val="single" w:sz="2" w:space="0" w:color="auto"/>
              <w:right w:val="single" w:sz="2" w:space="0" w:color="auto"/>
            </w:tcBorders>
          </w:tcPr>
          <w:p w14:paraId="637B3786" w14:textId="77777777" w:rsidR="008F687B" w:rsidRPr="00574EA8" w:rsidRDefault="008F687B" w:rsidP="008F687B">
            <w:pPr>
              <w:pStyle w:val="BodyText"/>
              <w:rPr>
                <w:sz w:val="22"/>
              </w:rPr>
            </w:pPr>
            <w:r w:rsidRPr="00574EA8">
              <w:rPr>
                <w:sz w:val="22"/>
              </w:rPr>
              <w:t>Number of Respondents</w:t>
            </w:r>
          </w:p>
        </w:tc>
        <w:tc>
          <w:tcPr>
            <w:tcW w:w="1620" w:type="dxa"/>
            <w:tcBorders>
              <w:top w:val="single" w:sz="2" w:space="0" w:color="auto"/>
              <w:left w:val="single" w:sz="2" w:space="0" w:color="auto"/>
              <w:bottom w:val="single" w:sz="2" w:space="0" w:color="auto"/>
              <w:right w:val="single" w:sz="2" w:space="0" w:color="auto"/>
            </w:tcBorders>
          </w:tcPr>
          <w:p w14:paraId="090E00C0" w14:textId="77777777" w:rsidR="008F687B" w:rsidRPr="00574EA8" w:rsidRDefault="008F687B" w:rsidP="008F687B">
            <w:pPr>
              <w:pStyle w:val="BodyText"/>
              <w:rPr>
                <w:sz w:val="22"/>
              </w:rPr>
            </w:pPr>
            <w:r w:rsidRPr="00574EA8">
              <w:rPr>
                <w:sz w:val="22"/>
              </w:rPr>
              <w:t>Number of Responses per Respondent</w:t>
            </w:r>
          </w:p>
        </w:tc>
        <w:tc>
          <w:tcPr>
            <w:tcW w:w="1440" w:type="dxa"/>
            <w:tcBorders>
              <w:top w:val="single" w:sz="2" w:space="0" w:color="auto"/>
              <w:left w:val="single" w:sz="2" w:space="0" w:color="auto"/>
              <w:bottom w:val="single" w:sz="2" w:space="0" w:color="auto"/>
              <w:right w:val="single" w:sz="2" w:space="0" w:color="auto"/>
            </w:tcBorders>
          </w:tcPr>
          <w:p w14:paraId="793F7CE5" w14:textId="77777777" w:rsidR="008F687B" w:rsidRPr="00574EA8" w:rsidRDefault="008F687B" w:rsidP="008F687B">
            <w:pPr>
              <w:pStyle w:val="BodyText"/>
              <w:rPr>
                <w:sz w:val="22"/>
              </w:rPr>
            </w:pPr>
            <w:r w:rsidRPr="00574EA8">
              <w:rPr>
                <w:sz w:val="22"/>
              </w:rPr>
              <w:t>Average Burden per Response (in hours)</w:t>
            </w:r>
          </w:p>
        </w:tc>
        <w:tc>
          <w:tcPr>
            <w:tcW w:w="1080" w:type="dxa"/>
            <w:tcBorders>
              <w:top w:val="single" w:sz="2" w:space="0" w:color="auto"/>
              <w:left w:val="single" w:sz="2" w:space="0" w:color="auto"/>
              <w:bottom w:val="single" w:sz="2" w:space="0" w:color="auto"/>
              <w:right w:val="single" w:sz="2" w:space="0" w:color="auto"/>
            </w:tcBorders>
          </w:tcPr>
          <w:p w14:paraId="13A75169" w14:textId="77777777" w:rsidR="008F687B" w:rsidRPr="00574EA8" w:rsidRDefault="008F687B" w:rsidP="008F687B">
            <w:pPr>
              <w:pStyle w:val="BodyText"/>
              <w:rPr>
                <w:sz w:val="22"/>
              </w:rPr>
            </w:pPr>
            <w:r w:rsidRPr="00574EA8">
              <w:rPr>
                <w:sz w:val="22"/>
              </w:rPr>
              <w:t>Total Burden Hours</w:t>
            </w:r>
          </w:p>
        </w:tc>
      </w:tr>
      <w:tr w:rsidR="008F687B" w:rsidRPr="00574EA8" w14:paraId="4536C64A" w14:textId="77777777" w:rsidTr="009C53C8">
        <w:tc>
          <w:tcPr>
            <w:tcW w:w="1800" w:type="dxa"/>
            <w:tcBorders>
              <w:top w:val="single" w:sz="2" w:space="0" w:color="auto"/>
              <w:left w:val="single" w:sz="2" w:space="0" w:color="auto"/>
              <w:bottom w:val="single" w:sz="2" w:space="0" w:color="auto"/>
              <w:right w:val="single" w:sz="2" w:space="0" w:color="auto"/>
            </w:tcBorders>
          </w:tcPr>
          <w:p w14:paraId="0F8C238B"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lastRenderedPageBreak/>
              <w:t>THC Program Directors</w:t>
            </w:r>
          </w:p>
        </w:tc>
        <w:tc>
          <w:tcPr>
            <w:tcW w:w="1800" w:type="dxa"/>
            <w:tcBorders>
              <w:top w:val="single" w:sz="2" w:space="0" w:color="auto"/>
              <w:left w:val="single" w:sz="2" w:space="0" w:color="auto"/>
              <w:bottom w:val="single" w:sz="2" w:space="0" w:color="auto"/>
              <w:right w:val="single" w:sz="2" w:space="0" w:color="auto"/>
            </w:tcBorders>
          </w:tcPr>
          <w:p w14:paraId="0E3C4006"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Program Data Collection Tool</w:t>
            </w:r>
          </w:p>
        </w:tc>
        <w:tc>
          <w:tcPr>
            <w:tcW w:w="1440" w:type="dxa"/>
            <w:tcBorders>
              <w:top w:val="single" w:sz="2" w:space="0" w:color="auto"/>
              <w:left w:val="single" w:sz="2" w:space="0" w:color="auto"/>
              <w:bottom w:val="single" w:sz="2" w:space="0" w:color="auto"/>
              <w:right w:val="single" w:sz="2" w:space="0" w:color="auto"/>
            </w:tcBorders>
          </w:tcPr>
          <w:p w14:paraId="3870E652" w14:textId="77777777" w:rsidR="008F687B" w:rsidRPr="00574EA8" w:rsidRDefault="00BC05CF" w:rsidP="00F65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10</w:t>
            </w:r>
          </w:p>
        </w:tc>
        <w:tc>
          <w:tcPr>
            <w:tcW w:w="1627" w:type="dxa"/>
            <w:gridSpan w:val="2"/>
            <w:tcBorders>
              <w:top w:val="single" w:sz="2" w:space="0" w:color="auto"/>
              <w:left w:val="single" w:sz="2" w:space="0" w:color="auto"/>
              <w:bottom w:val="single" w:sz="2" w:space="0" w:color="auto"/>
              <w:right w:val="single" w:sz="2" w:space="0" w:color="auto"/>
            </w:tcBorders>
          </w:tcPr>
          <w:p w14:paraId="5E409DD8"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1</w:t>
            </w:r>
          </w:p>
        </w:tc>
        <w:tc>
          <w:tcPr>
            <w:tcW w:w="1440" w:type="dxa"/>
            <w:tcBorders>
              <w:top w:val="single" w:sz="2" w:space="0" w:color="auto"/>
              <w:left w:val="single" w:sz="2" w:space="0" w:color="auto"/>
              <w:bottom w:val="single" w:sz="2" w:space="0" w:color="auto"/>
              <w:right w:val="single" w:sz="2" w:space="0" w:color="auto"/>
            </w:tcBorders>
          </w:tcPr>
          <w:p w14:paraId="6FF4614D"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8</w:t>
            </w:r>
          </w:p>
        </w:tc>
        <w:tc>
          <w:tcPr>
            <w:tcW w:w="1080" w:type="dxa"/>
            <w:tcBorders>
              <w:top w:val="single" w:sz="2" w:space="0" w:color="auto"/>
              <w:left w:val="single" w:sz="2" w:space="0" w:color="auto"/>
              <w:bottom w:val="single" w:sz="2" w:space="0" w:color="auto"/>
              <w:right w:val="single" w:sz="2" w:space="0" w:color="auto"/>
            </w:tcBorders>
          </w:tcPr>
          <w:p w14:paraId="0D45AE27" w14:textId="77777777" w:rsidR="008F687B" w:rsidRPr="00574EA8" w:rsidRDefault="00BC05CF"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80</w:t>
            </w:r>
          </w:p>
        </w:tc>
      </w:tr>
      <w:tr w:rsidR="008F687B" w:rsidRPr="00574EA8" w14:paraId="18ECD89C" w14:textId="77777777" w:rsidTr="009C53C8">
        <w:tc>
          <w:tcPr>
            <w:tcW w:w="1800" w:type="dxa"/>
            <w:tcBorders>
              <w:top w:val="single" w:sz="2" w:space="0" w:color="auto"/>
              <w:left w:val="single" w:sz="2" w:space="0" w:color="auto"/>
              <w:bottom w:val="single" w:sz="2" w:space="0" w:color="auto"/>
              <w:right w:val="single" w:sz="2" w:space="0" w:color="auto"/>
            </w:tcBorders>
          </w:tcPr>
          <w:p w14:paraId="6161E098"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Graduated THC Residents</w:t>
            </w:r>
          </w:p>
        </w:tc>
        <w:tc>
          <w:tcPr>
            <w:tcW w:w="1800" w:type="dxa"/>
            <w:tcBorders>
              <w:top w:val="single" w:sz="2" w:space="0" w:color="auto"/>
              <w:left w:val="single" w:sz="2" w:space="0" w:color="auto"/>
              <w:bottom w:val="single" w:sz="2" w:space="0" w:color="auto"/>
              <w:right w:val="single" w:sz="2" w:space="0" w:color="auto"/>
            </w:tcBorders>
          </w:tcPr>
          <w:p w14:paraId="02F20DA6" w14:textId="77777777" w:rsidR="008F687B" w:rsidRPr="00574EA8" w:rsidRDefault="009030C8" w:rsidP="002E24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 xml:space="preserve">THC </w:t>
            </w:r>
            <w:r w:rsidR="00515529">
              <w:rPr>
                <w:sz w:val="22"/>
              </w:rPr>
              <w:t>Alumni</w:t>
            </w:r>
            <w:r w:rsidR="001C21AB" w:rsidRPr="00574EA8">
              <w:rPr>
                <w:sz w:val="22"/>
              </w:rPr>
              <w:t xml:space="preserve"> </w:t>
            </w:r>
            <w:r w:rsidR="008F687B" w:rsidRPr="00574EA8">
              <w:rPr>
                <w:sz w:val="22"/>
              </w:rPr>
              <w:t>Survey</w:t>
            </w:r>
          </w:p>
        </w:tc>
        <w:tc>
          <w:tcPr>
            <w:tcW w:w="1440" w:type="dxa"/>
            <w:tcBorders>
              <w:top w:val="single" w:sz="2" w:space="0" w:color="auto"/>
              <w:left w:val="single" w:sz="2" w:space="0" w:color="auto"/>
              <w:bottom w:val="single" w:sz="2" w:space="0" w:color="auto"/>
              <w:right w:val="single" w:sz="2" w:space="0" w:color="auto"/>
            </w:tcBorders>
          </w:tcPr>
          <w:p w14:paraId="1B025866"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2</w:t>
            </w:r>
            <w:r w:rsidR="008F687B" w:rsidRPr="00574EA8">
              <w:rPr>
                <w:sz w:val="22"/>
                <w:lang w:val="fr-FR"/>
              </w:rPr>
              <w:t>00</w:t>
            </w:r>
          </w:p>
        </w:tc>
        <w:tc>
          <w:tcPr>
            <w:tcW w:w="1627" w:type="dxa"/>
            <w:gridSpan w:val="2"/>
            <w:tcBorders>
              <w:top w:val="single" w:sz="2" w:space="0" w:color="auto"/>
              <w:left w:val="single" w:sz="2" w:space="0" w:color="auto"/>
              <w:bottom w:val="single" w:sz="2" w:space="0" w:color="auto"/>
              <w:right w:val="single" w:sz="2" w:space="0" w:color="auto"/>
            </w:tcBorders>
          </w:tcPr>
          <w:p w14:paraId="4405F249"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1</w:t>
            </w:r>
          </w:p>
        </w:tc>
        <w:tc>
          <w:tcPr>
            <w:tcW w:w="1440" w:type="dxa"/>
            <w:tcBorders>
              <w:top w:val="single" w:sz="2" w:space="0" w:color="auto"/>
              <w:left w:val="single" w:sz="2" w:space="0" w:color="auto"/>
              <w:bottom w:val="single" w:sz="2" w:space="0" w:color="auto"/>
              <w:right w:val="single" w:sz="2" w:space="0" w:color="auto"/>
            </w:tcBorders>
          </w:tcPr>
          <w:p w14:paraId="332CB1F6" w14:textId="77777777" w:rsidR="008F687B" w:rsidRPr="00574EA8" w:rsidRDefault="00BC05CF"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0.33</w:t>
            </w:r>
          </w:p>
        </w:tc>
        <w:tc>
          <w:tcPr>
            <w:tcW w:w="1080" w:type="dxa"/>
            <w:tcBorders>
              <w:top w:val="single" w:sz="2" w:space="0" w:color="auto"/>
              <w:left w:val="single" w:sz="2" w:space="0" w:color="auto"/>
              <w:bottom w:val="single" w:sz="2" w:space="0" w:color="auto"/>
              <w:right w:val="single" w:sz="2" w:space="0" w:color="auto"/>
            </w:tcBorders>
          </w:tcPr>
          <w:p w14:paraId="54B4033B"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66</w:t>
            </w:r>
          </w:p>
        </w:tc>
      </w:tr>
      <w:tr w:rsidR="008F687B" w:rsidRPr="00574EA8" w14:paraId="29C9E047" w14:textId="77777777" w:rsidTr="009C53C8">
        <w:tc>
          <w:tcPr>
            <w:tcW w:w="1800" w:type="dxa"/>
            <w:tcBorders>
              <w:top w:val="single" w:sz="2" w:space="0" w:color="auto"/>
              <w:left w:val="single" w:sz="2" w:space="0" w:color="auto"/>
              <w:bottom w:val="single" w:sz="2" w:space="0" w:color="auto"/>
              <w:right w:val="single" w:sz="2" w:space="0" w:color="auto"/>
            </w:tcBorders>
          </w:tcPr>
          <w:p w14:paraId="513E9AE8"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Residents</w:t>
            </w:r>
          </w:p>
        </w:tc>
        <w:tc>
          <w:tcPr>
            <w:tcW w:w="1800" w:type="dxa"/>
            <w:tcBorders>
              <w:top w:val="single" w:sz="2" w:space="0" w:color="auto"/>
              <w:left w:val="single" w:sz="2" w:space="0" w:color="auto"/>
              <w:bottom w:val="single" w:sz="2" w:space="0" w:color="auto"/>
              <w:right w:val="single" w:sz="2" w:space="0" w:color="auto"/>
            </w:tcBorders>
          </w:tcPr>
          <w:p w14:paraId="69C9A5FF"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Matriculant Survey</w:t>
            </w:r>
          </w:p>
        </w:tc>
        <w:tc>
          <w:tcPr>
            <w:tcW w:w="1440" w:type="dxa"/>
            <w:tcBorders>
              <w:top w:val="single" w:sz="2" w:space="0" w:color="auto"/>
              <w:left w:val="single" w:sz="2" w:space="0" w:color="auto"/>
              <w:bottom w:val="single" w:sz="2" w:space="0" w:color="auto"/>
              <w:right w:val="single" w:sz="2" w:space="0" w:color="auto"/>
            </w:tcBorders>
          </w:tcPr>
          <w:p w14:paraId="77F2212B"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2</w:t>
            </w:r>
            <w:r w:rsidR="008F687B" w:rsidRPr="00574EA8">
              <w:rPr>
                <w:sz w:val="22"/>
                <w:lang w:val="fr-FR"/>
              </w:rPr>
              <w:t>00</w:t>
            </w:r>
          </w:p>
        </w:tc>
        <w:tc>
          <w:tcPr>
            <w:tcW w:w="1627" w:type="dxa"/>
            <w:gridSpan w:val="2"/>
            <w:tcBorders>
              <w:top w:val="single" w:sz="2" w:space="0" w:color="auto"/>
              <w:left w:val="single" w:sz="2" w:space="0" w:color="auto"/>
              <w:bottom w:val="single" w:sz="2" w:space="0" w:color="auto"/>
              <w:right w:val="single" w:sz="2" w:space="0" w:color="auto"/>
            </w:tcBorders>
          </w:tcPr>
          <w:p w14:paraId="1EEF604A"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1</w:t>
            </w:r>
          </w:p>
        </w:tc>
        <w:tc>
          <w:tcPr>
            <w:tcW w:w="1440" w:type="dxa"/>
            <w:tcBorders>
              <w:top w:val="single" w:sz="2" w:space="0" w:color="auto"/>
              <w:left w:val="single" w:sz="2" w:space="0" w:color="auto"/>
              <w:bottom w:val="single" w:sz="2" w:space="0" w:color="auto"/>
              <w:right w:val="single" w:sz="2" w:space="0" w:color="auto"/>
            </w:tcBorders>
          </w:tcPr>
          <w:p w14:paraId="604DBF7D" w14:textId="77777777" w:rsidR="008F687B" w:rsidRPr="00574EA8" w:rsidRDefault="00BC05CF"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0.25</w:t>
            </w:r>
          </w:p>
        </w:tc>
        <w:tc>
          <w:tcPr>
            <w:tcW w:w="1080" w:type="dxa"/>
            <w:tcBorders>
              <w:top w:val="single" w:sz="2" w:space="0" w:color="auto"/>
              <w:left w:val="single" w:sz="2" w:space="0" w:color="auto"/>
              <w:bottom w:val="single" w:sz="2" w:space="0" w:color="auto"/>
              <w:right w:val="single" w:sz="2" w:space="0" w:color="auto"/>
            </w:tcBorders>
          </w:tcPr>
          <w:p w14:paraId="21B7F8A0"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50</w:t>
            </w:r>
          </w:p>
        </w:tc>
      </w:tr>
      <w:tr w:rsidR="008F687B" w:rsidRPr="00574EA8" w14:paraId="528ACB8E" w14:textId="77777777" w:rsidTr="009C53C8">
        <w:tc>
          <w:tcPr>
            <w:tcW w:w="1800" w:type="dxa"/>
            <w:tcBorders>
              <w:top w:val="single" w:sz="2" w:space="0" w:color="auto"/>
              <w:left w:val="single" w:sz="2" w:space="0" w:color="auto"/>
              <w:bottom w:val="single" w:sz="2" w:space="0" w:color="auto"/>
              <w:right w:val="single" w:sz="2" w:space="0" w:color="auto"/>
            </w:tcBorders>
          </w:tcPr>
          <w:p w14:paraId="40ADC894"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Residents</w:t>
            </w:r>
          </w:p>
        </w:tc>
        <w:tc>
          <w:tcPr>
            <w:tcW w:w="1800" w:type="dxa"/>
            <w:tcBorders>
              <w:top w:val="single" w:sz="2" w:space="0" w:color="auto"/>
              <w:left w:val="single" w:sz="2" w:space="0" w:color="auto"/>
              <w:bottom w:val="single" w:sz="2" w:space="0" w:color="auto"/>
              <w:right w:val="single" w:sz="2" w:space="0" w:color="auto"/>
            </w:tcBorders>
          </w:tcPr>
          <w:p w14:paraId="65F4A5DD"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Graduation Survey</w:t>
            </w:r>
          </w:p>
        </w:tc>
        <w:tc>
          <w:tcPr>
            <w:tcW w:w="1440" w:type="dxa"/>
            <w:tcBorders>
              <w:top w:val="single" w:sz="2" w:space="0" w:color="auto"/>
              <w:left w:val="single" w:sz="2" w:space="0" w:color="auto"/>
              <w:bottom w:val="single" w:sz="2" w:space="0" w:color="auto"/>
              <w:right w:val="single" w:sz="2" w:space="0" w:color="auto"/>
            </w:tcBorders>
          </w:tcPr>
          <w:p w14:paraId="758BEFCA"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2</w:t>
            </w:r>
            <w:r w:rsidR="008F687B" w:rsidRPr="00574EA8">
              <w:rPr>
                <w:sz w:val="22"/>
                <w:lang w:val="fr-FR"/>
              </w:rPr>
              <w:t>00</w:t>
            </w:r>
          </w:p>
        </w:tc>
        <w:tc>
          <w:tcPr>
            <w:tcW w:w="1627" w:type="dxa"/>
            <w:gridSpan w:val="2"/>
            <w:tcBorders>
              <w:top w:val="single" w:sz="2" w:space="0" w:color="auto"/>
              <w:left w:val="single" w:sz="2" w:space="0" w:color="auto"/>
              <w:bottom w:val="single" w:sz="2" w:space="0" w:color="auto"/>
              <w:right w:val="single" w:sz="2" w:space="0" w:color="auto"/>
            </w:tcBorders>
          </w:tcPr>
          <w:p w14:paraId="147B16CA"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1</w:t>
            </w:r>
          </w:p>
        </w:tc>
        <w:tc>
          <w:tcPr>
            <w:tcW w:w="1440" w:type="dxa"/>
            <w:tcBorders>
              <w:top w:val="single" w:sz="2" w:space="0" w:color="auto"/>
              <w:left w:val="single" w:sz="2" w:space="0" w:color="auto"/>
              <w:bottom w:val="single" w:sz="2" w:space="0" w:color="auto"/>
              <w:right w:val="single" w:sz="2" w:space="0" w:color="auto"/>
            </w:tcBorders>
          </w:tcPr>
          <w:p w14:paraId="51260758" w14:textId="77777777" w:rsidR="008F687B" w:rsidRPr="00574EA8" w:rsidRDefault="00BC05CF"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0.25</w:t>
            </w:r>
          </w:p>
        </w:tc>
        <w:tc>
          <w:tcPr>
            <w:tcW w:w="1080" w:type="dxa"/>
            <w:tcBorders>
              <w:top w:val="single" w:sz="2" w:space="0" w:color="auto"/>
              <w:left w:val="single" w:sz="2" w:space="0" w:color="auto"/>
              <w:bottom w:val="single" w:sz="2" w:space="0" w:color="auto"/>
              <w:right w:val="single" w:sz="2" w:space="0" w:color="auto"/>
            </w:tcBorders>
          </w:tcPr>
          <w:p w14:paraId="3AF48B25"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50</w:t>
            </w:r>
          </w:p>
        </w:tc>
      </w:tr>
      <w:tr w:rsidR="008F687B" w:rsidRPr="00574EA8" w14:paraId="659236B0" w14:textId="77777777" w:rsidTr="009C53C8">
        <w:tc>
          <w:tcPr>
            <w:tcW w:w="1800" w:type="dxa"/>
            <w:tcBorders>
              <w:top w:val="single" w:sz="2" w:space="0" w:color="auto"/>
              <w:left w:val="single" w:sz="2" w:space="0" w:color="auto"/>
              <w:bottom w:val="single" w:sz="2" w:space="0" w:color="auto"/>
              <w:right w:val="single" w:sz="2" w:space="0" w:color="auto"/>
            </w:tcBorders>
          </w:tcPr>
          <w:p w14:paraId="31AFDA82"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lang w:val="fr-FR"/>
              </w:rPr>
            </w:pPr>
            <w:r w:rsidRPr="00574EA8">
              <w:rPr>
                <w:b/>
                <w:sz w:val="22"/>
                <w:lang w:val="fr-FR"/>
              </w:rPr>
              <w:t>Total</w:t>
            </w:r>
          </w:p>
        </w:tc>
        <w:tc>
          <w:tcPr>
            <w:tcW w:w="1800" w:type="dxa"/>
            <w:tcBorders>
              <w:top w:val="single" w:sz="2" w:space="0" w:color="auto"/>
              <w:left w:val="single" w:sz="2" w:space="0" w:color="auto"/>
              <w:bottom w:val="single" w:sz="2" w:space="0" w:color="auto"/>
              <w:right w:val="single" w:sz="2" w:space="0" w:color="auto"/>
            </w:tcBorders>
          </w:tcPr>
          <w:p w14:paraId="425E717D"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lang w:val="fr-FR"/>
              </w:rPr>
            </w:pPr>
          </w:p>
        </w:tc>
        <w:tc>
          <w:tcPr>
            <w:tcW w:w="1440" w:type="dxa"/>
            <w:tcBorders>
              <w:top w:val="single" w:sz="2" w:space="0" w:color="auto"/>
              <w:left w:val="single" w:sz="2" w:space="0" w:color="auto"/>
              <w:bottom w:val="single" w:sz="2" w:space="0" w:color="auto"/>
              <w:right w:val="single" w:sz="2" w:space="0" w:color="auto"/>
            </w:tcBorders>
          </w:tcPr>
          <w:p w14:paraId="3C348E18"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lang w:val="fr-FR"/>
              </w:rPr>
            </w:pPr>
            <w:r>
              <w:rPr>
                <w:b/>
                <w:sz w:val="22"/>
                <w:lang w:val="fr-FR"/>
              </w:rPr>
              <w:t>6</w:t>
            </w:r>
            <w:r w:rsidR="00BC05CF">
              <w:rPr>
                <w:b/>
                <w:sz w:val="22"/>
                <w:lang w:val="fr-FR"/>
              </w:rPr>
              <w:t>10</w:t>
            </w:r>
          </w:p>
        </w:tc>
        <w:tc>
          <w:tcPr>
            <w:tcW w:w="1627" w:type="dxa"/>
            <w:gridSpan w:val="2"/>
            <w:tcBorders>
              <w:top w:val="single" w:sz="2" w:space="0" w:color="auto"/>
              <w:left w:val="single" w:sz="2" w:space="0" w:color="auto"/>
              <w:bottom w:val="single" w:sz="2" w:space="0" w:color="auto"/>
              <w:right w:val="single" w:sz="2" w:space="0" w:color="auto"/>
            </w:tcBorders>
          </w:tcPr>
          <w:p w14:paraId="473C05B6"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lang w:val="fr-FR"/>
              </w:rPr>
            </w:pPr>
            <w:r w:rsidRPr="00574EA8">
              <w:rPr>
                <w:b/>
                <w:sz w:val="22"/>
                <w:lang w:val="fr-FR"/>
              </w:rPr>
              <w:t>---</w:t>
            </w:r>
          </w:p>
        </w:tc>
        <w:tc>
          <w:tcPr>
            <w:tcW w:w="1440" w:type="dxa"/>
            <w:tcBorders>
              <w:top w:val="single" w:sz="2" w:space="0" w:color="auto"/>
              <w:left w:val="single" w:sz="2" w:space="0" w:color="auto"/>
              <w:bottom w:val="single" w:sz="2" w:space="0" w:color="auto"/>
              <w:right w:val="single" w:sz="2" w:space="0" w:color="auto"/>
            </w:tcBorders>
          </w:tcPr>
          <w:p w14:paraId="64B3EC89" w14:textId="77777777" w:rsidR="008F687B" w:rsidRPr="00574EA8" w:rsidRDefault="008F687B"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lang w:val="fr-FR"/>
              </w:rPr>
            </w:pPr>
            <w:r w:rsidRPr="00574EA8">
              <w:rPr>
                <w:b/>
                <w:sz w:val="22"/>
                <w:lang w:val="fr-FR"/>
              </w:rPr>
              <w:t>---</w:t>
            </w:r>
          </w:p>
        </w:tc>
        <w:tc>
          <w:tcPr>
            <w:tcW w:w="1080" w:type="dxa"/>
            <w:tcBorders>
              <w:top w:val="single" w:sz="2" w:space="0" w:color="auto"/>
              <w:left w:val="single" w:sz="2" w:space="0" w:color="auto"/>
              <w:bottom w:val="single" w:sz="2" w:space="0" w:color="auto"/>
              <w:right w:val="single" w:sz="2" w:space="0" w:color="auto"/>
            </w:tcBorders>
          </w:tcPr>
          <w:p w14:paraId="6586204E" w14:textId="77777777" w:rsidR="008F687B" w:rsidRPr="00574EA8" w:rsidRDefault="00B946C2" w:rsidP="008F6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246</w:t>
            </w:r>
          </w:p>
        </w:tc>
      </w:tr>
    </w:tbl>
    <w:p w14:paraId="3548DC6C" w14:textId="7151D250" w:rsidR="00BC05CF" w:rsidRPr="0032619C" w:rsidRDefault="0032619C" w:rsidP="00CA3DA6">
      <w:pPr>
        <w:widowControl/>
        <w:spacing w:before="120"/>
        <w:rPr>
          <w:sz w:val="24"/>
        </w:rPr>
      </w:pPr>
      <w:r w:rsidRPr="0032619C">
        <w:rPr>
          <w:sz w:val="24"/>
        </w:rPr>
        <w:t>The estimated number of respondents for the THC Alumni Survey, THC Matriculant Survey, and the THC Graduation Survey was reduced from 300 in the 60-day FRN to 200 in the 30-day FRN and this supporting statement after consultation with the evaluation team</w:t>
      </w:r>
      <w:r w:rsidR="006E629C">
        <w:rPr>
          <w:sz w:val="24"/>
        </w:rPr>
        <w:t>.</w:t>
      </w:r>
      <w:r w:rsidRPr="0032619C">
        <w:rPr>
          <w:sz w:val="24"/>
        </w:rPr>
        <w:t xml:space="preserve"> </w:t>
      </w:r>
      <w:r w:rsidR="006E629C">
        <w:rPr>
          <w:sz w:val="24"/>
        </w:rPr>
        <w:t>A</w:t>
      </w:r>
      <w:r w:rsidRPr="0032619C">
        <w:rPr>
          <w:sz w:val="24"/>
        </w:rPr>
        <w:t xml:space="preserve"> reduction </w:t>
      </w:r>
      <w:r w:rsidR="006E629C">
        <w:rPr>
          <w:sz w:val="24"/>
        </w:rPr>
        <w:t>in</w:t>
      </w:r>
      <w:r w:rsidRPr="0032619C">
        <w:rPr>
          <w:sz w:val="24"/>
        </w:rPr>
        <w:t xml:space="preserve"> </w:t>
      </w:r>
      <w:r>
        <w:rPr>
          <w:sz w:val="24"/>
        </w:rPr>
        <w:t>the number of residents supported by the THCGME program</w:t>
      </w:r>
      <w:r w:rsidR="006E629C">
        <w:rPr>
          <w:sz w:val="24"/>
        </w:rPr>
        <w:t xml:space="preserve"> as well as awardees dropping out of the program for various reasons are responsible for the change in number of respondents.</w:t>
      </w:r>
    </w:p>
    <w:p w14:paraId="64FDDDB2" w14:textId="77777777" w:rsidR="0032619C" w:rsidRDefault="0032619C" w:rsidP="00CA3DA6">
      <w:pPr>
        <w:widowControl/>
        <w:spacing w:before="120"/>
        <w:rPr>
          <w:b/>
          <w:sz w:val="24"/>
        </w:rPr>
      </w:pPr>
    </w:p>
    <w:p w14:paraId="473CF6F2" w14:textId="77777777" w:rsidR="009B3794" w:rsidRPr="00574EA8" w:rsidRDefault="009B3794" w:rsidP="00CA3DA6">
      <w:pPr>
        <w:widowControl/>
        <w:spacing w:before="120"/>
        <w:rPr>
          <w:b/>
          <w:sz w:val="24"/>
        </w:rPr>
      </w:pPr>
      <w:r w:rsidRPr="00574EA8">
        <w:rPr>
          <w:b/>
          <w:sz w:val="24"/>
        </w:rPr>
        <w:t>12B</w:t>
      </w:r>
      <w:r w:rsidRPr="00574EA8">
        <w:rPr>
          <w:sz w:val="24"/>
        </w:rPr>
        <w:t>.</w:t>
      </w:r>
      <w:r w:rsidR="00166520" w:rsidRPr="00574EA8">
        <w:rPr>
          <w:sz w:val="24"/>
        </w:rPr>
        <w:t xml:space="preserve"> </w:t>
      </w:r>
      <w:r w:rsidRPr="00574EA8">
        <w:rPr>
          <w:b/>
          <w:sz w:val="24"/>
        </w:rPr>
        <w:t>Estimated Annualized Burden Costs</w:t>
      </w:r>
    </w:p>
    <w:p w14:paraId="08DA8858" w14:textId="77777777" w:rsidR="00166520" w:rsidRPr="00574EA8" w:rsidRDefault="00166520" w:rsidP="00CA3DA6">
      <w:pPr>
        <w:widowControl/>
        <w:spacing w:before="120"/>
        <w:rPr>
          <w:b/>
          <w:sz w:val="24"/>
        </w:rPr>
      </w:pPr>
    </w:p>
    <w:tbl>
      <w:tblPr>
        <w:tblW w:w="6120" w:type="dxa"/>
        <w:tblLayout w:type="fixed"/>
        <w:tblCellMar>
          <w:left w:w="97" w:type="dxa"/>
          <w:right w:w="97" w:type="dxa"/>
        </w:tblCellMar>
        <w:tblLook w:val="0000" w:firstRow="0" w:lastRow="0" w:firstColumn="0" w:lastColumn="0" w:noHBand="0" w:noVBand="0"/>
      </w:tblPr>
      <w:tblGrid>
        <w:gridCol w:w="1800"/>
        <w:gridCol w:w="1440"/>
        <w:gridCol w:w="1440"/>
        <w:gridCol w:w="1440"/>
      </w:tblGrid>
      <w:tr w:rsidR="008F687B" w:rsidRPr="00574EA8" w14:paraId="23CC2AF7" w14:textId="77777777" w:rsidTr="008F687B">
        <w:trPr>
          <w:trHeight w:val="787"/>
        </w:trPr>
        <w:tc>
          <w:tcPr>
            <w:tcW w:w="1800" w:type="dxa"/>
            <w:tcBorders>
              <w:top w:val="single" w:sz="2" w:space="0" w:color="auto"/>
              <w:left w:val="single" w:sz="2" w:space="0" w:color="auto"/>
              <w:bottom w:val="single" w:sz="2" w:space="0" w:color="auto"/>
              <w:right w:val="single" w:sz="2" w:space="0" w:color="auto"/>
            </w:tcBorders>
          </w:tcPr>
          <w:p w14:paraId="42AD570F" w14:textId="77777777" w:rsidR="008F687B" w:rsidRPr="00574EA8" w:rsidRDefault="008F687B" w:rsidP="00516FD5">
            <w:pPr>
              <w:pStyle w:val="BodyText"/>
              <w:tabs>
                <w:tab w:val="left" w:pos="10080"/>
              </w:tabs>
              <w:rPr>
                <w:sz w:val="22"/>
              </w:rPr>
            </w:pPr>
            <w:r w:rsidRPr="00574EA8">
              <w:rPr>
                <w:sz w:val="22"/>
              </w:rPr>
              <w:t>Type of Respondent</w:t>
            </w:r>
          </w:p>
        </w:tc>
        <w:tc>
          <w:tcPr>
            <w:tcW w:w="1440" w:type="dxa"/>
            <w:tcBorders>
              <w:top w:val="single" w:sz="2" w:space="0" w:color="auto"/>
              <w:left w:val="single" w:sz="2" w:space="0" w:color="auto"/>
              <w:bottom w:val="single" w:sz="2" w:space="0" w:color="auto"/>
              <w:right w:val="single" w:sz="2" w:space="0" w:color="auto"/>
            </w:tcBorders>
          </w:tcPr>
          <w:p w14:paraId="0EF1B20B" w14:textId="77777777" w:rsidR="008F687B" w:rsidRPr="00574EA8" w:rsidRDefault="008F687B" w:rsidP="00516FD5">
            <w:pPr>
              <w:pStyle w:val="BodyText"/>
              <w:rPr>
                <w:sz w:val="22"/>
              </w:rPr>
            </w:pPr>
            <w:r w:rsidRPr="00574EA8">
              <w:rPr>
                <w:sz w:val="22"/>
              </w:rPr>
              <w:t>Total Burden Hours</w:t>
            </w:r>
          </w:p>
        </w:tc>
        <w:tc>
          <w:tcPr>
            <w:tcW w:w="1440" w:type="dxa"/>
            <w:tcBorders>
              <w:top w:val="single" w:sz="2" w:space="0" w:color="auto"/>
              <w:left w:val="single" w:sz="2" w:space="0" w:color="auto"/>
              <w:bottom w:val="single" w:sz="2" w:space="0" w:color="auto"/>
              <w:right w:val="single" w:sz="2" w:space="0" w:color="auto"/>
            </w:tcBorders>
          </w:tcPr>
          <w:p w14:paraId="6948106F" w14:textId="77777777" w:rsidR="008F687B" w:rsidRPr="00574EA8" w:rsidRDefault="008F687B" w:rsidP="00516FD5">
            <w:pPr>
              <w:pStyle w:val="BodyText"/>
              <w:rPr>
                <w:sz w:val="22"/>
              </w:rPr>
            </w:pPr>
            <w:r w:rsidRPr="00574EA8">
              <w:rPr>
                <w:sz w:val="22"/>
              </w:rPr>
              <w:t>Hourly Wage Rate</w:t>
            </w:r>
          </w:p>
        </w:tc>
        <w:tc>
          <w:tcPr>
            <w:tcW w:w="1440" w:type="dxa"/>
            <w:tcBorders>
              <w:top w:val="single" w:sz="2" w:space="0" w:color="auto"/>
              <w:left w:val="single" w:sz="2" w:space="0" w:color="auto"/>
              <w:bottom w:val="single" w:sz="2" w:space="0" w:color="auto"/>
              <w:right w:val="single" w:sz="2" w:space="0" w:color="auto"/>
            </w:tcBorders>
          </w:tcPr>
          <w:p w14:paraId="0CAB5442" w14:textId="77777777" w:rsidR="008F687B" w:rsidRPr="00574EA8" w:rsidRDefault="008F687B" w:rsidP="00516FD5">
            <w:pPr>
              <w:pStyle w:val="BodyText"/>
              <w:rPr>
                <w:sz w:val="22"/>
              </w:rPr>
            </w:pPr>
            <w:r w:rsidRPr="00574EA8">
              <w:rPr>
                <w:sz w:val="22"/>
              </w:rPr>
              <w:t>Total Respondent Costs</w:t>
            </w:r>
          </w:p>
        </w:tc>
      </w:tr>
      <w:tr w:rsidR="008F687B" w:rsidRPr="00574EA8" w14:paraId="0D02A908" w14:textId="77777777" w:rsidTr="008F687B">
        <w:tc>
          <w:tcPr>
            <w:tcW w:w="1800" w:type="dxa"/>
            <w:tcBorders>
              <w:top w:val="single" w:sz="2" w:space="0" w:color="auto"/>
              <w:left w:val="single" w:sz="2" w:space="0" w:color="auto"/>
              <w:bottom w:val="single" w:sz="2" w:space="0" w:color="auto"/>
              <w:right w:val="single" w:sz="2" w:space="0" w:color="auto"/>
            </w:tcBorders>
          </w:tcPr>
          <w:p w14:paraId="6A99080A"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Program</w:t>
            </w:r>
            <w:r w:rsidR="00F647BB" w:rsidRPr="00574EA8">
              <w:rPr>
                <w:sz w:val="22"/>
              </w:rPr>
              <w:t>s</w:t>
            </w:r>
          </w:p>
        </w:tc>
        <w:tc>
          <w:tcPr>
            <w:tcW w:w="1440" w:type="dxa"/>
            <w:tcBorders>
              <w:top w:val="single" w:sz="2" w:space="0" w:color="auto"/>
              <w:left w:val="single" w:sz="2" w:space="0" w:color="auto"/>
              <w:bottom w:val="single" w:sz="2" w:space="0" w:color="auto"/>
              <w:right w:val="single" w:sz="2" w:space="0" w:color="auto"/>
            </w:tcBorders>
          </w:tcPr>
          <w:p w14:paraId="0BD65E53" w14:textId="77777777" w:rsidR="008F687B" w:rsidRPr="00574EA8" w:rsidRDefault="00BC05CF" w:rsidP="00F65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80</w:t>
            </w:r>
          </w:p>
        </w:tc>
        <w:tc>
          <w:tcPr>
            <w:tcW w:w="1440" w:type="dxa"/>
            <w:tcBorders>
              <w:top w:val="single" w:sz="2" w:space="0" w:color="auto"/>
              <w:left w:val="single" w:sz="2" w:space="0" w:color="auto"/>
              <w:bottom w:val="single" w:sz="2" w:space="0" w:color="auto"/>
              <w:right w:val="single" w:sz="2" w:space="0" w:color="auto"/>
            </w:tcBorders>
          </w:tcPr>
          <w:p w14:paraId="39ED3ED7"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vertAlign w:val="superscript"/>
                <w:lang w:val="fr-FR"/>
              </w:rPr>
            </w:pPr>
            <w:r w:rsidRPr="00574EA8">
              <w:rPr>
                <w:sz w:val="22"/>
                <w:lang w:val="fr-FR"/>
              </w:rPr>
              <w:t>$</w:t>
            </w:r>
            <w:r w:rsidR="00F647BB" w:rsidRPr="00574EA8">
              <w:rPr>
                <w:sz w:val="22"/>
                <w:lang w:val="fr-FR"/>
              </w:rPr>
              <w:t>21.44</w:t>
            </w:r>
            <w:r w:rsidR="00F647BB" w:rsidRPr="00574EA8">
              <w:rPr>
                <w:sz w:val="22"/>
                <w:vertAlign w:val="superscript"/>
                <w:lang w:val="fr-FR"/>
              </w:rPr>
              <w:t>1</w:t>
            </w:r>
          </w:p>
        </w:tc>
        <w:tc>
          <w:tcPr>
            <w:tcW w:w="1440" w:type="dxa"/>
            <w:tcBorders>
              <w:top w:val="single" w:sz="2" w:space="0" w:color="auto"/>
              <w:left w:val="single" w:sz="2" w:space="0" w:color="auto"/>
              <w:bottom w:val="single" w:sz="2" w:space="0" w:color="auto"/>
              <w:right w:val="single" w:sz="2" w:space="0" w:color="auto"/>
            </w:tcBorders>
          </w:tcPr>
          <w:p w14:paraId="5D9089C8" w14:textId="77777777" w:rsidR="008F687B" w:rsidRPr="00574EA8" w:rsidRDefault="008F687B" w:rsidP="00F65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w:t>
            </w:r>
            <w:r w:rsidR="00BC05CF">
              <w:rPr>
                <w:sz w:val="22"/>
                <w:lang w:val="fr-FR"/>
              </w:rPr>
              <w:t>1,715</w:t>
            </w:r>
          </w:p>
        </w:tc>
      </w:tr>
      <w:tr w:rsidR="008F687B" w:rsidRPr="00574EA8" w14:paraId="34CEA1C3" w14:textId="77777777" w:rsidTr="008F687B">
        <w:tc>
          <w:tcPr>
            <w:tcW w:w="1800" w:type="dxa"/>
            <w:tcBorders>
              <w:top w:val="single" w:sz="2" w:space="0" w:color="auto"/>
              <w:left w:val="single" w:sz="2" w:space="0" w:color="auto"/>
              <w:bottom w:val="single" w:sz="2" w:space="0" w:color="auto"/>
              <w:right w:val="single" w:sz="2" w:space="0" w:color="auto"/>
            </w:tcBorders>
          </w:tcPr>
          <w:p w14:paraId="3A1B568C"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Graduated THC Residents</w:t>
            </w:r>
          </w:p>
        </w:tc>
        <w:tc>
          <w:tcPr>
            <w:tcW w:w="1440" w:type="dxa"/>
            <w:tcBorders>
              <w:top w:val="single" w:sz="2" w:space="0" w:color="auto"/>
              <w:left w:val="single" w:sz="2" w:space="0" w:color="auto"/>
              <w:bottom w:val="single" w:sz="2" w:space="0" w:color="auto"/>
              <w:right w:val="single" w:sz="2" w:space="0" w:color="auto"/>
            </w:tcBorders>
          </w:tcPr>
          <w:p w14:paraId="45D40D01" w14:textId="77777777" w:rsidR="008F687B" w:rsidRPr="00574EA8" w:rsidRDefault="00B946C2"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66</w:t>
            </w:r>
          </w:p>
        </w:tc>
        <w:tc>
          <w:tcPr>
            <w:tcW w:w="1440" w:type="dxa"/>
            <w:tcBorders>
              <w:top w:val="single" w:sz="2" w:space="0" w:color="auto"/>
              <w:left w:val="single" w:sz="2" w:space="0" w:color="auto"/>
              <w:bottom w:val="single" w:sz="2" w:space="0" w:color="auto"/>
              <w:right w:val="single" w:sz="2" w:space="0" w:color="auto"/>
            </w:tcBorders>
          </w:tcPr>
          <w:p w14:paraId="7303B886"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vertAlign w:val="superscript"/>
                <w:lang w:val="fr-FR"/>
              </w:rPr>
            </w:pPr>
            <w:r w:rsidRPr="00574EA8">
              <w:rPr>
                <w:sz w:val="22"/>
                <w:lang w:val="fr-FR"/>
              </w:rPr>
              <w:t>$86.95</w:t>
            </w:r>
            <w:r w:rsidR="00F647BB" w:rsidRPr="00574EA8">
              <w:rPr>
                <w:sz w:val="22"/>
                <w:vertAlign w:val="superscript"/>
                <w:lang w:val="fr-FR"/>
              </w:rPr>
              <w:t>2</w:t>
            </w:r>
          </w:p>
        </w:tc>
        <w:tc>
          <w:tcPr>
            <w:tcW w:w="1440" w:type="dxa"/>
            <w:tcBorders>
              <w:top w:val="single" w:sz="2" w:space="0" w:color="auto"/>
              <w:left w:val="single" w:sz="2" w:space="0" w:color="auto"/>
              <w:bottom w:val="single" w:sz="2" w:space="0" w:color="auto"/>
              <w:right w:val="single" w:sz="2" w:space="0" w:color="auto"/>
            </w:tcBorders>
          </w:tcPr>
          <w:p w14:paraId="70CAF2B9" w14:textId="77777777" w:rsidR="008F687B" w:rsidRPr="00574EA8" w:rsidRDefault="00B946C2"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$5,739</w:t>
            </w:r>
          </w:p>
        </w:tc>
      </w:tr>
      <w:tr w:rsidR="008F687B" w:rsidRPr="00574EA8" w14:paraId="08DF70A5" w14:textId="77777777" w:rsidTr="008F687B">
        <w:tc>
          <w:tcPr>
            <w:tcW w:w="1800" w:type="dxa"/>
            <w:tcBorders>
              <w:top w:val="single" w:sz="2" w:space="0" w:color="auto"/>
              <w:left w:val="single" w:sz="2" w:space="0" w:color="auto"/>
              <w:bottom w:val="single" w:sz="2" w:space="0" w:color="auto"/>
              <w:right w:val="single" w:sz="2" w:space="0" w:color="auto"/>
            </w:tcBorders>
          </w:tcPr>
          <w:p w14:paraId="762087BC"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Residents</w:t>
            </w:r>
          </w:p>
        </w:tc>
        <w:tc>
          <w:tcPr>
            <w:tcW w:w="1440" w:type="dxa"/>
            <w:tcBorders>
              <w:top w:val="single" w:sz="2" w:space="0" w:color="auto"/>
              <w:left w:val="single" w:sz="2" w:space="0" w:color="auto"/>
              <w:bottom w:val="single" w:sz="2" w:space="0" w:color="auto"/>
              <w:right w:val="single" w:sz="2" w:space="0" w:color="auto"/>
            </w:tcBorders>
          </w:tcPr>
          <w:p w14:paraId="59042597" w14:textId="77777777" w:rsidR="008F687B" w:rsidRPr="00574EA8" w:rsidRDefault="00B946C2"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50</w:t>
            </w:r>
          </w:p>
        </w:tc>
        <w:tc>
          <w:tcPr>
            <w:tcW w:w="1440" w:type="dxa"/>
            <w:tcBorders>
              <w:top w:val="single" w:sz="2" w:space="0" w:color="auto"/>
              <w:left w:val="single" w:sz="2" w:space="0" w:color="auto"/>
              <w:bottom w:val="single" w:sz="2" w:space="0" w:color="auto"/>
              <w:right w:val="single" w:sz="2" w:space="0" w:color="auto"/>
            </w:tcBorders>
          </w:tcPr>
          <w:p w14:paraId="0F22FA16" w14:textId="77777777" w:rsidR="008F687B" w:rsidRPr="00574EA8" w:rsidRDefault="00166520" w:rsidP="00F647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vertAlign w:val="superscript"/>
                <w:lang w:val="fr-FR"/>
              </w:rPr>
            </w:pPr>
            <w:r w:rsidRPr="00574EA8">
              <w:rPr>
                <w:sz w:val="22"/>
                <w:lang w:val="fr-FR"/>
              </w:rPr>
              <w:t>$</w:t>
            </w:r>
            <w:r w:rsidR="00F647BB" w:rsidRPr="00574EA8">
              <w:rPr>
                <w:sz w:val="22"/>
                <w:lang w:val="fr-FR"/>
              </w:rPr>
              <w:t>24.17</w:t>
            </w:r>
            <w:r w:rsidR="00F647BB" w:rsidRPr="00574EA8">
              <w:rPr>
                <w:sz w:val="22"/>
                <w:vertAlign w:val="superscript"/>
                <w:lang w:val="fr-FR"/>
              </w:rPr>
              <w:t>3</w:t>
            </w:r>
          </w:p>
        </w:tc>
        <w:tc>
          <w:tcPr>
            <w:tcW w:w="1440" w:type="dxa"/>
            <w:tcBorders>
              <w:top w:val="single" w:sz="2" w:space="0" w:color="auto"/>
              <w:left w:val="single" w:sz="2" w:space="0" w:color="auto"/>
              <w:bottom w:val="single" w:sz="2" w:space="0" w:color="auto"/>
              <w:right w:val="single" w:sz="2" w:space="0" w:color="auto"/>
            </w:tcBorders>
          </w:tcPr>
          <w:p w14:paraId="4BE0C481" w14:textId="77777777" w:rsidR="008F687B" w:rsidRPr="00574EA8" w:rsidRDefault="00903B64" w:rsidP="00F647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w:t>
            </w:r>
            <w:r w:rsidR="00B946C2">
              <w:rPr>
                <w:sz w:val="22"/>
                <w:lang w:val="fr-FR"/>
              </w:rPr>
              <w:t>1,208</w:t>
            </w:r>
          </w:p>
        </w:tc>
      </w:tr>
      <w:tr w:rsidR="008F687B" w:rsidRPr="00574EA8" w14:paraId="73919798" w14:textId="77777777" w:rsidTr="008F687B">
        <w:tc>
          <w:tcPr>
            <w:tcW w:w="1800" w:type="dxa"/>
            <w:tcBorders>
              <w:top w:val="single" w:sz="2" w:space="0" w:color="auto"/>
              <w:left w:val="single" w:sz="2" w:space="0" w:color="auto"/>
              <w:bottom w:val="single" w:sz="2" w:space="0" w:color="auto"/>
              <w:right w:val="single" w:sz="2" w:space="0" w:color="auto"/>
            </w:tcBorders>
          </w:tcPr>
          <w:p w14:paraId="7EF10D01"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74EA8">
              <w:rPr>
                <w:sz w:val="22"/>
              </w:rPr>
              <w:t>THC Residents</w:t>
            </w:r>
          </w:p>
        </w:tc>
        <w:tc>
          <w:tcPr>
            <w:tcW w:w="1440" w:type="dxa"/>
            <w:tcBorders>
              <w:top w:val="single" w:sz="2" w:space="0" w:color="auto"/>
              <w:left w:val="single" w:sz="2" w:space="0" w:color="auto"/>
              <w:bottom w:val="single" w:sz="2" w:space="0" w:color="auto"/>
              <w:right w:val="single" w:sz="2" w:space="0" w:color="auto"/>
            </w:tcBorders>
          </w:tcPr>
          <w:p w14:paraId="008CDFDF" w14:textId="77777777" w:rsidR="008F687B" w:rsidRPr="00574EA8" w:rsidRDefault="00B946C2"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Pr>
                <w:sz w:val="22"/>
                <w:lang w:val="fr-FR"/>
              </w:rPr>
              <w:t>50</w:t>
            </w:r>
          </w:p>
        </w:tc>
        <w:tc>
          <w:tcPr>
            <w:tcW w:w="1440" w:type="dxa"/>
            <w:tcBorders>
              <w:top w:val="single" w:sz="2" w:space="0" w:color="auto"/>
              <w:left w:val="single" w:sz="2" w:space="0" w:color="auto"/>
              <w:bottom w:val="single" w:sz="2" w:space="0" w:color="auto"/>
              <w:right w:val="single" w:sz="2" w:space="0" w:color="auto"/>
            </w:tcBorders>
          </w:tcPr>
          <w:p w14:paraId="37750EE8" w14:textId="77777777" w:rsidR="008F687B" w:rsidRPr="00574EA8" w:rsidRDefault="00903B64" w:rsidP="00F647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w:t>
            </w:r>
            <w:r w:rsidR="00F647BB" w:rsidRPr="00574EA8">
              <w:rPr>
                <w:sz w:val="22"/>
                <w:lang w:val="fr-FR"/>
              </w:rPr>
              <w:t>26.14</w:t>
            </w:r>
            <w:r w:rsidR="00F647BB" w:rsidRPr="00574EA8">
              <w:rPr>
                <w:sz w:val="22"/>
                <w:vertAlign w:val="superscript"/>
                <w:lang w:val="fr-FR"/>
              </w:rPr>
              <w:t>4</w:t>
            </w:r>
          </w:p>
        </w:tc>
        <w:tc>
          <w:tcPr>
            <w:tcW w:w="1440" w:type="dxa"/>
            <w:tcBorders>
              <w:top w:val="single" w:sz="2" w:space="0" w:color="auto"/>
              <w:left w:val="single" w:sz="2" w:space="0" w:color="auto"/>
              <w:bottom w:val="single" w:sz="2" w:space="0" w:color="auto"/>
              <w:right w:val="single" w:sz="2" w:space="0" w:color="auto"/>
            </w:tcBorders>
          </w:tcPr>
          <w:p w14:paraId="20C9AA29" w14:textId="77777777" w:rsidR="008F687B" w:rsidRPr="00574EA8" w:rsidRDefault="00903B64"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lang w:val="fr-FR"/>
              </w:rPr>
            </w:pPr>
            <w:r w:rsidRPr="00574EA8">
              <w:rPr>
                <w:sz w:val="22"/>
                <w:lang w:val="fr-FR"/>
              </w:rPr>
              <w:t>$</w:t>
            </w:r>
            <w:r w:rsidR="00B946C2">
              <w:rPr>
                <w:sz w:val="22"/>
                <w:lang w:val="fr-FR"/>
              </w:rPr>
              <w:t>1,307</w:t>
            </w:r>
          </w:p>
        </w:tc>
      </w:tr>
      <w:tr w:rsidR="008F687B" w:rsidRPr="00574EA8" w14:paraId="609C479E" w14:textId="77777777" w:rsidTr="008F687B">
        <w:tc>
          <w:tcPr>
            <w:tcW w:w="1800" w:type="dxa"/>
            <w:tcBorders>
              <w:top w:val="single" w:sz="2" w:space="0" w:color="auto"/>
              <w:left w:val="single" w:sz="2" w:space="0" w:color="auto"/>
              <w:bottom w:val="single" w:sz="2" w:space="0" w:color="auto"/>
              <w:right w:val="single" w:sz="2" w:space="0" w:color="auto"/>
            </w:tcBorders>
          </w:tcPr>
          <w:p w14:paraId="3371A4F8"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lang w:val="fr-FR"/>
              </w:rPr>
            </w:pPr>
            <w:r w:rsidRPr="00574EA8">
              <w:rPr>
                <w:b/>
                <w:sz w:val="22"/>
                <w:lang w:val="fr-FR"/>
              </w:rPr>
              <w:t>Total</w:t>
            </w:r>
          </w:p>
        </w:tc>
        <w:tc>
          <w:tcPr>
            <w:tcW w:w="1440" w:type="dxa"/>
            <w:tcBorders>
              <w:top w:val="single" w:sz="2" w:space="0" w:color="auto"/>
              <w:left w:val="single" w:sz="2" w:space="0" w:color="auto"/>
              <w:bottom w:val="single" w:sz="2" w:space="0" w:color="auto"/>
              <w:right w:val="single" w:sz="2" w:space="0" w:color="auto"/>
            </w:tcBorders>
          </w:tcPr>
          <w:p w14:paraId="29D29696" w14:textId="77777777" w:rsidR="008F687B" w:rsidRPr="00574EA8" w:rsidRDefault="00B946C2"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246</w:t>
            </w:r>
          </w:p>
        </w:tc>
        <w:tc>
          <w:tcPr>
            <w:tcW w:w="1440" w:type="dxa"/>
            <w:tcBorders>
              <w:top w:val="single" w:sz="2" w:space="0" w:color="auto"/>
              <w:left w:val="single" w:sz="2" w:space="0" w:color="auto"/>
              <w:bottom w:val="single" w:sz="2" w:space="0" w:color="auto"/>
              <w:right w:val="single" w:sz="2" w:space="0" w:color="auto"/>
            </w:tcBorders>
          </w:tcPr>
          <w:p w14:paraId="0EE7BFD4" w14:textId="77777777" w:rsidR="008F687B" w:rsidRPr="00574EA8" w:rsidRDefault="008F687B" w:rsidP="005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tc>
        <w:tc>
          <w:tcPr>
            <w:tcW w:w="1440" w:type="dxa"/>
            <w:tcBorders>
              <w:top w:val="single" w:sz="2" w:space="0" w:color="auto"/>
              <w:left w:val="single" w:sz="2" w:space="0" w:color="auto"/>
              <w:bottom w:val="single" w:sz="2" w:space="0" w:color="auto"/>
              <w:right w:val="single" w:sz="2" w:space="0" w:color="auto"/>
            </w:tcBorders>
          </w:tcPr>
          <w:p w14:paraId="6BB6D87E" w14:textId="77777777" w:rsidR="008F687B" w:rsidRPr="00574EA8" w:rsidRDefault="00F647BB" w:rsidP="00F65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574EA8">
              <w:rPr>
                <w:b/>
                <w:sz w:val="22"/>
              </w:rPr>
              <w:t>$</w:t>
            </w:r>
            <w:r w:rsidR="006F121F">
              <w:rPr>
                <w:b/>
                <w:sz w:val="22"/>
              </w:rPr>
              <w:t>9,969</w:t>
            </w:r>
          </w:p>
        </w:tc>
      </w:tr>
    </w:tbl>
    <w:p w14:paraId="66745D53" w14:textId="77777777" w:rsidR="00F647BB" w:rsidRPr="00574EA8" w:rsidRDefault="00F647BB" w:rsidP="00923364">
      <w:pPr>
        <w:widowControl/>
        <w:rPr>
          <w:szCs w:val="20"/>
        </w:rPr>
      </w:pPr>
      <w:r w:rsidRPr="00574EA8">
        <w:rPr>
          <w:szCs w:val="20"/>
          <w:vertAlign w:val="superscript"/>
        </w:rPr>
        <w:t>1</w:t>
      </w:r>
      <w:r w:rsidRPr="00574EA8">
        <w:rPr>
          <w:szCs w:val="20"/>
        </w:rPr>
        <w:t xml:space="preserve"> </w:t>
      </w:r>
      <w:r w:rsidRPr="00574EA8">
        <w:rPr>
          <w:color w:val="000000" w:themeColor="text1"/>
          <w:szCs w:val="20"/>
        </w:rPr>
        <w:t xml:space="preserve">Hourly rate determined using Labor Category ID </w:t>
      </w:r>
      <w:r w:rsidRPr="00574EA8">
        <w:rPr>
          <w:szCs w:val="20"/>
        </w:rPr>
        <w:t>CES6500000008</w:t>
      </w:r>
    </w:p>
    <w:p w14:paraId="192D2CB2" w14:textId="77777777" w:rsidR="00F647BB" w:rsidRPr="00574EA8" w:rsidRDefault="00F647BB" w:rsidP="00923364">
      <w:pPr>
        <w:widowControl/>
        <w:rPr>
          <w:szCs w:val="20"/>
        </w:rPr>
      </w:pPr>
      <w:r w:rsidRPr="00574EA8">
        <w:rPr>
          <w:szCs w:val="20"/>
          <w:vertAlign w:val="superscript"/>
        </w:rPr>
        <w:t>2</w:t>
      </w:r>
      <w:r w:rsidRPr="00574EA8">
        <w:rPr>
          <w:szCs w:val="20"/>
        </w:rPr>
        <w:t xml:space="preserve"> </w:t>
      </w:r>
      <w:r w:rsidRPr="00574EA8">
        <w:rPr>
          <w:color w:val="000000" w:themeColor="text1"/>
          <w:szCs w:val="20"/>
        </w:rPr>
        <w:t xml:space="preserve">Hourly rate determined using </w:t>
      </w:r>
      <w:r w:rsidR="00923364" w:rsidRPr="00574EA8">
        <w:rPr>
          <w:color w:val="000000" w:themeColor="text1"/>
          <w:szCs w:val="20"/>
        </w:rPr>
        <w:t>Occupation Code</w:t>
      </w:r>
      <w:r w:rsidRPr="00574EA8">
        <w:rPr>
          <w:color w:val="000000" w:themeColor="text1"/>
          <w:szCs w:val="20"/>
        </w:rPr>
        <w:t xml:space="preserve"> </w:t>
      </w:r>
      <w:r w:rsidRPr="00574EA8">
        <w:rPr>
          <w:szCs w:val="20"/>
        </w:rPr>
        <w:t>29-1062</w:t>
      </w:r>
    </w:p>
    <w:p w14:paraId="75185F95" w14:textId="77777777" w:rsidR="00527662" w:rsidRPr="00574EA8" w:rsidRDefault="00923364" w:rsidP="00923364">
      <w:pPr>
        <w:widowControl/>
        <w:rPr>
          <w:szCs w:val="20"/>
        </w:rPr>
      </w:pPr>
      <w:r w:rsidRPr="00574EA8">
        <w:rPr>
          <w:szCs w:val="20"/>
          <w:vertAlign w:val="superscript"/>
        </w:rPr>
        <w:t>3</w:t>
      </w:r>
      <w:r w:rsidR="00903B64" w:rsidRPr="00574EA8">
        <w:rPr>
          <w:szCs w:val="20"/>
        </w:rPr>
        <w:t xml:space="preserve"> Calculated based on </w:t>
      </w:r>
      <w:r w:rsidR="00527662" w:rsidRPr="00574EA8">
        <w:rPr>
          <w:szCs w:val="20"/>
        </w:rPr>
        <w:t>a mean</w:t>
      </w:r>
      <w:r w:rsidR="00F647BB" w:rsidRPr="00574EA8">
        <w:rPr>
          <w:szCs w:val="20"/>
        </w:rPr>
        <w:t xml:space="preserve"> </w:t>
      </w:r>
      <w:r w:rsidR="00903B64" w:rsidRPr="00574EA8">
        <w:rPr>
          <w:szCs w:val="20"/>
        </w:rPr>
        <w:t>a</w:t>
      </w:r>
      <w:r w:rsidR="00166520" w:rsidRPr="00574EA8">
        <w:rPr>
          <w:szCs w:val="20"/>
        </w:rPr>
        <w:t xml:space="preserve">nnual </w:t>
      </w:r>
      <w:r w:rsidR="00527662" w:rsidRPr="00574EA8">
        <w:rPr>
          <w:szCs w:val="20"/>
        </w:rPr>
        <w:t>1</w:t>
      </w:r>
      <w:r w:rsidR="00527662" w:rsidRPr="00574EA8">
        <w:rPr>
          <w:szCs w:val="20"/>
          <w:vertAlign w:val="superscript"/>
        </w:rPr>
        <w:t>st</w:t>
      </w:r>
      <w:r w:rsidR="00527662" w:rsidRPr="00574EA8">
        <w:rPr>
          <w:szCs w:val="20"/>
        </w:rPr>
        <w:t xml:space="preserve"> year </w:t>
      </w:r>
      <w:r w:rsidR="00166520" w:rsidRPr="00574EA8">
        <w:rPr>
          <w:szCs w:val="20"/>
        </w:rPr>
        <w:t>resident salary of $</w:t>
      </w:r>
      <w:r w:rsidR="00527662" w:rsidRPr="00574EA8">
        <w:rPr>
          <w:szCs w:val="20"/>
        </w:rPr>
        <w:t xml:space="preserve">50,274 </w:t>
      </w:r>
      <w:r w:rsidR="00903B64" w:rsidRPr="00574EA8">
        <w:rPr>
          <w:szCs w:val="20"/>
        </w:rPr>
        <w:t>with a 40 hour work week</w:t>
      </w:r>
      <w:r w:rsidRPr="00574EA8">
        <w:rPr>
          <w:rStyle w:val="FootnoteReference"/>
          <w:szCs w:val="20"/>
          <w:vertAlign w:val="superscript"/>
        </w:rPr>
        <w:footnoteReference w:id="3"/>
      </w:r>
    </w:p>
    <w:p w14:paraId="610591A1" w14:textId="77777777" w:rsidR="00527662" w:rsidRPr="00574EA8" w:rsidRDefault="00923364" w:rsidP="00923364">
      <w:pPr>
        <w:widowControl/>
        <w:rPr>
          <w:szCs w:val="20"/>
          <w:vertAlign w:val="superscript"/>
        </w:rPr>
      </w:pPr>
      <w:r w:rsidRPr="00574EA8">
        <w:rPr>
          <w:szCs w:val="20"/>
          <w:vertAlign w:val="superscript"/>
        </w:rPr>
        <w:t>4</w:t>
      </w:r>
      <w:r w:rsidR="00527662" w:rsidRPr="00574EA8">
        <w:rPr>
          <w:szCs w:val="20"/>
        </w:rPr>
        <w:t xml:space="preserve"> Calculated based on a mean annual 3</w:t>
      </w:r>
      <w:r w:rsidR="00527662" w:rsidRPr="00574EA8">
        <w:rPr>
          <w:szCs w:val="20"/>
          <w:vertAlign w:val="superscript"/>
        </w:rPr>
        <w:t>rd</w:t>
      </w:r>
      <w:r w:rsidR="00527662" w:rsidRPr="00574EA8">
        <w:rPr>
          <w:szCs w:val="20"/>
        </w:rPr>
        <w:t xml:space="preserve"> year resident salary </w:t>
      </w:r>
      <w:r w:rsidR="008B0907" w:rsidRPr="00574EA8">
        <w:rPr>
          <w:szCs w:val="20"/>
        </w:rPr>
        <w:t>o</w:t>
      </w:r>
      <w:r w:rsidR="00527662" w:rsidRPr="00574EA8">
        <w:rPr>
          <w:szCs w:val="20"/>
        </w:rPr>
        <w:t>f $54,373 with a 40 hour work week</w:t>
      </w:r>
      <w:r w:rsidRPr="00574EA8">
        <w:rPr>
          <w:szCs w:val="20"/>
          <w:vertAlign w:val="superscript"/>
        </w:rPr>
        <w:t>1</w:t>
      </w:r>
    </w:p>
    <w:p w14:paraId="2DB0B710" w14:textId="77777777" w:rsidR="008F687B" w:rsidRPr="00574EA8" w:rsidRDefault="008F687B" w:rsidP="00923364">
      <w:pPr>
        <w:widowControl/>
        <w:rPr>
          <w:szCs w:val="20"/>
        </w:rPr>
      </w:pPr>
    </w:p>
    <w:p w14:paraId="6F6BB807" w14:textId="77777777" w:rsidR="009B3794" w:rsidRPr="00574EA8" w:rsidRDefault="00C0127B" w:rsidP="00CA3DA6">
      <w:pPr>
        <w:spacing w:before="240"/>
        <w:rPr>
          <w:b/>
          <w:sz w:val="24"/>
        </w:rPr>
      </w:pPr>
      <w:r w:rsidRPr="00574EA8">
        <w:rPr>
          <w:b/>
          <w:sz w:val="24"/>
          <w:u w:val="single"/>
        </w:rPr>
        <w:t xml:space="preserve">13. </w:t>
      </w:r>
      <w:r w:rsidR="009B3794" w:rsidRPr="00574EA8">
        <w:rPr>
          <w:b/>
          <w:sz w:val="24"/>
          <w:u w:val="single"/>
        </w:rPr>
        <w:t>Estimates of other Total Annual Cost Burden to Respondents or Recordkeepers/Capital Costs</w:t>
      </w:r>
    </w:p>
    <w:p w14:paraId="127FCEDF" w14:textId="7EEA7C3F" w:rsidR="00A13F64" w:rsidRPr="00574EA8" w:rsidRDefault="00A13F64" w:rsidP="00ED3104">
      <w:pPr>
        <w:spacing w:before="240"/>
        <w:rPr>
          <w:sz w:val="24"/>
        </w:rPr>
      </w:pPr>
      <w:r w:rsidRPr="00574EA8">
        <w:rPr>
          <w:sz w:val="24"/>
        </w:rPr>
        <w:t xml:space="preserve">No additional recordkeeping or capital costs are expected for respondents. </w:t>
      </w:r>
      <w:r w:rsidR="007A55E0" w:rsidRPr="00574EA8">
        <w:rPr>
          <w:sz w:val="24"/>
        </w:rPr>
        <w:t xml:space="preserve">All data requested reflects basic program characteristics or individual demographics, practice characteristics, or program feedback. </w:t>
      </w:r>
      <w:r w:rsidRPr="00574EA8">
        <w:rPr>
          <w:sz w:val="24"/>
        </w:rPr>
        <w:t>Therefore</w:t>
      </w:r>
      <w:r w:rsidR="00E1444E">
        <w:rPr>
          <w:sz w:val="24"/>
        </w:rPr>
        <w:t>,</w:t>
      </w:r>
      <w:r w:rsidRPr="00574EA8">
        <w:rPr>
          <w:sz w:val="24"/>
        </w:rPr>
        <w:t xml:space="preserve"> no additional cost burden to respondents other </w:t>
      </w:r>
      <w:r w:rsidR="007A55E0" w:rsidRPr="00574EA8">
        <w:rPr>
          <w:sz w:val="24"/>
        </w:rPr>
        <w:t xml:space="preserve">is expected outside of </w:t>
      </w:r>
      <w:r w:rsidRPr="00574EA8">
        <w:rPr>
          <w:sz w:val="24"/>
        </w:rPr>
        <w:t>the time required to complete the survey instruments.</w:t>
      </w:r>
    </w:p>
    <w:p w14:paraId="4C2FEAE5" w14:textId="77777777" w:rsidR="00441598" w:rsidRPr="00574EA8" w:rsidRDefault="00441598" w:rsidP="00ED3104">
      <w:pPr>
        <w:spacing w:before="240"/>
        <w:rPr>
          <w:sz w:val="24"/>
        </w:rPr>
      </w:pPr>
    </w:p>
    <w:p w14:paraId="655341A2" w14:textId="77777777" w:rsidR="009B3794" w:rsidRPr="00574EA8" w:rsidRDefault="00C0127B" w:rsidP="00CA3DA6">
      <w:pPr>
        <w:spacing w:before="240"/>
        <w:rPr>
          <w:b/>
          <w:sz w:val="24"/>
        </w:rPr>
      </w:pPr>
      <w:r w:rsidRPr="00574EA8">
        <w:rPr>
          <w:b/>
          <w:sz w:val="24"/>
          <w:u w:val="single"/>
        </w:rPr>
        <w:t xml:space="preserve">14. </w:t>
      </w:r>
      <w:r w:rsidR="009B3794" w:rsidRPr="00574EA8">
        <w:rPr>
          <w:b/>
          <w:sz w:val="24"/>
          <w:u w:val="single"/>
        </w:rPr>
        <w:t>Annualized Cost to Federal Government</w:t>
      </w:r>
    </w:p>
    <w:p w14:paraId="4609DA03" w14:textId="6299D96A" w:rsidR="00441598" w:rsidRPr="00574EA8" w:rsidRDefault="00232946" w:rsidP="00ED3104">
      <w:pPr>
        <w:spacing w:before="240"/>
        <w:rPr>
          <w:sz w:val="24"/>
        </w:rPr>
      </w:pPr>
      <w:r w:rsidRPr="00574EA8">
        <w:rPr>
          <w:sz w:val="24"/>
        </w:rPr>
        <w:t xml:space="preserve">The systems used to collect the data will be at GWU. It is estimated that the amount of staff time </w:t>
      </w:r>
      <w:r w:rsidRPr="00574EA8">
        <w:rPr>
          <w:sz w:val="24"/>
        </w:rPr>
        <w:lastRenderedPageBreak/>
        <w:t>needed for the contract representative and rev</w:t>
      </w:r>
      <w:r w:rsidR="00BC05CF">
        <w:rPr>
          <w:sz w:val="24"/>
        </w:rPr>
        <w:t xml:space="preserve">iew and approval of reports is </w:t>
      </w:r>
      <w:r w:rsidR="006E629C">
        <w:rPr>
          <w:sz w:val="24"/>
        </w:rPr>
        <w:t>.5</w:t>
      </w:r>
      <w:r w:rsidR="001D737F">
        <w:rPr>
          <w:sz w:val="24"/>
        </w:rPr>
        <w:t xml:space="preserve"> FTE</w:t>
      </w:r>
      <w:r w:rsidRPr="00574EA8">
        <w:rPr>
          <w:sz w:val="24"/>
        </w:rPr>
        <w:t xml:space="preserve"> at the</w:t>
      </w:r>
      <w:r w:rsidR="00261A94">
        <w:rPr>
          <w:sz w:val="24"/>
        </w:rPr>
        <w:t xml:space="preserve"> GS-13 level—for a total of $</w:t>
      </w:r>
      <w:r w:rsidR="006E629C">
        <w:rPr>
          <w:sz w:val="24"/>
        </w:rPr>
        <w:t>46</w:t>
      </w:r>
      <w:r w:rsidRPr="00574EA8">
        <w:rPr>
          <w:sz w:val="24"/>
        </w:rPr>
        <w:t>,000. Collectively the estimated annualized cost to the government in st</w:t>
      </w:r>
      <w:r w:rsidR="00261A94">
        <w:rPr>
          <w:sz w:val="24"/>
        </w:rPr>
        <w:t>aff time is estimated to be $</w:t>
      </w:r>
      <w:r w:rsidR="006E629C">
        <w:rPr>
          <w:sz w:val="24"/>
        </w:rPr>
        <w:t>46</w:t>
      </w:r>
      <w:r w:rsidRPr="00574EA8">
        <w:rPr>
          <w:sz w:val="24"/>
        </w:rPr>
        <w:t xml:space="preserve">,000. </w:t>
      </w:r>
    </w:p>
    <w:p w14:paraId="20651F5F" w14:textId="77777777" w:rsidR="000937A1" w:rsidRDefault="000937A1" w:rsidP="00441598">
      <w:pPr>
        <w:pStyle w:val="ListParagraph"/>
        <w:spacing w:before="240"/>
        <w:ind w:left="0"/>
        <w:rPr>
          <w:b/>
          <w:sz w:val="24"/>
          <w:u w:val="single"/>
        </w:rPr>
      </w:pPr>
    </w:p>
    <w:p w14:paraId="02FD9017" w14:textId="798FE585" w:rsidR="009B3794" w:rsidRPr="00574EA8" w:rsidRDefault="00C0127B" w:rsidP="00441598">
      <w:pPr>
        <w:pStyle w:val="ListParagraph"/>
        <w:spacing w:before="240"/>
        <w:ind w:left="0"/>
        <w:rPr>
          <w:b/>
          <w:sz w:val="24"/>
        </w:rPr>
      </w:pPr>
      <w:r w:rsidRPr="00574EA8">
        <w:rPr>
          <w:b/>
          <w:sz w:val="24"/>
          <w:u w:val="single"/>
        </w:rPr>
        <w:t xml:space="preserve">15. </w:t>
      </w:r>
      <w:r w:rsidR="009B3794" w:rsidRPr="00574EA8">
        <w:rPr>
          <w:b/>
          <w:sz w:val="24"/>
          <w:u w:val="single"/>
        </w:rPr>
        <w:t>Explanation for Program Changes or Adjustments</w:t>
      </w:r>
    </w:p>
    <w:p w14:paraId="5421A4B4" w14:textId="0647671A" w:rsidR="00166520" w:rsidRPr="00574EA8" w:rsidRDefault="00486B38" w:rsidP="00CA3DA6">
      <w:pPr>
        <w:pStyle w:val="BodyTextIndent"/>
        <w:spacing w:before="120"/>
        <w:ind w:left="0"/>
        <w:rPr>
          <w:rFonts w:ascii="Times New Roman" w:hAnsi="Times New Roman"/>
        </w:rPr>
      </w:pPr>
      <w:r>
        <w:rPr>
          <w:rFonts w:ascii="Times New Roman" w:hAnsi="Times New Roman"/>
        </w:rPr>
        <w:t xml:space="preserve">The current </w:t>
      </w:r>
      <w:r w:rsidR="00CD3AA5">
        <w:rPr>
          <w:rFonts w:ascii="Times New Roman" w:hAnsi="Times New Roman"/>
        </w:rPr>
        <w:t xml:space="preserve">burden </w:t>
      </w:r>
      <w:r>
        <w:rPr>
          <w:rFonts w:ascii="Times New Roman" w:hAnsi="Times New Roman"/>
        </w:rPr>
        <w:t xml:space="preserve">inventory for this information collection is 526 hours.  This current request is for 246 hours.  This is due to a reduction in the estimated number of respondents and as stated in the original submission of this information collection request, future years of implementation will require less time as respondents will be asked only to update the previous year’s data.  </w:t>
      </w:r>
    </w:p>
    <w:p w14:paraId="29B87BB0" w14:textId="77777777" w:rsidR="009B3794" w:rsidRPr="00574EA8" w:rsidRDefault="00C0127B" w:rsidP="00CA3DA6">
      <w:pPr>
        <w:spacing w:before="240"/>
        <w:rPr>
          <w:b/>
          <w:sz w:val="24"/>
        </w:rPr>
      </w:pPr>
      <w:r w:rsidRPr="00574EA8">
        <w:rPr>
          <w:b/>
          <w:sz w:val="24"/>
          <w:u w:val="single"/>
        </w:rPr>
        <w:t xml:space="preserve">16. </w:t>
      </w:r>
      <w:r w:rsidR="009B3794" w:rsidRPr="00574EA8">
        <w:rPr>
          <w:b/>
          <w:sz w:val="24"/>
          <w:u w:val="single"/>
        </w:rPr>
        <w:t>Plans for Tabulation</w:t>
      </w:r>
      <w:r w:rsidR="002118B4" w:rsidRPr="00574EA8">
        <w:rPr>
          <w:b/>
          <w:sz w:val="24"/>
          <w:u w:val="single"/>
        </w:rPr>
        <w:t xml:space="preserve">, </w:t>
      </w:r>
      <w:r w:rsidR="009B3794" w:rsidRPr="00574EA8">
        <w:rPr>
          <w:b/>
          <w:sz w:val="24"/>
          <w:u w:val="single"/>
        </w:rPr>
        <w:t>Publication</w:t>
      </w:r>
      <w:r w:rsidR="002118B4" w:rsidRPr="00574EA8">
        <w:rPr>
          <w:b/>
          <w:sz w:val="24"/>
          <w:u w:val="single"/>
        </w:rPr>
        <w:t>,</w:t>
      </w:r>
      <w:r w:rsidR="009B3794" w:rsidRPr="00574EA8">
        <w:rPr>
          <w:b/>
          <w:sz w:val="24"/>
          <w:u w:val="single"/>
        </w:rPr>
        <w:t xml:space="preserve"> and Project Time Schedule</w:t>
      </w:r>
    </w:p>
    <w:p w14:paraId="256DD0CD" w14:textId="77777777" w:rsidR="00BE1695" w:rsidRPr="00574EA8" w:rsidRDefault="00BE1695" w:rsidP="00441598">
      <w:pPr>
        <w:spacing w:before="120"/>
        <w:rPr>
          <w:sz w:val="24"/>
        </w:rPr>
      </w:pPr>
      <w:r w:rsidRPr="00574EA8">
        <w:rPr>
          <w:sz w:val="24"/>
        </w:rPr>
        <w:t xml:space="preserve">Data collected through the Program Data Collection Tool and individual level surveys serve a number of important purposes including strengthening program performance, responding to federal reporting requirements, and responding to congressional inquiries. Since programs are publicly-funded, data collected may be showcased in peer-reviewed articles, conferences, and/or reports published through and/or sponsored by HRSA. In the case of publication, all personally identified information will be aggregated and de-identified. </w:t>
      </w:r>
    </w:p>
    <w:p w14:paraId="00F0155A" w14:textId="77777777" w:rsidR="00BE1695" w:rsidRPr="00574EA8" w:rsidRDefault="00BE1695" w:rsidP="00441598">
      <w:pPr>
        <w:tabs>
          <w:tab w:val="left" w:pos="0"/>
        </w:tabs>
        <w:spacing w:before="120"/>
        <w:rPr>
          <w:sz w:val="24"/>
        </w:rPr>
      </w:pPr>
      <w:r w:rsidRPr="00574EA8">
        <w:rPr>
          <w:sz w:val="24"/>
        </w:rPr>
        <w:t>The process for cleaning, analyzing, and reporting data will consist of the following steps:</w:t>
      </w:r>
    </w:p>
    <w:p w14:paraId="156FDF1C" w14:textId="77777777" w:rsidR="00BE1695" w:rsidRPr="00574EA8" w:rsidRDefault="00BE1695" w:rsidP="00ED3104">
      <w:pPr>
        <w:spacing w:before="120"/>
        <w:rPr>
          <w:sz w:val="24"/>
        </w:rPr>
      </w:pPr>
      <w:r w:rsidRPr="00574EA8">
        <w:rPr>
          <w:sz w:val="24"/>
        </w:rPr>
        <w:t xml:space="preserve">Step 1: Data cleaning. Data will be cleaned using a series of predetermined analytic rules within 30 days of receipt. Errors or discrepancies in data will be flagged and followed up with THC </w:t>
      </w:r>
      <w:r w:rsidR="00261A94">
        <w:rPr>
          <w:sz w:val="24"/>
        </w:rPr>
        <w:t xml:space="preserve">residency </w:t>
      </w:r>
      <w:r w:rsidRPr="00574EA8">
        <w:rPr>
          <w:sz w:val="24"/>
        </w:rPr>
        <w:t>programs where appropriate.</w:t>
      </w:r>
    </w:p>
    <w:p w14:paraId="7FCEFE99" w14:textId="77777777" w:rsidR="00BE1695" w:rsidRPr="00574EA8" w:rsidRDefault="00BE1695" w:rsidP="00ED3104">
      <w:pPr>
        <w:spacing w:before="120"/>
        <w:rPr>
          <w:sz w:val="24"/>
        </w:rPr>
      </w:pPr>
      <w:r w:rsidRPr="00574EA8">
        <w:rPr>
          <w:sz w:val="24"/>
        </w:rPr>
        <w:t xml:space="preserve">Step 2: Analysis. Analysis of all data will be conducted under the THC Evaluation contract at the George Washington University for the </w:t>
      </w:r>
      <w:r w:rsidR="00ED3104" w:rsidRPr="00574EA8">
        <w:rPr>
          <w:sz w:val="24"/>
        </w:rPr>
        <w:t xml:space="preserve">duration of the </w:t>
      </w:r>
      <w:r w:rsidR="00261A94">
        <w:rPr>
          <w:sz w:val="24"/>
        </w:rPr>
        <w:t>contract period (approximately 2</w:t>
      </w:r>
      <w:r w:rsidR="00ED3104" w:rsidRPr="00574EA8">
        <w:rPr>
          <w:sz w:val="24"/>
        </w:rPr>
        <w:t xml:space="preserve"> more years). Analysis during this </w:t>
      </w:r>
      <w:r w:rsidR="00261A94">
        <w:rPr>
          <w:sz w:val="24"/>
        </w:rPr>
        <w:t>time period will be descriptive. C</w:t>
      </w:r>
      <w:r w:rsidR="00ED3104" w:rsidRPr="00574EA8">
        <w:rPr>
          <w:sz w:val="24"/>
        </w:rPr>
        <w:t>orrelation</w:t>
      </w:r>
      <w:r w:rsidR="00261A94">
        <w:rPr>
          <w:sz w:val="24"/>
        </w:rPr>
        <w:t>al</w:t>
      </w:r>
      <w:r w:rsidR="00ED3104" w:rsidRPr="00574EA8">
        <w:rPr>
          <w:sz w:val="24"/>
        </w:rPr>
        <w:t xml:space="preserve"> analyses of the relationship</w:t>
      </w:r>
      <w:r w:rsidR="009C53C8" w:rsidRPr="00574EA8">
        <w:rPr>
          <w:sz w:val="24"/>
        </w:rPr>
        <w:t>s</w:t>
      </w:r>
      <w:r w:rsidR="00ED3104" w:rsidRPr="00574EA8">
        <w:rPr>
          <w:sz w:val="24"/>
        </w:rPr>
        <w:t xml:space="preserve"> between resident characteristics and career outcomes</w:t>
      </w:r>
      <w:r w:rsidR="00261A94">
        <w:rPr>
          <w:sz w:val="24"/>
        </w:rPr>
        <w:t xml:space="preserve"> will also be conducted.</w:t>
      </w:r>
    </w:p>
    <w:p w14:paraId="430A3F96" w14:textId="77777777" w:rsidR="00ED3104" w:rsidRPr="00574EA8" w:rsidRDefault="00ED3104" w:rsidP="00ED3104">
      <w:pPr>
        <w:spacing w:before="120"/>
        <w:rPr>
          <w:sz w:val="24"/>
        </w:rPr>
      </w:pPr>
      <w:r w:rsidRPr="00574EA8">
        <w:rPr>
          <w:sz w:val="24"/>
        </w:rPr>
        <w:t xml:space="preserve">Step 3: Reporting. Data will </w:t>
      </w:r>
      <w:r w:rsidR="00D75FAA" w:rsidRPr="00574EA8">
        <w:rPr>
          <w:sz w:val="24"/>
        </w:rPr>
        <w:t xml:space="preserve">be </w:t>
      </w:r>
      <w:r w:rsidRPr="00574EA8">
        <w:rPr>
          <w:sz w:val="24"/>
        </w:rPr>
        <w:t>reported on an annual basis to HRSA in September of each year, at the time of the required annual reporting. Any additional data requests from the THC Evaluation HRSA project officers will be provided in a time period to be determined based on the status of the data collection activities and the requirements for analysis.</w:t>
      </w:r>
    </w:p>
    <w:p w14:paraId="7B36336F" w14:textId="77777777" w:rsidR="00A645B9" w:rsidRPr="00574EA8" w:rsidRDefault="00A645B9" w:rsidP="00CA3DA6">
      <w:pPr>
        <w:spacing w:before="120"/>
        <w:rPr>
          <w:sz w:val="24"/>
        </w:rPr>
      </w:pPr>
    </w:p>
    <w:p w14:paraId="69601046" w14:textId="77777777" w:rsidR="00516FD5" w:rsidRPr="00574EA8" w:rsidRDefault="00C0127B" w:rsidP="00CA3DA6">
      <w:pPr>
        <w:spacing w:before="240"/>
        <w:rPr>
          <w:b/>
          <w:sz w:val="24"/>
          <w:u w:val="single"/>
        </w:rPr>
        <w:sectPr w:rsidR="00516FD5" w:rsidRPr="00574EA8" w:rsidSect="005D3EAB">
          <w:footerReference w:type="default" r:id="rId13"/>
          <w:type w:val="continuous"/>
          <w:pgSz w:w="12240" w:h="15840"/>
          <w:pgMar w:top="1440" w:right="1440" w:bottom="1440" w:left="1440" w:header="720" w:footer="720" w:gutter="0"/>
          <w:cols w:space="2"/>
          <w:docGrid w:linePitch="272"/>
        </w:sectPr>
      </w:pPr>
      <w:r w:rsidRPr="00574EA8">
        <w:rPr>
          <w:b/>
          <w:sz w:val="24"/>
          <w:u w:val="single"/>
        </w:rPr>
        <w:t xml:space="preserve">17. </w:t>
      </w:r>
      <w:r w:rsidR="009B3794" w:rsidRPr="00574EA8">
        <w:rPr>
          <w:b/>
          <w:sz w:val="24"/>
          <w:u w:val="single"/>
        </w:rPr>
        <w:t>Reason(s) Display of OMB Expiration Date is Inappropriate</w:t>
      </w:r>
    </w:p>
    <w:p w14:paraId="050B2D76" w14:textId="77777777" w:rsidR="009B3794" w:rsidRPr="00574EA8" w:rsidRDefault="00104D58" w:rsidP="006E716D">
      <w:pPr>
        <w:pStyle w:val="BodyTextIndent"/>
        <w:spacing w:before="120"/>
        <w:ind w:left="0"/>
        <w:rPr>
          <w:rFonts w:ascii="Times New Roman" w:hAnsi="Times New Roman"/>
        </w:rPr>
      </w:pPr>
      <w:r w:rsidRPr="00574EA8">
        <w:rPr>
          <w:rFonts w:ascii="Times New Roman" w:hAnsi="Times New Roman"/>
        </w:rPr>
        <w:t>There is no request to seek</w:t>
      </w:r>
      <w:r w:rsidR="009B3794" w:rsidRPr="00574EA8">
        <w:rPr>
          <w:rFonts w:ascii="Times New Roman" w:hAnsi="Times New Roman"/>
        </w:rPr>
        <w:t xml:space="preserve"> </w:t>
      </w:r>
      <w:r w:rsidR="00441598" w:rsidRPr="00574EA8">
        <w:rPr>
          <w:rFonts w:ascii="Times New Roman" w:hAnsi="Times New Roman"/>
        </w:rPr>
        <w:t>exemption for display of the OMB expiration date</w:t>
      </w:r>
      <w:r w:rsidR="009B3794" w:rsidRPr="00574EA8">
        <w:rPr>
          <w:rFonts w:ascii="Times New Roman" w:hAnsi="Times New Roman"/>
        </w:rPr>
        <w:t xml:space="preserve">.  </w:t>
      </w:r>
    </w:p>
    <w:p w14:paraId="18DBC2B0" w14:textId="77777777" w:rsidR="00516FD5" w:rsidRPr="00574EA8" w:rsidRDefault="00516FD5" w:rsidP="00441598">
      <w:pPr>
        <w:pStyle w:val="BodyTextIndent"/>
        <w:spacing w:before="120"/>
        <w:ind w:left="0"/>
        <w:rPr>
          <w:rFonts w:ascii="Times New Roman" w:hAnsi="Times New Roman"/>
        </w:rPr>
        <w:sectPr w:rsidR="00516FD5" w:rsidRPr="00574EA8" w:rsidSect="006E716D">
          <w:type w:val="continuous"/>
          <w:pgSz w:w="12240" w:h="15840"/>
          <w:pgMar w:top="1440" w:right="1440" w:bottom="1440" w:left="1440" w:header="720" w:footer="720" w:gutter="0"/>
          <w:cols w:space="2"/>
          <w:docGrid w:linePitch="272"/>
        </w:sectPr>
      </w:pPr>
    </w:p>
    <w:p w14:paraId="41C8A3F8" w14:textId="77777777" w:rsidR="00441598" w:rsidRPr="00574EA8" w:rsidRDefault="00441598" w:rsidP="00441598">
      <w:pPr>
        <w:pStyle w:val="BodyTextIndent"/>
        <w:spacing w:before="120"/>
        <w:ind w:left="0"/>
        <w:rPr>
          <w:rFonts w:ascii="Times New Roman" w:hAnsi="Times New Roman"/>
        </w:rPr>
      </w:pPr>
    </w:p>
    <w:p w14:paraId="49472641" w14:textId="77777777" w:rsidR="009B3794" w:rsidRPr="00574EA8" w:rsidRDefault="00C0127B" w:rsidP="009265EF">
      <w:pPr>
        <w:spacing w:before="240"/>
        <w:ind w:firstLine="720"/>
        <w:rPr>
          <w:b/>
          <w:sz w:val="24"/>
        </w:rPr>
      </w:pPr>
      <w:r w:rsidRPr="00574EA8">
        <w:rPr>
          <w:b/>
          <w:sz w:val="24"/>
          <w:u w:val="single"/>
        </w:rPr>
        <w:t xml:space="preserve">18. </w:t>
      </w:r>
      <w:r w:rsidR="009B3794" w:rsidRPr="00574EA8">
        <w:rPr>
          <w:b/>
          <w:sz w:val="24"/>
          <w:u w:val="single"/>
        </w:rPr>
        <w:t>Exceptions to Certification for Paperwork Reduction Act Submissions</w:t>
      </w:r>
    </w:p>
    <w:p w14:paraId="70AD1056" w14:textId="5AA0E707" w:rsidR="00261A94" w:rsidRPr="009265EF" w:rsidRDefault="009B3794" w:rsidP="00BB1C04">
      <w:pPr>
        <w:pStyle w:val="BodyTextIndent"/>
        <w:spacing w:before="120"/>
        <w:ind w:left="0" w:firstLine="720"/>
        <w:rPr>
          <w:rFonts w:asciiTheme="minorHAnsi" w:eastAsiaTheme="minorHAnsi" w:hAnsiTheme="minorHAnsi" w:cstheme="minorBidi"/>
          <w:sz w:val="22"/>
          <w:szCs w:val="22"/>
        </w:rPr>
      </w:pPr>
      <w:r w:rsidRPr="00574EA8">
        <w:rPr>
          <w:rFonts w:ascii="Times New Roman" w:hAnsi="Times New Roman"/>
        </w:rPr>
        <w:t>There are no exceptions to the certification.</w:t>
      </w:r>
      <w:bookmarkStart w:id="0" w:name="_GoBack"/>
      <w:bookmarkEnd w:id="0"/>
    </w:p>
    <w:sectPr w:rsidR="00261A94" w:rsidRPr="009265EF" w:rsidSect="00B0761C">
      <w:footerReference w:type="default" r:id="rId14"/>
      <w:type w:val="continuous"/>
      <w:pgSz w:w="12240" w:h="15840"/>
      <w:pgMar w:top="560" w:right="780" w:bottom="280" w:left="780" w:header="720" w:footer="720" w:gutter="0"/>
      <w:cols w:num="2" w:space="720" w:equalWidth="0">
        <w:col w:w="8739" w:space="2"/>
        <w:col w:w="19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50A60" w14:textId="77777777" w:rsidR="00486B38" w:rsidRDefault="00486B38">
      <w:r>
        <w:separator/>
      </w:r>
    </w:p>
  </w:endnote>
  <w:endnote w:type="continuationSeparator" w:id="0">
    <w:p w14:paraId="71DBDF29" w14:textId="77777777" w:rsidR="00486B38" w:rsidRDefault="0048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052081"/>
      <w:docPartObj>
        <w:docPartGallery w:val="Page Numbers (Bottom of Page)"/>
        <w:docPartUnique/>
      </w:docPartObj>
    </w:sdtPr>
    <w:sdtEndPr>
      <w:rPr>
        <w:noProof/>
      </w:rPr>
    </w:sdtEndPr>
    <w:sdtContent>
      <w:p w14:paraId="1CE68661" w14:textId="3A95395B" w:rsidR="00486B38" w:rsidRDefault="00486B38">
        <w:pPr>
          <w:pStyle w:val="Footer"/>
          <w:jc w:val="center"/>
        </w:pPr>
        <w:r>
          <w:fldChar w:fldCharType="begin"/>
        </w:r>
        <w:r>
          <w:instrText xml:space="preserve"> PAGE   \* MERGEFORMAT </w:instrText>
        </w:r>
        <w:r>
          <w:fldChar w:fldCharType="separate"/>
        </w:r>
        <w:r w:rsidR="00BB1C04">
          <w:rPr>
            <w:noProof/>
          </w:rPr>
          <w:t>9</w:t>
        </w:r>
        <w:r>
          <w:rPr>
            <w:noProof/>
          </w:rPr>
          <w:fldChar w:fldCharType="end"/>
        </w:r>
      </w:p>
    </w:sdtContent>
  </w:sdt>
  <w:p w14:paraId="6DA414F3" w14:textId="77777777" w:rsidR="00486B38" w:rsidRDefault="00486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6459" w14:textId="77777777" w:rsidR="00486B38" w:rsidRDefault="00486B38">
    <w:pPr>
      <w:spacing w:line="240" w:lineRule="exact"/>
    </w:pPr>
  </w:p>
  <w:p w14:paraId="53EFA0CC" w14:textId="03B30C4F" w:rsidR="00486B38" w:rsidRDefault="00486B3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B1C04">
      <w:rPr>
        <w:noProof/>
        <w:sz w:val="24"/>
      </w:rPr>
      <w:t>10</w:t>
    </w:r>
    <w:r>
      <w:rPr>
        <w:sz w:val="24"/>
      </w:rPr>
      <w:fldChar w:fldCharType="end"/>
    </w:r>
  </w:p>
  <w:p w14:paraId="2AF88342" w14:textId="77777777" w:rsidR="00486B38" w:rsidRDefault="00486B38">
    <w:pPr>
      <w:rPr>
        <w:sz w:val="24"/>
      </w:rPr>
    </w:pPr>
  </w:p>
  <w:p w14:paraId="1AD049F4" w14:textId="77777777" w:rsidR="00486B38" w:rsidRDefault="00486B38"/>
  <w:p w14:paraId="43B1DA5A" w14:textId="77777777" w:rsidR="00486B38" w:rsidRDefault="00486B38"/>
  <w:p w14:paraId="191277D4" w14:textId="77777777" w:rsidR="00486B38" w:rsidRDefault="00486B38"/>
  <w:p w14:paraId="748BBE47" w14:textId="77777777" w:rsidR="00486B38" w:rsidRDefault="00486B38"/>
  <w:p w14:paraId="300FA7D3" w14:textId="77777777" w:rsidR="00486B38" w:rsidRDefault="00486B38"/>
  <w:p w14:paraId="63A61135" w14:textId="77777777" w:rsidR="00486B38" w:rsidRDefault="00486B38"/>
  <w:p w14:paraId="74EF09FF" w14:textId="77777777" w:rsidR="00486B38" w:rsidRDefault="00486B38"/>
  <w:p w14:paraId="115F837C" w14:textId="77777777" w:rsidR="00486B38" w:rsidRDefault="00486B38"/>
  <w:p w14:paraId="1843EBAA" w14:textId="77777777" w:rsidR="00486B38" w:rsidRDefault="00486B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9468" w14:textId="77777777" w:rsidR="00486B38" w:rsidRDefault="00486B38">
      <w:r>
        <w:separator/>
      </w:r>
    </w:p>
  </w:footnote>
  <w:footnote w:type="continuationSeparator" w:id="0">
    <w:p w14:paraId="2AADFD60" w14:textId="77777777" w:rsidR="00486B38" w:rsidRDefault="00486B38">
      <w:r>
        <w:continuationSeparator/>
      </w:r>
    </w:p>
  </w:footnote>
  <w:footnote w:id="1">
    <w:p w14:paraId="34675742" w14:textId="77777777" w:rsidR="00486B38" w:rsidRPr="00B72301" w:rsidRDefault="00486B38" w:rsidP="00B72301">
      <w:pPr>
        <w:rPr>
          <w:sz w:val="16"/>
          <w:szCs w:val="16"/>
        </w:rPr>
      </w:pPr>
      <w:r w:rsidRPr="00B72301">
        <w:rPr>
          <w:rStyle w:val="FootnoteReference"/>
          <w:vertAlign w:val="superscript"/>
        </w:rPr>
        <w:footnoteRef/>
      </w:r>
      <w:r w:rsidRPr="00B72301">
        <w:rPr>
          <w:vertAlign w:val="superscript"/>
        </w:rPr>
        <w:t xml:space="preserve"> </w:t>
      </w:r>
      <w:r w:rsidRPr="00B72301">
        <w:rPr>
          <w:sz w:val="16"/>
          <w:szCs w:val="16"/>
        </w:rPr>
        <w:t>Rieselbach RE, Crouse BJ, Newhausen K, Nasca TJ, Frohna JG. Academic medicine: A key partner in strengthening the primary care infrastructure via teaching health centers. Acad Med. 2013; 88:1835-1843.</w:t>
      </w:r>
    </w:p>
    <w:p w14:paraId="62E0133C" w14:textId="6F6128F3" w:rsidR="00486B38" w:rsidRDefault="00486B38">
      <w:pPr>
        <w:pStyle w:val="FootnoteText"/>
      </w:pPr>
    </w:p>
  </w:footnote>
  <w:footnote w:id="2">
    <w:p w14:paraId="5B1F43F2" w14:textId="77777777" w:rsidR="00486B38" w:rsidRPr="000D0F18" w:rsidRDefault="00486B38" w:rsidP="003F27B0">
      <w:pPr>
        <w:rPr>
          <w:sz w:val="16"/>
          <w:szCs w:val="16"/>
        </w:rPr>
      </w:pPr>
      <w:r w:rsidRPr="00B72301">
        <w:rPr>
          <w:rStyle w:val="FootnoteReference"/>
          <w:vertAlign w:val="superscript"/>
        </w:rPr>
        <w:footnoteRef/>
      </w:r>
      <w:r w:rsidRPr="00B72301">
        <w:rPr>
          <w:vertAlign w:val="superscript"/>
        </w:rPr>
        <w:t xml:space="preserve"> </w:t>
      </w:r>
      <w:r w:rsidRPr="000D0F18">
        <w:rPr>
          <w:sz w:val="16"/>
          <w:szCs w:val="16"/>
        </w:rPr>
        <w:t>Rieselbach RE, Crouse BJ, Newhausen K, Nasca TJ, Frohna JG. Academic medicine: A key partner in strengthening the primary care infrastructure via teaching health centers. Acad Med. 2013; 88:1835-1843.</w:t>
      </w:r>
    </w:p>
    <w:p w14:paraId="12659972" w14:textId="7DCF09F3" w:rsidR="00486B38" w:rsidRDefault="00486B38">
      <w:pPr>
        <w:pStyle w:val="FootnoteText"/>
      </w:pPr>
    </w:p>
  </w:footnote>
  <w:footnote w:id="3">
    <w:p w14:paraId="6FDE0A10" w14:textId="77777777" w:rsidR="00486B38" w:rsidRDefault="00486B38" w:rsidP="00923364">
      <w:pPr>
        <w:pStyle w:val="FootnoteText"/>
      </w:pPr>
      <w:r w:rsidRPr="009C53C8">
        <w:rPr>
          <w:rStyle w:val="FootnoteReference"/>
          <w:vertAlign w:val="superscript"/>
        </w:rPr>
        <w:footnoteRef/>
      </w:r>
      <w:r w:rsidRPr="009C53C8">
        <w:rPr>
          <w:vertAlign w:val="superscript"/>
        </w:rPr>
        <w:t xml:space="preserve"> </w:t>
      </w:r>
      <w:r>
        <w:t xml:space="preserve">AAMC Survey of Resident/Fellow Stipends and Benefits, 2012. Available at: </w:t>
      </w:r>
      <w:r w:rsidRPr="00527662">
        <w:t>https://www.aamc.org/download/312786/data/2012stipendsurveyreportfinal.pdf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B2A"/>
    <w:multiLevelType w:val="hybridMultilevel"/>
    <w:tmpl w:val="540EF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345D3C"/>
    <w:multiLevelType w:val="hybridMultilevel"/>
    <w:tmpl w:val="2F10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8E6768"/>
    <w:multiLevelType w:val="hybridMultilevel"/>
    <w:tmpl w:val="8DC6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21D08DC"/>
    <w:multiLevelType w:val="hybridMultilevel"/>
    <w:tmpl w:val="9A9E2E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B2E6C64"/>
    <w:multiLevelType w:val="hybridMultilevel"/>
    <w:tmpl w:val="FDB4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1"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959C9"/>
    <w:multiLevelType w:val="hybridMultilevel"/>
    <w:tmpl w:val="6254AE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C11E23"/>
    <w:multiLevelType w:val="hybridMultilevel"/>
    <w:tmpl w:val="AF8C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D7109"/>
    <w:multiLevelType w:val="hybridMultilevel"/>
    <w:tmpl w:val="C854F802"/>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3" w15:restartNumberingAfterBreak="0">
    <w:nsid w:val="549E6786"/>
    <w:multiLevelType w:val="hybridMultilevel"/>
    <w:tmpl w:val="0FAA689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664A00FA"/>
    <w:multiLevelType w:val="hybridMultilevel"/>
    <w:tmpl w:val="E4B44B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4"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77DC0CE9"/>
    <w:multiLevelType w:val="hybridMultilevel"/>
    <w:tmpl w:val="CD88556E"/>
    <w:lvl w:ilvl="0" w:tplc="DD824D5E">
      <w:start w:val="1"/>
      <w:numFmt w:val="decimal"/>
      <w:lvlText w:val="%1."/>
      <w:lvlJc w:val="left"/>
      <w:pPr>
        <w:ind w:hanging="275"/>
        <w:jc w:val="right"/>
      </w:pPr>
      <w:rPr>
        <w:rFonts w:ascii="Arial Black" w:eastAsia="Arial Black" w:hAnsi="Arial Black" w:hint="default"/>
        <w:b/>
        <w:bCs/>
        <w:w w:val="89"/>
        <w:sz w:val="24"/>
        <w:szCs w:val="24"/>
      </w:rPr>
    </w:lvl>
    <w:lvl w:ilvl="1" w:tplc="7DAA8194">
      <w:start w:val="1"/>
      <w:numFmt w:val="bullet"/>
      <w:lvlText w:val="•"/>
      <w:lvlJc w:val="left"/>
      <w:rPr>
        <w:rFonts w:hint="default"/>
      </w:rPr>
    </w:lvl>
    <w:lvl w:ilvl="2" w:tplc="A80A17EE">
      <w:start w:val="1"/>
      <w:numFmt w:val="bullet"/>
      <w:lvlText w:val="•"/>
      <w:lvlJc w:val="left"/>
      <w:rPr>
        <w:rFonts w:hint="default"/>
      </w:rPr>
    </w:lvl>
    <w:lvl w:ilvl="3" w:tplc="559E2724">
      <w:start w:val="1"/>
      <w:numFmt w:val="bullet"/>
      <w:lvlText w:val="•"/>
      <w:lvlJc w:val="left"/>
      <w:rPr>
        <w:rFonts w:hint="default"/>
      </w:rPr>
    </w:lvl>
    <w:lvl w:ilvl="4" w:tplc="D57A50B8">
      <w:start w:val="1"/>
      <w:numFmt w:val="bullet"/>
      <w:lvlText w:val="•"/>
      <w:lvlJc w:val="left"/>
      <w:rPr>
        <w:rFonts w:hint="default"/>
      </w:rPr>
    </w:lvl>
    <w:lvl w:ilvl="5" w:tplc="F1222CBE">
      <w:start w:val="1"/>
      <w:numFmt w:val="bullet"/>
      <w:lvlText w:val="•"/>
      <w:lvlJc w:val="left"/>
      <w:rPr>
        <w:rFonts w:hint="default"/>
      </w:rPr>
    </w:lvl>
    <w:lvl w:ilvl="6" w:tplc="D95A0B88">
      <w:start w:val="1"/>
      <w:numFmt w:val="bullet"/>
      <w:lvlText w:val="•"/>
      <w:lvlJc w:val="left"/>
      <w:rPr>
        <w:rFonts w:hint="default"/>
      </w:rPr>
    </w:lvl>
    <w:lvl w:ilvl="7" w:tplc="DE3E6B08">
      <w:start w:val="1"/>
      <w:numFmt w:val="bullet"/>
      <w:lvlText w:val="•"/>
      <w:lvlJc w:val="left"/>
      <w:rPr>
        <w:rFonts w:hint="default"/>
      </w:rPr>
    </w:lvl>
    <w:lvl w:ilvl="8" w:tplc="6D363A12">
      <w:start w:val="1"/>
      <w:numFmt w:val="bullet"/>
      <w:lvlText w:val="•"/>
      <w:lvlJc w:val="left"/>
      <w:rPr>
        <w:rFonts w:hint="default"/>
      </w:rPr>
    </w:lvl>
  </w:abstractNum>
  <w:abstractNum w:abstractNumId="49"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7C2E51F8"/>
    <w:multiLevelType w:val="hybridMultilevel"/>
    <w:tmpl w:val="55DE9926"/>
    <w:lvl w:ilvl="0" w:tplc="F572B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3"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3"/>
  </w:num>
  <w:num w:numId="2">
    <w:abstractNumId w:val="28"/>
  </w:num>
  <w:num w:numId="3">
    <w:abstractNumId w:val="19"/>
  </w:num>
  <w:num w:numId="4">
    <w:abstractNumId w:val="47"/>
  </w:num>
  <w:num w:numId="5">
    <w:abstractNumId w:val="52"/>
  </w:num>
  <w:num w:numId="6">
    <w:abstractNumId w:val="13"/>
  </w:num>
  <w:num w:numId="7">
    <w:abstractNumId w:val="43"/>
  </w:num>
  <w:num w:numId="8">
    <w:abstractNumId w:val="22"/>
  </w:num>
  <w:num w:numId="9">
    <w:abstractNumId w:val="32"/>
  </w:num>
  <w:num w:numId="10">
    <w:abstractNumId w:val="24"/>
  </w:num>
  <w:num w:numId="11">
    <w:abstractNumId w:val="12"/>
  </w:num>
  <w:num w:numId="12">
    <w:abstractNumId w:val="31"/>
  </w:num>
  <w:num w:numId="13">
    <w:abstractNumId w:val="25"/>
  </w:num>
  <w:num w:numId="14">
    <w:abstractNumId w:val="29"/>
  </w:num>
  <w:num w:numId="15">
    <w:abstractNumId w:val="10"/>
  </w:num>
  <w:num w:numId="16">
    <w:abstractNumId w:val="1"/>
  </w:num>
  <w:num w:numId="17">
    <w:abstractNumId w:val="2"/>
  </w:num>
  <w:num w:numId="18">
    <w:abstractNumId w:val="20"/>
  </w:num>
  <w:num w:numId="19">
    <w:abstractNumId w:val="42"/>
  </w:num>
  <w:num w:numId="20">
    <w:abstractNumId w:val="39"/>
  </w:num>
  <w:num w:numId="21">
    <w:abstractNumId w:val="23"/>
  </w:num>
  <w:num w:numId="22">
    <w:abstractNumId w:val="46"/>
  </w:num>
  <w:num w:numId="23">
    <w:abstractNumId w:val="37"/>
  </w:num>
  <w:num w:numId="24">
    <w:abstractNumId w:val="38"/>
  </w:num>
  <w:num w:numId="25">
    <w:abstractNumId w:val="50"/>
  </w:num>
  <w:num w:numId="26">
    <w:abstractNumId w:val="45"/>
  </w:num>
  <w:num w:numId="27">
    <w:abstractNumId w:val="5"/>
  </w:num>
  <w:num w:numId="28">
    <w:abstractNumId w:val="21"/>
  </w:num>
  <w:num w:numId="29">
    <w:abstractNumId w:val="49"/>
  </w:num>
  <w:num w:numId="30">
    <w:abstractNumId w:val="44"/>
  </w:num>
  <w:num w:numId="31">
    <w:abstractNumId w:val="40"/>
  </w:num>
  <w:num w:numId="32">
    <w:abstractNumId w:val="14"/>
  </w:num>
  <w:num w:numId="33">
    <w:abstractNumId w:val="4"/>
  </w:num>
  <w:num w:numId="34">
    <w:abstractNumId w:val="34"/>
  </w:num>
  <w:num w:numId="35">
    <w:abstractNumId w:val="17"/>
  </w:num>
  <w:num w:numId="36">
    <w:abstractNumId w:val="16"/>
  </w:num>
  <w:num w:numId="37">
    <w:abstractNumId w:val="18"/>
  </w:num>
  <w:num w:numId="38">
    <w:abstractNumId w:val="6"/>
  </w:num>
  <w:num w:numId="39">
    <w:abstractNumId w:val="36"/>
  </w:num>
  <w:num w:numId="40">
    <w:abstractNumId w:val="8"/>
  </w:num>
  <w:num w:numId="41">
    <w:abstractNumId w:val="35"/>
  </w:num>
  <w:num w:numId="42">
    <w:abstractNumId w:val="30"/>
  </w:num>
  <w:num w:numId="43">
    <w:abstractNumId w:val="7"/>
  </w:num>
  <w:num w:numId="44">
    <w:abstractNumId w:val="51"/>
  </w:num>
  <w:num w:numId="45">
    <w:abstractNumId w:val="27"/>
  </w:num>
  <w:num w:numId="46">
    <w:abstractNumId w:val="3"/>
  </w:num>
  <w:num w:numId="47">
    <w:abstractNumId w:val="41"/>
  </w:num>
  <w:num w:numId="48">
    <w:abstractNumId w:val="48"/>
  </w:num>
  <w:num w:numId="49">
    <w:abstractNumId w:val="0"/>
  </w:num>
  <w:num w:numId="50">
    <w:abstractNumId w:val="26"/>
  </w:num>
  <w:num w:numId="51">
    <w:abstractNumId w:val="15"/>
  </w:num>
  <w:num w:numId="52">
    <w:abstractNumId w:val="11"/>
  </w:num>
  <w:num w:numId="53">
    <w:abstractNumId w:val="33"/>
  </w:num>
  <w:num w:numId="5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47DC8"/>
    <w:rsid w:val="0008162E"/>
    <w:rsid w:val="000937A1"/>
    <w:rsid w:val="000B77CC"/>
    <w:rsid w:val="000C6212"/>
    <w:rsid w:val="000F4329"/>
    <w:rsid w:val="00103433"/>
    <w:rsid w:val="00103F8C"/>
    <w:rsid w:val="00104D58"/>
    <w:rsid w:val="00120F5E"/>
    <w:rsid w:val="001325B2"/>
    <w:rsid w:val="0015197A"/>
    <w:rsid w:val="00166520"/>
    <w:rsid w:val="001938F9"/>
    <w:rsid w:val="00193AE4"/>
    <w:rsid w:val="001A3CF5"/>
    <w:rsid w:val="001C21AB"/>
    <w:rsid w:val="001D4856"/>
    <w:rsid w:val="001D737F"/>
    <w:rsid w:val="001E6077"/>
    <w:rsid w:val="0020734D"/>
    <w:rsid w:val="002118B4"/>
    <w:rsid w:val="00232946"/>
    <w:rsid w:val="00261A94"/>
    <w:rsid w:val="002640E7"/>
    <w:rsid w:val="0027414E"/>
    <w:rsid w:val="002858DB"/>
    <w:rsid w:val="00290356"/>
    <w:rsid w:val="002A10A9"/>
    <w:rsid w:val="002A6894"/>
    <w:rsid w:val="002B3238"/>
    <w:rsid w:val="002B3A2B"/>
    <w:rsid w:val="002C715D"/>
    <w:rsid w:val="002E24C8"/>
    <w:rsid w:val="002F6424"/>
    <w:rsid w:val="00304160"/>
    <w:rsid w:val="00305BA0"/>
    <w:rsid w:val="00311D8E"/>
    <w:rsid w:val="003155D3"/>
    <w:rsid w:val="00322313"/>
    <w:rsid w:val="00325496"/>
    <w:rsid w:val="0032619C"/>
    <w:rsid w:val="003400FF"/>
    <w:rsid w:val="003625F0"/>
    <w:rsid w:val="0038236E"/>
    <w:rsid w:val="00391E16"/>
    <w:rsid w:val="003A7DB6"/>
    <w:rsid w:val="003B0833"/>
    <w:rsid w:val="003C2C30"/>
    <w:rsid w:val="003D23B1"/>
    <w:rsid w:val="003F27B0"/>
    <w:rsid w:val="00411A50"/>
    <w:rsid w:val="00441598"/>
    <w:rsid w:val="00472847"/>
    <w:rsid w:val="004746CA"/>
    <w:rsid w:val="004821D7"/>
    <w:rsid w:val="00486B38"/>
    <w:rsid w:val="00490720"/>
    <w:rsid w:val="004973CD"/>
    <w:rsid w:val="004B5D89"/>
    <w:rsid w:val="004E59D5"/>
    <w:rsid w:val="004E687D"/>
    <w:rsid w:val="004F353F"/>
    <w:rsid w:val="00503BAB"/>
    <w:rsid w:val="00514886"/>
    <w:rsid w:val="00515529"/>
    <w:rsid w:val="00516FD5"/>
    <w:rsid w:val="00527662"/>
    <w:rsid w:val="0053452D"/>
    <w:rsid w:val="00535855"/>
    <w:rsid w:val="005600C0"/>
    <w:rsid w:val="00571F90"/>
    <w:rsid w:val="00574EA8"/>
    <w:rsid w:val="005823AC"/>
    <w:rsid w:val="005847BA"/>
    <w:rsid w:val="005B1656"/>
    <w:rsid w:val="005B46AD"/>
    <w:rsid w:val="005D1568"/>
    <w:rsid w:val="005D2B35"/>
    <w:rsid w:val="005D3EAB"/>
    <w:rsid w:val="005E1765"/>
    <w:rsid w:val="005F7C0D"/>
    <w:rsid w:val="00606444"/>
    <w:rsid w:val="006127E3"/>
    <w:rsid w:val="00622E5E"/>
    <w:rsid w:val="00624019"/>
    <w:rsid w:val="00644F14"/>
    <w:rsid w:val="00680D76"/>
    <w:rsid w:val="00694CDB"/>
    <w:rsid w:val="006B175B"/>
    <w:rsid w:val="006C2772"/>
    <w:rsid w:val="006D7ADC"/>
    <w:rsid w:val="006E629C"/>
    <w:rsid w:val="006E716D"/>
    <w:rsid w:val="006F10B1"/>
    <w:rsid w:val="006F121F"/>
    <w:rsid w:val="00700D57"/>
    <w:rsid w:val="0071781C"/>
    <w:rsid w:val="00727D44"/>
    <w:rsid w:val="00757D27"/>
    <w:rsid w:val="00774131"/>
    <w:rsid w:val="00780B1C"/>
    <w:rsid w:val="007A35D0"/>
    <w:rsid w:val="007A55E0"/>
    <w:rsid w:val="007D14C6"/>
    <w:rsid w:val="007D1D50"/>
    <w:rsid w:val="007E3766"/>
    <w:rsid w:val="007F047A"/>
    <w:rsid w:val="007F0D16"/>
    <w:rsid w:val="007F1B5F"/>
    <w:rsid w:val="00810E33"/>
    <w:rsid w:val="00830C4A"/>
    <w:rsid w:val="008503A1"/>
    <w:rsid w:val="0085485B"/>
    <w:rsid w:val="00875B5A"/>
    <w:rsid w:val="00893BEB"/>
    <w:rsid w:val="008B0907"/>
    <w:rsid w:val="008B7FD3"/>
    <w:rsid w:val="008C115A"/>
    <w:rsid w:val="008C4056"/>
    <w:rsid w:val="008D1F7E"/>
    <w:rsid w:val="008D2D67"/>
    <w:rsid w:val="008F687B"/>
    <w:rsid w:val="00901B48"/>
    <w:rsid w:val="009030C8"/>
    <w:rsid w:val="00903B64"/>
    <w:rsid w:val="00923364"/>
    <w:rsid w:val="009265EF"/>
    <w:rsid w:val="0094058B"/>
    <w:rsid w:val="00987451"/>
    <w:rsid w:val="00990834"/>
    <w:rsid w:val="00991529"/>
    <w:rsid w:val="009B3794"/>
    <w:rsid w:val="009B7E4D"/>
    <w:rsid w:val="009C53C8"/>
    <w:rsid w:val="009D041F"/>
    <w:rsid w:val="00A13F64"/>
    <w:rsid w:val="00A1531C"/>
    <w:rsid w:val="00A25722"/>
    <w:rsid w:val="00A308FA"/>
    <w:rsid w:val="00A36395"/>
    <w:rsid w:val="00A4696C"/>
    <w:rsid w:val="00A56666"/>
    <w:rsid w:val="00A645B9"/>
    <w:rsid w:val="00A767C3"/>
    <w:rsid w:val="00A92CAB"/>
    <w:rsid w:val="00AB7B66"/>
    <w:rsid w:val="00AC21DA"/>
    <w:rsid w:val="00AE7154"/>
    <w:rsid w:val="00AF307B"/>
    <w:rsid w:val="00B0761C"/>
    <w:rsid w:val="00B27FFA"/>
    <w:rsid w:val="00B35568"/>
    <w:rsid w:val="00B51459"/>
    <w:rsid w:val="00B655C6"/>
    <w:rsid w:val="00B67D5E"/>
    <w:rsid w:val="00B72301"/>
    <w:rsid w:val="00B946C2"/>
    <w:rsid w:val="00BA1A0C"/>
    <w:rsid w:val="00BA1AC7"/>
    <w:rsid w:val="00BB1C04"/>
    <w:rsid w:val="00BB6613"/>
    <w:rsid w:val="00BC05CF"/>
    <w:rsid w:val="00BD3BCB"/>
    <w:rsid w:val="00BD4388"/>
    <w:rsid w:val="00BD4E79"/>
    <w:rsid w:val="00BD778C"/>
    <w:rsid w:val="00BE1695"/>
    <w:rsid w:val="00C0127B"/>
    <w:rsid w:val="00C07246"/>
    <w:rsid w:val="00C10F67"/>
    <w:rsid w:val="00C32FCF"/>
    <w:rsid w:val="00C41010"/>
    <w:rsid w:val="00C575DE"/>
    <w:rsid w:val="00C74B86"/>
    <w:rsid w:val="00C75E50"/>
    <w:rsid w:val="00C84DBB"/>
    <w:rsid w:val="00C9796F"/>
    <w:rsid w:val="00CA3343"/>
    <w:rsid w:val="00CA386A"/>
    <w:rsid w:val="00CA3DA6"/>
    <w:rsid w:val="00CA6283"/>
    <w:rsid w:val="00CB0DE2"/>
    <w:rsid w:val="00CC345E"/>
    <w:rsid w:val="00CD36E7"/>
    <w:rsid w:val="00CD3AA5"/>
    <w:rsid w:val="00CD3B28"/>
    <w:rsid w:val="00CD721D"/>
    <w:rsid w:val="00CE5AA9"/>
    <w:rsid w:val="00D16A90"/>
    <w:rsid w:val="00D46313"/>
    <w:rsid w:val="00D515BC"/>
    <w:rsid w:val="00D70F83"/>
    <w:rsid w:val="00D74B86"/>
    <w:rsid w:val="00D752DB"/>
    <w:rsid w:val="00D75FAA"/>
    <w:rsid w:val="00D818F0"/>
    <w:rsid w:val="00D81D1B"/>
    <w:rsid w:val="00D82701"/>
    <w:rsid w:val="00D92E1D"/>
    <w:rsid w:val="00DB3863"/>
    <w:rsid w:val="00DD1F16"/>
    <w:rsid w:val="00DE23CD"/>
    <w:rsid w:val="00DE3A45"/>
    <w:rsid w:val="00DF0AB0"/>
    <w:rsid w:val="00E04789"/>
    <w:rsid w:val="00E06BAB"/>
    <w:rsid w:val="00E128F2"/>
    <w:rsid w:val="00E1444E"/>
    <w:rsid w:val="00E203FA"/>
    <w:rsid w:val="00E27FC7"/>
    <w:rsid w:val="00E34A1F"/>
    <w:rsid w:val="00E409E1"/>
    <w:rsid w:val="00E72702"/>
    <w:rsid w:val="00E92943"/>
    <w:rsid w:val="00E962DB"/>
    <w:rsid w:val="00EB755F"/>
    <w:rsid w:val="00EC09D2"/>
    <w:rsid w:val="00EC409A"/>
    <w:rsid w:val="00ED18EA"/>
    <w:rsid w:val="00ED3104"/>
    <w:rsid w:val="00ED39C0"/>
    <w:rsid w:val="00EE529C"/>
    <w:rsid w:val="00EE6EE0"/>
    <w:rsid w:val="00F4221E"/>
    <w:rsid w:val="00F647BB"/>
    <w:rsid w:val="00F65F4A"/>
    <w:rsid w:val="00F76D30"/>
    <w:rsid w:val="00F93D38"/>
    <w:rsid w:val="00FE0D5C"/>
    <w:rsid w:val="00FE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ADA59E"/>
  <w15:docId w15:val="{AAF7B975-AB71-4A01-853D-8E7EF864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7B"/>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D4856"/>
    <w:pPr>
      <w:keepNext/>
      <w:outlineLvl w:val="0"/>
    </w:pPr>
    <w:rPr>
      <w:b/>
      <w:bCs/>
      <w:sz w:val="24"/>
    </w:rPr>
  </w:style>
  <w:style w:type="paragraph" w:styleId="Heading3">
    <w:name w:val="heading 3"/>
    <w:basedOn w:val="Normal"/>
    <w:next w:val="Normal"/>
    <w:link w:val="Heading3Char"/>
    <w:semiHidden/>
    <w:unhideWhenUsed/>
    <w:qFormat/>
    <w:rsid w:val="002858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858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99"/>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D16A90"/>
    <w:pPr>
      <w:spacing w:after="120"/>
    </w:pPr>
  </w:style>
  <w:style w:type="character" w:customStyle="1" w:styleId="BodyTextChar">
    <w:name w:val="Body Text Char"/>
    <w:basedOn w:val="DefaultParagraphFont"/>
    <w:link w:val="BodyText"/>
    <w:uiPriority w:val="1"/>
    <w:rsid w:val="00D16A90"/>
    <w:rPr>
      <w:szCs w:val="24"/>
    </w:rPr>
  </w:style>
  <w:style w:type="character" w:styleId="CommentReference">
    <w:name w:val="annotation reference"/>
    <w:basedOn w:val="DefaultParagraphFont"/>
    <w:rsid w:val="00E72702"/>
    <w:rPr>
      <w:sz w:val="16"/>
      <w:szCs w:val="16"/>
    </w:rPr>
  </w:style>
  <w:style w:type="paragraph" w:styleId="CommentText">
    <w:name w:val="annotation text"/>
    <w:basedOn w:val="Normal"/>
    <w:link w:val="CommentTextChar"/>
    <w:rsid w:val="00E72702"/>
    <w:rPr>
      <w:szCs w:val="20"/>
    </w:rPr>
  </w:style>
  <w:style w:type="character" w:customStyle="1" w:styleId="CommentTextChar">
    <w:name w:val="Comment Text Char"/>
    <w:basedOn w:val="DefaultParagraphFont"/>
    <w:link w:val="CommentText"/>
    <w:rsid w:val="00E72702"/>
  </w:style>
  <w:style w:type="paragraph" w:styleId="CommentSubject">
    <w:name w:val="annotation subject"/>
    <w:basedOn w:val="CommentText"/>
    <w:next w:val="CommentText"/>
    <w:link w:val="CommentSubjectChar"/>
    <w:rsid w:val="00E72702"/>
    <w:rPr>
      <w:b/>
      <w:bCs/>
    </w:rPr>
  </w:style>
  <w:style w:type="character" w:customStyle="1" w:styleId="CommentSubjectChar">
    <w:name w:val="Comment Subject Char"/>
    <w:basedOn w:val="CommentTextChar"/>
    <w:link w:val="CommentSubject"/>
    <w:rsid w:val="00E72702"/>
    <w:rPr>
      <w:b/>
      <w:bCs/>
    </w:rPr>
  </w:style>
  <w:style w:type="character" w:styleId="FollowedHyperlink">
    <w:name w:val="FollowedHyperlink"/>
    <w:basedOn w:val="DefaultParagraphFont"/>
    <w:rsid w:val="00903B64"/>
    <w:rPr>
      <w:color w:val="800080" w:themeColor="followedHyperlink"/>
      <w:u w:val="single"/>
    </w:rPr>
  </w:style>
  <w:style w:type="character" w:customStyle="1" w:styleId="rwrro">
    <w:name w:val="rwrro"/>
    <w:basedOn w:val="DefaultParagraphFont"/>
    <w:rsid w:val="00047DC8"/>
    <w:rPr>
      <w:strike w:val="0"/>
      <w:dstrike w:val="0"/>
      <w:color w:val="3F52B8"/>
      <w:u w:val="none"/>
      <w:effect w:val="none"/>
    </w:rPr>
  </w:style>
  <w:style w:type="paragraph" w:styleId="FootnoteText">
    <w:name w:val="footnote text"/>
    <w:basedOn w:val="Normal"/>
    <w:link w:val="FootnoteTextChar"/>
    <w:rsid w:val="00527662"/>
    <w:rPr>
      <w:szCs w:val="20"/>
    </w:rPr>
  </w:style>
  <w:style w:type="character" w:customStyle="1" w:styleId="FootnoteTextChar">
    <w:name w:val="Footnote Text Char"/>
    <w:basedOn w:val="DefaultParagraphFont"/>
    <w:link w:val="FootnoteText"/>
    <w:rsid w:val="00527662"/>
  </w:style>
  <w:style w:type="numbering" w:customStyle="1" w:styleId="NoList1">
    <w:name w:val="No List1"/>
    <w:next w:val="NoList"/>
    <w:uiPriority w:val="99"/>
    <w:semiHidden/>
    <w:unhideWhenUsed/>
    <w:rsid w:val="00516FD5"/>
  </w:style>
  <w:style w:type="character" w:customStyle="1" w:styleId="Heading1Char">
    <w:name w:val="Heading 1 Char"/>
    <w:basedOn w:val="DefaultParagraphFont"/>
    <w:link w:val="Heading1"/>
    <w:uiPriority w:val="1"/>
    <w:rsid w:val="00516FD5"/>
    <w:rPr>
      <w:b/>
      <w:bCs/>
      <w:sz w:val="24"/>
      <w:szCs w:val="24"/>
    </w:rPr>
  </w:style>
  <w:style w:type="paragraph" w:customStyle="1" w:styleId="TableParagraph">
    <w:name w:val="Table Paragraph"/>
    <w:basedOn w:val="Normal"/>
    <w:uiPriority w:val="1"/>
    <w:qFormat/>
    <w:rsid w:val="00516FD5"/>
    <w:pPr>
      <w:autoSpaceDE/>
      <w:autoSpaceDN/>
      <w:adjustRightInd/>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5D3EAB"/>
  </w:style>
  <w:style w:type="table" w:customStyle="1" w:styleId="TableGrid1">
    <w:name w:val="Table Grid1"/>
    <w:basedOn w:val="TableNormal"/>
    <w:next w:val="TableGrid"/>
    <w:uiPriority w:val="59"/>
    <w:rsid w:val="004821D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2858DB"/>
    <w:rPr>
      <w:rFonts w:asciiTheme="majorHAnsi" w:eastAsiaTheme="majorEastAsia" w:hAnsiTheme="majorHAnsi" w:cstheme="majorBidi"/>
      <w:b/>
      <w:bCs/>
      <w:i/>
      <w:iCs/>
      <w:color w:val="4F81BD" w:themeColor="accent1"/>
      <w:szCs w:val="24"/>
    </w:rPr>
  </w:style>
  <w:style w:type="character" w:customStyle="1" w:styleId="Heading3Char">
    <w:name w:val="Heading 3 Char"/>
    <w:basedOn w:val="DefaultParagraphFont"/>
    <w:link w:val="Heading3"/>
    <w:uiPriority w:val="99"/>
    <w:rsid w:val="002858DB"/>
    <w:rPr>
      <w:rFonts w:asciiTheme="majorHAnsi" w:eastAsiaTheme="majorEastAsia" w:hAnsiTheme="majorHAnsi" w:cstheme="majorBidi"/>
      <w:b/>
      <w:bCs/>
      <w:color w:val="4F81BD" w:themeColor="accent1"/>
      <w:szCs w:val="24"/>
    </w:rPr>
  </w:style>
  <w:style w:type="paragraph" w:styleId="Header">
    <w:name w:val="header"/>
    <w:basedOn w:val="Normal"/>
    <w:link w:val="HeaderChar"/>
    <w:unhideWhenUsed/>
    <w:rsid w:val="00E1444E"/>
    <w:pPr>
      <w:tabs>
        <w:tab w:val="center" w:pos="4680"/>
        <w:tab w:val="right" w:pos="9360"/>
      </w:tabs>
    </w:pPr>
  </w:style>
  <w:style w:type="character" w:customStyle="1" w:styleId="HeaderChar">
    <w:name w:val="Header Char"/>
    <w:basedOn w:val="DefaultParagraphFont"/>
    <w:link w:val="Header"/>
    <w:rsid w:val="00E1444E"/>
    <w:rPr>
      <w:szCs w:val="24"/>
    </w:rPr>
  </w:style>
  <w:style w:type="paragraph" w:styleId="Footer">
    <w:name w:val="footer"/>
    <w:basedOn w:val="Normal"/>
    <w:link w:val="FooterChar"/>
    <w:uiPriority w:val="99"/>
    <w:unhideWhenUsed/>
    <w:rsid w:val="00E1444E"/>
    <w:pPr>
      <w:tabs>
        <w:tab w:val="center" w:pos="4680"/>
        <w:tab w:val="right" w:pos="9360"/>
      </w:tabs>
    </w:pPr>
  </w:style>
  <w:style w:type="character" w:customStyle="1" w:styleId="FooterChar">
    <w:name w:val="Footer Char"/>
    <w:basedOn w:val="DefaultParagraphFont"/>
    <w:link w:val="Footer"/>
    <w:uiPriority w:val="99"/>
    <w:rsid w:val="00E1444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0976">
      <w:bodyDiv w:val="1"/>
      <w:marLeft w:val="0"/>
      <w:marRight w:val="0"/>
      <w:marTop w:val="0"/>
      <w:marBottom w:val="0"/>
      <w:divBdr>
        <w:top w:val="none" w:sz="0" w:space="0" w:color="auto"/>
        <w:left w:val="none" w:sz="0" w:space="0" w:color="auto"/>
        <w:bottom w:val="none" w:sz="0" w:space="0" w:color="auto"/>
        <w:right w:val="none" w:sz="0" w:space="0" w:color="auto"/>
      </w:divBdr>
    </w:div>
    <w:div w:id="170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ondheimer@aam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ford@fammed.washington.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DEEB775-BF12-4B7D-A16B-29EEEA5C01D4}">
  <ds:schemaRefs>
    <ds:schemaRef ds:uri="http://schemas.microsoft.com/sharepoint/v3/contenttype/forms"/>
  </ds:schemaRefs>
</ds:datastoreItem>
</file>

<file path=customXml/itemProps2.xml><?xml version="1.0" encoding="utf-8"?>
<ds:datastoreItem xmlns:ds="http://schemas.openxmlformats.org/officeDocument/2006/customXml" ds:itemID="{26F08C74-1B75-4A12-BD47-6AE9D0B3C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0DEF04-6759-4132-916D-B5CCAC22C32D}">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BD5387A-6E77-4A78-94A2-B61AFAF2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3624</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24384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Bowman, Elyana (HRSA)</cp:lastModifiedBy>
  <cp:revision>12</cp:revision>
  <cp:lastPrinted>2016-12-20T14:47:00Z</cp:lastPrinted>
  <dcterms:created xsi:type="dcterms:W3CDTF">2016-11-29T14:55:00Z</dcterms:created>
  <dcterms:modified xsi:type="dcterms:W3CDTF">2016-12-28T19:08:00Z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