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E54B8" w14:textId="77777777" w:rsidR="004F0190" w:rsidRPr="00EA11F2" w:rsidRDefault="004F0190" w:rsidP="00842AB1">
      <w:r w:rsidRPr="00EA11F2">
        <w:tab/>
      </w:r>
      <w:r w:rsidRPr="00EA11F2">
        <w:tab/>
      </w:r>
      <w:r w:rsidRPr="00EA11F2">
        <w:tab/>
      </w:r>
      <w:r w:rsidRPr="00EA11F2">
        <w:tab/>
      </w:r>
      <w:r w:rsidRPr="00EA11F2">
        <w:tab/>
      </w:r>
      <w:r w:rsidRPr="00EA11F2">
        <w:tab/>
      </w:r>
      <w:r w:rsidRPr="00EA11F2">
        <w:tab/>
      </w:r>
      <w:r w:rsidRPr="00EA11F2">
        <w:tab/>
      </w:r>
      <w:r w:rsidRPr="00EA11F2">
        <w:tab/>
      </w:r>
    </w:p>
    <w:p w14:paraId="02C089FC" w14:textId="1CF4DD81" w:rsidR="0004335C" w:rsidRPr="00EA11F2" w:rsidRDefault="004F0190" w:rsidP="004F0190">
      <w:pPr>
        <w:ind w:left="5760" w:firstLine="720"/>
      </w:pPr>
      <w:r w:rsidRPr="00EA11F2">
        <w:t>2140-00</w:t>
      </w:r>
      <w:r w:rsidR="007443E8" w:rsidRPr="00B24C47">
        <w:t>33</w:t>
      </w:r>
    </w:p>
    <w:p w14:paraId="2F7A2ACA" w14:textId="50D75BE7" w:rsidR="0004335C" w:rsidRDefault="00632F15">
      <w:pPr>
        <w:ind w:firstLine="6480"/>
      </w:pPr>
      <w:r>
        <w:t>December</w:t>
      </w:r>
      <w:r w:rsidRPr="00EA11F2">
        <w:t xml:space="preserve"> </w:t>
      </w:r>
      <w:r w:rsidR="00251F5F" w:rsidRPr="00EA11F2">
        <w:t>201</w:t>
      </w:r>
      <w:r w:rsidR="00D52848" w:rsidRPr="00EA11F2">
        <w:t>6</w:t>
      </w:r>
    </w:p>
    <w:p w14:paraId="7980BCE6" w14:textId="14E83D28" w:rsidR="00184FA6" w:rsidRPr="00EA11F2" w:rsidRDefault="00CB4BEB" w:rsidP="00184FA6">
      <w:pPr>
        <w:ind w:firstLine="6480"/>
      </w:pPr>
      <w:r>
        <w:t xml:space="preserve">(Updated </w:t>
      </w:r>
      <w:r w:rsidR="00863461">
        <w:t>June</w:t>
      </w:r>
      <w:r>
        <w:t xml:space="preserve"> 2017)</w:t>
      </w:r>
    </w:p>
    <w:p w14:paraId="7CC86198" w14:textId="77777777" w:rsidR="0004335C" w:rsidRPr="00EA11F2" w:rsidRDefault="0004335C"/>
    <w:p w14:paraId="2E550FBD" w14:textId="77777777" w:rsidR="0004335C" w:rsidRPr="00EA11F2" w:rsidRDefault="0004335C"/>
    <w:p w14:paraId="2CCC0988" w14:textId="4EDFC6D8" w:rsidR="004F0190" w:rsidRPr="00EA11F2" w:rsidRDefault="004F0190" w:rsidP="00565514">
      <w:pPr>
        <w:jc w:val="center"/>
        <w:rPr>
          <w:b/>
        </w:rPr>
      </w:pPr>
      <w:r w:rsidRPr="00EA11F2">
        <w:rPr>
          <w:b/>
        </w:rPr>
        <w:t>SUPPORTING STATEMENT</w:t>
      </w:r>
    </w:p>
    <w:p w14:paraId="79DC22C8" w14:textId="5C77190D" w:rsidR="004F0190" w:rsidRPr="00EA11F2" w:rsidRDefault="004F0190" w:rsidP="00565514">
      <w:pPr>
        <w:jc w:val="center"/>
        <w:rPr>
          <w:b/>
        </w:rPr>
      </w:pPr>
      <w:r w:rsidRPr="00EA11F2">
        <w:rPr>
          <w:b/>
        </w:rPr>
        <w:t>FOR REQUEST OF OMB APPROVAL</w:t>
      </w:r>
    </w:p>
    <w:p w14:paraId="48DFC9FF" w14:textId="77777777" w:rsidR="004F0190" w:rsidRPr="00EA11F2" w:rsidRDefault="004F0190" w:rsidP="004F0190">
      <w:pPr>
        <w:widowControl/>
        <w:tabs>
          <w:tab w:val="center" w:pos="4680"/>
        </w:tabs>
        <w:jc w:val="center"/>
        <w:rPr>
          <w:b/>
          <w:bCs/>
        </w:rPr>
      </w:pPr>
      <w:r w:rsidRPr="00EA11F2">
        <w:rPr>
          <w:b/>
        </w:rPr>
        <w:t xml:space="preserve">UNDER THE PAPERWORK REDUCTION ACT AND 5 C.F.R. § </w:t>
      </w:r>
      <w:r w:rsidRPr="00EA11F2">
        <w:rPr>
          <w:b/>
          <w:bCs/>
        </w:rPr>
        <w:t>1320</w:t>
      </w:r>
    </w:p>
    <w:p w14:paraId="6008F2B8" w14:textId="0E7F46D9" w:rsidR="004F0190" w:rsidRPr="00EA11F2" w:rsidRDefault="004F0190" w:rsidP="004F0190">
      <w:pPr>
        <w:rPr>
          <w:b/>
        </w:rPr>
      </w:pPr>
    </w:p>
    <w:p w14:paraId="2CDED41C" w14:textId="61623EC0" w:rsidR="0004335C" w:rsidRPr="004B1B0D" w:rsidRDefault="004F0190" w:rsidP="00DA58E7">
      <w:pPr>
        <w:ind w:firstLine="720"/>
      </w:pPr>
      <w:r w:rsidRPr="00EA11F2">
        <w:t xml:space="preserve">The Surface Transportation Board (STB or Board) </w:t>
      </w:r>
      <w:r w:rsidR="00971284" w:rsidRPr="00EA11F2">
        <w:t xml:space="preserve">seeks approval for its </w:t>
      </w:r>
      <w:r w:rsidR="00CA2A2D">
        <w:t>final rule</w:t>
      </w:r>
      <w:r w:rsidR="00971284" w:rsidRPr="00EA11F2">
        <w:t xml:space="preserve"> requiring the </w:t>
      </w:r>
      <w:r w:rsidR="007A0071">
        <w:t xml:space="preserve">nation’s </w:t>
      </w:r>
      <w:r w:rsidR="00971284" w:rsidRPr="00EA11F2">
        <w:t xml:space="preserve">seven Class I (large) railroads </w:t>
      </w:r>
      <w:r w:rsidR="00DA58E7" w:rsidRPr="006F3130">
        <w:t>and the Chicago Tra</w:t>
      </w:r>
      <w:r w:rsidR="00DA58E7">
        <w:t>nsportation Coordination Office</w:t>
      </w:r>
      <w:r w:rsidR="00D859F5">
        <w:t xml:space="preserve"> (CTCO)</w:t>
      </w:r>
      <w:r w:rsidR="00DA58E7" w:rsidRPr="006F3130">
        <w:t xml:space="preserve">, through its Class I members, </w:t>
      </w:r>
      <w:r w:rsidR="00A61F41" w:rsidRPr="00BB58CF">
        <w:t xml:space="preserve">to report certain railroad service performance metrics on a weekly basis and certain other information on a semiannual and occasional basis under 49 C.F.R. Part 1250 – </w:t>
      </w:r>
      <w:r w:rsidR="00A61F41" w:rsidRPr="004D4BC6">
        <w:rPr>
          <w:u w:val="single"/>
        </w:rPr>
        <w:t>Railroad Performance Data Reporting</w:t>
      </w:r>
      <w:r w:rsidR="00DA58E7" w:rsidRPr="004B1B0D">
        <w:t>.</w:t>
      </w:r>
    </w:p>
    <w:p w14:paraId="055E0124" w14:textId="77777777" w:rsidR="00DF6B91" w:rsidRPr="004B1B0D" w:rsidRDefault="00DF6B91" w:rsidP="00DA58E7">
      <w:pPr>
        <w:ind w:firstLine="720"/>
      </w:pPr>
    </w:p>
    <w:p w14:paraId="7B7C0811" w14:textId="77777777" w:rsidR="0004335C" w:rsidRPr="004B1B0D" w:rsidRDefault="0004335C" w:rsidP="00FB3F7F">
      <w:pPr>
        <w:rPr>
          <w:b/>
          <w:bCs/>
          <w:u w:val="single"/>
        </w:rPr>
      </w:pPr>
      <w:r w:rsidRPr="004B1B0D">
        <w:rPr>
          <w:b/>
          <w:bCs/>
        </w:rPr>
        <w:t xml:space="preserve">A.  </w:t>
      </w:r>
      <w:r w:rsidRPr="004B1B0D">
        <w:rPr>
          <w:b/>
          <w:bCs/>
          <w:u w:val="single"/>
        </w:rPr>
        <w:t>Justification</w:t>
      </w:r>
      <w:r w:rsidRPr="004B1B0D">
        <w:rPr>
          <w:b/>
          <w:bCs/>
        </w:rPr>
        <w:t>:</w:t>
      </w:r>
    </w:p>
    <w:p w14:paraId="604E6278" w14:textId="77777777" w:rsidR="0004335C" w:rsidRPr="004B1B0D" w:rsidRDefault="0004335C" w:rsidP="00FB3F7F">
      <w:pPr>
        <w:rPr>
          <w:b/>
          <w:bCs/>
          <w:u w:val="single"/>
        </w:rPr>
      </w:pPr>
    </w:p>
    <w:p w14:paraId="71A80F62" w14:textId="0DAA073D" w:rsidR="000158C3" w:rsidRDefault="0004335C" w:rsidP="004B1B0D">
      <w:pPr>
        <w:pStyle w:val="Default"/>
        <w:ind w:firstLine="720"/>
      </w:pPr>
      <w:r w:rsidRPr="004B1B0D">
        <w:t xml:space="preserve">1.  </w:t>
      </w:r>
      <w:r w:rsidR="00A901C1" w:rsidRPr="004B1B0D">
        <w:rPr>
          <w:u w:val="single"/>
        </w:rPr>
        <w:t>Need for Information in Collection</w:t>
      </w:r>
      <w:r w:rsidR="00FC4786" w:rsidRPr="004B1B0D">
        <w:t xml:space="preserve">.  </w:t>
      </w:r>
      <w:r w:rsidR="00971284" w:rsidRPr="004B1B0D">
        <w:t xml:space="preserve">The Board is, by statute, responsible for economic regulation of common carrier railroads operating in the United States. </w:t>
      </w:r>
      <w:r w:rsidR="000158C3">
        <w:t xml:space="preserve"> </w:t>
      </w:r>
      <w:r w:rsidR="004B1B0D" w:rsidRPr="004B1B0D">
        <w:t xml:space="preserve">The shipping </w:t>
      </w:r>
      <w:r w:rsidR="00CB623E">
        <w:t>public</w:t>
      </w:r>
      <w:r w:rsidR="00CB623E" w:rsidRPr="004B1B0D">
        <w:t xml:space="preserve"> </w:t>
      </w:r>
      <w:r w:rsidR="004B1B0D" w:rsidRPr="004B1B0D">
        <w:t xml:space="preserve">and the </w:t>
      </w:r>
      <w:r w:rsidR="00020F88">
        <w:t>N</w:t>
      </w:r>
      <w:r w:rsidR="004B1B0D" w:rsidRPr="004B1B0D">
        <w:t>ation’s economy</w:t>
      </w:r>
      <w:r w:rsidR="000001DE">
        <w:t xml:space="preserve"> </w:t>
      </w:r>
      <w:proofErr w:type="gramStart"/>
      <w:r w:rsidR="000001DE">
        <w:t>as a whole</w:t>
      </w:r>
      <w:r w:rsidR="004B1B0D" w:rsidRPr="004B1B0D">
        <w:t xml:space="preserve"> depend</w:t>
      </w:r>
      <w:proofErr w:type="gramEnd"/>
      <w:r w:rsidR="004B1B0D" w:rsidRPr="004B1B0D">
        <w:t xml:space="preserve"> upon reliable, consistent</w:t>
      </w:r>
      <w:r w:rsidR="00020F88">
        <w:t>,</w:t>
      </w:r>
      <w:r w:rsidR="004B1B0D" w:rsidRPr="004B1B0D">
        <w:t xml:space="preserve"> and efficient freight rail service.  </w:t>
      </w:r>
      <w:r w:rsidR="000001DE">
        <w:t xml:space="preserve">In </w:t>
      </w:r>
      <w:r w:rsidR="004B1B0D" w:rsidRPr="004B1B0D">
        <w:t>2013</w:t>
      </w:r>
      <w:r w:rsidR="000158C3">
        <w:t xml:space="preserve"> and </w:t>
      </w:r>
      <w:r w:rsidR="004B1B0D" w:rsidRPr="004B1B0D">
        <w:t xml:space="preserve">2014, </w:t>
      </w:r>
      <w:r w:rsidR="000158C3">
        <w:t xml:space="preserve">the </w:t>
      </w:r>
      <w:r w:rsidR="00020F88">
        <w:t>N</w:t>
      </w:r>
      <w:r w:rsidR="000158C3">
        <w:t xml:space="preserve">ation experienced a </w:t>
      </w:r>
      <w:r w:rsidR="00C34EB3">
        <w:t>severe det</w:t>
      </w:r>
      <w:r w:rsidR="001168A9">
        <w:t>er</w:t>
      </w:r>
      <w:r w:rsidR="00C34EB3">
        <w:t xml:space="preserve">ioration </w:t>
      </w:r>
      <w:r w:rsidR="000158C3">
        <w:t>in rail service</w:t>
      </w:r>
      <w:r w:rsidR="00020F88">
        <w:t>,</w:t>
      </w:r>
      <w:r w:rsidR="00DF12C0">
        <w:t xml:space="preserve"> with </w:t>
      </w:r>
      <w:r w:rsidR="00DF12C0" w:rsidRPr="007D6186">
        <w:t>widespread service problems</w:t>
      </w:r>
      <w:r w:rsidR="008234CE">
        <w:t xml:space="preserve"> affecting a broad</w:t>
      </w:r>
      <w:r w:rsidR="008234CE" w:rsidRPr="00E603A8">
        <w:t xml:space="preserve"> range of commodities, including grain, fertilizer, ethanol, coal, automobiles, chemicals, propane, consumer goods, crude oil, and industrial </w:t>
      </w:r>
      <w:r w:rsidR="008234CE">
        <w:t>products</w:t>
      </w:r>
      <w:r w:rsidR="000158C3">
        <w:t xml:space="preserve">.  In </w:t>
      </w:r>
      <w:r w:rsidR="00CB41D1">
        <w:t>April 2014</w:t>
      </w:r>
      <w:r w:rsidR="000158C3">
        <w:t>, t</w:t>
      </w:r>
      <w:r w:rsidR="000158C3" w:rsidRPr="00E603A8">
        <w:t xml:space="preserve">he Board initiated </w:t>
      </w:r>
      <w:r w:rsidR="00A61F41">
        <w:t>an oversight</w:t>
      </w:r>
      <w:r w:rsidR="000158C3" w:rsidRPr="00E603A8">
        <w:t xml:space="preserve"> proceeding </w:t>
      </w:r>
      <w:r w:rsidR="008234CE">
        <w:t>to ascertain the scope and magnitude of the</w:t>
      </w:r>
      <w:r w:rsidR="000158C3" w:rsidRPr="00E603A8">
        <w:t xml:space="preserve"> problems</w:t>
      </w:r>
      <w:r w:rsidR="008234CE">
        <w:t xml:space="preserve">, and to facilitate </w:t>
      </w:r>
      <w:r w:rsidR="00BC603E">
        <w:t>the railroad industry’s recovery efforts</w:t>
      </w:r>
      <w:r w:rsidR="000158C3" w:rsidRPr="00E603A8">
        <w:t>.</w:t>
      </w:r>
      <w:r w:rsidR="00DF12C0">
        <w:t xml:space="preserve">  </w:t>
      </w:r>
    </w:p>
    <w:p w14:paraId="68E36CDA" w14:textId="77777777" w:rsidR="000158C3" w:rsidRDefault="000158C3" w:rsidP="000158C3">
      <w:pPr>
        <w:pStyle w:val="Default"/>
      </w:pPr>
    </w:p>
    <w:p w14:paraId="44F7A692" w14:textId="28AC0FC7" w:rsidR="00D859F5" w:rsidRDefault="001168A9" w:rsidP="000158C3">
      <w:pPr>
        <w:pStyle w:val="Default"/>
        <w:ind w:firstLine="720"/>
      </w:pPr>
      <w:r>
        <w:t>In the oversight proceeding</w:t>
      </w:r>
      <w:r w:rsidR="000158C3">
        <w:t xml:space="preserve">, </w:t>
      </w:r>
      <w:r w:rsidR="004B1B0D" w:rsidRPr="004B1B0D">
        <w:t>the Board implemented performance data reporting to monitor and track the progress of railroads’ efforts</w:t>
      </w:r>
      <w:r w:rsidR="00CB623E">
        <w:t xml:space="preserve"> to restore service</w:t>
      </w:r>
      <w:r w:rsidR="004B1B0D" w:rsidRPr="004B1B0D">
        <w:t xml:space="preserve">.  </w:t>
      </w:r>
      <w:r w:rsidR="00DF12C0">
        <w:t>To</w:t>
      </w:r>
      <w:r w:rsidR="00DF12C0" w:rsidRPr="007D6186">
        <w:t xml:space="preserve"> remedy a lack of readily available performance data, the Board asked the Class I </w:t>
      </w:r>
      <w:r w:rsidR="00020F88">
        <w:t xml:space="preserve">(i.e., large) </w:t>
      </w:r>
      <w:r w:rsidR="00DF12C0" w:rsidRPr="007D6186">
        <w:t xml:space="preserve">railroads in October 2014 to report publicly certain data on an interim basis, such as average train speed, average terminal dwell time, cars online, dwell time at origin, </w:t>
      </w:r>
      <w:r w:rsidR="008234CE">
        <w:t xml:space="preserve">numbers of trains holding, </w:t>
      </w:r>
      <w:r w:rsidR="00DF12C0" w:rsidRPr="007D6186">
        <w:t>and coal and agricultural products loading statistics.</w:t>
      </w:r>
      <w:r w:rsidR="00DF12C0">
        <w:t xml:space="preserve"> </w:t>
      </w:r>
      <w:r w:rsidR="00DF12C0" w:rsidRPr="007D6186">
        <w:t xml:space="preserve"> </w:t>
      </w:r>
      <w:r w:rsidR="004B1B0D" w:rsidRPr="004B1B0D">
        <w:t>The interim order expressly contemplated a subsequent notice</w:t>
      </w:r>
      <w:r w:rsidR="00385E12">
        <w:t>-</w:t>
      </w:r>
      <w:r w:rsidR="004B1B0D" w:rsidRPr="004B1B0D">
        <w:t>and</w:t>
      </w:r>
      <w:r w:rsidR="00385E12">
        <w:t>-</w:t>
      </w:r>
      <w:r w:rsidR="004B1B0D" w:rsidRPr="004B1B0D">
        <w:t xml:space="preserve">comment rulemaking.  </w:t>
      </w:r>
    </w:p>
    <w:p w14:paraId="767E195A" w14:textId="77777777" w:rsidR="00D859F5" w:rsidRDefault="00D859F5" w:rsidP="000158C3">
      <w:pPr>
        <w:pStyle w:val="Default"/>
        <w:ind w:firstLine="720"/>
      </w:pPr>
    </w:p>
    <w:p w14:paraId="4C464A56" w14:textId="2CB49914" w:rsidR="0047042D" w:rsidRDefault="00561DAE" w:rsidP="004B1B0D">
      <w:pPr>
        <w:pStyle w:val="Default"/>
        <w:ind w:firstLine="720"/>
      </w:pPr>
      <w:r>
        <w:t xml:space="preserve">After </w:t>
      </w:r>
      <w:r w:rsidR="00B21B51">
        <w:t xml:space="preserve">significant input from </w:t>
      </w:r>
      <w:r w:rsidR="00D26576">
        <w:t>rail</w:t>
      </w:r>
      <w:r w:rsidR="00D859F5">
        <w:t>roads</w:t>
      </w:r>
      <w:r w:rsidR="00D26576">
        <w:t xml:space="preserve"> and shipper</w:t>
      </w:r>
      <w:r w:rsidR="00D859F5">
        <w:t>s</w:t>
      </w:r>
      <w:r w:rsidR="00455274">
        <w:t xml:space="preserve">, modifications based on public comments, and </w:t>
      </w:r>
      <w:r w:rsidR="00455274" w:rsidRPr="007D6186">
        <w:t>the Board’s experience with the data reported under the interim order</w:t>
      </w:r>
      <w:r w:rsidR="00B21B51">
        <w:t xml:space="preserve">, the Board issued </w:t>
      </w:r>
      <w:r w:rsidR="008234CE">
        <w:t xml:space="preserve">the </w:t>
      </w:r>
      <w:r w:rsidR="00B21B51">
        <w:t xml:space="preserve">final rule </w:t>
      </w:r>
      <w:r w:rsidR="00B21B51" w:rsidRPr="004B1B0D">
        <w:t>codified at 49 C.F.R. Part 1250</w:t>
      </w:r>
      <w:r w:rsidR="00B21B51">
        <w:t>.</w:t>
      </w:r>
      <w:r w:rsidR="00E023CB">
        <w:t xml:space="preserve">  See </w:t>
      </w:r>
      <w:r w:rsidR="00E023CB" w:rsidRPr="00E023CB">
        <w:t xml:space="preserve">U.S. Rail Serv. Issues—Performance Data Reporting, EP 724 (Sub-No. 4) </w:t>
      </w:r>
      <w:r w:rsidR="00E023CB" w:rsidRPr="00D540DD">
        <w:t>81 Fed. Reg. 87472 (</w:t>
      </w:r>
      <w:r w:rsidR="00F9114C">
        <w:t>Nov. 30</w:t>
      </w:r>
      <w:r w:rsidR="00E023CB" w:rsidRPr="00D540DD">
        <w:t>, 2016)</w:t>
      </w:r>
      <w:r w:rsidR="00E023CB">
        <w:t>.</w:t>
      </w:r>
      <w:r w:rsidR="00D859F5">
        <w:t xml:space="preserve">  </w:t>
      </w:r>
      <w:r w:rsidR="00385E12">
        <w:t>T</w:t>
      </w:r>
      <w:r w:rsidR="00B24D53">
        <w:t>h</w:t>
      </w:r>
      <w:r w:rsidR="00D859F5">
        <w:t>e</w:t>
      </w:r>
      <w:r w:rsidR="0047042D">
        <w:t xml:space="preserve"> final regulations </w:t>
      </w:r>
      <w:r w:rsidR="008234CE">
        <w:t xml:space="preserve">required railroads to </w:t>
      </w:r>
      <w:r w:rsidR="008234CE" w:rsidRPr="00BB58CF">
        <w:t>report certain railroad service performance metrics on a weekly basis and certain other information on a semiannual and occasional basis</w:t>
      </w:r>
      <w:r w:rsidR="00D26576">
        <w:t>.  These are outlined below:</w:t>
      </w:r>
    </w:p>
    <w:p w14:paraId="43DF3393" w14:textId="77777777" w:rsidR="0047042D" w:rsidRDefault="0047042D" w:rsidP="004B1B0D">
      <w:pPr>
        <w:pStyle w:val="Default"/>
        <w:ind w:firstLine="720"/>
      </w:pPr>
    </w:p>
    <w:p w14:paraId="2B07EF60" w14:textId="556AA6FB" w:rsidR="004B1B0D" w:rsidRPr="004B1B0D" w:rsidRDefault="00D26576" w:rsidP="00D859F5">
      <w:pPr>
        <w:pStyle w:val="Default"/>
        <w:numPr>
          <w:ilvl w:val="0"/>
          <w:numId w:val="5"/>
        </w:numPr>
      </w:pPr>
      <w:r>
        <w:rPr>
          <w:u w:val="single"/>
        </w:rPr>
        <w:t>Weekly Reporting</w:t>
      </w:r>
      <w:r>
        <w:t xml:space="preserve">.  </w:t>
      </w:r>
      <w:r w:rsidR="004B1B0D" w:rsidRPr="004B1B0D">
        <w:t xml:space="preserve">The collection of rail service performance data on a weekly basis will allow the Board to monitor rail service in near real-time, to detect emerging service problems, and to work proactively with industry to mitigate service issues before they grow into severe regional or national crises.  The collection of weekly </w:t>
      </w:r>
      <w:r w:rsidR="004B1B0D" w:rsidRPr="004B1B0D">
        <w:lastRenderedPageBreak/>
        <w:t xml:space="preserve">data from each Class I railroad and the CTCO will allow the Board to quickly identify aberrations from service norms, such as a sudden spike in the number of trains holding at origin, which typically indicate problems affecting vital industries.  Weekly data will also allow the Board to establish long-term trends, tracking improvement or decline </w:t>
      </w:r>
      <w:proofErr w:type="gramStart"/>
      <w:r w:rsidR="004B1B0D" w:rsidRPr="004B1B0D">
        <w:t>in a given</w:t>
      </w:r>
      <w:proofErr w:type="gramEnd"/>
      <w:r w:rsidR="004B1B0D" w:rsidRPr="004B1B0D">
        <w:t xml:space="preserve"> railroad’s service over time.  Additionally, the weekly data will allow rail shippers and other interested stakeholders, including Federal agencies and Congress, to monitor rail performance.  The publicly reported data will be useful to rail shippers in making operational and logistics decisions.   </w:t>
      </w:r>
    </w:p>
    <w:p w14:paraId="4A31D01B" w14:textId="3208C7B3" w:rsidR="00D26576" w:rsidRDefault="00D26576" w:rsidP="00D26576">
      <w:pPr>
        <w:pStyle w:val="Default"/>
      </w:pPr>
    </w:p>
    <w:p w14:paraId="76C25A26" w14:textId="4558BCA2" w:rsidR="00D26576" w:rsidRDefault="00D26576" w:rsidP="00D859F5">
      <w:pPr>
        <w:pStyle w:val="Default"/>
        <w:numPr>
          <w:ilvl w:val="0"/>
          <w:numId w:val="5"/>
        </w:numPr>
      </w:pPr>
      <w:r>
        <w:rPr>
          <w:u w:val="single"/>
        </w:rPr>
        <w:t>Semiannual Reporting</w:t>
      </w:r>
      <w:r>
        <w:t xml:space="preserve">.  </w:t>
      </w:r>
      <w:r w:rsidR="004B1B0D" w:rsidRPr="004B1B0D">
        <w:t>The semiannual reporting requires railroads to report on major rail infrastructure projects on March 1 of each year, followed by a six-month update.  Railroads are instructed to report in narrative fashion, briefly describing each project</w:t>
      </w:r>
      <w:r w:rsidR="00831B25">
        <w:t xml:space="preserve"> and</w:t>
      </w:r>
      <w:r w:rsidR="004B1B0D" w:rsidRPr="004B1B0D">
        <w:t xml:space="preserve"> its purpose and location.  Reporting of this information will facilitate the Board’s awareness of significant network investments by Class I carriers, and its ability to monitor rail service at these locations.</w:t>
      </w:r>
    </w:p>
    <w:p w14:paraId="190953D3" w14:textId="77777777" w:rsidR="00D26576" w:rsidRDefault="00D26576" w:rsidP="00D26576">
      <w:pPr>
        <w:pStyle w:val="Default"/>
      </w:pPr>
    </w:p>
    <w:p w14:paraId="14C9F215" w14:textId="2C3E410D" w:rsidR="004B1B0D" w:rsidRPr="004B1B0D" w:rsidRDefault="00D26576" w:rsidP="004D4BC6">
      <w:pPr>
        <w:pStyle w:val="Default"/>
        <w:numPr>
          <w:ilvl w:val="0"/>
          <w:numId w:val="5"/>
        </w:numPr>
      </w:pPr>
      <w:r>
        <w:rPr>
          <w:u w:val="single"/>
        </w:rPr>
        <w:t>Occasional</w:t>
      </w:r>
      <w:r w:rsidRPr="00D26576">
        <w:rPr>
          <w:u w:val="single"/>
        </w:rPr>
        <w:t xml:space="preserve"> </w:t>
      </w:r>
      <w:r>
        <w:rPr>
          <w:u w:val="single"/>
        </w:rPr>
        <w:t>Reporting</w:t>
      </w:r>
      <w:r>
        <w:t xml:space="preserve">.  </w:t>
      </w:r>
      <w:r w:rsidR="004B1B0D" w:rsidRPr="004B1B0D">
        <w:t>The occasional reporting requires Class I railroads (through CTCO) to report to the Board instances when the “Alert Level” for the Chicago gateway is changed.  “Alert Levels,” which were established through the cooperation of railroads serving the Chicago gateway, require railroads to implement operational contingency measures to proactively counteract congestion</w:t>
      </w:r>
      <w:r w:rsidR="00CE6DFC">
        <w:t>, such as by diverting trains to alternate interchanges</w:t>
      </w:r>
      <w:r w:rsidR="004B1B0D" w:rsidRPr="004B1B0D">
        <w:t xml:space="preserve">.  Reporting this information on an occasional basis will enhance the Board’s visibility into the status of a critical component of the nation’s rail network.      </w:t>
      </w:r>
    </w:p>
    <w:p w14:paraId="44585C6D" w14:textId="77777777" w:rsidR="004B1B0D" w:rsidRPr="004B1B0D" w:rsidRDefault="004B1B0D" w:rsidP="004D4BC6"/>
    <w:p w14:paraId="27B709A9" w14:textId="0E4ACD5F" w:rsidR="00566712" w:rsidRDefault="0004335C" w:rsidP="003D361F">
      <w:pPr>
        <w:pStyle w:val="Default"/>
      </w:pPr>
      <w:r w:rsidRPr="004B1B0D">
        <w:tab/>
        <w:t xml:space="preserve">2.  </w:t>
      </w:r>
      <w:r w:rsidR="0037761C" w:rsidRPr="004B1B0D">
        <w:rPr>
          <w:u w:val="single"/>
        </w:rPr>
        <w:t>Use of Data Collected</w:t>
      </w:r>
      <w:r w:rsidR="00FC4786" w:rsidRPr="004B1B0D">
        <w:t xml:space="preserve">.  </w:t>
      </w:r>
      <w:r w:rsidR="000158C3" w:rsidRPr="004B1B0D">
        <w:t>The shipping community and our economy depend on reliable and efficient freight rail service.</w:t>
      </w:r>
      <w:r w:rsidR="00E023CB">
        <w:t xml:space="preserve">  The </w:t>
      </w:r>
      <w:r w:rsidR="00E31701">
        <w:t xml:space="preserve">downturn </w:t>
      </w:r>
      <w:r w:rsidR="00E023CB">
        <w:t xml:space="preserve">of 2013-2014 </w:t>
      </w:r>
      <w:r w:rsidR="00CE6DFC">
        <w:t>affected shippers of all commodities</w:t>
      </w:r>
      <w:r w:rsidR="00566712">
        <w:t>, and the</w:t>
      </w:r>
      <w:r w:rsidR="00E023CB">
        <w:t xml:space="preserve"> Board </w:t>
      </w:r>
      <w:r w:rsidR="00CE6DFC">
        <w:t xml:space="preserve">initially </w:t>
      </w:r>
      <w:r w:rsidR="00BC603E">
        <w:t xml:space="preserve">lacked </w:t>
      </w:r>
      <w:r w:rsidR="00831B25">
        <w:t xml:space="preserve">the </w:t>
      </w:r>
      <w:r w:rsidR="00BC603E">
        <w:t>service data</w:t>
      </w:r>
      <w:r w:rsidR="00E023CB">
        <w:t xml:space="preserve"> </w:t>
      </w:r>
      <w:r w:rsidR="00831B25">
        <w:t xml:space="preserve">needed </w:t>
      </w:r>
      <w:r w:rsidR="00BC603E">
        <w:t xml:space="preserve">to effectively </w:t>
      </w:r>
      <w:r w:rsidR="00E254D2">
        <w:t xml:space="preserve">monitor the situation and </w:t>
      </w:r>
      <w:r w:rsidR="00BC603E">
        <w:t>facilitate solutions</w:t>
      </w:r>
      <w:r w:rsidR="00E023CB">
        <w:t>.</w:t>
      </w:r>
      <w:r w:rsidR="000158C3" w:rsidRPr="004B1B0D">
        <w:t xml:space="preserve"> </w:t>
      </w:r>
      <w:r w:rsidR="00E023CB">
        <w:t xml:space="preserve"> Under the new rules (Part 1250), t</w:t>
      </w:r>
      <w:r w:rsidR="000158C3" w:rsidRPr="004B1B0D">
        <w:t>he</w:t>
      </w:r>
      <w:r w:rsidR="00E023CB">
        <w:t xml:space="preserve"> Board, using more frequent and </w:t>
      </w:r>
      <w:r w:rsidR="00E254D2">
        <w:t>standardized</w:t>
      </w:r>
      <w:r w:rsidR="00E254D2" w:rsidRPr="004B1B0D">
        <w:t xml:space="preserve"> </w:t>
      </w:r>
      <w:r w:rsidR="00CD407B">
        <w:t>performance data reporting</w:t>
      </w:r>
      <w:r w:rsidR="00E023CB">
        <w:t xml:space="preserve">, will </w:t>
      </w:r>
      <w:r w:rsidR="00CE6DFC">
        <w:t>be able to keep aware of</w:t>
      </w:r>
      <w:r w:rsidR="000158C3" w:rsidRPr="004B1B0D">
        <w:t xml:space="preserve"> current Class I rail service issues and to identify and resolve future regional and national service disruptions more quickly</w:t>
      </w:r>
      <w:r w:rsidR="00E254D2">
        <w:t>.</w:t>
      </w:r>
    </w:p>
    <w:p w14:paraId="26A77FE1" w14:textId="77777777" w:rsidR="00566712" w:rsidRDefault="00566712" w:rsidP="003D361F">
      <w:pPr>
        <w:pStyle w:val="Default"/>
      </w:pPr>
    </w:p>
    <w:p w14:paraId="55E66005" w14:textId="092FB43D" w:rsidR="000113B7" w:rsidRPr="00EA11F2" w:rsidRDefault="000158C3" w:rsidP="003D361F">
      <w:pPr>
        <w:pStyle w:val="Default"/>
      </w:pPr>
      <w:r w:rsidRPr="004B1B0D">
        <w:t>T</w:t>
      </w:r>
      <w:r w:rsidR="00D859F5">
        <w:t>he</w:t>
      </w:r>
      <w:r w:rsidRPr="004B1B0D">
        <w:t xml:space="preserve"> transparency </w:t>
      </w:r>
      <w:r w:rsidR="00D859F5">
        <w:t xml:space="preserve">created by this reporting </w:t>
      </w:r>
      <w:r w:rsidRPr="004B1B0D">
        <w:t>will also benefit rail shippers and stakeholders, by allowing them to better plan operations and make informed business decisions based on publicly-available, current data and their own analysis of performance trends over time.</w:t>
      </w:r>
      <w:r w:rsidR="000113B7">
        <w:t xml:space="preserve"> </w:t>
      </w:r>
      <w:r w:rsidRPr="004B1B0D">
        <w:t xml:space="preserve"> </w:t>
      </w:r>
      <w:r w:rsidR="000113B7">
        <w:t>(</w:t>
      </w:r>
      <w:r w:rsidR="00D859F5">
        <w:t xml:space="preserve">Note that </w:t>
      </w:r>
      <w:r w:rsidR="000113B7">
        <w:t>t</w:t>
      </w:r>
      <w:r w:rsidR="000113B7" w:rsidRPr="007D6186">
        <w:t>he rule follow</w:t>
      </w:r>
      <w:r w:rsidR="000113B7">
        <w:t>ed</w:t>
      </w:r>
      <w:r w:rsidR="000113B7" w:rsidRPr="007D6186">
        <w:t xml:space="preserve"> several rounds of public comment, which included one-on-one, </w:t>
      </w:r>
      <w:r w:rsidR="000113B7" w:rsidRPr="00A1315D">
        <w:rPr>
          <w:i/>
        </w:rPr>
        <w:t xml:space="preserve">ex </w:t>
      </w:r>
      <w:proofErr w:type="spellStart"/>
      <w:r w:rsidR="000113B7" w:rsidRPr="00A1315D">
        <w:rPr>
          <w:i/>
        </w:rPr>
        <w:t>parte</w:t>
      </w:r>
      <w:proofErr w:type="spellEnd"/>
      <w:r w:rsidR="000113B7" w:rsidRPr="007D6186">
        <w:t xml:space="preserve"> meetings between stakeholders and Board staff</w:t>
      </w:r>
      <w:r w:rsidR="000113B7">
        <w:t xml:space="preserve">, </w:t>
      </w:r>
      <w:r w:rsidR="00831B25">
        <w:t>to en</w:t>
      </w:r>
      <w:r w:rsidR="000113B7">
        <w:t>sure that the data was consistent with what the industry already prepares in its day-to-day operations</w:t>
      </w:r>
      <w:r w:rsidR="000113B7" w:rsidRPr="007D6186">
        <w:t>.</w:t>
      </w:r>
      <w:r w:rsidR="000113B7">
        <w:t xml:space="preserve">)  </w:t>
      </w:r>
      <w:r w:rsidR="00566712" w:rsidRPr="007D6186">
        <w:t xml:space="preserve">A corollary benefit is that shippers and other stakeholders will have access to the reported data to assist in their business decisions and supply-chain planning. </w:t>
      </w:r>
      <w:r w:rsidR="00566712">
        <w:t xml:space="preserve"> </w:t>
      </w:r>
      <w:r w:rsidR="00313DB5" w:rsidRPr="004B1B0D">
        <w:t>The Board will use this information to monitor Class I railroad performance, identify and assess service</w:t>
      </w:r>
      <w:r w:rsidR="00313DB5" w:rsidRPr="003D361F">
        <w:t xml:space="preserve"> issues as they arise, and, when necessary, address issues as quickly and efficiently as possible.</w:t>
      </w:r>
    </w:p>
    <w:p w14:paraId="348A2A9F" w14:textId="77777777" w:rsidR="00B11089" w:rsidRPr="00EA11F2" w:rsidRDefault="00B11089">
      <w:pPr>
        <w:ind w:firstLine="720"/>
      </w:pPr>
    </w:p>
    <w:p w14:paraId="3391D886" w14:textId="5ABDF178" w:rsidR="0004335C" w:rsidRPr="00EA11F2" w:rsidRDefault="0004335C" w:rsidP="00617942">
      <w:pPr>
        <w:ind w:firstLine="720"/>
      </w:pPr>
      <w:r w:rsidRPr="00EA11F2">
        <w:t xml:space="preserve">3.  </w:t>
      </w:r>
      <w:r w:rsidR="0037761C" w:rsidRPr="00EA11F2">
        <w:rPr>
          <w:u w:val="single"/>
        </w:rPr>
        <w:t>Reduction through Improved Technology</w:t>
      </w:r>
      <w:r w:rsidR="00FC4786" w:rsidRPr="00EA11F2">
        <w:t xml:space="preserve">.  </w:t>
      </w:r>
      <w:r w:rsidR="00F43495" w:rsidRPr="00EA11F2">
        <w:t>Respondents will email their responses to the Board.</w:t>
      </w:r>
      <w:r w:rsidRPr="00EA11F2">
        <w:t xml:space="preserve">  </w:t>
      </w:r>
    </w:p>
    <w:p w14:paraId="7D2C6072" w14:textId="77777777" w:rsidR="0004335C" w:rsidRPr="00EA11F2" w:rsidRDefault="0004335C" w:rsidP="00FB3F7F"/>
    <w:p w14:paraId="5D6E7CD8" w14:textId="062249A7" w:rsidR="005936C6" w:rsidRPr="00EA11F2" w:rsidRDefault="0004335C" w:rsidP="003D361F">
      <w:pPr>
        <w:pStyle w:val="Default"/>
        <w:ind w:firstLine="720"/>
      </w:pPr>
      <w:r w:rsidRPr="00EA11F2">
        <w:t xml:space="preserve">4.  </w:t>
      </w:r>
      <w:r w:rsidR="00FC4786" w:rsidRPr="00EA11F2">
        <w:rPr>
          <w:u w:val="single"/>
        </w:rPr>
        <w:t xml:space="preserve">Identification of </w:t>
      </w:r>
      <w:r w:rsidR="0037761C" w:rsidRPr="00EA11F2">
        <w:rPr>
          <w:u w:val="single"/>
        </w:rPr>
        <w:t>D</w:t>
      </w:r>
      <w:r w:rsidR="00FC4786" w:rsidRPr="00EA11F2">
        <w:rPr>
          <w:u w:val="single"/>
        </w:rPr>
        <w:t>uplication</w:t>
      </w:r>
      <w:r w:rsidR="00FC4786" w:rsidRPr="00EA11F2">
        <w:t>.</w:t>
      </w:r>
      <w:r w:rsidR="00E65459" w:rsidRPr="00EA11F2">
        <w:t xml:space="preserve">  </w:t>
      </w:r>
      <w:r w:rsidR="00E65459" w:rsidRPr="003D361F">
        <w:t xml:space="preserve">The Board is the only agency tasked with economic regulation of freight railroads.  This information is not duplicated by any other agency. </w:t>
      </w:r>
      <w:r w:rsidR="00FC4786" w:rsidRPr="00EA11F2">
        <w:t xml:space="preserve">  </w:t>
      </w:r>
    </w:p>
    <w:p w14:paraId="23D648B7" w14:textId="77777777" w:rsidR="005936C6" w:rsidRPr="00EA11F2" w:rsidRDefault="005936C6" w:rsidP="00FB3F7F">
      <w:pPr>
        <w:ind w:firstLine="720"/>
      </w:pPr>
    </w:p>
    <w:p w14:paraId="74E331DD" w14:textId="25EA96FB" w:rsidR="00E65459" w:rsidRPr="00EA11F2" w:rsidRDefault="0004335C" w:rsidP="00FB3F7F">
      <w:pPr>
        <w:ind w:firstLine="720"/>
      </w:pPr>
      <w:r w:rsidRPr="00EA11F2">
        <w:t xml:space="preserve">5.  </w:t>
      </w:r>
      <w:r w:rsidR="00F32498" w:rsidRPr="00EA11F2">
        <w:rPr>
          <w:u w:val="single"/>
        </w:rPr>
        <w:t>Minimizing Burden for Small Business</w:t>
      </w:r>
      <w:r w:rsidR="00FC4786" w:rsidRPr="00EA11F2">
        <w:t xml:space="preserve">.  </w:t>
      </w:r>
      <w:r w:rsidR="00E65459" w:rsidRPr="003D361F">
        <w:t xml:space="preserve">No small entities will be affected by the collection of this information. Only Class I railroads, which have operating revenues </w:t>
      </w:r>
      <w:proofErr w:type="gramStart"/>
      <w:r w:rsidR="00E65459" w:rsidRPr="003D361F">
        <w:t>in excess of</w:t>
      </w:r>
      <w:proofErr w:type="gramEnd"/>
      <w:r w:rsidR="00E65459" w:rsidRPr="003D361F">
        <w:t xml:space="preserve"> $250 million (1991 dollars) adjusted for inflation, will be subject to this reporting requirement.</w:t>
      </w:r>
    </w:p>
    <w:p w14:paraId="0F55C949" w14:textId="77777777" w:rsidR="0004335C" w:rsidRPr="00EA11F2" w:rsidRDefault="0004335C" w:rsidP="00FB3F7F"/>
    <w:p w14:paraId="4C9E2617" w14:textId="48680370" w:rsidR="0004335C" w:rsidRPr="00EA11F2" w:rsidRDefault="0004335C" w:rsidP="0056106D">
      <w:pPr>
        <w:ind w:firstLine="720"/>
      </w:pPr>
      <w:r w:rsidRPr="00EA11F2">
        <w:t xml:space="preserve">6.  </w:t>
      </w:r>
      <w:r w:rsidR="00F32498" w:rsidRPr="00EA11F2">
        <w:rPr>
          <w:u w:val="single"/>
        </w:rPr>
        <w:t xml:space="preserve">Consequences if Collection </w:t>
      </w:r>
      <w:proofErr w:type="gramStart"/>
      <w:r w:rsidR="00F32498" w:rsidRPr="00EA11F2">
        <w:rPr>
          <w:u w:val="single"/>
        </w:rPr>
        <w:t>not</w:t>
      </w:r>
      <w:proofErr w:type="gramEnd"/>
      <w:r w:rsidR="00F32498" w:rsidRPr="00EA11F2">
        <w:rPr>
          <w:u w:val="single"/>
        </w:rPr>
        <w:t xml:space="preserve"> Conducted or Conducted Less Frequently</w:t>
      </w:r>
      <w:r w:rsidR="00F32498" w:rsidRPr="00EA11F2">
        <w:t>.</w:t>
      </w:r>
      <w:r w:rsidR="00C47A02" w:rsidRPr="00EA11F2">
        <w:t xml:space="preserve">  </w:t>
      </w:r>
      <w:r w:rsidR="00F9114C">
        <w:t>Recently, the Board codified the reporting rules (</w:t>
      </w:r>
      <w:r w:rsidR="00A42811">
        <w:t xml:space="preserve">see </w:t>
      </w:r>
      <w:r w:rsidR="00F9114C" w:rsidRPr="004B1B0D">
        <w:t>49 C.F.R. Part 1250</w:t>
      </w:r>
      <w:r w:rsidR="00F9114C">
        <w:t xml:space="preserve">) that allow it to reasonably monitor service issues that </w:t>
      </w:r>
      <w:r w:rsidR="00A42811">
        <w:t>can</w:t>
      </w:r>
      <w:r w:rsidR="00F9114C">
        <w:t xml:space="preserve"> have</w:t>
      </w:r>
      <w:r w:rsidR="00A42811">
        <w:t>, and have had,</w:t>
      </w:r>
      <w:r w:rsidR="00F9114C">
        <w:t xml:space="preserve"> significant impacts on the rail </w:t>
      </w:r>
      <w:r w:rsidR="00A42811">
        <w:t xml:space="preserve">service </w:t>
      </w:r>
      <w:r w:rsidR="00F9114C">
        <w:t xml:space="preserve">industry and </w:t>
      </w:r>
      <w:r w:rsidR="00A42811">
        <w:t xml:space="preserve">the Nation’s </w:t>
      </w:r>
      <w:bookmarkStart w:id="0" w:name="_GoBack"/>
      <w:bookmarkEnd w:id="0"/>
      <w:r w:rsidR="00F9114C">
        <w:t>economy</w:t>
      </w:r>
      <w:r w:rsidR="00F9114C">
        <w:t xml:space="preserve">.  See </w:t>
      </w:r>
      <w:r w:rsidR="00F9114C" w:rsidRPr="00E023CB">
        <w:t xml:space="preserve">U.S. Rail Serv. Issues—Performance Data Reporting, EP 724 (Sub-No. 4) </w:t>
      </w:r>
      <w:r w:rsidR="00F9114C" w:rsidRPr="00D540DD">
        <w:t>81 Fed. Reg. 87472 (</w:t>
      </w:r>
      <w:r w:rsidR="00F9114C">
        <w:t>Nov. 30</w:t>
      </w:r>
      <w:r w:rsidR="00F9114C" w:rsidRPr="00D540DD">
        <w:t>, 2016)</w:t>
      </w:r>
      <w:r w:rsidR="00F9114C">
        <w:t xml:space="preserve">.  </w:t>
      </w:r>
      <w:r w:rsidR="00566712">
        <w:t xml:space="preserve">The 2013-2014 service </w:t>
      </w:r>
      <w:r w:rsidR="00E254D2">
        <w:t xml:space="preserve">downturn highlights </w:t>
      </w:r>
      <w:r w:rsidR="00566712">
        <w:t xml:space="preserve">the importance of </w:t>
      </w:r>
      <w:r w:rsidR="00E311BF">
        <w:t xml:space="preserve">the Board having access to </w:t>
      </w:r>
      <w:r w:rsidR="00E312BA">
        <w:t>timely</w:t>
      </w:r>
      <w:r w:rsidR="00E311BF">
        <w:t xml:space="preserve"> and detailed service data</w:t>
      </w:r>
      <w:r w:rsidR="00566712">
        <w:t xml:space="preserve">.  </w:t>
      </w:r>
      <w:r w:rsidR="00C47A02" w:rsidRPr="003D361F">
        <w:t>Less frequent collections would fail to provide as near real-time information about rail service issues and thus would hinder the Board’s ability to address these issues</w:t>
      </w:r>
      <w:r w:rsidR="00566712">
        <w:t xml:space="preserve"> in a manner timely enough to make a difference</w:t>
      </w:r>
      <w:r w:rsidR="00C47A02" w:rsidRPr="003D361F">
        <w:t xml:space="preserve">. </w:t>
      </w:r>
      <w:r w:rsidR="00E312BA">
        <w:t xml:space="preserve"> </w:t>
      </w:r>
      <w:r w:rsidR="00831B25">
        <w:t>Less frequent collection would</w:t>
      </w:r>
      <w:r w:rsidR="00C47A02" w:rsidRPr="003D361F">
        <w:t xml:space="preserve"> also </w:t>
      </w:r>
      <w:r w:rsidR="00831B25">
        <w:t>deprive</w:t>
      </w:r>
      <w:r w:rsidR="00C47A02" w:rsidRPr="003D361F">
        <w:t xml:space="preserve"> </w:t>
      </w:r>
      <w:r w:rsidR="00831B25">
        <w:t xml:space="preserve">the Board of </w:t>
      </w:r>
      <w:r w:rsidR="00C47A02" w:rsidRPr="003D361F">
        <w:t>insight into variations in performance</w:t>
      </w:r>
      <w:r w:rsidR="00566712">
        <w:t xml:space="preserve">, </w:t>
      </w:r>
      <w:r w:rsidR="00831B25">
        <w:t>so that</w:t>
      </w:r>
      <w:r w:rsidR="00566712">
        <w:t xml:space="preserve"> potential problems may be addressed</w:t>
      </w:r>
      <w:r w:rsidR="00C47A02" w:rsidRPr="003D361F">
        <w:t xml:space="preserve">. </w:t>
      </w:r>
      <w:r w:rsidR="00D859F5">
        <w:t xml:space="preserve"> </w:t>
      </w:r>
      <w:r w:rsidR="00566712">
        <w:t xml:space="preserve">Indeed, the entire </w:t>
      </w:r>
      <w:r w:rsidR="00C47A02" w:rsidRPr="003D361F">
        <w:t>purpose of the collections is to obtain more freque</w:t>
      </w:r>
      <w:r w:rsidR="00566712">
        <w:t xml:space="preserve">nt data on freight rail service, </w:t>
      </w:r>
      <w:r w:rsidR="00831B25">
        <w:t>data that</w:t>
      </w:r>
      <w:r w:rsidR="00566712">
        <w:t xml:space="preserve"> is collected in a manner (as discussed in question 1 and 2 above) that is consistent with the respondent railroad’s current operations.  (In fact, some respondents</w:t>
      </w:r>
      <w:r w:rsidR="007614EC">
        <w:t>, if not all of them,</w:t>
      </w:r>
      <w:r w:rsidR="00566712">
        <w:t xml:space="preserve"> could provide the data daily without significant burden.)</w:t>
      </w:r>
    </w:p>
    <w:p w14:paraId="7765412D" w14:textId="77777777" w:rsidR="0056106D" w:rsidRPr="00EA11F2" w:rsidRDefault="0056106D" w:rsidP="0056106D">
      <w:pPr>
        <w:ind w:firstLine="720"/>
      </w:pPr>
    </w:p>
    <w:p w14:paraId="6A282D73" w14:textId="45918DCA" w:rsidR="0004335C" w:rsidRPr="00EA11F2" w:rsidRDefault="0004335C" w:rsidP="00FB3F7F">
      <w:pPr>
        <w:ind w:firstLine="720"/>
      </w:pPr>
      <w:r w:rsidRPr="00EA11F2">
        <w:t xml:space="preserve">7.  </w:t>
      </w:r>
      <w:r w:rsidR="00FC4786" w:rsidRPr="00EA11F2">
        <w:rPr>
          <w:u w:val="single"/>
        </w:rPr>
        <w:t xml:space="preserve">Special </w:t>
      </w:r>
      <w:r w:rsidR="00DD6DC8" w:rsidRPr="00EA11F2">
        <w:rPr>
          <w:u w:val="single"/>
        </w:rPr>
        <w:t>C</w:t>
      </w:r>
      <w:r w:rsidR="00FC4786" w:rsidRPr="00EA11F2">
        <w:rPr>
          <w:u w:val="single"/>
        </w:rPr>
        <w:t>ircumstances</w:t>
      </w:r>
      <w:r w:rsidR="00FC4786" w:rsidRPr="00EA11F2">
        <w:t xml:space="preserve">.  </w:t>
      </w:r>
      <w:r w:rsidRPr="00EA11F2">
        <w:t>No special circumstances apply to this collection.</w:t>
      </w:r>
    </w:p>
    <w:p w14:paraId="2264809A" w14:textId="77777777" w:rsidR="0004335C" w:rsidRPr="00EA11F2" w:rsidRDefault="0004335C" w:rsidP="00FB3F7F"/>
    <w:p w14:paraId="6DC3EF99" w14:textId="2B26F92B" w:rsidR="00F32498" w:rsidRDefault="0004335C" w:rsidP="00FB3F7F">
      <w:pPr>
        <w:ind w:firstLine="720"/>
        <w:rPr>
          <w:color w:val="000000"/>
        </w:rPr>
      </w:pPr>
      <w:r w:rsidRPr="00EA11F2">
        <w:t xml:space="preserve">8.  </w:t>
      </w:r>
      <w:r w:rsidR="00F32498" w:rsidRPr="00EA11F2">
        <w:rPr>
          <w:u w:val="single"/>
        </w:rPr>
        <w:t>Consultation with Outside Agency</w:t>
      </w:r>
      <w:r w:rsidR="006D4985" w:rsidRPr="00EA11F2">
        <w:t xml:space="preserve">.  </w:t>
      </w:r>
      <w:r w:rsidR="00A5323F" w:rsidRPr="003D361F">
        <w:t xml:space="preserve">The Board published in the </w:t>
      </w:r>
      <w:r w:rsidR="00A5323F" w:rsidRPr="003D361F">
        <w:rPr>
          <w:u w:val="single"/>
        </w:rPr>
        <w:t>Federal Register</w:t>
      </w:r>
      <w:r w:rsidR="00A5323F" w:rsidRPr="003D361F">
        <w:t xml:space="preserve"> a Notice of Proposed Rulemaking on January 6, 2015, which provided for an approximately 60-day comment period (and an additional approximately 60-day period for reply comments) regarding proposed collections of similar data, with specific reference to concerns detailed in the Paperwork Reduction Act, 44 U.S.C. §§ 3501-3521 and Office of Management and Budget </w:t>
      </w:r>
      <w:r w:rsidR="00DA58E7">
        <w:t xml:space="preserve">(OMB) </w:t>
      </w:r>
      <w:r w:rsidR="00A5323F" w:rsidRPr="003D361F">
        <w:t xml:space="preserve">regulations at 5 C.F.R. § 1320.8(d)(3). </w:t>
      </w:r>
      <w:r w:rsidR="00A5323F" w:rsidRPr="003D361F">
        <w:rPr>
          <w:u w:val="single"/>
        </w:rPr>
        <w:t>See</w:t>
      </w:r>
      <w:r w:rsidR="00A5323F" w:rsidRPr="003D361F">
        <w:t xml:space="preserve"> </w:t>
      </w:r>
      <w:r w:rsidR="00A5323F" w:rsidRPr="003D361F">
        <w:rPr>
          <w:u w:val="single"/>
        </w:rPr>
        <w:t>U.S. Rail Serv. Issues—Performance Data Reporting</w:t>
      </w:r>
      <w:r w:rsidR="00A5323F" w:rsidRPr="003D361F">
        <w:t xml:space="preserve">, EP 724 (Sub-No. 4), 80 </w:t>
      </w:r>
      <w:r w:rsidR="00A5323F" w:rsidRPr="003D361F">
        <w:rPr>
          <w:u w:val="single"/>
        </w:rPr>
        <w:t>Fed. Reg.</w:t>
      </w:r>
      <w:r w:rsidR="00A5323F" w:rsidRPr="003D361F">
        <w:t xml:space="preserve"> 473 (Jan. 6, 201</w:t>
      </w:r>
      <w:r w:rsidR="00F11F8D">
        <w:t>5)</w:t>
      </w:r>
      <w:r w:rsidR="00A5323F" w:rsidRPr="003D361F">
        <w:t xml:space="preserve">. In response to comments received, the Board revised its proposal and </w:t>
      </w:r>
      <w:r w:rsidR="00223807">
        <w:t xml:space="preserve">published </w:t>
      </w:r>
      <w:r w:rsidR="00A5323F" w:rsidRPr="003D361F">
        <w:t xml:space="preserve">in the </w:t>
      </w:r>
      <w:r w:rsidR="00A5323F" w:rsidRPr="003D361F">
        <w:rPr>
          <w:u w:val="single"/>
        </w:rPr>
        <w:t>Federal Register</w:t>
      </w:r>
      <w:r w:rsidR="00A5323F" w:rsidRPr="003D361F">
        <w:t xml:space="preserve"> a revised Notice of Proposed Rule Making, which provide</w:t>
      </w:r>
      <w:r w:rsidR="002D0D07">
        <w:t>d</w:t>
      </w:r>
      <w:r w:rsidR="00A5323F" w:rsidRPr="003D361F">
        <w:t xml:space="preserve"> for an approximately 60-day comment period (and an additional approximately 60-day period for reply comments) regarding its revised proposal for this data collection. </w:t>
      </w:r>
      <w:r w:rsidR="00A5323F" w:rsidRPr="003D361F">
        <w:rPr>
          <w:u w:val="single"/>
        </w:rPr>
        <w:t>See</w:t>
      </w:r>
      <w:r w:rsidR="00A5323F" w:rsidRPr="003D361F">
        <w:t xml:space="preserve"> </w:t>
      </w:r>
      <w:r w:rsidR="00A5323F" w:rsidRPr="003D361F">
        <w:rPr>
          <w:u w:val="single"/>
        </w:rPr>
        <w:t>U.S. Rail Serv. Issues—Performance Data Reporting</w:t>
      </w:r>
      <w:r w:rsidR="00A5323F" w:rsidRPr="003D361F">
        <w:t xml:space="preserve">, EP 724 (Sub-No. 4), 81 </w:t>
      </w:r>
      <w:r w:rsidR="00A5323F" w:rsidRPr="003D361F">
        <w:rPr>
          <w:u w:val="single"/>
        </w:rPr>
        <w:t>Fed. Reg.</w:t>
      </w:r>
      <w:r w:rsidR="00A5323F" w:rsidRPr="003D361F">
        <w:t xml:space="preserve"> 32</w:t>
      </w:r>
      <w:r w:rsidR="00B65F60">
        <w:t>,</w:t>
      </w:r>
      <w:r w:rsidR="00A5323F" w:rsidRPr="003D361F">
        <w:t>268 (May 23, 2016).</w:t>
      </w:r>
      <w:r w:rsidR="00691155">
        <w:t xml:space="preserve">  The </w:t>
      </w:r>
      <w:r w:rsidR="00F544E3">
        <w:t xml:space="preserve">Board published the </w:t>
      </w:r>
      <w:r w:rsidR="00691155">
        <w:t xml:space="preserve">Final Rule </w:t>
      </w:r>
      <w:r w:rsidR="00F544E3">
        <w:t xml:space="preserve">in the </w:t>
      </w:r>
      <w:r w:rsidR="00F544E3">
        <w:rPr>
          <w:u w:val="single"/>
        </w:rPr>
        <w:t>Federal Register</w:t>
      </w:r>
      <w:r w:rsidR="00F544E3">
        <w:t xml:space="preserve"> </w:t>
      </w:r>
      <w:r w:rsidR="00497520">
        <w:t>on December 5, 2016.</w:t>
      </w:r>
      <w:r w:rsidR="00ED5AE5">
        <w:t xml:space="preserve">  </w:t>
      </w:r>
      <w:r w:rsidR="00ED5AE5">
        <w:rPr>
          <w:color w:val="000000"/>
        </w:rPr>
        <w:t xml:space="preserve">81 </w:t>
      </w:r>
      <w:r w:rsidR="00ED5AE5" w:rsidRPr="00ED5AE5">
        <w:rPr>
          <w:color w:val="000000"/>
          <w:u w:val="single"/>
        </w:rPr>
        <w:t>Fed. Reg.</w:t>
      </w:r>
      <w:r w:rsidR="00ED5AE5">
        <w:rPr>
          <w:color w:val="000000"/>
        </w:rPr>
        <w:t xml:space="preserve"> 87</w:t>
      </w:r>
      <w:r w:rsidR="00B65F60">
        <w:rPr>
          <w:color w:val="000000"/>
        </w:rPr>
        <w:t>,</w:t>
      </w:r>
      <w:r w:rsidR="00ED5AE5">
        <w:rPr>
          <w:color w:val="000000"/>
        </w:rPr>
        <w:t>472 (Dec. 5, 2016).</w:t>
      </w:r>
    </w:p>
    <w:p w14:paraId="56C9AB11" w14:textId="11B493B4" w:rsidR="00EE7742" w:rsidRDefault="00EE7742" w:rsidP="00FB3F7F">
      <w:pPr>
        <w:ind w:firstLine="720"/>
        <w:rPr>
          <w:color w:val="000000"/>
        </w:rPr>
      </w:pPr>
    </w:p>
    <w:p w14:paraId="3A50F5BD" w14:textId="5AF9981D" w:rsidR="00F11F8D" w:rsidRDefault="00EE7742" w:rsidP="00F11F8D">
      <w:r>
        <w:rPr>
          <w:color w:val="000000"/>
        </w:rPr>
        <w:t xml:space="preserve">Comments were filed </w:t>
      </w:r>
      <w:r w:rsidR="00F11F8D">
        <w:rPr>
          <w:color w:val="000000"/>
        </w:rPr>
        <w:t xml:space="preserve">that </w:t>
      </w:r>
      <w:r>
        <w:rPr>
          <w:color w:val="000000"/>
        </w:rPr>
        <w:t>generally challenged this collection</w:t>
      </w:r>
      <w:r w:rsidR="00F11F8D">
        <w:rPr>
          <w:color w:val="000000"/>
        </w:rPr>
        <w:t>, and the Board’s</w:t>
      </w:r>
      <w:r w:rsidR="00F11F8D">
        <w:t xml:space="preserve"> final rule </w:t>
      </w:r>
      <w:r w:rsidR="00F11F8D">
        <w:lastRenderedPageBreak/>
        <w:t>summarized, analyzed, addressed and partially adopted comments.  </w:t>
      </w:r>
      <w:r w:rsidR="00F11F8D">
        <w:rPr>
          <w:u w:val="single"/>
        </w:rPr>
        <w:t>U.S. Rail Serv. Issues—Performance Data Reporting</w:t>
      </w:r>
      <w:r w:rsidR="00F11F8D">
        <w:t xml:space="preserve"> (</w:t>
      </w:r>
      <w:r w:rsidR="00F11F8D">
        <w:rPr>
          <w:u w:val="single"/>
        </w:rPr>
        <w:t>NPR</w:t>
      </w:r>
      <w:r w:rsidR="00F11F8D">
        <w:t xml:space="preserve">), EP 724 (Sub-No. 4) (STB served Nov. 30, 2016); 81 Fed. Reg. 87472 (Dec. 5, 2016), located at </w:t>
      </w:r>
      <w:hyperlink r:id="rId8" w:history="1">
        <w:r w:rsidR="00F11F8D">
          <w:rPr>
            <w:rStyle w:val="Hyperlink"/>
          </w:rPr>
          <w:t>https://www.stb.gov/decisions/readingroom.nsf/UNID/93ED0335B0B4FE128525807B004968B3/$file/45432.pdf</w:t>
        </w:r>
      </w:hyperlink>
      <w:r w:rsidR="00F11F8D">
        <w:t>.  While none of the comments specifically addressed the burdens, a few comments are relevant to the PRA analysis.  Below is a summary of those comments and the Board’s handling of those comments:</w:t>
      </w:r>
    </w:p>
    <w:p w14:paraId="4EF01F30" w14:textId="77777777" w:rsidR="00F11F8D" w:rsidRDefault="00F11F8D" w:rsidP="00F11F8D"/>
    <w:p w14:paraId="6CE951DF" w14:textId="30F5CDE7" w:rsidR="00F11F8D" w:rsidRDefault="00F11F8D" w:rsidP="00F11F8D">
      <w:pPr>
        <w:ind w:firstLine="720"/>
      </w:pPr>
      <w:r>
        <w:t xml:space="preserve">The Association of American Railroads (AAR) contended generally that the Board did not state a valid regulatory purpose for the rule before adding to the cumulative regulatory burden on the railroads.  It argued that the proposed rules are not necessary for improving rail service, expressing that the market would do that.  After carefully considering these comments, the Board explained that Congress made clear that service adequacy is a key part of the Board’s mandate, beginning with the provisions of the rail transportation policy (RTP) of 49 U.S.C. § 10101.  The Board found that having data that will allow it to monitor service across the rail network advances </w:t>
      </w:r>
      <w:r w:rsidR="00334EF3">
        <w:t>the</w:t>
      </w:r>
      <w:r w:rsidR="00327BD8">
        <w:t xml:space="preserve"> </w:t>
      </w:r>
      <w:r>
        <w:t xml:space="preserve">RTP and allow it to more quickly identify and react to service issues than it would otherwise </w:t>
      </w:r>
      <w:proofErr w:type="gramStart"/>
      <w:r>
        <w:t>have the ability to</w:t>
      </w:r>
      <w:proofErr w:type="gramEnd"/>
      <w:r>
        <w:t xml:space="preserve"> do.</w:t>
      </w:r>
    </w:p>
    <w:p w14:paraId="4DF6C542" w14:textId="77777777" w:rsidR="00F11F8D" w:rsidRDefault="00F11F8D" w:rsidP="00F11F8D">
      <w:pPr>
        <w:rPr>
          <w:rFonts w:ascii="Calibri" w:hAnsi="Calibri"/>
          <w:sz w:val="22"/>
          <w:szCs w:val="22"/>
        </w:rPr>
      </w:pPr>
    </w:p>
    <w:p w14:paraId="0EFA4886" w14:textId="77777777" w:rsidR="00F11F8D" w:rsidRDefault="00F11F8D" w:rsidP="00F11F8D">
      <w:pPr>
        <w:ind w:firstLine="720"/>
      </w:pPr>
      <w:r>
        <w:t xml:space="preserve">The Board went on to explain that </w:t>
      </w:r>
      <w:proofErr w:type="gramStart"/>
      <w:r>
        <w:t>a number of</w:t>
      </w:r>
      <w:proofErr w:type="gramEnd"/>
      <w:r>
        <w:t xml:space="preserve"> its other statutory responsibilities are supported by this collection, such as 49 U.S.C. § 11123 (adequacy of service); 49 U.S.C. § 10702 (reasonable practices); 49 U.S.C. § 10907 (force a line sale for inadequate service); 49 U.S.C. § 11101 (common carrier obligation); and 49 U.S.C. § 11121 (safe and adequate car service).  Thus, the Board articulated a justification for the data’s usefulness.  Nor did the Board find merit to AAR’s suggestion that the data reporting would be unhelpful in determining if some of the statutory provisions listed by the Board are met.  It was the Boards conclusion that the long-term utility of the data collection in the final rule outweighs the additional burden placed on the rail industry.  </w:t>
      </w:r>
    </w:p>
    <w:p w14:paraId="32BD0476" w14:textId="77777777" w:rsidR="00F11F8D" w:rsidRDefault="00F11F8D" w:rsidP="00F11F8D">
      <w:pPr>
        <w:ind w:firstLine="720"/>
      </w:pPr>
    </w:p>
    <w:p w14:paraId="579322C7" w14:textId="64E4F03B" w:rsidR="00EE7742" w:rsidRPr="00F544E3" w:rsidRDefault="00F11F8D" w:rsidP="00246FBC">
      <w:pPr>
        <w:ind w:firstLine="720"/>
      </w:pPr>
      <w:r>
        <w:t xml:space="preserve">Additionally, and arguably related to </w:t>
      </w:r>
      <w:r w:rsidR="008B7BD4">
        <w:t xml:space="preserve">the </w:t>
      </w:r>
      <w:r>
        <w:t>PRA analysis, the railroads generally opposed metrics f</w:t>
      </w:r>
      <w:r w:rsidR="00726C8E">
        <w:t xml:space="preserve">ocused on </w:t>
      </w:r>
      <w:proofErr w:type="gramStart"/>
      <w:r w:rsidR="00726C8E">
        <w:t>particular</w:t>
      </w:r>
      <w:r w:rsidR="0064026C">
        <w:t xml:space="preserve"> commodities</w:t>
      </w:r>
      <w:proofErr w:type="gramEnd"/>
      <w:r>
        <w:t xml:space="preserve"> or geographic regions.  In response, the Board explained that its objective </w:t>
      </w:r>
      <w:r w:rsidR="0064026C">
        <w:t xml:space="preserve">was </w:t>
      </w:r>
      <w:r>
        <w:t xml:space="preserve">to obtain weekly data that </w:t>
      </w:r>
      <w:r w:rsidR="0064026C">
        <w:t xml:space="preserve">allowed </w:t>
      </w:r>
      <w:r>
        <w:t xml:space="preserve">the agency to monitor the railroad industry’s current performance and to build a data set that </w:t>
      </w:r>
      <w:r w:rsidR="0064026C">
        <w:t>allowed</w:t>
      </w:r>
      <w:r>
        <w:t xml:space="preserve"> the Board to observe trends and make comparisons against past performance.  The set of requests </w:t>
      </w:r>
      <w:r w:rsidR="0064026C">
        <w:t xml:space="preserve">advanced those </w:t>
      </w:r>
      <w:r>
        <w:t xml:space="preserve">objectives and </w:t>
      </w:r>
      <w:r w:rsidR="0064026C">
        <w:t xml:space="preserve">struck </w:t>
      </w:r>
      <w:r>
        <w:t xml:space="preserve">an appropriate balance of augmenting the Board’s ability to better monitor rail service trends without burdening railroads with excessive reporting requirements.  The Board </w:t>
      </w:r>
      <w:r w:rsidR="00334EF3">
        <w:t xml:space="preserve">declined </w:t>
      </w:r>
      <w:r>
        <w:t xml:space="preserve">to either adopt the railroad industry’s request to </w:t>
      </w:r>
      <w:r w:rsidR="006E290C">
        <w:t xml:space="preserve">narrow </w:t>
      </w:r>
      <w:r>
        <w:t>the reporting to the “macro level” data or to adopt, for the most part</w:t>
      </w:r>
      <w:r w:rsidR="00334EF3">
        <w:t xml:space="preserve"> </w:t>
      </w:r>
      <w:r>
        <w:t xml:space="preserve">shippers’ requests for additional “granular” data covering discrete subsets of traffic, specific corridors, or local operations.  </w:t>
      </w:r>
    </w:p>
    <w:p w14:paraId="6F4603AA" w14:textId="77777777" w:rsidR="00F32498" w:rsidRPr="00EA11F2" w:rsidRDefault="00F32498" w:rsidP="00FB3F7F">
      <w:pPr>
        <w:ind w:firstLine="720"/>
      </w:pPr>
    </w:p>
    <w:p w14:paraId="2454055A" w14:textId="038B2ED0" w:rsidR="0004335C" w:rsidRPr="00EA11F2" w:rsidRDefault="0004335C" w:rsidP="00FB3F7F">
      <w:pPr>
        <w:ind w:firstLine="720"/>
      </w:pPr>
      <w:r w:rsidRPr="00EA11F2">
        <w:t xml:space="preserve">9.  </w:t>
      </w:r>
      <w:r w:rsidR="00BC044A" w:rsidRPr="00EA11F2">
        <w:rPr>
          <w:u w:val="single"/>
        </w:rPr>
        <w:t>Payments o</w:t>
      </w:r>
      <w:r w:rsidR="00F32498" w:rsidRPr="00EA11F2">
        <w:rPr>
          <w:u w:val="single"/>
        </w:rPr>
        <w:t>r G</w:t>
      </w:r>
      <w:r w:rsidR="00FC4786" w:rsidRPr="00EA11F2">
        <w:rPr>
          <w:u w:val="single"/>
        </w:rPr>
        <w:t>ifts</w:t>
      </w:r>
      <w:r w:rsidR="00FC4786" w:rsidRPr="00EA11F2">
        <w:t xml:space="preserve">.  </w:t>
      </w:r>
      <w:r w:rsidRPr="00EA11F2">
        <w:t>The Board does not provide any payment or gift</w:t>
      </w:r>
      <w:r w:rsidR="006D4985" w:rsidRPr="00EA11F2">
        <w:t>s</w:t>
      </w:r>
      <w:r w:rsidRPr="00EA11F2">
        <w:t xml:space="preserve"> </w:t>
      </w:r>
      <w:r w:rsidR="006D4985" w:rsidRPr="00EA11F2">
        <w:t>for this collection</w:t>
      </w:r>
      <w:r w:rsidRPr="00EA11F2">
        <w:t>.</w:t>
      </w:r>
    </w:p>
    <w:p w14:paraId="465E1840" w14:textId="77777777" w:rsidR="0004335C" w:rsidRPr="00EA11F2" w:rsidRDefault="0004335C" w:rsidP="00FB3F7F"/>
    <w:p w14:paraId="22D51ED3" w14:textId="711171B4" w:rsidR="0004335C" w:rsidRPr="00EA11F2" w:rsidRDefault="0004335C" w:rsidP="00FB3F7F">
      <w:pPr>
        <w:ind w:firstLine="720"/>
      </w:pPr>
      <w:r w:rsidRPr="00EA11F2">
        <w:t xml:space="preserve">10.  </w:t>
      </w:r>
      <w:r w:rsidR="00F32498" w:rsidRPr="00EA11F2">
        <w:rPr>
          <w:u w:val="single"/>
        </w:rPr>
        <w:t>Assurance of C</w:t>
      </w:r>
      <w:r w:rsidR="00FC4786" w:rsidRPr="00EA11F2">
        <w:rPr>
          <w:u w:val="single"/>
        </w:rPr>
        <w:t>onfidentiality</w:t>
      </w:r>
      <w:r w:rsidR="00FC4786" w:rsidRPr="00EA11F2">
        <w:t xml:space="preserve">.  </w:t>
      </w:r>
      <w:r w:rsidRPr="00EA11F2">
        <w:t xml:space="preserve">All information collected through this report is </w:t>
      </w:r>
      <w:r w:rsidRPr="00EA11F2">
        <w:lastRenderedPageBreak/>
        <w:t xml:space="preserve">available to the public.  </w:t>
      </w:r>
    </w:p>
    <w:p w14:paraId="650C5ABE" w14:textId="77777777" w:rsidR="0004335C" w:rsidRPr="00EA11F2" w:rsidRDefault="0004335C" w:rsidP="00FB3F7F"/>
    <w:p w14:paraId="26021FEA" w14:textId="58AE657E" w:rsidR="0004335C" w:rsidRPr="00EA11F2" w:rsidRDefault="0004335C" w:rsidP="00FB3F7F">
      <w:pPr>
        <w:ind w:firstLine="720"/>
      </w:pPr>
      <w:r w:rsidRPr="00EA11F2">
        <w:t xml:space="preserve">11.  </w:t>
      </w:r>
      <w:r w:rsidR="00F32498" w:rsidRPr="00EA11F2">
        <w:rPr>
          <w:u w:val="single"/>
        </w:rPr>
        <w:t>S</w:t>
      </w:r>
      <w:r w:rsidR="00FC4786" w:rsidRPr="00EA11F2">
        <w:rPr>
          <w:u w:val="single"/>
        </w:rPr>
        <w:t xml:space="preserve">ensitive </w:t>
      </w:r>
      <w:r w:rsidR="00F32498" w:rsidRPr="00EA11F2">
        <w:rPr>
          <w:u w:val="single"/>
        </w:rPr>
        <w:t>I</w:t>
      </w:r>
      <w:r w:rsidR="00FC4786" w:rsidRPr="00EA11F2">
        <w:rPr>
          <w:u w:val="single"/>
        </w:rPr>
        <w:t>nformation</w:t>
      </w:r>
      <w:r w:rsidR="00FC4786" w:rsidRPr="00EA11F2">
        <w:t xml:space="preserve">.  </w:t>
      </w:r>
      <w:r w:rsidRPr="00EA11F2">
        <w:t>This collection contains no information of a sensitive nature.</w:t>
      </w:r>
    </w:p>
    <w:p w14:paraId="3A8F1545" w14:textId="77777777" w:rsidR="0004335C" w:rsidRPr="00EA11F2" w:rsidRDefault="0004335C" w:rsidP="00FB3F7F"/>
    <w:p w14:paraId="5C0CB5DE" w14:textId="1F85840E" w:rsidR="006D33BF" w:rsidRPr="003D361F" w:rsidRDefault="0004335C" w:rsidP="003D361F">
      <w:pPr>
        <w:ind w:firstLine="720"/>
      </w:pPr>
      <w:r w:rsidRPr="00EA11F2">
        <w:t xml:space="preserve">12.  </w:t>
      </w:r>
      <w:r w:rsidR="00FC4786" w:rsidRPr="00EA11F2">
        <w:rPr>
          <w:u w:val="single"/>
        </w:rPr>
        <w:t>Estimat</w:t>
      </w:r>
      <w:r w:rsidR="00F32498" w:rsidRPr="00EA11F2">
        <w:rPr>
          <w:u w:val="single"/>
        </w:rPr>
        <w:t>ed B</w:t>
      </w:r>
      <w:r w:rsidR="00FC4786" w:rsidRPr="00EA11F2">
        <w:rPr>
          <w:u w:val="single"/>
        </w:rPr>
        <w:t xml:space="preserve">urden </w:t>
      </w:r>
      <w:r w:rsidR="00F32498" w:rsidRPr="00EA11F2">
        <w:rPr>
          <w:u w:val="single"/>
        </w:rPr>
        <w:t>H</w:t>
      </w:r>
      <w:r w:rsidR="00FC4786" w:rsidRPr="00EA11F2">
        <w:rPr>
          <w:u w:val="single"/>
        </w:rPr>
        <w:t>ours</w:t>
      </w:r>
      <w:r w:rsidR="00FC4786" w:rsidRPr="00EA11F2">
        <w:t>.</w:t>
      </w:r>
      <w:r w:rsidR="006D33BF" w:rsidRPr="00EA11F2">
        <w:t xml:space="preserve">  </w:t>
      </w:r>
      <w:r w:rsidR="006D33BF" w:rsidRPr="003D361F">
        <w:t>The recurring burden hours are estimated to be no more than 1,1</w:t>
      </w:r>
      <w:r w:rsidR="007A0071">
        <w:t>40</w:t>
      </w:r>
      <w:r w:rsidR="006D33BF" w:rsidRPr="003D361F">
        <w:t xml:space="preserve"> hours per year, as derived in the table below. In addition, there are some one-time, start-up costs of approximately 2 hou</w:t>
      </w:r>
      <w:r w:rsidR="007A0071">
        <w:t xml:space="preserve">rs for each respondent filing a semi-annual </w:t>
      </w:r>
      <w:r w:rsidR="006D33BF" w:rsidRPr="003D361F">
        <w:t>report that must be added to the first year’s total burden hours. To avoid inflating the estimated total annual hourly burden, the two-hour start-up burden has been divided by three and spread over the three-year approval period</w:t>
      </w:r>
      <w:r w:rsidR="007A0071">
        <w:t xml:space="preserve"> (7 railroads x 2 </w:t>
      </w:r>
      <w:proofErr w:type="gramStart"/>
      <w:r w:rsidR="007A0071">
        <w:t>start-up</w:t>
      </w:r>
      <w:proofErr w:type="gramEnd"/>
      <w:r w:rsidR="007A0071">
        <w:t xml:space="preserve"> hours</w:t>
      </w:r>
      <w:r w:rsidR="00DA58E7">
        <w:t xml:space="preserve"> </w:t>
      </w:r>
      <w:r w:rsidR="007A0071">
        <w:t>/3 years = 4.67 hours per year)</w:t>
      </w:r>
      <w:r w:rsidR="006D33BF" w:rsidRPr="003D361F">
        <w:t>. Thus, the total annual burden hours for each of the three years are estimated at no more than 1,1</w:t>
      </w:r>
      <w:r w:rsidR="007A0071">
        <w:t>44</w:t>
      </w:r>
      <w:r w:rsidR="006D33BF" w:rsidRPr="003D361F">
        <w:t xml:space="preserve">.67 hours per year. </w:t>
      </w:r>
    </w:p>
    <w:p w14:paraId="198BB120" w14:textId="77777777" w:rsidR="006D33BF" w:rsidRPr="003D361F" w:rsidRDefault="006D33BF" w:rsidP="003D361F">
      <w:pPr>
        <w:ind w:firstLine="720"/>
      </w:pPr>
    </w:p>
    <w:p w14:paraId="7D2FF370" w14:textId="77777777" w:rsidR="0084642D" w:rsidRPr="00EA11F2" w:rsidRDefault="0084642D" w:rsidP="004D4BC6">
      <w:pPr>
        <w:keepNext/>
        <w:keepLines/>
        <w:widowControl/>
        <w:kinsoku w:val="0"/>
        <w:overflowPunct w:val="0"/>
        <w:spacing w:line="245" w:lineRule="exact"/>
        <w:ind w:left="40"/>
        <w:jc w:val="center"/>
      </w:pPr>
      <w:r w:rsidRPr="00EA11F2">
        <w:rPr>
          <w:i/>
          <w:iCs/>
        </w:rPr>
        <w:t>Table</w:t>
      </w:r>
      <w:r w:rsidRPr="00EA11F2">
        <w:rPr>
          <w:i/>
          <w:iCs/>
          <w:spacing w:val="-1"/>
        </w:rPr>
        <w:t xml:space="preserve"> </w:t>
      </w:r>
      <w:r w:rsidRPr="00EA11F2">
        <w:rPr>
          <w:i/>
          <w:iCs/>
        </w:rPr>
        <w:t xml:space="preserve">– Total </w:t>
      </w:r>
      <w:r w:rsidRPr="00EA11F2">
        <w:rPr>
          <w:i/>
          <w:iCs/>
          <w:spacing w:val="-1"/>
        </w:rPr>
        <w:t>B</w:t>
      </w:r>
      <w:r w:rsidRPr="00EA11F2">
        <w:rPr>
          <w:i/>
          <w:iCs/>
        </w:rPr>
        <w:t>urd</w:t>
      </w:r>
      <w:r w:rsidRPr="00EA11F2">
        <w:rPr>
          <w:i/>
          <w:iCs/>
          <w:spacing w:val="-1"/>
        </w:rPr>
        <w:t>e</w:t>
      </w:r>
      <w:r w:rsidRPr="00EA11F2">
        <w:rPr>
          <w:i/>
          <w:iCs/>
        </w:rPr>
        <w:t xml:space="preserve">n </w:t>
      </w:r>
      <w:r w:rsidRPr="00EA11F2">
        <w:rPr>
          <w:i/>
          <w:iCs/>
          <w:spacing w:val="-1"/>
        </w:rPr>
        <w:t>H</w:t>
      </w:r>
      <w:r w:rsidRPr="00EA11F2">
        <w:rPr>
          <w:i/>
          <w:iCs/>
        </w:rPr>
        <w:t xml:space="preserve">ours </w:t>
      </w:r>
      <w:r w:rsidRPr="00EA11F2">
        <w:rPr>
          <w:i/>
          <w:iCs/>
          <w:spacing w:val="-4"/>
        </w:rPr>
        <w:t>(</w:t>
      </w:r>
      <w:r w:rsidRPr="00EA11F2">
        <w:rPr>
          <w:i/>
          <w:iCs/>
          <w:spacing w:val="2"/>
        </w:rPr>
        <w:t>p</w:t>
      </w:r>
      <w:r w:rsidRPr="00EA11F2">
        <w:rPr>
          <w:i/>
          <w:iCs/>
          <w:spacing w:val="-1"/>
        </w:rPr>
        <w:t>e</w:t>
      </w:r>
      <w:r w:rsidRPr="00EA11F2">
        <w:rPr>
          <w:i/>
          <w:iCs/>
        </w:rPr>
        <w:t xml:space="preserve">r </w:t>
      </w:r>
      <w:r w:rsidRPr="00EA11F2">
        <w:rPr>
          <w:i/>
          <w:iCs/>
          <w:spacing w:val="3"/>
        </w:rPr>
        <w:t>Y</w:t>
      </w:r>
      <w:r w:rsidRPr="00EA11F2">
        <w:rPr>
          <w:i/>
          <w:iCs/>
          <w:spacing w:val="-1"/>
        </w:rPr>
        <w:t>e</w:t>
      </w:r>
      <w:r w:rsidRPr="00EA11F2">
        <w:rPr>
          <w:i/>
          <w:iCs/>
        </w:rPr>
        <w:t>ar)</w:t>
      </w:r>
    </w:p>
    <w:tbl>
      <w:tblPr>
        <w:tblW w:w="9395" w:type="dxa"/>
        <w:jc w:val="center"/>
        <w:tblLayout w:type="fixed"/>
        <w:tblCellMar>
          <w:left w:w="0" w:type="dxa"/>
          <w:right w:w="0" w:type="dxa"/>
        </w:tblCellMar>
        <w:tblLook w:val="0000" w:firstRow="0" w:lastRow="0" w:firstColumn="0" w:lastColumn="0" w:noHBand="0" w:noVBand="0"/>
      </w:tblPr>
      <w:tblGrid>
        <w:gridCol w:w="1947"/>
        <w:gridCol w:w="1737"/>
        <w:gridCol w:w="2016"/>
        <w:gridCol w:w="2034"/>
        <w:gridCol w:w="1661"/>
      </w:tblGrid>
      <w:tr w:rsidR="00EA11F2" w:rsidRPr="00EA11F2" w14:paraId="4FED86B6" w14:textId="77777777" w:rsidTr="003D361F">
        <w:trPr>
          <w:trHeight w:hRule="exact" w:val="516"/>
          <w:jc w:val="center"/>
        </w:trPr>
        <w:tc>
          <w:tcPr>
            <w:tcW w:w="1947" w:type="dxa"/>
            <w:tcBorders>
              <w:top w:val="single" w:sz="4" w:space="0" w:color="000000"/>
              <w:left w:val="single" w:sz="4" w:space="0" w:color="000000"/>
              <w:bottom w:val="single" w:sz="9" w:space="0" w:color="000000"/>
              <w:right w:val="single" w:sz="4" w:space="0" w:color="000000"/>
            </w:tcBorders>
          </w:tcPr>
          <w:p w14:paraId="339B0361" w14:textId="77777777" w:rsidR="0084642D" w:rsidRPr="003D361F" w:rsidRDefault="0084642D" w:rsidP="004D4BC6">
            <w:pPr>
              <w:keepNext/>
              <w:keepLines/>
              <w:widowControl/>
              <w:kinsoku w:val="0"/>
              <w:overflowPunct w:val="0"/>
              <w:spacing w:before="7" w:line="200" w:lineRule="exact"/>
              <w:jc w:val="center"/>
              <w:rPr>
                <w:sz w:val="22"/>
                <w:szCs w:val="22"/>
              </w:rPr>
            </w:pPr>
          </w:p>
          <w:p w14:paraId="5CDD6519" w14:textId="77777777" w:rsidR="0084642D" w:rsidRPr="003D361F" w:rsidRDefault="0084642D" w:rsidP="004D4BC6">
            <w:pPr>
              <w:keepNext/>
              <w:keepLines/>
              <w:widowControl/>
              <w:kinsoku w:val="0"/>
              <w:overflowPunct w:val="0"/>
              <w:spacing w:line="249" w:lineRule="exact"/>
              <w:ind w:left="102"/>
              <w:jc w:val="center"/>
              <w:rPr>
                <w:sz w:val="22"/>
                <w:szCs w:val="22"/>
              </w:rPr>
            </w:pPr>
            <w:r w:rsidRPr="00EA11F2">
              <w:rPr>
                <w:b/>
                <w:bCs/>
                <w:spacing w:val="-1"/>
                <w:sz w:val="22"/>
                <w:szCs w:val="22"/>
              </w:rPr>
              <w:t>T</w:t>
            </w:r>
            <w:r w:rsidRPr="00EA11F2">
              <w:rPr>
                <w:b/>
                <w:bCs/>
                <w:sz w:val="22"/>
                <w:szCs w:val="22"/>
              </w:rPr>
              <w:t>y</w:t>
            </w:r>
            <w:r w:rsidRPr="00EA11F2">
              <w:rPr>
                <w:b/>
                <w:bCs/>
                <w:spacing w:val="-1"/>
                <w:sz w:val="22"/>
                <w:szCs w:val="22"/>
              </w:rPr>
              <w:t>p</w:t>
            </w:r>
            <w:r w:rsidRPr="00EA11F2">
              <w:rPr>
                <w:b/>
                <w:bCs/>
                <w:sz w:val="22"/>
                <w:szCs w:val="22"/>
              </w:rPr>
              <w:t xml:space="preserve">e </w:t>
            </w:r>
            <w:r w:rsidRPr="00EA11F2">
              <w:rPr>
                <w:b/>
                <w:bCs/>
                <w:spacing w:val="-3"/>
                <w:sz w:val="22"/>
                <w:szCs w:val="22"/>
              </w:rPr>
              <w:t>o</w:t>
            </w:r>
            <w:r w:rsidRPr="00EA11F2">
              <w:rPr>
                <w:b/>
                <w:bCs/>
                <w:sz w:val="22"/>
                <w:szCs w:val="22"/>
              </w:rPr>
              <w:t>f</w:t>
            </w:r>
            <w:r w:rsidRPr="00EA11F2">
              <w:rPr>
                <w:b/>
                <w:bCs/>
                <w:spacing w:val="3"/>
                <w:sz w:val="22"/>
                <w:szCs w:val="22"/>
              </w:rPr>
              <w:t xml:space="preserve"> </w:t>
            </w:r>
            <w:r w:rsidRPr="00EA11F2">
              <w:rPr>
                <w:b/>
                <w:bCs/>
                <w:spacing w:val="-1"/>
                <w:sz w:val="22"/>
                <w:szCs w:val="22"/>
              </w:rPr>
              <w:t>R</w:t>
            </w:r>
            <w:r w:rsidRPr="00EA11F2">
              <w:rPr>
                <w:b/>
                <w:bCs/>
                <w:spacing w:val="-3"/>
                <w:sz w:val="22"/>
                <w:szCs w:val="22"/>
              </w:rPr>
              <w:t>e</w:t>
            </w:r>
            <w:r w:rsidRPr="00EA11F2">
              <w:rPr>
                <w:b/>
                <w:bCs/>
                <w:sz w:val="22"/>
                <w:szCs w:val="22"/>
              </w:rPr>
              <w:t>s</w:t>
            </w:r>
            <w:r w:rsidRPr="00EA11F2">
              <w:rPr>
                <w:b/>
                <w:bCs/>
                <w:spacing w:val="-1"/>
                <w:sz w:val="22"/>
                <w:szCs w:val="22"/>
              </w:rPr>
              <w:t>p</w:t>
            </w:r>
            <w:r w:rsidRPr="00EA11F2">
              <w:rPr>
                <w:b/>
                <w:bCs/>
                <w:sz w:val="22"/>
                <w:szCs w:val="22"/>
              </w:rPr>
              <w:t>o</w:t>
            </w:r>
            <w:r w:rsidRPr="00EA11F2">
              <w:rPr>
                <w:b/>
                <w:bCs/>
                <w:spacing w:val="-1"/>
                <w:sz w:val="22"/>
                <w:szCs w:val="22"/>
              </w:rPr>
              <w:t>n</w:t>
            </w:r>
            <w:r w:rsidRPr="00EA11F2">
              <w:rPr>
                <w:b/>
                <w:bCs/>
                <w:sz w:val="22"/>
                <w:szCs w:val="22"/>
              </w:rPr>
              <w:t>s</w:t>
            </w:r>
            <w:r w:rsidRPr="00EA11F2">
              <w:rPr>
                <w:b/>
                <w:bCs/>
                <w:spacing w:val="-3"/>
                <w:sz w:val="22"/>
                <w:szCs w:val="22"/>
              </w:rPr>
              <w:t>e</w:t>
            </w:r>
            <w:r w:rsidRPr="00EA11F2">
              <w:rPr>
                <w:b/>
                <w:bCs/>
                <w:sz w:val="22"/>
                <w:szCs w:val="22"/>
              </w:rPr>
              <w:t>s</w:t>
            </w:r>
          </w:p>
        </w:tc>
        <w:tc>
          <w:tcPr>
            <w:tcW w:w="1737" w:type="dxa"/>
            <w:tcBorders>
              <w:top w:val="single" w:sz="4" w:space="0" w:color="000000"/>
              <w:left w:val="single" w:sz="4" w:space="0" w:color="000000"/>
              <w:bottom w:val="single" w:sz="9" w:space="0" w:color="000000"/>
              <w:right w:val="single" w:sz="4" w:space="0" w:color="000000"/>
            </w:tcBorders>
          </w:tcPr>
          <w:p w14:paraId="347C4726" w14:textId="77777777" w:rsidR="0084642D" w:rsidRPr="003D361F" w:rsidRDefault="0084642D" w:rsidP="004D4BC6">
            <w:pPr>
              <w:keepNext/>
              <w:keepLines/>
              <w:widowControl/>
              <w:kinsoku w:val="0"/>
              <w:overflowPunct w:val="0"/>
              <w:spacing w:line="252" w:lineRule="exact"/>
              <w:ind w:left="102" w:right="321"/>
              <w:jc w:val="center"/>
              <w:rPr>
                <w:sz w:val="22"/>
                <w:szCs w:val="22"/>
              </w:rPr>
            </w:pPr>
            <w:r w:rsidRPr="00EA11F2">
              <w:rPr>
                <w:b/>
                <w:bCs/>
                <w:spacing w:val="-1"/>
                <w:sz w:val="22"/>
                <w:szCs w:val="22"/>
              </w:rPr>
              <w:t>Nu</w:t>
            </w:r>
            <w:r w:rsidRPr="00EA11F2">
              <w:rPr>
                <w:b/>
                <w:bCs/>
                <w:sz w:val="22"/>
                <w:szCs w:val="22"/>
              </w:rPr>
              <w:t>m</w:t>
            </w:r>
            <w:r w:rsidRPr="00EA11F2">
              <w:rPr>
                <w:b/>
                <w:bCs/>
                <w:spacing w:val="-1"/>
                <w:sz w:val="22"/>
                <w:szCs w:val="22"/>
              </w:rPr>
              <w:t>b</w:t>
            </w:r>
            <w:r w:rsidRPr="00EA11F2">
              <w:rPr>
                <w:b/>
                <w:bCs/>
                <w:sz w:val="22"/>
                <w:szCs w:val="22"/>
              </w:rPr>
              <w:t xml:space="preserve">er </w:t>
            </w:r>
            <w:r w:rsidRPr="00EA11F2">
              <w:rPr>
                <w:b/>
                <w:bCs/>
                <w:spacing w:val="-3"/>
                <w:sz w:val="22"/>
                <w:szCs w:val="22"/>
              </w:rPr>
              <w:t>o</w:t>
            </w:r>
            <w:r w:rsidRPr="00EA11F2">
              <w:rPr>
                <w:b/>
                <w:bCs/>
                <w:sz w:val="22"/>
                <w:szCs w:val="22"/>
              </w:rPr>
              <w:t xml:space="preserve">f </w:t>
            </w:r>
            <w:r w:rsidRPr="00EA11F2">
              <w:rPr>
                <w:b/>
                <w:bCs/>
                <w:spacing w:val="-1"/>
                <w:sz w:val="22"/>
                <w:szCs w:val="22"/>
              </w:rPr>
              <w:t>R</w:t>
            </w:r>
            <w:r w:rsidRPr="00EA11F2">
              <w:rPr>
                <w:b/>
                <w:bCs/>
                <w:sz w:val="22"/>
                <w:szCs w:val="22"/>
              </w:rPr>
              <w:t>es</w:t>
            </w:r>
            <w:r w:rsidRPr="00EA11F2">
              <w:rPr>
                <w:b/>
                <w:bCs/>
                <w:spacing w:val="-1"/>
                <w:sz w:val="22"/>
                <w:szCs w:val="22"/>
              </w:rPr>
              <w:t>p</w:t>
            </w:r>
            <w:r w:rsidRPr="00EA11F2">
              <w:rPr>
                <w:b/>
                <w:bCs/>
                <w:sz w:val="22"/>
                <w:szCs w:val="22"/>
              </w:rPr>
              <w:t>o</w:t>
            </w:r>
            <w:r w:rsidRPr="00EA11F2">
              <w:rPr>
                <w:b/>
                <w:bCs/>
                <w:spacing w:val="-1"/>
                <w:sz w:val="22"/>
                <w:szCs w:val="22"/>
              </w:rPr>
              <w:t>nd</w:t>
            </w:r>
            <w:r w:rsidRPr="00EA11F2">
              <w:rPr>
                <w:b/>
                <w:bCs/>
                <w:sz w:val="22"/>
                <w:szCs w:val="22"/>
              </w:rPr>
              <w:t>e</w:t>
            </w:r>
            <w:r w:rsidRPr="00EA11F2">
              <w:rPr>
                <w:b/>
                <w:bCs/>
                <w:spacing w:val="-3"/>
                <w:sz w:val="22"/>
                <w:szCs w:val="22"/>
              </w:rPr>
              <w:t>n</w:t>
            </w:r>
            <w:r w:rsidRPr="00EA11F2">
              <w:rPr>
                <w:b/>
                <w:bCs/>
                <w:sz w:val="22"/>
                <w:szCs w:val="22"/>
              </w:rPr>
              <w:t>ts</w:t>
            </w:r>
          </w:p>
        </w:tc>
        <w:tc>
          <w:tcPr>
            <w:tcW w:w="2016" w:type="dxa"/>
            <w:tcBorders>
              <w:top w:val="single" w:sz="4" w:space="0" w:color="000000"/>
              <w:left w:val="single" w:sz="4" w:space="0" w:color="000000"/>
              <w:bottom w:val="single" w:sz="4" w:space="0" w:color="000000"/>
              <w:right w:val="single" w:sz="4" w:space="0" w:color="000000"/>
            </w:tcBorders>
          </w:tcPr>
          <w:p w14:paraId="1EC25932" w14:textId="77777777" w:rsidR="0084642D" w:rsidRPr="003D361F" w:rsidRDefault="0084642D" w:rsidP="004D4BC6">
            <w:pPr>
              <w:keepNext/>
              <w:keepLines/>
              <w:widowControl/>
              <w:kinsoku w:val="0"/>
              <w:overflowPunct w:val="0"/>
              <w:spacing w:line="252" w:lineRule="exact"/>
              <w:ind w:left="102" w:right="382"/>
              <w:jc w:val="center"/>
              <w:rPr>
                <w:sz w:val="22"/>
                <w:szCs w:val="22"/>
              </w:rPr>
            </w:pPr>
            <w:r w:rsidRPr="00EA11F2">
              <w:rPr>
                <w:b/>
                <w:bCs/>
                <w:spacing w:val="-1"/>
                <w:sz w:val="22"/>
                <w:szCs w:val="22"/>
              </w:rPr>
              <w:t>E</w:t>
            </w:r>
            <w:r w:rsidRPr="00EA11F2">
              <w:rPr>
                <w:b/>
                <w:bCs/>
                <w:sz w:val="22"/>
                <w:szCs w:val="22"/>
              </w:rPr>
              <w:t>st</w:t>
            </w:r>
            <w:r w:rsidRPr="00EA11F2">
              <w:rPr>
                <w:b/>
                <w:bCs/>
                <w:spacing w:val="-2"/>
                <w:sz w:val="22"/>
                <w:szCs w:val="22"/>
              </w:rPr>
              <w:t>i</w:t>
            </w:r>
            <w:r w:rsidRPr="00EA11F2">
              <w:rPr>
                <w:b/>
                <w:bCs/>
                <w:sz w:val="22"/>
                <w:szCs w:val="22"/>
              </w:rPr>
              <w:t>ma</w:t>
            </w:r>
            <w:r w:rsidRPr="00EA11F2">
              <w:rPr>
                <w:b/>
                <w:bCs/>
                <w:spacing w:val="-2"/>
                <w:sz w:val="22"/>
                <w:szCs w:val="22"/>
              </w:rPr>
              <w:t>t</w:t>
            </w:r>
            <w:r w:rsidRPr="00EA11F2">
              <w:rPr>
                <w:b/>
                <w:bCs/>
                <w:sz w:val="22"/>
                <w:szCs w:val="22"/>
              </w:rPr>
              <w:t>ed</w:t>
            </w:r>
            <w:r w:rsidRPr="00EA11F2">
              <w:rPr>
                <w:b/>
                <w:bCs/>
                <w:spacing w:val="-1"/>
                <w:sz w:val="22"/>
                <w:szCs w:val="22"/>
              </w:rPr>
              <w:t xml:space="preserve"> T</w:t>
            </w:r>
            <w:r w:rsidRPr="00EA11F2">
              <w:rPr>
                <w:b/>
                <w:bCs/>
                <w:spacing w:val="-2"/>
                <w:sz w:val="22"/>
                <w:szCs w:val="22"/>
              </w:rPr>
              <w:t>i</w:t>
            </w:r>
            <w:r w:rsidRPr="00EA11F2">
              <w:rPr>
                <w:b/>
                <w:bCs/>
                <w:sz w:val="22"/>
                <w:szCs w:val="22"/>
              </w:rPr>
              <w:t xml:space="preserve">me </w:t>
            </w:r>
            <w:r w:rsidRPr="00EA11F2">
              <w:rPr>
                <w:b/>
                <w:bCs/>
                <w:spacing w:val="-1"/>
                <w:sz w:val="22"/>
                <w:szCs w:val="22"/>
              </w:rPr>
              <w:t>p</w:t>
            </w:r>
            <w:r w:rsidRPr="00EA11F2">
              <w:rPr>
                <w:b/>
                <w:bCs/>
                <w:sz w:val="22"/>
                <w:szCs w:val="22"/>
              </w:rPr>
              <w:t xml:space="preserve">er </w:t>
            </w:r>
            <w:r w:rsidRPr="00EA11F2">
              <w:rPr>
                <w:b/>
                <w:bCs/>
                <w:spacing w:val="-2"/>
                <w:sz w:val="22"/>
                <w:szCs w:val="22"/>
              </w:rPr>
              <w:t>R</w:t>
            </w:r>
            <w:r w:rsidRPr="00EA11F2">
              <w:rPr>
                <w:b/>
                <w:bCs/>
                <w:sz w:val="22"/>
                <w:szCs w:val="22"/>
              </w:rPr>
              <w:t>es</w:t>
            </w:r>
            <w:r w:rsidRPr="00EA11F2">
              <w:rPr>
                <w:b/>
                <w:bCs/>
                <w:spacing w:val="-1"/>
                <w:sz w:val="22"/>
                <w:szCs w:val="22"/>
              </w:rPr>
              <w:t>p</w:t>
            </w:r>
            <w:r w:rsidRPr="00EA11F2">
              <w:rPr>
                <w:b/>
                <w:bCs/>
                <w:sz w:val="22"/>
                <w:szCs w:val="22"/>
              </w:rPr>
              <w:t>o</w:t>
            </w:r>
            <w:r w:rsidRPr="00EA11F2">
              <w:rPr>
                <w:b/>
                <w:bCs/>
                <w:spacing w:val="-3"/>
                <w:sz w:val="22"/>
                <w:szCs w:val="22"/>
              </w:rPr>
              <w:t>n</w:t>
            </w:r>
            <w:r w:rsidRPr="00EA11F2">
              <w:rPr>
                <w:b/>
                <w:bCs/>
                <w:sz w:val="22"/>
                <w:szCs w:val="22"/>
              </w:rPr>
              <w:t>se</w:t>
            </w:r>
          </w:p>
        </w:tc>
        <w:tc>
          <w:tcPr>
            <w:tcW w:w="2034" w:type="dxa"/>
            <w:tcBorders>
              <w:top w:val="single" w:sz="4" w:space="0" w:color="000000"/>
              <w:left w:val="single" w:sz="4" w:space="0" w:color="000000"/>
              <w:bottom w:val="single" w:sz="4" w:space="0" w:color="000000"/>
              <w:right w:val="single" w:sz="4" w:space="0" w:color="000000"/>
            </w:tcBorders>
          </w:tcPr>
          <w:p w14:paraId="20E48538" w14:textId="77777777" w:rsidR="0084642D" w:rsidRPr="003D361F" w:rsidRDefault="0084642D" w:rsidP="004D4BC6">
            <w:pPr>
              <w:keepNext/>
              <w:keepLines/>
              <w:widowControl/>
              <w:kinsoku w:val="0"/>
              <w:overflowPunct w:val="0"/>
              <w:spacing w:line="252" w:lineRule="exact"/>
              <w:ind w:left="99" w:right="662"/>
              <w:jc w:val="center"/>
              <w:rPr>
                <w:sz w:val="22"/>
                <w:szCs w:val="22"/>
              </w:rPr>
            </w:pPr>
            <w:r w:rsidRPr="00EA11F2">
              <w:rPr>
                <w:b/>
                <w:bCs/>
                <w:spacing w:val="1"/>
                <w:sz w:val="22"/>
                <w:szCs w:val="22"/>
              </w:rPr>
              <w:t>F</w:t>
            </w:r>
            <w:r w:rsidRPr="00EA11F2">
              <w:rPr>
                <w:b/>
                <w:bCs/>
                <w:spacing w:val="-3"/>
                <w:sz w:val="22"/>
                <w:szCs w:val="22"/>
              </w:rPr>
              <w:t>r</w:t>
            </w:r>
            <w:r w:rsidRPr="00EA11F2">
              <w:rPr>
                <w:b/>
                <w:bCs/>
                <w:sz w:val="22"/>
                <w:szCs w:val="22"/>
              </w:rPr>
              <w:t>e</w:t>
            </w:r>
            <w:r w:rsidRPr="00EA11F2">
              <w:rPr>
                <w:b/>
                <w:bCs/>
                <w:spacing w:val="-1"/>
                <w:sz w:val="22"/>
                <w:szCs w:val="22"/>
              </w:rPr>
              <w:t>qu</w:t>
            </w:r>
            <w:r w:rsidRPr="00EA11F2">
              <w:rPr>
                <w:b/>
                <w:bCs/>
                <w:sz w:val="22"/>
                <w:szCs w:val="22"/>
              </w:rPr>
              <w:t>e</w:t>
            </w:r>
            <w:r w:rsidRPr="00EA11F2">
              <w:rPr>
                <w:b/>
                <w:bCs/>
                <w:spacing w:val="-1"/>
                <w:sz w:val="22"/>
                <w:szCs w:val="22"/>
              </w:rPr>
              <w:t>n</w:t>
            </w:r>
            <w:r w:rsidRPr="00EA11F2">
              <w:rPr>
                <w:b/>
                <w:bCs/>
                <w:sz w:val="22"/>
                <w:szCs w:val="22"/>
              </w:rPr>
              <w:t>cy</w:t>
            </w:r>
            <w:r w:rsidRPr="00EA11F2">
              <w:rPr>
                <w:b/>
                <w:bCs/>
                <w:spacing w:val="-3"/>
                <w:sz w:val="22"/>
                <w:szCs w:val="22"/>
              </w:rPr>
              <w:t xml:space="preserve"> o</w:t>
            </w:r>
            <w:r w:rsidRPr="00EA11F2">
              <w:rPr>
                <w:b/>
                <w:bCs/>
                <w:sz w:val="22"/>
                <w:szCs w:val="22"/>
              </w:rPr>
              <w:t xml:space="preserve">f </w:t>
            </w:r>
            <w:r w:rsidRPr="00EA11F2">
              <w:rPr>
                <w:b/>
                <w:bCs/>
                <w:spacing w:val="-1"/>
                <w:sz w:val="22"/>
                <w:szCs w:val="22"/>
              </w:rPr>
              <w:t>R</w:t>
            </w:r>
            <w:r w:rsidRPr="00EA11F2">
              <w:rPr>
                <w:b/>
                <w:bCs/>
                <w:sz w:val="22"/>
                <w:szCs w:val="22"/>
              </w:rPr>
              <w:t>es</w:t>
            </w:r>
            <w:r w:rsidRPr="00EA11F2">
              <w:rPr>
                <w:b/>
                <w:bCs/>
                <w:spacing w:val="-1"/>
                <w:sz w:val="22"/>
                <w:szCs w:val="22"/>
              </w:rPr>
              <w:t>p</w:t>
            </w:r>
            <w:r w:rsidRPr="00EA11F2">
              <w:rPr>
                <w:b/>
                <w:bCs/>
                <w:sz w:val="22"/>
                <w:szCs w:val="22"/>
              </w:rPr>
              <w:t>o</w:t>
            </w:r>
            <w:r w:rsidRPr="00EA11F2">
              <w:rPr>
                <w:b/>
                <w:bCs/>
                <w:spacing w:val="-1"/>
                <w:sz w:val="22"/>
                <w:szCs w:val="22"/>
              </w:rPr>
              <w:t>n</w:t>
            </w:r>
            <w:r w:rsidRPr="00EA11F2">
              <w:rPr>
                <w:b/>
                <w:bCs/>
                <w:sz w:val="22"/>
                <w:szCs w:val="22"/>
              </w:rPr>
              <w:t>s</w:t>
            </w:r>
            <w:r w:rsidRPr="00EA11F2">
              <w:rPr>
                <w:b/>
                <w:bCs/>
                <w:spacing w:val="-3"/>
                <w:sz w:val="22"/>
                <w:szCs w:val="22"/>
              </w:rPr>
              <w:t>e</w:t>
            </w:r>
            <w:r w:rsidRPr="00EA11F2">
              <w:rPr>
                <w:b/>
                <w:bCs/>
                <w:sz w:val="22"/>
                <w:szCs w:val="22"/>
              </w:rPr>
              <w:t>s</w:t>
            </w:r>
          </w:p>
        </w:tc>
        <w:tc>
          <w:tcPr>
            <w:tcW w:w="1661" w:type="dxa"/>
            <w:tcBorders>
              <w:top w:val="single" w:sz="4" w:space="0" w:color="000000"/>
              <w:left w:val="single" w:sz="4" w:space="0" w:color="000000"/>
              <w:bottom w:val="single" w:sz="9" w:space="0" w:color="000000"/>
              <w:right w:val="single" w:sz="4" w:space="0" w:color="auto"/>
            </w:tcBorders>
          </w:tcPr>
          <w:p w14:paraId="79D775B4" w14:textId="77777777" w:rsidR="0084642D" w:rsidRPr="003D361F" w:rsidRDefault="0084642D" w:rsidP="004D4BC6">
            <w:pPr>
              <w:keepNext/>
              <w:keepLines/>
              <w:widowControl/>
              <w:kinsoku w:val="0"/>
              <w:overflowPunct w:val="0"/>
              <w:spacing w:line="252" w:lineRule="exact"/>
              <w:ind w:left="102" w:right="199"/>
              <w:jc w:val="center"/>
              <w:rPr>
                <w:sz w:val="22"/>
                <w:szCs w:val="22"/>
              </w:rPr>
            </w:pPr>
            <w:r w:rsidRPr="00EA11F2">
              <w:rPr>
                <w:b/>
                <w:bCs/>
                <w:spacing w:val="-1"/>
                <w:sz w:val="22"/>
                <w:szCs w:val="22"/>
              </w:rPr>
              <w:t>T</w:t>
            </w:r>
            <w:r w:rsidRPr="00EA11F2">
              <w:rPr>
                <w:b/>
                <w:bCs/>
                <w:sz w:val="22"/>
                <w:szCs w:val="22"/>
              </w:rPr>
              <w:t>otal</w:t>
            </w:r>
            <w:r w:rsidRPr="00EA11F2">
              <w:rPr>
                <w:b/>
                <w:bCs/>
                <w:spacing w:val="-2"/>
                <w:sz w:val="22"/>
                <w:szCs w:val="22"/>
              </w:rPr>
              <w:t xml:space="preserve"> </w:t>
            </w:r>
            <w:r w:rsidRPr="00EA11F2">
              <w:rPr>
                <w:b/>
                <w:bCs/>
                <w:spacing w:val="1"/>
                <w:sz w:val="22"/>
                <w:szCs w:val="22"/>
              </w:rPr>
              <w:t>Y</w:t>
            </w:r>
            <w:r w:rsidRPr="00EA11F2">
              <w:rPr>
                <w:b/>
                <w:bCs/>
                <w:spacing w:val="-3"/>
                <w:sz w:val="22"/>
                <w:szCs w:val="22"/>
              </w:rPr>
              <w:t>e</w:t>
            </w:r>
            <w:r w:rsidRPr="00EA11F2">
              <w:rPr>
                <w:b/>
                <w:bCs/>
                <w:sz w:val="22"/>
                <w:szCs w:val="22"/>
              </w:rPr>
              <w:t>ar</w:t>
            </w:r>
            <w:r w:rsidRPr="00EA11F2">
              <w:rPr>
                <w:b/>
                <w:bCs/>
                <w:spacing w:val="-2"/>
                <w:sz w:val="22"/>
                <w:szCs w:val="22"/>
              </w:rPr>
              <w:t>l</w:t>
            </w:r>
            <w:r w:rsidRPr="00EA11F2">
              <w:rPr>
                <w:b/>
                <w:bCs/>
                <w:sz w:val="22"/>
                <w:szCs w:val="22"/>
              </w:rPr>
              <w:t xml:space="preserve">y </w:t>
            </w:r>
            <w:r w:rsidRPr="00EA11F2">
              <w:rPr>
                <w:b/>
                <w:bCs/>
                <w:spacing w:val="1"/>
                <w:sz w:val="22"/>
                <w:szCs w:val="22"/>
              </w:rPr>
              <w:t>B</w:t>
            </w:r>
            <w:r w:rsidRPr="00EA11F2">
              <w:rPr>
                <w:b/>
                <w:bCs/>
                <w:spacing w:val="-1"/>
                <w:sz w:val="22"/>
                <w:szCs w:val="22"/>
              </w:rPr>
              <w:t>u</w:t>
            </w:r>
            <w:r w:rsidRPr="00EA11F2">
              <w:rPr>
                <w:b/>
                <w:bCs/>
                <w:sz w:val="22"/>
                <w:szCs w:val="22"/>
              </w:rPr>
              <w:t>r</w:t>
            </w:r>
            <w:r w:rsidRPr="00EA11F2">
              <w:rPr>
                <w:b/>
                <w:bCs/>
                <w:spacing w:val="-3"/>
                <w:sz w:val="22"/>
                <w:szCs w:val="22"/>
              </w:rPr>
              <w:t>d</w:t>
            </w:r>
            <w:r w:rsidRPr="00EA11F2">
              <w:rPr>
                <w:b/>
                <w:bCs/>
                <w:sz w:val="22"/>
                <w:szCs w:val="22"/>
              </w:rPr>
              <w:t>en</w:t>
            </w:r>
            <w:r w:rsidRPr="00EA11F2">
              <w:rPr>
                <w:b/>
                <w:bCs/>
                <w:spacing w:val="-1"/>
                <w:sz w:val="22"/>
                <w:szCs w:val="22"/>
              </w:rPr>
              <w:t xml:space="preserve"> </w:t>
            </w:r>
            <w:r w:rsidRPr="00EA11F2">
              <w:rPr>
                <w:b/>
                <w:bCs/>
                <w:spacing w:val="1"/>
                <w:sz w:val="22"/>
                <w:szCs w:val="22"/>
              </w:rPr>
              <w:t>H</w:t>
            </w:r>
            <w:r w:rsidRPr="00EA11F2">
              <w:rPr>
                <w:b/>
                <w:bCs/>
                <w:sz w:val="22"/>
                <w:szCs w:val="22"/>
              </w:rPr>
              <w:t>o</w:t>
            </w:r>
            <w:r w:rsidRPr="00EA11F2">
              <w:rPr>
                <w:b/>
                <w:bCs/>
                <w:spacing w:val="-3"/>
                <w:sz w:val="22"/>
                <w:szCs w:val="22"/>
              </w:rPr>
              <w:t>u</w:t>
            </w:r>
            <w:r w:rsidRPr="00EA11F2">
              <w:rPr>
                <w:b/>
                <w:bCs/>
                <w:sz w:val="22"/>
                <w:szCs w:val="22"/>
              </w:rPr>
              <w:t>rs</w:t>
            </w:r>
          </w:p>
        </w:tc>
      </w:tr>
      <w:tr w:rsidR="00EA11F2" w:rsidRPr="00EA11F2" w14:paraId="1C38BD78" w14:textId="77777777" w:rsidTr="003D361F">
        <w:trPr>
          <w:trHeight w:hRule="exact" w:val="262"/>
          <w:jc w:val="center"/>
        </w:trPr>
        <w:tc>
          <w:tcPr>
            <w:tcW w:w="1947" w:type="dxa"/>
            <w:tcBorders>
              <w:top w:val="single" w:sz="9" w:space="0" w:color="000000"/>
              <w:left w:val="single" w:sz="4" w:space="0" w:color="000000"/>
              <w:bottom w:val="single" w:sz="4" w:space="0" w:color="000000"/>
              <w:right w:val="single" w:sz="4" w:space="0" w:color="000000"/>
            </w:tcBorders>
          </w:tcPr>
          <w:p w14:paraId="6E560919" w14:textId="77777777" w:rsidR="0084642D" w:rsidRPr="003D361F" w:rsidRDefault="0084642D" w:rsidP="004D4BC6">
            <w:pPr>
              <w:keepNext/>
              <w:keepLines/>
              <w:widowControl/>
              <w:kinsoku w:val="0"/>
              <w:overflowPunct w:val="0"/>
              <w:spacing w:line="240" w:lineRule="exact"/>
              <w:ind w:left="102"/>
              <w:jc w:val="center"/>
              <w:rPr>
                <w:sz w:val="22"/>
                <w:szCs w:val="22"/>
              </w:rPr>
            </w:pPr>
            <w:r w:rsidRPr="00EA11F2">
              <w:rPr>
                <w:sz w:val="22"/>
                <w:szCs w:val="22"/>
              </w:rPr>
              <w:t>Wee</w:t>
            </w:r>
            <w:r w:rsidRPr="00EA11F2">
              <w:rPr>
                <w:spacing w:val="-3"/>
                <w:sz w:val="22"/>
                <w:szCs w:val="22"/>
              </w:rPr>
              <w:t>k</w:t>
            </w:r>
            <w:r w:rsidRPr="00EA11F2">
              <w:rPr>
                <w:spacing w:val="1"/>
                <w:sz w:val="22"/>
                <w:szCs w:val="22"/>
              </w:rPr>
              <w:t>l</w:t>
            </w:r>
            <w:r w:rsidRPr="00EA11F2">
              <w:rPr>
                <w:sz w:val="22"/>
                <w:szCs w:val="22"/>
              </w:rPr>
              <w:t>y</w:t>
            </w:r>
          </w:p>
        </w:tc>
        <w:tc>
          <w:tcPr>
            <w:tcW w:w="1737" w:type="dxa"/>
            <w:tcBorders>
              <w:top w:val="single" w:sz="9" w:space="0" w:color="000000"/>
              <w:left w:val="single" w:sz="4" w:space="0" w:color="000000"/>
              <w:bottom w:val="single" w:sz="4" w:space="0" w:color="000000"/>
              <w:right w:val="single" w:sz="4" w:space="0" w:color="000000"/>
            </w:tcBorders>
          </w:tcPr>
          <w:p w14:paraId="75A7FA51" w14:textId="77777777" w:rsidR="0084642D" w:rsidRPr="003D361F" w:rsidRDefault="0084642D" w:rsidP="004D4BC6">
            <w:pPr>
              <w:keepNext/>
              <w:keepLines/>
              <w:widowControl/>
              <w:kinsoku w:val="0"/>
              <w:overflowPunct w:val="0"/>
              <w:spacing w:line="240" w:lineRule="exact"/>
              <w:ind w:left="102"/>
              <w:jc w:val="center"/>
              <w:rPr>
                <w:sz w:val="22"/>
                <w:szCs w:val="22"/>
              </w:rPr>
            </w:pPr>
            <w:r w:rsidRPr="00EA11F2">
              <w:rPr>
                <w:sz w:val="22"/>
                <w:szCs w:val="22"/>
              </w:rPr>
              <w:t>7</w:t>
            </w:r>
          </w:p>
        </w:tc>
        <w:tc>
          <w:tcPr>
            <w:tcW w:w="2016" w:type="dxa"/>
            <w:tcBorders>
              <w:top w:val="single" w:sz="4" w:space="0" w:color="000000"/>
              <w:left w:val="single" w:sz="4" w:space="0" w:color="000000"/>
              <w:bottom w:val="single" w:sz="4" w:space="0" w:color="000000"/>
              <w:right w:val="single" w:sz="4" w:space="0" w:color="000000"/>
            </w:tcBorders>
          </w:tcPr>
          <w:p w14:paraId="483AE78B" w14:textId="77777777" w:rsidR="0084642D" w:rsidRPr="003D361F" w:rsidRDefault="0084642D" w:rsidP="004D4BC6">
            <w:pPr>
              <w:keepNext/>
              <w:keepLines/>
              <w:widowControl/>
              <w:kinsoku w:val="0"/>
              <w:overflowPunct w:val="0"/>
              <w:spacing w:line="246" w:lineRule="exact"/>
              <w:ind w:left="102"/>
              <w:jc w:val="center"/>
              <w:rPr>
                <w:sz w:val="22"/>
                <w:szCs w:val="22"/>
              </w:rPr>
            </w:pPr>
            <w:r w:rsidRPr="00EA11F2">
              <w:rPr>
                <w:sz w:val="22"/>
                <w:szCs w:val="22"/>
              </w:rPr>
              <w:t>3 hou</w:t>
            </w:r>
            <w:r w:rsidRPr="00EA11F2">
              <w:rPr>
                <w:spacing w:val="-2"/>
                <w:sz w:val="22"/>
                <w:szCs w:val="22"/>
              </w:rPr>
              <w:t>r</w:t>
            </w:r>
            <w:r w:rsidRPr="00EA11F2">
              <w:rPr>
                <w:sz w:val="22"/>
                <w:szCs w:val="22"/>
              </w:rPr>
              <w:t>s</w:t>
            </w:r>
          </w:p>
        </w:tc>
        <w:tc>
          <w:tcPr>
            <w:tcW w:w="2034" w:type="dxa"/>
            <w:tcBorders>
              <w:top w:val="single" w:sz="4" w:space="0" w:color="000000"/>
              <w:left w:val="single" w:sz="4" w:space="0" w:color="000000"/>
              <w:bottom w:val="single" w:sz="4" w:space="0" w:color="000000"/>
              <w:right w:val="single" w:sz="4" w:space="0" w:color="000000"/>
            </w:tcBorders>
          </w:tcPr>
          <w:p w14:paraId="16D18B8D" w14:textId="77777777" w:rsidR="0084642D" w:rsidRPr="003D361F" w:rsidRDefault="0084642D" w:rsidP="004D4BC6">
            <w:pPr>
              <w:keepNext/>
              <w:keepLines/>
              <w:widowControl/>
              <w:kinsoku w:val="0"/>
              <w:overflowPunct w:val="0"/>
              <w:spacing w:line="246" w:lineRule="exact"/>
              <w:ind w:left="99"/>
              <w:jc w:val="center"/>
              <w:rPr>
                <w:sz w:val="22"/>
                <w:szCs w:val="22"/>
              </w:rPr>
            </w:pPr>
            <w:r w:rsidRPr="00EA11F2">
              <w:rPr>
                <w:sz w:val="22"/>
                <w:szCs w:val="22"/>
              </w:rPr>
              <w:t>52</w:t>
            </w:r>
            <w:r w:rsidRPr="00EA11F2">
              <w:rPr>
                <w:spacing w:val="1"/>
                <w:sz w:val="22"/>
                <w:szCs w:val="22"/>
              </w:rPr>
              <w:t>/</w:t>
            </w:r>
            <w:r w:rsidRPr="00EA11F2">
              <w:rPr>
                <w:spacing w:val="-3"/>
                <w:sz w:val="22"/>
                <w:szCs w:val="22"/>
              </w:rPr>
              <w:t>y</w:t>
            </w:r>
            <w:r w:rsidRPr="00EA11F2">
              <w:rPr>
                <w:sz w:val="22"/>
                <w:szCs w:val="22"/>
              </w:rPr>
              <w:t>ear</w:t>
            </w:r>
          </w:p>
        </w:tc>
        <w:tc>
          <w:tcPr>
            <w:tcW w:w="1661" w:type="dxa"/>
            <w:tcBorders>
              <w:top w:val="single" w:sz="9" w:space="0" w:color="000000"/>
              <w:left w:val="single" w:sz="4" w:space="0" w:color="000000"/>
              <w:bottom w:val="single" w:sz="4" w:space="0" w:color="000000"/>
              <w:right w:val="single" w:sz="4" w:space="0" w:color="auto"/>
            </w:tcBorders>
          </w:tcPr>
          <w:p w14:paraId="7FE361B5" w14:textId="77777777" w:rsidR="0084642D" w:rsidRPr="003D361F" w:rsidRDefault="0084642D" w:rsidP="004D4BC6">
            <w:pPr>
              <w:keepNext/>
              <w:keepLines/>
              <w:widowControl/>
              <w:kinsoku w:val="0"/>
              <w:overflowPunct w:val="0"/>
              <w:spacing w:line="240" w:lineRule="exact"/>
              <w:ind w:left="102"/>
              <w:jc w:val="center"/>
              <w:rPr>
                <w:sz w:val="22"/>
                <w:szCs w:val="22"/>
              </w:rPr>
            </w:pPr>
            <w:r w:rsidRPr="00EA11F2">
              <w:rPr>
                <w:sz w:val="22"/>
                <w:szCs w:val="22"/>
              </w:rPr>
              <w:t>1,092 ho</w:t>
            </w:r>
            <w:r w:rsidRPr="00EA11F2">
              <w:rPr>
                <w:spacing w:val="-3"/>
                <w:sz w:val="22"/>
                <w:szCs w:val="22"/>
              </w:rPr>
              <w:t>u</w:t>
            </w:r>
            <w:r w:rsidRPr="00EA11F2">
              <w:rPr>
                <w:sz w:val="22"/>
                <w:szCs w:val="22"/>
              </w:rPr>
              <w:t>rs</w:t>
            </w:r>
          </w:p>
        </w:tc>
      </w:tr>
      <w:tr w:rsidR="00EA11F2" w:rsidRPr="00EA11F2" w14:paraId="0B3B0CD3" w14:textId="77777777" w:rsidTr="003D361F">
        <w:trPr>
          <w:trHeight w:hRule="exact" w:val="264"/>
          <w:jc w:val="center"/>
        </w:trPr>
        <w:tc>
          <w:tcPr>
            <w:tcW w:w="1947" w:type="dxa"/>
            <w:tcBorders>
              <w:top w:val="single" w:sz="4" w:space="0" w:color="000000"/>
              <w:left w:val="single" w:sz="4" w:space="0" w:color="000000"/>
              <w:bottom w:val="single" w:sz="4" w:space="0" w:color="000000"/>
              <w:right w:val="single" w:sz="4" w:space="0" w:color="000000"/>
            </w:tcBorders>
          </w:tcPr>
          <w:p w14:paraId="1318C50C" w14:textId="77777777" w:rsidR="0084642D" w:rsidRPr="003D361F" w:rsidRDefault="0084642D" w:rsidP="004D4BC6">
            <w:pPr>
              <w:keepNext/>
              <w:keepLines/>
              <w:widowControl/>
              <w:kinsoku w:val="0"/>
              <w:overflowPunct w:val="0"/>
              <w:spacing w:line="246" w:lineRule="exact"/>
              <w:ind w:left="102"/>
              <w:jc w:val="center"/>
              <w:rPr>
                <w:sz w:val="22"/>
                <w:szCs w:val="22"/>
              </w:rPr>
            </w:pPr>
            <w:r w:rsidRPr="00EA11F2">
              <w:rPr>
                <w:spacing w:val="-1"/>
                <w:sz w:val="22"/>
                <w:szCs w:val="22"/>
              </w:rPr>
              <w:t>S</w:t>
            </w:r>
            <w:r w:rsidRPr="00EA11F2">
              <w:rPr>
                <w:sz w:val="22"/>
                <w:szCs w:val="22"/>
              </w:rPr>
              <w:t>e</w:t>
            </w:r>
            <w:r w:rsidRPr="00EA11F2">
              <w:rPr>
                <w:spacing w:val="-4"/>
                <w:sz w:val="22"/>
                <w:szCs w:val="22"/>
              </w:rPr>
              <w:t>m</w:t>
            </w:r>
            <w:r w:rsidRPr="00EA11F2">
              <w:rPr>
                <w:spacing w:val="1"/>
                <w:sz w:val="22"/>
                <w:szCs w:val="22"/>
              </w:rPr>
              <w:t>i</w:t>
            </w:r>
            <w:r w:rsidRPr="00EA11F2">
              <w:rPr>
                <w:sz w:val="22"/>
                <w:szCs w:val="22"/>
              </w:rPr>
              <w:t>annua</w:t>
            </w:r>
            <w:r w:rsidRPr="00EA11F2">
              <w:rPr>
                <w:spacing w:val="-2"/>
                <w:sz w:val="22"/>
                <w:szCs w:val="22"/>
              </w:rPr>
              <w:t>l</w:t>
            </w:r>
            <w:r w:rsidRPr="00EA11F2">
              <w:rPr>
                <w:spacing w:val="1"/>
                <w:sz w:val="22"/>
                <w:szCs w:val="22"/>
              </w:rPr>
              <w:t>l</w:t>
            </w:r>
            <w:r w:rsidRPr="00EA11F2">
              <w:rPr>
                <w:sz w:val="22"/>
                <w:szCs w:val="22"/>
              </w:rPr>
              <w:t>y</w:t>
            </w:r>
          </w:p>
        </w:tc>
        <w:tc>
          <w:tcPr>
            <w:tcW w:w="1737" w:type="dxa"/>
            <w:tcBorders>
              <w:top w:val="single" w:sz="4" w:space="0" w:color="000000"/>
              <w:left w:val="single" w:sz="4" w:space="0" w:color="000000"/>
              <w:bottom w:val="single" w:sz="4" w:space="0" w:color="000000"/>
              <w:right w:val="single" w:sz="4" w:space="0" w:color="000000"/>
            </w:tcBorders>
          </w:tcPr>
          <w:p w14:paraId="384C2BE3" w14:textId="77777777" w:rsidR="0084642D" w:rsidRPr="003D361F" w:rsidRDefault="0084642D" w:rsidP="004D4BC6">
            <w:pPr>
              <w:keepNext/>
              <w:keepLines/>
              <w:widowControl/>
              <w:kinsoku w:val="0"/>
              <w:overflowPunct w:val="0"/>
              <w:spacing w:line="246" w:lineRule="exact"/>
              <w:ind w:left="102"/>
              <w:jc w:val="center"/>
              <w:rPr>
                <w:sz w:val="22"/>
                <w:szCs w:val="22"/>
              </w:rPr>
            </w:pPr>
            <w:r w:rsidRPr="00EA11F2">
              <w:rPr>
                <w:sz w:val="22"/>
                <w:szCs w:val="22"/>
              </w:rPr>
              <w:t>7</w:t>
            </w:r>
          </w:p>
        </w:tc>
        <w:tc>
          <w:tcPr>
            <w:tcW w:w="2016" w:type="dxa"/>
            <w:tcBorders>
              <w:top w:val="single" w:sz="4" w:space="0" w:color="000000"/>
              <w:left w:val="single" w:sz="4" w:space="0" w:color="000000"/>
              <w:bottom w:val="single" w:sz="4" w:space="0" w:color="000000"/>
              <w:right w:val="single" w:sz="4" w:space="0" w:color="000000"/>
            </w:tcBorders>
          </w:tcPr>
          <w:p w14:paraId="5D3C64BA" w14:textId="77777777" w:rsidR="0084642D" w:rsidRPr="003D361F" w:rsidRDefault="0084642D" w:rsidP="004D4BC6">
            <w:pPr>
              <w:keepNext/>
              <w:keepLines/>
              <w:widowControl/>
              <w:kinsoku w:val="0"/>
              <w:overflowPunct w:val="0"/>
              <w:spacing w:line="246" w:lineRule="exact"/>
              <w:ind w:left="102"/>
              <w:jc w:val="center"/>
              <w:rPr>
                <w:sz w:val="22"/>
                <w:szCs w:val="22"/>
              </w:rPr>
            </w:pPr>
            <w:r w:rsidRPr="00EA11F2">
              <w:rPr>
                <w:sz w:val="22"/>
                <w:szCs w:val="22"/>
              </w:rPr>
              <w:t>3 hou</w:t>
            </w:r>
            <w:r w:rsidRPr="00EA11F2">
              <w:rPr>
                <w:spacing w:val="-2"/>
                <w:sz w:val="22"/>
                <w:szCs w:val="22"/>
              </w:rPr>
              <w:t>r</w:t>
            </w:r>
            <w:r w:rsidRPr="00EA11F2">
              <w:rPr>
                <w:sz w:val="22"/>
                <w:szCs w:val="22"/>
              </w:rPr>
              <w:t>s</w:t>
            </w:r>
          </w:p>
        </w:tc>
        <w:tc>
          <w:tcPr>
            <w:tcW w:w="2034" w:type="dxa"/>
            <w:tcBorders>
              <w:top w:val="single" w:sz="4" w:space="0" w:color="000000"/>
              <w:left w:val="single" w:sz="4" w:space="0" w:color="000000"/>
              <w:bottom w:val="single" w:sz="4" w:space="0" w:color="000000"/>
              <w:right w:val="single" w:sz="4" w:space="0" w:color="000000"/>
            </w:tcBorders>
          </w:tcPr>
          <w:p w14:paraId="70F1156D" w14:textId="77777777" w:rsidR="0084642D" w:rsidRPr="003D361F" w:rsidRDefault="0084642D" w:rsidP="004D4BC6">
            <w:pPr>
              <w:keepNext/>
              <w:keepLines/>
              <w:widowControl/>
              <w:kinsoku w:val="0"/>
              <w:overflowPunct w:val="0"/>
              <w:spacing w:line="246" w:lineRule="exact"/>
              <w:ind w:left="99"/>
              <w:jc w:val="center"/>
              <w:rPr>
                <w:sz w:val="22"/>
                <w:szCs w:val="22"/>
              </w:rPr>
            </w:pPr>
            <w:r w:rsidRPr="00EA11F2">
              <w:rPr>
                <w:sz w:val="22"/>
                <w:szCs w:val="22"/>
              </w:rPr>
              <w:t>2</w:t>
            </w:r>
            <w:r w:rsidRPr="00EA11F2">
              <w:rPr>
                <w:spacing w:val="1"/>
                <w:sz w:val="22"/>
                <w:szCs w:val="22"/>
              </w:rPr>
              <w:t>/</w:t>
            </w:r>
            <w:r w:rsidRPr="00EA11F2">
              <w:rPr>
                <w:spacing w:val="-3"/>
                <w:sz w:val="22"/>
                <w:szCs w:val="22"/>
              </w:rPr>
              <w:t>y</w:t>
            </w:r>
            <w:r w:rsidRPr="00EA11F2">
              <w:rPr>
                <w:sz w:val="22"/>
                <w:szCs w:val="22"/>
              </w:rPr>
              <w:t>ear</w:t>
            </w:r>
          </w:p>
        </w:tc>
        <w:tc>
          <w:tcPr>
            <w:tcW w:w="1661" w:type="dxa"/>
            <w:tcBorders>
              <w:top w:val="single" w:sz="4" w:space="0" w:color="000000"/>
              <w:left w:val="single" w:sz="4" w:space="0" w:color="000000"/>
              <w:bottom w:val="single" w:sz="4" w:space="0" w:color="000000"/>
              <w:right w:val="single" w:sz="4" w:space="0" w:color="auto"/>
            </w:tcBorders>
          </w:tcPr>
          <w:p w14:paraId="6BCFD8FA" w14:textId="77777777" w:rsidR="0084642D" w:rsidRPr="003D361F" w:rsidRDefault="0084642D" w:rsidP="004D4BC6">
            <w:pPr>
              <w:keepNext/>
              <w:keepLines/>
              <w:widowControl/>
              <w:kinsoku w:val="0"/>
              <w:overflowPunct w:val="0"/>
              <w:spacing w:line="246" w:lineRule="exact"/>
              <w:ind w:left="378"/>
              <w:jc w:val="center"/>
              <w:rPr>
                <w:sz w:val="22"/>
                <w:szCs w:val="22"/>
              </w:rPr>
            </w:pPr>
            <w:r w:rsidRPr="00EA11F2">
              <w:rPr>
                <w:sz w:val="22"/>
                <w:szCs w:val="22"/>
              </w:rPr>
              <w:t>42 ho</w:t>
            </w:r>
            <w:r w:rsidRPr="00EA11F2">
              <w:rPr>
                <w:spacing w:val="-3"/>
                <w:sz w:val="22"/>
                <w:szCs w:val="22"/>
              </w:rPr>
              <w:t>u</w:t>
            </w:r>
            <w:r w:rsidRPr="00EA11F2">
              <w:rPr>
                <w:sz w:val="22"/>
                <w:szCs w:val="22"/>
              </w:rPr>
              <w:t>rs</w:t>
            </w:r>
          </w:p>
        </w:tc>
      </w:tr>
      <w:tr w:rsidR="00EA11F2" w:rsidRPr="00EA11F2" w14:paraId="68D43FAD" w14:textId="77777777" w:rsidTr="003D361F">
        <w:trPr>
          <w:trHeight w:hRule="exact" w:val="262"/>
          <w:jc w:val="center"/>
        </w:trPr>
        <w:tc>
          <w:tcPr>
            <w:tcW w:w="1947" w:type="dxa"/>
            <w:tcBorders>
              <w:top w:val="single" w:sz="4" w:space="0" w:color="000000"/>
              <w:left w:val="single" w:sz="4" w:space="0" w:color="000000"/>
              <w:bottom w:val="single" w:sz="4" w:space="0" w:color="000000"/>
              <w:right w:val="single" w:sz="4" w:space="0" w:color="000000"/>
            </w:tcBorders>
          </w:tcPr>
          <w:p w14:paraId="37CFEC4B" w14:textId="77777777" w:rsidR="0084642D" w:rsidRPr="003D361F" w:rsidRDefault="0084642D" w:rsidP="004D4BC6">
            <w:pPr>
              <w:keepNext/>
              <w:keepLines/>
              <w:widowControl/>
              <w:kinsoku w:val="0"/>
              <w:overflowPunct w:val="0"/>
              <w:spacing w:line="246" w:lineRule="exact"/>
              <w:ind w:left="102"/>
              <w:jc w:val="center"/>
              <w:rPr>
                <w:sz w:val="22"/>
                <w:szCs w:val="22"/>
              </w:rPr>
            </w:pPr>
            <w:r w:rsidRPr="00EA11F2">
              <w:rPr>
                <w:spacing w:val="-1"/>
                <w:sz w:val="22"/>
                <w:szCs w:val="22"/>
              </w:rPr>
              <w:t>O</w:t>
            </w:r>
            <w:r w:rsidRPr="00EA11F2">
              <w:rPr>
                <w:sz w:val="22"/>
                <w:szCs w:val="22"/>
              </w:rPr>
              <w:t>n occa</w:t>
            </w:r>
            <w:r w:rsidRPr="00EA11F2">
              <w:rPr>
                <w:spacing w:val="-2"/>
                <w:sz w:val="22"/>
                <w:szCs w:val="22"/>
              </w:rPr>
              <w:t>s</w:t>
            </w:r>
            <w:r w:rsidRPr="00EA11F2">
              <w:rPr>
                <w:spacing w:val="1"/>
                <w:sz w:val="22"/>
                <w:szCs w:val="22"/>
              </w:rPr>
              <w:t>i</w:t>
            </w:r>
            <w:r w:rsidRPr="00EA11F2">
              <w:rPr>
                <w:sz w:val="22"/>
                <w:szCs w:val="22"/>
              </w:rPr>
              <w:t>on</w:t>
            </w:r>
          </w:p>
        </w:tc>
        <w:tc>
          <w:tcPr>
            <w:tcW w:w="1737" w:type="dxa"/>
            <w:tcBorders>
              <w:top w:val="single" w:sz="4" w:space="0" w:color="000000"/>
              <w:left w:val="single" w:sz="4" w:space="0" w:color="000000"/>
              <w:bottom w:val="single" w:sz="4" w:space="0" w:color="000000"/>
              <w:right w:val="single" w:sz="4" w:space="0" w:color="000000"/>
            </w:tcBorders>
          </w:tcPr>
          <w:p w14:paraId="3EA8CEAA" w14:textId="77777777" w:rsidR="0084642D" w:rsidRPr="003D361F" w:rsidRDefault="0084642D" w:rsidP="004D4BC6">
            <w:pPr>
              <w:keepNext/>
              <w:keepLines/>
              <w:widowControl/>
              <w:kinsoku w:val="0"/>
              <w:overflowPunct w:val="0"/>
              <w:spacing w:line="246" w:lineRule="exact"/>
              <w:ind w:left="102"/>
              <w:jc w:val="center"/>
              <w:rPr>
                <w:sz w:val="22"/>
                <w:szCs w:val="22"/>
              </w:rPr>
            </w:pPr>
            <w:r w:rsidRPr="00EA11F2">
              <w:rPr>
                <w:sz w:val="22"/>
                <w:szCs w:val="22"/>
              </w:rPr>
              <w:t>2</w:t>
            </w:r>
          </w:p>
        </w:tc>
        <w:tc>
          <w:tcPr>
            <w:tcW w:w="2016" w:type="dxa"/>
            <w:tcBorders>
              <w:top w:val="single" w:sz="4" w:space="0" w:color="000000"/>
              <w:left w:val="single" w:sz="4" w:space="0" w:color="000000"/>
              <w:bottom w:val="single" w:sz="4" w:space="0" w:color="000000"/>
              <w:right w:val="single" w:sz="4" w:space="0" w:color="000000"/>
            </w:tcBorders>
          </w:tcPr>
          <w:p w14:paraId="6D0D2C4B" w14:textId="77777777" w:rsidR="0084642D" w:rsidRPr="003D361F" w:rsidRDefault="0084642D" w:rsidP="004D4BC6">
            <w:pPr>
              <w:keepNext/>
              <w:keepLines/>
              <w:widowControl/>
              <w:kinsoku w:val="0"/>
              <w:overflowPunct w:val="0"/>
              <w:spacing w:line="246" w:lineRule="exact"/>
              <w:ind w:left="102"/>
              <w:jc w:val="center"/>
              <w:rPr>
                <w:sz w:val="22"/>
                <w:szCs w:val="22"/>
              </w:rPr>
            </w:pPr>
            <w:r w:rsidRPr="00EA11F2">
              <w:rPr>
                <w:sz w:val="22"/>
                <w:szCs w:val="22"/>
              </w:rPr>
              <w:t>3 hou</w:t>
            </w:r>
            <w:r w:rsidRPr="00EA11F2">
              <w:rPr>
                <w:spacing w:val="-2"/>
                <w:sz w:val="22"/>
                <w:szCs w:val="22"/>
              </w:rPr>
              <w:t>r</w:t>
            </w:r>
            <w:r w:rsidRPr="00EA11F2">
              <w:rPr>
                <w:sz w:val="22"/>
                <w:szCs w:val="22"/>
              </w:rPr>
              <w:t>s</w:t>
            </w:r>
          </w:p>
        </w:tc>
        <w:tc>
          <w:tcPr>
            <w:tcW w:w="2034" w:type="dxa"/>
            <w:tcBorders>
              <w:top w:val="single" w:sz="4" w:space="0" w:color="000000"/>
              <w:left w:val="single" w:sz="4" w:space="0" w:color="000000"/>
              <w:bottom w:val="single" w:sz="4" w:space="0" w:color="000000"/>
              <w:right w:val="single" w:sz="4" w:space="0" w:color="000000"/>
            </w:tcBorders>
          </w:tcPr>
          <w:p w14:paraId="2D691F9A" w14:textId="77777777" w:rsidR="0084642D" w:rsidRPr="003D361F" w:rsidRDefault="0084642D" w:rsidP="004D4BC6">
            <w:pPr>
              <w:keepNext/>
              <w:keepLines/>
              <w:widowControl/>
              <w:kinsoku w:val="0"/>
              <w:overflowPunct w:val="0"/>
              <w:spacing w:line="246" w:lineRule="exact"/>
              <w:ind w:left="99"/>
              <w:jc w:val="center"/>
              <w:rPr>
                <w:sz w:val="22"/>
                <w:szCs w:val="22"/>
              </w:rPr>
            </w:pPr>
            <w:r w:rsidRPr="00EA11F2">
              <w:rPr>
                <w:sz w:val="22"/>
                <w:szCs w:val="22"/>
              </w:rPr>
              <w:t>1</w:t>
            </w:r>
            <w:r w:rsidRPr="00EA11F2">
              <w:rPr>
                <w:spacing w:val="1"/>
                <w:sz w:val="22"/>
                <w:szCs w:val="22"/>
              </w:rPr>
              <w:t>/</w:t>
            </w:r>
            <w:r w:rsidRPr="00EA11F2">
              <w:rPr>
                <w:spacing w:val="-3"/>
                <w:sz w:val="22"/>
                <w:szCs w:val="22"/>
              </w:rPr>
              <w:t>y</w:t>
            </w:r>
            <w:r w:rsidRPr="00EA11F2">
              <w:rPr>
                <w:sz w:val="22"/>
                <w:szCs w:val="22"/>
              </w:rPr>
              <w:t>ear</w:t>
            </w:r>
          </w:p>
        </w:tc>
        <w:tc>
          <w:tcPr>
            <w:tcW w:w="1661" w:type="dxa"/>
            <w:tcBorders>
              <w:top w:val="single" w:sz="4" w:space="0" w:color="000000"/>
              <w:left w:val="single" w:sz="4" w:space="0" w:color="000000"/>
              <w:bottom w:val="single" w:sz="4" w:space="0" w:color="000000"/>
              <w:right w:val="single" w:sz="4" w:space="0" w:color="auto"/>
            </w:tcBorders>
          </w:tcPr>
          <w:p w14:paraId="34EE0F38" w14:textId="77777777" w:rsidR="0084642D" w:rsidRPr="003D361F" w:rsidRDefault="0084642D" w:rsidP="004D4BC6">
            <w:pPr>
              <w:keepNext/>
              <w:keepLines/>
              <w:widowControl/>
              <w:kinsoku w:val="0"/>
              <w:overflowPunct w:val="0"/>
              <w:spacing w:line="246" w:lineRule="exact"/>
              <w:ind w:left="378"/>
              <w:jc w:val="center"/>
              <w:rPr>
                <w:sz w:val="22"/>
                <w:szCs w:val="22"/>
              </w:rPr>
            </w:pPr>
            <w:r w:rsidRPr="00EA11F2">
              <w:rPr>
                <w:sz w:val="22"/>
                <w:szCs w:val="22"/>
              </w:rPr>
              <w:t>6 ho</w:t>
            </w:r>
            <w:r w:rsidRPr="00EA11F2">
              <w:rPr>
                <w:spacing w:val="-3"/>
                <w:sz w:val="22"/>
                <w:szCs w:val="22"/>
              </w:rPr>
              <w:t>u</w:t>
            </w:r>
            <w:r w:rsidRPr="00EA11F2">
              <w:rPr>
                <w:sz w:val="22"/>
                <w:szCs w:val="22"/>
              </w:rPr>
              <w:t>rs</w:t>
            </w:r>
          </w:p>
        </w:tc>
      </w:tr>
      <w:tr w:rsidR="00EA11F2" w:rsidRPr="00EA11F2" w14:paraId="42B7AADE" w14:textId="77777777" w:rsidTr="003D361F">
        <w:trPr>
          <w:trHeight w:hRule="exact" w:val="264"/>
          <w:jc w:val="center"/>
        </w:trPr>
        <w:tc>
          <w:tcPr>
            <w:tcW w:w="1947" w:type="dxa"/>
            <w:tcBorders>
              <w:top w:val="single" w:sz="4" w:space="0" w:color="000000"/>
              <w:left w:val="single" w:sz="4" w:space="0" w:color="000000"/>
              <w:bottom w:val="single" w:sz="4" w:space="0" w:color="000000"/>
              <w:right w:val="single" w:sz="4" w:space="0" w:color="000000"/>
            </w:tcBorders>
          </w:tcPr>
          <w:p w14:paraId="169AF0AD" w14:textId="77777777" w:rsidR="0084642D" w:rsidRPr="003D361F" w:rsidRDefault="0084642D" w:rsidP="004D4BC6">
            <w:pPr>
              <w:keepNext/>
              <w:keepLines/>
              <w:widowControl/>
              <w:kinsoku w:val="0"/>
              <w:overflowPunct w:val="0"/>
              <w:spacing w:line="251" w:lineRule="exact"/>
              <w:ind w:left="102"/>
              <w:jc w:val="center"/>
              <w:rPr>
                <w:sz w:val="22"/>
                <w:szCs w:val="22"/>
              </w:rPr>
            </w:pPr>
            <w:r w:rsidRPr="00EA11F2">
              <w:rPr>
                <w:b/>
                <w:bCs/>
                <w:spacing w:val="-1"/>
                <w:sz w:val="22"/>
                <w:szCs w:val="22"/>
              </w:rPr>
              <w:t>T</w:t>
            </w:r>
            <w:r w:rsidRPr="00EA11F2">
              <w:rPr>
                <w:b/>
                <w:bCs/>
                <w:sz w:val="22"/>
                <w:szCs w:val="22"/>
              </w:rPr>
              <w:t>otal</w:t>
            </w:r>
          </w:p>
        </w:tc>
        <w:tc>
          <w:tcPr>
            <w:tcW w:w="1737" w:type="dxa"/>
            <w:tcBorders>
              <w:top w:val="single" w:sz="4" w:space="0" w:color="000000"/>
              <w:left w:val="single" w:sz="4" w:space="0" w:color="000000"/>
              <w:bottom w:val="single" w:sz="4" w:space="0" w:color="000000"/>
              <w:right w:val="single" w:sz="4" w:space="0" w:color="000000"/>
            </w:tcBorders>
          </w:tcPr>
          <w:p w14:paraId="510FDCB0" w14:textId="77777777" w:rsidR="0084642D" w:rsidRPr="003D361F" w:rsidRDefault="0084642D" w:rsidP="004D4BC6">
            <w:pPr>
              <w:keepNext/>
              <w:keepLines/>
              <w:widowControl/>
              <w:jc w:val="center"/>
              <w:rPr>
                <w:sz w:val="22"/>
                <w:szCs w:val="22"/>
              </w:rPr>
            </w:pPr>
          </w:p>
        </w:tc>
        <w:tc>
          <w:tcPr>
            <w:tcW w:w="2016" w:type="dxa"/>
            <w:tcBorders>
              <w:top w:val="single" w:sz="4" w:space="0" w:color="000000"/>
              <w:left w:val="single" w:sz="4" w:space="0" w:color="000000"/>
              <w:bottom w:val="single" w:sz="4" w:space="0" w:color="000000"/>
              <w:right w:val="single" w:sz="4" w:space="0" w:color="000000"/>
            </w:tcBorders>
          </w:tcPr>
          <w:p w14:paraId="68921C7C" w14:textId="77777777" w:rsidR="0084642D" w:rsidRPr="003D361F" w:rsidRDefault="0084642D" w:rsidP="004D4BC6">
            <w:pPr>
              <w:keepNext/>
              <w:keepLines/>
              <w:widowControl/>
              <w:jc w:val="center"/>
              <w:rPr>
                <w:sz w:val="22"/>
                <w:szCs w:val="22"/>
              </w:rPr>
            </w:pPr>
          </w:p>
        </w:tc>
        <w:tc>
          <w:tcPr>
            <w:tcW w:w="2034" w:type="dxa"/>
            <w:tcBorders>
              <w:top w:val="single" w:sz="4" w:space="0" w:color="000000"/>
              <w:left w:val="single" w:sz="4" w:space="0" w:color="000000"/>
              <w:bottom w:val="single" w:sz="4" w:space="0" w:color="000000"/>
              <w:right w:val="single" w:sz="4" w:space="0" w:color="000000"/>
            </w:tcBorders>
          </w:tcPr>
          <w:p w14:paraId="485BA500" w14:textId="77777777" w:rsidR="0084642D" w:rsidRPr="003D361F" w:rsidRDefault="0084642D" w:rsidP="004D4BC6">
            <w:pPr>
              <w:keepNext/>
              <w:keepLines/>
              <w:widowControl/>
              <w:jc w:val="center"/>
              <w:rPr>
                <w:sz w:val="22"/>
                <w:szCs w:val="22"/>
              </w:rPr>
            </w:pPr>
          </w:p>
        </w:tc>
        <w:tc>
          <w:tcPr>
            <w:tcW w:w="1661" w:type="dxa"/>
            <w:tcBorders>
              <w:top w:val="single" w:sz="4" w:space="0" w:color="000000"/>
              <w:left w:val="single" w:sz="4" w:space="0" w:color="000000"/>
              <w:bottom w:val="single" w:sz="4" w:space="0" w:color="000000"/>
              <w:right w:val="single" w:sz="4" w:space="0" w:color="auto"/>
            </w:tcBorders>
          </w:tcPr>
          <w:p w14:paraId="7ED5D6AD" w14:textId="77777777" w:rsidR="0084642D" w:rsidRPr="003D361F" w:rsidRDefault="0084642D" w:rsidP="004D4BC6">
            <w:pPr>
              <w:keepNext/>
              <w:keepLines/>
              <w:widowControl/>
              <w:kinsoku w:val="0"/>
              <w:overflowPunct w:val="0"/>
              <w:spacing w:line="251" w:lineRule="exact"/>
              <w:ind w:left="102"/>
              <w:jc w:val="center"/>
              <w:rPr>
                <w:sz w:val="22"/>
                <w:szCs w:val="22"/>
              </w:rPr>
            </w:pPr>
            <w:r w:rsidRPr="00EA11F2">
              <w:rPr>
                <w:b/>
                <w:bCs/>
                <w:sz w:val="22"/>
                <w:szCs w:val="22"/>
              </w:rPr>
              <w:t xml:space="preserve">1,140 </w:t>
            </w:r>
            <w:r w:rsidRPr="00EA11F2">
              <w:rPr>
                <w:b/>
                <w:bCs/>
                <w:spacing w:val="-1"/>
                <w:sz w:val="22"/>
                <w:szCs w:val="22"/>
              </w:rPr>
              <w:t>h</w:t>
            </w:r>
            <w:r w:rsidRPr="00EA11F2">
              <w:rPr>
                <w:b/>
                <w:bCs/>
                <w:sz w:val="22"/>
                <w:szCs w:val="22"/>
              </w:rPr>
              <w:t>o</w:t>
            </w:r>
            <w:r w:rsidRPr="00EA11F2">
              <w:rPr>
                <w:b/>
                <w:bCs/>
                <w:spacing w:val="-1"/>
                <w:sz w:val="22"/>
                <w:szCs w:val="22"/>
              </w:rPr>
              <w:t>u</w:t>
            </w:r>
            <w:r w:rsidRPr="00EA11F2">
              <w:rPr>
                <w:b/>
                <w:bCs/>
                <w:spacing w:val="-3"/>
                <w:sz w:val="22"/>
                <w:szCs w:val="22"/>
              </w:rPr>
              <w:t>r</w:t>
            </w:r>
            <w:r w:rsidRPr="00EA11F2">
              <w:rPr>
                <w:b/>
                <w:bCs/>
                <w:sz w:val="22"/>
                <w:szCs w:val="22"/>
              </w:rPr>
              <w:t>s</w:t>
            </w:r>
          </w:p>
        </w:tc>
      </w:tr>
    </w:tbl>
    <w:p w14:paraId="2CC8151E" w14:textId="36D975DA" w:rsidR="0004335C" w:rsidRPr="00EA11F2" w:rsidRDefault="00FC4786" w:rsidP="003D361F">
      <w:pPr>
        <w:ind w:firstLine="720"/>
      </w:pPr>
      <w:r w:rsidRPr="00EA11F2">
        <w:t xml:space="preserve">  </w:t>
      </w:r>
    </w:p>
    <w:p w14:paraId="0C371AD5" w14:textId="0CBA2AD2" w:rsidR="0004335C" w:rsidRPr="00EA11F2" w:rsidRDefault="0004335C" w:rsidP="00772BA7">
      <w:pPr>
        <w:ind w:firstLine="720"/>
        <w:rPr>
          <w:b/>
        </w:rPr>
      </w:pPr>
      <w:r w:rsidRPr="00EA11F2">
        <w:t xml:space="preserve">13.  </w:t>
      </w:r>
      <w:r w:rsidR="00F32498" w:rsidRPr="00EA11F2">
        <w:rPr>
          <w:u w:val="single"/>
        </w:rPr>
        <w:t>Estimated Total Annual Cost to Respondents</w:t>
      </w:r>
      <w:r w:rsidR="00507226" w:rsidRPr="00EA11F2">
        <w:t>.</w:t>
      </w:r>
      <w:r w:rsidR="00B16287" w:rsidRPr="00EA11F2">
        <w:t xml:space="preserve">  </w:t>
      </w:r>
      <w:r w:rsidR="00B16287" w:rsidRPr="003D361F">
        <w:t>There are no non-hourly burdens for respondents. The data will be submitted electronically by email.</w:t>
      </w:r>
      <w:r w:rsidRPr="00EA11F2">
        <w:t xml:space="preserve">  </w:t>
      </w:r>
    </w:p>
    <w:p w14:paraId="5EBCF159" w14:textId="77777777" w:rsidR="00772BA7" w:rsidRPr="00EA11F2" w:rsidRDefault="00772BA7" w:rsidP="00772BA7">
      <w:pPr>
        <w:ind w:firstLine="720"/>
      </w:pPr>
    </w:p>
    <w:p w14:paraId="1452BE13" w14:textId="4940681F" w:rsidR="00E11DF6" w:rsidRDefault="0004335C" w:rsidP="003D361F">
      <w:pPr>
        <w:ind w:firstLine="720"/>
      </w:pPr>
      <w:r w:rsidRPr="00EA11F2">
        <w:t xml:space="preserve">14.  </w:t>
      </w:r>
      <w:r w:rsidR="00F32498" w:rsidRPr="00EA11F2">
        <w:rPr>
          <w:u w:val="single"/>
        </w:rPr>
        <w:t>Annualized Cost to the Federal Government</w:t>
      </w:r>
      <w:r w:rsidR="00507226" w:rsidRPr="00EA11F2">
        <w:t>.</w:t>
      </w:r>
      <w:r w:rsidR="003E4AB7" w:rsidRPr="00EA11F2">
        <w:t xml:space="preserve">  </w:t>
      </w:r>
      <w:r w:rsidR="003E4AB7" w:rsidRPr="003D361F">
        <w:t>We estimate a total annual cost to the Board of $6</w:t>
      </w:r>
      <w:r w:rsidR="00B40A59">
        <w:t>8,237</w:t>
      </w:r>
      <w:r w:rsidR="003E4AB7" w:rsidRPr="003D361F">
        <w:t xml:space="preserve">. This amount is calculated using the weekly costs </w:t>
      </w:r>
      <w:r w:rsidR="00DA58E7">
        <w:t xml:space="preserve">for agency staff </w:t>
      </w:r>
      <w:r w:rsidR="003E4AB7" w:rsidRPr="003D361F">
        <w:t>and then annualizing them ($1,</w:t>
      </w:r>
      <w:r w:rsidR="00B40A59">
        <w:t>312</w:t>
      </w:r>
      <w:r w:rsidR="003E4AB7" w:rsidRPr="003D361F">
        <w:t>.2</w:t>
      </w:r>
      <w:r w:rsidR="00B40A59">
        <w:t>5</w:t>
      </w:r>
      <w:r w:rsidR="003E4AB7" w:rsidRPr="003D361F">
        <w:t xml:space="preserve"> X 52 = $</w:t>
      </w:r>
      <w:r w:rsidR="00B40A59">
        <w:t>68,237</w:t>
      </w:r>
      <w:r w:rsidR="003E4AB7" w:rsidRPr="003D361F">
        <w:t>).</w:t>
      </w:r>
      <w:r w:rsidRPr="00EA11F2">
        <w:t xml:space="preserve">  </w:t>
      </w:r>
    </w:p>
    <w:p w14:paraId="27594F41" w14:textId="7EE1D1A8" w:rsidR="004310B0" w:rsidRPr="00EA11F2" w:rsidRDefault="004310B0" w:rsidP="00DA58E7"/>
    <w:p w14:paraId="583F586D" w14:textId="0673B742" w:rsidR="0004335C" w:rsidRPr="00EA11F2" w:rsidRDefault="0004335C" w:rsidP="00FB3F7F">
      <w:pPr>
        <w:ind w:firstLine="720"/>
      </w:pPr>
      <w:r w:rsidRPr="00EA11F2">
        <w:t xml:space="preserve">15.  </w:t>
      </w:r>
      <w:r w:rsidR="00F32498" w:rsidRPr="00EA11F2">
        <w:rPr>
          <w:u w:val="single"/>
        </w:rPr>
        <w:t>Explanation of Program Changes or Adjustments</w:t>
      </w:r>
      <w:r w:rsidR="00415982" w:rsidRPr="00EA11F2">
        <w:t>.</w:t>
      </w:r>
      <w:r w:rsidR="008A4FA9" w:rsidRPr="00EA11F2">
        <w:t xml:space="preserve">  Change due to a new collection.</w:t>
      </w:r>
      <w:r w:rsidR="00415982" w:rsidRPr="00EA11F2">
        <w:t xml:space="preserve">  </w:t>
      </w:r>
    </w:p>
    <w:p w14:paraId="11304436" w14:textId="77777777" w:rsidR="0004335C" w:rsidRPr="00EA11F2" w:rsidRDefault="0004335C" w:rsidP="00FB3F7F"/>
    <w:p w14:paraId="39E8C02D" w14:textId="14E7A63C" w:rsidR="00AF269E" w:rsidRPr="00EA11F2" w:rsidRDefault="0004335C" w:rsidP="00FB3F7F">
      <w:pPr>
        <w:ind w:firstLine="720"/>
        <w:rPr>
          <w:color w:val="000000"/>
        </w:rPr>
      </w:pPr>
      <w:r w:rsidRPr="00EA11F2">
        <w:t xml:space="preserve">16.  </w:t>
      </w:r>
      <w:r w:rsidRPr="00EA11F2">
        <w:rPr>
          <w:u w:val="single"/>
        </w:rPr>
        <w:t>Plans for tabulation and publication</w:t>
      </w:r>
      <w:r w:rsidR="00827193" w:rsidRPr="00EA11F2">
        <w:t xml:space="preserve">.  </w:t>
      </w:r>
      <w:r w:rsidR="00827193" w:rsidRPr="003D361F">
        <w:t>The collected data will be posted on the Board’s website.</w:t>
      </w:r>
      <w:r w:rsidRPr="00EA11F2">
        <w:t xml:space="preserve"> </w:t>
      </w:r>
      <w:r w:rsidR="00892416" w:rsidRPr="00EA11F2">
        <w:t xml:space="preserve"> </w:t>
      </w:r>
    </w:p>
    <w:p w14:paraId="67F009D3" w14:textId="312151E5" w:rsidR="0004335C" w:rsidRPr="00EA11F2" w:rsidRDefault="0004335C" w:rsidP="00FB3F7F">
      <w:pPr>
        <w:ind w:firstLine="720"/>
        <w:rPr>
          <w:b/>
          <w:bCs/>
        </w:rPr>
      </w:pPr>
      <w:r w:rsidRPr="00EA11F2">
        <w:rPr>
          <w:b/>
          <w:bCs/>
        </w:rPr>
        <w:tab/>
      </w:r>
    </w:p>
    <w:p w14:paraId="7EB5CEA5" w14:textId="22AF942A" w:rsidR="0004335C" w:rsidRPr="00EA11F2" w:rsidRDefault="0004335C" w:rsidP="00FB3F7F">
      <w:pPr>
        <w:ind w:firstLine="720"/>
      </w:pPr>
      <w:r w:rsidRPr="00EA11F2">
        <w:t xml:space="preserve">17.  </w:t>
      </w:r>
      <w:r w:rsidR="00415982" w:rsidRPr="00EA11F2">
        <w:rPr>
          <w:u w:val="single"/>
        </w:rPr>
        <w:t>Display of expiration date for OMB approval</w:t>
      </w:r>
      <w:r w:rsidR="00415982" w:rsidRPr="00EA11F2">
        <w:t>.</w:t>
      </w:r>
      <w:r w:rsidR="00507226" w:rsidRPr="00EA11F2">
        <w:t xml:space="preserve">  </w:t>
      </w:r>
      <w:r w:rsidR="00F95518">
        <w:t>The control number and expiration date for this collection will appear on the form.</w:t>
      </w:r>
      <w:r w:rsidR="00507226" w:rsidRPr="003D361F">
        <w:t xml:space="preserve"> </w:t>
      </w:r>
      <w:r w:rsidR="00415982" w:rsidRPr="00EA11F2">
        <w:t xml:space="preserve">  </w:t>
      </w:r>
    </w:p>
    <w:p w14:paraId="1FC59ED5" w14:textId="77777777" w:rsidR="0004335C" w:rsidRPr="00EA11F2" w:rsidRDefault="0004335C" w:rsidP="00FB3F7F"/>
    <w:p w14:paraId="7B6B13D6" w14:textId="77777777" w:rsidR="0004335C" w:rsidRPr="00EA11F2" w:rsidRDefault="0004335C" w:rsidP="00FB3F7F">
      <w:pPr>
        <w:rPr>
          <w:b/>
          <w:bCs/>
          <w:u w:val="single"/>
        </w:rPr>
      </w:pPr>
      <w:r w:rsidRPr="00EA11F2">
        <w:tab/>
        <w:t xml:space="preserve">18.  </w:t>
      </w:r>
      <w:r w:rsidR="00A322DC" w:rsidRPr="00EA11F2">
        <w:rPr>
          <w:u w:val="single"/>
        </w:rPr>
        <w:t>Exceptions to Certification Statement</w:t>
      </w:r>
      <w:r w:rsidR="00A322DC" w:rsidRPr="00EA11F2">
        <w:t>.  No exceptions are sought.</w:t>
      </w:r>
    </w:p>
    <w:p w14:paraId="55E4FD5D" w14:textId="77777777" w:rsidR="0004335C" w:rsidRPr="00EA11F2" w:rsidRDefault="0004335C" w:rsidP="00FB3F7F">
      <w:pPr>
        <w:rPr>
          <w:b/>
          <w:bCs/>
          <w:u w:val="single"/>
        </w:rPr>
      </w:pPr>
    </w:p>
    <w:p w14:paraId="4CD8C61B" w14:textId="758AF67C" w:rsidR="0004335C" w:rsidRPr="00EA11F2" w:rsidRDefault="0004335C" w:rsidP="00FB3F7F">
      <w:pPr>
        <w:rPr>
          <w:b/>
          <w:bCs/>
          <w:u w:val="single"/>
        </w:rPr>
      </w:pPr>
      <w:r w:rsidRPr="00EA11F2">
        <w:rPr>
          <w:b/>
        </w:rPr>
        <w:t>B.</w:t>
      </w:r>
      <w:r w:rsidR="00DD6DC8" w:rsidRPr="00EA11F2">
        <w:rPr>
          <w:b/>
        </w:rPr>
        <w:t xml:space="preserve"> </w:t>
      </w:r>
      <w:r w:rsidRPr="00EA11F2">
        <w:t xml:space="preserve"> </w:t>
      </w:r>
      <w:r w:rsidRPr="00EA11F2">
        <w:rPr>
          <w:b/>
          <w:bCs/>
          <w:u w:val="single"/>
        </w:rPr>
        <w:t>Collections of Information Employing Statistical Methods</w:t>
      </w:r>
      <w:r w:rsidRPr="00EA11F2">
        <w:rPr>
          <w:b/>
          <w:bCs/>
        </w:rPr>
        <w:t>:</w:t>
      </w:r>
    </w:p>
    <w:p w14:paraId="3334D42C" w14:textId="77777777" w:rsidR="0004335C" w:rsidRPr="00EA11F2" w:rsidRDefault="0004335C" w:rsidP="00FB3F7F"/>
    <w:p w14:paraId="35C2C6CE" w14:textId="7CEEF726" w:rsidR="0004335C" w:rsidRPr="00EA11F2" w:rsidRDefault="0004335C" w:rsidP="00BF6FA6">
      <w:pPr>
        <w:ind w:firstLine="720"/>
      </w:pPr>
      <w:r w:rsidRPr="00EA11F2">
        <w:t>Not applicable</w:t>
      </w:r>
      <w:r w:rsidR="00CD2E2A" w:rsidRPr="00EA11F2">
        <w:t>.</w:t>
      </w:r>
    </w:p>
    <w:sectPr w:rsidR="0004335C" w:rsidRPr="00EA11F2" w:rsidSect="004D4BC6">
      <w:headerReference w:type="default" r:id="rId9"/>
      <w:footerReference w:type="default" r:id="rId10"/>
      <w:type w:val="continuous"/>
      <w:pgSz w:w="12240" w:h="15840"/>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A30C4" w14:textId="77777777" w:rsidR="00687F51" w:rsidRDefault="00687F51" w:rsidP="00F11F8D">
      <w:r>
        <w:separator/>
      </w:r>
    </w:p>
  </w:endnote>
  <w:endnote w:type="continuationSeparator" w:id="0">
    <w:p w14:paraId="462859F8" w14:textId="77777777" w:rsidR="00687F51" w:rsidRDefault="00687F51" w:rsidP="00F11F8D">
      <w:r>
        <w:continuationSeparator/>
      </w:r>
    </w:p>
  </w:endnote>
  <w:endnote w:type="continuationNotice" w:id="1">
    <w:p w14:paraId="3EB7B6A1" w14:textId="77777777" w:rsidR="00687F51" w:rsidRDefault="00687F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3685231"/>
      <w:docPartObj>
        <w:docPartGallery w:val="Page Numbers (Bottom of Page)"/>
        <w:docPartUnique/>
      </w:docPartObj>
    </w:sdtPr>
    <w:sdtEndPr>
      <w:rPr>
        <w:noProof/>
      </w:rPr>
    </w:sdtEndPr>
    <w:sdtContent>
      <w:p w14:paraId="2E238A15" w14:textId="795B2676" w:rsidR="00062367" w:rsidRDefault="00062367">
        <w:pPr>
          <w:pStyle w:val="Footer"/>
          <w:jc w:val="center"/>
        </w:pPr>
        <w:r>
          <w:fldChar w:fldCharType="begin"/>
        </w:r>
        <w:r>
          <w:instrText xml:space="preserve"> PAGE   \* MERGEFORMAT </w:instrText>
        </w:r>
        <w:r>
          <w:fldChar w:fldCharType="separate"/>
        </w:r>
        <w:r w:rsidR="00A42811">
          <w:rPr>
            <w:noProof/>
          </w:rPr>
          <w:t>3</w:t>
        </w:r>
        <w:r>
          <w:rPr>
            <w:noProof/>
          </w:rPr>
          <w:fldChar w:fldCharType="end"/>
        </w:r>
      </w:p>
    </w:sdtContent>
  </w:sdt>
  <w:p w14:paraId="1653A412" w14:textId="77777777" w:rsidR="00062367" w:rsidRDefault="00062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846ED" w14:textId="77777777" w:rsidR="00687F51" w:rsidRDefault="00687F51" w:rsidP="00F11F8D">
      <w:r>
        <w:separator/>
      </w:r>
    </w:p>
  </w:footnote>
  <w:footnote w:type="continuationSeparator" w:id="0">
    <w:p w14:paraId="4CBB606E" w14:textId="77777777" w:rsidR="00687F51" w:rsidRDefault="00687F51" w:rsidP="00F11F8D">
      <w:r>
        <w:continuationSeparator/>
      </w:r>
    </w:p>
  </w:footnote>
  <w:footnote w:type="continuationNotice" w:id="1">
    <w:p w14:paraId="768592B1" w14:textId="77777777" w:rsidR="00687F51" w:rsidRDefault="00687F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B9EF4" w14:textId="77777777" w:rsidR="00687F51" w:rsidRDefault="00687F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17CF5"/>
    <w:multiLevelType w:val="hybridMultilevel"/>
    <w:tmpl w:val="6D0266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7817CD"/>
    <w:multiLevelType w:val="hybridMultilevel"/>
    <w:tmpl w:val="B422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EE24DF"/>
    <w:multiLevelType w:val="hybridMultilevel"/>
    <w:tmpl w:val="9DD0D268"/>
    <w:lvl w:ilvl="0" w:tplc="E52A3FD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5FB754C"/>
    <w:multiLevelType w:val="hybridMultilevel"/>
    <w:tmpl w:val="2878FA90"/>
    <w:lvl w:ilvl="0" w:tplc="30103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79323C1"/>
    <w:multiLevelType w:val="hybridMultilevel"/>
    <w:tmpl w:val="8534BB00"/>
    <w:lvl w:ilvl="0" w:tplc="9E5228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FB5"/>
    <w:rsid w:val="000001DE"/>
    <w:rsid w:val="00002614"/>
    <w:rsid w:val="000113B7"/>
    <w:rsid w:val="000158C3"/>
    <w:rsid w:val="00020F88"/>
    <w:rsid w:val="000239DE"/>
    <w:rsid w:val="00024721"/>
    <w:rsid w:val="00025E6B"/>
    <w:rsid w:val="0003015F"/>
    <w:rsid w:val="000406A7"/>
    <w:rsid w:val="0004335C"/>
    <w:rsid w:val="0005109A"/>
    <w:rsid w:val="00051F53"/>
    <w:rsid w:val="00062367"/>
    <w:rsid w:val="0006385B"/>
    <w:rsid w:val="00065327"/>
    <w:rsid w:val="000717B3"/>
    <w:rsid w:val="00072D26"/>
    <w:rsid w:val="00077ADF"/>
    <w:rsid w:val="00084232"/>
    <w:rsid w:val="000876F8"/>
    <w:rsid w:val="0009337C"/>
    <w:rsid w:val="000956B9"/>
    <w:rsid w:val="000A5FB5"/>
    <w:rsid w:val="000B19C1"/>
    <w:rsid w:val="000B6D9A"/>
    <w:rsid w:val="000B7D22"/>
    <w:rsid w:val="000C3A85"/>
    <w:rsid w:val="000C5177"/>
    <w:rsid w:val="000D0C67"/>
    <w:rsid w:val="000E10A2"/>
    <w:rsid w:val="000F1C3F"/>
    <w:rsid w:val="0010299D"/>
    <w:rsid w:val="001168A9"/>
    <w:rsid w:val="00123F4D"/>
    <w:rsid w:val="00124A1B"/>
    <w:rsid w:val="00126A46"/>
    <w:rsid w:val="00131F28"/>
    <w:rsid w:val="001325B1"/>
    <w:rsid w:val="00144E8F"/>
    <w:rsid w:val="00157420"/>
    <w:rsid w:val="001575E2"/>
    <w:rsid w:val="001638B5"/>
    <w:rsid w:val="0017169B"/>
    <w:rsid w:val="00176D54"/>
    <w:rsid w:val="00184FA6"/>
    <w:rsid w:val="001903E8"/>
    <w:rsid w:val="001936E7"/>
    <w:rsid w:val="00196F88"/>
    <w:rsid w:val="001A00B0"/>
    <w:rsid w:val="001A2D2A"/>
    <w:rsid w:val="001A4E92"/>
    <w:rsid w:val="001B3AF2"/>
    <w:rsid w:val="001C102A"/>
    <w:rsid w:val="001C1702"/>
    <w:rsid w:val="001C3217"/>
    <w:rsid w:val="001D0D52"/>
    <w:rsid w:val="001E2CE1"/>
    <w:rsid w:val="001E2DEF"/>
    <w:rsid w:val="001E6D52"/>
    <w:rsid w:val="001E6E96"/>
    <w:rsid w:val="001F51C0"/>
    <w:rsid w:val="00203DB8"/>
    <w:rsid w:val="0021556B"/>
    <w:rsid w:val="002216E0"/>
    <w:rsid w:val="00223807"/>
    <w:rsid w:val="00223952"/>
    <w:rsid w:val="00224F8B"/>
    <w:rsid w:val="002335CB"/>
    <w:rsid w:val="00242D98"/>
    <w:rsid w:val="00246FBC"/>
    <w:rsid w:val="00251F5F"/>
    <w:rsid w:val="002624A4"/>
    <w:rsid w:val="00271B11"/>
    <w:rsid w:val="002767DB"/>
    <w:rsid w:val="00295EB6"/>
    <w:rsid w:val="0029740E"/>
    <w:rsid w:val="002A307F"/>
    <w:rsid w:val="002A4537"/>
    <w:rsid w:val="002A5C7F"/>
    <w:rsid w:val="002B3B97"/>
    <w:rsid w:val="002D0D07"/>
    <w:rsid w:val="002F2693"/>
    <w:rsid w:val="00300299"/>
    <w:rsid w:val="003138CA"/>
    <w:rsid w:val="00313DB5"/>
    <w:rsid w:val="0031751F"/>
    <w:rsid w:val="00323245"/>
    <w:rsid w:val="003232CA"/>
    <w:rsid w:val="00326B98"/>
    <w:rsid w:val="00327740"/>
    <w:rsid w:val="00327BD8"/>
    <w:rsid w:val="003334B1"/>
    <w:rsid w:val="00334EF3"/>
    <w:rsid w:val="00340689"/>
    <w:rsid w:val="00347493"/>
    <w:rsid w:val="00354034"/>
    <w:rsid w:val="00365C8B"/>
    <w:rsid w:val="00367D1B"/>
    <w:rsid w:val="00375063"/>
    <w:rsid w:val="00376506"/>
    <w:rsid w:val="0037761C"/>
    <w:rsid w:val="00385E12"/>
    <w:rsid w:val="00390960"/>
    <w:rsid w:val="00392E89"/>
    <w:rsid w:val="0039536C"/>
    <w:rsid w:val="00395AF3"/>
    <w:rsid w:val="00397B6D"/>
    <w:rsid w:val="003A13A6"/>
    <w:rsid w:val="003A16D1"/>
    <w:rsid w:val="003A26D3"/>
    <w:rsid w:val="003C429D"/>
    <w:rsid w:val="003C6386"/>
    <w:rsid w:val="003D361F"/>
    <w:rsid w:val="003E4AB7"/>
    <w:rsid w:val="003F0073"/>
    <w:rsid w:val="003F5740"/>
    <w:rsid w:val="00405EC2"/>
    <w:rsid w:val="00407294"/>
    <w:rsid w:val="0041350F"/>
    <w:rsid w:val="00415982"/>
    <w:rsid w:val="004310B0"/>
    <w:rsid w:val="00435245"/>
    <w:rsid w:val="004471B5"/>
    <w:rsid w:val="004538C0"/>
    <w:rsid w:val="00455274"/>
    <w:rsid w:val="0046102C"/>
    <w:rsid w:val="00463FA2"/>
    <w:rsid w:val="00465FD5"/>
    <w:rsid w:val="0046760B"/>
    <w:rsid w:val="0047042D"/>
    <w:rsid w:val="004748A2"/>
    <w:rsid w:val="00475DC5"/>
    <w:rsid w:val="00485798"/>
    <w:rsid w:val="00495EA3"/>
    <w:rsid w:val="0049746F"/>
    <w:rsid w:val="00497520"/>
    <w:rsid w:val="004A776C"/>
    <w:rsid w:val="004B1B0D"/>
    <w:rsid w:val="004B3F24"/>
    <w:rsid w:val="004C3EC4"/>
    <w:rsid w:val="004D4BC6"/>
    <w:rsid w:val="004E39CF"/>
    <w:rsid w:val="004E5AC8"/>
    <w:rsid w:val="004F0190"/>
    <w:rsid w:val="004F0B8A"/>
    <w:rsid w:val="004F6206"/>
    <w:rsid w:val="004F6CED"/>
    <w:rsid w:val="00507042"/>
    <w:rsid w:val="00507226"/>
    <w:rsid w:val="00525C23"/>
    <w:rsid w:val="005465BA"/>
    <w:rsid w:val="0055012A"/>
    <w:rsid w:val="00550BEC"/>
    <w:rsid w:val="005565A5"/>
    <w:rsid w:val="0056106D"/>
    <w:rsid w:val="00561DAE"/>
    <w:rsid w:val="00565514"/>
    <w:rsid w:val="00566712"/>
    <w:rsid w:val="005671C1"/>
    <w:rsid w:val="00567E8E"/>
    <w:rsid w:val="00573FB4"/>
    <w:rsid w:val="005770D1"/>
    <w:rsid w:val="005936C6"/>
    <w:rsid w:val="005963D7"/>
    <w:rsid w:val="005A3C88"/>
    <w:rsid w:val="005C0AB7"/>
    <w:rsid w:val="005C1793"/>
    <w:rsid w:val="005C26E2"/>
    <w:rsid w:val="005C76FF"/>
    <w:rsid w:val="005E7323"/>
    <w:rsid w:val="005F165E"/>
    <w:rsid w:val="005F3048"/>
    <w:rsid w:val="005F391E"/>
    <w:rsid w:val="00611091"/>
    <w:rsid w:val="00611751"/>
    <w:rsid w:val="00611F4B"/>
    <w:rsid w:val="00615011"/>
    <w:rsid w:val="00617942"/>
    <w:rsid w:val="00627D41"/>
    <w:rsid w:val="00632F15"/>
    <w:rsid w:val="0063348F"/>
    <w:rsid w:val="00635C17"/>
    <w:rsid w:val="0064026C"/>
    <w:rsid w:val="00647689"/>
    <w:rsid w:val="00650A7A"/>
    <w:rsid w:val="00652D47"/>
    <w:rsid w:val="006563F3"/>
    <w:rsid w:val="00666BB8"/>
    <w:rsid w:val="00670621"/>
    <w:rsid w:val="00675607"/>
    <w:rsid w:val="00680DEA"/>
    <w:rsid w:val="0068615E"/>
    <w:rsid w:val="00687B85"/>
    <w:rsid w:val="00687F51"/>
    <w:rsid w:val="00691155"/>
    <w:rsid w:val="006920F6"/>
    <w:rsid w:val="006B2D0E"/>
    <w:rsid w:val="006D25F2"/>
    <w:rsid w:val="006D33BF"/>
    <w:rsid w:val="006D3F12"/>
    <w:rsid w:val="006D4985"/>
    <w:rsid w:val="006E290C"/>
    <w:rsid w:val="006E578B"/>
    <w:rsid w:val="006F7A27"/>
    <w:rsid w:val="007242BC"/>
    <w:rsid w:val="00726C8E"/>
    <w:rsid w:val="00734217"/>
    <w:rsid w:val="007443E8"/>
    <w:rsid w:val="00747E1D"/>
    <w:rsid w:val="007518F7"/>
    <w:rsid w:val="0075195E"/>
    <w:rsid w:val="00752058"/>
    <w:rsid w:val="00757AA1"/>
    <w:rsid w:val="007614EC"/>
    <w:rsid w:val="00772BA7"/>
    <w:rsid w:val="00773560"/>
    <w:rsid w:val="007743D0"/>
    <w:rsid w:val="00786FFE"/>
    <w:rsid w:val="0079449A"/>
    <w:rsid w:val="007969B3"/>
    <w:rsid w:val="00796BFF"/>
    <w:rsid w:val="007979F7"/>
    <w:rsid w:val="007A0071"/>
    <w:rsid w:val="007A5851"/>
    <w:rsid w:val="007B2A89"/>
    <w:rsid w:val="007B2EAB"/>
    <w:rsid w:val="007B51F1"/>
    <w:rsid w:val="007C769A"/>
    <w:rsid w:val="007E4E66"/>
    <w:rsid w:val="007F794D"/>
    <w:rsid w:val="00807E51"/>
    <w:rsid w:val="0081473C"/>
    <w:rsid w:val="008234CE"/>
    <w:rsid w:val="008244FD"/>
    <w:rsid w:val="00827193"/>
    <w:rsid w:val="00830421"/>
    <w:rsid w:val="00830858"/>
    <w:rsid w:val="00831B25"/>
    <w:rsid w:val="008352C5"/>
    <w:rsid w:val="00840500"/>
    <w:rsid w:val="0084125E"/>
    <w:rsid w:val="00842AB1"/>
    <w:rsid w:val="0084642D"/>
    <w:rsid w:val="00854935"/>
    <w:rsid w:val="008630CF"/>
    <w:rsid w:val="00863461"/>
    <w:rsid w:val="0086476B"/>
    <w:rsid w:val="00864B4D"/>
    <w:rsid w:val="008670AE"/>
    <w:rsid w:val="0087126C"/>
    <w:rsid w:val="00873AB2"/>
    <w:rsid w:val="00881F05"/>
    <w:rsid w:val="00884691"/>
    <w:rsid w:val="00892055"/>
    <w:rsid w:val="00892416"/>
    <w:rsid w:val="00896C73"/>
    <w:rsid w:val="008A4FA9"/>
    <w:rsid w:val="008B2698"/>
    <w:rsid w:val="008B412B"/>
    <w:rsid w:val="008B5DA1"/>
    <w:rsid w:val="008B7BD4"/>
    <w:rsid w:val="008C671D"/>
    <w:rsid w:val="008C7E6C"/>
    <w:rsid w:val="008D3C39"/>
    <w:rsid w:val="008D4F8E"/>
    <w:rsid w:val="008F0B28"/>
    <w:rsid w:val="008F2593"/>
    <w:rsid w:val="009001DD"/>
    <w:rsid w:val="009006F1"/>
    <w:rsid w:val="0090790D"/>
    <w:rsid w:val="009301F0"/>
    <w:rsid w:val="00940991"/>
    <w:rsid w:val="0095041A"/>
    <w:rsid w:val="00955B5C"/>
    <w:rsid w:val="00970AEE"/>
    <w:rsid w:val="00971284"/>
    <w:rsid w:val="009806DB"/>
    <w:rsid w:val="00980CC8"/>
    <w:rsid w:val="00981C35"/>
    <w:rsid w:val="009909DF"/>
    <w:rsid w:val="009933EE"/>
    <w:rsid w:val="009A2D7F"/>
    <w:rsid w:val="009B3143"/>
    <w:rsid w:val="009B61CA"/>
    <w:rsid w:val="009C2715"/>
    <w:rsid w:val="009C364D"/>
    <w:rsid w:val="009E680A"/>
    <w:rsid w:val="009F349B"/>
    <w:rsid w:val="00A00310"/>
    <w:rsid w:val="00A02689"/>
    <w:rsid w:val="00A1315D"/>
    <w:rsid w:val="00A1746A"/>
    <w:rsid w:val="00A25C2D"/>
    <w:rsid w:val="00A322DC"/>
    <w:rsid w:val="00A3270F"/>
    <w:rsid w:val="00A37BCD"/>
    <w:rsid w:val="00A37ED6"/>
    <w:rsid w:val="00A42811"/>
    <w:rsid w:val="00A50B3B"/>
    <w:rsid w:val="00A5323F"/>
    <w:rsid w:val="00A61F41"/>
    <w:rsid w:val="00A64FBA"/>
    <w:rsid w:val="00A7086E"/>
    <w:rsid w:val="00A73EC1"/>
    <w:rsid w:val="00A74840"/>
    <w:rsid w:val="00A76A53"/>
    <w:rsid w:val="00A777A5"/>
    <w:rsid w:val="00A84500"/>
    <w:rsid w:val="00A84561"/>
    <w:rsid w:val="00A901C1"/>
    <w:rsid w:val="00AA6DD3"/>
    <w:rsid w:val="00AB2BFB"/>
    <w:rsid w:val="00AB2CEB"/>
    <w:rsid w:val="00AC6D12"/>
    <w:rsid w:val="00AE206C"/>
    <w:rsid w:val="00AE5255"/>
    <w:rsid w:val="00AF269E"/>
    <w:rsid w:val="00B11089"/>
    <w:rsid w:val="00B16287"/>
    <w:rsid w:val="00B21B51"/>
    <w:rsid w:val="00B24D53"/>
    <w:rsid w:val="00B30AA4"/>
    <w:rsid w:val="00B361FE"/>
    <w:rsid w:val="00B40A59"/>
    <w:rsid w:val="00B40C41"/>
    <w:rsid w:val="00B65F60"/>
    <w:rsid w:val="00B67C35"/>
    <w:rsid w:val="00B86B70"/>
    <w:rsid w:val="00B95036"/>
    <w:rsid w:val="00BC044A"/>
    <w:rsid w:val="00BC1539"/>
    <w:rsid w:val="00BC3B7C"/>
    <w:rsid w:val="00BC603E"/>
    <w:rsid w:val="00BD4E84"/>
    <w:rsid w:val="00BE2584"/>
    <w:rsid w:val="00BF6FA6"/>
    <w:rsid w:val="00C13BC3"/>
    <w:rsid w:val="00C262B5"/>
    <w:rsid w:val="00C2751C"/>
    <w:rsid w:val="00C30220"/>
    <w:rsid w:val="00C34EB3"/>
    <w:rsid w:val="00C45D99"/>
    <w:rsid w:val="00C47A02"/>
    <w:rsid w:val="00C6416B"/>
    <w:rsid w:val="00C7301B"/>
    <w:rsid w:val="00C916D8"/>
    <w:rsid w:val="00CA004F"/>
    <w:rsid w:val="00CA043F"/>
    <w:rsid w:val="00CA17B3"/>
    <w:rsid w:val="00CA2A2D"/>
    <w:rsid w:val="00CA5AB2"/>
    <w:rsid w:val="00CA7683"/>
    <w:rsid w:val="00CB095D"/>
    <w:rsid w:val="00CB0BD3"/>
    <w:rsid w:val="00CB0E97"/>
    <w:rsid w:val="00CB2AEE"/>
    <w:rsid w:val="00CB41D1"/>
    <w:rsid w:val="00CB4BEB"/>
    <w:rsid w:val="00CB4E93"/>
    <w:rsid w:val="00CB623E"/>
    <w:rsid w:val="00CC0E2A"/>
    <w:rsid w:val="00CD2E2A"/>
    <w:rsid w:val="00CD407B"/>
    <w:rsid w:val="00CE6DFC"/>
    <w:rsid w:val="00D02BDC"/>
    <w:rsid w:val="00D075F6"/>
    <w:rsid w:val="00D26576"/>
    <w:rsid w:val="00D34BDF"/>
    <w:rsid w:val="00D46FF7"/>
    <w:rsid w:val="00D47C12"/>
    <w:rsid w:val="00D52848"/>
    <w:rsid w:val="00D5379E"/>
    <w:rsid w:val="00D56144"/>
    <w:rsid w:val="00D67DB9"/>
    <w:rsid w:val="00D73AF4"/>
    <w:rsid w:val="00D811EA"/>
    <w:rsid w:val="00D859F5"/>
    <w:rsid w:val="00D932D0"/>
    <w:rsid w:val="00DA58E7"/>
    <w:rsid w:val="00DB49A9"/>
    <w:rsid w:val="00DB6D4D"/>
    <w:rsid w:val="00DC52BD"/>
    <w:rsid w:val="00DC5A98"/>
    <w:rsid w:val="00DD6DC8"/>
    <w:rsid w:val="00DE0DFD"/>
    <w:rsid w:val="00DE4D63"/>
    <w:rsid w:val="00DF12C0"/>
    <w:rsid w:val="00DF6B91"/>
    <w:rsid w:val="00DF7A13"/>
    <w:rsid w:val="00E023CB"/>
    <w:rsid w:val="00E07F3C"/>
    <w:rsid w:val="00E11DF6"/>
    <w:rsid w:val="00E16B30"/>
    <w:rsid w:val="00E254D2"/>
    <w:rsid w:val="00E26716"/>
    <w:rsid w:val="00E311BF"/>
    <w:rsid w:val="00E312BA"/>
    <w:rsid w:val="00E31701"/>
    <w:rsid w:val="00E32362"/>
    <w:rsid w:val="00E333A7"/>
    <w:rsid w:val="00E37859"/>
    <w:rsid w:val="00E4205A"/>
    <w:rsid w:val="00E53BD4"/>
    <w:rsid w:val="00E54713"/>
    <w:rsid w:val="00E65459"/>
    <w:rsid w:val="00E679B5"/>
    <w:rsid w:val="00E724DC"/>
    <w:rsid w:val="00E733A9"/>
    <w:rsid w:val="00E80B7B"/>
    <w:rsid w:val="00E819A7"/>
    <w:rsid w:val="00E93928"/>
    <w:rsid w:val="00E95E91"/>
    <w:rsid w:val="00EA11F2"/>
    <w:rsid w:val="00EA5722"/>
    <w:rsid w:val="00EB0F8E"/>
    <w:rsid w:val="00EB1602"/>
    <w:rsid w:val="00EC7BDE"/>
    <w:rsid w:val="00ED5AE5"/>
    <w:rsid w:val="00EE7742"/>
    <w:rsid w:val="00EF3282"/>
    <w:rsid w:val="00EF4BAE"/>
    <w:rsid w:val="00F001C8"/>
    <w:rsid w:val="00F11F8D"/>
    <w:rsid w:val="00F14191"/>
    <w:rsid w:val="00F32498"/>
    <w:rsid w:val="00F40DB4"/>
    <w:rsid w:val="00F43495"/>
    <w:rsid w:val="00F468C5"/>
    <w:rsid w:val="00F52B2B"/>
    <w:rsid w:val="00F544E3"/>
    <w:rsid w:val="00F54B75"/>
    <w:rsid w:val="00F641B9"/>
    <w:rsid w:val="00F72AB3"/>
    <w:rsid w:val="00F76A38"/>
    <w:rsid w:val="00F86BAB"/>
    <w:rsid w:val="00F86E27"/>
    <w:rsid w:val="00F9114C"/>
    <w:rsid w:val="00F95518"/>
    <w:rsid w:val="00F97271"/>
    <w:rsid w:val="00FB2240"/>
    <w:rsid w:val="00FB3238"/>
    <w:rsid w:val="00FB3B18"/>
    <w:rsid w:val="00FB3F7F"/>
    <w:rsid w:val="00FC4786"/>
    <w:rsid w:val="00FC726A"/>
    <w:rsid w:val="00FD031F"/>
    <w:rsid w:val="00FD0F01"/>
    <w:rsid w:val="00FD17E6"/>
    <w:rsid w:val="00FD7878"/>
    <w:rsid w:val="00FF059D"/>
    <w:rsid w:val="00FF1836"/>
    <w:rsid w:val="00FF3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C79448"/>
  <w15:docId w15:val="{95DC9AF4-9844-43FA-91F7-F4CB9A35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72AB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23245"/>
    <w:pPr>
      <w:widowControl/>
      <w:autoSpaceDE/>
      <w:autoSpaceDN/>
      <w:adjustRightInd/>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7C35"/>
    <w:rPr>
      <w:rFonts w:cs="Times New Roman"/>
      <w:sz w:val="2"/>
    </w:rPr>
  </w:style>
  <w:style w:type="character" w:styleId="FootnoteReference">
    <w:name w:val="footnote reference"/>
    <w:basedOn w:val="DefaultParagraphFont"/>
    <w:uiPriority w:val="99"/>
    <w:rsid w:val="00F72AB3"/>
    <w:rPr>
      <w:rFonts w:cs="Times New Roman"/>
    </w:rPr>
  </w:style>
  <w:style w:type="character" w:styleId="Hyperlink">
    <w:name w:val="Hyperlink"/>
    <w:basedOn w:val="DefaultParagraphFont"/>
    <w:uiPriority w:val="99"/>
    <w:rsid w:val="00FB3F7F"/>
    <w:rPr>
      <w:rFonts w:cs="Times New Roman"/>
      <w:color w:val="0000FF"/>
      <w:u w:val="single"/>
    </w:rPr>
  </w:style>
  <w:style w:type="character" w:styleId="CommentReference">
    <w:name w:val="annotation reference"/>
    <w:basedOn w:val="DefaultParagraphFont"/>
    <w:uiPriority w:val="99"/>
    <w:semiHidden/>
    <w:rsid w:val="009A2D7F"/>
    <w:rPr>
      <w:rFonts w:cs="Times New Roman"/>
      <w:sz w:val="16"/>
      <w:szCs w:val="16"/>
    </w:rPr>
  </w:style>
  <w:style w:type="paragraph" w:styleId="CommentText">
    <w:name w:val="annotation text"/>
    <w:basedOn w:val="Normal"/>
    <w:link w:val="CommentTextChar"/>
    <w:rsid w:val="009A2D7F"/>
    <w:rPr>
      <w:sz w:val="20"/>
      <w:szCs w:val="20"/>
    </w:rPr>
  </w:style>
  <w:style w:type="character" w:customStyle="1" w:styleId="CommentTextChar">
    <w:name w:val="Comment Text Char"/>
    <w:basedOn w:val="DefaultParagraphFont"/>
    <w:link w:val="CommentText"/>
    <w:locked/>
    <w:rsid w:val="00B67C35"/>
    <w:rPr>
      <w:rFonts w:cs="Times New Roman"/>
      <w:sz w:val="20"/>
      <w:szCs w:val="20"/>
    </w:rPr>
  </w:style>
  <w:style w:type="paragraph" w:styleId="CommentSubject">
    <w:name w:val="annotation subject"/>
    <w:basedOn w:val="CommentText"/>
    <w:next w:val="CommentText"/>
    <w:link w:val="CommentSubjectChar"/>
    <w:uiPriority w:val="99"/>
    <w:semiHidden/>
    <w:rsid w:val="009A2D7F"/>
    <w:rPr>
      <w:b/>
      <w:bCs/>
    </w:rPr>
  </w:style>
  <w:style w:type="character" w:customStyle="1" w:styleId="CommentSubjectChar">
    <w:name w:val="Comment Subject Char"/>
    <w:basedOn w:val="CommentTextChar"/>
    <w:link w:val="CommentSubject"/>
    <w:uiPriority w:val="99"/>
    <w:semiHidden/>
    <w:locked/>
    <w:rsid w:val="00B67C35"/>
    <w:rPr>
      <w:rFonts w:cs="Times New Roman"/>
      <w:b/>
      <w:bCs/>
      <w:sz w:val="20"/>
      <w:szCs w:val="20"/>
    </w:rPr>
  </w:style>
  <w:style w:type="character" w:styleId="FollowedHyperlink">
    <w:name w:val="FollowedHyperlink"/>
    <w:basedOn w:val="DefaultParagraphFont"/>
    <w:uiPriority w:val="99"/>
    <w:semiHidden/>
    <w:unhideWhenUsed/>
    <w:rsid w:val="006B2D0E"/>
    <w:rPr>
      <w:color w:val="800080"/>
      <w:u w:val="single"/>
    </w:rPr>
  </w:style>
  <w:style w:type="paragraph" w:styleId="ListParagraph">
    <w:name w:val="List Paragraph"/>
    <w:basedOn w:val="Normal"/>
    <w:uiPriority w:val="34"/>
    <w:qFormat/>
    <w:rsid w:val="005F3048"/>
    <w:pPr>
      <w:ind w:left="720"/>
      <w:contextualSpacing/>
    </w:pPr>
  </w:style>
  <w:style w:type="character" w:customStyle="1" w:styleId="apple-converted-space">
    <w:name w:val="apple-converted-space"/>
    <w:basedOn w:val="DefaultParagraphFont"/>
    <w:rsid w:val="007F794D"/>
  </w:style>
  <w:style w:type="paragraph" w:customStyle="1" w:styleId="Default">
    <w:name w:val="Default"/>
    <w:rsid w:val="00971284"/>
    <w:pPr>
      <w:autoSpaceDE w:val="0"/>
      <w:autoSpaceDN w:val="0"/>
      <w:adjustRightInd w:val="0"/>
    </w:pPr>
    <w:rPr>
      <w:color w:val="000000"/>
      <w:sz w:val="24"/>
      <w:szCs w:val="24"/>
    </w:rPr>
  </w:style>
  <w:style w:type="paragraph" w:customStyle="1" w:styleId="TableParagraph">
    <w:name w:val="Table Paragraph"/>
    <w:basedOn w:val="Normal"/>
    <w:uiPriority w:val="1"/>
    <w:qFormat/>
    <w:rsid w:val="00E11DF6"/>
    <w:pPr>
      <w:widowControl/>
    </w:pPr>
  </w:style>
  <w:style w:type="paragraph" w:styleId="Revision">
    <w:name w:val="Revision"/>
    <w:hidden/>
    <w:uiPriority w:val="99"/>
    <w:semiHidden/>
    <w:rsid w:val="00B86B70"/>
    <w:rPr>
      <w:sz w:val="24"/>
      <w:szCs w:val="24"/>
    </w:rPr>
  </w:style>
  <w:style w:type="paragraph" w:styleId="BodyText">
    <w:name w:val="Body Text"/>
    <w:basedOn w:val="Normal"/>
    <w:link w:val="BodyTextChar"/>
    <w:uiPriority w:val="1"/>
    <w:qFormat/>
    <w:rsid w:val="0084642D"/>
    <w:pPr>
      <w:widowControl/>
      <w:ind w:left="40"/>
    </w:pPr>
    <w:rPr>
      <w:i/>
      <w:iCs/>
    </w:rPr>
  </w:style>
  <w:style w:type="character" w:customStyle="1" w:styleId="BodyTextChar">
    <w:name w:val="Body Text Char"/>
    <w:basedOn w:val="DefaultParagraphFont"/>
    <w:link w:val="BodyText"/>
    <w:uiPriority w:val="1"/>
    <w:rsid w:val="0084642D"/>
    <w:rPr>
      <w:i/>
      <w:iCs/>
      <w:sz w:val="24"/>
      <w:szCs w:val="24"/>
    </w:rPr>
  </w:style>
  <w:style w:type="paragraph" w:styleId="FootnoteText">
    <w:name w:val="footnote text"/>
    <w:basedOn w:val="Normal"/>
    <w:link w:val="FootnoteTextChar"/>
    <w:uiPriority w:val="99"/>
    <w:semiHidden/>
    <w:unhideWhenUsed/>
    <w:rsid w:val="00F11F8D"/>
    <w:pPr>
      <w:widowControl/>
      <w:autoSpaceDE/>
      <w:autoSpaceDN/>
      <w:adjustRightInd/>
      <w:spacing w:after="100" w:afterAutospacing="1"/>
    </w:pPr>
    <w:rPr>
      <w:rFonts w:eastAsiaTheme="minorHAnsi"/>
      <w:sz w:val="20"/>
      <w:szCs w:val="20"/>
    </w:rPr>
  </w:style>
  <w:style w:type="character" w:customStyle="1" w:styleId="FootnoteTextChar">
    <w:name w:val="Footnote Text Char"/>
    <w:basedOn w:val="DefaultParagraphFont"/>
    <w:link w:val="FootnoteText"/>
    <w:uiPriority w:val="99"/>
    <w:semiHidden/>
    <w:rsid w:val="00F11F8D"/>
    <w:rPr>
      <w:rFonts w:eastAsiaTheme="minorHAnsi"/>
    </w:rPr>
  </w:style>
  <w:style w:type="paragraph" w:styleId="Header">
    <w:name w:val="header"/>
    <w:basedOn w:val="Normal"/>
    <w:link w:val="HeaderChar"/>
    <w:uiPriority w:val="99"/>
    <w:unhideWhenUsed/>
    <w:rsid w:val="00062367"/>
    <w:pPr>
      <w:tabs>
        <w:tab w:val="center" w:pos="4680"/>
        <w:tab w:val="right" w:pos="9360"/>
      </w:tabs>
    </w:pPr>
  </w:style>
  <w:style w:type="character" w:customStyle="1" w:styleId="HeaderChar">
    <w:name w:val="Header Char"/>
    <w:basedOn w:val="DefaultParagraphFont"/>
    <w:link w:val="Header"/>
    <w:uiPriority w:val="99"/>
    <w:rsid w:val="00062367"/>
    <w:rPr>
      <w:sz w:val="24"/>
      <w:szCs w:val="24"/>
    </w:rPr>
  </w:style>
  <w:style w:type="paragraph" w:styleId="Footer">
    <w:name w:val="footer"/>
    <w:basedOn w:val="Normal"/>
    <w:link w:val="FooterChar"/>
    <w:uiPriority w:val="99"/>
    <w:unhideWhenUsed/>
    <w:rsid w:val="00062367"/>
    <w:pPr>
      <w:tabs>
        <w:tab w:val="center" w:pos="4680"/>
        <w:tab w:val="right" w:pos="9360"/>
      </w:tabs>
    </w:pPr>
  </w:style>
  <w:style w:type="character" w:customStyle="1" w:styleId="FooterChar">
    <w:name w:val="Footer Char"/>
    <w:basedOn w:val="DefaultParagraphFont"/>
    <w:link w:val="Footer"/>
    <w:uiPriority w:val="99"/>
    <w:rsid w:val="000623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27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b.gov/decisions/readingroom.nsf/UNID/93ED0335B0B4FE128525807B004968B3/$file/4543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5BBD2-A667-4B7E-A848-06C8326AC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2161</Words>
  <Characters>12322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2140-0009</vt:lpstr>
    </vt:vector>
  </TitlesOfParts>
  <Company>Surface Transportation Board</Company>
  <LinksUpToDate>false</LinksUpToDate>
  <CharactersWithSpaces>14455</CharactersWithSpaces>
  <SharedDoc>false</SharedDoc>
  <HLinks>
    <vt:vector size="6" baseType="variant">
      <vt:variant>
        <vt:i4>131127</vt:i4>
      </vt:variant>
      <vt:variant>
        <vt:i4>0</vt:i4>
      </vt:variant>
      <vt:variant>
        <vt:i4>0</vt:i4>
      </vt:variant>
      <vt:variant>
        <vt:i4>5</vt:i4>
      </vt:variant>
      <vt:variant>
        <vt:lpwstr>http://www.stb.dot.gov/stb/industry/econ_reports.html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2140-0009</dc:title>
  <dc:creator>levittm</dc:creator>
  <cp:lastModifiedBy>Oehrle, Christopher</cp:lastModifiedBy>
  <cp:revision>4</cp:revision>
  <cp:lastPrinted>2016-01-14T20:39:00Z</cp:lastPrinted>
  <dcterms:created xsi:type="dcterms:W3CDTF">2017-06-13T15:37:00Z</dcterms:created>
  <dcterms:modified xsi:type="dcterms:W3CDTF">2017-06-13T15:47:00Z</dcterms:modified>
</cp:coreProperties>
</file>