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D4" w:rsidRDefault="005244D4" w:rsidP="005244D4">
      <w:pPr>
        <w:spacing w:after="240"/>
        <w:jc w:val="center"/>
        <w:rPr>
          <w:b/>
          <w:u w:val="single"/>
        </w:rPr>
      </w:pPr>
      <w:bookmarkStart w:id="0" w:name="_Toc252452806"/>
      <w:bookmarkStart w:id="1" w:name="_GoBack"/>
      <w:bookmarkEnd w:id="1"/>
      <w:r>
        <w:rPr>
          <w:b/>
          <w:u w:val="single"/>
        </w:rPr>
        <w:t>SECTION B</w:t>
      </w:r>
    </w:p>
    <w:p w:rsidR="005244D4" w:rsidRDefault="005244D4" w:rsidP="005244D4">
      <w:pPr>
        <w:jc w:val="center"/>
        <w:rPr>
          <w:b/>
          <w:bCs/>
        </w:rPr>
      </w:pPr>
      <w:r>
        <w:rPr>
          <w:b/>
          <w:bCs/>
        </w:rPr>
        <w:t>INFORMATION COLLECTION</w:t>
      </w:r>
    </w:p>
    <w:p w:rsidR="005244D4" w:rsidRDefault="005244D4" w:rsidP="005244D4">
      <w:pPr>
        <w:jc w:val="center"/>
        <w:rPr>
          <w:b/>
          <w:bCs/>
        </w:rPr>
      </w:pPr>
      <w:r>
        <w:rPr>
          <w:b/>
          <w:bCs/>
        </w:rPr>
        <w:t>SUPPORTING STATEMENT</w:t>
      </w:r>
    </w:p>
    <w:p w:rsidR="005244D4" w:rsidRDefault="005244D4" w:rsidP="005244D4">
      <w:pPr>
        <w:jc w:val="center"/>
        <w:rPr>
          <w:b/>
          <w:bCs/>
        </w:rPr>
      </w:pPr>
    </w:p>
    <w:p w:rsidR="005244D4" w:rsidRDefault="005244D4" w:rsidP="005244D4">
      <w:pPr>
        <w:jc w:val="center"/>
        <w:rPr>
          <w:b/>
          <w:bCs/>
          <w:szCs w:val="22"/>
        </w:rPr>
      </w:pPr>
      <w:r>
        <w:rPr>
          <w:b/>
          <w:bCs/>
          <w:szCs w:val="22"/>
        </w:rPr>
        <w:t>Awareness and Availability of Child Passenger Safety Information Resources</w:t>
      </w:r>
    </w:p>
    <w:p w:rsidR="005244D4" w:rsidRDefault="005244D4" w:rsidP="005244D4">
      <w:pPr>
        <w:jc w:val="center"/>
        <w:rPr>
          <w:b/>
          <w:bCs/>
          <w:szCs w:val="22"/>
        </w:rPr>
      </w:pPr>
    </w:p>
    <w:p w:rsidR="005244D4" w:rsidRPr="003F0429" w:rsidRDefault="005244D4" w:rsidP="005244D4">
      <w:pPr>
        <w:widowControl w:val="0"/>
        <w:tabs>
          <w:tab w:val="left" w:pos="720"/>
        </w:tabs>
        <w:autoSpaceDE w:val="0"/>
        <w:autoSpaceDN w:val="0"/>
        <w:adjustRightInd w:val="0"/>
        <w:spacing w:after="240"/>
        <w:ind w:left="720" w:hanging="720"/>
        <w:outlineLvl w:val="0"/>
        <w:rPr>
          <w:b/>
        </w:rPr>
      </w:pPr>
      <w:r w:rsidRPr="003F0429">
        <w:rPr>
          <w:b/>
          <w:bCs/>
        </w:rPr>
        <w:t>B)</w:t>
      </w:r>
      <w:r w:rsidRPr="003F0429">
        <w:rPr>
          <w:b/>
          <w:bCs/>
        </w:rPr>
        <w:tab/>
        <w:t>Collections of Information Employing Statistical Methods</w:t>
      </w:r>
      <w:bookmarkEnd w:id="0"/>
    </w:p>
    <w:p w:rsidR="00843417" w:rsidRDefault="006504B8" w:rsidP="00622C8D">
      <w:pPr>
        <w:widowControl w:val="0"/>
        <w:autoSpaceDE w:val="0"/>
        <w:autoSpaceDN w:val="0"/>
        <w:adjustRightInd w:val="0"/>
        <w:jc w:val="both"/>
      </w:pPr>
      <w:r>
        <w:tab/>
        <w:t xml:space="preserve">The proposed </w:t>
      </w:r>
      <w:r w:rsidR="00935164" w:rsidRPr="00CD6F63">
        <w:t>Awareness &amp; Availability of Child Passenger Safety Information R</w:t>
      </w:r>
      <w:r w:rsidR="00935164">
        <w:t xml:space="preserve">esources (AACPSIR) survey </w:t>
      </w:r>
      <w:r>
        <w:t>will employ statistical methods to</w:t>
      </w:r>
      <w:r w:rsidR="00935164">
        <w:t xml:space="preserve"> sample and</w:t>
      </w:r>
      <w:r>
        <w:t xml:space="preserve"> analyze the information collected from respondents.  The following sections describe the pro</w:t>
      </w:r>
      <w:r w:rsidR="00935164">
        <w:t xml:space="preserve">cedures for respondent sampling </w:t>
      </w:r>
      <w:r>
        <w:t xml:space="preserve">and data tabulation.  </w:t>
      </w:r>
      <w:r w:rsidR="00B87822" w:rsidRPr="00B87822">
        <w:t>The AACPSIR survey will be conducted using a mail-out invitation</w:t>
      </w:r>
      <w:r w:rsidR="00321FF4">
        <w:t xml:space="preserve"> </w:t>
      </w:r>
      <w:r w:rsidR="007D7641">
        <w:t>(Appendix A</w:t>
      </w:r>
      <w:r w:rsidR="0068225B">
        <w:t xml:space="preserve">) </w:t>
      </w:r>
      <w:r w:rsidR="00B87822" w:rsidRPr="00B87822">
        <w:t xml:space="preserve">to complete a web-based </w:t>
      </w:r>
      <w:r w:rsidR="007D7641">
        <w:t xml:space="preserve">screener and if appropriate, a </w:t>
      </w:r>
      <w:r w:rsidR="00B87822" w:rsidRPr="00B87822">
        <w:t>survey</w:t>
      </w:r>
      <w:r w:rsidR="00321FF4">
        <w:t xml:space="preserve"> (</w:t>
      </w:r>
      <w:r w:rsidR="00502950">
        <w:t>Forms 1333 and 1334</w:t>
      </w:r>
      <w:r w:rsidR="00321FF4">
        <w:t>)</w:t>
      </w:r>
      <w:r w:rsidR="00B87822" w:rsidRPr="00B87822">
        <w:t>. Research has shown that an advance letter of invitation to participate in a survey sent by post</w:t>
      </w:r>
      <w:r w:rsidR="00654294">
        <w:t>al</w:t>
      </w:r>
      <w:r w:rsidR="00B87822" w:rsidRPr="00B87822">
        <w:t xml:space="preserve"> mail is more successful than email or postcard invitations to</w:t>
      </w:r>
      <w:r w:rsidR="007D7641">
        <w:t xml:space="preserve"> participate in web surveys</w:t>
      </w:r>
      <w:r w:rsidR="00B87822" w:rsidRPr="00B87822">
        <w:t xml:space="preserve">. </w:t>
      </w:r>
      <w:r w:rsidR="00A51838">
        <w:t xml:space="preserve">The proposed </w:t>
      </w:r>
      <w:r w:rsidR="00935164">
        <w:t xml:space="preserve">AACPSIR survey </w:t>
      </w:r>
      <w:r w:rsidR="00A51838">
        <w:t xml:space="preserve">will </w:t>
      </w:r>
      <w:r w:rsidR="00053A0B">
        <w:t>be administered using an A</w:t>
      </w:r>
      <w:r w:rsidR="00FF4DF4">
        <w:t>ddress-</w:t>
      </w:r>
      <w:r w:rsidR="00053A0B">
        <w:t>Based S</w:t>
      </w:r>
      <w:r w:rsidR="00FF4DF4">
        <w:t xml:space="preserve">ample </w:t>
      </w:r>
      <w:r w:rsidR="000638F9">
        <w:t xml:space="preserve">(ABS) </w:t>
      </w:r>
      <w:r w:rsidR="00FF4DF4">
        <w:t>and offer multiple modes of responding</w:t>
      </w:r>
      <w:r w:rsidR="001449EA">
        <w:t>.  The</w:t>
      </w:r>
      <w:r w:rsidR="00B87822">
        <w:t xml:space="preserve"> primary response mode will be w</w:t>
      </w:r>
      <w:r w:rsidR="001449EA">
        <w:t xml:space="preserve">eb.  </w:t>
      </w:r>
      <w:r w:rsidR="00745801">
        <w:t>An a</w:t>
      </w:r>
      <w:r w:rsidR="001449EA">
        <w:t>lternative response mode will be telephone</w:t>
      </w:r>
      <w:r w:rsidR="00FF4DF4">
        <w:t>.</w:t>
      </w:r>
      <w:r w:rsidR="000638F9">
        <w:t xml:space="preserve">  </w:t>
      </w:r>
      <w:r w:rsidR="00843417">
        <w:t>The survey include</w:t>
      </w:r>
      <w:r w:rsidR="00745801">
        <w:t>s</w:t>
      </w:r>
      <w:r w:rsidR="00843417">
        <w:t xml:space="preserve"> </w:t>
      </w:r>
      <w:r w:rsidR="00680B39">
        <w:t xml:space="preserve">cognitive and </w:t>
      </w:r>
      <w:r w:rsidR="00843417">
        <w:t>usa</w:t>
      </w:r>
      <w:r w:rsidR="00680B39">
        <w:t xml:space="preserve">bility testing </w:t>
      </w:r>
      <w:r w:rsidR="00843417">
        <w:t>prior to the full administration of the sur</w:t>
      </w:r>
      <w:r w:rsidR="007D7641">
        <w:t>vey.</w:t>
      </w:r>
      <w:r w:rsidR="00843417">
        <w:t xml:space="preserve">  </w:t>
      </w:r>
    </w:p>
    <w:p w:rsidR="007E2B3E" w:rsidRDefault="007E2B3E">
      <w:pPr>
        <w:widowControl w:val="0"/>
        <w:autoSpaceDE w:val="0"/>
        <w:autoSpaceDN w:val="0"/>
        <w:adjustRightInd w:val="0"/>
      </w:pPr>
    </w:p>
    <w:p w:rsidR="006504B8" w:rsidRDefault="006504B8">
      <w:pPr>
        <w:widowControl w:val="0"/>
        <w:tabs>
          <w:tab w:val="left" w:pos="720"/>
        </w:tabs>
        <w:autoSpaceDE w:val="0"/>
        <w:autoSpaceDN w:val="0"/>
        <w:adjustRightInd w:val="0"/>
        <w:ind w:left="720" w:hanging="720"/>
      </w:pPr>
      <w:r>
        <w:rPr>
          <w:b/>
          <w:bCs/>
        </w:rPr>
        <w:t>B.1.</w:t>
      </w:r>
      <w:r>
        <w:rPr>
          <w:b/>
          <w:bCs/>
        </w:rPr>
        <w:tab/>
        <w:t>Describe the potential respondent universe and any sampling or other respondent selection method to be used.</w:t>
      </w:r>
    </w:p>
    <w:p w:rsidR="006504B8" w:rsidRDefault="006504B8">
      <w:pPr>
        <w:widowControl w:val="0"/>
        <w:autoSpaceDE w:val="0"/>
        <w:autoSpaceDN w:val="0"/>
        <w:adjustRightInd w:val="0"/>
      </w:pPr>
    </w:p>
    <w:p w:rsidR="00942EC6" w:rsidRPr="00942EC6" w:rsidRDefault="00942EC6">
      <w:pPr>
        <w:widowControl w:val="0"/>
        <w:autoSpaceDE w:val="0"/>
        <w:autoSpaceDN w:val="0"/>
        <w:adjustRightInd w:val="0"/>
        <w:rPr>
          <w:i/>
        </w:rPr>
      </w:pPr>
      <w:r>
        <w:tab/>
      </w:r>
      <w:r>
        <w:rPr>
          <w:i/>
        </w:rPr>
        <w:t>a.</w:t>
      </w:r>
      <w:r>
        <w:rPr>
          <w:i/>
        </w:rPr>
        <w:tab/>
        <w:t>Respondent Universe</w:t>
      </w:r>
    </w:p>
    <w:p w:rsidR="00942EC6" w:rsidRDefault="00942EC6">
      <w:pPr>
        <w:widowControl w:val="0"/>
        <w:autoSpaceDE w:val="0"/>
        <w:autoSpaceDN w:val="0"/>
        <w:adjustRightInd w:val="0"/>
      </w:pPr>
    </w:p>
    <w:p w:rsidR="00572D15" w:rsidRDefault="006504B8" w:rsidP="007D7641">
      <w:pPr>
        <w:widowControl w:val="0"/>
        <w:autoSpaceDE w:val="0"/>
        <w:autoSpaceDN w:val="0"/>
        <w:adjustRightInd w:val="0"/>
        <w:jc w:val="both"/>
      </w:pPr>
      <w:r>
        <w:tab/>
      </w:r>
      <w:r w:rsidR="00622C8D" w:rsidRPr="00B87822">
        <w:t>Under this proposed data collection, the potential respondent universe would be people aged 18 years or older who regularly transport children between the ages of 0 an</w:t>
      </w:r>
      <w:r w:rsidR="007D7641">
        <w:t xml:space="preserve">d 9 in their personal vehicles. </w:t>
      </w:r>
      <w:r w:rsidR="009018B8">
        <w:t xml:space="preserve">The respondents may </w:t>
      </w:r>
      <w:r w:rsidR="00654294">
        <w:t>be</w:t>
      </w:r>
      <w:r w:rsidR="009018B8">
        <w:t xml:space="preserve"> parents, grandparents, and </w:t>
      </w:r>
      <w:r w:rsidR="007D7641">
        <w:t>other child care providers. T</w:t>
      </w:r>
      <w:r w:rsidR="009018B8">
        <w:t xml:space="preserve">he screener </w:t>
      </w:r>
      <w:r w:rsidR="007D7641">
        <w:t>(</w:t>
      </w:r>
      <w:r w:rsidR="005A36E2">
        <w:t xml:space="preserve">Form 1333) </w:t>
      </w:r>
      <w:r w:rsidR="009018B8">
        <w:t xml:space="preserve">will verify that the respondent drives with a child in a personal vehicle </w:t>
      </w:r>
      <w:r w:rsidR="00E62B67">
        <w:t>at least twice a month</w:t>
      </w:r>
      <w:r w:rsidR="009018B8">
        <w:t xml:space="preserve">.  </w:t>
      </w:r>
    </w:p>
    <w:p w:rsidR="00737963" w:rsidRDefault="00737963" w:rsidP="00E90C0C">
      <w:pPr>
        <w:widowControl w:val="0"/>
        <w:autoSpaceDE w:val="0"/>
        <w:autoSpaceDN w:val="0"/>
        <w:adjustRightInd w:val="0"/>
        <w:jc w:val="both"/>
      </w:pPr>
    </w:p>
    <w:p w:rsidR="00942EC6" w:rsidRPr="00942EC6" w:rsidRDefault="00942EC6">
      <w:pPr>
        <w:widowControl w:val="0"/>
        <w:autoSpaceDE w:val="0"/>
        <w:autoSpaceDN w:val="0"/>
        <w:adjustRightInd w:val="0"/>
        <w:rPr>
          <w:i/>
        </w:rPr>
      </w:pPr>
      <w:r>
        <w:tab/>
      </w:r>
      <w:r>
        <w:rPr>
          <w:i/>
        </w:rPr>
        <w:t>b.</w:t>
      </w:r>
      <w:r>
        <w:rPr>
          <w:i/>
        </w:rPr>
        <w:tab/>
        <w:t>Respondent Sampling</w:t>
      </w:r>
      <w:r w:rsidR="006469F3">
        <w:rPr>
          <w:i/>
        </w:rPr>
        <w:t xml:space="preserve"> and Estimated Response Rates</w:t>
      </w:r>
    </w:p>
    <w:p w:rsidR="00942EC6" w:rsidRDefault="00942EC6">
      <w:pPr>
        <w:widowControl w:val="0"/>
        <w:autoSpaceDE w:val="0"/>
        <w:autoSpaceDN w:val="0"/>
        <w:adjustRightInd w:val="0"/>
      </w:pPr>
    </w:p>
    <w:p w:rsidR="007D7641" w:rsidRDefault="006504B8" w:rsidP="007D7641">
      <w:pPr>
        <w:widowControl w:val="0"/>
        <w:autoSpaceDE w:val="0"/>
        <w:autoSpaceDN w:val="0"/>
        <w:adjustRightInd w:val="0"/>
        <w:jc w:val="both"/>
      </w:pPr>
      <w:r>
        <w:tab/>
      </w:r>
      <w:r w:rsidR="003D44A3">
        <w:t>To reach this target population, a cluster design will be used</w:t>
      </w:r>
      <w:r w:rsidR="00970B28">
        <w:t>.</w:t>
      </w:r>
      <w:r w:rsidR="003D44A3">
        <w:t xml:space="preserve"> The cluster design first selects primary sampling units (PSUs), which are clusters of households, and then selects households from the sampled PSUs. </w:t>
      </w:r>
      <w:r w:rsidR="00BB3886">
        <w:t>We will select a</w:t>
      </w:r>
      <w:r w:rsidR="00522205">
        <w:t xml:space="preserve"> </w:t>
      </w:r>
      <w:r w:rsidR="00BB3886">
        <w:t>n</w:t>
      </w:r>
      <w:r w:rsidR="00522205">
        <w:t>early</w:t>
      </w:r>
      <w:r w:rsidR="00BB3886">
        <w:t xml:space="preserve"> equal probability sample of households with the adjusted sample size fr</w:t>
      </w:r>
      <w:r w:rsidR="007D7641">
        <w:t>om each sampled PSU from a</w:t>
      </w:r>
      <w:r w:rsidR="00BB3886">
        <w:t xml:space="preserve"> database of US addresses</w:t>
      </w:r>
      <w:r w:rsidR="007D7641">
        <w:t xml:space="preserve"> provided by MSG, a vendor that provides a </w:t>
      </w:r>
      <w:r w:rsidR="00970B28">
        <w:t xml:space="preserve">sampling frame of </w:t>
      </w:r>
      <w:r w:rsidR="007D7641">
        <w:t xml:space="preserve">current </w:t>
      </w:r>
      <w:r w:rsidR="00970B28">
        <w:t>addresses in the US</w:t>
      </w:r>
      <w:r w:rsidR="00BB3886">
        <w:t xml:space="preserve">. </w:t>
      </w:r>
      <w:r w:rsidR="007D7641">
        <w:t>Respondents within a household will not be randomly selected.  Rather the screener will ask the member of the household who most frequently drives children to complete the survey.  This is a proxy to attempt to establish the most knowledgeable or qualified member of the household to serve as the survey respondent.</w:t>
      </w:r>
    </w:p>
    <w:p w:rsidR="00BB3886" w:rsidRDefault="00BB3886" w:rsidP="003D44A3">
      <w:pPr>
        <w:jc w:val="both"/>
      </w:pPr>
    </w:p>
    <w:p w:rsidR="004A381A" w:rsidRDefault="003D44A3" w:rsidP="002B56B2">
      <w:pPr>
        <w:ind w:firstLine="720"/>
        <w:jc w:val="both"/>
      </w:pPr>
      <w:r>
        <w:t xml:space="preserve">The National Survey of the Use of Booster Seats (NSUBS) </w:t>
      </w:r>
      <w:r w:rsidR="00AF4762">
        <w:t xml:space="preserve">2015 </w:t>
      </w:r>
      <w:r>
        <w:t xml:space="preserve">design structure will be used to select </w:t>
      </w:r>
      <w:r w:rsidR="00970B28">
        <w:t xml:space="preserve">PSUs. In the PSU sampling frame, the NSUBS has 1,601 PSUs, </w:t>
      </w:r>
      <w:r w:rsidR="00970B28">
        <w:lastRenderedPageBreak/>
        <w:t>which were formed by single o</w:t>
      </w:r>
      <w:r w:rsidR="00522205">
        <w:t>r</w:t>
      </w:r>
      <w:r w:rsidR="00970B28">
        <w:t xml:space="preserve"> group</w:t>
      </w:r>
      <w:r w:rsidR="007D7641">
        <w:t>s</w:t>
      </w:r>
      <w:r w:rsidR="00970B28">
        <w:t xml:space="preserve"> of counties. </w:t>
      </w:r>
      <w:r w:rsidR="0047696C">
        <w:t xml:space="preserve">The sampling method </w:t>
      </w:r>
      <w:r w:rsidR="00010109">
        <w:t>t</w:t>
      </w:r>
      <w:r w:rsidR="0047696C">
        <w:t>o</w:t>
      </w:r>
      <w:r w:rsidR="00010109">
        <w:t xml:space="preserve"> select</w:t>
      </w:r>
      <w:r w:rsidR="0047696C">
        <w:t xml:space="preserve"> PSUs for NSUBS is the probability proportional to size (PPS) method using the number of children of age 0 – 7 as the measure of size (MOS)</w:t>
      </w:r>
      <w:r w:rsidR="007D7641">
        <w:t xml:space="preserve"> based on </w:t>
      </w:r>
      <w:r w:rsidR="006C2413">
        <w:t>2012 population data</w:t>
      </w:r>
      <w:r w:rsidR="0047696C">
        <w:t>.</w:t>
      </w:r>
      <w:r w:rsidR="00970B28">
        <w:t xml:space="preserve"> </w:t>
      </w:r>
      <w:r w:rsidR="00010109">
        <w:t xml:space="preserve">We will use the same sampling method and MOS for AACPSIR. </w:t>
      </w:r>
      <w:r w:rsidR="00973794">
        <w:t xml:space="preserve"> </w:t>
      </w:r>
      <w:r w:rsidR="00030FBE">
        <w:t xml:space="preserve">One of the reasons for using the NSUBS PSUs to select an AACPSIR sample is to link </w:t>
      </w:r>
      <w:r>
        <w:t xml:space="preserve">the two surveys for analysis purposes. This linkage will enhance the analysis </w:t>
      </w:r>
      <w:r w:rsidR="00FC6E41">
        <w:t>capability</w:t>
      </w:r>
      <w:r>
        <w:t xml:space="preserve"> to bring out interesting resu</w:t>
      </w:r>
      <w:r w:rsidR="002B56B2">
        <w:t>lts, which are not feasible by a different</w:t>
      </w:r>
      <w:r w:rsidR="00030FBE">
        <w:t xml:space="preserve"> sampling</w:t>
      </w:r>
      <w:r>
        <w:t xml:space="preserve"> approach. NSUBS collects data on </w:t>
      </w:r>
      <w:r w:rsidR="002855CE">
        <w:t>restraint</w:t>
      </w:r>
      <w:r>
        <w:t xml:space="preserve"> use </w:t>
      </w:r>
      <w:r w:rsidR="002855CE">
        <w:t>by</w:t>
      </w:r>
      <w:r>
        <w:t xml:space="preserve"> children age 0-12 and adult pass</w:t>
      </w:r>
      <w:r w:rsidR="007D7641">
        <w:t>engers in the observed vehicles</w:t>
      </w:r>
      <w:r>
        <w:t xml:space="preserve"> and their demographic information. To maximize the power of the linked analysis, all 30 NSUBS PSUs will be included in the PSU sample for the AACPSIR survey.</w:t>
      </w:r>
      <w:r w:rsidR="00973794">
        <w:t xml:space="preserve">  An additional 30 PSUs will be selected for a total of 60 PSUs for the AACPSIR survey</w:t>
      </w:r>
      <w:r w:rsidR="00030FBE">
        <w:t xml:space="preserve"> to increase the sample size for broader (non-linked) analysis</w:t>
      </w:r>
      <w:r w:rsidR="00973794">
        <w:t xml:space="preserve">. </w:t>
      </w:r>
      <w:r w:rsidR="00030FBE">
        <w:t xml:space="preserve">The increase of the PSU sample size </w:t>
      </w:r>
      <w:r w:rsidR="002B56B2">
        <w:t xml:space="preserve">is recommended since </w:t>
      </w:r>
      <w:r w:rsidR="00010109">
        <w:t>the inspection stations, which are an important component for AACPSIR</w:t>
      </w:r>
      <w:r w:rsidR="007D7641">
        <w:t>,</w:t>
      </w:r>
      <w:r w:rsidR="00010109">
        <w:t xml:space="preserve"> are sparsely scattered </w:t>
      </w:r>
      <w:r w:rsidR="002B56B2">
        <w:t>across the country</w:t>
      </w:r>
      <w:r w:rsidR="00010109">
        <w:t>, and</w:t>
      </w:r>
      <w:r w:rsidR="00CF674A">
        <w:t xml:space="preserve"> therefore, require</w:t>
      </w:r>
      <w:r w:rsidR="00010109">
        <w:t xml:space="preserve"> a larger sample base.</w:t>
      </w:r>
    </w:p>
    <w:p w:rsidR="003D44A3" w:rsidRDefault="003D44A3" w:rsidP="003D44A3">
      <w:pPr>
        <w:jc w:val="both"/>
      </w:pPr>
    </w:p>
    <w:p w:rsidR="003D44A3" w:rsidRPr="00CF674A" w:rsidRDefault="00CF674A" w:rsidP="00CF674A">
      <w:pPr>
        <w:ind w:firstLine="720"/>
        <w:jc w:val="both"/>
      </w:pPr>
      <w:r>
        <w:t>T</w:t>
      </w:r>
      <w:r w:rsidR="003D44A3" w:rsidRPr="003D44A3">
        <w:t>he</w:t>
      </w:r>
      <w:r>
        <w:t>re are numerous</w:t>
      </w:r>
      <w:r w:rsidR="003D44A3" w:rsidRPr="003D44A3">
        <w:t xml:space="preserve"> advantages of using the NSUBS PSU frame and the subsequent linked analysi</w:t>
      </w:r>
      <w:r>
        <w:t>s for the AACPSIR survey. For one it s</w:t>
      </w:r>
      <w:r w:rsidRPr="00CF674A">
        <w:t>av</w:t>
      </w:r>
      <w:r>
        <w:t>es</w:t>
      </w:r>
      <w:r w:rsidR="003D44A3" w:rsidRPr="00CF674A">
        <w:t xml:space="preserve"> the government the cost of developing a new sampling structure</w:t>
      </w:r>
      <w:r w:rsidR="00973794" w:rsidRPr="00CF674A">
        <w:t>,</w:t>
      </w:r>
      <w:r w:rsidR="003D44A3" w:rsidRPr="00CF674A">
        <w:t xml:space="preserve"> including a sampling frame for the survey.  </w:t>
      </w:r>
      <w:r>
        <w:t>The c</w:t>
      </w:r>
      <w:r w:rsidR="003D44A3" w:rsidRPr="00CF674A">
        <w:t>ontractor</w:t>
      </w:r>
      <w:r>
        <w:t xml:space="preserve"> for this study, Westat, </w:t>
      </w:r>
      <w:r w:rsidR="003D44A3" w:rsidRPr="00CF674A">
        <w:t>developed the NSUBS PSU frame</w:t>
      </w:r>
      <w:r>
        <w:t xml:space="preserve"> </w:t>
      </w:r>
      <w:r w:rsidR="003D44A3" w:rsidRPr="00CF674A">
        <w:t>and can easily repurpose it for this survey.</w:t>
      </w:r>
      <w:r>
        <w:t xml:space="preserve"> Also i</w:t>
      </w:r>
      <w:r w:rsidR="003D44A3" w:rsidRPr="00CF674A">
        <w:t>nvestigations into other measures of size (MOS) revealed that the MOS defined by number of children age 0-7 in the NSUBS PSU frame is advantageous as it reflects well the ideal MOS (the number of households with children of age 0-9) for the AACPSIR survey, as the two MOS are highly correlated</w:t>
      </w:r>
      <w:r w:rsidR="00030FBE" w:rsidRPr="00CF674A">
        <w:t xml:space="preserve"> – the correlation is </w:t>
      </w:r>
      <w:r w:rsidR="006C2413" w:rsidRPr="00CF674A">
        <w:t>near 1</w:t>
      </w:r>
      <w:r>
        <w:t>. Furthermore, t</w:t>
      </w:r>
      <w:r w:rsidR="003D44A3" w:rsidRPr="00CF674A">
        <w:t>he NSUBS frame is already stratified by belt use law and region, which is also desirable for the AACPSIR survey.</w:t>
      </w:r>
      <w:r>
        <w:t xml:space="preserve"> Finally, t</w:t>
      </w:r>
      <w:r w:rsidR="003D44A3" w:rsidRPr="00CF674A">
        <w:t xml:space="preserve">he linkage will allow </w:t>
      </w:r>
      <w:r w:rsidR="00973794" w:rsidRPr="00CF674A">
        <w:t>for enrichment of</w:t>
      </w:r>
      <w:r w:rsidR="003D44A3" w:rsidRPr="00CF674A">
        <w:t xml:space="preserve"> the data from this survey with community le</w:t>
      </w:r>
      <w:r>
        <w:t>vel data such as</w:t>
      </w:r>
      <w:r w:rsidR="003D44A3" w:rsidRPr="00CF674A">
        <w:t xml:space="preserve"> observed restraint use, rate of incorrect CRS use based on children’s weight, height, and age, driver’s restraint use rates as well as demographics. This NSUBS information can provide useful auxiliary variables in analysis of the AACPSIR survey data. </w:t>
      </w:r>
    </w:p>
    <w:p w:rsidR="003D44A3" w:rsidRDefault="003D44A3" w:rsidP="003D44A3">
      <w:pPr>
        <w:jc w:val="both"/>
      </w:pPr>
    </w:p>
    <w:p w:rsidR="005613A4" w:rsidRPr="00CF674A" w:rsidRDefault="00973794" w:rsidP="00CF674A">
      <w:pPr>
        <w:ind w:firstLine="720"/>
        <w:jc w:val="both"/>
      </w:pPr>
      <w:r>
        <w:t xml:space="preserve">As noted, the </w:t>
      </w:r>
      <w:r w:rsidR="003D44A3">
        <w:t xml:space="preserve">plan calls for a cluster design with 60 PSUs, of which one half of the PSU sample comes from </w:t>
      </w:r>
      <w:r w:rsidR="006469F3">
        <w:t xml:space="preserve">those PSUs selected for </w:t>
      </w:r>
      <w:r w:rsidR="003D44A3">
        <w:t>NSUBS</w:t>
      </w:r>
      <w:r w:rsidR="006469F3">
        <w:t xml:space="preserve"> and the remaining half is from the NSUBS frame</w:t>
      </w:r>
      <w:r w:rsidR="003D44A3">
        <w:t xml:space="preserve">. </w:t>
      </w:r>
      <w:r w:rsidR="00E87F9E">
        <w:rPr>
          <w:szCs w:val="20"/>
        </w:rPr>
        <w:t xml:space="preserve">We will select </w:t>
      </w:r>
      <w:r w:rsidR="00CF674A">
        <w:rPr>
          <w:szCs w:val="20"/>
        </w:rPr>
        <w:t xml:space="preserve">the 30 additional </w:t>
      </w:r>
      <w:r w:rsidR="00E87F9E">
        <w:rPr>
          <w:szCs w:val="20"/>
        </w:rPr>
        <w:t>PSUs using the same</w:t>
      </w:r>
      <w:r w:rsidR="006675C5">
        <w:rPr>
          <w:szCs w:val="20"/>
        </w:rPr>
        <w:t xml:space="preserve"> NSUBS stratification; </w:t>
      </w:r>
      <w:r w:rsidR="006469F3" w:rsidRPr="006469F3">
        <w:rPr>
          <w:szCs w:val="20"/>
        </w:rPr>
        <w:t>NSUBS uses 8 strata defined by 4 Census Regions crossed by 2 stricter children restraint use law statuses</w:t>
      </w:r>
      <w:r w:rsidR="006469F3" w:rsidRPr="006469F3">
        <w:rPr>
          <w:szCs w:val="20"/>
          <w:vertAlign w:val="superscript"/>
        </w:rPr>
        <w:footnoteReference w:id="1"/>
      </w:r>
      <w:r w:rsidR="006469F3" w:rsidRPr="006469F3">
        <w:rPr>
          <w:szCs w:val="20"/>
        </w:rPr>
        <w:t xml:space="preserve">. </w:t>
      </w:r>
      <w:r w:rsidR="00CF674A">
        <w:rPr>
          <w:szCs w:val="20"/>
        </w:rPr>
        <w:t>For NSUBS, the S</w:t>
      </w:r>
      <w:r w:rsidR="006675C5">
        <w:rPr>
          <w:szCs w:val="20"/>
        </w:rPr>
        <w:t xml:space="preserve">tate law is believed to affect children’s restraint use, and thus, it was used as a stratification variable. </w:t>
      </w:r>
      <w:r w:rsidR="00E87F9E">
        <w:rPr>
          <w:szCs w:val="20"/>
        </w:rPr>
        <w:t xml:space="preserve">This aspect is also relevant for AACPSIR. </w:t>
      </w:r>
      <w:r w:rsidR="006469F3" w:rsidRPr="006469F3">
        <w:rPr>
          <w:szCs w:val="20"/>
        </w:rPr>
        <w:t xml:space="preserve">The NSUBS PSUs are distributed to </w:t>
      </w:r>
      <w:r w:rsidR="00DE316C">
        <w:rPr>
          <w:szCs w:val="20"/>
        </w:rPr>
        <w:t>the 8 strata as shown in Table 2</w:t>
      </w:r>
      <w:r w:rsidR="006469F3" w:rsidRPr="006469F3">
        <w:rPr>
          <w:szCs w:val="20"/>
        </w:rPr>
        <w:t xml:space="preserve">, and sample allocation based on the proportionality to the total stratum MOS is </w:t>
      </w:r>
      <w:r w:rsidR="00CF674A">
        <w:rPr>
          <w:szCs w:val="20"/>
        </w:rPr>
        <w:t xml:space="preserve">also shown </w:t>
      </w:r>
      <w:r w:rsidR="006469F3" w:rsidRPr="006469F3">
        <w:rPr>
          <w:szCs w:val="20"/>
        </w:rPr>
        <w:t xml:space="preserve">for NSUBS and AACPSIR. When the allocated </w:t>
      </w:r>
      <w:r w:rsidR="00FE1776">
        <w:rPr>
          <w:szCs w:val="20"/>
        </w:rPr>
        <w:t xml:space="preserve">PSU </w:t>
      </w:r>
      <w:r w:rsidR="006469F3" w:rsidRPr="006469F3">
        <w:rPr>
          <w:szCs w:val="20"/>
        </w:rPr>
        <w:t>sample size is less than 2 for AACPSIR, it was increased to 2 to facilitate variance estimation.</w:t>
      </w:r>
      <w:r w:rsidR="00086C55">
        <w:rPr>
          <w:szCs w:val="20"/>
        </w:rPr>
        <w:t xml:space="preserve"> The total MOS in </w:t>
      </w:r>
      <w:r w:rsidR="00086C55">
        <w:rPr>
          <w:szCs w:val="20"/>
        </w:rPr>
        <w:lastRenderedPageBreak/>
        <w:t xml:space="preserve">the table represents the total population MOS (i.e., the total population of children age 0-7 in the US excluding HI and AK), which was used to calculate the stratum proportions of MOS for proportional sample allocation. </w:t>
      </w:r>
      <w:r w:rsidR="006469F3" w:rsidRPr="006469F3">
        <w:rPr>
          <w:szCs w:val="20"/>
        </w:rPr>
        <w:t xml:space="preserve">The </w:t>
      </w:r>
      <w:r w:rsidR="00CF674A">
        <w:rPr>
          <w:szCs w:val="20"/>
        </w:rPr>
        <w:t>eight strata are</w:t>
      </w:r>
      <w:r w:rsidR="006469F3" w:rsidRPr="006469F3">
        <w:rPr>
          <w:szCs w:val="20"/>
        </w:rPr>
        <w:t xml:space="preserve"> indexed by </w:t>
      </w:r>
      <m:oMath>
        <m:r>
          <w:rPr>
            <w:rFonts w:ascii="Cambria Math" w:hAnsi="Cambria Math"/>
            <w:szCs w:val="20"/>
          </w:rPr>
          <m:t>h</m:t>
        </m:r>
      </m:oMath>
      <w:r w:rsidR="006469F3" w:rsidRPr="006469F3">
        <w:rPr>
          <w:szCs w:val="20"/>
        </w:rPr>
        <w:t xml:space="preserve">, </w:t>
      </w:r>
      <w:r w:rsidR="00CF674A">
        <w:rPr>
          <w:szCs w:val="20"/>
        </w:rPr>
        <w:t xml:space="preserve">and the </w:t>
      </w:r>
      <w:r w:rsidR="006469F3" w:rsidRPr="006469F3">
        <w:rPr>
          <w:szCs w:val="20"/>
        </w:rPr>
        <w:t xml:space="preserve">stratum PSU population and sample sizes are denoted by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h</m:t>
            </m:r>
          </m:sub>
        </m:sSub>
      </m:oMath>
      <w:r w:rsidR="006469F3" w:rsidRPr="006469F3">
        <w:rPr>
          <w:szCs w:val="20"/>
        </w:rPr>
        <w:t xml:space="preserve"> 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h</m:t>
            </m:r>
          </m:sub>
        </m:sSub>
      </m:oMath>
      <w:r w:rsidR="00CF674A">
        <w:rPr>
          <w:szCs w:val="20"/>
        </w:rPr>
        <w:t>, respectively</w:t>
      </w:r>
      <w:r w:rsidR="006469F3" w:rsidRPr="006469F3">
        <w:rPr>
          <w:szCs w:val="20"/>
        </w:rPr>
        <w:t>.</w:t>
      </w:r>
    </w:p>
    <w:p w:rsidR="006C1200" w:rsidRPr="006469F3" w:rsidRDefault="006C1200" w:rsidP="00817454">
      <w:pPr>
        <w:ind w:firstLine="720"/>
        <w:jc w:val="both"/>
        <w:rPr>
          <w:szCs w:val="20"/>
        </w:rPr>
      </w:pPr>
    </w:p>
    <w:p w:rsidR="006469F3" w:rsidRPr="00DE316C" w:rsidRDefault="00DE316C" w:rsidP="006469F3">
      <w:pPr>
        <w:keepNext/>
        <w:tabs>
          <w:tab w:val="left" w:pos="1440"/>
        </w:tabs>
        <w:spacing w:line="240" w:lineRule="atLeast"/>
        <w:ind w:left="1440" w:hanging="1440"/>
        <w:rPr>
          <w:b/>
        </w:rPr>
      </w:pPr>
      <w:bookmarkStart w:id="2" w:name="_Toc383677393"/>
      <w:bookmarkStart w:id="3" w:name="_Toc383698087"/>
      <w:bookmarkStart w:id="4" w:name="_Toc383770009"/>
      <w:bookmarkStart w:id="5" w:name="_Toc402971466"/>
      <w:bookmarkStart w:id="6" w:name="_Toc402971476"/>
      <w:r w:rsidRPr="00DE316C">
        <w:rPr>
          <w:b/>
        </w:rPr>
        <w:t xml:space="preserve">Table </w:t>
      </w:r>
      <w:r w:rsidR="004F465F">
        <w:rPr>
          <w:b/>
        </w:rPr>
        <w:t>2</w:t>
      </w:r>
      <w:r w:rsidR="006469F3" w:rsidRPr="00DE316C">
        <w:rPr>
          <w:b/>
        </w:rPr>
        <w:t>.</w:t>
      </w:r>
      <w:r w:rsidR="006469F3" w:rsidRPr="00DE316C">
        <w:rPr>
          <w:b/>
        </w:rPr>
        <w:tab/>
        <w:t>PSU sample allocation</w:t>
      </w:r>
      <w:bookmarkEnd w:id="2"/>
      <w:bookmarkEnd w:id="3"/>
      <w:bookmarkEnd w:id="4"/>
      <w:r w:rsidR="006469F3" w:rsidRPr="00DE316C">
        <w:rPr>
          <w:b/>
        </w:rPr>
        <w:t xml:space="preserve"> over the strata</w:t>
      </w:r>
      <w:bookmarkEnd w:id="5"/>
      <w:bookmarkEnd w:id="6"/>
      <w:r w:rsidR="006469F3" w:rsidRPr="00DE316C">
        <w:rPr>
          <w:b/>
        </w:rPr>
        <w:t xml:space="preserve"> for NSUBS and AACPSIR</w:t>
      </w:r>
    </w:p>
    <w:p w:rsidR="006469F3" w:rsidRPr="00DE316C" w:rsidRDefault="006469F3" w:rsidP="006469F3">
      <w:pPr>
        <w:keepNext/>
        <w:tabs>
          <w:tab w:val="left" w:pos="1440"/>
        </w:tabs>
        <w:spacing w:line="240" w:lineRule="atLeast"/>
        <w:ind w:left="1440" w:hanging="1440"/>
      </w:pPr>
    </w:p>
    <w:tbl>
      <w:tblPr>
        <w:tblStyle w:val="TableWestatStandardFormat"/>
        <w:tblW w:w="9576" w:type="dxa"/>
        <w:tblLayout w:type="fixed"/>
        <w:tblLook w:val="04A0" w:firstRow="1" w:lastRow="0" w:firstColumn="1" w:lastColumn="0" w:noHBand="0" w:noVBand="1"/>
      </w:tblPr>
      <w:tblGrid>
        <w:gridCol w:w="1235"/>
        <w:gridCol w:w="1045"/>
        <w:gridCol w:w="1248"/>
        <w:gridCol w:w="1440"/>
        <w:gridCol w:w="1482"/>
        <w:gridCol w:w="1668"/>
        <w:gridCol w:w="1458"/>
      </w:tblGrid>
      <w:tr w:rsidR="006469F3" w:rsidRPr="00DE316C" w:rsidTr="006469F3">
        <w:trPr>
          <w:cnfStyle w:val="100000000000" w:firstRow="1" w:lastRow="0" w:firstColumn="0" w:lastColumn="0" w:oddVBand="0" w:evenVBand="0" w:oddHBand="0" w:evenHBand="0" w:firstRowFirstColumn="0" w:firstRowLastColumn="0" w:lastRowFirstColumn="0" w:lastRowLastColumn="0"/>
          <w:tblHeader/>
        </w:trPr>
        <w:tc>
          <w:tcPr>
            <w:tcW w:w="1235" w:type="dxa"/>
            <w:vAlign w:val="center"/>
            <w:hideMark/>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 xml:space="preserve">Stratum Number </w:t>
            </w:r>
          </w:p>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w:t>
            </w:r>
            <m:oMath>
              <m:r>
                <m:rPr>
                  <m:sty m:val="bi"/>
                </m:rPr>
                <w:rPr>
                  <w:rFonts w:ascii="Cambria Math" w:hAnsi="Cambria Math"/>
                  <w:color w:val="000000"/>
                </w:rPr>
                <m:t>h</m:t>
              </m:r>
            </m:oMath>
            <w:r w:rsidRPr="00DE316C">
              <w:rPr>
                <w:rFonts w:ascii="Times New Roman" w:hAnsi="Times New Roman"/>
                <w:b/>
                <w:bCs/>
                <w:color w:val="000000"/>
              </w:rPr>
              <w:t>)</w:t>
            </w:r>
          </w:p>
        </w:tc>
        <w:tc>
          <w:tcPr>
            <w:tcW w:w="1045" w:type="dxa"/>
            <w:vAlign w:val="center"/>
            <w:hideMark/>
          </w:tcPr>
          <w:p w:rsidR="006469F3" w:rsidRPr="00DE316C" w:rsidRDefault="00F06F5B" w:rsidP="006469F3">
            <w:pPr>
              <w:spacing w:line="240" w:lineRule="atLeast"/>
              <w:rPr>
                <w:rFonts w:ascii="Times New Roman" w:hAnsi="Times New Roman"/>
                <w:b/>
                <w:bCs/>
                <w:color w:val="000000"/>
              </w:rPr>
            </w:pPr>
            <w:r>
              <w:rPr>
                <w:rFonts w:ascii="Times New Roman" w:hAnsi="Times New Roman"/>
                <w:b/>
                <w:bCs/>
                <w:color w:val="000000"/>
              </w:rPr>
              <w:t>Census</w:t>
            </w:r>
            <w:r w:rsidR="006469F3" w:rsidRPr="00DE316C">
              <w:rPr>
                <w:rFonts w:ascii="Times New Roman" w:hAnsi="Times New Roman"/>
                <w:b/>
                <w:bCs/>
                <w:color w:val="000000"/>
              </w:rPr>
              <w:t>Region</w:t>
            </w:r>
          </w:p>
        </w:tc>
        <w:tc>
          <w:tcPr>
            <w:tcW w:w="1248" w:type="dxa"/>
            <w:vAlign w:val="center"/>
            <w:hideMark/>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Law Status</w:t>
            </w:r>
          </w:p>
        </w:tc>
        <w:tc>
          <w:tcPr>
            <w:tcW w:w="1440" w:type="dxa"/>
            <w:vAlign w:val="center"/>
            <w:hideMark/>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 xml:space="preserve">Number of PSUs </w:t>
            </w:r>
          </w:p>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w:t>
            </w:r>
            <m:oMath>
              <m:sSub>
                <m:sSubPr>
                  <m:ctrlPr>
                    <w:rPr>
                      <w:rFonts w:ascii="Cambria Math" w:hAnsi="Cambria Math"/>
                      <w:b/>
                      <w:bCs/>
                      <w:i/>
                      <w:color w:val="000000"/>
                    </w:rPr>
                  </m:ctrlPr>
                </m:sSubPr>
                <m:e>
                  <m:r>
                    <m:rPr>
                      <m:sty m:val="bi"/>
                    </m:rPr>
                    <w:rPr>
                      <w:rFonts w:ascii="Cambria Math" w:hAnsi="Cambria Math"/>
                      <w:color w:val="000000"/>
                    </w:rPr>
                    <m:t>N</m:t>
                  </m:r>
                </m:e>
                <m:sub>
                  <m:r>
                    <m:rPr>
                      <m:sty m:val="bi"/>
                    </m:rPr>
                    <w:rPr>
                      <w:rFonts w:ascii="Cambria Math" w:hAnsi="Cambria Math"/>
                      <w:color w:val="000000"/>
                    </w:rPr>
                    <m:t>h</m:t>
                  </m:r>
                </m:sub>
              </m:sSub>
            </m:oMath>
            <w:r w:rsidRPr="00DE316C">
              <w:rPr>
                <w:rFonts w:ascii="Times New Roman" w:hAnsi="Times New Roman"/>
                <w:b/>
                <w:bCs/>
                <w:color w:val="000000"/>
              </w:rPr>
              <w:t>)</w:t>
            </w:r>
          </w:p>
        </w:tc>
        <w:tc>
          <w:tcPr>
            <w:tcW w:w="1482" w:type="dxa"/>
            <w:vAlign w:val="center"/>
            <w:hideMark/>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 xml:space="preserve">Total Stratum MOS </w:t>
            </w:r>
          </w:p>
        </w:tc>
        <w:tc>
          <w:tcPr>
            <w:tcW w:w="1668" w:type="dxa"/>
            <w:vAlign w:val="center"/>
            <w:hideMark/>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 xml:space="preserve">NSUBS PSU Sample Size </w:t>
            </w:r>
          </w:p>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w:t>
            </w:r>
            <m:oMath>
              <m:sSubSup>
                <m:sSubSupPr>
                  <m:ctrlPr>
                    <w:rPr>
                      <w:rFonts w:ascii="Cambria Math" w:hAnsi="Cambria Math"/>
                      <w:b/>
                      <w:bCs/>
                      <w:i/>
                      <w:color w:val="000000"/>
                    </w:rPr>
                  </m:ctrlPr>
                </m:sSubSupPr>
                <m:e>
                  <m:r>
                    <m:rPr>
                      <m:sty m:val="bi"/>
                    </m:rPr>
                    <w:rPr>
                      <w:rFonts w:ascii="Cambria Math" w:hAnsi="Cambria Math"/>
                      <w:color w:val="000000"/>
                    </w:rPr>
                    <m:t>n</m:t>
                  </m:r>
                </m:e>
                <m:sub>
                  <m:r>
                    <m:rPr>
                      <m:sty m:val="bi"/>
                    </m:rPr>
                    <w:rPr>
                      <w:rFonts w:ascii="Cambria Math" w:hAnsi="Cambria Math"/>
                      <w:color w:val="000000"/>
                    </w:rPr>
                    <m:t>h</m:t>
                  </m:r>
                </m:sub>
                <m:sup>
                  <m:r>
                    <m:rPr>
                      <m:sty m:val="bi"/>
                    </m:rPr>
                    <w:rPr>
                      <w:rFonts w:ascii="Cambria Math" w:hAnsi="Cambria Math"/>
                      <w:color w:val="000000"/>
                    </w:rPr>
                    <m:t>*</m:t>
                  </m:r>
                </m:sup>
              </m:sSubSup>
            </m:oMath>
            <w:r w:rsidRPr="00DE316C">
              <w:rPr>
                <w:rFonts w:ascii="Times New Roman" w:hAnsi="Times New Roman"/>
                <w:b/>
                <w:bCs/>
                <w:color w:val="000000"/>
              </w:rPr>
              <w:t>)</w:t>
            </w:r>
          </w:p>
        </w:tc>
        <w:tc>
          <w:tcPr>
            <w:tcW w:w="1458" w:type="dxa"/>
            <w:vAlign w:val="center"/>
          </w:tcPr>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 xml:space="preserve">AACPSIR PSU Sample Size </w:t>
            </w:r>
          </w:p>
          <w:p w:rsidR="006469F3" w:rsidRPr="00DE316C" w:rsidRDefault="006469F3" w:rsidP="006469F3">
            <w:pPr>
              <w:spacing w:line="240" w:lineRule="atLeast"/>
              <w:rPr>
                <w:rFonts w:ascii="Times New Roman" w:hAnsi="Times New Roman"/>
                <w:b/>
                <w:bCs/>
                <w:color w:val="000000"/>
              </w:rPr>
            </w:pPr>
            <w:r w:rsidRPr="00DE316C">
              <w:rPr>
                <w:rFonts w:ascii="Times New Roman" w:hAnsi="Times New Roman"/>
                <w:b/>
                <w:bCs/>
                <w:color w:val="000000"/>
              </w:rPr>
              <w:t>(</w:t>
            </w:r>
            <m:oMath>
              <m:sSub>
                <m:sSubPr>
                  <m:ctrlPr>
                    <w:rPr>
                      <w:rFonts w:ascii="Cambria Math" w:hAnsi="Cambria Math"/>
                      <w:b/>
                      <w:bCs/>
                      <w:i/>
                      <w:color w:val="000000"/>
                    </w:rPr>
                  </m:ctrlPr>
                </m:sSubPr>
                <m:e>
                  <m:r>
                    <m:rPr>
                      <m:sty m:val="bi"/>
                    </m:rPr>
                    <w:rPr>
                      <w:rFonts w:ascii="Cambria Math" w:hAnsi="Cambria Math"/>
                      <w:color w:val="000000"/>
                    </w:rPr>
                    <m:t>n</m:t>
                  </m:r>
                </m:e>
                <m:sub>
                  <m:r>
                    <m:rPr>
                      <m:sty m:val="bi"/>
                    </m:rPr>
                    <w:rPr>
                      <w:rFonts w:ascii="Cambria Math" w:hAnsi="Cambria Math"/>
                      <w:color w:val="000000"/>
                    </w:rPr>
                    <m:t>h</m:t>
                  </m:r>
                </m:sub>
              </m:sSub>
            </m:oMath>
            <w:r w:rsidRPr="00DE316C">
              <w:rPr>
                <w:rFonts w:ascii="Times New Roman" w:hAnsi="Times New Roman"/>
                <w:b/>
                <w:bCs/>
                <w:color w:val="000000"/>
              </w:rPr>
              <w:t>)</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Yes</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160</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4,730,497</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4</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8</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No</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17</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432,320</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3</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Yes</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388</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6,169,676</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6</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11</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4</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No</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81</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698,662</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5</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3</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Yes</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417</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7,611,901</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7</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14</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6</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3</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No</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325</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4,726,094</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4</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9</w:t>
            </w:r>
          </w:p>
        </w:tc>
      </w:tr>
      <w:tr w:rsidR="006469F3" w:rsidRPr="00DE316C" w:rsidTr="006469F3">
        <w:tc>
          <w:tcPr>
            <w:tcW w:w="123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7</w:t>
            </w:r>
          </w:p>
        </w:tc>
        <w:tc>
          <w:tcPr>
            <w:tcW w:w="1045"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4</w:t>
            </w:r>
          </w:p>
        </w:tc>
        <w:tc>
          <w:tcPr>
            <w:tcW w:w="124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Yes</w:t>
            </w:r>
          </w:p>
        </w:tc>
        <w:tc>
          <w:tcPr>
            <w:tcW w:w="1440" w:type="dxa"/>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158</w:t>
            </w:r>
          </w:p>
        </w:tc>
        <w:tc>
          <w:tcPr>
            <w:tcW w:w="1482" w:type="dxa"/>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6,906,757</w:t>
            </w:r>
          </w:p>
        </w:tc>
        <w:tc>
          <w:tcPr>
            <w:tcW w:w="1668" w:type="dxa"/>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6</w:t>
            </w:r>
          </w:p>
        </w:tc>
        <w:tc>
          <w:tcPr>
            <w:tcW w:w="1458" w:type="dxa"/>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12</w:t>
            </w:r>
          </w:p>
        </w:tc>
      </w:tr>
      <w:tr w:rsidR="006469F3" w:rsidRPr="00DE316C" w:rsidTr="006469F3">
        <w:tc>
          <w:tcPr>
            <w:tcW w:w="1235" w:type="dxa"/>
            <w:tcBorders>
              <w:bottom w:val="single" w:sz="4" w:space="0" w:color="auto"/>
            </w:tcBorders>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8</w:t>
            </w:r>
          </w:p>
        </w:tc>
        <w:tc>
          <w:tcPr>
            <w:tcW w:w="1045" w:type="dxa"/>
            <w:tcBorders>
              <w:bottom w:val="single" w:sz="4" w:space="0" w:color="auto"/>
            </w:tcBorders>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4</w:t>
            </w:r>
          </w:p>
        </w:tc>
        <w:tc>
          <w:tcPr>
            <w:tcW w:w="1248" w:type="dxa"/>
            <w:tcBorders>
              <w:bottom w:val="single" w:sz="4" w:space="0" w:color="auto"/>
            </w:tcBorders>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No</w:t>
            </w:r>
          </w:p>
        </w:tc>
        <w:tc>
          <w:tcPr>
            <w:tcW w:w="1440" w:type="dxa"/>
            <w:tcBorders>
              <w:bottom w:val="single" w:sz="4" w:space="0" w:color="auto"/>
            </w:tcBorders>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55</w:t>
            </w:r>
          </w:p>
        </w:tc>
        <w:tc>
          <w:tcPr>
            <w:tcW w:w="1482" w:type="dxa"/>
            <w:tcBorders>
              <w:bottom w:val="single" w:sz="4" w:space="0" w:color="auto"/>
            </w:tcBorders>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814,871</w:t>
            </w:r>
          </w:p>
        </w:tc>
        <w:tc>
          <w:tcPr>
            <w:tcW w:w="1668" w:type="dxa"/>
            <w:tcBorders>
              <w:bottom w:val="single" w:sz="4" w:space="0" w:color="auto"/>
            </w:tcBorders>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1</w:t>
            </w:r>
          </w:p>
        </w:tc>
        <w:tc>
          <w:tcPr>
            <w:tcW w:w="1458" w:type="dxa"/>
            <w:tcBorders>
              <w:bottom w:val="single" w:sz="4" w:space="0" w:color="auto"/>
            </w:tcBorders>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2</w:t>
            </w:r>
          </w:p>
        </w:tc>
      </w:tr>
      <w:tr w:rsidR="006469F3" w:rsidRPr="00DE316C" w:rsidTr="006469F3">
        <w:tc>
          <w:tcPr>
            <w:tcW w:w="1235" w:type="dxa"/>
            <w:tcBorders>
              <w:top w:val="single" w:sz="4" w:space="0" w:color="auto"/>
              <w:bottom w:val="single" w:sz="4" w:space="0" w:color="auto"/>
            </w:tcBorders>
            <w:noWrap/>
            <w:vAlign w:val="center"/>
            <w:hideMark/>
          </w:tcPr>
          <w:p w:rsidR="006469F3" w:rsidRPr="00DE316C" w:rsidRDefault="006469F3" w:rsidP="006469F3">
            <w:pPr>
              <w:spacing w:line="240" w:lineRule="atLeast"/>
              <w:rPr>
                <w:rFonts w:ascii="Times New Roman" w:hAnsi="Times New Roman"/>
                <w:color w:val="000000"/>
              </w:rPr>
            </w:pPr>
            <w:r w:rsidRPr="00DE316C">
              <w:rPr>
                <w:rFonts w:ascii="Times New Roman" w:hAnsi="Times New Roman"/>
                <w:color w:val="000000"/>
              </w:rPr>
              <w:t>Total</w:t>
            </w:r>
          </w:p>
        </w:tc>
        <w:tc>
          <w:tcPr>
            <w:tcW w:w="1045" w:type="dxa"/>
            <w:tcBorders>
              <w:top w:val="single" w:sz="4" w:space="0" w:color="auto"/>
              <w:bottom w:val="single" w:sz="4" w:space="0" w:color="auto"/>
            </w:tcBorders>
            <w:noWrap/>
            <w:hideMark/>
          </w:tcPr>
          <w:p w:rsidR="006469F3" w:rsidRPr="00DE316C" w:rsidRDefault="006469F3" w:rsidP="006469F3">
            <w:pPr>
              <w:spacing w:line="240" w:lineRule="atLeast"/>
              <w:rPr>
                <w:rFonts w:ascii="Times New Roman" w:hAnsi="Times New Roman"/>
                <w:color w:val="000000"/>
              </w:rPr>
            </w:pPr>
            <w:r w:rsidRPr="00DE316C">
              <w:rPr>
                <w:rFonts w:ascii="Times New Roman" w:hAnsi="Times New Roman"/>
                <w:color w:val="000000"/>
              </w:rPr>
              <w:t> </w:t>
            </w:r>
          </w:p>
        </w:tc>
        <w:tc>
          <w:tcPr>
            <w:tcW w:w="1248" w:type="dxa"/>
            <w:tcBorders>
              <w:top w:val="single" w:sz="4" w:space="0" w:color="auto"/>
              <w:bottom w:val="single" w:sz="4" w:space="0" w:color="auto"/>
            </w:tcBorders>
            <w:noWrap/>
            <w:hideMark/>
          </w:tcPr>
          <w:p w:rsidR="006469F3" w:rsidRPr="00DE316C" w:rsidRDefault="006469F3" w:rsidP="006469F3">
            <w:pPr>
              <w:spacing w:line="240" w:lineRule="atLeast"/>
              <w:rPr>
                <w:rFonts w:ascii="Times New Roman" w:hAnsi="Times New Roman"/>
                <w:color w:val="000000"/>
              </w:rPr>
            </w:pPr>
            <w:r w:rsidRPr="00DE316C">
              <w:rPr>
                <w:rFonts w:ascii="Times New Roman" w:hAnsi="Times New Roman"/>
                <w:color w:val="000000"/>
              </w:rPr>
              <w:t> </w:t>
            </w:r>
          </w:p>
        </w:tc>
        <w:tc>
          <w:tcPr>
            <w:tcW w:w="1440" w:type="dxa"/>
            <w:tcBorders>
              <w:top w:val="single" w:sz="4" w:space="0" w:color="auto"/>
              <w:bottom w:val="single" w:sz="4" w:space="0" w:color="auto"/>
            </w:tcBorders>
            <w:noWrap/>
            <w:vAlign w:val="center"/>
            <w:hideMark/>
          </w:tcPr>
          <w:p w:rsidR="006469F3" w:rsidRPr="00DE316C" w:rsidRDefault="006469F3" w:rsidP="006469F3">
            <w:pPr>
              <w:spacing w:line="240" w:lineRule="atLeast"/>
              <w:ind w:right="288"/>
              <w:jc w:val="right"/>
              <w:rPr>
                <w:rFonts w:ascii="Times New Roman" w:hAnsi="Times New Roman"/>
                <w:color w:val="000000"/>
              </w:rPr>
            </w:pPr>
            <w:r w:rsidRPr="00DE316C">
              <w:rPr>
                <w:rFonts w:ascii="Times New Roman" w:hAnsi="Times New Roman"/>
                <w:color w:val="000000"/>
              </w:rPr>
              <w:t>1,601</w:t>
            </w:r>
          </w:p>
        </w:tc>
        <w:tc>
          <w:tcPr>
            <w:tcW w:w="1482" w:type="dxa"/>
            <w:tcBorders>
              <w:top w:val="single" w:sz="4" w:space="0" w:color="auto"/>
              <w:bottom w:val="single" w:sz="4" w:space="0" w:color="auto"/>
            </w:tcBorders>
            <w:noWrap/>
            <w:vAlign w:val="center"/>
            <w:hideMark/>
          </w:tcPr>
          <w:p w:rsidR="006469F3" w:rsidRPr="00DE316C" w:rsidRDefault="006469F3" w:rsidP="006469F3">
            <w:pPr>
              <w:spacing w:line="240" w:lineRule="atLeast"/>
              <w:jc w:val="right"/>
              <w:rPr>
                <w:rFonts w:ascii="Times New Roman" w:hAnsi="Times New Roman"/>
                <w:color w:val="000000"/>
              </w:rPr>
            </w:pPr>
            <w:r w:rsidRPr="00DE316C">
              <w:rPr>
                <w:rFonts w:ascii="Times New Roman" w:hAnsi="Times New Roman"/>
                <w:color w:val="000000"/>
              </w:rPr>
              <w:t>32,090,778</w:t>
            </w:r>
          </w:p>
        </w:tc>
        <w:tc>
          <w:tcPr>
            <w:tcW w:w="1668" w:type="dxa"/>
            <w:tcBorders>
              <w:top w:val="single" w:sz="4" w:space="0" w:color="auto"/>
              <w:bottom w:val="single" w:sz="4" w:space="0" w:color="auto"/>
            </w:tcBorders>
            <w:noWrap/>
            <w:vAlign w:val="center"/>
            <w:hideMark/>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30</w:t>
            </w:r>
          </w:p>
        </w:tc>
        <w:tc>
          <w:tcPr>
            <w:tcW w:w="1458" w:type="dxa"/>
            <w:tcBorders>
              <w:top w:val="single" w:sz="4" w:space="0" w:color="auto"/>
              <w:bottom w:val="single" w:sz="4" w:space="0" w:color="auto"/>
            </w:tcBorders>
            <w:vAlign w:val="center"/>
          </w:tcPr>
          <w:p w:rsidR="006469F3" w:rsidRPr="00DE316C" w:rsidRDefault="006469F3" w:rsidP="006469F3">
            <w:pPr>
              <w:spacing w:line="240" w:lineRule="atLeast"/>
              <w:jc w:val="center"/>
              <w:rPr>
                <w:rFonts w:ascii="Times New Roman" w:hAnsi="Times New Roman"/>
                <w:color w:val="000000"/>
              </w:rPr>
            </w:pPr>
            <w:r w:rsidRPr="00DE316C">
              <w:rPr>
                <w:rFonts w:ascii="Times New Roman" w:hAnsi="Times New Roman"/>
                <w:color w:val="000000"/>
              </w:rPr>
              <w:t>60</w:t>
            </w:r>
          </w:p>
        </w:tc>
      </w:tr>
    </w:tbl>
    <w:p w:rsidR="006675C5" w:rsidRDefault="006675C5" w:rsidP="00817454">
      <w:pPr>
        <w:spacing w:line="240" w:lineRule="atLeast"/>
        <w:ind w:firstLine="720"/>
        <w:rPr>
          <w:rFonts w:ascii="Garamond" w:hAnsi="Garamond"/>
          <w:szCs w:val="20"/>
        </w:rPr>
      </w:pPr>
    </w:p>
    <w:p w:rsidR="00DE316C" w:rsidRPr="00C65A54" w:rsidRDefault="006469F3" w:rsidP="00817454">
      <w:pPr>
        <w:spacing w:line="240" w:lineRule="atLeast"/>
        <w:ind w:firstLine="720"/>
        <w:rPr>
          <w:szCs w:val="20"/>
        </w:rPr>
      </w:pPr>
      <w:r w:rsidRPr="00C65A54">
        <w:rPr>
          <w:szCs w:val="20"/>
        </w:rPr>
        <w:t xml:space="preserve">For the AACPSIR, the desired PPS probability of selection for PSU </w:t>
      </w:r>
      <m:oMath>
        <m:r>
          <w:rPr>
            <w:rFonts w:ascii="Cambria Math" w:hAnsi="Cambria Math"/>
            <w:szCs w:val="20"/>
          </w:rPr>
          <m:t>i</m:t>
        </m:r>
      </m:oMath>
      <w:r w:rsidRPr="00C65A54">
        <w:rPr>
          <w:szCs w:val="20"/>
        </w:rPr>
        <w:t xml:space="preserve"> in stratum </w:t>
      </w:r>
      <m:oMath>
        <m:r>
          <w:rPr>
            <w:rFonts w:ascii="Cambria Math" w:hAnsi="Cambria Math"/>
            <w:szCs w:val="20"/>
          </w:rPr>
          <m:t>h</m:t>
        </m:r>
      </m:oMath>
      <w:r w:rsidRPr="00C65A54">
        <w:rPr>
          <w:szCs w:val="20"/>
        </w:rPr>
        <w:t xml:space="preserve"> is defined by:</w:t>
      </w:r>
    </w:p>
    <w:p w:rsidR="006469F3" w:rsidRPr="00C65A54" w:rsidRDefault="00E87F9E" w:rsidP="006469F3">
      <w:pPr>
        <w:spacing w:before="120" w:after="120" w:line="240" w:lineRule="atLeast"/>
        <w:rPr>
          <w:szCs w:val="20"/>
        </w:rPr>
      </w:pPr>
      <m:oMathPara>
        <m:oMath>
          <m:r>
            <w:rPr>
              <w:rFonts w:ascii="Cambria Math" w:hAnsi="Cambria Math"/>
              <w:szCs w:val="20"/>
            </w:rPr>
            <m:t xml:space="preserve">                                                           π</m:t>
          </m:r>
          <m:sSub>
            <m:sSubPr>
              <m:ctrlPr>
                <w:rPr>
                  <w:rFonts w:ascii="Cambria Math" w:hAnsi="Cambria Math"/>
                  <w:i/>
                  <w:szCs w:val="20"/>
                </w:rPr>
              </m:ctrlPr>
            </m:sSubPr>
            <m:e>
              <m:r>
                <w:rPr>
                  <w:rFonts w:ascii="Cambria Math" w:hAnsi="Cambria Math"/>
                  <w:szCs w:val="20"/>
                </w:rPr>
                <m:t xml:space="preserve"> </m:t>
              </m:r>
            </m:e>
            <m:sub>
              <m:r>
                <w:rPr>
                  <w:rFonts w:ascii="Cambria Math" w:hAnsi="Cambria Math"/>
                  <w:szCs w:val="20"/>
                </w:rPr>
                <m:t>hi</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n</m:t>
                  </m:r>
                </m:e>
                <m:sub>
                  <m:r>
                    <w:rPr>
                      <w:rFonts w:ascii="Cambria Math" w:hAnsi="Cambria Math"/>
                      <w:szCs w:val="20"/>
                    </w:rPr>
                    <m:t>h</m:t>
                  </m:r>
                </m:sub>
              </m:sSub>
              <m:sSub>
                <m:sSubPr>
                  <m:ctrlPr>
                    <w:rPr>
                      <w:rFonts w:ascii="Cambria Math" w:hAnsi="Cambria Math"/>
                      <w:i/>
                      <w:szCs w:val="20"/>
                    </w:rPr>
                  </m:ctrlPr>
                </m:sSubPr>
                <m:e>
                  <m:r>
                    <w:rPr>
                      <w:rFonts w:ascii="Cambria Math" w:hAnsi="Cambria Math"/>
                      <w:szCs w:val="20"/>
                    </w:rPr>
                    <m:t>M</m:t>
                  </m:r>
                </m:e>
                <m:sub>
                  <m:r>
                    <w:rPr>
                      <w:rFonts w:ascii="Cambria Math" w:hAnsi="Cambria Math"/>
                      <w:szCs w:val="20"/>
                    </w:rPr>
                    <m:t>hi</m:t>
                  </m:r>
                </m:sub>
              </m:sSub>
            </m:num>
            <m:den>
              <m:nary>
                <m:naryPr>
                  <m:chr m:val="∑"/>
                  <m:limLoc m:val="subSup"/>
                  <m:ctrlPr>
                    <w:rPr>
                      <w:rFonts w:ascii="Cambria Math" w:hAnsi="Cambria Math"/>
                      <w:i/>
                      <w:szCs w:val="20"/>
                    </w:rPr>
                  </m:ctrlPr>
                </m:naryPr>
                <m:sub>
                  <m:r>
                    <w:rPr>
                      <w:rFonts w:ascii="Cambria Math" w:hAnsi="Cambria Math"/>
                      <w:szCs w:val="20"/>
                    </w:rPr>
                    <m:t>j=1</m:t>
                  </m:r>
                </m:sub>
                <m:sup>
                  <m:sSub>
                    <m:sSubPr>
                      <m:ctrlPr>
                        <w:rPr>
                          <w:rFonts w:ascii="Cambria Math" w:hAnsi="Cambria Math"/>
                          <w:i/>
                          <w:szCs w:val="20"/>
                        </w:rPr>
                      </m:ctrlPr>
                    </m:sSubPr>
                    <m:e>
                      <m:r>
                        <w:rPr>
                          <w:rFonts w:ascii="Cambria Math" w:hAnsi="Cambria Math"/>
                          <w:szCs w:val="20"/>
                        </w:rPr>
                        <m:t>N</m:t>
                      </m:r>
                    </m:e>
                    <m:sub>
                      <m:r>
                        <w:rPr>
                          <w:rFonts w:ascii="Cambria Math" w:hAnsi="Cambria Math"/>
                          <w:szCs w:val="20"/>
                        </w:rPr>
                        <m:t>h</m:t>
                      </m:r>
                    </m:sub>
                  </m:sSub>
                </m:sup>
                <m:e>
                  <m:sSub>
                    <m:sSubPr>
                      <m:ctrlPr>
                        <w:rPr>
                          <w:rFonts w:ascii="Cambria Math" w:hAnsi="Cambria Math"/>
                          <w:i/>
                          <w:szCs w:val="20"/>
                        </w:rPr>
                      </m:ctrlPr>
                    </m:sSubPr>
                    <m:e>
                      <m:r>
                        <w:rPr>
                          <w:rFonts w:ascii="Cambria Math" w:hAnsi="Cambria Math"/>
                          <w:szCs w:val="20"/>
                        </w:rPr>
                        <m:t>M</m:t>
                      </m:r>
                    </m:e>
                    <m:sub>
                      <m:r>
                        <w:rPr>
                          <w:rFonts w:ascii="Cambria Math" w:hAnsi="Cambria Math"/>
                          <w:szCs w:val="20"/>
                        </w:rPr>
                        <m:t>hj</m:t>
                      </m:r>
                    </m:sub>
                  </m:sSub>
                </m:e>
              </m:nary>
            </m:den>
          </m:f>
          <m:r>
            <m:rPr>
              <m:nor/>
            </m:rPr>
            <w:rPr>
              <w:szCs w:val="20"/>
            </w:rPr>
            <m:t xml:space="preserve">                                                        (1)</m:t>
          </m:r>
        </m:oMath>
      </m:oMathPara>
    </w:p>
    <w:p w:rsidR="00DE316C" w:rsidRPr="00C65A54" w:rsidRDefault="00DE316C" w:rsidP="006469F3">
      <w:pPr>
        <w:spacing w:line="240" w:lineRule="atLeast"/>
        <w:rPr>
          <w:szCs w:val="20"/>
        </w:rPr>
      </w:pPr>
    </w:p>
    <w:p w:rsidR="006469F3" w:rsidRPr="00C65A54" w:rsidRDefault="006469F3" w:rsidP="006469F3">
      <w:pPr>
        <w:spacing w:line="240" w:lineRule="atLeast"/>
        <w:rPr>
          <w:szCs w:val="20"/>
        </w:rPr>
      </w:pPr>
      <w:r w:rsidRPr="00C65A54">
        <w:rPr>
          <w:szCs w:val="20"/>
        </w:rPr>
        <w:t xml:space="preserve">where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hi</m:t>
            </m:r>
          </m:sub>
        </m:sSub>
      </m:oMath>
      <w:r w:rsidRPr="00C65A54">
        <w:rPr>
          <w:szCs w:val="20"/>
        </w:rPr>
        <w:t xml:space="preserve"> is the MOS for PSU </w:t>
      </w:r>
      <m:oMath>
        <m:r>
          <w:rPr>
            <w:rFonts w:ascii="Cambria Math" w:hAnsi="Cambria Math"/>
            <w:szCs w:val="20"/>
          </w:rPr>
          <m:t>i</m:t>
        </m:r>
      </m:oMath>
      <w:r w:rsidRPr="00C65A54">
        <w:rPr>
          <w:szCs w:val="20"/>
        </w:rPr>
        <w:t xml:space="preserve"> in stratum </w:t>
      </w:r>
      <m:oMath>
        <m:r>
          <w:rPr>
            <w:rFonts w:ascii="Cambria Math" w:hAnsi="Cambria Math"/>
            <w:szCs w:val="20"/>
          </w:rPr>
          <m:t>h</m:t>
        </m:r>
      </m:oMath>
      <w:r w:rsidRPr="00C65A54">
        <w:rPr>
          <w:szCs w:val="20"/>
        </w:rPr>
        <w:t xml:space="preserve">. Notation superscripted by an asterisk (*) is used to denote similar notation for NSUBS. For example, </w:t>
      </w:r>
      <m:oMath>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oMath>
      <w:r w:rsidRPr="00C65A54">
        <w:rPr>
          <w:szCs w:val="20"/>
        </w:rPr>
        <w:t xml:space="preserve"> is the PSU selection probability for PSU </w:t>
      </w:r>
      <m:oMath>
        <m:r>
          <w:rPr>
            <w:rFonts w:ascii="Cambria Math" w:hAnsi="Cambria Math"/>
            <w:szCs w:val="20"/>
          </w:rPr>
          <m:t>i</m:t>
        </m:r>
      </m:oMath>
      <w:r w:rsidRPr="00C65A54">
        <w:rPr>
          <w:szCs w:val="20"/>
        </w:rPr>
        <w:t xml:space="preserve"> in stratum </w:t>
      </w:r>
      <m:oMath>
        <m:r>
          <w:rPr>
            <w:rFonts w:ascii="Cambria Math" w:hAnsi="Cambria Math"/>
            <w:szCs w:val="20"/>
          </w:rPr>
          <m:t>h</m:t>
        </m:r>
      </m:oMath>
      <w:r w:rsidRPr="00C65A54">
        <w:rPr>
          <w:szCs w:val="20"/>
        </w:rPr>
        <w:t xml:space="preserve"> for NSUBS.</w:t>
      </w:r>
    </w:p>
    <w:p w:rsidR="006469F3" w:rsidRPr="00C65A54" w:rsidRDefault="006469F3" w:rsidP="006469F3">
      <w:pPr>
        <w:spacing w:line="240" w:lineRule="atLeast"/>
        <w:rPr>
          <w:szCs w:val="20"/>
        </w:rPr>
      </w:pPr>
    </w:p>
    <w:p w:rsidR="006469F3" w:rsidRPr="00C65A54" w:rsidRDefault="006469F3" w:rsidP="00817454">
      <w:pPr>
        <w:spacing w:line="240" w:lineRule="atLeast"/>
        <w:ind w:firstLine="720"/>
        <w:rPr>
          <w:szCs w:val="20"/>
        </w:rPr>
      </w:pPr>
      <w:r w:rsidRPr="00C65A54">
        <w:rPr>
          <w:szCs w:val="20"/>
        </w:rPr>
        <w:t>To include the NSUBS 30 sampled PSUs in the AACPSIR sample through the AACPSIR sampling procedure, we use a probability conditional on whether a PSU was selected in the NSUBS sample or not. If a PSU was selected in the NSUBS sample, then we select it conditionally with a probability of one, and the remaining 30 PSUs with a modified (conditional) probability from outside of the NSUBS sample as follows:</w:t>
      </w:r>
    </w:p>
    <w:p w:rsidR="006469F3" w:rsidRPr="00C65A54" w:rsidRDefault="0005289F" w:rsidP="006469F3">
      <w:pPr>
        <w:spacing w:before="120" w:after="120" w:line="240" w:lineRule="atLeast"/>
        <w:rPr>
          <w:szCs w:val="20"/>
        </w:rPr>
      </w:pPr>
      <m:oMathPara>
        <m:oMath>
          <m:sSub>
            <m:sSubPr>
              <m:ctrlPr>
                <w:rPr>
                  <w:rFonts w:ascii="Cambria Math" w:hAnsi="Cambria Math"/>
                  <w:i/>
                  <w:szCs w:val="20"/>
                </w:rPr>
              </m:ctrlPr>
            </m:sSubPr>
            <m:e>
              <m:r>
                <w:rPr>
                  <w:rFonts w:ascii="Cambria Math" w:hAnsi="Cambria Math"/>
                  <w:szCs w:val="20"/>
                </w:rPr>
                <m:t>φ</m:t>
              </m:r>
            </m:e>
            <m:sub>
              <m:r>
                <w:rPr>
                  <w:rFonts w:ascii="Cambria Math" w:hAnsi="Cambria Math"/>
                  <w:szCs w:val="20"/>
                </w:rPr>
                <m:t>hi</m:t>
              </m:r>
            </m:sub>
          </m:sSub>
          <m:r>
            <w:rPr>
              <w:rFonts w:ascii="Cambria Math" w:hAnsi="Cambria Math"/>
              <w:szCs w:val="20"/>
            </w:rPr>
            <m:t>=</m:t>
          </m:r>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r>
                      <w:rPr>
                        <w:rFonts w:ascii="Cambria Math" w:hAnsi="Cambria Math"/>
                        <w:szCs w:val="20"/>
                      </w:rPr>
                      <m:t>1</m:t>
                    </m:r>
                    <m:r>
                      <m:rPr>
                        <m:nor/>
                      </m:rPr>
                      <w:rPr>
                        <w:szCs w:val="20"/>
                      </w:rPr>
                      <m:t xml:space="preserve">                  if </m:t>
                    </m:r>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r>
                      <m:rPr>
                        <m:nor/>
                      </m:rPr>
                      <w:rPr>
                        <w:szCs w:val="20"/>
                      </w:rPr>
                      <m:t xml:space="preserve">   </m:t>
                    </m:r>
                  </m:e>
                </m:mr>
                <m:m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π</m:t>
                            </m:r>
                          </m:e>
                          <m:sub>
                            <m:r>
                              <w:rPr>
                                <w:rFonts w:ascii="Cambria Math" w:hAnsi="Cambria Math"/>
                                <w:szCs w:val="20"/>
                              </w:rPr>
                              <m:t>hi</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num>
                      <m:den>
                        <m:r>
                          <w:rPr>
                            <w:rFonts w:ascii="Cambria Math" w:hAnsi="Cambria Math"/>
                            <w:szCs w:val="20"/>
                          </w:rPr>
                          <m:t>1-</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den>
                    </m:f>
                    <m:r>
                      <m:rPr>
                        <m:nor/>
                      </m:rPr>
                      <w:rPr>
                        <w:szCs w:val="20"/>
                      </w:rPr>
                      <m:t xml:space="preserve">   if </m:t>
                    </m:r>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r>
                      <w:rPr>
                        <w:rFonts w:ascii="Cambria Math" w:hAnsi="Cambria Math"/>
                        <w:szCs w:val="20"/>
                      </w:rPr>
                      <m:t xml:space="preserve">   </m:t>
                    </m:r>
                  </m:e>
                </m:mr>
              </m:m>
            </m:e>
          </m:d>
        </m:oMath>
      </m:oMathPara>
    </w:p>
    <w:p w:rsidR="006469F3" w:rsidRPr="00C65A54" w:rsidRDefault="006469F3" w:rsidP="006469F3">
      <w:pPr>
        <w:spacing w:line="240" w:lineRule="atLeast"/>
        <w:rPr>
          <w:szCs w:val="20"/>
        </w:rPr>
      </w:pPr>
      <w:r w:rsidRPr="00C65A54">
        <w:rPr>
          <w:szCs w:val="20"/>
        </w:rPr>
        <w:t xml:space="preserve">where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oMath>
      <w:r w:rsidRPr="00C65A54">
        <w:rPr>
          <w:szCs w:val="20"/>
        </w:rPr>
        <w:t xml:space="preserve"> is the NSUBS sample of 30 PSUs. </w:t>
      </w:r>
    </w:p>
    <w:p w:rsidR="006469F3" w:rsidRPr="00C65A54" w:rsidRDefault="006469F3" w:rsidP="006469F3">
      <w:pPr>
        <w:spacing w:line="240" w:lineRule="atLeast"/>
        <w:rPr>
          <w:szCs w:val="20"/>
        </w:rPr>
      </w:pPr>
    </w:p>
    <w:p w:rsidR="00DE316C" w:rsidRPr="00C65A54" w:rsidRDefault="006469F3" w:rsidP="00DE316C">
      <w:pPr>
        <w:spacing w:line="240" w:lineRule="atLeast"/>
        <w:rPr>
          <w:szCs w:val="20"/>
        </w:rPr>
      </w:pPr>
      <w:r w:rsidRPr="00C65A54">
        <w:rPr>
          <w:szCs w:val="20"/>
        </w:rPr>
        <w:t xml:space="preserve">The unconditional probability that PSU </w:t>
      </w:r>
      <m:oMath>
        <m:r>
          <w:rPr>
            <w:rFonts w:ascii="Cambria Math" w:hAnsi="Cambria Math"/>
            <w:szCs w:val="20"/>
          </w:rPr>
          <m:t>i</m:t>
        </m:r>
      </m:oMath>
      <w:r w:rsidRPr="00C65A54">
        <w:rPr>
          <w:szCs w:val="20"/>
        </w:rPr>
        <w:t xml:space="preserve"> in stratum </w:t>
      </w:r>
      <m:oMath>
        <m:r>
          <w:rPr>
            <w:rFonts w:ascii="Cambria Math" w:hAnsi="Cambria Math"/>
            <w:szCs w:val="20"/>
          </w:rPr>
          <m:t>h</m:t>
        </m:r>
      </m:oMath>
      <w:r w:rsidRPr="00C65A54">
        <w:rPr>
          <w:szCs w:val="20"/>
        </w:rPr>
        <w:t xml:space="preserve"> is selected in the AACPSIR sample is then given by, </w:t>
      </w:r>
    </w:p>
    <w:p w:rsidR="00DE316C" w:rsidRPr="00C65A54" w:rsidRDefault="00DE316C" w:rsidP="00DE316C">
      <w:pPr>
        <w:spacing w:line="240" w:lineRule="atLeast"/>
        <w:rPr>
          <w:szCs w:val="20"/>
        </w:rPr>
      </w:pPr>
    </w:p>
    <w:p w:rsidR="006469F3" w:rsidRPr="00C65A54" w:rsidRDefault="0005289F" w:rsidP="00DE316C">
      <w:pPr>
        <w:spacing w:line="240" w:lineRule="atLeast"/>
        <w:rPr>
          <w:szCs w:val="20"/>
        </w:rPr>
      </w:pPr>
      <m:oMathPara>
        <m:oMath>
          <m:m>
            <m:mPr>
              <m:mcs>
                <m:mc>
                  <m:mcPr>
                    <m:count m:val="1"/>
                    <m:mcJc m:val="center"/>
                  </m:mcPr>
                </m:mc>
              </m:mcs>
              <m:ctrlPr>
                <w:rPr>
                  <w:rFonts w:ascii="Cambria Math" w:hAnsi="Cambria Math"/>
                  <w:szCs w:val="20"/>
                </w:rPr>
              </m:ctrlPr>
            </m:mPr>
            <m:mr>
              <m:e>
                <m:r>
                  <m:rPr>
                    <m:nor/>
                  </m:rPr>
                  <w:rPr>
                    <w:szCs w:val="20"/>
                  </w:rPr>
                  <m:t>Prob</m:t>
                </m:r>
                <m:d>
                  <m:dPr>
                    <m:ctrlPr>
                      <w:rPr>
                        <w:rFonts w:ascii="Cambria Math" w:hAnsi="Cambria Math"/>
                        <w:i/>
                        <w:szCs w:val="20"/>
                      </w:rPr>
                    </m:ctrlPr>
                  </m:dPr>
                  <m:e>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CPS</m:t>
                        </m:r>
                      </m:sub>
                    </m:sSub>
                  </m:e>
                </m:d>
                <m:r>
                  <w:rPr>
                    <w:rFonts w:ascii="Cambria Math" w:hAnsi="Cambria Math"/>
                    <w:szCs w:val="20"/>
                  </w:rPr>
                  <m:t>=</m:t>
                </m:r>
                <m:r>
                  <m:rPr>
                    <m:nor/>
                  </m:rPr>
                  <w:rPr>
                    <w:szCs w:val="20"/>
                  </w:rPr>
                  <m:t>Prob</m:t>
                </m:r>
                <m:d>
                  <m:dPr>
                    <m:ctrlPr>
                      <w:rPr>
                        <w:rFonts w:ascii="Cambria Math" w:hAnsi="Cambria Math"/>
                        <w:i/>
                        <w:szCs w:val="20"/>
                      </w:rPr>
                    </m:ctrlPr>
                  </m:dPr>
                  <m:e>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e>
                </m:d>
                <m:r>
                  <m:rPr>
                    <m:nor/>
                  </m:rPr>
                  <w:rPr>
                    <w:szCs w:val="20"/>
                  </w:rPr>
                  <m:t>×Prob</m:t>
                </m:r>
                <m:d>
                  <m:dPr>
                    <m:ctrlPr>
                      <w:rPr>
                        <w:rFonts w:ascii="Cambria Math" w:hAnsi="Cambria Math"/>
                        <w:i/>
                        <w:szCs w:val="20"/>
                      </w:rPr>
                    </m:ctrlPr>
                  </m:dPr>
                  <m:e>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CPS</m:t>
                        </m:r>
                      </m:sub>
                    </m:sSub>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e>
                </m:d>
              </m:e>
            </m:mr>
            <m:mr>
              <m:e>
                <m:r>
                  <w:rPr>
                    <w:rFonts w:ascii="Cambria Math" w:hAnsi="Cambria Math"/>
                    <w:szCs w:val="20"/>
                  </w:rPr>
                  <m:t xml:space="preserve">                                               + </m:t>
                </m:r>
                <m:r>
                  <m:rPr>
                    <m:nor/>
                  </m:rPr>
                  <w:rPr>
                    <w:szCs w:val="20"/>
                  </w:rPr>
                  <m:t>Prob</m:t>
                </m:r>
                <m:d>
                  <m:dPr>
                    <m:ctrlPr>
                      <w:rPr>
                        <w:rFonts w:ascii="Cambria Math" w:hAnsi="Cambria Math"/>
                        <w:i/>
                        <w:szCs w:val="20"/>
                      </w:rPr>
                    </m:ctrlPr>
                  </m:dPr>
                  <m:e>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e>
                </m:d>
                <m:r>
                  <m:rPr>
                    <m:nor/>
                  </m:rPr>
                  <w:rPr>
                    <w:szCs w:val="20"/>
                  </w:rPr>
                  <m:t>×Prob</m:t>
                </m:r>
                <m:d>
                  <m:dPr>
                    <m:ctrlPr>
                      <w:rPr>
                        <w:rFonts w:ascii="Cambria Math" w:hAnsi="Cambria Math"/>
                        <w:i/>
                        <w:szCs w:val="20"/>
                      </w:rPr>
                    </m:ctrlPr>
                  </m:dPr>
                  <m:e>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CPS</m:t>
                        </m:r>
                      </m:sub>
                    </m:sSub>
                    <m:r>
                      <w:rPr>
                        <w:rFonts w:ascii="Cambria Math" w:hAnsi="Cambria Math"/>
                        <w:szCs w:val="20"/>
                      </w:rPr>
                      <m:t>|hi∉</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NSUBS</m:t>
                        </m:r>
                      </m:sub>
                    </m:sSub>
                  </m:e>
                </m:d>
              </m:e>
            </m:mr>
            <m:mr>
              <m:e>
                <m:m>
                  <m:mPr>
                    <m:mcs>
                      <m:mc>
                        <m:mcPr>
                          <m:count m:val="1"/>
                          <m:mcJc m:val="center"/>
                        </m:mcPr>
                      </m:mc>
                    </m:mcs>
                    <m:ctrlPr>
                      <w:rPr>
                        <w:rFonts w:ascii="Cambria Math" w:hAnsi="Cambria Math"/>
                        <w:i/>
                        <w:szCs w:val="20"/>
                      </w:rPr>
                    </m:ctrlPr>
                  </m:mPr>
                  <m:mr>
                    <m:e>
                      <m:r>
                        <w:rPr>
                          <w:rFonts w:ascii="Cambria Math" w:hAnsi="Cambria Math"/>
                          <w:szCs w:val="20"/>
                        </w:rPr>
                        <m:t>=</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r>
                        <w:rPr>
                          <w:rFonts w:ascii="Cambria Math" w:hAnsi="Cambria Math"/>
                          <w:szCs w:val="20"/>
                        </w:rPr>
                        <m:t>×1+(1-</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π</m:t>
                              </m:r>
                            </m:e>
                            <m:sub>
                              <m:r>
                                <w:rPr>
                                  <w:rFonts w:ascii="Cambria Math" w:hAnsi="Cambria Math"/>
                                  <w:szCs w:val="20"/>
                                </w:rPr>
                                <m:t>hi</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num>
                        <m:den>
                          <m:r>
                            <w:rPr>
                              <w:rFonts w:ascii="Cambria Math" w:hAnsi="Cambria Math"/>
                              <w:szCs w:val="20"/>
                            </w:rPr>
                            <m:t>1-</m:t>
                          </m:r>
                          <m:sSubSup>
                            <m:sSubSupPr>
                              <m:ctrlPr>
                                <w:rPr>
                                  <w:rFonts w:ascii="Cambria Math" w:hAnsi="Cambria Math"/>
                                  <w:i/>
                                  <w:szCs w:val="20"/>
                                </w:rPr>
                              </m:ctrlPr>
                            </m:sSubSupPr>
                            <m:e>
                              <m:r>
                                <w:rPr>
                                  <w:rFonts w:ascii="Cambria Math" w:hAnsi="Cambria Math"/>
                                  <w:szCs w:val="20"/>
                                </w:rPr>
                                <m:t>π</m:t>
                              </m:r>
                            </m:e>
                            <m:sub>
                              <m:r>
                                <w:rPr>
                                  <w:rFonts w:ascii="Cambria Math" w:hAnsi="Cambria Math"/>
                                  <w:szCs w:val="20"/>
                                </w:rPr>
                                <m:t>hi</m:t>
                              </m:r>
                            </m:sub>
                            <m:sup>
                              <m:r>
                                <w:rPr>
                                  <w:rFonts w:ascii="Cambria Math" w:hAnsi="Cambria Math"/>
                                  <w:szCs w:val="20"/>
                                </w:rPr>
                                <m:t>*</m:t>
                              </m:r>
                            </m:sup>
                          </m:sSubSup>
                        </m:den>
                      </m:f>
                    </m:e>
                  </m:mr>
                  <m:mr>
                    <m:e>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π</m:t>
                          </m:r>
                        </m:e>
                        <m:sub>
                          <m:r>
                            <w:rPr>
                              <w:rFonts w:ascii="Cambria Math" w:hAnsi="Cambria Math"/>
                              <w:szCs w:val="20"/>
                            </w:rPr>
                            <m:t>hi</m:t>
                          </m:r>
                        </m:sub>
                      </m:sSub>
                      <m:r>
                        <w:rPr>
                          <w:rFonts w:ascii="Cambria Math" w:hAnsi="Cambria Math"/>
                          <w:szCs w:val="20"/>
                        </w:rPr>
                        <m:t xml:space="preserve">                                                        </m:t>
                      </m:r>
                    </m:e>
                  </m:mr>
                </m:m>
              </m:e>
            </m:mr>
          </m:m>
        </m:oMath>
      </m:oMathPara>
    </w:p>
    <w:p w:rsidR="00A23777" w:rsidRPr="00C65A54" w:rsidRDefault="00A23777" w:rsidP="006469F3">
      <w:pPr>
        <w:spacing w:line="240" w:lineRule="atLeast"/>
        <w:rPr>
          <w:szCs w:val="20"/>
        </w:rPr>
      </w:pPr>
    </w:p>
    <w:p w:rsidR="006469F3" w:rsidRPr="00C65A54" w:rsidRDefault="006469F3" w:rsidP="006469F3">
      <w:pPr>
        <w:spacing w:line="240" w:lineRule="atLeast"/>
        <w:rPr>
          <w:szCs w:val="20"/>
        </w:rPr>
      </w:pPr>
      <w:r w:rsidRPr="00C65A54">
        <w:rPr>
          <w:szCs w:val="20"/>
        </w:rPr>
        <w:t xml:space="preserve">where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CPS</m:t>
            </m:r>
          </m:sub>
        </m:sSub>
      </m:oMath>
      <w:r w:rsidRPr="00C65A54">
        <w:rPr>
          <w:szCs w:val="20"/>
        </w:rPr>
        <w:t xml:space="preserve"> is a sample of 60 PSUs for the AACPSIR. Note that the unconditional probability is the same as the desired probability defined in (1). </w:t>
      </w:r>
      <w:r w:rsidR="00A23777" w:rsidRPr="00C65A54">
        <w:rPr>
          <w:szCs w:val="20"/>
        </w:rPr>
        <w:t xml:space="preserve"> </w:t>
      </w:r>
      <w:r w:rsidRPr="00C65A54">
        <w:rPr>
          <w:szCs w:val="20"/>
        </w:rPr>
        <w:t>We may consider that this procedure is a special case of the Keyfitz procedure (Keyfitz, 1951).</w:t>
      </w:r>
      <w:r w:rsidR="005613A4">
        <w:rPr>
          <w:rStyle w:val="FootnoteReference"/>
          <w:szCs w:val="20"/>
        </w:rPr>
        <w:footnoteReference w:id="2"/>
      </w:r>
    </w:p>
    <w:p w:rsidR="006469F3" w:rsidRDefault="006469F3" w:rsidP="003D44A3">
      <w:pPr>
        <w:jc w:val="both"/>
      </w:pPr>
    </w:p>
    <w:p w:rsidR="00A657D2" w:rsidRDefault="00937AB9" w:rsidP="00D53870">
      <w:pPr>
        <w:ind w:firstLine="720"/>
        <w:jc w:val="both"/>
      </w:pPr>
      <w:r>
        <w:t xml:space="preserve">Once a PSU sample is selected, addresses belonging to each sampled PSU will be purchased from MSG to select a sample of the designated number of households. </w:t>
      </w:r>
      <w:r w:rsidR="00D53870">
        <w:t xml:space="preserve">To determine </w:t>
      </w:r>
      <w:r>
        <w:t>the househol</w:t>
      </w:r>
      <w:r w:rsidR="00D53870">
        <w:t>d sample size, w</w:t>
      </w:r>
      <w:r w:rsidR="00A657D2">
        <w:t xml:space="preserve">e set the target margin of error for </w:t>
      </w:r>
      <w:r w:rsidR="00D53870">
        <w:t xml:space="preserve">a </w:t>
      </w:r>
      <w:r w:rsidR="00A657D2">
        <w:t xml:space="preserve">95 percent confidence interval </w:t>
      </w:r>
      <w:r w:rsidR="00D53870">
        <w:t>to 0.04 for estimating</w:t>
      </w:r>
      <w:r w:rsidR="00A657D2">
        <w:t xml:space="preserve"> a population proportion of 50 percent. This requires a sample with an effective sample size of 625. To determine the </w:t>
      </w:r>
      <w:r w:rsidR="00E87F9E">
        <w:t>respondent</w:t>
      </w:r>
      <w:r w:rsidR="00A657D2">
        <w:t xml:space="preserve"> sample size, this effective sample size should be multiplied by the design effect (DEFF). Since there is no previous similar survey from which we can estimate the DEFF, we assume that the intra-cluster correlation is 0.05 and the weighting factor of the final weight (loss of sampling efficiency due to variable weights) is 1.5. </w:t>
      </w:r>
      <w:r w:rsidR="00D53870">
        <w:t xml:space="preserve">(The NSUBS design effect is not suitable for the current study as the NSUBS sample design is very different beyond the first stage of selecting PSUs.) </w:t>
      </w:r>
      <w:r w:rsidR="00E87F9E">
        <w:t xml:space="preserve">Although we intend to select ultimately an equal probability sample of households, the final weight will be quite variable due to nonresponse adjustment. </w:t>
      </w:r>
      <w:r w:rsidR="00A657D2">
        <w:t>Applying the Kish formula</w:t>
      </w:r>
      <w:r w:rsidR="00A657D2">
        <w:rPr>
          <w:rStyle w:val="FootnoteReference"/>
        </w:rPr>
        <w:footnoteReference w:id="3"/>
      </w:r>
      <w:r w:rsidR="00A657D2">
        <w:t xml:space="preserve"> to these assumed values, we estimate the DEFF to be 2.2. Then, the required respondent sample size is 1,400, which is the rounded number of the multiple of the effective sample size and the estimated DEFF.</w:t>
      </w:r>
    </w:p>
    <w:p w:rsidR="00A657D2" w:rsidRDefault="00A657D2" w:rsidP="003D44A3">
      <w:pPr>
        <w:jc w:val="both"/>
      </w:pPr>
    </w:p>
    <w:p w:rsidR="00D53870" w:rsidRDefault="00C14736" w:rsidP="00011C9F">
      <w:pPr>
        <w:ind w:firstLine="720"/>
        <w:jc w:val="both"/>
      </w:pPr>
      <w:r>
        <w:t>NHTSA es</w:t>
      </w:r>
      <w:r w:rsidR="00D53870">
        <w:t>timates a 25 percent</w:t>
      </w:r>
      <w:r>
        <w:t xml:space="preserve"> eligibility </w:t>
      </w:r>
      <w:r w:rsidR="001D65BD">
        <w:t xml:space="preserve">and screener completion </w:t>
      </w:r>
      <w:r>
        <w:t>rate b</w:t>
      </w:r>
      <w:r w:rsidRPr="002F0F8A">
        <w:t>ased on data from the 2014 American Community Survey (ACS) on households with children</w:t>
      </w:r>
      <w:r w:rsidR="005E5C7E">
        <w:t xml:space="preserve">, </w:t>
      </w:r>
      <w:r w:rsidRPr="002F0F8A">
        <w:t>a review of recent household travel surveys</w:t>
      </w:r>
      <w:r w:rsidR="005E5C7E">
        <w:t>, and data from NHTSA’s Motor Vehicle Occupant Safety Survey (MVOSS)</w:t>
      </w:r>
      <w:r>
        <w:t xml:space="preserve">. </w:t>
      </w:r>
      <w:r w:rsidR="00011C9F">
        <w:t>In case the estimated completion rate</w:t>
      </w:r>
      <w:r w:rsidR="001D65BD">
        <w:t xml:space="preserve"> is</w:t>
      </w:r>
      <w:r w:rsidR="00011C9F">
        <w:t xml:space="preserve"> lower than expected for the base field sample of 28,000 contacts, NHTSA plans to select a reserve sample of 4,000, making the total field sample 32,000. </w:t>
      </w:r>
      <w:r w:rsidR="00655047">
        <w:t xml:space="preserve"> NHTSA will track response rates weekly to determine if and when the reserve sample (i.e., 4,000) needs to be deployed to reach target completions.  If the reserve is needed,</w:t>
      </w:r>
      <w:r w:rsidR="00011C9F">
        <w:t xml:space="preserve"> NHTSA will contact a maximum of 32,000 households via an invitation letter to obtain the target of 1,400 completed interviews.  </w:t>
      </w:r>
    </w:p>
    <w:p w:rsidR="00D53870" w:rsidRDefault="00D53870" w:rsidP="00011C9F">
      <w:pPr>
        <w:ind w:firstLine="720"/>
        <w:jc w:val="both"/>
      </w:pPr>
    </w:p>
    <w:p w:rsidR="00011C9F" w:rsidRDefault="00011C9F" w:rsidP="00011C9F">
      <w:pPr>
        <w:ind w:firstLine="720"/>
        <w:jc w:val="both"/>
      </w:pPr>
      <w:r>
        <w:t xml:space="preserve">Table 3 shows expected sample size and response rate estimates by phases of the survey.  One of the assumptions is that not everyone who is eligible goes on to complete the entire interview, which means that the response rate calculation depends upon treatment of partially completed interviews.  In the planned design using an initial sample </w:t>
      </w:r>
      <w:r>
        <w:lastRenderedPageBreak/>
        <w:t xml:space="preserve">of 28,000, the expected response rate of the estimated eligible in the sample is 25% when including the partial interviews and 20% when excluding partials.  Two scenarios under which we may need to use the reserve sample would be a reduction in the rate of screener completion among the sample or a reduction in the rate of interview completion among eligible households.  Table 3 contains an example of how one such scenario using the reserve sample would drive down the response rate, which is expected given the conditions under which we would use the reserve.      </w:t>
      </w:r>
    </w:p>
    <w:p w:rsidR="004823B0" w:rsidRDefault="004823B0" w:rsidP="00910AFB"/>
    <w:p w:rsidR="00910AFB" w:rsidRDefault="00910AFB" w:rsidP="00910AFB">
      <w:pPr>
        <w:rPr>
          <w:b/>
        </w:rPr>
      </w:pPr>
      <w:r w:rsidRPr="006C1200">
        <w:rPr>
          <w:b/>
        </w:rPr>
        <w:t xml:space="preserve">Table </w:t>
      </w:r>
      <w:r w:rsidR="00C63B88" w:rsidRPr="006C1200">
        <w:rPr>
          <w:b/>
        </w:rPr>
        <w:t>3</w:t>
      </w:r>
      <w:r w:rsidRPr="006C1200">
        <w:rPr>
          <w:b/>
        </w:rPr>
        <w:t>.  Breakdown of Eligibility</w:t>
      </w:r>
      <w:r w:rsidR="0072190B">
        <w:rPr>
          <w:b/>
        </w:rPr>
        <w:t>, Completion,</w:t>
      </w:r>
      <w:r w:rsidRPr="006C1200">
        <w:rPr>
          <w:b/>
        </w:rPr>
        <w:t xml:space="preserve"> and Response Rate Estimates</w:t>
      </w:r>
    </w:p>
    <w:p w:rsidR="00722D00" w:rsidRDefault="00722D00" w:rsidP="00910AFB">
      <w:pPr>
        <w:rPr>
          <w:b/>
        </w:rPr>
      </w:pPr>
    </w:p>
    <w:tbl>
      <w:tblPr>
        <w:tblStyle w:val="LightShading-Accent1"/>
        <w:tblW w:w="8220" w:type="dxa"/>
        <w:jc w:val="center"/>
        <w:tblInd w:w="-1257" w:type="dxa"/>
        <w:tblLook w:val="04A0" w:firstRow="1" w:lastRow="0" w:firstColumn="1" w:lastColumn="0" w:noHBand="0" w:noVBand="1"/>
      </w:tblPr>
      <w:tblGrid>
        <w:gridCol w:w="4470"/>
        <w:gridCol w:w="1530"/>
        <w:gridCol w:w="2220"/>
      </w:tblGrid>
      <w:tr w:rsidR="00011C9F" w:rsidTr="00011C9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noWrap/>
            <w:hideMark/>
          </w:tcPr>
          <w:p w:rsidR="00011C9F" w:rsidRDefault="00011C9F" w:rsidP="00011C9F">
            <w:pPr>
              <w:tabs>
                <w:tab w:val="center" w:pos="1629"/>
              </w:tabs>
              <w:rPr>
                <w:color w:val="000000"/>
                <w:szCs w:val="22"/>
              </w:rPr>
            </w:pPr>
            <w:r>
              <w:rPr>
                <w:color w:val="000000"/>
                <w:szCs w:val="22"/>
              </w:rPr>
              <w:tab/>
              <w:t> </w:t>
            </w:r>
          </w:p>
        </w:tc>
        <w:tc>
          <w:tcPr>
            <w:tcW w:w="1530" w:type="dxa"/>
            <w:hideMark/>
          </w:tcPr>
          <w:p w:rsidR="00011C9F" w:rsidRDefault="00011C9F" w:rsidP="00011C9F">
            <w:pPr>
              <w:jc w:val="center"/>
              <w:cnfStyle w:val="100000000000" w:firstRow="1" w:lastRow="0" w:firstColumn="0" w:lastColumn="0" w:oddVBand="0" w:evenVBand="0" w:oddHBand="0" w:evenHBand="0" w:firstRowFirstColumn="0" w:firstRowLastColumn="0" w:lastRowFirstColumn="0" w:lastRowLastColumn="0"/>
              <w:rPr>
                <w:color w:val="000000"/>
                <w:szCs w:val="22"/>
              </w:rPr>
            </w:pPr>
            <w:r>
              <w:rPr>
                <w:color w:val="000000"/>
                <w:szCs w:val="22"/>
              </w:rPr>
              <w:t>Base Sample</w:t>
            </w:r>
          </w:p>
        </w:tc>
        <w:tc>
          <w:tcPr>
            <w:tcW w:w="2220" w:type="dxa"/>
            <w:hideMark/>
          </w:tcPr>
          <w:p w:rsidR="00011C9F" w:rsidRDefault="00011C9F" w:rsidP="00011C9F">
            <w:pPr>
              <w:jc w:val="center"/>
              <w:cnfStyle w:val="100000000000" w:firstRow="1" w:lastRow="0" w:firstColumn="0" w:lastColumn="0" w:oddVBand="0" w:evenVBand="0" w:oddHBand="0" w:evenHBand="0" w:firstRowFirstColumn="0" w:firstRowLastColumn="0" w:lastRowFirstColumn="0" w:lastRowLastColumn="0"/>
              <w:rPr>
                <w:color w:val="000000"/>
                <w:szCs w:val="22"/>
              </w:rPr>
            </w:pPr>
            <w:r>
              <w:rPr>
                <w:color w:val="000000"/>
                <w:szCs w:val="22"/>
              </w:rPr>
              <w:t>Example Base with Reserve Sample</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r>
              <w:rPr>
                <w:b w:val="0"/>
                <w:color w:val="000000"/>
                <w:szCs w:val="22"/>
              </w:rPr>
              <w:t>Total Contacts Approached</w:t>
            </w: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28,000</w:t>
            </w:r>
          </w:p>
        </w:tc>
        <w:tc>
          <w:tcPr>
            <w:tcW w:w="222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32,000</w:t>
            </w: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Estimated Rate of Household Eligibility</w:t>
            </w:r>
          </w:p>
        </w:tc>
        <w:tc>
          <w:tcPr>
            <w:tcW w:w="1530" w:type="dxa"/>
            <w:tcBorders>
              <w:top w:val="nil"/>
              <w:left w:val="nil"/>
              <w:bottom w:val="nil"/>
              <w:right w:val="nil"/>
            </w:tcBorders>
          </w:tcPr>
          <w:p w:rsidR="00011C9F" w:rsidRPr="00E302F0" w:rsidRDefault="00011C9F" w:rsidP="00011C9F">
            <w:pPr>
              <w:jc w:val="center"/>
              <w:cnfStyle w:val="000000000000" w:firstRow="0" w:lastRow="0" w:firstColumn="0" w:lastColumn="0" w:oddVBand="0" w:evenVBand="0" w:oddHBand="0" w:evenHBand="0" w:firstRowFirstColumn="0" w:firstRowLastColumn="0" w:lastRowFirstColumn="0" w:lastRowLastColumn="0"/>
              <w:rPr>
                <w:i/>
                <w:color w:val="000000"/>
                <w:szCs w:val="22"/>
              </w:rPr>
            </w:pPr>
            <w:r>
              <w:rPr>
                <w:i/>
                <w:color w:val="000000"/>
                <w:szCs w:val="22"/>
              </w:rPr>
              <w:t>25%</w:t>
            </w:r>
          </w:p>
        </w:tc>
        <w:tc>
          <w:tcPr>
            <w:tcW w:w="222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i/>
                <w:color w:val="000000"/>
                <w:szCs w:val="22"/>
              </w:rPr>
            </w:pPr>
            <w:r>
              <w:rPr>
                <w:i/>
                <w:color w:val="000000"/>
                <w:szCs w:val="22"/>
              </w:rPr>
              <w:t>25%</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r>
              <w:rPr>
                <w:b w:val="0"/>
                <w:color w:val="000000"/>
                <w:szCs w:val="22"/>
              </w:rPr>
              <w:t>Estimated Rate of Screener Completion</w:t>
            </w:r>
          </w:p>
        </w:tc>
        <w:tc>
          <w:tcPr>
            <w:tcW w:w="1530" w:type="dxa"/>
            <w:tcBorders>
              <w:top w:val="nil"/>
              <w:bottom w:val="nil"/>
            </w:tcBorders>
          </w:tcPr>
          <w:p w:rsidR="00011C9F" w:rsidRPr="00E302F0" w:rsidRDefault="00011C9F" w:rsidP="00011C9F">
            <w:pPr>
              <w:jc w:val="center"/>
              <w:cnfStyle w:val="000000100000" w:firstRow="0" w:lastRow="0" w:firstColumn="0" w:lastColumn="0" w:oddVBand="0" w:evenVBand="0" w:oddHBand="1" w:evenHBand="0" w:firstRowFirstColumn="0" w:firstRowLastColumn="0" w:lastRowFirstColumn="0" w:lastRowLastColumn="0"/>
              <w:rPr>
                <w:i/>
                <w:color w:val="000000"/>
                <w:szCs w:val="22"/>
              </w:rPr>
            </w:pPr>
            <w:r w:rsidRPr="00E302F0">
              <w:rPr>
                <w:i/>
                <w:color w:val="000000"/>
                <w:szCs w:val="22"/>
              </w:rPr>
              <w:t>25%</w:t>
            </w:r>
          </w:p>
        </w:tc>
        <w:tc>
          <w:tcPr>
            <w:tcW w:w="2220" w:type="dxa"/>
            <w:tcBorders>
              <w:top w:val="nil"/>
              <w:bottom w:val="nil"/>
            </w:tcBorders>
          </w:tcPr>
          <w:p w:rsidR="00011C9F" w:rsidRPr="00E302F0" w:rsidRDefault="00011C9F" w:rsidP="00011C9F">
            <w:pPr>
              <w:jc w:val="center"/>
              <w:cnfStyle w:val="000000100000" w:firstRow="0" w:lastRow="0" w:firstColumn="0" w:lastColumn="0" w:oddVBand="0" w:evenVBand="0" w:oddHBand="1" w:evenHBand="0" w:firstRowFirstColumn="0" w:firstRowLastColumn="0" w:lastRowFirstColumn="0" w:lastRowLastColumn="0"/>
              <w:rPr>
                <w:i/>
                <w:color w:val="000000"/>
                <w:szCs w:val="22"/>
              </w:rPr>
            </w:pPr>
            <w:r>
              <w:rPr>
                <w:i/>
                <w:color w:val="000000"/>
                <w:szCs w:val="22"/>
              </w:rPr>
              <w:t>24%</w:t>
            </w: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 xml:space="preserve">Estimated Rate of Interview Completion </w:t>
            </w:r>
          </w:p>
          <w:p w:rsidR="00011C9F" w:rsidRPr="00E302F0" w:rsidRDefault="00011C9F" w:rsidP="00011C9F">
            <w:pPr>
              <w:rPr>
                <w:b w:val="0"/>
                <w:color w:val="000000"/>
                <w:szCs w:val="22"/>
              </w:rPr>
            </w:pPr>
            <w:r>
              <w:rPr>
                <w:b w:val="0"/>
                <w:color w:val="000000"/>
                <w:szCs w:val="22"/>
              </w:rPr>
              <w:t xml:space="preserve">     among Eligible Households</w:t>
            </w:r>
          </w:p>
        </w:tc>
        <w:tc>
          <w:tcPr>
            <w:tcW w:w="153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i/>
                <w:color w:val="000000"/>
                <w:szCs w:val="22"/>
              </w:rPr>
            </w:pPr>
          </w:p>
          <w:p w:rsidR="00011C9F" w:rsidRPr="00E302F0" w:rsidRDefault="00011C9F" w:rsidP="00011C9F">
            <w:pPr>
              <w:jc w:val="center"/>
              <w:cnfStyle w:val="000000000000" w:firstRow="0" w:lastRow="0" w:firstColumn="0" w:lastColumn="0" w:oddVBand="0" w:evenVBand="0" w:oddHBand="0" w:evenHBand="0" w:firstRowFirstColumn="0" w:firstRowLastColumn="0" w:lastRowFirstColumn="0" w:lastRowLastColumn="0"/>
              <w:rPr>
                <w:i/>
                <w:color w:val="000000"/>
                <w:szCs w:val="22"/>
              </w:rPr>
            </w:pPr>
            <w:r>
              <w:rPr>
                <w:i/>
                <w:color w:val="000000"/>
                <w:szCs w:val="22"/>
              </w:rPr>
              <w:t>80%</w:t>
            </w:r>
          </w:p>
        </w:tc>
        <w:tc>
          <w:tcPr>
            <w:tcW w:w="222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i/>
                <w:color w:val="000000"/>
                <w:szCs w:val="22"/>
              </w:rPr>
            </w:pPr>
          </w:p>
          <w:p w:rsidR="00011C9F" w:rsidRDefault="00011C9F" w:rsidP="00DF4FF0">
            <w:pPr>
              <w:jc w:val="center"/>
              <w:cnfStyle w:val="000000000000" w:firstRow="0" w:lastRow="0" w:firstColumn="0" w:lastColumn="0" w:oddVBand="0" w:evenVBand="0" w:oddHBand="0" w:evenHBand="0" w:firstRowFirstColumn="0" w:firstRowLastColumn="0" w:lastRowFirstColumn="0" w:lastRowLastColumn="0"/>
              <w:rPr>
                <w:i/>
                <w:color w:val="000000"/>
                <w:szCs w:val="22"/>
              </w:rPr>
            </w:pPr>
            <w:r>
              <w:rPr>
                <w:i/>
                <w:color w:val="000000"/>
                <w:szCs w:val="22"/>
              </w:rPr>
              <w:t>7</w:t>
            </w:r>
            <w:r w:rsidR="00DF4FF0">
              <w:rPr>
                <w:i/>
                <w:color w:val="000000"/>
                <w:szCs w:val="22"/>
              </w:rPr>
              <w:t>3</w:t>
            </w:r>
            <w:r>
              <w:rPr>
                <w:i/>
                <w:color w:val="000000"/>
                <w:szCs w:val="22"/>
              </w:rPr>
              <w:t>%</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p>
        </w:tc>
        <w:tc>
          <w:tcPr>
            <w:tcW w:w="222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Estimated Complete Screeners</w:t>
            </w:r>
          </w:p>
        </w:tc>
        <w:tc>
          <w:tcPr>
            <w:tcW w:w="153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7,000</w:t>
            </w:r>
          </w:p>
        </w:tc>
        <w:tc>
          <w:tcPr>
            <w:tcW w:w="222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7,680</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r>
              <w:rPr>
                <w:b w:val="0"/>
                <w:color w:val="000000"/>
                <w:szCs w:val="22"/>
              </w:rPr>
              <w:t xml:space="preserve">     Estimated Known Eligible Households</w:t>
            </w: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1,750</w:t>
            </w:r>
          </w:p>
        </w:tc>
        <w:tc>
          <w:tcPr>
            <w:tcW w:w="2220" w:type="dxa"/>
            <w:tcBorders>
              <w:top w:val="nil"/>
              <w:bottom w:val="nil"/>
            </w:tcBorders>
          </w:tcPr>
          <w:p w:rsidR="00011C9F" w:rsidRDefault="00011C9F" w:rsidP="00DF4FF0">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w:t>
            </w:r>
            <w:r w:rsidR="00DF4FF0">
              <w:rPr>
                <w:color w:val="000000"/>
                <w:szCs w:val="22"/>
              </w:rPr>
              <w:t>920</w:t>
            </w: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 xml:space="preserve">          Estimated Complete Interviews</w:t>
            </w:r>
          </w:p>
        </w:tc>
        <w:tc>
          <w:tcPr>
            <w:tcW w:w="153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1,400</w:t>
            </w:r>
          </w:p>
        </w:tc>
        <w:tc>
          <w:tcPr>
            <w:tcW w:w="222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1,400</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r>
              <w:rPr>
                <w:b w:val="0"/>
                <w:color w:val="000000"/>
                <w:szCs w:val="22"/>
              </w:rPr>
              <w:t xml:space="preserve">          Estimated Partial Interviews</w:t>
            </w: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350</w:t>
            </w:r>
          </w:p>
        </w:tc>
        <w:tc>
          <w:tcPr>
            <w:tcW w:w="2220" w:type="dxa"/>
            <w:tcBorders>
              <w:top w:val="nil"/>
              <w:bottom w:val="nil"/>
            </w:tcBorders>
          </w:tcPr>
          <w:p w:rsidR="00011C9F" w:rsidRDefault="00DF4FF0"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520</w:t>
            </w: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 xml:space="preserve">Estimated Eligible among Unknowns </w:t>
            </w:r>
          </w:p>
          <w:p w:rsidR="00011C9F" w:rsidRDefault="00011C9F" w:rsidP="00011C9F">
            <w:pPr>
              <w:rPr>
                <w:b w:val="0"/>
                <w:color w:val="000000"/>
                <w:szCs w:val="22"/>
              </w:rPr>
            </w:pPr>
            <w:r>
              <w:rPr>
                <w:b w:val="0"/>
                <w:color w:val="000000"/>
                <w:szCs w:val="22"/>
              </w:rPr>
              <w:t xml:space="preserve">     (No screener)</w:t>
            </w:r>
          </w:p>
        </w:tc>
        <w:tc>
          <w:tcPr>
            <w:tcW w:w="153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p>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5,250</w:t>
            </w:r>
          </w:p>
        </w:tc>
        <w:tc>
          <w:tcPr>
            <w:tcW w:w="222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p>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6,000</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p>
        </w:tc>
        <w:tc>
          <w:tcPr>
            <w:tcW w:w="222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p>
        </w:tc>
      </w:tr>
      <w:tr w:rsidR="00011C9F" w:rsidTr="00011C9F">
        <w:trPr>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left w:val="nil"/>
              <w:bottom w:val="nil"/>
              <w:right w:val="nil"/>
            </w:tcBorders>
            <w:noWrap/>
          </w:tcPr>
          <w:p w:rsidR="00011C9F" w:rsidRDefault="00011C9F" w:rsidP="00011C9F">
            <w:pPr>
              <w:rPr>
                <w:b w:val="0"/>
                <w:color w:val="000000"/>
                <w:szCs w:val="22"/>
              </w:rPr>
            </w:pPr>
            <w:r>
              <w:rPr>
                <w:b w:val="0"/>
                <w:color w:val="000000"/>
                <w:szCs w:val="22"/>
              </w:rPr>
              <w:t>AAPOR Response Rate w/ Partials</w:t>
            </w:r>
          </w:p>
        </w:tc>
        <w:tc>
          <w:tcPr>
            <w:tcW w:w="1530" w:type="dxa"/>
            <w:tcBorders>
              <w:top w:val="nil"/>
              <w:left w:val="nil"/>
              <w:bottom w:val="nil"/>
              <w:right w:val="nil"/>
            </w:tcBorders>
          </w:tcPr>
          <w:p w:rsidR="00011C9F" w:rsidRDefault="00011C9F" w:rsidP="00011C9F">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25%</w:t>
            </w:r>
          </w:p>
        </w:tc>
        <w:tc>
          <w:tcPr>
            <w:tcW w:w="2220" w:type="dxa"/>
            <w:tcBorders>
              <w:top w:val="nil"/>
              <w:left w:val="nil"/>
              <w:bottom w:val="nil"/>
              <w:right w:val="nil"/>
            </w:tcBorders>
          </w:tcPr>
          <w:p w:rsidR="00011C9F" w:rsidRDefault="00011C9F" w:rsidP="00DF4FF0">
            <w:pPr>
              <w:jc w:val="center"/>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2</w:t>
            </w:r>
            <w:r w:rsidR="00DF4FF0">
              <w:rPr>
                <w:color w:val="000000"/>
                <w:szCs w:val="22"/>
              </w:rPr>
              <w:t>4</w:t>
            </w:r>
            <w:r>
              <w:rPr>
                <w:color w:val="000000"/>
                <w:szCs w:val="22"/>
              </w:rPr>
              <w:t>%</w:t>
            </w:r>
          </w:p>
        </w:tc>
      </w:tr>
      <w:tr w:rsidR="00011C9F" w:rsidTr="00011C9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70" w:type="dxa"/>
            <w:tcBorders>
              <w:top w:val="nil"/>
              <w:bottom w:val="nil"/>
            </w:tcBorders>
            <w:noWrap/>
          </w:tcPr>
          <w:p w:rsidR="00011C9F" w:rsidRDefault="00011C9F" w:rsidP="00011C9F">
            <w:pPr>
              <w:rPr>
                <w:b w:val="0"/>
                <w:color w:val="000000"/>
                <w:szCs w:val="22"/>
              </w:rPr>
            </w:pPr>
            <w:r>
              <w:rPr>
                <w:b w:val="0"/>
                <w:color w:val="000000"/>
                <w:szCs w:val="22"/>
              </w:rPr>
              <w:t>AAPOR Response Rate w/o Partials</w:t>
            </w:r>
          </w:p>
        </w:tc>
        <w:tc>
          <w:tcPr>
            <w:tcW w:w="153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20%</w:t>
            </w:r>
          </w:p>
        </w:tc>
        <w:tc>
          <w:tcPr>
            <w:tcW w:w="2220" w:type="dxa"/>
            <w:tcBorders>
              <w:top w:val="nil"/>
              <w:bottom w:val="nil"/>
            </w:tcBorders>
          </w:tcPr>
          <w:p w:rsidR="00011C9F" w:rsidRDefault="00011C9F" w:rsidP="00011C9F">
            <w:pPr>
              <w:jc w:val="center"/>
              <w:cnfStyle w:val="000000100000" w:firstRow="0" w:lastRow="0" w:firstColumn="0" w:lastColumn="0" w:oddVBand="0" w:evenVBand="0" w:oddHBand="1" w:evenHBand="0" w:firstRowFirstColumn="0" w:firstRowLastColumn="0" w:lastRowFirstColumn="0" w:lastRowLastColumn="0"/>
              <w:rPr>
                <w:color w:val="000000"/>
                <w:szCs w:val="22"/>
              </w:rPr>
            </w:pPr>
            <w:r>
              <w:rPr>
                <w:color w:val="000000"/>
                <w:szCs w:val="22"/>
              </w:rPr>
              <w:t>18%</w:t>
            </w:r>
          </w:p>
        </w:tc>
      </w:tr>
    </w:tbl>
    <w:p w:rsidR="00011C9F" w:rsidRDefault="00011C9F" w:rsidP="00910AFB">
      <w:pPr>
        <w:rPr>
          <w:b/>
        </w:rPr>
      </w:pPr>
    </w:p>
    <w:p w:rsidR="009278FC" w:rsidRDefault="005A36E2" w:rsidP="0062101F">
      <w:pPr>
        <w:ind w:firstLine="720"/>
        <w:jc w:val="both"/>
      </w:pPr>
      <w:r>
        <w:t xml:space="preserve">The ideal </w:t>
      </w:r>
      <w:r w:rsidR="00E8118E">
        <w:t>goal is</w:t>
      </w:r>
      <w:r w:rsidR="00937AB9">
        <w:t xml:space="preserve"> to select an equal probability sample of households using the PSU selection probability and the actual number of households in the sampled PSU</w:t>
      </w:r>
      <w:r w:rsidR="009278FC">
        <w:t xml:space="preserve"> as much as possible</w:t>
      </w:r>
      <w:r w:rsidR="00937AB9">
        <w:t xml:space="preserve">. </w:t>
      </w:r>
      <w:r w:rsidR="00964A2F">
        <w:t>If t</w:t>
      </w:r>
      <w:r w:rsidR="00937AB9">
        <w:t xml:space="preserve">he MOS used to select PSUs is a perfect </w:t>
      </w:r>
      <w:r w:rsidR="00964A2F">
        <w:t>MOS</w:t>
      </w:r>
      <w:r w:rsidR="00937AB9">
        <w:t xml:space="preserve"> in te</w:t>
      </w:r>
      <w:r w:rsidR="00964A2F">
        <w:t>r</w:t>
      </w:r>
      <w:r w:rsidR="00937AB9">
        <w:t>m</w:t>
      </w:r>
      <w:r w:rsidR="00BF7069">
        <w:t>s</w:t>
      </w:r>
      <w:r w:rsidR="00937AB9">
        <w:t xml:space="preserve"> of the number of </w:t>
      </w:r>
      <w:r w:rsidR="00DD7D91">
        <w:t xml:space="preserve">eligible </w:t>
      </w:r>
      <w:r w:rsidR="00937AB9">
        <w:t>households, the sample design becomes a</w:t>
      </w:r>
      <w:r w:rsidR="00D53870">
        <w:t xml:space="preserve"> self-weighting design where</w:t>
      </w:r>
      <w:r w:rsidR="00937AB9">
        <w:t xml:space="preserve"> the </w:t>
      </w:r>
      <w:r w:rsidR="00D53870">
        <w:t>selection probability and the weight will be all equal</w:t>
      </w:r>
      <w:r w:rsidR="00964A2F">
        <w:t xml:space="preserve"> if a fixed number of households is selected from each sampled PSU</w:t>
      </w:r>
      <w:r w:rsidR="00937AB9">
        <w:t>. However, this is not the case for AACPSIR</w:t>
      </w:r>
      <w:r w:rsidR="00964A2F">
        <w:t xml:space="preserve">, and the MOS </w:t>
      </w:r>
      <w:r w:rsidR="009278FC">
        <w:t xml:space="preserve">(based on the number of children age 0-7) </w:t>
      </w:r>
      <w:r w:rsidR="00937AB9">
        <w:t xml:space="preserve">will not </w:t>
      </w:r>
      <w:r w:rsidR="00964A2F">
        <w:t xml:space="preserve">be </w:t>
      </w:r>
      <w:r w:rsidR="00937AB9">
        <w:t>perfectly correlated with the number of households</w:t>
      </w:r>
      <w:r w:rsidR="00964A2F">
        <w:t xml:space="preserve"> </w:t>
      </w:r>
      <w:r w:rsidR="009278FC">
        <w:t xml:space="preserve">with children of age 0-9 </w:t>
      </w:r>
      <w:r w:rsidR="00964A2F">
        <w:t>(the true MOS)</w:t>
      </w:r>
      <w:r w:rsidR="00937AB9">
        <w:t xml:space="preserve">, </w:t>
      </w:r>
      <w:r w:rsidR="009278FC">
        <w:t xml:space="preserve">Therefore, the actual selection probabilities of households will not be equal. To mitigate this problem, we will use the ACS data to estimate the number of households with children of age 0-9 so that we can adjust the number of households to be selected from each sampled PSU. The adjustment factor for PSU </w:t>
      </w:r>
      <m:oMath>
        <m:r>
          <w:rPr>
            <w:rFonts w:ascii="Cambria Math" w:hAnsi="Cambria Math"/>
          </w:rPr>
          <m:t>i</m:t>
        </m:r>
      </m:oMath>
      <w:r w:rsidR="009278FC">
        <w:t xml:space="preserve"> will be calculated by the following formula:</w:t>
      </w:r>
    </w:p>
    <w:p w:rsidR="009278FC" w:rsidRDefault="009278FC" w:rsidP="009278FC"/>
    <w:p w:rsidR="009278FC" w:rsidRDefault="0005289F" w:rsidP="009278FC">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1i</m:t>
                  </m:r>
                </m:sub>
              </m:sSub>
            </m:num>
            <m:den>
              <m:sSub>
                <m:sSubPr>
                  <m:ctrlPr>
                    <w:rPr>
                      <w:rFonts w:ascii="Cambria Math" w:hAnsi="Cambria Math"/>
                      <w:i/>
                    </w:rPr>
                  </m:ctrlPr>
                </m:sSubPr>
                <m:e>
                  <m:r>
                    <w:rPr>
                      <w:rFonts w:ascii="Cambria Math" w:hAnsi="Cambria Math"/>
                    </w:rPr>
                    <m:t>S</m:t>
                  </m:r>
                </m:e>
                <m:sub>
                  <m:r>
                    <w:rPr>
                      <w:rFonts w:ascii="Cambria Math" w:hAnsi="Cambria Math"/>
                    </w:rPr>
                    <m:t>0i</m:t>
                  </m:r>
                </m:sub>
              </m:sSub>
            </m:den>
          </m:f>
        </m:oMath>
      </m:oMathPara>
    </w:p>
    <w:p w:rsidR="009278FC" w:rsidRDefault="009278FC" w:rsidP="009278FC"/>
    <w:p w:rsidR="009278FC" w:rsidRPr="00D53870" w:rsidRDefault="009278FC" w:rsidP="00D53870">
      <w:r>
        <w:lastRenderedPageBreak/>
        <w:t xml:space="preserve">where </w:t>
      </w:r>
      <m:oMath>
        <m:sSub>
          <m:sSubPr>
            <m:ctrlPr>
              <w:rPr>
                <w:rFonts w:ascii="Cambria Math" w:hAnsi="Cambria Math"/>
                <w:i/>
              </w:rPr>
            </m:ctrlPr>
          </m:sSubPr>
          <m:e>
            <m:r>
              <w:rPr>
                <w:rFonts w:ascii="Cambria Math" w:hAnsi="Cambria Math"/>
              </w:rPr>
              <m:t>S</m:t>
            </m:r>
          </m:e>
          <m:sub>
            <m:r>
              <w:rPr>
                <w:rFonts w:ascii="Cambria Math" w:hAnsi="Cambria Math"/>
              </w:rPr>
              <m:t>0i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1i</m:t>
            </m:r>
          </m:sub>
        </m:sSub>
      </m:oMath>
      <w:r>
        <w:t xml:space="preserve"> are, respectively, the proxy size based on the number of children of age 0-</w:t>
      </w:r>
      <w:r w:rsidR="0080496B">
        <w:t>7</w:t>
      </w:r>
      <w:r>
        <w:t xml:space="preserve"> and the estimated size based on the ACS data for PSU </w:t>
      </w:r>
      <m:oMath>
        <m:r>
          <w:rPr>
            <w:rFonts w:ascii="Cambria Math" w:hAnsi="Cambria Math"/>
          </w:rPr>
          <m:t>i</m:t>
        </m:r>
      </m:oMath>
      <w:r>
        <w:t xml:space="preserve">, and </w:t>
      </w:r>
      <m:oMath>
        <m:r>
          <w:rPr>
            <w:rFonts w:ascii="Cambria Math" w:hAnsi="Cambria Math"/>
          </w:rPr>
          <m:t>k</m:t>
        </m:r>
      </m:oMath>
      <w:r>
        <w:t xml:space="preserve"> is a constant scale factor that adjusts the scale difference between the two size measures (</w:t>
      </w:r>
      <m:oMath>
        <m:sSub>
          <m:sSubPr>
            <m:ctrlPr>
              <w:rPr>
                <w:rFonts w:ascii="Cambria Math" w:hAnsi="Cambria Math"/>
                <w:i/>
              </w:rPr>
            </m:ctrlPr>
          </m:sSubPr>
          <m:e>
            <m:r>
              <w:rPr>
                <w:rFonts w:ascii="Cambria Math" w:hAnsi="Cambria Math"/>
              </w:rPr>
              <m:t>S</m:t>
            </m:r>
          </m:e>
          <m:sub>
            <m:r>
              <w:rPr>
                <w:rFonts w:ascii="Cambria Math" w:hAnsi="Cambria Math"/>
              </w:rPr>
              <m:t>0i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1i</m:t>
            </m:r>
          </m:sub>
        </m:sSub>
      </m:oMath>
      <w:r>
        <w:t xml:space="preserve">). The adjustment factor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is greater than 1 if the proxy size is smaller than it is supposed to be (i.e., </w:t>
      </w:r>
      <m:oMath>
        <m:sSub>
          <m:sSubPr>
            <m:ctrlPr>
              <w:rPr>
                <w:rFonts w:ascii="Cambria Math" w:hAnsi="Cambria Math"/>
                <w:i/>
              </w:rPr>
            </m:ctrlPr>
          </m:sSubPr>
          <m:e>
            <m:r>
              <w:rPr>
                <w:rFonts w:ascii="Cambria Math" w:hAnsi="Cambria Math"/>
              </w:rPr>
              <m:t>kS</m:t>
            </m:r>
          </m:e>
          <m:sub>
            <m:r>
              <w:rPr>
                <w:rFonts w:ascii="Cambria Math" w:hAnsi="Cambria Math"/>
              </w:rPr>
              <m:t>1i</m:t>
            </m:r>
          </m:sub>
        </m:sSub>
      </m:oMath>
      <w:r>
        <w:t>), and vice versa, otherwise.</w:t>
      </w:r>
      <w:r w:rsidR="00D53870">
        <w:t xml:space="preserve"> </w:t>
      </w:r>
      <w:r w:rsidR="0080496B">
        <w:t>This procedure</w:t>
      </w:r>
      <w:r>
        <w:t xml:space="preserve"> will select a</w:t>
      </w:r>
      <w:r w:rsidR="0080496B">
        <w:t xml:space="preserve"> </w:t>
      </w:r>
      <w:r>
        <w:t>n</w:t>
      </w:r>
      <w:r w:rsidR="0080496B">
        <w:t>early</w:t>
      </w:r>
      <w:r>
        <w:t xml:space="preserve"> equal probability sample of households with the adjusted sample size from each sampled PSU. Other than geographic variables (address, longitude and latitude, etc.), other variables </w:t>
      </w:r>
      <w:r w:rsidR="0080496B">
        <w:t xml:space="preserve">in the MSG database </w:t>
      </w:r>
      <w:r>
        <w:t>may not be</w:t>
      </w:r>
      <w:r w:rsidR="00D53870">
        <w:t xml:space="preserve"> reliable as other research has shown</w:t>
      </w:r>
      <w:r>
        <w:t>.</w:t>
      </w:r>
      <w:r w:rsidR="005613A4">
        <w:rPr>
          <w:rStyle w:val="FootnoteReference"/>
        </w:rPr>
        <w:footnoteReference w:id="4"/>
      </w:r>
      <w:r>
        <w:t xml:space="preserve"> </w:t>
      </w:r>
    </w:p>
    <w:p w:rsidR="00B16E25" w:rsidRDefault="00B16E25" w:rsidP="00B31A25">
      <w:pPr>
        <w:widowControl w:val="0"/>
        <w:autoSpaceDE w:val="0"/>
        <w:autoSpaceDN w:val="0"/>
        <w:adjustRightInd w:val="0"/>
      </w:pPr>
    </w:p>
    <w:p w:rsidR="00B16E25" w:rsidRDefault="00B16E25" w:rsidP="00B16E25">
      <w:pPr>
        <w:widowControl w:val="0"/>
        <w:autoSpaceDE w:val="0"/>
        <w:autoSpaceDN w:val="0"/>
        <w:adjustRightInd w:val="0"/>
      </w:pPr>
      <w:r>
        <w:rPr>
          <w:b/>
          <w:bCs/>
        </w:rPr>
        <w:t>B.2.  Describe the procedures for the collection of information.</w:t>
      </w:r>
    </w:p>
    <w:p w:rsidR="00B16E25" w:rsidRDefault="00B16E25" w:rsidP="00B16E25">
      <w:pPr>
        <w:widowControl w:val="0"/>
        <w:autoSpaceDE w:val="0"/>
        <w:autoSpaceDN w:val="0"/>
        <w:adjustRightInd w:val="0"/>
      </w:pPr>
    </w:p>
    <w:p w:rsidR="00806D72" w:rsidRPr="00806D72" w:rsidRDefault="00806D72" w:rsidP="00806D72">
      <w:pPr>
        <w:widowControl w:val="0"/>
        <w:tabs>
          <w:tab w:val="left" w:pos="360"/>
        </w:tabs>
        <w:autoSpaceDE w:val="0"/>
        <w:autoSpaceDN w:val="0"/>
        <w:adjustRightInd w:val="0"/>
        <w:rPr>
          <w:i/>
        </w:rPr>
      </w:pPr>
      <w:r>
        <w:rPr>
          <w:i/>
        </w:rPr>
        <w:tab/>
        <w:t>a.</w:t>
      </w:r>
      <w:r>
        <w:rPr>
          <w:i/>
        </w:rPr>
        <w:tab/>
        <w:t>Procedures for Collection of Information</w:t>
      </w:r>
    </w:p>
    <w:p w:rsidR="00806D72" w:rsidRDefault="00806D72" w:rsidP="00B16E25">
      <w:pPr>
        <w:widowControl w:val="0"/>
        <w:autoSpaceDE w:val="0"/>
        <w:autoSpaceDN w:val="0"/>
        <w:adjustRightInd w:val="0"/>
      </w:pPr>
    </w:p>
    <w:p w:rsidR="003E4802" w:rsidRDefault="00D53870" w:rsidP="00817454">
      <w:pPr>
        <w:widowControl w:val="0"/>
        <w:autoSpaceDE w:val="0"/>
        <w:autoSpaceDN w:val="0"/>
        <w:adjustRightInd w:val="0"/>
        <w:jc w:val="both"/>
      </w:pPr>
      <w:r>
        <w:tab/>
        <w:t>The c</w:t>
      </w:r>
      <w:r w:rsidR="00B16E25">
        <w:t xml:space="preserve">ontractor, </w:t>
      </w:r>
      <w:r w:rsidR="00F91131">
        <w:t>Westat</w:t>
      </w:r>
      <w:r w:rsidR="00B16E25">
        <w:t xml:space="preserve">, will select </w:t>
      </w:r>
      <w:r w:rsidR="006F0ADC">
        <w:t xml:space="preserve">a sample of households, </w:t>
      </w:r>
      <w:r w:rsidR="00B16E25">
        <w:t xml:space="preserve">as described in the previous section.  Each household will be mailed an initial letter </w:t>
      </w:r>
      <w:r>
        <w:t>(Appendix A</w:t>
      </w:r>
      <w:r w:rsidR="00876450">
        <w:t xml:space="preserve">) </w:t>
      </w:r>
      <w:r w:rsidR="00B16E25">
        <w:t>requestin</w:t>
      </w:r>
      <w:r>
        <w:t xml:space="preserve">g participation in the survey. </w:t>
      </w:r>
      <w:r w:rsidR="003E4802" w:rsidRPr="003E4802">
        <w:t xml:space="preserve">Only one </w:t>
      </w:r>
      <w:r w:rsidR="00080D5B">
        <w:t>individual will respond</w:t>
      </w:r>
      <w:r w:rsidR="003E4802" w:rsidRPr="003E4802">
        <w:t xml:space="preserve"> for each </w:t>
      </w:r>
      <w:r w:rsidR="00080D5B">
        <w:t xml:space="preserve">selected </w:t>
      </w:r>
      <w:r w:rsidR="003E4802" w:rsidRPr="003E4802">
        <w:t xml:space="preserve">household. The letter will include the survey website URL and a unique PIN for each household. </w:t>
      </w:r>
      <w:r w:rsidR="003E4802">
        <w:t>The unique PIN insures that only one respondent per h</w:t>
      </w:r>
      <w:r>
        <w:t xml:space="preserve">ousehold completes the survey. </w:t>
      </w:r>
      <w:r w:rsidR="003E4802">
        <w:t xml:space="preserve">The letter will also </w:t>
      </w:r>
      <w:r w:rsidR="003E4802" w:rsidRPr="003E4802">
        <w:t xml:space="preserve">reference a help desk number available for respondents without Internet access, with language barriers, or who experience technical problems. There will be a Spanish tagline at the bottom of the letter directing respondents to </w:t>
      </w:r>
      <w:r w:rsidR="003E4802">
        <w:t>a</w:t>
      </w:r>
      <w:r w:rsidR="003E4802" w:rsidRPr="003E4802">
        <w:t xml:space="preserve"> translation service.</w:t>
      </w:r>
    </w:p>
    <w:p w:rsidR="00817454" w:rsidRDefault="00817454" w:rsidP="00817454">
      <w:pPr>
        <w:widowControl w:val="0"/>
        <w:autoSpaceDE w:val="0"/>
        <w:autoSpaceDN w:val="0"/>
        <w:adjustRightInd w:val="0"/>
        <w:jc w:val="both"/>
      </w:pPr>
    </w:p>
    <w:p w:rsidR="00817454" w:rsidRDefault="00817454" w:rsidP="00817454">
      <w:pPr>
        <w:widowControl w:val="0"/>
        <w:autoSpaceDE w:val="0"/>
        <w:autoSpaceDN w:val="0"/>
        <w:adjustRightInd w:val="0"/>
        <w:ind w:firstLine="720"/>
        <w:jc w:val="both"/>
      </w:pPr>
      <w:r>
        <w:t xml:space="preserve">The Contractor </w:t>
      </w:r>
      <w:r w:rsidR="00DB6AF9">
        <w:t>will develop a W</w:t>
      </w:r>
      <w:r w:rsidR="003E4802">
        <w:t xml:space="preserve">eb management system that will include a public survey website, online survey instrument, and survey </w:t>
      </w:r>
      <w:r>
        <w:t>management system</w:t>
      </w:r>
      <w:r w:rsidR="003E4802">
        <w:t xml:space="preserve">. </w:t>
      </w:r>
      <w:r>
        <w:t>The public project website will contain information about the project and survey, a frequently asked questions (FAQ) sec</w:t>
      </w:r>
      <w:r w:rsidR="00D53870">
        <w:t xml:space="preserve">tion, and contact information. </w:t>
      </w:r>
      <w:r>
        <w:t>The FAQ section will focus on the importance of the survey as well as address typical questions. Participants will be able to use the contact information page to reach out to the Contractor’s survey staff. Links to this page will be present on all survey pages so that participants can use it to submit questions regarding operational difficulties and ask for help. Upon submittal</w:t>
      </w:r>
      <w:r w:rsidR="00080D5B">
        <w:t>,</w:t>
      </w:r>
      <w:r>
        <w:t xml:space="preserve"> an automatic response will be generated and emailed to the participant with an expected timeline for a response. The “Contact Us” page will also include a toll-free help desk number for participants who prefer to contact the survey team over the phone. If no interviewers are available to respond to a participant call, the system will present a voice mail greeting, which will include the days and hours during which calls are returned. Participants will then be able to leave a message.  </w:t>
      </w:r>
    </w:p>
    <w:p w:rsidR="00817454" w:rsidRDefault="00817454" w:rsidP="00817454">
      <w:pPr>
        <w:widowControl w:val="0"/>
        <w:autoSpaceDE w:val="0"/>
        <w:autoSpaceDN w:val="0"/>
        <w:adjustRightInd w:val="0"/>
        <w:ind w:firstLine="720"/>
        <w:jc w:val="both"/>
      </w:pPr>
    </w:p>
    <w:p w:rsidR="0093445E" w:rsidRDefault="00817454" w:rsidP="00502950">
      <w:pPr>
        <w:widowControl w:val="0"/>
        <w:autoSpaceDE w:val="0"/>
        <w:autoSpaceDN w:val="0"/>
        <w:adjustRightInd w:val="0"/>
        <w:ind w:firstLine="720"/>
        <w:jc w:val="both"/>
      </w:pPr>
      <w:r>
        <w:t xml:space="preserve">The web-based survey will begin with an introductory page that will explain how much time the survey is expected to take </w:t>
      </w:r>
      <w:r w:rsidR="00C65A54">
        <w:t xml:space="preserve">the respondent. </w:t>
      </w:r>
      <w:r>
        <w:t>After a period of inactivity a message pop-up will appear on the respondent’s browser offering them the possibility of calling the help desk to obtain additional support.  Following the introductory page</w:t>
      </w:r>
      <w:r w:rsidR="00785D79">
        <w:t>,</w:t>
      </w:r>
      <w:r>
        <w:t xml:space="preserve"> the online instrument will present </w:t>
      </w:r>
      <w:r w:rsidR="00766CB2">
        <w:t>the eligibility screener (Form 1333) containing</w:t>
      </w:r>
      <w:r>
        <w:t xml:space="preserve"> household-level questions that will assist in </w:t>
      </w:r>
      <w:r w:rsidR="00E76B7B">
        <w:t>determining</w:t>
      </w:r>
      <w:r>
        <w:t xml:space="preserve"> eligibility for the survey (</w:t>
      </w:r>
      <w:r w:rsidR="00E76B7B">
        <w:t>i.e.,</w:t>
      </w:r>
      <w:r>
        <w:t xml:space="preserve"> adults traveling with a child age 0-9 in a personal vehicle on a regular basis). If a household has </w:t>
      </w:r>
      <w:r>
        <w:lastRenderedPageBreak/>
        <w:t xml:space="preserve">at least one eligible person, they will proceed </w:t>
      </w:r>
      <w:r w:rsidR="00766CB2">
        <w:t xml:space="preserve">to complete the full survey (Form 1334) </w:t>
      </w:r>
      <w:r w:rsidR="00502950">
        <w:t>that includes</w:t>
      </w:r>
      <w:r>
        <w:t xml:space="preserve"> more specific person-level questions</w:t>
      </w:r>
      <w:r w:rsidR="00C352B0">
        <w:t xml:space="preserve"> </w:t>
      </w:r>
      <w:r w:rsidR="00502950">
        <w:t>related to experiences using CRS; experiences searching for CRS information sources</w:t>
      </w:r>
      <w:r w:rsidR="00FD4E57">
        <w:t>;</w:t>
      </w:r>
      <w:r w:rsidR="00502950">
        <w:t xml:space="preserve"> awareness, </w:t>
      </w:r>
      <w:r w:rsidR="00DC26D7">
        <w:t>use</w:t>
      </w:r>
      <w:r w:rsidR="00502950">
        <w:t xml:space="preserve">, and experiences with </w:t>
      </w:r>
      <w:r w:rsidR="00DC26D7">
        <w:t>CRS inspection stations</w:t>
      </w:r>
      <w:r w:rsidR="00502950">
        <w:t xml:space="preserve">; </w:t>
      </w:r>
      <w:r w:rsidR="00AF7D28">
        <w:t>and basic demographic information including gender, race, ethnicity, and income.</w:t>
      </w:r>
    </w:p>
    <w:p w:rsidR="0093445E" w:rsidRDefault="0093445E" w:rsidP="00E62B67">
      <w:pPr>
        <w:widowControl w:val="0"/>
        <w:autoSpaceDE w:val="0"/>
        <w:autoSpaceDN w:val="0"/>
        <w:adjustRightInd w:val="0"/>
        <w:ind w:firstLine="720"/>
        <w:jc w:val="both"/>
      </w:pPr>
    </w:p>
    <w:p w:rsidR="00D02177" w:rsidRDefault="00817454" w:rsidP="00E62B67">
      <w:pPr>
        <w:widowControl w:val="0"/>
        <w:autoSpaceDE w:val="0"/>
        <w:autoSpaceDN w:val="0"/>
        <w:adjustRightInd w:val="0"/>
        <w:ind w:firstLine="720"/>
        <w:jc w:val="both"/>
      </w:pPr>
      <w:r>
        <w:t>While most of the web-based survey will be close-ended questions, there will be a limited number of open-ended questions to allow respondents to provide information in their own words and to maximize the depth of understanding</w:t>
      </w:r>
      <w:r w:rsidR="00E76B7B">
        <w:t xml:space="preserve"> that may be gleaned from the responses</w:t>
      </w:r>
      <w:r>
        <w:t xml:space="preserve">. The survey will include skips to ensure only appropriate questions are asked among those who are qualified (e.g., only those with a booster-seat aged child will be asked about how they currently install a booster seat). In addition, other data quality checks will be programmed to ensure responses are consistent and rational. </w:t>
      </w:r>
    </w:p>
    <w:p w:rsidR="00D02177" w:rsidRDefault="00D02177" w:rsidP="00817454">
      <w:pPr>
        <w:widowControl w:val="0"/>
        <w:autoSpaceDE w:val="0"/>
        <w:autoSpaceDN w:val="0"/>
        <w:adjustRightInd w:val="0"/>
        <w:ind w:firstLine="720"/>
        <w:jc w:val="both"/>
      </w:pPr>
    </w:p>
    <w:p w:rsidR="00D02177" w:rsidRDefault="00817454" w:rsidP="0046531F">
      <w:pPr>
        <w:widowControl w:val="0"/>
        <w:autoSpaceDE w:val="0"/>
        <w:autoSpaceDN w:val="0"/>
        <w:adjustRightInd w:val="0"/>
        <w:ind w:firstLine="720"/>
        <w:jc w:val="both"/>
      </w:pPr>
      <w:r>
        <w:t xml:space="preserve">The public website will also provide supporting materials and serve as the access point for the self-administered web-based data collection instrument. Access to the online instrument will be controlled using an alphanumeric PIN, with access restricted to using encrypted connection via </w:t>
      </w:r>
      <w:r w:rsidR="0046531F">
        <w:t xml:space="preserve">Transport Layer Security (TLS) </w:t>
      </w:r>
      <w:r>
        <w:t>certificates. To protect the online instruments from break-in attempts, the public site will feature automatic access lockdown after too many unsuccessful login attempts are performed within a short amount of time. Similarly, once a case is completed the survey will no longer be accessible to participants using their PIN. This will prevent participants from re-opening it and changing responses. These two measures protect participant responses from being compromised.</w:t>
      </w:r>
      <w:r w:rsidR="00D02177">
        <w:t xml:space="preserve"> The Contractor ensures quality and secure systems development through the use of industry best-practices to track work items</w:t>
      </w:r>
      <w:r w:rsidR="00FD4E57">
        <w:t>;</w:t>
      </w:r>
      <w:r w:rsidR="00D02177">
        <w:t xml:space="preserve"> to identify, document, and address issues</w:t>
      </w:r>
      <w:r w:rsidR="00FD4E57">
        <w:t>;</w:t>
      </w:r>
      <w:r w:rsidR="00D02177">
        <w:t xml:space="preserve"> and to manage code revisions. In addition, all code changes are subject to code reviews so that each edit is always reviewed by at least two team members. Code reviews combined with unit testing prevent software regression bugs from creeping into the </w:t>
      </w:r>
      <w:r w:rsidR="00DB6AF9">
        <w:t>W</w:t>
      </w:r>
      <w:r w:rsidR="00D02177">
        <w:t xml:space="preserve">eb application and ensure that best-practices are used to reduce the likelihood of </w:t>
      </w:r>
      <w:r w:rsidR="00D53870">
        <w:t xml:space="preserve">security vulnerabilities. </w:t>
      </w:r>
      <w:r w:rsidR="00D02177">
        <w:t xml:space="preserve">Finally, all </w:t>
      </w:r>
      <w:r w:rsidR="00DB6AF9">
        <w:t>Web</w:t>
      </w:r>
      <w:r w:rsidR="00D02177">
        <w:t xml:space="preserve"> applications must pass an in-depth automated security vulnerability scan before they are released to production.</w:t>
      </w:r>
    </w:p>
    <w:p w:rsidR="00817454" w:rsidRDefault="00817454" w:rsidP="00817454">
      <w:pPr>
        <w:widowControl w:val="0"/>
        <w:autoSpaceDE w:val="0"/>
        <w:autoSpaceDN w:val="0"/>
        <w:adjustRightInd w:val="0"/>
        <w:jc w:val="both"/>
      </w:pPr>
    </w:p>
    <w:p w:rsidR="00D02177" w:rsidRDefault="00D53870" w:rsidP="00D02177">
      <w:pPr>
        <w:widowControl w:val="0"/>
        <w:autoSpaceDE w:val="0"/>
        <w:autoSpaceDN w:val="0"/>
        <w:adjustRightInd w:val="0"/>
        <w:ind w:firstLine="720"/>
        <w:jc w:val="both"/>
      </w:pPr>
      <w:r>
        <w:t>E</w:t>
      </w:r>
      <w:r w:rsidR="00D02177">
        <w:t xml:space="preserve">ach page of the Web survey will include an option to request assistance via email. In addition, a toll-free telephone number will be available for respondents who have difficulty or are unable to complete the survey online because of technical or language issues. Help desk staff will complete the survey via telephone with the respondents. Within the Web Survey System there will be both the online survey instrument, which respondents will see when they enter their PIN, and the computer-assisted telephone interviewing (CATI) version of the survey that will be available to the help desk staff. The CATI version will closely mimic the </w:t>
      </w:r>
      <w:r w:rsidR="00DB6AF9">
        <w:t>Web</w:t>
      </w:r>
      <w:r w:rsidR="00D02177">
        <w:t xml:space="preserve"> version of the instrument but make it easier for a help desk staff member to administer. CATI interviews will be handled in an integrated way so help desk staff can pick up at the point a </w:t>
      </w:r>
      <w:r w:rsidR="00DB6AF9">
        <w:t>Web</w:t>
      </w:r>
      <w:r w:rsidR="00D02177">
        <w:t xml:space="preserve"> respondent stopped completing the survey.</w:t>
      </w:r>
    </w:p>
    <w:p w:rsidR="00D02177" w:rsidRDefault="00D02177" w:rsidP="00D02177">
      <w:pPr>
        <w:widowControl w:val="0"/>
        <w:autoSpaceDE w:val="0"/>
        <w:autoSpaceDN w:val="0"/>
        <w:adjustRightInd w:val="0"/>
        <w:jc w:val="both"/>
      </w:pPr>
    </w:p>
    <w:p w:rsidR="00817454" w:rsidRDefault="00817454" w:rsidP="00817454">
      <w:pPr>
        <w:widowControl w:val="0"/>
        <w:autoSpaceDE w:val="0"/>
        <w:autoSpaceDN w:val="0"/>
        <w:adjustRightInd w:val="0"/>
        <w:ind w:firstLine="720"/>
        <w:jc w:val="both"/>
      </w:pPr>
      <w:r>
        <w:t xml:space="preserve">The Contractor will send out one reminder postcard </w:t>
      </w:r>
      <w:r w:rsidR="00D53870">
        <w:t>(Appendix B</w:t>
      </w:r>
      <w:r w:rsidR="002753D6">
        <w:t xml:space="preserve">) </w:t>
      </w:r>
      <w:r>
        <w:t>to non-response households two weeks after the initial mail out of the invitation letter. The non-</w:t>
      </w:r>
      <w:r>
        <w:lastRenderedPageBreak/>
        <w:t>response households are determined based on a review of the unique household PINs that were not utilized to complete the survey. The reminder postcard will include the survey logo, survey website URL, and the unique household PIN. The postcard will remind households of the importance of their participation in the survey.</w:t>
      </w:r>
    </w:p>
    <w:p w:rsidR="00EC3454" w:rsidRDefault="002F7A9D" w:rsidP="00EF7AAA">
      <w:pPr>
        <w:widowControl w:val="0"/>
        <w:autoSpaceDE w:val="0"/>
        <w:autoSpaceDN w:val="0"/>
        <w:adjustRightInd w:val="0"/>
      </w:pPr>
      <w:r>
        <w:t xml:space="preserve"> </w:t>
      </w:r>
    </w:p>
    <w:p w:rsidR="00407278" w:rsidRDefault="00806D72" w:rsidP="00806D72">
      <w:pPr>
        <w:widowControl w:val="0"/>
        <w:tabs>
          <w:tab w:val="left" w:pos="360"/>
        </w:tabs>
        <w:autoSpaceDE w:val="0"/>
        <w:autoSpaceDN w:val="0"/>
        <w:adjustRightInd w:val="0"/>
      </w:pPr>
      <w:r>
        <w:rPr>
          <w:i/>
        </w:rPr>
        <w:tab/>
        <w:t>b</w:t>
      </w:r>
      <w:r w:rsidR="00407278">
        <w:rPr>
          <w:i/>
        </w:rPr>
        <w:t>.</w:t>
      </w:r>
      <w:r w:rsidR="00407278">
        <w:rPr>
          <w:i/>
        </w:rPr>
        <w:tab/>
        <w:t>Precision of sample estimates</w:t>
      </w:r>
    </w:p>
    <w:p w:rsidR="00407278" w:rsidRDefault="00407278">
      <w:pPr>
        <w:widowControl w:val="0"/>
        <w:autoSpaceDE w:val="0"/>
        <w:autoSpaceDN w:val="0"/>
        <w:adjustRightInd w:val="0"/>
      </w:pPr>
    </w:p>
    <w:p w:rsidR="00D02177" w:rsidRDefault="00D02177" w:rsidP="0062101F">
      <w:pPr>
        <w:widowControl w:val="0"/>
        <w:tabs>
          <w:tab w:val="left" w:pos="720"/>
        </w:tabs>
        <w:autoSpaceDE w:val="0"/>
        <w:autoSpaceDN w:val="0"/>
        <w:adjustRightInd w:val="0"/>
        <w:ind w:firstLine="720"/>
        <w:jc w:val="both"/>
      </w:pPr>
      <w:r>
        <w:t xml:space="preserve">The target </w:t>
      </w:r>
      <w:r w:rsidR="00680B39">
        <w:t xml:space="preserve">number of completed surveys </w:t>
      </w:r>
      <w:r>
        <w:t xml:space="preserve">is 1,400, of which about one half (700) </w:t>
      </w:r>
      <w:r w:rsidR="00D917AE">
        <w:t>would be</w:t>
      </w:r>
      <w:r>
        <w:t xml:space="preserve"> expected to come from the 30 NSUBS PSUs</w:t>
      </w:r>
      <w:r w:rsidR="007435B7">
        <w:t xml:space="preserve"> if the sample was allocated proportionately</w:t>
      </w:r>
      <w:r>
        <w:t xml:space="preserve">. We assumed a design effect of 2.2, and with this design effect (DEFF), the effective sample size of the group of 700 respondents is 318, which renders </w:t>
      </w:r>
      <w:r w:rsidR="00964A2F">
        <w:t>5.6</w:t>
      </w:r>
      <w:r>
        <w:t xml:space="preserve"> percentage points margin of error for the 95 percent confidence interval for an estimate of a population proportion of 50 percent. If we perform subgroup analysis of </w:t>
      </w:r>
      <w:r w:rsidR="00DD7D91">
        <w:t xml:space="preserve">a </w:t>
      </w:r>
      <w:r>
        <w:t xml:space="preserve">2 by 2 table with an equal cell size, then the cell (effective) sample size will be one fourth of the total (effective) sample size of 318. The margin of error for each cell is then </w:t>
      </w:r>
      <w:r w:rsidR="0010231A">
        <w:t>11.2</w:t>
      </w:r>
      <w:r>
        <w:t xml:space="preserve"> percentage points for 95 percent confidence interval. </w:t>
      </w:r>
      <w:r w:rsidR="007435B7">
        <w:t>However, d</w:t>
      </w:r>
      <w:r w:rsidR="000406B5">
        <w:t xml:space="preserve">esiring to have </w:t>
      </w:r>
      <w:r w:rsidR="00423DD3">
        <w:t>better precision for linked analysis, t</w:t>
      </w:r>
      <w:r>
        <w:t xml:space="preserve">he </w:t>
      </w:r>
      <w:r w:rsidR="00423DD3">
        <w:t xml:space="preserve">total </w:t>
      </w:r>
      <w:r>
        <w:t xml:space="preserve">sample size </w:t>
      </w:r>
      <w:r w:rsidR="00423DD3">
        <w:t>(</w:t>
      </w:r>
      <w:r w:rsidR="000406B5">
        <w:t>28</w:t>
      </w:r>
      <w:r w:rsidR="00423DD3">
        <w:t xml:space="preserve">,000) </w:t>
      </w:r>
      <w:r>
        <w:t xml:space="preserve">in </w:t>
      </w:r>
      <w:r w:rsidR="00680B39">
        <w:t xml:space="preserve">the base field </w:t>
      </w:r>
      <w:r>
        <w:t>sampling plan</w:t>
      </w:r>
      <w:r w:rsidR="00423DD3">
        <w:t xml:space="preserve"> </w:t>
      </w:r>
      <w:r w:rsidR="007435B7">
        <w:t>will be</w:t>
      </w:r>
      <w:r w:rsidR="00423DD3">
        <w:t xml:space="preserve"> allocated disproportionately by</w:t>
      </w:r>
      <w:r>
        <w:t xml:space="preserve"> allocat</w:t>
      </w:r>
      <w:r w:rsidR="00423DD3">
        <w:t>ing</w:t>
      </w:r>
      <w:r>
        <w:t xml:space="preserve"> </w:t>
      </w:r>
      <w:r w:rsidR="000406B5">
        <w:t>17,500</w:t>
      </w:r>
      <w:r>
        <w:t xml:space="preserve"> to the NSUBS portion and 1</w:t>
      </w:r>
      <w:r w:rsidR="000406B5">
        <w:t>0</w:t>
      </w:r>
      <w:r>
        <w:t>,</w:t>
      </w:r>
      <w:r w:rsidR="000406B5">
        <w:t>5</w:t>
      </w:r>
      <w:r>
        <w:t xml:space="preserve">00 to the non-NSUBS portion, </w:t>
      </w:r>
      <w:r w:rsidRPr="00062118">
        <w:t>then with the overall participation rate of 5 percent</w:t>
      </w:r>
      <w:r w:rsidR="00062118">
        <w:t xml:space="preserve"> (i.e., 1,400 completes / 32,000 total contacts)</w:t>
      </w:r>
      <w:r>
        <w:t xml:space="preserve">, we will get </w:t>
      </w:r>
      <w:r w:rsidR="0010231A">
        <w:t xml:space="preserve">a </w:t>
      </w:r>
      <w:r>
        <w:t xml:space="preserve">sample size </w:t>
      </w:r>
      <w:r w:rsidR="0010231A">
        <w:t>of</w:t>
      </w:r>
      <w:r w:rsidR="00755B76">
        <w:t xml:space="preserve"> </w:t>
      </w:r>
      <w:r w:rsidR="000406B5">
        <w:t>875</w:t>
      </w:r>
      <w:r w:rsidR="0062101F">
        <w:t xml:space="preserve"> respondents</w:t>
      </w:r>
      <w:r w:rsidR="007435B7">
        <w:t xml:space="preserve"> from the NSUBS PSUs</w:t>
      </w:r>
      <w:r w:rsidR="00423DD3">
        <w:t xml:space="preserve">, which renders </w:t>
      </w:r>
      <w:r w:rsidR="000406B5">
        <w:t>5</w:t>
      </w:r>
      <w:r w:rsidR="00423DD3">
        <w:t>.</w:t>
      </w:r>
      <w:r w:rsidR="000406B5">
        <w:t>0</w:t>
      </w:r>
      <w:r w:rsidR="00423DD3">
        <w:t xml:space="preserve"> percent margin of error</w:t>
      </w:r>
      <w:r>
        <w:t xml:space="preserve"> for the linked analysis</w:t>
      </w:r>
      <w:r w:rsidR="002C2B6E">
        <w:t xml:space="preserve"> with a DEFF of 2.2</w:t>
      </w:r>
      <w:r>
        <w:t xml:space="preserve">. </w:t>
      </w:r>
      <w:r w:rsidR="002C2B6E">
        <w:t>T</w:t>
      </w:r>
      <w:r>
        <w:t xml:space="preserve">he overall margin of error for the entire sample </w:t>
      </w:r>
      <w:r w:rsidR="002C2B6E">
        <w:t xml:space="preserve">with the total respondent sample size of 1,400 </w:t>
      </w:r>
      <w:r>
        <w:t xml:space="preserve">is expected to be </w:t>
      </w:r>
      <w:r w:rsidR="002C2B6E">
        <w:t xml:space="preserve">slightly less than </w:t>
      </w:r>
      <w:r w:rsidR="000406B5">
        <w:t>4</w:t>
      </w:r>
      <w:r w:rsidR="00423DD3">
        <w:t>.</w:t>
      </w:r>
      <w:r w:rsidR="000406B5">
        <w:t>0</w:t>
      </w:r>
      <w:r>
        <w:t xml:space="preserve"> percent</w:t>
      </w:r>
      <w:r w:rsidR="002C2B6E">
        <w:t xml:space="preserve"> because the DEFF will slightly increase due to unequal allocation.</w:t>
      </w:r>
    </w:p>
    <w:p w:rsidR="00717879" w:rsidRPr="00F70874" w:rsidRDefault="00717879" w:rsidP="00755B76">
      <w:pPr>
        <w:widowControl w:val="0"/>
        <w:autoSpaceDE w:val="0"/>
        <w:autoSpaceDN w:val="0"/>
        <w:adjustRightInd w:val="0"/>
        <w:jc w:val="right"/>
      </w:pPr>
    </w:p>
    <w:p w:rsidR="002B722F" w:rsidRDefault="00717879" w:rsidP="00717879">
      <w:pPr>
        <w:numPr>
          <w:ilvl w:val="0"/>
          <w:numId w:val="16"/>
        </w:numPr>
        <w:spacing w:after="120"/>
        <w:jc w:val="both"/>
        <w:rPr>
          <w:i/>
        </w:rPr>
      </w:pPr>
      <w:r w:rsidRPr="006128BF">
        <w:rPr>
          <w:i/>
        </w:rPr>
        <w:t>Sample Weighting</w:t>
      </w:r>
      <w:r w:rsidR="00412D6A">
        <w:rPr>
          <w:i/>
        </w:rPr>
        <w:t xml:space="preserve">              </w:t>
      </w:r>
    </w:p>
    <w:p w:rsidR="00717879" w:rsidRPr="00FB5B84" w:rsidRDefault="00412D6A" w:rsidP="00FB5B84">
      <w:pPr>
        <w:widowControl w:val="0"/>
        <w:autoSpaceDE w:val="0"/>
        <w:autoSpaceDN w:val="0"/>
        <w:adjustRightInd w:val="0"/>
      </w:pPr>
      <w:r w:rsidRPr="00FB5B84">
        <w:t xml:space="preserve">                                                                                                                                                                                                                                                                                                                                                                                                                                                                                                                                                                                                                                                                                                                                                                                                                                                                                                                                                                                                                                                                                                                                                                                                                                                                                                                                                                                                                                                                                                                                                                                                                                                                                                                                                                                                                                                                                                                                                                                                                                                                                                                                                                                                                                                                                                                                                                                                                                                                                                                                                                                                                                                                                                                                                                                                    </w:t>
      </w:r>
    </w:p>
    <w:p w:rsidR="004F30A3" w:rsidRDefault="004E2FA5" w:rsidP="00FB5B84">
      <w:pPr>
        <w:autoSpaceDE w:val="0"/>
        <w:autoSpaceDN w:val="0"/>
        <w:ind w:firstLine="720"/>
        <w:rPr>
          <w:color w:val="000000"/>
        </w:rPr>
      </w:pPr>
      <w:r>
        <w:rPr>
          <w:color w:val="000000"/>
        </w:rPr>
        <w:t>Based upon the probability of selection determined in Section B.1.b, w</w:t>
      </w:r>
      <w:r w:rsidR="0080496B">
        <w:rPr>
          <w:color w:val="000000"/>
        </w:rPr>
        <w:t xml:space="preserve">e expect the household sample will be nearly self-weighting (i.e., equal weights). </w:t>
      </w:r>
      <w:r w:rsidR="000F6389">
        <w:rPr>
          <w:color w:val="000000"/>
        </w:rPr>
        <w:t>Nevertheless</w:t>
      </w:r>
      <w:r w:rsidR="0080496B">
        <w:rPr>
          <w:color w:val="000000"/>
        </w:rPr>
        <w:t xml:space="preserve">, the </w:t>
      </w:r>
      <w:r w:rsidR="0080496B" w:rsidRPr="004E2FA5">
        <w:rPr>
          <w:color w:val="000000"/>
        </w:rPr>
        <w:t xml:space="preserve">base weight will be calculated by taking the inverse of the overall selection probability of the sampled household. </w:t>
      </w:r>
      <w:r w:rsidR="00811B7C" w:rsidRPr="004E2FA5">
        <w:rPr>
          <w:color w:val="000000"/>
        </w:rPr>
        <w:t>The base weight is then adjusted for screener nonresponse, and</w:t>
      </w:r>
      <w:r w:rsidR="00811B7C">
        <w:rPr>
          <w:color w:val="000000"/>
        </w:rPr>
        <w:t xml:space="preserve"> the adjusted weight will be further adjusted for survey nonresponse</w:t>
      </w:r>
      <w:r w:rsidR="004F30A3">
        <w:rPr>
          <w:color w:val="000000"/>
        </w:rPr>
        <w:t xml:space="preserve"> if needed</w:t>
      </w:r>
      <w:r w:rsidR="00811B7C">
        <w:rPr>
          <w:color w:val="000000"/>
        </w:rPr>
        <w:t xml:space="preserve">. </w:t>
      </w:r>
    </w:p>
    <w:p w:rsidR="004F30A3" w:rsidRDefault="004F30A3" w:rsidP="00FB5B84">
      <w:pPr>
        <w:autoSpaceDE w:val="0"/>
        <w:autoSpaceDN w:val="0"/>
        <w:ind w:firstLine="720"/>
        <w:rPr>
          <w:color w:val="000000"/>
        </w:rPr>
      </w:pPr>
    </w:p>
    <w:p w:rsidR="00A16EA0" w:rsidRPr="00705C55" w:rsidRDefault="004F30A3" w:rsidP="00705C55">
      <w:pPr>
        <w:autoSpaceDE w:val="0"/>
        <w:autoSpaceDN w:val="0"/>
        <w:ind w:firstLine="720"/>
        <w:rPr>
          <w:rFonts w:ascii="Calibri" w:hAnsi="Calibri"/>
          <w:sz w:val="22"/>
          <w:szCs w:val="22"/>
        </w:rPr>
      </w:pPr>
      <w:r>
        <w:rPr>
          <w:color w:val="000000"/>
        </w:rPr>
        <w:t>In the case of a non-response bias, w</w:t>
      </w:r>
      <w:r w:rsidR="00811B7C">
        <w:rPr>
          <w:color w:val="000000"/>
        </w:rPr>
        <w:t>e will use a</w:t>
      </w:r>
      <w:r w:rsidR="003F07A9">
        <w:rPr>
          <w:color w:val="000000"/>
        </w:rPr>
        <w:t>s</w:t>
      </w:r>
      <w:r w:rsidR="00811B7C">
        <w:rPr>
          <w:color w:val="000000"/>
        </w:rPr>
        <w:t xml:space="preserve"> </w:t>
      </w:r>
      <w:r w:rsidR="003F07A9">
        <w:rPr>
          <w:color w:val="000000"/>
        </w:rPr>
        <w:t>many</w:t>
      </w:r>
      <w:r w:rsidR="00811B7C">
        <w:rPr>
          <w:color w:val="000000"/>
        </w:rPr>
        <w:t xml:space="preserve"> auxiliary variables </w:t>
      </w:r>
      <w:r w:rsidR="003F07A9">
        <w:rPr>
          <w:color w:val="000000"/>
        </w:rPr>
        <w:t xml:space="preserve">as possible </w:t>
      </w:r>
      <w:r w:rsidR="00811B7C">
        <w:rPr>
          <w:color w:val="000000"/>
        </w:rPr>
        <w:t xml:space="preserve">to predict the response probabilities at the screener and at the survey separately. The propensity score method is commonly used </w:t>
      </w:r>
      <w:r w:rsidR="00A16EA0">
        <w:rPr>
          <w:color w:val="000000"/>
        </w:rPr>
        <w:t>for this, and we will use</w:t>
      </w:r>
      <w:r w:rsidR="003858D9">
        <w:rPr>
          <w:color w:val="000000"/>
        </w:rPr>
        <w:t xml:space="preserve"> it</w:t>
      </w:r>
      <w:r w:rsidR="00A16EA0">
        <w:rPr>
          <w:color w:val="000000"/>
        </w:rPr>
        <w:t xml:space="preserve"> for AACPSIR.</w:t>
      </w:r>
      <w:r w:rsidR="007F333F">
        <w:rPr>
          <w:color w:val="000000"/>
        </w:rPr>
        <w:t xml:space="preserve"> </w:t>
      </w:r>
      <w:r w:rsidR="00705C55">
        <w:rPr>
          <w:color w:val="000000"/>
        </w:rPr>
        <w:t xml:space="preserve"> </w:t>
      </w:r>
      <w:r w:rsidR="00A16EA0">
        <w:rPr>
          <w:color w:val="000000"/>
        </w:rPr>
        <w:t xml:space="preserve">The logistic regression with the response status (at </w:t>
      </w:r>
      <w:r w:rsidR="003858D9">
        <w:rPr>
          <w:color w:val="000000"/>
        </w:rPr>
        <w:t xml:space="preserve">the </w:t>
      </w:r>
      <w:r w:rsidR="00A16EA0">
        <w:rPr>
          <w:color w:val="000000"/>
        </w:rPr>
        <w:t xml:space="preserve">screener or survey) as the dependent variable will be run to obtain the predicted response probability (propensity). To avoid excessive variance inflation by directly using the predicted propensity for nonresponse weight adjustment, we will form weighting classes based on the predicted propensity and perform nonresponse weight adjustment by class. </w:t>
      </w:r>
    </w:p>
    <w:p w:rsidR="00A16EA0" w:rsidRDefault="00A16EA0" w:rsidP="00AF7D28">
      <w:pPr>
        <w:autoSpaceDE w:val="0"/>
        <w:autoSpaceDN w:val="0"/>
        <w:adjustRightInd w:val="0"/>
        <w:ind w:firstLine="720"/>
        <w:jc w:val="both"/>
        <w:rPr>
          <w:color w:val="000000"/>
        </w:rPr>
      </w:pPr>
    </w:p>
    <w:p w:rsidR="00A16EA0" w:rsidRDefault="006F6A24" w:rsidP="00AF7D28">
      <w:pPr>
        <w:autoSpaceDE w:val="0"/>
        <w:autoSpaceDN w:val="0"/>
        <w:adjustRightInd w:val="0"/>
        <w:ind w:firstLine="720"/>
        <w:jc w:val="both"/>
        <w:rPr>
          <w:color w:val="000000"/>
        </w:rPr>
      </w:pPr>
      <w:r>
        <w:rPr>
          <w:color w:val="000000"/>
        </w:rPr>
        <w:t xml:space="preserve">The final step of the weighting process will be to apply calibration </w:t>
      </w:r>
      <w:r w:rsidR="000F6389">
        <w:rPr>
          <w:color w:val="000000"/>
        </w:rPr>
        <w:t xml:space="preserve">weighting </w:t>
      </w:r>
      <w:r>
        <w:rPr>
          <w:color w:val="000000"/>
        </w:rPr>
        <w:t xml:space="preserve">(benchmarking) to the nonresponse adjusted weight using </w:t>
      </w:r>
      <w:r w:rsidR="003858D9">
        <w:rPr>
          <w:color w:val="000000"/>
        </w:rPr>
        <w:t xml:space="preserve">the </w:t>
      </w:r>
      <w:r>
        <w:rPr>
          <w:color w:val="000000"/>
        </w:rPr>
        <w:t xml:space="preserve">ACS population data as control totals. We will use the raking procedure for calibration using demographic variables of eligible children (e.g., age group, gender, and race/ethnicity) and geographic </w:t>
      </w:r>
      <w:r>
        <w:rPr>
          <w:color w:val="000000"/>
        </w:rPr>
        <w:lastRenderedPageBreak/>
        <w:t>variable (Census region) to define raking dimensions.</w:t>
      </w:r>
      <w:r w:rsidR="007B67DF">
        <w:rPr>
          <w:color w:val="000000"/>
        </w:rPr>
        <w:t xml:space="preserve"> By including HI and AK in the con</w:t>
      </w:r>
      <w:r w:rsidR="0001458B">
        <w:rPr>
          <w:color w:val="000000"/>
        </w:rPr>
        <w:t>trol totals, we will address this</w:t>
      </w:r>
      <w:r w:rsidR="007B67DF">
        <w:rPr>
          <w:color w:val="000000"/>
        </w:rPr>
        <w:t xml:space="preserve"> under</w:t>
      </w:r>
      <w:r w:rsidR="0001458B">
        <w:rPr>
          <w:color w:val="000000"/>
        </w:rPr>
        <w:t>-</w:t>
      </w:r>
      <w:r w:rsidR="007B67DF">
        <w:rPr>
          <w:color w:val="000000"/>
        </w:rPr>
        <w:t>coverage issue through calibration weighting.</w:t>
      </w:r>
    </w:p>
    <w:p w:rsidR="0080496B" w:rsidRDefault="0080496B" w:rsidP="00AF7D28">
      <w:pPr>
        <w:autoSpaceDE w:val="0"/>
        <w:autoSpaceDN w:val="0"/>
        <w:adjustRightInd w:val="0"/>
        <w:ind w:firstLine="720"/>
        <w:jc w:val="both"/>
        <w:rPr>
          <w:color w:val="000000"/>
        </w:rPr>
      </w:pPr>
    </w:p>
    <w:p w:rsidR="00717879" w:rsidRPr="00CF25E2" w:rsidRDefault="00CF25E2" w:rsidP="005F3F21">
      <w:pPr>
        <w:widowControl w:val="0"/>
        <w:autoSpaceDE w:val="0"/>
        <w:autoSpaceDN w:val="0"/>
        <w:adjustRightInd w:val="0"/>
        <w:ind w:left="360"/>
        <w:rPr>
          <w:i/>
        </w:rPr>
      </w:pPr>
      <w:r w:rsidRPr="002938EE">
        <w:rPr>
          <w:i/>
        </w:rPr>
        <w:t>d.</w:t>
      </w:r>
      <w:r w:rsidRPr="002938EE">
        <w:rPr>
          <w:i/>
        </w:rPr>
        <w:tab/>
        <w:t>Non-response bias analysis</w:t>
      </w:r>
    </w:p>
    <w:p w:rsidR="00717879" w:rsidRDefault="00717879">
      <w:pPr>
        <w:widowControl w:val="0"/>
        <w:autoSpaceDE w:val="0"/>
        <w:autoSpaceDN w:val="0"/>
        <w:adjustRightInd w:val="0"/>
      </w:pPr>
    </w:p>
    <w:p w:rsidR="009840C0" w:rsidRPr="002938EE" w:rsidRDefault="00705C55" w:rsidP="0001458B">
      <w:pPr>
        <w:spacing w:line="240" w:lineRule="atLeast"/>
        <w:ind w:firstLine="720"/>
        <w:jc w:val="both"/>
        <w:rPr>
          <w:szCs w:val="20"/>
        </w:rPr>
      </w:pPr>
      <w:r>
        <w:rPr>
          <w:szCs w:val="20"/>
        </w:rPr>
        <w:t xml:space="preserve">If </w:t>
      </w:r>
      <w:r w:rsidR="009840C0">
        <w:rPr>
          <w:szCs w:val="20"/>
        </w:rPr>
        <w:t>a non-response bias analysis</w:t>
      </w:r>
      <w:r>
        <w:rPr>
          <w:szCs w:val="20"/>
        </w:rPr>
        <w:t xml:space="preserve"> is needed</w:t>
      </w:r>
      <w:r w:rsidR="009840C0">
        <w:rPr>
          <w:szCs w:val="20"/>
        </w:rPr>
        <w:t xml:space="preserve">, auxiliary variables </w:t>
      </w:r>
      <w:r w:rsidR="000F77E4">
        <w:rPr>
          <w:szCs w:val="20"/>
        </w:rPr>
        <w:t xml:space="preserve">from several different sources </w:t>
      </w:r>
      <w:r w:rsidR="00C928EE">
        <w:rPr>
          <w:szCs w:val="20"/>
        </w:rPr>
        <w:t>will</w:t>
      </w:r>
      <w:r w:rsidR="009840C0">
        <w:rPr>
          <w:szCs w:val="20"/>
        </w:rPr>
        <w:t xml:space="preserve"> be used to determine </w:t>
      </w:r>
      <w:r w:rsidR="007F0DBE">
        <w:rPr>
          <w:szCs w:val="20"/>
        </w:rPr>
        <w:t xml:space="preserve">if there are </w:t>
      </w:r>
      <w:r w:rsidR="009840C0">
        <w:rPr>
          <w:szCs w:val="20"/>
        </w:rPr>
        <w:t>differences between respondents and non-respondents</w:t>
      </w:r>
      <w:r>
        <w:rPr>
          <w:szCs w:val="20"/>
        </w:rPr>
        <w:t xml:space="preserve">. </w:t>
      </w:r>
      <w:r w:rsidR="007F0DBE">
        <w:rPr>
          <w:szCs w:val="20"/>
        </w:rPr>
        <w:t>This w</w:t>
      </w:r>
      <w:r w:rsidR="00C928EE">
        <w:rPr>
          <w:szCs w:val="20"/>
        </w:rPr>
        <w:t>ill</w:t>
      </w:r>
      <w:r w:rsidR="007F0DBE">
        <w:rPr>
          <w:szCs w:val="20"/>
        </w:rPr>
        <w:t xml:space="preserve"> be conducted at two levels </w:t>
      </w:r>
      <w:r>
        <w:rPr>
          <w:szCs w:val="20"/>
        </w:rPr>
        <w:t xml:space="preserve">of non-response: </w:t>
      </w:r>
      <w:r w:rsidR="007F0DBE">
        <w:rPr>
          <w:szCs w:val="20"/>
        </w:rPr>
        <w:t>screener</w:t>
      </w:r>
      <w:r w:rsidR="009840C0">
        <w:rPr>
          <w:szCs w:val="20"/>
        </w:rPr>
        <w:t xml:space="preserve"> </w:t>
      </w:r>
      <w:r w:rsidR="000F77E4">
        <w:rPr>
          <w:szCs w:val="20"/>
        </w:rPr>
        <w:t xml:space="preserve">non-response </w:t>
      </w:r>
      <w:r w:rsidR="009840C0">
        <w:rPr>
          <w:szCs w:val="20"/>
        </w:rPr>
        <w:t>and</w:t>
      </w:r>
      <w:r>
        <w:rPr>
          <w:szCs w:val="20"/>
        </w:rPr>
        <w:t xml:space="preserve"> extended survey non-response. </w:t>
      </w:r>
      <w:r w:rsidR="009840C0" w:rsidRPr="002938EE">
        <w:rPr>
          <w:szCs w:val="20"/>
        </w:rPr>
        <w:t xml:space="preserve">Eligible households will be identified through screening, and an extended interview will be conducted </w:t>
      </w:r>
      <w:r w:rsidR="009840C0">
        <w:rPr>
          <w:szCs w:val="20"/>
        </w:rPr>
        <w:t>with</w:t>
      </w:r>
      <w:r w:rsidR="009840C0" w:rsidRPr="002938EE">
        <w:rPr>
          <w:szCs w:val="20"/>
        </w:rPr>
        <w:t xml:space="preserve"> those who are identified as eligible by the screener. Therefore, </w:t>
      </w:r>
      <w:r w:rsidR="000F77E4">
        <w:rPr>
          <w:szCs w:val="20"/>
        </w:rPr>
        <w:t>there is potential for non-response at both the screener and extended survey phases</w:t>
      </w:r>
      <w:r w:rsidR="009840C0" w:rsidRPr="002938EE">
        <w:rPr>
          <w:szCs w:val="20"/>
        </w:rPr>
        <w:t xml:space="preserve">. </w:t>
      </w:r>
    </w:p>
    <w:p w:rsidR="009840C0" w:rsidRDefault="002753D6" w:rsidP="0001458B">
      <w:pPr>
        <w:spacing w:line="240" w:lineRule="atLeast"/>
        <w:ind w:firstLine="720"/>
        <w:jc w:val="both"/>
        <w:rPr>
          <w:szCs w:val="20"/>
        </w:rPr>
      </w:pPr>
      <w:r>
        <w:rPr>
          <w:szCs w:val="20"/>
        </w:rPr>
        <w:tab/>
      </w:r>
    </w:p>
    <w:p w:rsidR="007F0DBE" w:rsidRDefault="007F0DBE" w:rsidP="0001458B">
      <w:pPr>
        <w:spacing w:line="240" w:lineRule="atLeast"/>
        <w:ind w:firstLine="720"/>
        <w:jc w:val="both"/>
        <w:rPr>
          <w:szCs w:val="20"/>
        </w:rPr>
      </w:pPr>
      <w:r>
        <w:rPr>
          <w:szCs w:val="20"/>
        </w:rPr>
        <w:t xml:space="preserve">The screener and extended survey non-response bias analyses will use almost all of the same auxiliary </w:t>
      </w:r>
      <w:r w:rsidR="0065301E">
        <w:rPr>
          <w:szCs w:val="20"/>
        </w:rPr>
        <w:t xml:space="preserve">data sources </w:t>
      </w:r>
      <w:r w:rsidR="00705C55">
        <w:rPr>
          <w:szCs w:val="20"/>
        </w:rPr>
        <w:t xml:space="preserve">with one exception. </w:t>
      </w:r>
      <w:r w:rsidR="002111BB">
        <w:rPr>
          <w:szCs w:val="20"/>
        </w:rPr>
        <w:t xml:space="preserve">Both will use </w:t>
      </w:r>
      <w:r w:rsidR="00011E89">
        <w:rPr>
          <w:szCs w:val="20"/>
        </w:rPr>
        <w:t xml:space="preserve">individual household </w:t>
      </w:r>
      <w:r w:rsidR="002111BB">
        <w:rPr>
          <w:szCs w:val="20"/>
        </w:rPr>
        <w:t xml:space="preserve">data, </w:t>
      </w:r>
      <w:r w:rsidR="00011E89">
        <w:rPr>
          <w:szCs w:val="20"/>
        </w:rPr>
        <w:t>National Survey of the Use of Booster Seats (</w:t>
      </w:r>
      <w:r w:rsidR="002111BB">
        <w:rPr>
          <w:szCs w:val="20"/>
        </w:rPr>
        <w:t>NSUBS</w:t>
      </w:r>
      <w:r w:rsidR="00011E89">
        <w:rPr>
          <w:szCs w:val="20"/>
        </w:rPr>
        <w:t>)</w:t>
      </w:r>
      <w:r w:rsidR="002111BB">
        <w:rPr>
          <w:szCs w:val="20"/>
        </w:rPr>
        <w:t xml:space="preserve"> </w:t>
      </w:r>
      <w:r w:rsidR="00011E89">
        <w:rPr>
          <w:szCs w:val="20"/>
        </w:rPr>
        <w:t>primary sampling unit (</w:t>
      </w:r>
      <w:r w:rsidR="002111BB">
        <w:rPr>
          <w:szCs w:val="20"/>
        </w:rPr>
        <w:t>PSU</w:t>
      </w:r>
      <w:r w:rsidR="00011E89">
        <w:rPr>
          <w:szCs w:val="20"/>
        </w:rPr>
        <w:t>)</w:t>
      </w:r>
      <w:r w:rsidR="002111BB">
        <w:rPr>
          <w:szCs w:val="20"/>
        </w:rPr>
        <w:t xml:space="preserve"> data, and data from the American Community Survey (ACS) and/or the Current Population Survey (CPS).  The </w:t>
      </w:r>
      <w:r w:rsidR="007764E0">
        <w:rPr>
          <w:szCs w:val="20"/>
        </w:rPr>
        <w:t xml:space="preserve">only difference is that the </w:t>
      </w:r>
      <w:r w:rsidR="002111BB">
        <w:rPr>
          <w:szCs w:val="20"/>
        </w:rPr>
        <w:t>extended survey non-response analysis will also use data collected through the screener to compare extended interview respondents and non-respondents.</w:t>
      </w:r>
      <w:r w:rsidR="00705C55">
        <w:rPr>
          <w:szCs w:val="20"/>
        </w:rPr>
        <w:t xml:space="preserve"> </w:t>
      </w:r>
      <w:r w:rsidR="002111BB">
        <w:rPr>
          <w:szCs w:val="20"/>
        </w:rPr>
        <w:t>The individual household level data will include t</w:t>
      </w:r>
      <w:r w:rsidR="002111BB" w:rsidRPr="002938EE">
        <w:rPr>
          <w:szCs w:val="20"/>
        </w:rPr>
        <w:t>he distance between the nearest inspection station and the household</w:t>
      </w:r>
      <w:r w:rsidR="002111BB">
        <w:rPr>
          <w:szCs w:val="20"/>
        </w:rPr>
        <w:t>, which would be a g</w:t>
      </w:r>
      <w:r w:rsidR="002111BB" w:rsidRPr="002938EE">
        <w:rPr>
          <w:szCs w:val="20"/>
        </w:rPr>
        <w:t xml:space="preserve">ood auxiliary variable because it will be correlated with survey variables. </w:t>
      </w:r>
      <w:r w:rsidR="002111BB">
        <w:rPr>
          <w:szCs w:val="20"/>
        </w:rPr>
        <w:t>In addition, individual household level data will include urban</w:t>
      </w:r>
      <w:r w:rsidR="00C928EE">
        <w:rPr>
          <w:szCs w:val="20"/>
        </w:rPr>
        <w:t>/rural</w:t>
      </w:r>
      <w:r w:rsidR="002111BB">
        <w:rPr>
          <w:szCs w:val="20"/>
        </w:rPr>
        <w:t xml:space="preserve"> status of</w:t>
      </w:r>
      <w:r w:rsidR="002111BB" w:rsidRPr="002938EE">
        <w:rPr>
          <w:szCs w:val="20"/>
        </w:rPr>
        <w:t xml:space="preserve"> each household in the screener sample. </w:t>
      </w:r>
    </w:p>
    <w:p w:rsidR="00011E89" w:rsidRDefault="00011E89" w:rsidP="0001458B">
      <w:pPr>
        <w:spacing w:line="240" w:lineRule="atLeast"/>
        <w:ind w:firstLine="720"/>
        <w:jc w:val="both"/>
        <w:rPr>
          <w:szCs w:val="20"/>
        </w:rPr>
      </w:pPr>
      <w:r>
        <w:rPr>
          <w:szCs w:val="20"/>
        </w:rPr>
        <w:tab/>
      </w:r>
    </w:p>
    <w:p w:rsidR="002938EE" w:rsidRPr="002938EE" w:rsidRDefault="002938EE" w:rsidP="0001458B">
      <w:pPr>
        <w:spacing w:line="240" w:lineRule="atLeast"/>
        <w:ind w:firstLine="720"/>
        <w:jc w:val="both"/>
        <w:rPr>
          <w:szCs w:val="20"/>
        </w:rPr>
      </w:pPr>
      <w:r w:rsidRPr="002938EE">
        <w:rPr>
          <w:szCs w:val="20"/>
        </w:rPr>
        <w:t>NSUBS data are available only for the 30 NSUBS PSUs that will be part of the AACPSIR PSU sample. Nevertheless, the NSUBS data are expected to be good auxiliary data sources because the data are expected to be correlated with the response behavior of sampled households and AACPSIR survey variables. The result of a non</w:t>
      </w:r>
      <w:r w:rsidR="003F6C1C">
        <w:rPr>
          <w:szCs w:val="20"/>
        </w:rPr>
        <w:t>-</w:t>
      </w:r>
      <w:r w:rsidRPr="002938EE">
        <w:rPr>
          <w:szCs w:val="20"/>
        </w:rPr>
        <w:t xml:space="preserve">response bias analysis using the NSUBS data could be extended to the entire population because the NSUBS portion of the AACPSIR sample is a random subsample of the entire AACPSIR sample. </w:t>
      </w:r>
      <w:r w:rsidR="006B671E">
        <w:rPr>
          <w:szCs w:val="20"/>
        </w:rPr>
        <w:t>The ACS and/or CPS data sources would be used as needed.  While these data sources have some overlap in available types of data, a combination w</w:t>
      </w:r>
      <w:r w:rsidR="0057647A">
        <w:rPr>
          <w:szCs w:val="20"/>
        </w:rPr>
        <w:t>ould</w:t>
      </w:r>
      <w:r w:rsidR="006B671E">
        <w:rPr>
          <w:szCs w:val="20"/>
        </w:rPr>
        <w:t xml:space="preserve"> likely be used because the ACS provides a greater variety of variables with smaller coverage and the CPS brings greater reach with fewer variables.  </w:t>
      </w:r>
    </w:p>
    <w:p w:rsidR="00507028" w:rsidRDefault="00507028" w:rsidP="0001458B">
      <w:pPr>
        <w:spacing w:line="240" w:lineRule="atLeast"/>
        <w:ind w:firstLine="720"/>
        <w:jc w:val="both"/>
        <w:rPr>
          <w:szCs w:val="20"/>
        </w:rPr>
      </w:pPr>
    </w:p>
    <w:p w:rsidR="002938EE" w:rsidRPr="002938EE" w:rsidRDefault="002938EE" w:rsidP="0001458B">
      <w:pPr>
        <w:spacing w:line="240" w:lineRule="atLeast"/>
        <w:ind w:firstLine="720"/>
        <w:jc w:val="both"/>
        <w:rPr>
          <w:szCs w:val="20"/>
        </w:rPr>
      </w:pPr>
      <w:r w:rsidRPr="002938EE">
        <w:rPr>
          <w:szCs w:val="20"/>
        </w:rPr>
        <w:t>If the respondents and non</w:t>
      </w:r>
      <w:r w:rsidR="003F6C1C">
        <w:rPr>
          <w:szCs w:val="20"/>
        </w:rPr>
        <w:t>-</w:t>
      </w:r>
      <w:r w:rsidRPr="002938EE">
        <w:rPr>
          <w:szCs w:val="20"/>
        </w:rPr>
        <w:t>respondents are similar with respect to th</w:t>
      </w:r>
      <w:r w:rsidR="00011E89">
        <w:rPr>
          <w:szCs w:val="20"/>
        </w:rPr>
        <w:t>e</w:t>
      </w:r>
      <w:r w:rsidRPr="002938EE">
        <w:rPr>
          <w:szCs w:val="20"/>
        </w:rPr>
        <w:t xml:space="preserve"> auxiliary variables, the nonresponse bias may not be serious. Significant differences </w:t>
      </w:r>
      <w:r w:rsidR="00705C55">
        <w:rPr>
          <w:szCs w:val="20"/>
        </w:rPr>
        <w:t xml:space="preserve">would </w:t>
      </w:r>
      <w:r w:rsidRPr="002938EE">
        <w:rPr>
          <w:szCs w:val="20"/>
        </w:rPr>
        <w:t>indicate potential non</w:t>
      </w:r>
      <w:r w:rsidR="003F6C1C">
        <w:rPr>
          <w:szCs w:val="20"/>
        </w:rPr>
        <w:t>-</w:t>
      </w:r>
      <w:r w:rsidRPr="002938EE">
        <w:rPr>
          <w:szCs w:val="20"/>
        </w:rPr>
        <w:t>response bias</w:t>
      </w:r>
      <w:r w:rsidR="00705C55">
        <w:rPr>
          <w:szCs w:val="20"/>
        </w:rPr>
        <w:t>,</w:t>
      </w:r>
      <w:r w:rsidRPr="002938EE">
        <w:rPr>
          <w:szCs w:val="20"/>
        </w:rPr>
        <w:t xml:space="preserve"> but potential bias can be removed through non</w:t>
      </w:r>
      <w:r w:rsidR="003F6C1C">
        <w:rPr>
          <w:szCs w:val="20"/>
        </w:rPr>
        <w:t>-</w:t>
      </w:r>
      <w:r w:rsidR="00705C55">
        <w:rPr>
          <w:szCs w:val="20"/>
        </w:rPr>
        <w:t>response weight adjustment</w:t>
      </w:r>
      <w:r w:rsidRPr="002938EE">
        <w:rPr>
          <w:szCs w:val="20"/>
        </w:rPr>
        <w:t>. It is highly likely, however, that a large percentage of ineligible households will not respond to the screener. If we do not obtain an adequate amount of information about in</w:t>
      </w:r>
      <w:r w:rsidR="00705C55">
        <w:rPr>
          <w:szCs w:val="20"/>
        </w:rPr>
        <w:t xml:space="preserve">eligible households due to </w:t>
      </w:r>
      <w:r w:rsidRPr="002938EE">
        <w:rPr>
          <w:szCs w:val="20"/>
        </w:rPr>
        <w:t>poor participation of ineligible households, then the screener non</w:t>
      </w:r>
      <w:r w:rsidR="003F6C1C">
        <w:rPr>
          <w:szCs w:val="20"/>
        </w:rPr>
        <w:t>-</w:t>
      </w:r>
      <w:r w:rsidRPr="002938EE">
        <w:rPr>
          <w:szCs w:val="20"/>
        </w:rPr>
        <w:t>response weight adjustment may not be able to remove all the potential bias caused by screener non</w:t>
      </w:r>
      <w:r w:rsidR="003F6C1C">
        <w:rPr>
          <w:szCs w:val="20"/>
        </w:rPr>
        <w:t>-</w:t>
      </w:r>
      <w:r w:rsidRPr="002938EE">
        <w:rPr>
          <w:szCs w:val="20"/>
        </w:rPr>
        <w:t xml:space="preserve">responses. </w:t>
      </w:r>
    </w:p>
    <w:p w:rsidR="002938EE" w:rsidRPr="002938EE" w:rsidRDefault="002938EE" w:rsidP="0001458B">
      <w:pPr>
        <w:spacing w:line="240" w:lineRule="atLeast"/>
        <w:ind w:firstLine="720"/>
        <w:jc w:val="both"/>
        <w:rPr>
          <w:szCs w:val="20"/>
        </w:rPr>
      </w:pPr>
    </w:p>
    <w:p w:rsidR="002938EE" w:rsidRPr="002938EE" w:rsidRDefault="002938EE" w:rsidP="0001458B">
      <w:pPr>
        <w:spacing w:line="240" w:lineRule="atLeast"/>
        <w:ind w:firstLine="720"/>
        <w:jc w:val="both"/>
        <w:rPr>
          <w:szCs w:val="20"/>
        </w:rPr>
      </w:pPr>
      <w:r w:rsidRPr="002938EE">
        <w:rPr>
          <w:szCs w:val="20"/>
        </w:rPr>
        <w:lastRenderedPageBreak/>
        <w:t>We do not expect a similar problem for non</w:t>
      </w:r>
      <w:r w:rsidR="003F6C1C">
        <w:rPr>
          <w:szCs w:val="20"/>
        </w:rPr>
        <w:t>-</w:t>
      </w:r>
      <w:r w:rsidRPr="002938EE">
        <w:rPr>
          <w:szCs w:val="20"/>
        </w:rPr>
        <w:t>response weight adjustment for the extended interview respondents among the screener respondents because there is no issue of ascertaining the eligibility and the extended interview non</w:t>
      </w:r>
      <w:r w:rsidR="003F6C1C">
        <w:rPr>
          <w:szCs w:val="20"/>
        </w:rPr>
        <w:t>-</w:t>
      </w:r>
      <w:r w:rsidRPr="002938EE">
        <w:rPr>
          <w:szCs w:val="20"/>
        </w:rPr>
        <w:t>response rate will be much lower than the screener non</w:t>
      </w:r>
      <w:r w:rsidR="003F6C1C">
        <w:rPr>
          <w:szCs w:val="20"/>
        </w:rPr>
        <w:t>-</w:t>
      </w:r>
      <w:r w:rsidRPr="002938EE">
        <w:rPr>
          <w:szCs w:val="20"/>
        </w:rPr>
        <w:t>response rate. In addition, we will have more auxiliary information for non</w:t>
      </w:r>
      <w:r w:rsidR="003F6C1C">
        <w:rPr>
          <w:szCs w:val="20"/>
        </w:rPr>
        <w:t>-</w:t>
      </w:r>
      <w:r w:rsidRPr="002938EE">
        <w:rPr>
          <w:szCs w:val="20"/>
        </w:rPr>
        <w:t>response weight adjustment. This does not mean that the final estimates will be unbiased unless the screener non</w:t>
      </w:r>
      <w:r w:rsidR="003F6C1C">
        <w:rPr>
          <w:szCs w:val="20"/>
        </w:rPr>
        <w:t>-</w:t>
      </w:r>
      <w:r w:rsidRPr="002938EE">
        <w:rPr>
          <w:szCs w:val="20"/>
        </w:rPr>
        <w:t>response bias is first effectively removed.</w:t>
      </w:r>
    </w:p>
    <w:p w:rsidR="002938EE" w:rsidRPr="002938EE" w:rsidRDefault="002938EE" w:rsidP="002938EE">
      <w:pPr>
        <w:tabs>
          <w:tab w:val="left" w:pos="1152"/>
        </w:tabs>
        <w:spacing w:line="240" w:lineRule="atLeast"/>
        <w:jc w:val="both"/>
        <w:rPr>
          <w:szCs w:val="20"/>
        </w:rPr>
      </w:pPr>
    </w:p>
    <w:p w:rsidR="007A668A" w:rsidRPr="00321FF4" w:rsidRDefault="007A668A" w:rsidP="007A668A">
      <w:pPr>
        <w:keepNext/>
        <w:tabs>
          <w:tab w:val="left" w:pos="1440"/>
        </w:tabs>
        <w:spacing w:line="240" w:lineRule="atLeast"/>
        <w:ind w:left="1440" w:hanging="1440"/>
        <w:rPr>
          <w:b/>
        </w:rPr>
      </w:pPr>
      <w:r w:rsidRPr="002938EE">
        <w:rPr>
          <w:b/>
        </w:rPr>
        <w:t xml:space="preserve">Table </w:t>
      </w:r>
      <w:r>
        <w:rPr>
          <w:b/>
        </w:rPr>
        <w:t>4</w:t>
      </w:r>
      <w:r w:rsidRPr="002938EE">
        <w:rPr>
          <w:b/>
        </w:rPr>
        <w:t>.</w:t>
      </w:r>
      <w:r w:rsidRPr="002938EE">
        <w:rPr>
          <w:b/>
        </w:rPr>
        <w:tab/>
        <w:t>Auxiliary variables and their data sources for nonresponse bias analysis</w:t>
      </w:r>
    </w:p>
    <w:tbl>
      <w:tblPr>
        <w:tblStyle w:val="TableWestatStandardFormat1"/>
        <w:tblW w:w="7398" w:type="dxa"/>
        <w:jc w:val="center"/>
        <w:tblLayout w:type="fixed"/>
        <w:tblLook w:val="04A0" w:firstRow="1" w:lastRow="0" w:firstColumn="1" w:lastColumn="0" w:noHBand="0" w:noVBand="1"/>
      </w:tblPr>
      <w:tblGrid>
        <w:gridCol w:w="1638"/>
        <w:gridCol w:w="5760"/>
      </w:tblGrid>
      <w:tr w:rsidR="007A668A" w:rsidRPr="002938EE" w:rsidTr="0001458B">
        <w:trPr>
          <w:cnfStyle w:val="100000000000" w:firstRow="1" w:lastRow="0" w:firstColumn="0" w:lastColumn="0" w:oddVBand="0" w:evenVBand="0" w:oddHBand="0" w:evenHBand="0" w:firstRowFirstColumn="0" w:firstRowLastColumn="0" w:lastRowFirstColumn="0" w:lastRowLastColumn="0"/>
          <w:tblHeader/>
          <w:jc w:val="center"/>
        </w:trPr>
        <w:tc>
          <w:tcPr>
            <w:tcW w:w="1638" w:type="dxa"/>
            <w:vAlign w:val="center"/>
            <w:hideMark/>
          </w:tcPr>
          <w:p w:rsidR="007A668A" w:rsidRPr="002938EE" w:rsidRDefault="007A668A" w:rsidP="007D7641">
            <w:pPr>
              <w:spacing w:line="240" w:lineRule="atLeast"/>
              <w:rPr>
                <w:rFonts w:ascii="Times New Roman" w:hAnsi="Times New Roman"/>
                <w:b/>
                <w:bCs/>
                <w:color w:val="000000"/>
              </w:rPr>
            </w:pPr>
            <w:r w:rsidRPr="002938EE">
              <w:rPr>
                <w:rFonts w:ascii="Times New Roman" w:hAnsi="Times New Roman"/>
                <w:b/>
                <w:bCs/>
                <w:color w:val="000000"/>
              </w:rPr>
              <w:t>Data Source</w:t>
            </w:r>
          </w:p>
        </w:tc>
        <w:tc>
          <w:tcPr>
            <w:tcW w:w="5760" w:type="dxa"/>
            <w:vAlign w:val="center"/>
            <w:hideMark/>
          </w:tcPr>
          <w:p w:rsidR="007A668A" w:rsidRPr="002938EE" w:rsidRDefault="007A668A" w:rsidP="0001458B">
            <w:pPr>
              <w:spacing w:line="240" w:lineRule="atLeast"/>
              <w:rPr>
                <w:rFonts w:ascii="Times New Roman" w:hAnsi="Times New Roman"/>
                <w:b/>
                <w:bCs/>
                <w:color w:val="000000"/>
              </w:rPr>
            </w:pPr>
            <w:r w:rsidRPr="002938EE">
              <w:rPr>
                <w:rFonts w:ascii="Times New Roman" w:hAnsi="Times New Roman"/>
                <w:b/>
                <w:bCs/>
                <w:color w:val="000000"/>
              </w:rPr>
              <w:t>Auxiliary Variables</w:t>
            </w:r>
          </w:p>
        </w:tc>
      </w:tr>
      <w:tr w:rsidR="007A668A" w:rsidRPr="002938EE" w:rsidTr="0001458B">
        <w:trPr>
          <w:jc w:val="center"/>
        </w:trPr>
        <w:tc>
          <w:tcPr>
            <w:tcW w:w="1638" w:type="dxa"/>
            <w:tcBorders>
              <w:top w:val="single" w:sz="4" w:space="0" w:color="auto"/>
              <w:bottom w:val="dotted" w:sz="4" w:space="0" w:color="auto"/>
            </w:tcBorders>
            <w:vAlign w:val="center"/>
          </w:tcPr>
          <w:p w:rsidR="007A668A" w:rsidRPr="002938EE" w:rsidRDefault="0001458B" w:rsidP="007D7641">
            <w:pPr>
              <w:spacing w:line="240" w:lineRule="atLeast"/>
              <w:jc w:val="center"/>
              <w:rPr>
                <w:rFonts w:ascii="Times New Roman" w:hAnsi="Times New Roman"/>
                <w:color w:val="000000"/>
              </w:rPr>
            </w:pPr>
            <w:r>
              <w:rPr>
                <w:rFonts w:ascii="Times New Roman" w:hAnsi="Times New Roman"/>
                <w:color w:val="000000"/>
              </w:rPr>
              <w:t>NHTSA</w:t>
            </w:r>
          </w:p>
        </w:tc>
        <w:tc>
          <w:tcPr>
            <w:tcW w:w="5760" w:type="dxa"/>
            <w:tcBorders>
              <w:top w:val="single" w:sz="4" w:space="0" w:color="auto"/>
              <w:bottom w:val="dotted" w:sz="4" w:space="0" w:color="auto"/>
            </w:tcBorders>
            <w:vAlign w:val="center"/>
          </w:tcPr>
          <w:p w:rsidR="0001458B"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Distance between the nearest inspection station </w:t>
            </w:r>
          </w:p>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and household</w:t>
            </w:r>
          </w:p>
        </w:tc>
      </w:tr>
      <w:tr w:rsidR="007A668A" w:rsidRPr="002938EE" w:rsidTr="0001458B">
        <w:trPr>
          <w:jc w:val="center"/>
        </w:trPr>
        <w:tc>
          <w:tcPr>
            <w:tcW w:w="1638"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GPS</w:t>
            </w:r>
          </w:p>
        </w:tc>
        <w:tc>
          <w:tcPr>
            <w:tcW w:w="5760"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Urban/rural status</w:t>
            </w:r>
          </w:p>
        </w:tc>
      </w:tr>
      <w:tr w:rsidR="007A668A" w:rsidRPr="002938EE" w:rsidTr="0001458B">
        <w:trPr>
          <w:jc w:val="center"/>
        </w:trPr>
        <w:tc>
          <w:tcPr>
            <w:tcW w:w="1638"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NSUBS</w:t>
            </w:r>
          </w:p>
        </w:tc>
        <w:tc>
          <w:tcPr>
            <w:tcW w:w="5760" w:type="dxa"/>
            <w:tcBorders>
              <w:top w:val="dotted" w:sz="4" w:space="0" w:color="auto"/>
              <w:bottom w:val="dotted" w:sz="4" w:space="0" w:color="auto"/>
            </w:tcBorders>
            <w:vAlign w:val="center"/>
          </w:tcPr>
          <w:p w:rsidR="0001458B"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Driver characteristics: belt use rate, </w:t>
            </w:r>
          </w:p>
          <w:p w:rsidR="0001458B"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percent </w:t>
            </w:r>
            <w:r w:rsidR="00705C55">
              <w:rPr>
                <w:rFonts w:ascii="Times New Roman" w:hAnsi="Times New Roman"/>
                <w:color w:val="000000"/>
              </w:rPr>
              <w:t xml:space="preserve">within </w:t>
            </w:r>
            <w:r w:rsidRPr="002938EE">
              <w:rPr>
                <w:rFonts w:ascii="Times New Roman" w:hAnsi="Times New Roman"/>
                <w:color w:val="000000"/>
              </w:rPr>
              <w:t xml:space="preserve">age categories, percent female, </w:t>
            </w:r>
          </w:p>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percent </w:t>
            </w:r>
            <w:r w:rsidR="00705C55">
              <w:rPr>
                <w:rFonts w:ascii="Times New Roman" w:hAnsi="Times New Roman"/>
                <w:color w:val="000000"/>
              </w:rPr>
              <w:t xml:space="preserve">within </w:t>
            </w:r>
            <w:r w:rsidRPr="002938EE">
              <w:rPr>
                <w:rFonts w:ascii="Times New Roman" w:hAnsi="Times New Roman"/>
                <w:color w:val="000000"/>
              </w:rPr>
              <w:t>race/ethnicity categories</w:t>
            </w:r>
          </w:p>
        </w:tc>
      </w:tr>
      <w:tr w:rsidR="007A668A" w:rsidRPr="002938EE" w:rsidTr="0001458B">
        <w:trPr>
          <w:jc w:val="center"/>
        </w:trPr>
        <w:tc>
          <w:tcPr>
            <w:tcW w:w="1638"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NSUBS</w:t>
            </w:r>
          </w:p>
        </w:tc>
        <w:tc>
          <w:tcPr>
            <w:tcW w:w="5760" w:type="dxa"/>
            <w:tcBorders>
              <w:top w:val="dotted" w:sz="4" w:space="0" w:color="auto"/>
              <w:bottom w:val="dotted" w:sz="4" w:space="0" w:color="auto"/>
            </w:tcBorders>
            <w:vAlign w:val="center"/>
          </w:tcPr>
          <w:p w:rsidR="0001458B"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Child characteristics: belt use rate, </w:t>
            </w:r>
          </w:p>
          <w:p w:rsidR="0001458B"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percent </w:t>
            </w:r>
            <w:r w:rsidR="00705C55">
              <w:rPr>
                <w:rFonts w:ascii="Times New Roman" w:hAnsi="Times New Roman"/>
                <w:color w:val="000000"/>
              </w:rPr>
              <w:t xml:space="preserve">within </w:t>
            </w:r>
            <w:r w:rsidRPr="002938EE">
              <w:rPr>
                <w:rFonts w:ascii="Times New Roman" w:hAnsi="Times New Roman"/>
                <w:color w:val="000000"/>
              </w:rPr>
              <w:t xml:space="preserve">age categories, percent female, </w:t>
            </w:r>
          </w:p>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 xml:space="preserve">percent </w:t>
            </w:r>
            <w:r w:rsidR="00705C55">
              <w:rPr>
                <w:rFonts w:ascii="Times New Roman" w:hAnsi="Times New Roman"/>
                <w:color w:val="000000"/>
              </w:rPr>
              <w:t xml:space="preserve">within </w:t>
            </w:r>
            <w:r w:rsidRPr="002938EE">
              <w:rPr>
                <w:rFonts w:ascii="Times New Roman" w:hAnsi="Times New Roman"/>
                <w:color w:val="000000"/>
              </w:rPr>
              <w:t>race/ethnicity categories</w:t>
            </w:r>
          </w:p>
        </w:tc>
      </w:tr>
      <w:tr w:rsidR="007A668A" w:rsidRPr="002938EE" w:rsidTr="0001458B">
        <w:trPr>
          <w:jc w:val="center"/>
        </w:trPr>
        <w:tc>
          <w:tcPr>
            <w:tcW w:w="1638"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ACS</w:t>
            </w:r>
          </w:p>
        </w:tc>
        <w:tc>
          <w:tcPr>
            <w:tcW w:w="5760" w:type="dxa"/>
            <w:tcBorders>
              <w:top w:val="dotted" w:sz="4" w:space="0" w:color="auto"/>
              <w:bottom w:val="dotted" w:sz="4" w:space="0" w:color="auto"/>
            </w:tcBorders>
            <w:vAlign w:val="center"/>
          </w:tcPr>
          <w:p w:rsidR="007A668A" w:rsidRPr="002938EE" w:rsidRDefault="007A668A" w:rsidP="007D7641">
            <w:pPr>
              <w:spacing w:line="240" w:lineRule="atLeast"/>
              <w:jc w:val="center"/>
              <w:rPr>
                <w:rFonts w:ascii="Times New Roman" w:hAnsi="Times New Roman"/>
                <w:color w:val="000000"/>
              </w:rPr>
            </w:pPr>
            <w:r w:rsidRPr="002938EE">
              <w:rPr>
                <w:rFonts w:ascii="Times New Roman" w:hAnsi="Times New Roman"/>
                <w:color w:val="000000"/>
              </w:rPr>
              <w:t>Median income, percent annual income categories, median years of education, percent college graduates, median rent, percent renters, median home value, percent white, percent black, percent Asian, percent Hispanic</w:t>
            </w:r>
          </w:p>
        </w:tc>
      </w:tr>
      <w:tr w:rsidR="007A668A" w:rsidRPr="002938EE" w:rsidTr="0001458B">
        <w:trPr>
          <w:jc w:val="center"/>
        </w:trPr>
        <w:tc>
          <w:tcPr>
            <w:tcW w:w="1638" w:type="dxa"/>
            <w:tcBorders>
              <w:top w:val="dotted" w:sz="4" w:space="0" w:color="auto"/>
              <w:bottom w:val="single" w:sz="4" w:space="0" w:color="auto"/>
            </w:tcBorders>
            <w:vAlign w:val="center"/>
          </w:tcPr>
          <w:p w:rsidR="007A668A" w:rsidRPr="002938EE" w:rsidRDefault="007A668A" w:rsidP="007D7641">
            <w:pPr>
              <w:spacing w:line="240" w:lineRule="atLeast"/>
              <w:jc w:val="center"/>
              <w:rPr>
                <w:color w:val="000000"/>
              </w:rPr>
            </w:pPr>
            <w:r w:rsidRPr="007A668A">
              <w:rPr>
                <w:rFonts w:ascii="Times New Roman" w:hAnsi="Times New Roman"/>
                <w:color w:val="000000"/>
              </w:rPr>
              <w:t>CPS</w:t>
            </w:r>
          </w:p>
        </w:tc>
        <w:tc>
          <w:tcPr>
            <w:tcW w:w="5760" w:type="dxa"/>
            <w:tcBorders>
              <w:top w:val="dotted" w:sz="4" w:space="0" w:color="auto"/>
              <w:bottom w:val="single" w:sz="4" w:space="0" w:color="auto"/>
            </w:tcBorders>
            <w:vAlign w:val="center"/>
          </w:tcPr>
          <w:p w:rsidR="0001458B" w:rsidRDefault="009936E9" w:rsidP="009936E9">
            <w:pPr>
              <w:spacing w:line="240" w:lineRule="atLeast"/>
              <w:jc w:val="center"/>
              <w:rPr>
                <w:rFonts w:ascii="Times New Roman" w:hAnsi="Times New Roman"/>
                <w:color w:val="000000"/>
              </w:rPr>
            </w:pPr>
            <w:r w:rsidRPr="009936E9">
              <w:rPr>
                <w:rFonts w:ascii="Times New Roman" w:hAnsi="Times New Roman"/>
                <w:color w:val="000000"/>
              </w:rPr>
              <w:t xml:space="preserve">Age, race, ethnicity, education attainment, </w:t>
            </w:r>
          </w:p>
          <w:p w:rsidR="007A668A" w:rsidRPr="002938EE" w:rsidRDefault="0001458B" w:rsidP="009936E9">
            <w:pPr>
              <w:spacing w:line="240" w:lineRule="atLeast"/>
              <w:jc w:val="center"/>
              <w:rPr>
                <w:color w:val="000000"/>
              </w:rPr>
            </w:pPr>
            <w:r>
              <w:rPr>
                <w:rFonts w:ascii="Times New Roman" w:hAnsi="Times New Roman"/>
                <w:color w:val="000000"/>
              </w:rPr>
              <w:t>family</w:t>
            </w:r>
            <w:r w:rsidR="009936E9" w:rsidRPr="009936E9">
              <w:rPr>
                <w:rFonts w:ascii="Times New Roman" w:hAnsi="Times New Roman"/>
                <w:color w:val="000000"/>
              </w:rPr>
              <w:t xml:space="preserve"> and marital status</w:t>
            </w:r>
          </w:p>
        </w:tc>
      </w:tr>
    </w:tbl>
    <w:p w:rsidR="007A668A" w:rsidRDefault="007A668A" w:rsidP="007A668A">
      <w:pPr>
        <w:autoSpaceDE w:val="0"/>
        <w:autoSpaceDN w:val="0"/>
        <w:adjustRightInd w:val="0"/>
      </w:pPr>
      <w:r>
        <w:tab/>
      </w:r>
      <w:r>
        <w:tab/>
      </w:r>
    </w:p>
    <w:p w:rsidR="00CF7340" w:rsidRDefault="00CF7340">
      <w:pPr>
        <w:widowControl w:val="0"/>
        <w:autoSpaceDE w:val="0"/>
        <w:autoSpaceDN w:val="0"/>
        <w:adjustRightInd w:val="0"/>
      </w:pPr>
    </w:p>
    <w:p w:rsidR="006504B8" w:rsidRDefault="006504B8">
      <w:pPr>
        <w:widowControl w:val="0"/>
        <w:autoSpaceDE w:val="0"/>
        <w:autoSpaceDN w:val="0"/>
        <w:adjustRightInd w:val="0"/>
      </w:pPr>
      <w:r>
        <w:rPr>
          <w:b/>
          <w:bCs/>
        </w:rPr>
        <w:t>B.3</w:t>
      </w:r>
      <w:r w:rsidR="00B5224E">
        <w:rPr>
          <w:b/>
          <w:bCs/>
        </w:rPr>
        <w:t>. Describe</w:t>
      </w:r>
      <w:r>
        <w:rPr>
          <w:b/>
          <w:bCs/>
        </w:rPr>
        <w:t xml:space="preserve"> methods to maximize response rates and to deal with issues of non-response.</w:t>
      </w:r>
    </w:p>
    <w:p w:rsidR="006504B8" w:rsidRDefault="006504B8">
      <w:pPr>
        <w:widowControl w:val="0"/>
        <w:autoSpaceDE w:val="0"/>
        <w:autoSpaceDN w:val="0"/>
        <w:adjustRightInd w:val="0"/>
      </w:pPr>
    </w:p>
    <w:p w:rsidR="009B0E8E" w:rsidRDefault="00365D0B" w:rsidP="00E042AD">
      <w:pPr>
        <w:widowControl w:val="0"/>
        <w:autoSpaceDE w:val="0"/>
        <w:autoSpaceDN w:val="0"/>
        <w:adjustRightInd w:val="0"/>
        <w:jc w:val="both"/>
      </w:pPr>
      <w:r>
        <w:tab/>
        <w:t xml:space="preserve">NHTSA is taking a number of steps to boost the </w:t>
      </w:r>
      <w:r w:rsidR="005F3F21">
        <w:t>AACPSIR</w:t>
      </w:r>
      <w:r>
        <w:t xml:space="preserve"> response rate.  </w:t>
      </w:r>
      <w:r w:rsidR="00036894">
        <w:t>Foremost will be NHTSA’s use of the multi-mode approach, where different options for responding are presented to prospective respondents</w:t>
      </w:r>
      <w:r w:rsidR="005F3F21">
        <w:t xml:space="preserve"> (Web and </w:t>
      </w:r>
      <w:r w:rsidR="00A12FF4">
        <w:t>telephone)</w:t>
      </w:r>
      <w:r w:rsidR="00705C55">
        <w:t xml:space="preserve">. </w:t>
      </w:r>
      <w:r w:rsidR="00A12FF4">
        <w:t xml:space="preserve">This offers </w:t>
      </w:r>
      <w:r w:rsidR="009B0E8E">
        <w:t xml:space="preserve">greater </w:t>
      </w:r>
      <w:r w:rsidR="00A12FF4">
        <w:t>opportunity for people to use a response mode that they prefer and with which they are comfortable,</w:t>
      </w:r>
      <w:r w:rsidR="00D33156">
        <w:t xml:space="preserve"> which should enhance participation</w:t>
      </w:r>
      <w:r w:rsidR="00A12FF4">
        <w:t>.</w:t>
      </w:r>
    </w:p>
    <w:p w:rsidR="009B0E8E" w:rsidRDefault="009B0E8E" w:rsidP="00E042AD">
      <w:pPr>
        <w:widowControl w:val="0"/>
        <w:autoSpaceDE w:val="0"/>
        <w:autoSpaceDN w:val="0"/>
        <w:adjustRightInd w:val="0"/>
        <w:jc w:val="both"/>
      </w:pPr>
    </w:p>
    <w:p w:rsidR="00E042AD" w:rsidRDefault="009B0E8E" w:rsidP="00E042AD">
      <w:pPr>
        <w:widowControl w:val="0"/>
        <w:autoSpaceDE w:val="0"/>
        <w:autoSpaceDN w:val="0"/>
        <w:adjustRightInd w:val="0"/>
        <w:jc w:val="both"/>
      </w:pPr>
      <w:r>
        <w:tab/>
      </w:r>
      <w:r w:rsidR="00E042AD">
        <w:t>Branded</w:t>
      </w:r>
      <w:r w:rsidR="00E042AD" w:rsidRPr="00E042AD">
        <w:t xml:space="preserve"> materials and a survey logo that will be used on the invitation letter and the survey website to help respondents recognize the survey and attract potential participants.</w:t>
      </w:r>
      <w:r w:rsidR="0001458B">
        <w:t xml:space="preserve"> T</w:t>
      </w:r>
      <w:r w:rsidR="00E042AD">
        <w:t>he invitation to participate in the survey will include wording in Spanish for those who are entirely or predominantly Spanish speaking so that they are not excluded from the survey.  The</w:t>
      </w:r>
      <w:r w:rsidR="00E042AD" w:rsidRPr="00F172B1">
        <w:t xml:space="preserve"> project website </w:t>
      </w:r>
      <w:r w:rsidR="00E042AD">
        <w:t>will describe the study and provide</w:t>
      </w:r>
      <w:r w:rsidR="00E042AD" w:rsidRPr="00F172B1">
        <w:t xml:space="preserve"> information about the project to the public, media</w:t>
      </w:r>
      <w:r w:rsidR="00E042AD">
        <w:t>,</w:t>
      </w:r>
      <w:r w:rsidR="00E042AD" w:rsidRPr="00F172B1">
        <w:t xml:space="preserve"> and survey participants. This website will add a sense of legitimacy and authenticity to the survey through the provision of links to NHTSA</w:t>
      </w:r>
      <w:r w:rsidR="00E042AD">
        <w:t xml:space="preserve">. The public website will also provide supporting materials and serve as the access point for the self-administered </w:t>
      </w:r>
      <w:r w:rsidR="00DB6AF9">
        <w:t>Web</w:t>
      </w:r>
      <w:r w:rsidR="00E042AD">
        <w:t>-based data collection instrument.</w:t>
      </w:r>
    </w:p>
    <w:p w:rsidR="009B0E8E" w:rsidRDefault="009B0E8E" w:rsidP="00E042AD">
      <w:pPr>
        <w:widowControl w:val="0"/>
        <w:autoSpaceDE w:val="0"/>
        <w:autoSpaceDN w:val="0"/>
        <w:adjustRightInd w:val="0"/>
        <w:jc w:val="both"/>
      </w:pPr>
    </w:p>
    <w:p w:rsidR="006F0A79" w:rsidRDefault="009B0E8E" w:rsidP="00E042AD">
      <w:pPr>
        <w:widowControl w:val="0"/>
        <w:autoSpaceDE w:val="0"/>
        <w:autoSpaceDN w:val="0"/>
        <w:adjustRightInd w:val="0"/>
        <w:jc w:val="both"/>
      </w:pPr>
      <w:r>
        <w:tab/>
      </w:r>
      <w:r w:rsidR="006F0A79">
        <w:t xml:space="preserve">In adapting the questionnaires to multi-mode administration, the project team will apply principles of heuristics that people follow in interpreting visual cues in visually laying out the questions.  </w:t>
      </w:r>
      <w:r w:rsidR="00E042AD" w:rsidRPr="00E042AD">
        <w:t xml:space="preserve">At various times during materials development, the content and look </w:t>
      </w:r>
      <w:r w:rsidR="005443FA">
        <w:t>will undergo</w:t>
      </w:r>
      <w:r w:rsidR="00705C55">
        <w:t xml:space="preserve"> expert review by the contractor</w:t>
      </w:r>
      <w:r w:rsidR="00E042AD" w:rsidRPr="00E042AD">
        <w:t>’s Instrument Design, Evaluation, and Analysis (IDEA) Services, an in-house team of expert survey methodologists who provide questionnaire design and evaluation services</w:t>
      </w:r>
      <w:r w:rsidR="00DF1163">
        <w:t>. The IDEA group staff will work</w:t>
      </w:r>
      <w:r w:rsidR="00E042AD" w:rsidRPr="00E042AD">
        <w:t xml:space="preserve"> closely with the Westat subject matter experts and NHTSA to ensure that the questionnaire and respondent materials are designed as the most effective tools to address the research questions and measurement goals, to improve data quality, to reduce measurement error, and to minimize burden for respondents. </w:t>
      </w:r>
    </w:p>
    <w:p w:rsidR="002C2925" w:rsidRDefault="002C2925" w:rsidP="00E042AD">
      <w:pPr>
        <w:widowControl w:val="0"/>
        <w:autoSpaceDE w:val="0"/>
        <w:autoSpaceDN w:val="0"/>
        <w:adjustRightInd w:val="0"/>
        <w:jc w:val="both"/>
      </w:pPr>
    </w:p>
    <w:p w:rsidR="006C725E" w:rsidRDefault="002C2925" w:rsidP="005B7851">
      <w:pPr>
        <w:widowControl w:val="0"/>
        <w:autoSpaceDE w:val="0"/>
        <w:autoSpaceDN w:val="0"/>
        <w:adjustRightInd w:val="0"/>
        <w:jc w:val="both"/>
      </w:pPr>
      <w:r>
        <w:tab/>
        <w:t xml:space="preserve">The survey will </w:t>
      </w:r>
      <w:r w:rsidR="00E042AD">
        <w:t xml:space="preserve">also </w:t>
      </w:r>
      <w:r>
        <w:t>include a number of ass</w:t>
      </w:r>
      <w:r w:rsidR="00D33156">
        <w:t>istance devices fo</w:t>
      </w:r>
      <w:r w:rsidR="00705C55">
        <w:t>r respondents so that they do not</w:t>
      </w:r>
      <w:r w:rsidR="00D33156">
        <w:t xml:space="preserve"> become frustrated and terminate their participation prior to submission of a completed questionnaire.  This will include for the Web response mode providing easy navigation from page to page and furnishing the capability for respondents to pause and leave the system and then re-enter at the departure point without losing any</w:t>
      </w:r>
      <w:r w:rsidR="0067417A">
        <w:t xml:space="preserve"> previously inserted informatio</w:t>
      </w:r>
      <w:r w:rsidR="00705C55">
        <w:t xml:space="preserve">n. </w:t>
      </w:r>
      <w:r w:rsidR="0067417A">
        <w:t>For all response modes, the respondents will be provided clear methods</w:t>
      </w:r>
      <w:r w:rsidR="00705C55">
        <w:t xml:space="preserve"> by which they can contact the c</w:t>
      </w:r>
      <w:r w:rsidR="0067417A">
        <w:t>ontractor if they have questions about the survey.</w:t>
      </w:r>
      <w:r w:rsidR="00D33156">
        <w:t xml:space="preserve"> </w:t>
      </w:r>
      <w:r w:rsidR="003A7069">
        <w:t xml:space="preserve"> As described in the next section, the survey </w:t>
      </w:r>
      <w:r w:rsidR="007638F7">
        <w:t>will undergo</w:t>
      </w:r>
      <w:r w:rsidR="003A7069">
        <w:t xml:space="preserve"> cognitive and usability testing to help insure the information is presented appropriately and promotes clear understanding.</w:t>
      </w:r>
    </w:p>
    <w:p w:rsidR="003A7069" w:rsidRDefault="003A7069" w:rsidP="00E042AD">
      <w:pPr>
        <w:widowControl w:val="0"/>
        <w:autoSpaceDE w:val="0"/>
        <w:autoSpaceDN w:val="0"/>
        <w:adjustRightInd w:val="0"/>
        <w:jc w:val="both"/>
      </w:pPr>
    </w:p>
    <w:p w:rsidR="003A7069" w:rsidRDefault="003A7069" w:rsidP="00E042AD">
      <w:pPr>
        <w:widowControl w:val="0"/>
        <w:autoSpaceDE w:val="0"/>
        <w:autoSpaceDN w:val="0"/>
        <w:adjustRightInd w:val="0"/>
        <w:jc w:val="both"/>
      </w:pPr>
      <w:r>
        <w:tab/>
        <w:t>Additionally to help</w:t>
      </w:r>
      <w:r w:rsidRPr="003A7069">
        <w:t xml:space="preserve"> maximize response rates</w:t>
      </w:r>
      <w:r w:rsidR="00705C55">
        <w:t>, the c</w:t>
      </w:r>
      <w:r>
        <w:t xml:space="preserve">ontractor </w:t>
      </w:r>
      <w:r w:rsidRPr="003A7069">
        <w:t>will send out one reminder postcard to non-response households two weeks after the initial mail out of the invitation letter. The non-response households are determined based on a review of the unique household PINs that were not utilized to complete the survey. The reminder postcard will include the survey logo, survey website URL, and the unique household PIN. The postcard will remind households of the importance of their participation in the survey.</w:t>
      </w:r>
    </w:p>
    <w:p w:rsidR="004A3B3E" w:rsidRDefault="004A3B3E" w:rsidP="00E042AD">
      <w:pPr>
        <w:widowControl w:val="0"/>
        <w:autoSpaceDE w:val="0"/>
        <w:autoSpaceDN w:val="0"/>
        <w:adjustRightInd w:val="0"/>
        <w:jc w:val="both"/>
      </w:pPr>
    </w:p>
    <w:p w:rsidR="004A3B3E" w:rsidRPr="004A3B3E" w:rsidRDefault="00D779BD" w:rsidP="004A3B3E">
      <w:pPr>
        <w:pStyle w:val="Default"/>
        <w:ind w:firstLine="720"/>
        <w:jc w:val="both"/>
        <w:rPr>
          <w:rFonts w:ascii="Times New Roman" w:hAnsi="Times New Roman" w:cs="Times New Roman"/>
          <w:color w:val="auto"/>
        </w:rPr>
      </w:pPr>
      <w:r>
        <w:rPr>
          <w:rFonts w:ascii="Times New Roman" w:hAnsi="Times New Roman" w:cs="Times New Roman"/>
          <w:color w:val="auto"/>
        </w:rPr>
        <w:t>Finally, remuneration</w:t>
      </w:r>
      <w:r w:rsidR="004A3B3E">
        <w:rPr>
          <w:rFonts w:ascii="Times New Roman" w:hAnsi="Times New Roman" w:cs="Times New Roman"/>
          <w:color w:val="auto"/>
        </w:rPr>
        <w:t xml:space="preserve"> will be paid to study participants. </w:t>
      </w:r>
      <w:r w:rsidR="004A3B3E">
        <w:rPr>
          <w:rFonts w:ascii="Times New Roman" w:hAnsi="Times New Roman" w:cs="Times New Roman"/>
        </w:rPr>
        <w:t xml:space="preserve">The invitation letter to the online survey will include $1. Participants will receive an additional $5 for completing the survey. This information is presented clearly in the invitation letter and reminder postcard.  </w:t>
      </w:r>
    </w:p>
    <w:p w:rsidR="001D082E" w:rsidRDefault="001D082E">
      <w:pPr>
        <w:widowControl w:val="0"/>
        <w:autoSpaceDE w:val="0"/>
        <w:autoSpaceDN w:val="0"/>
        <w:adjustRightInd w:val="0"/>
      </w:pPr>
    </w:p>
    <w:p w:rsidR="006504B8" w:rsidRDefault="00227FD6">
      <w:pPr>
        <w:widowControl w:val="0"/>
        <w:autoSpaceDE w:val="0"/>
        <w:autoSpaceDN w:val="0"/>
        <w:adjustRightInd w:val="0"/>
      </w:pPr>
      <w:r w:rsidRPr="000A4CC8">
        <w:rPr>
          <w:b/>
          <w:bCs/>
        </w:rPr>
        <w:t xml:space="preserve">B.4. </w:t>
      </w:r>
      <w:r w:rsidR="006504B8" w:rsidRPr="000A4CC8">
        <w:rPr>
          <w:b/>
          <w:bCs/>
        </w:rPr>
        <w:t>Describe any tests of procedures or methods to be undertaken.</w:t>
      </w:r>
    </w:p>
    <w:p w:rsidR="006504B8" w:rsidRDefault="006504B8">
      <w:pPr>
        <w:widowControl w:val="0"/>
        <w:autoSpaceDE w:val="0"/>
        <w:autoSpaceDN w:val="0"/>
        <w:adjustRightInd w:val="0"/>
      </w:pPr>
    </w:p>
    <w:p w:rsidR="0001458B" w:rsidRDefault="001D082E" w:rsidP="0001458B">
      <w:pPr>
        <w:ind w:firstLine="720"/>
        <w:jc w:val="both"/>
      </w:pPr>
      <w:r w:rsidRPr="001D082E">
        <w:t xml:space="preserve">As part of the study design, the </w:t>
      </w:r>
      <w:r w:rsidR="00833FF9">
        <w:t xml:space="preserve">Contractor </w:t>
      </w:r>
      <w:r w:rsidR="0084009E">
        <w:t>conducted</w:t>
      </w:r>
      <w:r w:rsidR="00680B39">
        <w:t xml:space="preserve"> five</w:t>
      </w:r>
      <w:r w:rsidR="00833FF9">
        <w:t xml:space="preserve"> cognitive interviews </w:t>
      </w:r>
      <w:r w:rsidR="00680B39">
        <w:t xml:space="preserve">and four usability testing interviews </w:t>
      </w:r>
      <w:r w:rsidR="00833FF9">
        <w:t>to test and refine questions for the NHTSA surve</w:t>
      </w:r>
      <w:r w:rsidR="0084009E">
        <w:t>y. The cognitive testing was</w:t>
      </w:r>
      <w:r w:rsidR="00833FF9">
        <w:t xml:space="preserve"> broken into two rounds. At the start of the </w:t>
      </w:r>
      <w:r w:rsidR="00680B39">
        <w:t xml:space="preserve">cognitive </w:t>
      </w:r>
      <w:r w:rsidR="00833FF9">
        <w:t>in</w:t>
      </w:r>
      <w:r w:rsidR="00E211BC">
        <w:t>terview the participants were</w:t>
      </w:r>
      <w:r w:rsidR="00833FF9">
        <w:t xml:space="preserve"> presented with a consent form and informed of their rights as a research participant. They </w:t>
      </w:r>
      <w:r w:rsidR="00E211BC">
        <w:t>were</w:t>
      </w:r>
      <w:r w:rsidR="00833FF9">
        <w:t xml:space="preserve"> asked to complete a paper version </w:t>
      </w:r>
      <w:r w:rsidR="00841818">
        <w:t xml:space="preserve">of </w:t>
      </w:r>
      <w:r w:rsidR="00833FF9">
        <w:t>the survey. The interviewers conduct</w:t>
      </w:r>
      <w:r w:rsidR="00E211BC">
        <w:t>ed</w:t>
      </w:r>
      <w:r w:rsidR="00833FF9">
        <w:t xml:space="preserve"> the cognitive interviews using a concurrent probing technique. The interview protocol focus</w:t>
      </w:r>
      <w:r w:rsidR="00E211BC">
        <w:t>ed</w:t>
      </w:r>
      <w:r w:rsidR="00833FF9">
        <w:t xml:space="preserve"> on the questionnaire content and comprehension including item w</w:t>
      </w:r>
      <w:r w:rsidR="0001458B">
        <w:t>ording, order, and terminology.</w:t>
      </w:r>
    </w:p>
    <w:p w:rsidR="0052108E" w:rsidRDefault="0052108E" w:rsidP="0052108E">
      <w:pPr>
        <w:jc w:val="both"/>
      </w:pPr>
    </w:p>
    <w:p w:rsidR="0001458B" w:rsidRDefault="00833FF9" w:rsidP="00705C55">
      <w:pPr>
        <w:ind w:firstLine="720"/>
        <w:jc w:val="both"/>
      </w:pPr>
      <w:r>
        <w:t>The</w:t>
      </w:r>
      <w:r w:rsidR="00E211BC">
        <w:t xml:space="preserve"> </w:t>
      </w:r>
      <w:r w:rsidR="00680B39">
        <w:t>usability</w:t>
      </w:r>
      <w:r w:rsidR="00E211BC">
        <w:t xml:space="preserve"> testing was</w:t>
      </w:r>
      <w:r>
        <w:t xml:space="preserve"> conducted with four participants and occur</w:t>
      </w:r>
      <w:r w:rsidR="00E211BC">
        <w:t>red</w:t>
      </w:r>
      <w:r>
        <w:t xml:space="preserve"> after the survey </w:t>
      </w:r>
      <w:r w:rsidR="00E211BC">
        <w:t>was</w:t>
      </w:r>
      <w:r>
        <w:t xml:space="preserve"> programmed. The process of the interviews </w:t>
      </w:r>
      <w:r w:rsidR="00E211BC">
        <w:t>was</w:t>
      </w:r>
      <w:r>
        <w:t xml:space="preserve"> similar to the first round except the respondents experience</w:t>
      </w:r>
      <w:r w:rsidR="00E211BC">
        <w:t>d</w:t>
      </w:r>
      <w:r>
        <w:t xml:space="preserve"> the </w:t>
      </w:r>
      <w:r w:rsidR="00DB6AF9">
        <w:t>Web</w:t>
      </w:r>
      <w:r>
        <w:t xml:space="preserve"> platform and provide</w:t>
      </w:r>
      <w:r w:rsidR="00E211BC">
        <w:t>d</w:t>
      </w:r>
      <w:r>
        <w:t xml:space="preserve"> input on the content, navigability, and functionality of the sur</w:t>
      </w:r>
      <w:r w:rsidR="00E211BC">
        <w:t>vey. The draft protocols were</w:t>
      </w:r>
      <w:r>
        <w:t xml:space="preserve"> provided after </w:t>
      </w:r>
      <w:r w:rsidR="00705C55">
        <w:t>the NHTSA project manager</w:t>
      </w:r>
      <w:r>
        <w:t xml:space="preserve"> reviewed the survey content. </w:t>
      </w:r>
    </w:p>
    <w:p w:rsidR="0001458B" w:rsidRDefault="0001458B" w:rsidP="00705C55">
      <w:pPr>
        <w:ind w:firstLine="720"/>
        <w:jc w:val="both"/>
      </w:pPr>
    </w:p>
    <w:p w:rsidR="00833FF9" w:rsidRDefault="00833FF9" w:rsidP="00705C55">
      <w:pPr>
        <w:ind w:firstLine="720"/>
        <w:jc w:val="both"/>
      </w:pPr>
      <w:r>
        <w:t>All the interviews w</w:t>
      </w:r>
      <w:r w:rsidR="00E211BC">
        <w:t>ere</w:t>
      </w:r>
      <w:r>
        <w:t xml:space="preserve"> conducted in-person at the Westat cognitive testing laboratory facility. Each interview </w:t>
      </w:r>
      <w:r w:rsidR="00E211BC">
        <w:t>lasted</w:t>
      </w:r>
      <w:r>
        <w:t xml:space="preserve"> 60 minutes and </w:t>
      </w:r>
      <w:r w:rsidR="00E211BC">
        <w:t>was</w:t>
      </w:r>
      <w:r>
        <w:t xml:space="preserve"> audio-recorded with the permission of the participant. </w:t>
      </w:r>
      <w:r w:rsidR="0052108E">
        <w:t>The Contractor</w:t>
      </w:r>
      <w:r>
        <w:t xml:space="preserve"> recruit</w:t>
      </w:r>
      <w:r w:rsidR="00E211BC">
        <w:t>ed</w:t>
      </w:r>
      <w:r>
        <w:t xml:space="preserve"> interview participants that match the survey’s target population – caregivers (parents, grandparents, guardians, and child care providers) who transport child passengers aged 0 to 9 years in a personal vehicle on a regular basis (at least</w:t>
      </w:r>
      <w:r w:rsidR="0052108E">
        <w:t xml:space="preserve"> 4-6 times per month)</w:t>
      </w:r>
      <w:r w:rsidR="00E211BC">
        <w:t xml:space="preserve">. The participants were </w:t>
      </w:r>
      <w:r>
        <w:t xml:space="preserve">between the ages of 18 and </w:t>
      </w:r>
      <w:r w:rsidR="005B7851">
        <w:t xml:space="preserve">75 </w:t>
      </w:r>
      <w:r>
        <w:t xml:space="preserve">and selected to represent demographic characteristics of gender, race/ethnicity, and education. </w:t>
      </w:r>
      <w:r w:rsidR="00E211BC">
        <w:t>S</w:t>
      </w:r>
      <w:r>
        <w:t xml:space="preserve">ome of the cognitive interviews </w:t>
      </w:r>
      <w:r w:rsidR="00E211BC">
        <w:t xml:space="preserve">were conducted </w:t>
      </w:r>
      <w:r>
        <w:t xml:space="preserve">with caregivers </w:t>
      </w:r>
      <w:r w:rsidR="00B34F30">
        <w:t xml:space="preserve">having </w:t>
      </w:r>
      <w:r>
        <w:t>a household income of $30,000 or less.</w:t>
      </w:r>
    </w:p>
    <w:p w:rsidR="00E211BC" w:rsidRDefault="00E211BC" w:rsidP="00E211BC">
      <w:pPr>
        <w:ind w:firstLine="720"/>
        <w:jc w:val="both"/>
      </w:pPr>
    </w:p>
    <w:p w:rsidR="006504B8" w:rsidRDefault="0001458B">
      <w:pPr>
        <w:widowControl w:val="0"/>
        <w:autoSpaceDE w:val="0"/>
        <w:autoSpaceDN w:val="0"/>
        <w:adjustRightInd w:val="0"/>
      </w:pPr>
      <w:r>
        <w:rPr>
          <w:b/>
          <w:bCs/>
        </w:rPr>
        <w:t xml:space="preserve">B.5. </w:t>
      </w:r>
      <w:r w:rsidR="006504B8">
        <w:rPr>
          <w:b/>
          <w:bCs/>
        </w:rPr>
        <w:t>Provide the name and telephone number of individuals consulted on statistical aspects of the design.</w:t>
      </w:r>
    </w:p>
    <w:p w:rsidR="006504B8" w:rsidRDefault="006504B8" w:rsidP="003A7069">
      <w:pPr>
        <w:widowControl w:val="0"/>
        <w:autoSpaceDE w:val="0"/>
        <w:autoSpaceDN w:val="0"/>
        <w:adjustRightInd w:val="0"/>
        <w:jc w:val="both"/>
      </w:pPr>
    </w:p>
    <w:p w:rsidR="006504B8" w:rsidRDefault="003A7069" w:rsidP="003A7069">
      <w:pPr>
        <w:widowControl w:val="0"/>
        <w:autoSpaceDE w:val="0"/>
        <w:autoSpaceDN w:val="0"/>
        <w:adjustRightInd w:val="0"/>
        <w:jc w:val="both"/>
      </w:pPr>
      <w:r>
        <w:t>Adele Polson</w:t>
      </w:r>
      <w:r w:rsidR="0001458B">
        <w:t xml:space="preserve">, </w:t>
      </w:r>
      <w:r>
        <w:t>Senior Study Director</w:t>
      </w:r>
    </w:p>
    <w:p w:rsidR="006504B8" w:rsidRDefault="003A7069" w:rsidP="003A7069">
      <w:pPr>
        <w:widowControl w:val="0"/>
        <w:autoSpaceDE w:val="0"/>
        <w:autoSpaceDN w:val="0"/>
        <w:adjustRightInd w:val="0"/>
        <w:jc w:val="both"/>
      </w:pPr>
      <w:r>
        <w:t>Westat</w:t>
      </w:r>
    </w:p>
    <w:p w:rsidR="00BC09BA" w:rsidRDefault="003A7069" w:rsidP="003A7069">
      <w:pPr>
        <w:widowControl w:val="0"/>
        <w:autoSpaceDE w:val="0"/>
        <w:autoSpaceDN w:val="0"/>
        <w:adjustRightInd w:val="0"/>
        <w:jc w:val="both"/>
      </w:pPr>
      <w:r>
        <w:t>1600 Research Blvd.</w:t>
      </w:r>
    </w:p>
    <w:p w:rsidR="00E26446" w:rsidRDefault="003A7069" w:rsidP="003A7069">
      <w:pPr>
        <w:widowControl w:val="0"/>
        <w:autoSpaceDE w:val="0"/>
        <w:autoSpaceDN w:val="0"/>
        <w:adjustRightInd w:val="0"/>
        <w:jc w:val="both"/>
      </w:pPr>
      <w:r>
        <w:t>Rockville</w:t>
      </w:r>
      <w:r w:rsidR="00E26446" w:rsidRPr="00E26446">
        <w:t>, MD 2</w:t>
      </w:r>
      <w:r>
        <w:t>0850</w:t>
      </w:r>
    </w:p>
    <w:p w:rsidR="00E26446" w:rsidRDefault="00E26446" w:rsidP="003A7069">
      <w:pPr>
        <w:widowControl w:val="0"/>
        <w:autoSpaceDE w:val="0"/>
        <w:autoSpaceDN w:val="0"/>
        <w:adjustRightInd w:val="0"/>
        <w:jc w:val="both"/>
      </w:pPr>
      <w:r>
        <w:t xml:space="preserve">(301) </w:t>
      </w:r>
      <w:r w:rsidR="003A7069">
        <w:t>610-4898</w:t>
      </w:r>
      <w:r>
        <w:t xml:space="preserve"> </w:t>
      </w:r>
    </w:p>
    <w:p w:rsidR="00321FF4" w:rsidRDefault="00321FF4" w:rsidP="003A7069">
      <w:pPr>
        <w:widowControl w:val="0"/>
        <w:autoSpaceDE w:val="0"/>
        <w:autoSpaceDN w:val="0"/>
        <w:adjustRightInd w:val="0"/>
        <w:jc w:val="both"/>
      </w:pPr>
    </w:p>
    <w:p w:rsidR="00321FF4" w:rsidRDefault="00321FF4" w:rsidP="003A7069">
      <w:pPr>
        <w:widowControl w:val="0"/>
        <w:autoSpaceDE w:val="0"/>
        <w:autoSpaceDN w:val="0"/>
        <w:adjustRightInd w:val="0"/>
        <w:jc w:val="both"/>
      </w:pPr>
      <w:r>
        <w:t>Hyunshik Lee</w:t>
      </w:r>
      <w:r w:rsidR="0001458B">
        <w:t xml:space="preserve">, </w:t>
      </w:r>
      <w:r>
        <w:t>Senior Statistician</w:t>
      </w:r>
    </w:p>
    <w:p w:rsidR="00321FF4" w:rsidRDefault="00321FF4" w:rsidP="00321FF4">
      <w:pPr>
        <w:widowControl w:val="0"/>
        <w:autoSpaceDE w:val="0"/>
        <w:autoSpaceDN w:val="0"/>
        <w:adjustRightInd w:val="0"/>
        <w:jc w:val="both"/>
      </w:pPr>
      <w:r>
        <w:t>Westat</w:t>
      </w:r>
    </w:p>
    <w:p w:rsidR="00321FF4" w:rsidRDefault="00321FF4" w:rsidP="00321FF4">
      <w:pPr>
        <w:widowControl w:val="0"/>
        <w:autoSpaceDE w:val="0"/>
        <w:autoSpaceDN w:val="0"/>
        <w:adjustRightInd w:val="0"/>
        <w:jc w:val="both"/>
      </w:pPr>
      <w:r>
        <w:t>1600 Research Blvd.</w:t>
      </w:r>
    </w:p>
    <w:p w:rsidR="00321FF4" w:rsidRDefault="00321FF4" w:rsidP="00321FF4">
      <w:pPr>
        <w:widowControl w:val="0"/>
        <w:autoSpaceDE w:val="0"/>
        <w:autoSpaceDN w:val="0"/>
        <w:adjustRightInd w:val="0"/>
        <w:jc w:val="both"/>
      </w:pPr>
      <w:r>
        <w:t>Rockville</w:t>
      </w:r>
      <w:r w:rsidRPr="00E26446">
        <w:t>, MD 2</w:t>
      </w:r>
      <w:r>
        <w:t>0850</w:t>
      </w:r>
    </w:p>
    <w:p w:rsidR="001656B4" w:rsidRDefault="0001458B" w:rsidP="00321FF4">
      <w:pPr>
        <w:widowControl w:val="0"/>
        <w:autoSpaceDE w:val="0"/>
        <w:autoSpaceDN w:val="0"/>
        <w:adjustRightInd w:val="0"/>
        <w:jc w:val="both"/>
      </w:pPr>
      <w:r>
        <w:t>(</w:t>
      </w:r>
      <w:r w:rsidR="001656B4">
        <w:t>301</w:t>
      </w:r>
      <w:r>
        <w:t xml:space="preserve">) </w:t>
      </w:r>
      <w:r w:rsidR="001656B4">
        <w:t>610-5112</w:t>
      </w:r>
    </w:p>
    <w:p w:rsidR="00E211BC" w:rsidRDefault="00E211BC" w:rsidP="00321FF4">
      <w:pPr>
        <w:widowControl w:val="0"/>
        <w:autoSpaceDE w:val="0"/>
        <w:autoSpaceDN w:val="0"/>
        <w:adjustRightInd w:val="0"/>
        <w:jc w:val="both"/>
      </w:pPr>
    </w:p>
    <w:p w:rsidR="00E211BC" w:rsidRDefault="00E211BC" w:rsidP="00E211BC">
      <w:pPr>
        <w:widowControl w:val="0"/>
        <w:autoSpaceDE w:val="0"/>
        <w:autoSpaceDN w:val="0"/>
        <w:adjustRightInd w:val="0"/>
        <w:jc w:val="both"/>
      </w:pPr>
      <w:r>
        <w:t>Alan Block, MA</w:t>
      </w:r>
    </w:p>
    <w:p w:rsidR="00E211BC" w:rsidRDefault="00E211BC" w:rsidP="00E211BC">
      <w:pPr>
        <w:widowControl w:val="0"/>
        <w:autoSpaceDE w:val="0"/>
        <w:autoSpaceDN w:val="0"/>
        <w:adjustRightInd w:val="0"/>
        <w:jc w:val="both"/>
      </w:pPr>
      <w:r>
        <w:t>Office of Behavioral Safety Research</w:t>
      </w:r>
    </w:p>
    <w:p w:rsidR="00E211BC" w:rsidRDefault="00E211BC" w:rsidP="00E211BC">
      <w:pPr>
        <w:widowControl w:val="0"/>
        <w:autoSpaceDE w:val="0"/>
        <w:autoSpaceDN w:val="0"/>
        <w:adjustRightInd w:val="0"/>
        <w:jc w:val="both"/>
      </w:pPr>
      <w:r>
        <w:t>National Highway Traffic Safety Administration</w:t>
      </w:r>
    </w:p>
    <w:p w:rsidR="00E211BC" w:rsidRDefault="00E211BC" w:rsidP="00E211BC">
      <w:pPr>
        <w:widowControl w:val="0"/>
        <w:autoSpaceDE w:val="0"/>
        <w:autoSpaceDN w:val="0"/>
        <w:adjustRightInd w:val="0"/>
        <w:jc w:val="both"/>
      </w:pPr>
      <w:r>
        <w:t>1600 New Jersey Ave, SE</w:t>
      </w:r>
    </w:p>
    <w:p w:rsidR="00E211BC" w:rsidRDefault="00E211BC" w:rsidP="00E211BC">
      <w:pPr>
        <w:widowControl w:val="0"/>
        <w:autoSpaceDE w:val="0"/>
        <w:autoSpaceDN w:val="0"/>
        <w:adjustRightInd w:val="0"/>
        <w:jc w:val="both"/>
      </w:pPr>
      <w:r>
        <w:t>Washington, DC 20590</w:t>
      </w:r>
    </w:p>
    <w:p w:rsidR="00E211BC" w:rsidRDefault="00E211BC" w:rsidP="00E211BC">
      <w:pPr>
        <w:widowControl w:val="0"/>
        <w:autoSpaceDE w:val="0"/>
        <w:autoSpaceDN w:val="0"/>
        <w:adjustRightInd w:val="0"/>
        <w:jc w:val="both"/>
      </w:pPr>
      <w:r>
        <w:t>(202) 366-6401</w:t>
      </w:r>
    </w:p>
    <w:p w:rsidR="006B7012" w:rsidRDefault="006B7012" w:rsidP="00E211BC">
      <w:pPr>
        <w:widowControl w:val="0"/>
        <w:autoSpaceDE w:val="0"/>
        <w:autoSpaceDN w:val="0"/>
        <w:adjustRightInd w:val="0"/>
        <w:jc w:val="both"/>
      </w:pPr>
    </w:p>
    <w:p w:rsidR="006B7012" w:rsidRDefault="006B7012" w:rsidP="00E211BC">
      <w:pPr>
        <w:widowControl w:val="0"/>
        <w:autoSpaceDE w:val="0"/>
        <w:autoSpaceDN w:val="0"/>
        <w:adjustRightInd w:val="0"/>
        <w:jc w:val="both"/>
      </w:pPr>
      <w:r>
        <w:t>Mary T. Byrd, MA</w:t>
      </w:r>
    </w:p>
    <w:p w:rsidR="006B7012" w:rsidRDefault="006B7012" w:rsidP="006B7012">
      <w:pPr>
        <w:widowControl w:val="0"/>
        <w:autoSpaceDE w:val="0"/>
        <w:autoSpaceDN w:val="0"/>
        <w:adjustRightInd w:val="0"/>
        <w:jc w:val="both"/>
      </w:pPr>
      <w:r>
        <w:t>Office of Behavioral Safety Research</w:t>
      </w:r>
    </w:p>
    <w:p w:rsidR="006B7012" w:rsidRDefault="006B7012" w:rsidP="006B7012">
      <w:pPr>
        <w:widowControl w:val="0"/>
        <w:autoSpaceDE w:val="0"/>
        <w:autoSpaceDN w:val="0"/>
        <w:adjustRightInd w:val="0"/>
        <w:jc w:val="both"/>
      </w:pPr>
      <w:r>
        <w:t>National Highway Traffic Safety Administration</w:t>
      </w:r>
    </w:p>
    <w:p w:rsidR="006B7012" w:rsidRDefault="006B7012" w:rsidP="006B7012">
      <w:pPr>
        <w:widowControl w:val="0"/>
        <w:autoSpaceDE w:val="0"/>
        <w:autoSpaceDN w:val="0"/>
        <w:adjustRightInd w:val="0"/>
        <w:jc w:val="both"/>
      </w:pPr>
      <w:r>
        <w:t>1600 New Jersey Ave, SE</w:t>
      </w:r>
    </w:p>
    <w:p w:rsidR="006B7012" w:rsidRDefault="006B7012" w:rsidP="006B7012">
      <w:pPr>
        <w:widowControl w:val="0"/>
        <w:autoSpaceDE w:val="0"/>
        <w:autoSpaceDN w:val="0"/>
        <w:adjustRightInd w:val="0"/>
        <w:jc w:val="both"/>
      </w:pPr>
      <w:r>
        <w:t>Washington, DC 20590</w:t>
      </w:r>
    </w:p>
    <w:p w:rsidR="00BC09BA" w:rsidRDefault="006B7012" w:rsidP="00E26446">
      <w:pPr>
        <w:widowControl w:val="0"/>
        <w:autoSpaceDE w:val="0"/>
        <w:autoSpaceDN w:val="0"/>
        <w:adjustRightInd w:val="0"/>
        <w:jc w:val="both"/>
      </w:pPr>
      <w:r>
        <w:t>(202) 366-5595</w:t>
      </w:r>
    </w:p>
    <w:sectPr w:rsidR="00BC09BA">
      <w:footerReference w:type="even"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9F" w:rsidRDefault="0005289F">
      <w:r>
        <w:separator/>
      </w:r>
    </w:p>
  </w:endnote>
  <w:endnote w:type="continuationSeparator" w:id="0">
    <w:p w:rsidR="0005289F" w:rsidRDefault="0005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41" w:rsidRDefault="007D7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7641" w:rsidRDefault="007D7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41" w:rsidRDefault="007D7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138">
      <w:rPr>
        <w:rStyle w:val="PageNumber"/>
        <w:noProof/>
      </w:rPr>
      <w:t>1</w:t>
    </w:r>
    <w:r>
      <w:rPr>
        <w:rStyle w:val="PageNumber"/>
      </w:rPr>
      <w:fldChar w:fldCharType="end"/>
    </w:r>
  </w:p>
  <w:p w:rsidR="007D7641" w:rsidRDefault="007D7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9F" w:rsidRDefault="0005289F">
      <w:r>
        <w:separator/>
      </w:r>
    </w:p>
  </w:footnote>
  <w:footnote w:type="continuationSeparator" w:id="0">
    <w:p w:rsidR="0005289F" w:rsidRDefault="0005289F">
      <w:r>
        <w:continuationSeparator/>
      </w:r>
    </w:p>
  </w:footnote>
  <w:footnote w:id="1">
    <w:p w:rsidR="007D7641" w:rsidRDefault="007D7641" w:rsidP="00E8118E">
      <w:pPr>
        <w:rPr>
          <w:color w:val="1F497D"/>
        </w:rPr>
      </w:pPr>
      <w:r>
        <w:rPr>
          <w:rStyle w:val="FootnoteReference"/>
        </w:rPr>
        <w:footnoteRef/>
      </w:r>
      <w:r>
        <w:t xml:space="preserve"> </w:t>
      </w:r>
      <w:r w:rsidRPr="00E8118E">
        <w:rPr>
          <w:sz w:val="20"/>
          <w:szCs w:val="20"/>
        </w:rPr>
        <w:t>All states including DC have a child restraint use law; some states implement a stricter law than others. For stratification we grouped states into two groups by the 2014 state safety seat laws as follows: one group of states with a law that covers age 0 to 7 or higher and another group of states with a law with an upper age less than 7. According to this grouping there were 30 states and DC in the former group.</w:t>
      </w:r>
    </w:p>
    <w:p w:rsidR="007D7641" w:rsidRDefault="007D7641" w:rsidP="006469F3">
      <w:pPr>
        <w:pStyle w:val="FootnoteText"/>
      </w:pPr>
    </w:p>
  </w:footnote>
  <w:footnote w:id="2">
    <w:p w:rsidR="007D7641" w:rsidRDefault="007D7641">
      <w:pPr>
        <w:pStyle w:val="FootnoteText"/>
      </w:pPr>
      <w:r>
        <w:rPr>
          <w:rStyle w:val="FootnoteReference"/>
        </w:rPr>
        <w:footnoteRef/>
      </w:r>
      <w:r>
        <w:t xml:space="preserve"> </w:t>
      </w:r>
      <w:r w:rsidRPr="002D3EF3">
        <w:t>Keyfitz, N. (1951). Sampling with probabilities proportional to size: adjustment for changes in the probabilities. Journal of the American Statistical Association, 46, 105-109.</w:t>
      </w:r>
    </w:p>
  </w:footnote>
  <w:footnote w:id="3">
    <w:p w:rsidR="007D7641" w:rsidRDefault="007D7641" w:rsidP="00A657D2">
      <w:pPr>
        <w:pStyle w:val="FootnoteText"/>
      </w:pPr>
      <w:r>
        <w:rPr>
          <w:rStyle w:val="FootnoteReference"/>
        </w:rPr>
        <w:footnoteRef/>
      </w:r>
      <w:r>
        <w:t xml:space="preserve"> The Kish formula is given by </w:t>
      </w:r>
      <m:oMath>
        <m:d>
          <m:dPr>
            <m:ctrlPr>
              <w:rPr>
                <w:rFonts w:ascii="Cambria Math" w:hAnsi="Cambria Math"/>
                <w:i/>
              </w:rPr>
            </m:ctrlPr>
          </m:dPr>
          <m:e>
            <m:r>
              <w:rPr>
                <w:rFonts w:ascii="Cambria Math" w:hAnsi="Cambria Math"/>
              </w:rPr>
              <m:t>1+F</m:t>
            </m:r>
          </m:e>
        </m:d>
        <m:r>
          <w:rPr>
            <w:rFonts w:ascii="Cambria Math" w:hAnsi="Cambria Math"/>
          </w:rPr>
          <m:t>{1+</m:t>
        </m:r>
        <m:d>
          <m:dPr>
            <m:ctrlPr>
              <w:rPr>
                <w:rFonts w:ascii="Cambria Math" w:hAnsi="Cambria Math"/>
                <w:i/>
              </w:rPr>
            </m:ctrlPr>
          </m:dPr>
          <m:e>
            <m:r>
              <w:rPr>
                <w:rFonts w:ascii="Cambria Math" w:hAnsi="Cambria Math"/>
              </w:rPr>
              <m:t>C-1</m:t>
            </m:r>
          </m:e>
        </m:d>
        <m:r>
          <w:rPr>
            <w:rFonts w:ascii="Cambria Math" w:hAnsi="Cambria Math"/>
          </w:rPr>
          <m:t>ρ}</m:t>
        </m:r>
      </m:oMath>
      <w:r>
        <w:t xml:space="preserve">, where </w:t>
      </w:r>
      <m:oMath>
        <m:r>
          <w:rPr>
            <w:rFonts w:ascii="Cambria Math" w:hAnsi="Cambria Math"/>
          </w:rPr>
          <m:t>F</m:t>
        </m:r>
      </m:oMath>
      <w:r>
        <w:t xml:space="preserve"> is the squared coefficient of variation of the final weights, </w:t>
      </w:r>
      <m:oMath>
        <m:r>
          <w:rPr>
            <w:rFonts w:ascii="Cambria Math" w:hAnsi="Cambria Math"/>
          </w:rPr>
          <m:t>C (10≅625/60)</m:t>
        </m:r>
      </m:oMath>
      <w:r>
        <w:t xml:space="preserve"> is the average cluster size, and </w:t>
      </w:r>
      <m:oMath>
        <m:r>
          <w:rPr>
            <w:rFonts w:ascii="Cambria Math" w:hAnsi="Cambria Math"/>
          </w:rPr>
          <m:t>ρ (=0.05)</m:t>
        </m:r>
      </m:oMath>
      <w:r>
        <w:t xml:space="preserve"> is the intra-cluster correlation. We assume that the weighting factor (</w:t>
      </w:r>
      <m:oMath>
        <m:r>
          <w:rPr>
            <w:rFonts w:ascii="Cambria Math" w:hAnsi="Cambria Math"/>
          </w:rPr>
          <m:t>1+F</m:t>
        </m:r>
      </m:oMath>
      <w:r>
        <w:t>) is 1.5.</w:t>
      </w:r>
    </w:p>
  </w:footnote>
  <w:footnote w:id="4">
    <w:p w:rsidR="007D7641" w:rsidRPr="00D9356B" w:rsidRDefault="007D7641">
      <w:pPr>
        <w:pStyle w:val="FootnoteText"/>
      </w:pPr>
      <w:r>
        <w:rPr>
          <w:rStyle w:val="FootnoteReference"/>
        </w:rPr>
        <w:footnoteRef/>
      </w:r>
      <w:r>
        <w:t xml:space="preserve"> Roth, S.B., Han, D., and Montaquila, J.M. (2013). The ABS frame: quality and considerations. </w:t>
      </w:r>
      <w:r>
        <w:rPr>
          <w:i/>
        </w:rPr>
        <w:t>Survey Practice</w:t>
      </w:r>
      <w:r>
        <w:t>, Vol. 6, No.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080"/>
    <w:multiLevelType w:val="hybridMultilevel"/>
    <w:tmpl w:val="2250990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85E299B"/>
    <w:multiLevelType w:val="hybridMultilevel"/>
    <w:tmpl w:val="A1E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B37EC"/>
    <w:multiLevelType w:val="hybridMultilevel"/>
    <w:tmpl w:val="7FCE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D3FFD"/>
    <w:multiLevelType w:val="hybridMultilevel"/>
    <w:tmpl w:val="08842600"/>
    <w:lvl w:ilvl="0" w:tplc="5864845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B75520"/>
    <w:multiLevelType w:val="hybridMultilevel"/>
    <w:tmpl w:val="F92CC086"/>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C3DE4"/>
    <w:multiLevelType w:val="hybridMultilevel"/>
    <w:tmpl w:val="06B49D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AB25EFB"/>
    <w:multiLevelType w:val="hybridMultilevel"/>
    <w:tmpl w:val="161A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75069"/>
    <w:multiLevelType w:val="hybridMultilevel"/>
    <w:tmpl w:val="48E600B6"/>
    <w:lvl w:ilvl="0" w:tplc="1116E532">
      <w:start w:val="3"/>
      <w:numFmt w:val="lowerLetter"/>
      <w:lvlText w:val="%1."/>
      <w:lvlJc w:val="left"/>
      <w:pPr>
        <w:ind w:left="720" w:hanging="360"/>
      </w:pPr>
      <w:rPr>
        <w:rFonts w:hint="default"/>
      </w:rPr>
    </w:lvl>
    <w:lvl w:ilvl="1" w:tplc="80EEB0D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25101750"/>
    <w:multiLevelType w:val="hybridMultilevel"/>
    <w:tmpl w:val="2D7A2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7BB580E"/>
    <w:multiLevelType w:val="hybridMultilevel"/>
    <w:tmpl w:val="C71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3BAE30F7"/>
    <w:multiLevelType w:val="hybridMultilevel"/>
    <w:tmpl w:val="54FEFFBA"/>
    <w:lvl w:ilvl="0" w:tplc="739240A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4D6477"/>
    <w:multiLevelType w:val="hybridMultilevel"/>
    <w:tmpl w:val="E2A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56496C6A"/>
    <w:multiLevelType w:val="hybridMultilevel"/>
    <w:tmpl w:val="CE96F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91260"/>
    <w:multiLevelType w:val="hybridMultilevel"/>
    <w:tmpl w:val="985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62F90"/>
    <w:multiLevelType w:val="hybridMultilevel"/>
    <w:tmpl w:val="A3823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D361BE"/>
    <w:multiLevelType w:val="hybridMultilevel"/>
    <w:tmpl w:val="E9B4596E"/>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6F5273F9"/>
    <w:multiLevelType w:val="hybridMultilevel"/>
    <w:tmpl w:val="B344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C7EC1"/>
    <w:multiLevelType w:val="hybridMultilevel"/>
    <w:tmpl w:val="19124FC4"/>
    <w:lvl w:ilvl="0" w:tplc="739240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944B5D"/>
    <w:multiLevelType w:val="hybridMultilevel"/>
    <w:tmpl w:val="D03AC120"/>
    <w:lvl w:ilvl="0" w:tplc="04090001">
      <w:start w:val="1"/>
      <w:numFmt w:val="bullet"/>
      <w:lvlText w:val=""/>
      <w:lvlJc w:val="left"/>
      <w:pPr>
        <w:tabs>
          <w:tab w:val="num" w:pos="780"/>
        </w:tabs>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24">
    <w:nsid w:val="76B14823"/>
    <w:multiLevelType w:val="hybridMultilevel"/>
    <w:tmpl w:val="6F7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9B530D"/>
    <w:multiLevelType w:val="hybridMultilevel"/>
    <w:tmpl w:val="54C8138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C10D9"/>
    <w:multiLevelType w:val="hybridMultilevel"/>
    <w:tmpl w:val="096E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0"/>
  </w:num>
  <w:num w:numId="3">
    <w:abstractNumId w:val="23"/>
  </w:num>
  <w:num w:numId="4">
    <w:abstractNumId w:val="23"/>
  </w:num>
  <w:num w:numId="5">
    <w:abstractNumId w:val="0"/>
  </w:num>
  <w:num w:numId="6">
    <w:abstractNumId w:val="0"/>
  </w:num>
  <w:num w:numId="7">
    <w:abstractNumId w:val="19"/>
  </w:num>
  <w:num w:numId="8">
    <w:abstractNumId w:val="19"/>
  </w:num>
  <w:num w:numId="9">
    <w:abstractNumId w:val="14"/>
  </w:num>
  <w:num w:numId="10">
    <w:abstractNumId w:val="14"/>
  </w:num>
  <w:num w:numId="11">
    <w:abstractNumId w:val="11"/>
  </w:num>
  <w:num w:numId="12">
    <w:abstractNumId w:val="11"/>
  </w:num>
  <w:num w:numId="13">
    <w:abstractNumId w:val="8"/>
  </w:num>
  <w:num w:numId="14">
    <w:abstractNumId w:val="8"/>
  </w:num>
  <w:num w:numId="15">
    <w:abstractNumId w:val="3"/>
  </w:num>
  <w:num w:numId="16">
    <w:abstractNumId w:val="7"/>
  </w:num>
  <w:num w:numId="17">
    <w:abstractNumId w:val="16"/>
  </w:num>
  <w:num w:numId="18">
    <w:abstractNumId w:val="9"/>
  </w:num>
  <w:num w:numId="19">
    <w:abstractNumId w:val="21"/>
  </w:num>
  <w:num w:numId="20">
    <w:abstractNumId w:val="17"/>
  </w:num>
  <w:num w:numId="21">
    <w:abstractNumId w:val="10"/>
  </w:num>
  <w:num w:numId="22">
    <w:abstractNumId w:val="2"/>
  </w:num>
  <w:num w:numId="23">
    <w:abstractNumId w:val="24"/>
  </w:num>
  <w:num w:numId="24">
    <w:abstractNumId w:val="26"/>
  </w:num>
  <w:num w:numId="25">
    <w:abstractNumId w:val="15"/>
  </w:num>
  <w:num w:numId="26">
    <w:abstractNumId w:val="13"/>
  </w:num>
  <w:num w:numId="27">
    <w:abstractNumId w:val="1"/>
  </w:num>
  <w:num w:numId="28">
    <w:abstractNumId w:val="4"/>
  </w:num>
  <w:num w:numId="29">
    <w:abstractNumId w:val="25"/>
  </w:num>
  <w:num w:numId="30">
    <w:abstractNumId w:val="12"/>
  </w:num>
  <w:num w:numId="31">
    <w:abstractNumId w:val="18"/>
  </w:num>
  <w:num w:numId="32">
    <w:abstractNumId w:val="22"/>
  </w:num>
  <w:num w:numId="33">
    <w:abstractNumId w:val="6"/>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27"/>
    <w:rsid w:val="00001EB8"/>
    <w:rsid w:val="00003D4E"/>
    <w:rsid w:val="00007E48"/>
    <w:rsid w:val="00010109"/>
    <w:rsid w:val="00011C9F"/>
    <w:rsid w:val="00011E89"/>
    <w:rsid w:val="00012892"/>
    <w:rsid w:val="0001458B"/>
    <w:rsid w:val="00015595"/>
    <w:rsid w:val="0002032B"/>
    <w:rsid w:val="00023F45"/>
    <w:rsid w:val="00030FBE"/>
    <w:rsid w:val="00032439"/>
    <w:rsid w:val="00036894"/>
    <w:rsid w:val="000401C4"/>
    <w:rsid w:val="000406B5"/>
    <w:rsid w:val="0005289F"/>
    <w:rsid w:val="00053A0B"/>
    <w:rsid w:val="000551B4"/>
    <w:rsid w:val="00062118"/>
    <w:rsid w:val="000638F9"/>
    <w:rsid w:val="00064CFE"/>
    <w:rsid w:val="0007686F"/>
    <w:rsid w:val="00080D5B"/>
    <w:rsid w:val="0008151D"/>
    <w:rsid w:val="00082B13"/>
    <w:rsid w:val="00086C55"/>
    <w:rsid w:val="0009382E"/>
    <w:rsid w:val="0009589E"/>
    <w:rsid w:val="00096E22"/>
    <w:rsid w:val="00097268"/>
    <w:rsid w:val="000A4CC8"/>
    <w:rsid w:val="000B1AE8"/>
    <w:rsid w:val="000C2540"/>
    <w:rsid w:val="000E732F"/>
    <w:rsid w:val="000F2F39"/>
    <w:rsid w:val="000F6389"/>
    <w:rsid w:val="000F77E4"/>
    <w:rsid w:val="0010231A"/>
    <w:rsid w:val="0011464C"/>
    <w:rsid w:val="001334AE"/>
    <w:rsid w:val="00142036"/>
    <w:rsid w:val="001449EA"/>
    <w:rsid w:val="0015052B"/>
    <w:rsid w:val="00163F76"/>
    <w:rsid w:val="001656B4"/>
    <w:rsid w:val="001736D6"/>
    <w:rsid w:val="00191989"/>
    <w:rsid w:val="0019202C"/>
    <w:rsid w:val="001A7091"/>
    <w:rsid w:val="001B6A60"/>
    <w:rsid w:val="001D082E"/>
    <w:rsid w:val="001D65BD"/>
    <w:rsid w:val="001E2C1F"/>
    <w:rsid w:val="001E2C4D"/>
    <w:rsid w:val="001E6D9A"/>
    <w:rsid w:val="001F45FD"/>
    <w:rsid w:val="001F5A13"/>
    <w:rsid w:val="001F616F"/>
    <w:rsid w:val="002111BB"/>
    <w:rsid w:val="002155B6"/>
    <w:rsid w:val="00227FD6"/>
    <w:rsid w:val="00231584"/>
    <w:rsid w:val="00245325"/>
    <w:rsid w:val="00252656"/>
    <w:rsid w:val="00257C69"/>
    <w:rsid w:val="002753D6"/>
    <w:rsid w:val="0028112B"/>
    <w:rsid w:val="002855CE"/>
    <w:rsid w:val="002938EE"/>
    <w:rsid w:val="002B56B2"/>
    <w:rsid w:val="002B722F"/>
    <w:rsid w:val="002B7BA5"/>
    <w:rsid w:val="002C2925"/>
    <w:rsid w:val="002C2B6E"/>
    <w:rsid w:val="002F0E10"/>
    <w:rsid w:val="002F0F8A"/>
    <w:rsid w:val="002F5C85"/>
    <w:rsid w:val="002F7A9D"/>
    <w:rsid w:val="002F7CEC"/>
    <w:rsid w:val="00307CEB"/>
    <w:rsid w:val="00310103"/>
    <w:rsid w:val="00314B1F"/>
    <w:rsid w:val="00321FF4"/>
    <w:rsid w:val="00323824"/>
    <w:rsid w:val="00330DAD"/>
    <w:rsid w:val="00341138"/>
    <w:rsid w:val="0034144B"/>
    <w:rsid w:val="00342A04"/>
    <w:rsid w:val="003470CF"/>
    <w:rsid w:val="00352008"/>
    <w:rsid w:val="00355AA9"/>
    <w:rsid w:val="003634DF"/>
    <w:rsid w:val="00365D0B"/>
    <w:rsid w:val="003761E6"/>
    <w:rsid w:val="0037714F"/>
    <w:rsid w:val="003858D9"/>
    <w:rsid w:val="003A40C7"/>
    <w:rsid w:val="003A7069"/>
    <w:rsid w:val="003B06F0"/>
    <w:rsid w:val="003B1408"/>
    <w:rsid w:val="003D44A3"/>
    <w:rsid w:val="003E4802"/>
    <w:rsid w:val="003E54B8"/>
    <w:rsid w:val="003E6AE7"/>
    <w:rsid w:val="003F07A9"/>
    <w:rsid w:val="003F1B2A"/>
    <w:rsid w:val="003F6C1C"/>
    <w:rsid w:val="00403EA1"/>
    <w:rsid w:val="00404B36"/>
    <w:rsid w:val="00407278"/>
    <w:rsid w:val="00412D6A"/>
    <w:rsid w:val="00415FDF"/>
    <w:rsid w:val="004162CA"/>
    <w:rsid w:val="00417F40"/>
    <w:rsid w:val="00423DD3"/>
    <w:rsid w:val="00436EA2"/>
    <w:rsid w:val="00450098"/>
    <w:rsid w:val="0045452D"/>
    <w:rsid w:val="0046479F"/>
    <w:rsid w:val="0046531F"/>
    <w:rsid w:val="00474FB2"/>
    <w:rsid w:val="0047696C"/>
    <w:rsid w:val="00477CA6"/>
    <w:rsid w:val="004805A5"/>
    <w:rsid w:val="004823B0"/>
    <w:rsid w:val="004943DE"/>
    <w:rsid w:val="00497E16"/>
    <w:rsid w:val="004A1097"/>
    <w:rsid w:val="004A381A"/>
    <w:rsid w:val="004A3B3E"/>
    <w:rsid w:val="004B1473"/>
    <w:rsid w:val="004B7E40"/>
    <w:rsid w:val="004C072C"/>
    <w:rsid w:val="004C6510"/>
    <w:rsid w:val="004D7B15"/>
    <w:rsid w:val="004E08AF"/>
    <w:rsid w:val="004E2FA5"/>
    <w:rsid w:val="004F30A3"/>
    <w:rsid w:val="004F3D6B"/>
    <w:rsid w:val="004F4580"/>
    <w:rsid w:val="004F465F"/>
    <w:rsid w:val="004F5201"/>
    <w:rsid w:val="004F5C6F"/>
    <w:rsid w:val="004F5CD2"/>
    <w:rsid w:val="00501E26"/>
    <w:rsid w:val="00502950"/>
    <w:rsid w:val="00507028"/>
    <w:rsid w:val="00510D53"/>
    <w:rsid w:val="00511284"/>
    <w:rsid w:val="0051398C"/>
    <w:rsid w:val="00515DAA"/>
    <w:rsid w:val="0052108E"/>
    <w:rsid w:val="00521B39"/>
    <w:rsid w:val="00521C2B"/>
    <w:rsid w:val="00522205"/>
    <w:rsid w:val="005244D4"/>
    <w:rsid w:val="00524E73"/>
    <w:rsid w:val="00543E09"/>
    <w:rsid w:val="005443FA"/>
    <w:rsid w:val="00550758"/>
    <w:rsid w:val="00554D36"/>
    <w:rsid w:val="005613A4"/>
    <w:rsid w:val="0056413F"/>
    <w:rsid w:val="00564566"/>
    <w:rsid w:val="00567271"/>
    <w:rsid w:val="00570C81"/>
    <w:rsid w:val="00572D15"/>
    <w:rsid w:val="00576179"/>
    <w:rsid w:val="0057647A"/>
    <w:rsid w:val="00577F17"/>
    <w:rsid w:val="00586FD1"/>
    <w:rsid w:val="00594C31"/>
    <w:rsid w:val="005A36E2"/>
    <w:rsid w:val="005A6A51"/>
    <w:rsid w:val="005B6A92"/>
    <w:rsid w:val="005B7851"/>
    <w:rsid w:val="005D1432"/>
    <w:rsid w:val="005E0A3D"/>
    <w:rsid w:val="005E4A00"/>
    <w:rsid w:val="005E5C7E"/>
    <w:rsid w:val="005F3F21"/>
    <w:rsid w:val="006116F9"/>
    <w:rsid w:val="006128BF"/>
    <w:rsid w:val="00614E58"/>
    <w:rsid w:val="0062101F"/>
    <w:rsid w:val="00622C8D"/>
    <w:rsid w:val="006232C9"/>
    <w:rsid w:val="0062618E"/>
    <w:rsid w:val="006270B8"/>
    <w:rsid w:val="006270BB"/>
    <w:rsid w:val="00630771"/>
    <w:rsid w:val="00637B6A"/>
    <w:rsid w:val="006469F3"/>
    <w:rsid w:val="006504B8"/>
    <w:rsid w:val="006529D2"/>
    <w:rsid w:val="0065301E"/>
    <w:rsid w:val="00654294"/>
    <w:rsid w:val="00655047"/>
    <w:rsid w:val="006566DF"/>
    <w:rsid w:val="0066410E"/>
    <w:rsid w:val="00666D50"/>
    <w:rsid w:val="006675C5"/>
    <w:rsid w:val="0067417A"/>
    <w:rsid w:val="00674DB5"/>
    <w:rsid w:val="0067653B"/>
    <w:rsid w:val="00680B39"/>
    <w:rsid w:val="00681597"/>
    <w:rsid w:val="0068225B"/>
    <w:rsid w:val="00690E8C"/>
    <w:rsid w:val="00697A86"/>
    <w:rsid w:val="006A4267"/>
    <w:rsid w:val="006B2540"/>
    <w:rsid w:val="006B31A8"/>
    <w:rsid w:val="006B671E"/>
    <w:rsid w:val="006B7012"/>
    <w:rsid w:val="006C1200"/>
    <w:rsid w:val="006C2413"/>
    <w:rsid w:val="006C725E"/>
    <w:rsid w:val="006D1478"/>
    <w:rsid w:val="006D5B33"/>
    <w:rsid w:val="006D6640"/>
    <w:rsid w:val="006F0A79"/>
    <w:rsid w:val="006F0ADC"/>
    <w:rsid w:val="006F1409"/>
    <w:rsid w:val="006F3FA6"/>
    <w:rsid w:val="006F6A24"/>
    <w:rsid w:val="0070499E"/>
    <w:rsid w:val="00705C55"/>
    <w:rsid w:val="00710168"/>
    <w:rsid w:val="00712668"/>
    <w:rsid w:val="00717879"/>
    <w:rsid w:val="0072190B"/>
    <w:rsid w:val="00722B6E"/>
    <w:rsid w:val="00722D00"/>
    <w:rsid w:val="00723BA0"/>
    <w:rsid w:val="00731FBA"/>
    <w:rsid w:val="00737963"/>
    <w:rsid w:val="007435B7"/>
    <w:rsid w:val="00745801"/>
    <w:rsid w:val="00755B76"/>
    <w:rsid w:val="007638F7"/>
    <w:rsid w:val="00766CB2"/>
    <w:rsid w:val="00770088"/>
    <w:rsid w:val="007700F4"/>
    <w:rsid w:val="00774841"/>
    <w:rsid w:val="007764E0"/>
    <w:rsid w:val="00785D79"/>
    <w:rsid w:val="0079205F"/>
    <w:rsid w:val="0079573C"/>
    <w:rsid w:val="00795D21"/>
    <w:rsid w:val="00796FEF"/>
    <w:rsid w:val="007A0359"/>
    <w:rsid w:val="007A3477"/>
    <w:rsid w:val="007A668A"/>
    <w:rsid w:val="007B67DF"/>
    <w:rsid w:val="007C3624"/>
    <w:rsid w:val="007D7641"/>
    <w:rsid w:val="007E2B3E"/>
    <w:rsid w:val="007E5097"/>
    <w:rsid w:val="007E5A96"/>
    <w:rsid w:val="007F0DBE"/>
    <w:rsid w:val="007F333F"/>
    <w:rsid w:val="0080496B"/>
    <w:rsid w:val="00806D72"/>
    <w:rsid w:val="00811B7C"/>
    <w:rsid w:val="00817454"/>
    <w:rsid w:val="00822C0D"/>
    <w:rsid w:val="00827243"/>
    <w:rsid w:val="00832927"/>
    <w:rsid w:val="008329F3"/>
    <w:rsid w:val="00833FF9"/>
    <w:rsid w:val="00834581"/>
    <w:rsid w:val="00835290"/>
    <w:rsid w:val="0084009E"/>
    <w:rsid w:val="00841818"/>
    <w:rsid w:val="00842FBA"/>
    <w:rsid w:val="00843417"/>
    <w:rsid w:val="00852616"/>
    <w:rsid w:val="00856048"/>
    <w:rsid w:val="0086102F"/>
    <w:rsid w:val="00876450"/>
    <w:rsid w:val="0088049F"/>
    <w:rsid w:val="00880AA1"/>
    <w:rsid w:val="00880B93"/>
    <w:rsid w:val="00890FD2"/>
    <w:rsid w:val="008A26C5"/>
    <w:rsid w:val="008A2ABA"/>
    <w:rsid w:val="008B686C"/>
    <w:rsid w:val="008C58A8"/>
    <w:rsid w:val="008D1C07"/>
    <w:rsid w:val="008D6210"/>
    <w:rsid w:val="008E1E0E"/>
    <w:rsid w:val="008E52ED"/>
    <w:rsid w:val="008E560B"/>
    <w:rsid w:val="008F2B85"/>
    <w:rsid w:val="009018B8"/>
    <w:rsid w:val="009050A9"/>
    <w:rsid w:val="00910AFB"/>
    <w:rsid w:val="00920D67"/>
    <w:rsid w:val="009278FC"/>
    <w:rsid w:val="009304DA"/>
    <w:rsid w:val="0093445E"/>
    <w:rsid w:val="00935164"/>
    <w:rsid w:val="009362CD"/>
    <w:rsid w:val="00937550"/>
    <w:rsid w:val="00937AB9"/>
    <w:rsid w:val="00941160"/>
    <w:rsid w:val="0094182B"/>
    <w:rsid w:val="00942EC6"/>
    <w:rsid w:val="0094598F"/>
    <w:rsid w:val="00947BBD"/>
    <w:rsid w:val="00947DDD"/>
    <w:rsid w:val="009504BF"/>
    <w:rsid w:val="00951706"/>
    <w:rsid w:val="009526A7"/>
    <w:rsid w:val="00957605"/>
    <w:rsid w:val="00960B64"/>
    <w:rsid w:val="00963041"/>
    <w:rsid w:val="00964A2F"/>
    <w:rsid w:val="00970B28"/>
    <w:rsid w:val="0097377E"/>
    <w:rsid w:val="00973794"/>
    <w:rsid w:val="009838E1"/>
    <w:rsid w:val="009840C0"/>
    <w:rsid w:val="0098476B"/>
    <w:rsid w:val="00985A77"/>
    <w:rsid w:val="009870BC"/>
    <w:rsid w:val="00990C65"/>
    <w:rsid w:val="0099258A"/>
    <w:rsid w:val="009936E9"/>
    <w:rsid w:val="009972B3"/>
    <w:rsid w:val="009A329C"/>
    <w:rsid w:val="009A49A1"/>
    <w:rsid w:val="009A6630"/>
    <w:rsid w:val="009B0E8E"/>
    <w:rsid w:val="009D268B"/>
    <w:rsid w:val="009E6DC2"/>
    <w:rsid w:val="009F2A9F"/>
    <w:rsid w:val="009F4ACB"/>
    <w:rsid w:val="00A002B9"/>
    <w:rsid w:val="00A05299"/>
    <w:rsid w:val="00A12FF4"/>
    <w:rsid w:val="00A16EA0"/>
    <w:rsid w:val="00A21CCB"/>
    <w:rsid w:val="00A23777"/>
    <w:rsid w:val="00A23D7D"/>
    <w:rsid w:val="00A32654"/>
    <w:rsid w:val="00A36C9B"/>
    <w:rsid w:val="00A4109A"/>
    <w:rsid w:val="00A47DF0"/>
    <w:rsid w:val="00A50B01"/>
    <w:rsid w:val="00A51838"/>
    <w:rsid w:val="00A53436"/>
    <w:rsid w:val="00A569E9"/>
    <w:rsid w:val="00A64341"/>
    <w:rsid w:val="00A657D2"/>
    <w:rsid w:val="00A711A1"/>
    <w:rsid w:val="00A855AD"/>
    <w:rsid w:val="00A95E68"/>
    <w:rsid w:val="00AA3896"/>
    <w:rsid w:val="00AB2A1E"/>
    <w:rsid w:val="00AC0FA4"/>
    <w:rsid w:val="00AC5F25"/>
    <w:rsid w:val="00AD35B6"/>
    <w:rsid w:val="00AD5AB6"/>
    <w:rsid w:val="00AF4762"/>
    <w:rsid w:val="00AF612F"/>
    <w:rsid w:val="00AF79DA"/>
    <w:rsid w:val="00AF7D28"/>
    <w:rsid w:val="00B0301A"/>
    <w:rsid w:val="00B16E25"/>
    <w:rsid w:val="00B22FBB"/>
    <w:rsid w:val="00B25B93"/>
    <w:rsid w:val="00B30630"/>
    <w:rsid w:val="00B31A25"/>
    <w:rsid w:val="00B3387B"/>
    <w:rsid w:val="00B34F30"/>
    <w:rsid w:val="00B375C4"/>
    <w:rsid w:val="00B40D04"/>
    <w:rsid w:val="00B45570"/>
    <w:rsid w:val="00B5224E"/>
    <w:rsid w:val="00B54303"/>
    <w:rsid w:val="00B63D40"/>
    <w:rsid w:val="00B64DC0"/>
    <w:rsid w:val="00B71136"/>
    <w:rsid w:val="00B728C2"/>
    <w:rsid w:val="00B82AA4"/>
    <w:rsid w:val="00B83F05"/>
    <w:rsid w:val="00B87730"/>
    <w:rsid w:val="00B87822"/>
    <w:rsid w:val="00BA058D"/>
    <w:rsid w:val="00BA5574"/>
    <w:rsid w:val="00BB0794"/>
    <w:rsid w:val="00BB3886"/>
    <w:rsid w:val="00BC09BA"/>
    <w:rsid w:val="00BC619A"/>
    <w:rsid w:val="00BD124A"/>
    <w:rsid w:val="00BD5339"/>
    <w:rsid w:val="00BE574F"/>
    <w:rsid w:val="00BF6C09"/>
    <w:rsid w:val="00BF7069"/>
    <w:rsid w:val="00C10AA7"/>
    <w:rsid w:val="00C14736"/>
    <w:rsid w:val="00C177B3"/>
    <w:rsid w:val="00C24F15"/>
    <w:rsid w:val="00C352B0"/>
    <w:rsid w:val="00C53B19"/>
    <w:rsid w:val="00C572DD"/>
    <w:rsid w:val="00C62878"/>
    <w:rsid w:val="00C63B88"/>
    <w:rsid w:val="00C65A54"/>
    <w:rsid w:val="00C76B21"/>
    <w:rsid w:val="00C77A52"/>
    <w:rsid w:val="00C928EE"/>
    <w:rsid w:val="00CA1196"/>
    <w:rsid w:val="00CA4231"/>
    <w:rsid w:val="00CB6BF1"/>
    <w:rsid w:val="00CC4FFA"/>
    <w:rsid w:val="00CC6129"/>
    <w:rsid w:val="00CD2A17"/>
    <w:rsid w:val="00CD4EA0"/>
    <w:rsid w:val="00CE15B0"/>
    <w:rsid w:val="00CE260F"/>
    <w:rsid w:val="00CE423D"/>
    <w:rsid w:val="00CF25E2"/>
    <w:rsid w:val="00CF674A"/>
    <w:rsid w:val="00CF7340"/>
    <w:rsid w:val="00D02177"/>
    <w:rsid w:val="00D144B2"/>
    <w:rsid w:val="00D15F3D"/>
    <w:rsid w:val="00D23AAB"/>
    <w:rsid w:val="00D24E9E"/>
    <w:rsid w:val="00D27772"/>
    <w:rsid w:val="00D33156"/>
    <w:rsid w:val="00D37E3B"/>
    <w:rsid w:val="00D4499E"/>
    <w:rsid w:val="00D47532"/>
    <w:rsid w:val="00D53870"/>
    <w:rsid w:val="00D538B6"/>
    <w:rsid w:val="00D60721"/>
    <w:rsid w:val="00D73590"/>
    <w:rsid w:val="00D779BD"/>
    <w:rsid w:val="00D8590D"/>
    <w:rsid w:val="00D87BE4"/>
    <w:rsid w:val="00D917AE"/>
    <w:rsid w:val="00D919C0"/>
    <w:rsid w:val="00D91A3B"/>
    <w:rsid w:val="00D9356B"/>
    <w:rsid w:val="00DA38DE"/>
    <w:rsid w:val="00DA7A4C"/>
    <w:rsid w:val="00DB1F7E"/>
    <w:rsid w:val="00DB54A2"/>
    <w:rsid w:val="00DB6AF9"/>
    <w:rsid w:val="00DB7210"/>
    <w:rsid w:val="00DC26D7"/>
    <w:rsid w:val="00DD70A2"/>
    <w:rsid w:val="00DD7D91"/>
    <w:rsid w:val="00DE316C"/>
    <w:rsid w:val="00DE5990"/>
    <w:rsid w:val="00DF0EEF"/>
    <w:rsid w:val="00DF1163"/>
    <w:rsid w:val="00DF4FF0"/>
    <w:rsid w:val="00DF521C"/>
    <w:rsid w:val="00E042AD"/>
    <w:rsid w:val="00E06A2E"/>
    <w:rsid w:val="00E11C17"/>
    <w:rsid w:val="00E211BC"/>
    <w:rsid w:val="00E26446"/>
    <w:rsid w:val="00E27BCF"/>
    <w:rsid w:val="00E31484"/>
    <w:rsid w:val="00E36BFA"/>
    <w:rsid w:val="00E506EC"/>
    <w:rsid w:val="00E5233E"/>
    <w:rsid w:val="00E57CA7"/>
    <w:rsid w:val="00E62B67"/>
    <w:rsid w:val="00E765F6"/>
    <w:rsid w:val="00E76B7B"/>
    <w:rsid w:val="00E8118E"/>
    <w:rsid w:val="00E859BB"/>
    <w:rsid w:val="00E86862"/>
    <w:rsid w:val="00E87F9E"/>
    <w:rsid w:val="00E90C0C"/>
    <w:rsid w:val="00E923CB"/>
    <w:rsid w:val="00EA09C7"/>
    <w:rsid w:val="00EA3092"/>
    <w:rsid w:val="00EA5FBF"/>
    <w:rsid w:val="00EA783B"/>
    <w:rsid w:val="00EB1650"/>
    <w:rsid w:val="00EB4A4A"/>
    <w:rsid w:val="00EB7C74"/>
    <w:rsid w:val="00EC07B1"/>
    <w:rsid w:val="00EC3454"/>
    <w:rsid w:val="00EC3A7F"/>
    <w:rsid w:val="00ED1126"/>
    <w:rsid w:val="00ED448C"/>
    <w:rsid w:val="00EE5485"/>
    <w:rsid w:val="00EF1DF4"/>
    <w:rsid w:val="00EF5A4A"/>
    <w:rsid w:val="00EF7AAA"/>
    <w:rsid w:val="00F05C90"/>
    <w:rsid w:val="00F06F5B"/>
    <w:rsid w:val="00F139A5"/>
    <w:rsid w:val="00F3008C"/>
    <w:rsid w:val="00F34824"/>
    <w:rsid w:val="00F36AC4"/>
    <w:rsid w:val="00F40906"/>
    <w:rsid w:val="00F425DF"/>
    <w:rsid w:val="00F520AC"/>
    <w:rsid w:val="00F602A4"/>
    <w:rsid w:val="00F63ADD"/>
    <w:rsid w:val="00F91131"/>
    <w:rsid w:val="00FA3562"/>
    <w:rsid w:val="00FA4310"/>
    <w:rsid w:val="00FB5B84"/>
    <w:rsid w:val="00FC6127"/>
    <w:rsid w:val="00FC6E41"/>
    <w:rsid w:val="00FD2D9D"/>
    <w:rsid w:val="00FD465E"/>
    <w:rsid w:val="00FD4C07"/>
    <w:rsid w:val="00FD4E57"/>
    <w:rsid w:val="00FD79E6"/>
    <w:rsid w:val="00FE1776"/>
    <w:rsid w:val="00FE3AB3"/>
    <w:rsid w:val="00FE6BC3"/>
    <w:rsid w:val="00FF4C87"/>
    <w:rsid w:val="00FF4DF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rsid w:val="006504B8"/>
    <w:rPr>
      <w:sz w:val="16"/>
      <w:szCs w:val="16"/>
    </w:rPr>
  </w:style>
  <w:style w:type="paragraph" w:styleId="CommentText">
    <w:name w:val="annotation text"/>
    <w:basedOn w:val="Normal"/>
    <w:link w:val="CommentTextChar"/>
    <w:semiHidden/>
    <w:rsid w:val="006504B8"/>
    <w:rPr>
      <w:sz w:val="20"/>
      <w:szCs w:val="20"/>
    </w:rPr>
  </w:style>
  <w:style w:type="paragraph" w:styleId="CommentSubject">
    <w:name w:val="annotation subject"/>
    <w:basedOn w:val="CommentText"/>
    <w:next w:val="CommentText"/>
    <w:semiHidden/>
    <w:rsid w:val="006504B8"/>
    <w:rPr>
      <w:b/>
      <w:bCs/>
    </w:rPr>
  </w:style>
  <w:style w:type="paragraph" w:styleId="BalloonText">
    <w:name w:val="Balloon Text"/>
    <w:basedOn w:val="Normal"/>
    <w:semiHidden/>
    <w:rsid w:val="006504B8"/>
    <w:rPr>
      <w:rFonts w:ascii="Tahoma" w:hAnsi="Tahoma" w:cs="Tahoma"/>
      <w:sz w:val="16"/>
      <w:szCs w:val="16"/>
    </w:rPr>
  </w:style>
  <w:style w:type="character" w:customStyle="1" w:styleId="FootnoteTextChar">
    <w:name w:val="Footnote Text Char"/>
    <w:link w:val="FootnoteText"/>
    <w:semiHidden/>
    <w:rsid w:val="00407278"/>
  </w:style>
  <w:style w:type="character" w:styleId="Hyperlink">
    <w:name w:val="Hyperlink"/>
    <w:uiPriority w:val="99"/>
    <w:rsid w:val="00407278"/>
    <w:rPr>
      <w:color w:val="0000FF"/>
      <w:u w:val="single"/>
    </w:rPr>
  </w:style>
  <w:style w:type="character" w:styleId="FollowedHyperlink">
    <w:name w:val="FollowedHyperlink"/>
    <w:uiPriority w:val="99"/>
    <w:semiHidden/>
    <w:unhideWhenUsed/>
    <w:rsid w:val="004F3D6B"/>
    <w:rPr>
      <w:color w:val="800080"/>
      <w:u w:val="single"/>
    </w:rPr>
  </w:style>
  <w:style w:type="character" w:customStyle="1" w:styleId="FooterChar">
    <w:name w:val="Footer Char"/>
    <w:link w:val="Footer"/>
    <w:uiPriority w:val="99"/>
    <w:rsid w:val="00717879"/>
    <w:rPr>
      <w:sz w:val="24"/>
      <w:szCs w:val="24"/>
    </w:rPr>
  </w:style>
  <w:style w:type="table" w:styleId="TableGrid">
    <w:name w:val="Table Grid"/>
    <w:basedOn w:val="TableNormal"/>
    <w:uiPriority w:val="59"/>
    <w:rsid w:val="007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454"/>
    <w:pPr>
      <w:spacing w:before="120" w:after="120"/>
      <w:ind w:left="720"/>
      <w:contextualSpacing/>
    </w:pPr>
    <w:rPr>
      <w:rFonts w:ascii="Cambria" w:eastAsia="Calibri" w:hAnsi="Cambria"/>
      <w:sz w:val="22"/>
      <w:szCs w:val="22"/>
      <w:lang w:bidi="en-US"/>
    </w:rPr>
  </w:style>
  <w:style w:type="paragraph" w:customStyle="1" w:styleId="Default">
    <w:name w:val="Default"/>
    <w:link w:val="DefaultChar"/>
    <w:rsid w:val="001F616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F616F"/>
    <w:rPr>
      <w:rFonts w:ascii="Arial" w:hAnsi="Arial" w:cs="Arial"/>
      <w:color w:val="000000"/>
      <w:sz w:val="24"/>
      <w:szCs w:val="24"/>
    </w:rPr>
  </w:style>
  <w:style w:type="table" w:styleId="MediumList2-Accent1">
    <w:name w:val="Medium List 2 Accent 1"/>
    <w:basedOn w:val="TableNormal"/>
    <w:uiPriority w:val="66"/>
    <w:rsid w:val="00973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WestatStandardFormat">
    <w:name w:val="Table Westat Standard Format"/>
    <w:basedOn w:val="TableNormal"/>
    <w:rsid w:val="006469F3"/>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2938E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
    <w:name w:val="Comment Text Char"/>
    <w:basedOn w:val="DefaultParagraphFont"/>
    <w:link w:val="CommentText"/>
    <w:semiHidden/>
    <w:rsid w:val="00572D15"/>
  </w:style>
  <w:style w:type="character" w:styleId="Emphasis">
    <w:name w:val="Emphasis"/>
    <w:uiPriority w:val="20"/>
    <w:qFormat/>
    <w:rsid w:val="00910AFB"/>
    <w:rPr>
      <w:i/>
      <w:iCs/>
    </w:rPr>
  </w:style>
  <w:style w:type="character" w:styleId="PlaceholderText">
    <w:name w:val="Placeholder Text"/>
    <w:basedOn w:val="DefaultParagraphFont"/>
    <w:uiPriority w:val="99"/>
    <w:semiHidden/>
    <w:rsid w:val="00E31484"/>
    <w:rPr>
      <w:color w:val="808080"/>
    </w:rPr>
  </w:style>
  <w:style w:type="table" w:styleId="LightShading-Accent1">
    <w:name w:val="Light Shading Accent 1"/>
    <w:basedOn w:val="TableNormal"/>
    <w:uiPriority w:val="60"/>
    <w:rsid w:val="006C12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1800"/>
        <w:tab w:val="left" w:pos="2880"/>
      </w:tabs>
      <w:autoSpaceDE w:val="0"/>
      <w:autoSpaceDN w:val="0"/>
      <w:adjustRightInd w:val="0"/>
      <w:outlineLvl w:val="0"/>
    </w:pPr>
    <w:rPr>
      <w:rFonts w:eastAsia="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style>
  <w:style w:type="character" w:styleId="FootnoteReference">
    <w:name w:val="footnote reference"/>
    <w:semiHidden/>
    <w:rPr>
      <w:vertAlign w:val="superscript"/>
    </w:rPr>
  </w:style>
  <w:style w:type="paragraph" w:styleId="BodyTextIndent">
    <w:name w:val="Body Text Indent"/>
    <w:basedOn w:val="Normal"/>
    <w:pPr>
      <w:widowControl w:val="0"/>
      <w:autoSpaceDE w:val="0"/>
      <w:autoSpaceDN w:val="0"/>
      <w:adjustRightInd w:val="0"/>
      <w:ind w:left="1800" w:hanging="1080"/>
    </w:pPr>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rsid w:val="006504B8"/>
    <w:rPr>
      <w:sz w:val="16"/>
      <w:szCs w:val="16"/>
    </w:rPr>
  </w:style>
  <w:style w:type="paragraph" w:styleId="CommentText">
    <w:name w:val="annotation text"/>
    <w:basedOn w:val="Normal"/>
    <w:link w:val="CommentTextChar"/>
    <w:semiHidden/>
    <w:rsid w:val="006504B8"/>
    <w:rPr>
      <w:sz w:val="20"/>
      <w:szCs w:val="20"/>
    </w:rPr>
  </w:style>
  <w:style w:type="paragraph" w:styleId="CommentSubject">
    <w:name w:val="annotation subject"/>
    <w:basedOn w:val="CommentText"/>
    <w:next w:val="CommentText"/>
    <w:semiHidden/>
    <w:rsid w:val="006504B8"/>
    <w:rPr>
      <w:b/>
      <w:bCs/>
    </w:rPr>
  </w:style>
  <w:style w:type="paragraph" w:styleId="BalloonText">
    <w:name w:val="Balloon Text"/>
    <w:basedOn w:val="Normal"/>
    <w:semiHidden/>
    <w:rsid w:val="006504B8"/>
    <w:rPr>
      <w:rFonts w:ascii="Tahoma" w:hAnsi="Tahoma" w:cs="Tahoma"/>
      <w:sz w:val="16"/>
      <w:szCs w:val="16"/>
    </w:rPr>
  </w:style>
  <w:style w:type="character" w:customStyle="1" w:styleId="FootnoteTextChar">
    <w:name w:val="Footnote Text Char"/>
    <w:link w:val="FootnoteText"/>
    <w:semiHidden/>
    <w:rsid w:val="00407278"/>
  </w:style>
  <w:style w:type="character" w:styleId="Hyperlink">
    <w:name w:val="Hyperlink"/>
    <w:uiPriority w:val="99"/>
    <w:rsid w:val="00407278"/>
    <w:rPr>
      <w:color w:val="0000FF"/>
      <w:u w:val="single"/>
    </w:rPr>
  </w:style>
  <w:style w:type="character" w:styleId="FollowedHyperlink">
    <w:name w:val="FollowedHyperlink"/>
    <w:uiPriority w:val="99"/>
    <w:semiHidden/>
    <w:unhideWhenUsed/>
    <w:rsid w:val="004F3D6B"/>
    <w:rPr>
      <w:color w:val="800080"/>
      <w:u w:val="single"/>
    </w:rPr>
  </w:style>
  <w:style w:type="character" w:customStyle="1" w:styleId="FooterChar">
    <w:name w:val="Footer Char"/>
    <w:link w:val="Footer"/>
    <w:uiPriority w:val="99"/>
    <w:rsid w:val="00717879"/>
    <w:rPr>
      <w:sz w:val="24"/>
      <w:szCs w:val="24"/>
    </w:rPr>
  </w:style>
  <w:style w:type="table" w:styleId="TableGrid">
    <w:name w:val="Table Grid"/>
    <w:basedOn w:val="TableNormal"/>
    <w:uiPriority w:val="59"/>
    <w:rsid w:val="007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454"/>
    <w:pPr>
      <w:spacing w:before="120" w:after="120"/>
      <w:ind w:left="720"/>
      <w:contextualSpacing/>
    </w:pPr>
    <w:rPr>
      <w:rFonts w:ascii="Cambria" w:eastAsia="Calibri" w:hAnsi="Cambria"/>
      <w:sz w:val="22"/>
      <w:szCs w:val="22"/>
      <w:lang w:bidi="en-US"/>
    </w:rPr>
  </w:style>
  <w:style w:type="paragraph" w:customStyle="1" w:styleId="Default">
    <w:name w:val="Default"/>
    <w:link w:val="DefaultChar"/>
    <w:rsid w:val="001F616F"/>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1F616F"/>
    <w:rPr>
      <w:rFonts w:ascii="Arial" w:hAnsi="Arial" w:cs="Arial"/>
      <w:color w:val="000000"/>
      <w:sz w:val="24"/>
      <w:szCs w:val="24"/>
    </w:rPr>
  </w:style>
  <w:style w:type="table" w:styleId="MediumList2-Accent1">
    <w:name w:val="Medium List 2 Accent 1"/>
    <w:basedOn w:val="TableNormal"/>
    <w:uiPriority w:val="66"/>
    <w:rsid w:val="009737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WestatStandardFormat">
    <w:name w:val="Table Westat Standard Format"/>
    <w:basedOn w:val="TableNormal"/>
    <w:rsid w:val="006469F3"/>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1">
    <w:name w:val="Table Westat Standard Format1"/>
    <w:basedOn w:val="TableNormal"/>
    <w:rsid w:val="002938E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
    <w:name w:val="Comment Text Char"/>
    <w:basedOn w:val="DefaultParagraphFont"/>
    <w:link w:val="CommentText"/>
    <w:semiHidden/>
    <w:rsid w:val="00572D15"/>
  </w:style>
  <w:style w:type="character" w:styleId="Emphasis">
    <w:name w:val="Emphasis"/>
    <w:uiPriority w:val="20"/>
    <w:qFormat/>
    <w:rsid w:val="00910AFB"/>
    <w:rPr>
      <w:i/>
      <w:iCs/>
    </w:rPr>
  </w:style>
  <w:style w:type="character" w:styleId="PlaceholderText">
    <w:name w:val="Placeholder Text"/>
    <w:basedOn w:val="DefaultParagraphFont"/>
    <w:uiPriority w:val="99"/>
    <w:semiHidden/>
    <w:rsid w:val="00E31484"/>
    <w:rPr>
      <w:color w:val="808080"/>
    </w:rPr>
  </w:style>
  <w:style w:type="table" w:styleId="LightShading-Accent1">
    <w:name w:val="Light Shading Accent 1"/>
    <w:basedOn w:val="TableNormal"/>
    <w:uiPriority w:val="60"/>
    <w:rsid w:val="006C12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8636">
      <w:bodyDiv w:val="1"/>
      <w:marLeft w:val="0"/>
      <w:marRight w:val="0"/>
      <w:marTop w:val="0"/>
      <w:marBottom w:val="0"/>
      <w:divBdr>
        <w:top w:val="none" w:sz="0" w:space="0" w:color="auto"/>
        <w:left w:val="none" w:sz="0" w:space="0" w:color="auto"/>
        <w:bottom w:val="none" w:sz="0" w:space="0" w:color="auto"/>
        <w:right w:val="none" w:sz="0" w:space="0" w:color="auto"/>
      </w:divBdr>
    </w:div>
    <w:div w:id="684021221">
      <w:bodyDiv w:val="1"/>
      <w:marLeft w:val="0"/>
      <w:marRight w:val="0"/>
      <w:marTop w:val="0"/>
      <w:marBottom w:val="0"/>
      <w:divBdr>
        <w:top w:val="none" w:sz="0" w:space="0" w:color="auto"/>
        <w:left w:val="none" w:sz="0" w:space="0" w:color="auto"/>
        <w:bottom w:val="none" w:sz="0" w:space="0" w:color="auto"/>
        <w:right w:val="none" w:sz="0" w:space="0" w:color="auto"/>
      </w:divBdr>
    </w:div>
    <w:div w:id="1485319376">
      <w:bodyDiv w:val="1"/>
      <w:marLeft w:val="0"/>
      <w:marRight w:val="0"/>
      <w:marTop w:val="0"/>
      <w:marBottom w:val="0"/>
      <w:divBdr>
        <w:top w:val="none" w:sz="0" w:space="0" w:color="auto"/>
        <w:left w:val="none" w:sz="0" w:space="0" w:color="auto"/>
        <w:bottom w:val="none" w:sz="0" w:space="0" w:color="auto"/>
        <w:right w:val="none" w:sz="0" w:space="0" w:color="auto"/>
      </w:divBdr>
    </w:div>
    <w:div w:id="1871793778">
      <w:bodyDiv w:val="1"/>
      <w:marLeft w:val="0"/>
      <w:marRight w:val="0"/>
      <w:marTop w:val="0"/>
      <w:marBottom w:val="0"/>
      <w:divBdr>
        <w:top w:val="none" w:sz="0" w:space="0" w:color="auto"/>
        <w:left w:val="none" w:sz="0" w:space="0" w:color="auto"/>
        <w:bottom w:val="none" w:sz="0" w:space="0" w:color="auto"/>
        <w:right w:val="none" w:sz="0" w:space="0" w:color="auto"/>
      </w:divBdr>
      <w:divsChild>
        <w:div w:id="966817606">
          <w:marLeft w:val="0"/>
          <w:marRight w:val="0"/>
          <w:marTop w:val="0"/>
          <w:marBottom w:val="0"/>
          <w:divBdr>
            <w:top w:val="none" w:sz="0" w:space="0" w:color="auto"/>
            <w:left w:val="single" w:sz="6" w:space="0" w:color="999999"/>
            <w:bottom w:val="none" w:sz="0" w:space="0" w:color="auto"/>
            <w:right w:val="single" w:sz="6" w:space="0" w:color="999999"/>
          </w:divBdr>
          <w:divsChild>
            <w:div w:id="1788116949">
              <w:marLeft w:val="0"/>
              <w:marRight w:val="0"/>
              <w:marTop w:val="0"/>
              <w:marBottom w:val="0"/>
              <w:divBdr>
                <w:top w:val="none" w:sz="0" w:space="0" w:color="auto"/>
                <w:left w:val="none" w:sz="0" w:space="0" w:color="auto"/>
                <w:bottom w:val="none" w:sz="0" w:space="0" w:color="auto"/>
                <w:right w:val="none" w:sz="0" w:space="0" w:color="auto"/>
              </w:divBdr>
              <w:divsChild>
                <w:div w:id="266885169">
                  <w:marLeft w:val="0"/>
                  <w:marRight w:val="0"/>
                  <w:marTop w:val="0"/>
                  <w:marBottom w:val="0"/>
                  <w:divBdr>
                    <w:top w:val="none" w:sz="0" w:space="0" w:color="auto"/>
                    <w:left w:val="none" w:sz="0" w:space="0" w:color="auto"/>
                    <w:bottom w:val="single" w:sz="6" w:space="9" w:color="FFFFFF"/>
                    <w:right w:val="none" w:sz="0" w:space="0" w:color="auto"/>
                  </w:divBdr>
                  <w:divsChild>
                    <w:div w:id="1628195559">
                      <w:marLeft w:val="0"/>
                      <w:marRight w:val="0"/>
                      <w:marTop w:val="0"/>
                      <w:marBottom w:val="0"/>
                      <w:divBdr>
                        <w:top w:val="none" w:sz="0" w:space="0" w:color="auto"/>
                        <w:left w:val="none" w:sz="0" w:space="0" w:color="auto"/>
                        <w:bottom w:val="none" w:sz="0" w:space="0" w:color="auto"/>
                        <w:right w:val="none" w:sz="0" w:space="0" w:color="auto"/>
                      </w:divBdr>
                      <w:divsChild>
                        <w:div w:id="962426570">
                          <w:marLeft w:val="0"/>
                          <w:marRight w:val="0"/>
                          <w:marTop w:val="0"/>
                          <w:marBottom w:val="0"/>
                          <w:divBdr>
                            <w:top w:val="none" w:sz="0" w:space="0" w:color="auto"/>
                            <w:left w:val="none" w:sz="0" w:space="0" w:color="auto"/>
                            <w:bottom w:val="none" w:sz="0" w:space="0" w:color="auto"/>
                            <w:right w:val="none" w:sz="0" w:space="0" w:color="auto"/>
                          </w:divBdr>
                          <w:divsChild>
                            <w:div w:id="56052362">
                              <w:marLeft w:val="0"/>
                              <w:marRight w:val="0"/>
                              <w:marTop w:val="0"/>
                              <w:marBottom w:val="0"/>
                              <w:divBdr>
                                <w:top w:val="none" w:sz="0" w:space="0" w:color="auto"/>
                                <w:left w:val="none" w:sz="0" w:space="0" w:color="auto"/>
                                <w:bottom w:val="none" w:sz="0" w:space="0" w:color="auto"/>
                                <w:right w:val="none" w:sz="0" w:space="0" w:color="auto"/>
                              </w:divBdr>
                              <w:divsChild>
                                <w:div w:id="857238676">
                                  <w:marLeft w:val="0"/>
                                  <w:marRight w:val="0"/>
                                  <w:marTop w:val="0"/>
                                  <w:marBottom w:val="0"/>
                                  <w:divBdr>
                                    <w:top w:val="none" w:sz="0" w:space="0" w:color="auto"/>
                                    <w:left w:val="none" w:sz="0" w:space="0" w:color="auto"/>
                                    <w:bottom w:val="none" w:sz="0" w:space="0" w:color="auto"/>
                                    <w:right w:val="none" w:sz="0" w:space="0" w:color="auto"/>
                                  </w:divBdr>
                                  <w:divsChild>
                                    <w:div w:id="505629809">
                                      <w:marLeft w:val="0"/>
                                      <w:marRight w:val="0"/>
                                      <w:marTop w:val="0"/>
                                      <w:marBottom w:val="0"/>
                                      <w:divBdr>
                                        <w:top w:val="none" w:sz="0" w:space="0" w:color="auto"/>
                                        <w:left w:val="none" w:sz="0" w:space="0" w:color="auto"/>
                                        <w:bottom w:val="none" w:sz="0" w:space="0" w:color="auto"/>
                                        <w:right w:val="none" w:sz="0" w:space="0" w:color="auto"/>
                                      </w:divBdr>
                                      <w:divsChild>
                                        <w:div w:id="203644311">
                                          <w:marLeft w:val="600"/>
                                          <w:marRight w:val="555"/>
                                          <w:marTop w:val="75"/>
                                          <w:marBottom w:val="60"/>
                                          <w:divBdr>
                                            <w:top w:val="none" w:sz="0" w:space="0" w:color="auto"/>
                                            <w:left w:val="none" w:sz="0" w:space="0" w:color="auto"/>
                                            <w:bottom w:val="none" w:sz="0" w:space="0" w:color="auto"/>
                                            <w:right w:val="none" w:sz="0" w:space="0" w:color="auto"/>
                                          </w:divBdr>
                                          <w:divsChild>
                                            <w:div w:id="1977174602">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347313">
      <w:bodyDiv w:val="1"/>
      <w:marLeft w:val="0"/>
      <w:marRight w:val="0"/>
      <w:marTop w:val="0"/>
      <w:marBottom w:val="0"/>
      <w:divBdr>
        <w:top w:val="none" w:sz="0" w:space="0" w:color="auto"/>
        <w:left w:val="none" w:sz="0" w:space="0" w:color="auto"/>
        <w:bottom w:val="none" w:sz="0" w:space="0" w:color="auto"/>
        <w:right w:val="none" w:sz="0" w:space="0" w:color="auto"/>
      </w:divBdr>
    </w:div>
    <w:div w:id="2070421638">
      <w:bodyDiv w:val="1"/>
      <w:marLeft w:val="0"/>
      <w:marRight w:val="0"/>
      <w:marTop w:val="0"/>
      <w:marBottom w:val="0"/>
      <w:divBdr>
        <w:top w:val="none" w:sz="0" w:space="0" w:color="auto"/>
        <w:left w:val="none" w:sz="0" w:space="0" w:color="auto"/>
        <w:bottom w:val="none" w:sz="0" w:space="0" w:color="auto"/>
        <w:right w:val="none" w:sz="0" w:space="0" w:color="auto"/>
      </w:divBdr>
      <w:divsChild>
        <w:div w:id="508450542">
          <w:marLeft w:val="0"/>
          <w:marRight w:val="0"/>
          <w:marTop w:val="0"/>
          <w:marBottom w:val="0"/>
          <w:divBdr>
            <w:top w:val="none" w:sz="0" w:space="0" w:color="auto"/>
            <w:left w:val="single" w:sz="6" w:space="0" w:color="999999"/>
            <w:bottom w:val="none" w:sz="0" w:space="0" w:color="auto"/>
            <w:right w:val="single" w:sz="6" w:space="0" w:color="999999"/>
          </w:divBdr>
          <w:divsChild>
            <w:div w:id="286618319">
              <w:marLeft w:val="0"/>
              <w:marRight w:val="0"/>
              <w:marTop w:val="0"/>
              <w:marBottom w:val="0"/>
              <w:divBdr>
                <w:top w:val="none" w:sz="0" w:space="0" w:color="auto"/>
                <w:left w:val="none" w:sz="0" w:space="0" w:color="auto"/>
                <w:bottom w:val="none" w:sz="0" w:space="0" w:color="auto"/>
                <w:right w:val="none" w:sz="0" w:space="0" w:color="auto"/>
              </w:divBdr>
              <w:divsChild>
                <w:div w:id="334453043">
                  <w:marLeft w:val="0"/>
                  <w:marRight w:val="0"/>
                  <w:marTop w:val="0"/>
                  <w:marBottom w:val="0"/>
                  <w:divBdr>
                    <w:top w:val="none" w:sz="0" w:space="0" w:color="auto"/>
                    <w:left w:val="none" w:sz="0" w:space="0" w:color="auto"/>
                    <w:bottom w:val="single" w:sz="6" w:space="9" w:color="FFFFFF"/>
                    <w:right w:val="none" w:sz="0" w:space="0" w:color="auto"/>
                  </w:divBdr>
                  <w:divsChild>
                    <w:div w:id="1753768914">
                      <w:marLeft w:val="0"/>
                      <w:marRight w:val="0"/>
                      <w:marTop w:val="0"/>
                      <w:marBottom w:val="0"/>
                      <w:divBdr>
                        <w:top w:val="none" w:sz="0" w:space="0" w:color="auto"/>
                        <w:left w:val="none" w:sz="0" w:space="0" w:color="auto"/>
                        <w:bottom w:val="none" w:sz="0" w:space="0" w:color="auto"/>
                        <w:right w:val="none" w:sz="0" w:space="0" w:color="auto"/>
                      </w:divBdr>
                      <w:divsChild>
                        <w:div w:id="562372900">
                          <w:marLeft w:val="0"/>
                          <w:marRight w:val="0"/>
                          <w:marTop w:val="0"/>
                          <w:marBottom w:val="0"/>
                          <w:divBdr>
                            <w:top w:val="none" w:sz="0" w:space="0" w:color="auto"/>
                            <w:left w:val="none" w:sz="0" w:space="0" w:color="auto"/>
                            <w:bottom w:val="none" w:sz="0" w:space="0" w:color="auto"/>
                            <w:right w:val="none" w:sz="0" w:space="0" w:color="auto"/>
                          </w:divBdr>
                          <w:divsChild>
                            <w:div w:id="161051370">
                              <w:marLeft w:val="0"/>
                              <w:marRight w:val="0"/>
                              <w:marTop w:val="0"/>
                              <w:marBottom w:val="0"/>
                              <w:divBdr>
                                <w:top w:val="none" w:sz="0" w:space="0" w:color="auto"/>
                                <w:left w:val="none" w:sz="0" w:space="0" w:color="auto"/>
                                <w:bottom w:val="none" w:sz="0" w:space="0" w:color="auto"/>
                                <w:right w:val="none" w:sz="0" w:space="0" w:color="auto"/>
                              </w:divBdr>
                              <w:divsChild>
                                <w:div w:id="642193597">
                                  <w:marLeft w:val="0"/>
                                  <w:marRight w:val="0"/>
                                  <w:marTop w:val="0"/>
                                  <w:marBottom w:val="0"/>
                                  <w:divBdr>
                                    <w:top w:val="none" w:sz="0" w:space="0" w:color="auto"/>
                                    <w:left w:val="none" w:sz="0" w:space="0" w:color="auto"/>
                                    <w:bottom w:val="none" w:sz="0" w:space="0" w:color="auto"/>
                                    <w:right w:val="none" w:sz="0" w:space="0" w:color="auto"/>
                                  </w:divBdr>
                                  <w:divsChild>
                                    <w:div w:id="232351529">
                                      <w:marLeft w:val="0"/>
                                      <w:marRight w:val="0"/>
                                      <w:marTop w:val="0"/>
                                      <w:marBottom w:val="0"/>
                                      <w:divBdr>
                                        <w:top w:val="none" w:sz="0" w:space="0" w:color="auto"/>
                                        <w:left w:val="none" w:sz="0" w:space="0" w:color="auto"/>
                                        <w:bottom w:val="none" w:sz="0" w:space="0" w:color="auto"/>
                                        <w:right w:val="none" w:sz="0" w:space="0" w:color="auto"/>
                                      </w:divBdr>
                                      <w:divsChild>
                                        <w:div w:id="991444930">
                                          <w:marLeft w:val="600"/>
                                          <w:marRight w:val="555"/>
                                          <w:marTop w:val="75"/>
                                          <w:marBottom w:val="60"/>
                                          <w:divBdr>
                                            <w:top w:val="none" w:sz="0" w:space="0" w:color="auto"/>
                                            <w:left w:val="none" w:sz="0" w:space="0" w:color="auto"/>
                                            <w:bottom w:val="none" w:sz="0" w:space="0" w:color="auto"/>
                                            <w:right w:val="none" w:sz="0" w:space="0" w:color="auto"/>
                                          </w:divBdr>
                                          <w:divsChild>
                                            <w:div w:id="175702928">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3B187-1E28-4250-8403-4EF974A3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36454</CharactersWithSpaces>
  <SharedDoc>false</SharedDoc>
  <HLinks>
    <vt:vector size="6" baseType="variant">
      <vt:variant>
        <vt:i4>5832770</vt:i4>
      </vt:variant>
      <vt:variant>
        <vt:i4>0</vt:i4>
      </vt:variant>
      <vt:variant>
        <vt:i4>0</vt:i4>
      </vt:variant>
      <vt:variant>
        <vt:i4>5</vt:i4>
      </vt:variant>
      <vt:variant>
        <vt:lpwstr>http://www.census.gov/popest/data/state/asrh/2011/index.html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ABlock</dc:creator>
  <cp:lastModifiedBy>USDOT_User</cp:lastModifiedBy>
  <cp:revision>2</cp:revision>
  <cp:lastPrinted>2014-01-17T17:04:00Z</cp:lastPrinted>
  <dcterms:created xsi:type="dcterms:W3CDTF">2016-10-24T21:17:00Z</dcterms:created>
  <dcterms:modified xsi:type="dcterms:W3CDTF">2016-10-24T21:17:00Z</dcterms:modified>
</cp:coreProperties>
</file>