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6CD41" w14:textId="77777777" w:rsidR="00E459EE" w:rsidRDefault="005F75DA">
      <w:pPr>
        <w:jc w:val="center"/>
      </w:pPr>
      <w:r>
        <w:t>SUPPORTING STATEMENT FOR THE</w:t>
      </w:r>
    </w:p>
    <w:p w14:paraId="654D2FD8" w14:textId="77777777" w:rsidR="00E459EE" w:rsidRDefault="005F75DA">
      <w:pPr>
        <w:jc w:val="center"/>
      </w:pPr>
      <w:r>
        <w:t xml:space="preserve">RECORDKEEPING AND REPORTING REQUIREMENTS FOR </w:t>
      </w:r>
    </w:p>
    <w:p w14:paraId="5D316DA0" w14:textId="77777777" w:rsidR="00E459EE" w:rsidRDefault="005F75DA">
      <w:pPr>
        <w:jc w:val="center"/>
      </w:pPr>
      <w:r>
        <w:t>THE RFS BIOINTERMEDIATES PROGRAM</w:t>
      </w:r>
    </w:p>
    <w:p w14:paraId="4C476C24" w14:textId="77777777" w:rsidR="00E459EE" w:rsidRDefault="00E459EE"/>
    <w:p w14:paraId="6B0C72D3" w14:textId="77777777" w:rsidR="00E459EE" w:rsidRDefault="005F75DA">
      <w:pPr>
        <w:outlineLvl w:val="0"/>
        <w:rPr>
          <w:b/>
        </w:rPr>
      </w:pPr>
      <w:r>
        <w:rPr>
          <w:b/>
        </w:rPr>
        <w:t>1.</w:t>
      </w:r>
      <w:r>
        <w:rPr>
          <w:b/>
        </w:rPr>
        <w:tab/>
      </w:r>
      <w:r>
        <w:rPr>
          <w:b/>
          <w:u w:val="single"/>
        </w:rPr>
        <w:t>Identification of the Information Collection</w:t>
      </w:r>
    </w:p>
    <w:p w14:paraId="579DE902" w14:textId="77777777" w:rsidR="00E459EE" w:rsidRDefault="00E459EE">
      <w:pPr>
        <w:rPr>
          <w:b/>
        </w:rPr>
      </w:pPr>
    </w:p>
    <w:p w14:paraId="6000E258" w14:textId="77777777" w:rsidR="00E459EE" w:rsidRDefault="005F75DA">
      <w:pPr>
        <w:ind w:firstLine="720"/>
        <w:outlineLvl w:val="1"/>
        <w:rPr>
          <w:b/>
        </w:rPr>
      </w:pPr>
      <w:r>
        <w:rPr>
          <w:b/>
        </w:rPr>
        <w:t>1(a)</w:t>
      </w:r>
      <w:r>
        <w:rPr>
          <w:b/>
        </w:rPr>
        <w:tab/>
        <w:t>Title of the Information Collection</w:t>
      </w:r>
    </w:p>
    <w:p w14:paraId="1CF82409" w14:textId="77777777" w:rsidR="00E459EE" w:rsidRDefault="00E459EE">
      <w:pPr>
        <w:ind w:firstLine="720"/>
      </w:pPr>
    </w:p>
    <w:p w14:paraId="768B2D7B" w14:textId="27AAF0C5" w:rsidR="00E459EE" w:rsidRDefault="005F75DA">
      <w:pPr>
        <w:ind w:firstLine="720"/>
      </w:pPr>
      <w:r>
        <w:t xml:space="preserve">Recordkeeping and reporting requirements for the RFS Biointermediates Program, EPA ICR No. </w:t>
      </w:r>
      <w:r>
        <w:rPr>
          <w:rFonts w:cs="Times New Roman"/>
          <w:color w:val="000000" w:themeColor="text1"/>
        </w:rPr>
        <w:t>2545.01</w:t>
      </w:r>
      <w:r w:rsidR="00A26537">
        <w:t>, OMB Control Number 2060-NEW</w:t>
      </w:r>
      <w:bookmarkStart w:id="0" w:name="_GoBack"/>
      <w:bookmarkEnd w:id="0"/>
      <w:r>
        <w:t>.</w:t>
      </w:r>
    </w:p>
    <w:p w14:paraId="545CBB12" w14:textId="77777777" w:rsidR="00E459EE" w:rsidRDefault="005F75DA">
      <w:pPr>
        <w:ind w:firstLine="720"/>
      </w:pPr>
      <w:r>
        <w:t xml:space="preserve"> </w:t>
      </w:r>
    </w:p>
    <w:p w14:paraId="04819741" w14:textId="77777777" w:rsidR="00E459EE" w:rsidRDefault="005F75DA">
      <w:pPr>
        <w:ind w:firstLine="720"/>
        <w:outlineLvl w:val="1"/>
        <w:rPr>
          <w:b/>
        </w:rPr>
      </w:pPr>
      <w:r>
        <w:rPr>
          <w:b/>
        </w:rPr>
        <w:t>1(b)</w:t>
      </w:r>
      <w:r>
        <w:rPr>
          <w:b/>
        </w:rPr>
        <w:tab/>
        <w:t>Short characterization:</w:t>
      </w:r>
    </w:p>
    <w:p w14:paraId="7A9459CC" w14:textId="77777777" w:rsidR="00E459EE" w:rsidRDefault="00E459EE">
      <w:pPr>
        <w:ind w:firstLine="720"/>
      </w:pPr>
    </w:p>
    <w:p w14:paraId="2845E85D" w14:textId="77777777" w:rsidR="00E459EE" w:rsidRDefault="005F75DA">
      <w:pPr>
        <w:ind w:firstLine="720"/>
        <w:rPr>
          <w:color w:val="000000" w:themeColor="text1"/>
        </w:rPr>
      </w:pPr>
      <w:r>
        <w:t xml:space="preserve">The Environmental Protection Agency (EPA) is committed to taking steps to reduce emissions of greenhouse gases (GHGs). This commitment is based on several charges given to the EPA, such as the </w:t>
      </w:r>
      <w:r>
        <w:rPr>
          <w:color w:val="000000" w:themeColor="text1"/>
        </w:rPr>
        <w:t>Climate Action Plan announced by President Obama in June 2013,</w:t>
      </w:r>
      <w:r>
        <w:rPr>
          <w:rStyle w:val="FootnoteReference"/>
        </w:rPr>
        <w:footnoteReference w:id="1"/>
      </w:r>
      <w:r>
        <w:rPr>
          <w:color w:val="000000" w:themeColor="text1"/>
        </w:rPr>
        <w:t xml:space="preserve"> the Paris Agreement reached at the 2015 United Nations Climate Change Conference in December 2015,</w:t>
      </w:r>
      <w:r>
        <w:rPr>
          <w:rStyle w:val="FootnoteReference"/>
          <w:color w:val="000000" w:themeColor="text1"/>
        </w:rPr>
        <w:footnoteReference w:id="2"/>
      </w:r>
      <w:r>
        <w:rPr>
          <w:color w:val="000000" w:themeColor="text1"/>
        </w:rPr>
        <w:t xml:space="preserve"> and the Renewable Fuel Standard (RFS) program required under the Clean Air Act (CAA). Since more than 70 percent of the fossil oil used in the U.S.</w:t>
      </w:r>
      <w:r>
        <w:rPr>
          <w:rStyle w:val="FootnoteReference"/>
          <w:color w:val="000000" w:themeColor="text1"/>
        </w:rPr>
        <w:footnoteReference w:id="3"/>
      </w:r>
      <w:r>
        <w:rPr>
          <w:color w:val="000000" w:themeColor="text1"/>
        </w:rPr>
        <w:t xml:space="preserve"> and 28 percent of GHG emissions</w:t>
      </w:r>
      <w:r>
        <w:rPr>
          <w:rStyle w:val="FootnoteReference"/>
          <w:color w:val="000000" w:themeColor="text1"/>
        </w:rPr>
        <w:footnoteReference w:id="4"/>
      </w:r>
      <w:r>
        <w:rPr>
          <w:color w:val="000000" w:themeColor="text1"/>
        </w:rPr>
        <w:t xml:space="preserve"> come from the transportation sector, the EPA has developed a number of regulatory programs designed to reduce GHG emissions from vehicles and engines. These programs have targeted both the efficiency of vehicles and engines as well as their use of renewable fuels.</w:t>
      </w:r>
    </w:p>
    <w:p w14:paraId="1CEFF800" w14:textId="77777777" w:rsidR="00E459EE" w:rsidRDefault="00E459EE">
      <w:pPr>
        <w:ind w:firstLine="720"/>
      </w:pPr>
    </w:p>
    <w:p w14:paraId="3D09E507" w14:textId="77777777" w:rsidR="00E459EE" w:rsidRDefault="005F75DA">
      <w:pPr>
        <w:ind w:firstLine="720"/>
      </w:pPr>
      <w:r>
        <w:rPr>
          <w:color w:val="000000" w:themeColor="text1"/>
        </w:rPr>
        <w:t>In order to continue the progress made in promoting the use of renewable fuels in the transportation sector, we believe it is important to take steps to remove potential barriers to their production, distribution, and consumption where such actions make sense. To this end, we have identified a number of areas where adjustments to the regulatory provisions may be warranted.</w:t>
      </w:r>
    </w:p>
    <w:p w14:paraId="3FA40CE4" w14:textId="77777777" w:rsidR="00E459EE" w:rsidRDefault="005F75DA">
      <w:r>
        <w:t xml:space="preserve">These changes center around the production, transfer, and use of biointermediates and the creation of new regulatory requirements related to registration, recordkeeping, and reporting for facilities producing or using a biointermediate for renewable fuel production. </w:t>
      </w:r>
      <w:r>
        <w:rPr>
          <w:rFonts w:cs="Times New Roman"/>
          <w:color w:val="000000" w:themeColor="text1"/>
        </w:rPr>
        <w:t>The new requirements on the biointermediate producer would be similar to those already required for renewable fuel producers.</w:t>
      </w:r>
    </w:p>
    <w:p w14:paraId="138F6E62" w14:textId="77777777" w:rsidR="00E459EE" w:rsidRDefault="00E459EE">
      <w:pPr>
        <w:ind w:firstLine="720"/>
      </w:pPr>
    </w:p>
    <w:p w14:paraId="008A5A21" w14:textId="77777777" w:rsidR="00E459EE" w:rsidRDefault="005F75DA">
      <w:pPr>
        <w:ind w:firstLine="720"/>
      </w:pPr>
      <w:r>
        <w:rPr>
          <w:color w:val="000000" w:themeColor="text1"/>
        </w:rPr>
        <w:t>W</w:t>
      </w:r>
      <w:r>
        <w:t>e are also proposing a number of other changes to the RFS regulations and other fuel regulations to streamline them, add new pathways for renewable fuel production, provide clarifications, and make technical corrections. We anticipate that the following proposed amendments to the RFS regulations would result in additional information collection burdens:</w:t>
      </w:r>
    </w:p>
    <w:p w14:paraId="56B06420" w14:textId="77777777" w:rsidR="00E459EE" w:rsidRDefault="00E459EE">
      <w:pPr>
        <w:ind w:firstLine="720"/>
      </w:pPr>
    </w:p>
    <w:p w14:paraId="47FE0C0C" w14:textId="77777777" w:rsidR="00E459EE" w:rsidRDefault="005F75DA">
      <w:pPr>
        <w:pStyle w:val="ListParagraph"/>
        <w:numPr>
          <w:ilvl w:val="0"/>
          <w:numId w:val="4"/>
        </w:numPr>
        <w:suppressAutoHyphens w:val="0"/>
        <w:autoSpaceDN/>
        <w:contextualSpacing/>
        <w:textAlignment w:val="auto"/>
        <w:rPr>
          <w:rFonts w:cs="Times New Roman"/>
        </w:rPr>
      </w:pPr>
      <w:r>
        <w:rPr>
          <w:rFonts w:cs="Times New Roman"/>
        </w:rPr>
        <w:t xml:space="preserve">Registration, recordkeeping, and reporting requirements that we would require if we were to allow </w:t>
      </w:r>
      <w:r>
        <w:rPr>
          <w:rFonts w:cs="Times New Roman"/>
          <w:color w:val="000000" w:themeColor="text1"/>
        </w:rPr>
        <w:t>carbon capture and storage (</w:t>
      </w:r>
      <w:r>
        <w:rPr>
          <w:rFonts w:cs="Times New Roman"/>
        </w:rPr>
        <w:t>CCS) as a lifecycle GHG emissions reduction technology in the context of the RFS program.</w:t>
      </w:r>
      <w:r>
        <w:rPr>
          <w:rStyle w:val="FootnoteReference"/>
          <w:rFonts w:cs="Times New Roman"/>
        </w:rPr>
        <w:footnoteReference w:id="5"/>
      </w:r>
    </w:p>
    <w:p w14:paraId="7821074A" w14:textId="77777777" w:rsidR="00E459EE" w:rsidRDefault="005F75DA">
      <w:pPr>
        <w:pStyle w:val="ListParagraph"/>
        <w:numPr>
          <w:ilvl w:val="0"/>
          <w:numId w:val="4"/>
        </w:numPr>
        <w:suppressAutoHyphens w:val="0"/>
        <w:autoSpaceDN/>
        <w:contextualSpacing/>
        <w:textAlignment w:val="auto"/>
        <w:rPr>
          <w:rFonts w:cs="Times New Roman"/>
        </w:rPr>
      </w:pPr>
      <w:r>
        <w:rPr>
          <w:color w:val="000000" w:themeColor="text1"/>
        </w:rPr>
        <w:t xml:space="preserve">New pathways for </w:t>
      </w:r>
      <w:r>
        <w:rPr>
          <w:rFonts w:cs="Times New Roman"/>
        </w:rPr>
        <w:t>the production of cellulosic fuels using short-rotation hybrid poplar and willow trees as a feedstock.</w:t>
      </w:r>
    </w:p>
    <w:p w14:paraId="2621A768" w14:textId="77777777" w:rsidR="00E459EE" w:rsidRDefault="005F75DA">
      <w:pPr>
        <w:pStyle w:val="ListParagraph"/>
        <w:numPr>
          <w:ilvl w:val="0"/>
          <w:numId w:val="4"/>
        </w:numPr>
        <w:suppressAutoHyphens w:val="0"/>
        <w:autoSpaceDN/>
        <w:contextualSpacing/>
        <w:textAlignment w:val="auto"/>
        <w:rPr>
          <w:rFonts w:cs="Times New Roman"/>
        </w:rPr>
      </w:pPr>
      <w:r>
        <w:rPr>
          <w:rFonts w:cs="Times New Roman"/>
        </w:rPr>
        <w:t>Revising the requirements for the generation of RINs for fuel made from vegetable oils.</w:t>
      </w:r>
    </w:p>
    <w:p w14:paraId="74200EA1" w14:textId="77777777" w:rsidR="00E459EE" w:rsidRDefault="005F75DA">
      <w:pPr>
        <w:pStyle w:val="ListParagraph"/>
        <w:numPr>
          <w:ilvl w:val="0"/>
          <w:numId w:val="4"/>
        </w:numPr>
        <w:suppressAutoHyphens w:val="0"/>
        <w:autoSpaceDN/>
        <w:contextualSpacing/>
        <w:textAlignment w:val="auto"/>
        <w:rPr>
          <w:rFonts w:cs="Times New Roman"/>
        </w:rPr>
      </w:pPr>
      <w:r>
        <w:rPr>
          <w:rFonts w:cs="Times New Roman"/>
        </w:rPr>
        <w:t xml:space="preserve">Requiring obligated parties to report the breakdown of gasoline, diesel, and heating oil production as part of their annual compliance reports. </w:t>
      </w:r>
    </w:p>
    <w:p w14:paraId="0CDE2C21" w14:textId="77777777" w:rsidR="00E459EE" w:rsidRDefault="005F75DA">
      <w:pPr>
        <w:pStyle w:val="ListParagraph"/>
        <w:numPr>
          <w:ilvl w:val="0"/>
          <w:numId w:val="4"/>
        </w:numPr>
        <w:suppressAutoHyphens w:val="0"/>
        <w:autoSpaceDN/>
        <w:contextualSpacing/>
        <w:textAlignment w:val="auto"/>
        <w:rPr>
          <w:rFonts w:cs="Times New Roman"/>
        </w:rPr>
      </w:pPr>
      <w:r>
        <w:rPr>
          <w:rFonts w:cs="Times New Roman"/>
        </w:rPr>
        <w:t xml:space="preserve">Revising and clarifying the </w:t>
      </w:r>
      <w:r>
        <w:t>requirements for renewable fuel producers incident to the transfer of ownership of a registered renewable fuel production facility.</w:t>
      </w:r>
    </w:p>
    <w:p w14:paraId="424FA85C" w14:textId="77777777" w:rsidR="00E459EE" w:rsidRDefault="005F75DA">
      <w:pPr>
        <w:pStyle w:val="ListParagraph"/>
        <w:numPr>
          <w:ilvl w:val="0"/>
          <w:numId w:val="4"/>
        </w:numPr>
        <w:suppressAutoHyphens w:val="0"/>
        <w:autoSpaceDN/>
        <w:contextualSpacing/>
        <w:textAlignment w:val="auto"/>
        <w:rPr>
          <w:rFonts w:cs="Times New Roman"/>
        </w:rPr>
      </w:pPr>
      <w:r>
        <w:rPr>
          <w:rFonts w:cs="Times New Roman"/>
        </w:rPr>
        <w:t>Modifying the requirements for third-party engineers that perform engineering reviews for renewable fuel producers.</w:t>
      </w:r>
    </w:p>
    <w:p w14:paraId="04FA9802" w14:textId="77777777" w:rsidR="00E459EE" w:rsidRDefault="005F75DA">
      <w:pPr>
        <w:pStyle w:val="ListParagraph"/>
        <w:numPr>
          <w:ilvl w:val="0"/>
          <w:numId w:val="4"/>
        </w:numPr>
        <w:suppressAutoHyphens w:val="0"/>
        <w:autoSpaceDN/>
        <w:contextualSpacing/>
        <w:textAlignment w:val="auto"/>
        <w:rPr>
          <w:rFonts w:cs="Times New Roman"/>
        </w:rPr>
      </w:pPr>
      <w:r>
        <w:rPr>
          <w:rFonts w:cs="Times New Roman"/>
        </w:rPr>
        <w:t>Requiring biogas producers whose biogas is used to produce renewable electricity, compressed natural gas (CNG), or liquid natural gas (LNG) to register with the EPA.</w:t>
      </w:r>
    </w:p>
    <w:p w14:paraId="1CA63C40" w14:textId="77777777" w:rsidR="00E459EE" w:rsidRDefault="005F75DA">
      <w:pPr>
        <w:pStyle w:val="ListParagraph"/>
        <w:numPr>
          <w:ilvl w:val="0"/>
          <w:numId w:val="4"/>
        </w:numPr>
        <w:suppressAutoHyphens w:val="0"/>
        <w:autoSpaceDN/>
        <w:contextualSpacing/>
        <w:textAlignment w:val="auto"/>
        <w:rPr>
          <w:rFonts w:cs="Times New Roman"/>
        </w:rPr>
      </w:pPr>
      <w:r>
        <w:rPr>
          <w:rFonts w:cs="Times New Roman"/>
        </w:rPr>
        <w:t>Addressing situations where a party is aware that renewable fuel it intends to transfer will be used for purposes other than as transportation fuel, heating oil, or jet fuel.</w:t>
      </w:r>
    </w:p>
    <w:p w14:paraId="30622D95" w14:textId="77777777" w:rsidR="00E459EE" w:rsidRDefault="00E459EE">
      <w:pPr>
        <w:ind w:firstLine="720"/>
      </w:pPr>
    </w:p>
    <w:p w14:paraId="417B67CC" w14:textId="77777777" w:rsidR="00E459EE" w:rsidRDefault="005F75DA">
      <w:pPr>
        <w:ind w:firstLine="720"/>
      </w:pPr>
      <w:r>
        <w:t xml:space="preserve">This supporting statement provides tables that break down reporting items for the proposed biointermediates program and technical amendments to the RFS program. Parties that are interested in registration, recordkeeping, and reporting burden would want to review the tables containing our estimates carefully. </w:t>
      </w:r>
      <w:r>
        <w:tab/>
      </w:r>
    </w:p>
    <w:p w14:paraId="3649DF91" w14:textId="77777777" w:rsidR="00E459EE" w:rsidRDefault="00E459EE">
      <w:pPr>
        <w:ind w:firstLine="720"/>
      </w:pPr>
    </w:p>
    <w:p w14:paraId="4B128B14" w14:textId="77777777" w:rsidR="00E459EE" w:rsidRDefault="005F75DA">
      <w:pPr>
        <w:pStyle w:val="Standard"/>
        <w:outlineLvl w:val="0"/>
        <w:rPr>
          <w:b/>
          <w:u w:val="single"/>
        </w:rPr>
      </w:pPr>
      <w:r>
        <w:rPr>
          <w:b/>
        </w:rPr>
        <w:t>2.</w:t>
      </w:r>
      <w:r>
        <w:rPr>
          <w:b/>
        </w:rPr>
        <w:tab/>
      </w:r>
      <w:r>
        <w:rPr>
          <w:b/>
          <w:u w:val="single"/>
        </w:rPr>
        <w:t>Need For, and Use of, the Collection</w:t>
      </w:r>
    </w:p>
    <w:p w14:paraId="216E4A18" w14:textId="77777777" w:rsidR="00E459EE" w:rsidRDefault="00E459EE">
      <w:pPr>
        <w:pStyle w:val="Standard"/>
        <w:ind w:firstLine="720"/>
        <w:rPr>
          <w:b/>
          <w:u w:val="single"/>
        </w:rPr>
      </w:pPr>
    </w:p>
    <w:p w14:paraId="1F1D4DAB" w14:textId="77777777" w:rsidR="00E459EE" w:rsidRDefault="005F75DA">
      <w:pPr>
        <w:pStyle w:val="Standard"/>
        <w:ind w:firstLine="720"/>
        <w:outlineLvl w:val="1"/>
        <w:rPr>
          <w:b/>
        </w:rPr>
      </w:pPr>
      <w:r>
        <w:rPr>
          <w:b/>
        </w:rPr>
        <w:t>2(a)</w:t>
      </w:r>
      <w:r>
        <w:rPr>
          <w:b/>
        </w:rPr>
        <w:tab/>
        <w:t>Authority for the Collection</w:t>
      </w:r>
    </w:p>
    <w:p w14:paraId="42394F85" w14:textId="77777777" w:rsidR="00E459EE" w:rsidRDefault="00E459EE">
      <w:pPr>
        <w:pStyle w:val="Standard"/>
        <w:ind w:left="720"/>
      </w:pPr>
    </w:p>
    <w:p w14:paraId="2BAC7636" w14:textId="77777777" w:rsidR="00E459EE" w:rsidRDefault="005F75DA">
      <w:pPr>
        <w:pStyle w:val="Standard"/>
        <w:ind w:firstLine="720"/>
      </w:pPr>
      <w:r>
        <w:t>Sections 114 and 208 of the CAA, 42 U.S.C. §§ 7414 and 7542, authorize the EPA to require recordkeeping and reporting regarding enforcement of the provisions of Title II of the CAA.</w:t>
      </w:r>
    </w:p>
    <w:p w14:paraId="123FC7BE" w14:textId="77777777" w:rsidR="00E459EE" w:rsidRDefault="00E459EE">
      <w:pPr>
        <w:pStyle w:val="Standard"/>
        <w:ind w:firstLine="720"/>
      </w:pPr>
    </w:p>
    <w:p w14:paraId="33DE7A7F" w14:textId="77777777" w:rsidR="00E459EE" w:rsidRDefault="005F75DA">
      <w:pPr>
        <w:pStyle w:val="Standard"/>
        <w:ind w:firstLine="720"/>
        <w:outlineLvl w:val="1"/>
        <w:rPr>
          <w:b/>
        </w:rPr>
      </w:pPr>
      <w:r>
        <w:rPr>
          <w:b/>
        </w:rPr>
        <w:t>2(b)</w:t>
      </w:r>
      <w:r>
        <w:rPr>
          <w:b/>
        </w:rPr>
        <w:tab/>
        <w:t>Practical Utility/Uses of the Data</w:t>
      </w:r>
    </w:p>
    <w:p w14:paraId="790E35FF" w14:textId="77777777" w:rsidR="00E459EE" w:rsidRDefault="00E459EE">
      <w:pPr>
        <w:pStyle w:val="Standard"/>
        <w:ind w:firstLine="720"/>
      </w:pPr>
    </w:p>
    <w:p w14:paraId="313A6C00" w14:textId="77777777" w:rsidR="00E459EE" w:rsidRDefault="005F75DA">
      <w:pPr>
        <w:pStyle w:val="Standard"/>
        <w:ind w:firstLine="720"/>
      </w:pPr>
      <w:r>
        <w:t>The recordkeeping and reporting requirements of this proposed regulation would allow the EPA to monitor compliance from biointermediate producers, renewable fuel producers, independent third-parties, obligated parties, and other responsible parties with the RFS program.</w:t>
      </w:r>
    </w:p>
    <w:p w14:paraId="294E194A" w14:textId="77777777" w:rsidR="00E459EE" w:rsidRDefault="00E459EE">
      <w:pPr>
        <w:ind w:firstLine="720"/>
      </w:pPr>
    </w:p>
    <w:p w14:paraId="342CE4D4" w14:textId="77777777" w:rsidR="00E459EE" w:rsidRDefault="005F75DA">
      <w:pPr>
        <w:pStyle w:val="Standard"/>
        <w:outlineLvl w:val="0"/>
        <w:rPr>
          <w:b/>
        </w:rPr>
      </w:pPr>
      <w:r>
        <w:rPr>
          <w:b/>
        </w:rPr>
        <w:t>3.</w:t>
      </w:r>
      <w:r>
        <w:rPr>
          <w:b/>
        </w:rPr>
        <w:tab/>
      </w:r>
      <w:r>
        <w:rPr>
          <w:b/>
          <w:u w:val="single"/>
        </w:rPr>
        <w:t>Non-duplication, Consultation, and other Collection Criteria</w:t>
      </w:r>
    </w:p>
    <w:p w14:paraId="395374A7" w14:textId="77777777" w:rsidR="00E459EE" w:rsidRDefault="00E459EE">
      <w:pPr>
        <w:pStyle w:val="Standard"/>
        <w:ind w:firstLine="720"/>
        <w:rPr>
          <w:b/>
          <w:u w:val="single"/>
        </w:rPr>
      </w:pPr>
    </w:p>
    <w:p w14:paraId="51AF0A20" w14:textId="77777777" w:rsidR="00E459EE" w:rsidRDefault="005F75DA">
      <w:pPr>
        <w:pStyle w:val="Standard"/>
        <w:ind w:firstLine="720"/>
        <w:outlineLvl w:val="1"/>
        <w:rPr>
          <w:b/>
        </w:rPr>
      </w:pPr>
      <w:r>
        <w:rPr>
          <w:b/>
        </w:rPr>
        <w:t>3(a)</w:t>
      </w:r>
      <w:r>
        <w:rPr>
          <w:b/>
        </w:rPr>
        <w:tab/>
        <w:t>Non-duplication</w:t>
      </w:r>
    </w:p>
    <w:p w14:paraId="43245733" w14:textId="77777777" w:rsidR="00E459EE" w:rsidRDefault="00E459EE">
      <w:pPr>
        <w:pStyle w:val="Standard"/>
        <w:ind w:firstLine="720"/>
      </w:pPr>
    </w:p>
    <w:p w14:paraId="643216BE" w14:textId="77777777" w:rsidR="00E459EE" w:rsidRDefault="005F75DA">
      <w:pPr>
        <w:pStyle w:val="Standard"/>
        <w:ind w:firstLine="720"/>
      </w:pPr>
      <w:r>
        <w:lastRenderedPageBreak/>
        <w:t>Efforts have been made to eliminate duplication in this information collection. The information collected is considered CBI and unique to the closed DCFUEL database. The EPA has provided instructions in PDF in which the parties submit data in the Unified Report Form to the EPA’s Central Data Exchange (CDX). CDX also allows for updating and corrections to individual accounts. These data are not available from other sources.</w:t>
      </w:r>
    </w:p>
    <w:p w14:paraId="709F6158" w14:textId="77777777" w:rsidR="00E459EE" w:rsidRDefault="00E459EE">
      <w:pPr>
        <w:pStyle w:val="Standard"/>
        <w:ind w:firstLine="720"/>
      </w:pPr>
    </w:p>
    <w:p w14:paraId="2D666382" w14:textId="77777777" w:rsidR="00E459EE" w:rsidRDefault="005F75DA">
      <w:pPr>
        <w:pStyle w:val="Standard"/>
        <w:ind w:firstLine="720"/>
        <w:outlineLvl w:val="1"/>
        <w:rPr>
          <w:b/>
        </w:rPr>
      </w:pPr>
      <w:r>
        <w:rPr>
          <w:b/>
        </w:rPr>
        <w:t>3(b)</w:t>
      </w:r>
      <w:r>
        <w:rPr>
          <w:b/>
        </w:rPr>
        <w:tab/>
        <w:t>Public Notice</w:t>
      </w:r>
    </w:p>
    <w:p w14:paraId="4C04337D" w14:textId="77777777" w:rsidR="00E459EE" w:rsidRDefault="00E459EE">
      <w:pPr>
        <w:pStyle w:val="Standard"/>
        <w:ind w:firstLine="720"/>
      </w:pPr>
    </w:p>
    <w:p w14:paraId="58382444" w14:textId="77777777" w:rsidR="00E459EE" w:rsidRDefault="005F75DA">
      <w:pPr>
        <w:ind w:firstLine="720"/>
      </w:pPr>
      <w:r>
        <w:rPr>
          <w:color w:val="000000"/>
        </w:rPr>
        <w:t>Public notice of this ICR will be provided in the associated proposed rule. Any public comments received will be addressed in the ICR associated with the final rule.</w:t>
      </w:r>
    </w:p>
    <w:p w14:paraId="7CD42715" w14:textId="77777777" w:rsidR="00E459EE" w:rsidRDefault="00E459EE">
      <w:pPr>
        <w:pStyle w:val="Standard"/>
        <w:ind w:firstLine="720"/>
      </w:pPr>
    </w:p>
    <w:p w14:paraId="71EC3D6C" w14:textId="77777777" w:rsidR="00E459EE" w:rsidRDefault="005F75DA">
      <w:pPr>
        <w:pStyle w:val="Standard"/>
        <w:ind w:firstLine="720"/>
        <w:outlineLvl w:val="1"/>
        <w:rPr>
          <w:b/>
        </w:rPr>
      </w:pPr>
      <w:r>
        <w:rPr>
          <w:b/>
        </w:rPr>
        <w:t>3(c)</w:t>
      </w:r>
      <w:r>
        <w:rPr>
          <w:b/>
        </w:rPr>
        <w:tab/>
        <w:t>Consultations</w:t>
      </w:r>
    </w:p>
    <w:p w14:paraId="0EFD4E8D" w14:textId="77777777" w:rsidR="00E459EE" w:rsidRDefault="00E459EE">
      <w:pPr>
        <w:pStyle w:val="Standard"/>
        <w:ind w:firstLine="720"/>
      </w:pPr>
    </w:p>
    <w:p w14:paraId="26BB2382" w14:textId="77777777" w:rsidR="00E459EE" w:rsidRDefault="005F75DA">
      <w:pPr>
        <w:ind w:firstLine="720"/>
      </w:pPr>
      <w:r>
        <w:t>We have drawn upon our experience with RFS implementation and with similar fuels regulations to develop the estimates in this supporting statement. We also engaged in active outreach with stakeholders to help develop the estimates in this supporting statement.</w:t>
      </w:r>
    </w:p>
    <w:p w14:paraId="744DF31D" w14:textId="77777777" w:rsidR="00E459EE" w:rsidRDefault="00E459EE">
      <w:pPr>
        <w:pStyle w:val="Standard"/>
        <w:ind w:firstLine="720"/>
      </w:pPr>
    </w:p>
    <w:p w14:paraId="6D7484E9" w14:textId="77777777" w:rsidR="00E459EE" w:rsidRDefault="005F75DA">
      <w:pPr>
        <w:pStyle w:val="Standard"/>
        <w:ind w:firstLine="720"/>
        <w:outlineLvl w:val="1"/>
        <w:rPr>
          <w:b/>
        </w:rPr>
      </w:pPr>
      <w:r>
        <w:rPr>
          <w:b/>
        </w:rPr>
        <w:t>3(d)</w:t>
      </w:r>
      <w:r>
        <w:rPr>
          <w:b/>
        </w:rPr>
        <w:tab/>
        <w:t>Effects of Less Frequent Data Collection</w:t>
      </w:r>
    </w:p>
    <w:p w14:paraId="2A1BD5B5" w14:textId="77777777" w:rsidR="00E459EE" w:rsidRDefault="00E459EE">
      <w:pPr>
        <w:pStyle w:val="Standard"/>
        <w:ind w:firstLine="720"/>
      </w:pPr>
    </w:p>
    <w:p w14:paraId="08E24C5C" w14:textId="77777777" w:rsidR="00E459EE" w:rsidRDefault="005F75DA">
      <w:pPr>
        <w:pStyle w:val="Standard"/>
        <w:ind w:firstLine="720"/>
      </w:pPr>
      <w:r>
        <w:t>We have designed the reporting schedule to coincide with existing reporting deadlines applicable to other parties regulated under the RFS program. Less frequent collection of data would make it impossible to carry out the provisions of the CAA.</w:t>
      </w:r>
    </w:p>
    <w:p w14:paraId="6C982376" w14:textId="77777777" w:rsidR="00E459EE" w:rsidRDefault="00E459EE">
      <w:pPr>
        <w:pStyle w:val="Standard"/>
        <w:ind w:firstLine="720"/>
      </w:pPr>
    </w:p>
    <w:p w14:paraId="23954EFE" w14:textId="77777777" w:rsidR="00E459EE" w:rsidRDefault="005F75DA">
      <w:pPr>
        <w:pStyle w:val="Standard"/>
        <w:ind w:firstLine="720"/>
        <w:outlineLvl w:val="1"/>
        <w:rPr>
          <w:b/>
        </w:rPr>
      </w:pPr>
      <w:r>
        <w:rPr>
          <w:b/>
        </w:rPr>
        <w:t>3(e)</w:t>
      </w:r>
      <w:r>
        <w:rPr>
          <w:b/>
        </w:rPr>
        <w:tab/>
        <w:t>General Guidelines</w:t>
      </w:r>
    </w:p>
    <w:p w14:paraId="32043A1F" w14:textId="77777777" w:rsidR="00E459EE" w:rsidRDefault="00E459EE">
      <w:pPr>
        <w:pStyle w:val="Standard"/>
        <w:ind w:firstLine="720"/>
      </w:pPr>
    </w:p>
    <w:p w14:paraId="6736748D" w14:textId="77777777" w:rsidR="00E459EE" w:rsidRDefault="005F75DA">
      <w:pPr>
        <w:ind w:firstLine="720"/>
      </w:pPr>
      <w:r>
        <w:t xml:space="preserve">This information collection activity complies with 5 CFR 1320.6, except that respondents would be required to keep certain records for longer than three years. Specifically, parties would be required to keep product transfer documents (PTDs) and records related to the production, transfer, and use of biointermediates and renewable fuels for five years, and parties would be required to keep their compliance records (e.g., copies of periodic reports) for five (5) years. Five years is the applicable statute of limitations for other EPA fuels programs. </w:t>
      </w:r>
      <w:r>
        <w:rPr>
          <w:i/>
          <w:iCs/>
        </w:rPr>
        <w:t>See</w:t>
      </w:r>
      <w:r>
        <w:t xml:space="preserve"> 28 U.S.C. 2462. Many records such as PTDs (e.g., bills of lading, invoices, etc.) and fuel production records should be kept by parties under normal business practice. Therefore, the recordkeeping requirements under the proposed requirements should impose little additional burden. </w:t>
      </w:r>
    </w:p>
    <w:p w14:paraId="2F223564" w14:textId="77777777" w:rsidR="00E459EE" w:rsidRDefault="00E459EE">
      <w:pPr>
        <w:pStyle w:val="Standard"/>
        <w:ind w:firstLine="720"/>
      </w:pPr>
    </w:p>
    <w:p w14:paraId="4E6713F2" w14:textId="77777777" w:rsidR="00E459EE" w:rsidRDefault="005F75DA">
      <w:pPr>
        <w:pStyle w:val="Standard"/>
        <w:ind w:firstLine="720"/>
        <w:outlineLvl w:val="1"/>
        <w:rPr>
          <w:b/>
        </w:rPr>
      </w:pPr>
      <w:r>
        <w:rPr>
          <w:b/>
        </w:rPr>
        <w:t>3(f)</w:t>
      </w:r>
      <w:r>
        <w:rPr>
          <w:b/>
        </w:rPr>
        <w:tab/>
        <w:t>Confidentiality</w:t>
      </w:r>
    </w:p>
    <w:p w14:paraId="637503DA" w14:textId="77777777" w:rsidR="00E459EE" w:rsidRDefault="00E459EE">
      <w:pPr>
        <w:pStyle w:val="Standard"/>
        <w:ind w:firstLine="720"/>
      </w:pPr>
    </w:p>
    <w:p w14:paraId="1B21B357" w14:textId="77777777" w:rsidR="00E459EE" w:rsidRDefault="005F75DA">
      <w:pPr>
        <w:pStyle w:val="Standard"/>
        <w:ind w:firstLine="720"/>
      </w:pPr>
      <w:r>
        <w:t>We inform respondents that they may assert claims of CBI for information they submit. Any information claimed as confidential would be treated in accordance with 40 CFR part 2 and established EPA procedures. Information that is received without a claim of confidentiality may be made available to the public without further notice to the submitter under 40 CFR 2.203.</w:t>
      </w:r>
    </w:p>
    <w:p w14:paraId="76E9CEB8" w14:textId="77777777" w:rsidR="00E459EE" w:rsidRDefault="00E459EE">
      <w:pPr>
        <w:ind w:firstLine="720"/>
      </w:pPr>
    </w:p>
    <w:p w14:paraId="02AC58F1" w14:textId="77777777" w:rsidR="00E459EE" w:rsidRDefault="005F75DA">
      <w:pPr>
        <w:pStyle w:val="Standard"/>
        <w:ind w:firstLine="720"/>
        <w:outlineLvl w:val="1"/>
        <w:rPr>
          <w:b/>
        </w:rPr>
      </w:pPr>
      <w:r>
        <w:rPr>
          <w:b/>
        </w:rPr>
        <w:t>3(g)</w:t>
      </w:r>
      <w:r>
        <w:rPr>
          <w:b/>
        </w:rPr>
        <w:tab/>
        <w:t>Sensitive Information</w:t>
      </w:r>
    </w:p>
    <w:p w14:paraId="28DCBED7" w14:textId="77777777" w:rsidR="00E459EE" w:rsidRDefault="00E459EE">
      <w:pPr>
        <w:pStyle w:val="Standard"/>
        <w:ind w:firstLine="720"/>
      </w:pPr>
    </w:p>
    <w:p w14:paraId="3791F4CE" w14:textId="77777777" w:rsidR="00E459EE" w:rsidRDefault="005F75DA">
      <w:pPr>
        <w:pStyle w:val="Standard"/>
        <w:ind w:firstLine="720"/>
      </w:pPr>
      <w:r>
        <w:t>This information collection does not require submission of any sensitive information (e.g., social security numbers, dates of birth, etc.).</w:t>
      </w:r>
    </w:p>
    <w:p w14:paraId="7569643D" w14:textId="77777777" w:rsidR="00E459EE" w:rsidRDefault="00E459EE">
      <w:pPr>
        <w:ind w:firstLine="720"/>
      </w:pPr>
    </w:p>
    <w:p w14:paraId="67377D75" w14:textId="77777777" w:rsidR="00E459EE" w:rsidRDefault="005F75DA">
      <w:pPr>
        <w:pStyle w:val="Standard"/>
        <w:outlineLvl w:val="0"/>
        <w:rPr>
          <w:b/>
          <w:u w:val="single"/>
        </w:rPr>
      </w:pPr>
      <w:r>
        <w:rPr>
          <w:b/>
        </w:rPr>
        <w:t>4.</w:t>
      </w:r>
      <w:r>
        <w:rPr>
          <w:b/>
        </w:rPr>
        <w:tab/>
      </w:r>
      <w:r>
        <w:rPr>
          <w:b/>
          <w:u w:val="single"/>
        </w:rPr>
        <w:t>The Respondents and the Information Requested</w:t>
      </w:r>
    </w:p>
    <w:p w14:paraId="56D4D0BD" w14:textId="77777777" w:rsidR="00E459EE" w:rsidRDefault="00E459EE">
      <w:pPr>
        <w:pStyle w:val="Standard"/>
        <w:ind w:firstLine="720"/>
        <w:rPr>
          <w:b/>
        </w:rPr>
      </w:pPr>
    </w:p>
    <w:p w14:paraId="3D58B754" w14:textId="77777777" w:rsidR="00E459EE" w:rsidRDefault="005F75DA">
      <w:pPr>
        <w:pStyle w:val="Standard"/>
        <w:ind w:firstLine="720"/>
        <w:outlineLvl w:val="1"/>
        <w:rPr>
          <w:b/>
        </w:rPr>
      </w:pPr>
      <w:r>
        <w:rPr>
          <w:b/>
        </w:rPr>
        <w:t>4(a)</w:t>
      </w:r>
      <w:r>
        <w:rPr>
          <w:b/>
        </w:rPr>
        <w:tab/>
        <w:t>Respondents with NAICS/SIC Codes</w:t>
      </w:r>
    </w:p>
    <w:p w14:paraId="0F7DF519" w14:textId="77777777" w:rsidR="00E459EE" w:rsidRDefault="00E459EE">
      <w:pPr>
        <w:pStyle w:val="Standard"/>
        <w:ind w:firstLine="720"/>
      </w:pPr>
    </w:p>
    <w:p w14:paraId="6E3082EA" w14:textId="77777777" w:rsidR="00E459EE" w:rsidRDefault="005F75DA">
      <w:pPr>
        <w:pStyle w:val="Standard"/>
        <w:ind w:firstLine="720"/>
      </w:pPr>
      <w:r>
        <w:t>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w:t>
      </w:r>
    </w:p>
    <w:p w14:paraId="561B4C1C" w14:textId="77777777" w:rsidR="00E459EE" w:rsidRDefault="00E459EE">
      <w:pPr>
        <w:pStyle w:val="Standard"/>
        <w:ind w:firstLine="720"/>
      </w:pPr>
    </w:p>
    <w:p w14:paraId="7043A6CF" w14:textId="77777777" w:rsidR="00E459EE" w:rsidRDefault="005F75DA">
      <w:pPr>
        <w:pStyle w:val="Standard"/>
        <w:ind w:firstLine="720"/>
      </w:pPr>
      <w:r>
        <w:t>Using the terminology associated with the RFS program and the proposed Renewables Enhancement and Growth Support (REGS) rule, we have assumed the following classes of party, which are covered by this supporting statement.</w:t>
      </w:r>
    </w:p>
    <w:p w14:paraId="6E634ED4" w14:textId="77777777" w:rsidR="00E459EE" w:rsidRDefault="00E459EE">
      <w:pPr>
        <w:pStyle w:val="Standard"/>
        <w:ind w:firstLine="720"/>
      </w:pPr>
    </w:p>
    <w:p w14:paraId="72D41020" w14:textId="77777777" w:rsidR="00E459EE" w:rsidRDefault="005F75DA">
      <w:pPr>
        <w:pStyle w:val="Standard"/>
        <w:numPr>
          <w:ilvl w:val="0"/>
          <w:numId w:val="1"/>
        </w:numPr>
      </w:pPr>
      <w:r>
        <w:t>Renewable fuel producers</w:t>
      </w:r>
    </w:p>
    <w:p w14:paraId="4C7B983B" w14:textId="77777777" w:rsidR="00E459EE" w:rsidRDefault="005F75DA">
      <w:pPr>
        <w:pStyle w:val="Standard"/>
        <w:numPr>
          <w:ilvl w:val="0"/>
          <w:numId w:val="1"/>
        </w:numPr>
      </w:pPr>
      <w:r>
        <w:t>Obligated parties</w:t>
      </w:r>
    </w:p>
    <w:p w14:paraId="3C8BEBF8" w14:textId="77777777" w:rsidR="00E459EE" w:rsidRDefault="005F75DA">
      <w:pPr>
        <w:pStyle w:val="Standard"/>
        <w:numPr>
          <w:ilvl w:val="0"/>
          <w:numId w:val="1"/>
        </w:numPr>
      </w:pPr>
      <w:r>
        <w:t>Biointermediate producers</w:t>
      </w:r>
    </w:p>
    <w:p w14:paraId="5EE86F72" w14:textId="77777777" w:rsidR="00E459EE" w:rsidRDefault="005F75DA">
      <w:pPr>
        <w:pStyle w:val="Standard"/>
        <w:numPr>
          <w:ilvl w:val="0"/>
          <w:numId w:val="1"/>
        </w:numPr>
      </w:pPr>
      <w:r>
        <w:t>Biogas producers</w:t>
      </w:r>
    </w:p>
    <w:p w14:paraId="160846E7" w14:textId="77777777" w:rsidR="00E459EE" w:rsidRDefault="005F75DA">
      <w:pPr>
        <w:pStyle w:val="Standard"/>
        <w:numPr>
          <w:ilvl w:val="0"/>
          <w:numId w:val="1"/>
        </w:numPr>
      </w:pPr>
      <w:r>
        <w:t>Blenders of viscous renewable diesel for blending (“VRD-B Blenders”)</w:t>
      </w:r>
    </w:p>
    <w:p w14:paraId="5694C144" w14:textId="77777777" w:rsidR="00E459EE" w:rsidRDefault="005F75DA">
      <w:pPr>
        <w:pStyle w:val="Standard"/>
        <w:numPr>
          <w:ilvl w:val="0"/>
          <w:numId w:val="1"/>
        </w:numPr>
      </w:pPr>
      <w:r>
        <w:t>Producers of viscous renewable diesel for blending (“VRD-B Producers”)</w:t>
      </w:r>
    </w:p>
    <w:p w14:paraId="23C73422" w14:textId="77777777" w:rsidR="00E459EE" w:rsidRDefault="005F75DA">
      <w:pPr>
        <w:pStyle w:val="Standard"/>
        <w:numPr>
          <w:ilvl w:val="0"/>
          <w:numId w:val="1"/>
        </w:numPr>
      </w:pPr>
      <w:r>
        <w:t>Producers of viscous renewable diesel for neat use (“VRD-N Producers”)</w:t>
      </w:r>
    </w:p>
    <w:p w14:paraId="2C27BB71" w14:textId="77777777" w:rsidR="00E459EE" w:rsidRDefault="005F75DA">
      <w:pPr>
        <w:pStyle w:val="Standard"/>
        <w:numPr>
          <w:ilvl w:val="0"/>
          <w:numId w:val="1"/>
        </w:numPr>
      </w:pPr>
      <w:r>
        <w:t>Independent third-party engineers</w:t>
      </w:r>
    </w:p>
    <w:p w14:paraId="0B4EB5A5" w14:textId="77777777" w:rsidR="00E459EE" w:rsidRDefault="005F75DA">
      <w:pPr>
        <w:pStyle w:val="Standard"/>
        <w:numPr>
          <w:ilvl w:val="0"/>
          <w:numId w:val="1"/>
        </w:numPr>
      </w:pPr>
      <w:r>
        <w:t>Independent third-party auditors</w:t>
      </w:r>
    </w:p>
    <w:p w14:paraId="659B3B61" w14:textId="77777777" w:rsidR="00E459EE" w:rsidRDefault="00E459EE">
      <w:pPr>
        <w:pStyle w:val="Standard"/>
        <w:ind w:firstLine="720"/>
      </w:pPr>
    </w:p>
    <w:p w14:paraId="0F41DA2C" w14:textId="77777777" w:rsidR="00E459EE" w:rsidRDefault="005F75DA">
      <w:pPr>
        <w:pStyle w:val="Standard"/>
        <w:ind w:firstLine="720"/>
        <w:outlineLvl w:val="1"/>
        <w:rPr>
          <w:b/>
        </w:rPr>
      </w:pPr>
      <w:r>
        <w:rPr>
          <w:b/>
        </w:rPr>
        <w:t>4(b)</w:t>
      </w:r>
      <w:r>
        <w:rPr>
          <w:b/>
        </w:rPr>
        <w:tab/>
        <w:t>Information Requested</w:t>
      </w:r>
    </w:p>
    <w:p w14:paraId="6C5B8CF8" w14:textId="77777777" w:rsidR="00E459EE" w:rsidRDefault="00E459EE">
      <w:pPr>
        <w:pStyle w:val="Standard"/>
        <w:ind w:firstLine="720"/>
      </w:pPr>
    </w:p>
    <w:p w14:paraId="0F3BEEC6" w14:textId="77777777" w:rsidR="00E459EE" w:rsidRDefault="005F75DA">
      <w:pPr>
        <w:pStyle w:val="Standard"/>
        <w:ind w:firstLine="720"/>
      </w:pPr>
      <w:r>
        <w:t>The respondents are subject to this collection to demonstrate compliance with the RFS program. For this purpose, the respondents are required to report to EPA, via CDX and the EPA Moderated Transaction System (“EMTS”).</w:t>
      </w:r>
    </w:p>
    <w:p w14:paraId="0943CBF8" w14:textId="77777777" w:rsidR="00E459EE" w:rsidRDefault="00E459EE">
      <w:pPr>
        <w:ind w:firstLine="720"/>
      </w:pPr>
    </w:p>
    <w:p w14:paraId="08F498C0" w14:textId="77777777" w:rsidR="00E459EE" w:rsidRDefault="005F75DA">
      <w:pPr>
        <w:pStyle w:val="Standard"/>
        <w:ind w:firstLine="720"/>
      </w:pPr>
      <w:r>
        <w:t>(i)</w:t>
      </w:r>
      <w:r>
        <w:tab/>
        <w:t xml:space="preserve">Data Items </w:t>
      </w:r>
    </w:p>
    <w:p w14:paraId="2A94C54F" w14:textId="77777777" w:rsidR="00E459EE" w:rsidRDefault="00E459EE">
      <w:pPr>
        <w:autoSpaceDE w:val="0"/>
        <w:adjustRightInd w:val="0"/>
        <w:ind w:firstLine="720"/>
        <w:rPr>
          <w:rFonts w:cs="Times New Roman"/>
        </w:rPr>
      </w:pPr>
    </w:p>
    <w:p w14:paraId="28622D16" w14:textId="77777777" w:rsidR="00E459EE" w:rsidRDefault="005F75DA">
      <w:pPr>
        <w:autoSpaceDE w:val="0"/>
        <w:adjustRightInd w:val="0"/>
        <w:ind w:firstLine="720"/>
        <w:rPr>
          <w:rFonts w:cs="Times New Roman"/>
          <w:i/>
        </w:rPr>
      </w:pPr>
      <w:r>
        <w:rPr>
          <w:rFonts w:cs="Times New Roman"/>
          <w:i/>
        </w:rPr>
        <w:t>General Requirements</w:t>
      </w:r>
    </w:p>
    <w:p w14:paraId="5968601C" w14:textId="77777777" w:rsidR="00E459EE" w:rsidRDefault="00E459EE">
      <w:pPr>
        <w:autoSpaceDE w:val="0"/>
        <w:adjustRightInd w:val="0"/>
        <w:ind w:firstLine="720"/>
        <w:rPr>
          <w:rFonts w:cs="Times New Roman"/>
        </w:rPr>
      </w:pPr>
    </w:p>
    <w:p w14:paraId="143BF814" w14:textId="77777777" w:rsidR="00E459EE" w:rsidRDefault="005F75DA">
      <w:pPr>
        <w:autoSpaceDE w:val="0"/>
        <w:adjustRightInd w:val="0"/>
        <w:ind w:firstLine="720"/>
        <w:rPr>
          <w:rFonts w:cs="Times New Roman"/>
        </w:rPr>
      </w:pPr>
      <w:r>
        <w:rPr>
          <w:rFonts w:cs="Times New Roman"/>
        </w:rPr>
        <w:t xml:space="preserve">All classes of respondents covered under this proposed ICR would have registration, reporting, and recordkeeping requirements. These requirements vary significantly depending on the specific activities engaged in by any given party. </w:t>
      </w:r>
    </w:p>
    <w:p w14:paraId="5BA8CBF0" w14:textId="77777777" w:rsidR="00E459EE" w:rsidRDefault="00E459EE">
      <w:pPr>
        <w:autoSpaceDE w:val="0"/>
        <w:adjustRightInd w:val="0"/>
        <w:ind w:firstLine="720"/>
        <w:rPr>
          <w:rFonts w:cs="Times New Roman"/>
        </w:rPr>
      </w:pPr>
    </w:p>
    <w:p w14:paraId="75A4AAA0" w14:textId="77777777" w:rsidR="00E459EE" w:rsidRDefault="005F75DA">
      <w:pPr>
        <w:autoSpaceDE w:val="0"/>
        <w:adjustRightInd w:val="0"/>
        <w:ind w:firstLine="720"/>
        <w:rPr>
          <w:rFonts w:cs="Times New Roman"/>
        </w:rPr>
      </w:pPr>
      <w:r>
        <w:rPr>
          <w:rFonts w:cs="Times New Roman"/>
        </w:rPr>
        <w:t>Parties required to submit quarterly and annual reports would need to submit reports in accordance with existing the reporting schedules for the RFS program. The estimated burden tables in section 6(b) identify reporting forms associated with the specific proposed reporting requirements by party.</w:t>
      </w:r>
    </w:p>
    <w:p w14:paraId="4932A04E" w14:textId="77777777" w:rsidR="00E459EE" w:rsidRDefault="00E459EE">
      <w:pPr>
        <w:autoSpaceDE w:val="0"/>
        <w:adjustRightInd w:val="0"/>
        <w:ind w:firstLine="720"/>
        <w:rPr>
          <w:rFonts w:cs="Times New Roman"/>
        </w:rPr>
      </w:pPr>
    </w:p>
    <w:p w14:paraId="363CA4A2" w14:textId="77777777" w:rsidR="00E459EE" w:rsidRDefault="005F75DA">
      <w:pPr>
        <w:autoSpaceDE w:val="0"/>
        <w:adjustRightInd w:val="0"/>
        <w:ind w:firstLine="720"/>
        <w:rPr>
          <w:rFonts w:cs="Times New Roman"/>
        </w:rPr>
      </w:pPr>
      <w:r>
        <w:t xml:space="preserve">Respondents must retain underlying records related to reports they file for five (5) years. </w:t>
      </w:r>
      <w:r>
        <w:lastRenderedPageBreak/>
        <w:t xml:space="preserve">This period is consistent with other fuels programs and with customary business practices (CBP) for the industry. </w:t>
      </w:r>
      <w:r>
        <w:rPr>
          <w:rFonts w:cs="Times New Roman"/>
        </w:rPr>
        <w:t xml:space="preserve">On request by the EPA, records must be made available; for electronic records, this includes equipment or software needed to read the electronic records. If requested by the EPA, electronic records shall be converted to paper documents. </w:t>
      </w:r>
    </w:p>
    <w:p w14:paraId="4F849B97" w14:textId="77777777" w:rsidR="00E459EE" w:rsidRDefault="00E459EE">
      <w:pPr>
        <w:autoSpaceDE w:val="0"/>
        <w:adjustRightInd w:val="0"/>
        <w:ind w:firstLine="720"/>
        <w:rPr>
          <w:rFonts w:cs="Times New Roman"/>
        </w:rPr>
      </w:pPr>
    </w:p>
    <w:p w14:paraId="2D51C74C" w14:textId="77777777" w:rsidR="00E459EE" w:rsidRDefault="005F75DA">
      <w:pPr>
        <w:autoSpaceDE w:val="0"/>
        <w:adjustRightInd w:val="0"/>
        <w:ind w:firstLine="720"/>
        <w:rPr>
          <w:rFonts w:cs="Times New Roman"/>
        </w:rPr>
      </w:pPr>
      <w:r>
        <w:rPr>
          <w:rFonts w:cs="Times New Roman"/>
        </w:rPr>
        <w:t>The following paragraphs summarize the proposed requirements for each provision of the proposed REGS rule that we anticipate to have a collection burden. These proposed requirements are discussed in greater detail in the proposed rulemaking.</w:t>
      </w:r>
    </w:p>
    <w:p w14:paraId="3557877A" w14:textId="77777777" w:rsidR="00E459EE" w:rsidRDefault="00E459EE">
      <w:pPr>
        <w:autoSpaceDE w:val="0"/>
        <w:adjustRightInd w:val="0"/>
        <w:ind w:firstLine="720"/>
      </w:pPr>
    </w:p>
    <w:p w14:paraId="79F51721" w14:textId="77777777" w:rsidR="00E459EE" w:rsidRDefault="005F75DA">
      <w:pPr>
        <w:pStyle w:val="Standard"/>
        <w:ind w:firstLine="720"/>
        <w:rPr>
          <w:i/>
        </w:rPr>
      </w:pPr>
      <w:r>
        <w:rPr>
          <w:i/>
        </w:rPr>
        <w:t>Biointermediates Program</w:t>
      </w:r>
    </w:p>
    <w:p w14:paraId="4A853596" w14:textId="77777777" w:rsidR="00E459EE" w:rsidRDefault="00E459EE">
      <w:pPr>
        <w:pStyle w:val="Standard"/>
        <w:ind w:firstLine="720"/>
      </w:pPr>
    </w:p>
    <w:p w14:paraId="7365AB35" w14:textId="77777777" w:rsidR="00E459EE" w:rsidRDefault="005F75DA">
      <w:pPr>
        <w:pStyle w:val="Standard"/>
        <w:ind w:firstLine="720"/>
      </w:pPr>
      <w:r>
        <w:t>Biointermediate producers would have to report fuel volumes used for reporting volumes of biointermediate feedstock in EMTS. The information submitted to the EPA during a company’s initial registration defines its roles, responsibilities, and participation in the EMTS environment. Biointermediate producers and importers are responsible for financing a yearly attest engagement or audit to verify their facilities. Biointermediate producers must also develop PTDs for the transfer of biointermediates to renewable fuel producers. Records related to registration, reporting, and product transfers would need to be kept for five (5) years. During the interim implementation program, biointermediate producers would be required to have an EPA-approved Quality Assurance Plan (QAP) for the production of biointermediate feedstock material. In this proposed collection, biointermediate producers and importers may also submit new pathway petitions for EPA approval. Forms and procedures for the registration and reporting of biointermediates would be similar to those already used by renewable fuel producers. Sample forms are included in the docket for the proposed rulemaking.</w:t>
      </w:r>
    </w:p>
    <w:p w14:paraId="1E6609CA" w14:textId="77777777" w:rsidR="00E459EE" w:rsidRDefault="00E459EE">
      <w:pPr>
        <w:autoSpaceDE w:val="0"/>
        <w:adjustRightInd w:val="0"/>
        <w:ind w:firstLine="720"/>
      </w:pPr>
    </w:p>
    <w:p w14:paraId="4B9255D6" w14:textId="77777777" w:rsidR="00E459EE" w:rsidRDefault="005F75DA">
      <w:pPr>
        <w:ind w:firstLine="720"/>
        <w:rPr>
          <w:i/>
        </w:rPr>
      </w:pPr>
      <w:r>
        <w:rPr>
          <w:i/>
        </w:rPr>
        <w:t xml:space="preserve">Carbon Capture and Storage </w:t>
      </w:r>
    </w:p>
    <w:p w14:paraId="47F3C936" w14:textId="77777777" w:rsidR="00E459EE" w:rsidRDefault="00E459EE">
      <w:pPr>
        <w:ind w:firstLine="720"/>
      </w:pPr>
    </w:p>
    <w:p w14:paraId="6E7AE79E" w14:textId="6DB00A25" w:rsidR="00E459EE" w:rsidRDefault="005F75DA">
      <w:pPr>
        <w:ind w:firstLine="720"/>
      </w:pPr>
      <w:r>
        <w:t>Renewable fuels producers that generate RINs under a CCS pathway would need to fulfill all registration, reporting, and recordkeeping requirements associated with participation in the RFS program. In addition to these requirements, renewable fuel producers that generate RINs under a CCS pathway would need to submit additional registration materials (e.g., a plan detailing how the producer intends to sequester CO</w:t>
      </w:r>
      <w:r>
        <w:rPr>
          <w:vertAlign w:val="subscript"/>
        </w:rPr>
        <w:t>2</w:t>
      </w:r>
      <w:r>
        <w:t xml:space="preserve"> to meet RFS GHG threshold reductions), reporting, and recordkeeping related to the CO</w:t>
      </w:r>
      <w:r>
        <w:rPr>
          <w:vertAlign w:val="subscript"/>
        </w:rPr>
        <w:t>2</w:t>
      </w:r>
      <w:r>
        <w:t xml:space="preserve"> sequestration. These renewable fuel producers would register with the EPA identically to renewable fuel producers covered under the existing regulations and the following collections: EPA ICR No. 2380.02, OMB Control Number 2060-0637 and EPA ICR No. 2333.03, OMB Control Number 2060-0640. However, additional reporting required of these renewable fuel producers would be on a fo</w:t>
      </w:r>
      <w:r w:rsidR="005531E4">
        <w:t xml:space="preserve">rm that would be covered under EPA ICR No. 2551.01. </w:t>
      </w:r>
      <w:r>
        <w:t>A copy of this proposed form is included in the docket.</w:t>
      </w:r>
    </w:p>
    <w:p w14:paraId="7C1491C7" w14:textId="77777777" w:rsidR="00E459EE" w:rsidRDefault="00E459EE">
      <w:pPr>
        <w:ind w:firstLine="720"/>
      </w:pPr>
    </w:p>
    <w:p w14:paraId="3C298963" w14:textId="77777777" w:rsidR="00E459EE" w:rsidRDefault="005F75DA">
      <w:pPr>
        <w:ind w:firstLine="720"/>
        <w:rPr>
          <w:i/>
        </w:rPr>
      </w:pPr>
      <w:r>
        <w:rPr>
          <w:i/>
        </w:rPr>
        <w:t>Producers and Blenders of Viscous Renewable Diesel</w:t>
      </w:r>
    </w:p>
    <w:p w14:paraId="20886BD1" w14:textId="77777777" w:rsidR="00E459EE" w:rsidRDefault="00E459EE">
      <w:pPr>
        <w:ind w:firstLine="720"/>
      </w:pPr>
    </w:p>
    <w:p w14:paraId="2C9CE407" w14:textId="77777777" w:rsidR="00E459EE" w:rsidRDefault="005F75DA">
      <w:pPr>
        <w:ind w:firstLine="720"/>
      </w:pPr>
      <w:r>
        <w:t xml:space="preserve">The proposal contains new registration, reporting, and recordkeeping requirements for parties that generate RINs on vegetable oils (referred to viscous renewable diesel or VRD) that are used as transportation fuel, heating oil, or jet fuel. In cases where VRD is blended into diesel fuel to produce transportation fuel, heating oil, or jet fuel, the party that actually blends the VRD into the diesel fuel would generate RINs and thus need to register, submit reports, and keep </w:t>
      </w:r>
      <w:r>
        <w:lastRenderedPageBreak/>
        <w:t>records under the RFS program. The parties that produced the VRD for blending (“VRD-B”) would also need to register and report to the EPA. Parties that could demonstrate that neat VRD (“VRD-N”) was used as transportation fuel, heating oil, or jet fuel would have to satisfy additional registration, reporting, and recordkeeping requirements. Parties required to register and report VRD similar to a biointermediate producer or renewable fuel producer would use forms and procedures for those respective parties. A sample of the proposed forms for biointermediate producers are docketed and forms for renewable fuel producers are covered under the following collections: EPA ICR No. 2380.02, OMB Control Number 2060-0637 and EPA ICR No. 2333.03, OMB Control Number 2060-0640.</w:t>
      </w:r>
    </w:p>
    <w:p w14:paraId="19E4B5BD" w14:textId="77777777" w:rsidR="00E459EE" w:rsidRDefault="00E459EE">
      <w:pPr>
        <w:ind w:firstLine="720"/>
      </w:pPr>
    </w:p>
    <w:p w14:paraId="761CDB4A" w14:textId="77777777" w:rsidR="00E459EE" w:rsidRDefault="005F75DA">
      <w:pPr>
        <w:ind w:firstLine="720"/>
        <w:rPr>
          <w:i/>
        </w:rPr>
      </w:pPr>
      <w:r>
        <w:rPr>
          <w:i/>
        </w:rPr>
        <w:t>Short-Rotation Trees</w:t>
      </w:r>
    </w:p>
    <w:p w14:paraId="4C159899" w14:textId="77777777" w:rsidR="00E459EE" w:rsidRDefault="00E459EE">
      <w:pPr>
        <w:ind w:firstLine="720"/>
      </w:pPr>
    </w:p>
    <w:p w14:paraId="738C0304" w14:textId="77777777" w:rsidR="00E459EE" w:rsidRDefault="005F75DA">
      <w:pPr>
        <w:ind w:firstLine="720"/>
      </w:pPr>
      <w:r>
        <w:t>In addition to satisfying all applicable requirements for renewable fuel producers under the RFS program, renewable fuel producers that generate RINs under the proposed short-rotation trees pathway would need to submit additional information during registration and keep additional records to help ensure that short-rotation trees allowed under this pathway qualify as renewable biomass. The EPA believes that such producers can use existing forms for reporting requirements. These registration and reporting requirements are outlined in the following collections: EPA ICR No. 2380.02, OMB Control Number 2060-0637 and EPA ICR No. 2333.03, OMB Control Number 2060-0640.</w:t>
      </w:r>
    </w:p>
    <w:p w14:paraId="5D5C9DB2" w14:textId="77777777" w:rsidR="00E459EE" w:rsidRDefault="00E459EE">
      <w:pPr>
        <w:ind w:firstLine="720"/>
      </w:pPr>
    </w:p>
    <w:p w14:paraId="451AAF93" w14:textId="77777777" w:rsidR="00E459EE" w:rsidRDefault="005F75DA">
      <w:pPr>
        <w:ind w:firstLine="720"/>
        <w:rPr>
          <w:i/>
        </w:rPr>
      </w:pPr>
      <w:r>
        <w:rPr>
          <w:i/>
        </w:rPr>
        <w:t xml:space="preserve">Breakdown of Renewable Volume Obligation (RVO) Constituents </w:t>
      </w:r>
    </w:p>
    <w:p w14:paraId="2BCE622F" w14:textId="77777777" w:rsidR="00E459EE" w:rsidRDefault="00E459EE">
      <w:pPr>
        <w:ind w:firstLine="720"/>
      </w:pPr>
    </w:p>
    <w:p w14:paraId="27997F5D" w14:textId="77777777" w:rsidR="00E459EE" w:rsidRDefault="005F75DA">
      <w:pPr>
        <w:ind w:firstLine="720"/>
      </w:pPr>
      <w:r>
        <w:t>The proposal would require that obligated parties report individually the constituents of their annual gasoline and diesel production, as defined in 40 CFR 80.1407(c). Obligated parties currently report the total production volume of gasoline and diesel combined to calculate their annual RVO. In addition to the fuels listed in 40 CFR 80.1407(c), obligated parties would also have to report total non-renewable heating oil production. Obligated parties report similar information in other EPA fuels program and this additional breakdown of gasoline and diesel production volumes would have a marginal increase in current reporting burdens. This proposed ICR includes the increased burden associated with the added data elements. The current burden associated with obligated parties’ annual compliance reports is covered under EPA ICR No. 2333.03, OMB Control Number 2060-0640.</w:t>
      </w:r>
    </w:p>
    <w:p w14:paraId="46B7E7E7" w14:textId="77777777" w:rsidR="00E459EE" w:rsidRDefault="00E459EE">
      <w:pPr>
        <w:ind w:firstLine="720"/>
      </w:pPr>
    </w:p>
    <w:p w14:paraId="18486FF2" w14:textId="77777777" w:rsidR="00E459EE" w:rsidRDefault="005F75DA">
      <w:pPr>
        <w:ind w:firstLine="720"/>
        <w:rPr>
          <w:i/>
        </w:rPr>
      </w:pPr>
      <w:r>
        <w:rPr>
          <w:i/>
        </w:rPr>
        <w:t>Third-Party Engineer Requirements</w:t>
      </w:r>
    </w:p>
    <w:p w14:paraId="2DFB6763" w14:textId="77777777" w:rsidR="00E459EE" w:rsidRDefault="00E459EE">
      <w:pPr>
        <w:ind w:firstLine="720"/>
      </w:pPr>
    </w:p>
    <w:p w14:paraId="20BA1DF4" w14:textId="77777777" w:rsidR="00E459EE" w:rsidRDefault="005F75DA">
      <w:pPr>
        <w:ind w:firstLine="720"/>
      </w:pPr>
      <w:r>
        <w:t xml:space="preserve">Currently, renewable fuel producers are required to submit engineering review reports prepared by an independent third-party engineer to the EPA. This proposal would require that engineering review reports are submitted directly to the EPA by the independent third-party engineer. In addition to the direct submission of engineering review reports from third-party engineers to the EPA, third-party engineers would also need to register with the EPA and keep records related to performing the engineering review and submitting the engineering review report. A sample electronic engineering review report form is included in the docket. </w:t>
      </w:r>
    </w:p>
    <w:p w14:paraId="1F1BDD14" w14:textId="77777777" w:rsidR="00E459EE" w:rsidRDefault="00E459EE">
      <w:pPr>
        <w:ind w:firstLine="720"/>
      </w:pPr>
    </w:p>
    <w:p w14:paraId="0AFD0E07" w14:textId="77777777" w:rsidR="00E459EE" w:rsidRDefault="005F75DA">
      <w:pPr>
        <w:ind w:firstLine="720"/>
        <w:rPr>
          <w:i/>
        </w:rPr>
      </w:pPr>
      <w:r>
        <w:rPr>
          <w:i/>
        </w:rPr>
        <w:t>Facility Ownership Changes</w:t>
      </w:r>
    </w:p>
    <w:p w14:paraId="290FDA24" w14:textId="77777777" w:rsidR="00E459EE" w:rsidRDefault="00E459EE">
      <w:pPr>
        <w:ind w:firstLine="720"/>
      </w:pPr>
    </w:p>
    <w:p w14:paraId="60306860" w14:textId="77777777" w:rsidR="00E459EE" w:rsidRDefault="005F75DA">
      <w:pPr>
        <w:ind w:firstLine="720"/>
      </w:pPr>
      <w:r>
        <w:lastRenderedPageBreak/>
        <w:t>Renewable fuel production facilities undergo changes in ownership on a regular basis. The existing registration regulations for the RFS program do not outline specifically what documentation is required to affect the change in ownership. This proposal spells out what documentation would be needed to document a change in ownership and the process to update the registration information for the renewable fuel production facility.</w:t>
      </w:r>
    </w:p>
    <w:p w14:paraId="3C2107C9" w14:textId="77777777" w:rsidR="00E459EE" w:rsidRDefault="00E459EE">
      <w:pPr>
        <w:ind w:firstLine="720"/>
      </w:pPr>
    </w:p>
    <w:p w14:paraId="5A348CD9" w14:textId="77777777" w:rsidR="00E459EE" w:rsidRDefault="005F75DA">
      <w:pPr>
        <w:ind w:firstLine="720"/>
        <w:rPr>
          <w:i/>
        </w:rPr>
      </w:pPr>
      <w:r>
        <w:rPr>
          <w:i/>
        </w:rPr>
        <w:t>Biogas Producers</w:t>
      </w:r>
    </w:p>
    <w:p w14:paraId="2D0C5113" w14:textId="77777777" w:rsidR="00E459EE" w:rsidRDefault="00E459EE">
      <w:pPr>
        <w:ind w:firstLine="720"/>
      </w:pPr>
    </w:p>
    <w:p w14:paraId="4C8F237D" w14:textId="77777777" w:rsidR="00E459EE" w:rsidRDefault="005F75DA">
      <w:pPr>
        <w:ind w:firstLine="720"/>
      </w:pPr>
      <w:r>
        <w:t>The proposed rule would require that all producers of biogas would need to register, submit reports, and maintain records in addition to parties that generate RINs from biogas used to produce renewable electricity, CNG, or LNG. The current RFS requirements allow parties other than the biogas producer to register as the RIN generator. The proposal does not propose any new registration, reporting, and reporting requirements for biogas production and RIN generation, but would increase the number of parties required to register and report under the RFS program. Since most biogas producers are already registered as the RIN generator, the increased number of respondents as a result of this proposal is not expected to be substantial.</w:t>
      </w:r>
    </w:p>
    <w:p w14:paraId="2A51473B" w14:textId="77777777" w:rsidR="00E459EE" w:rsidRDefault="00E459EE">
      <w:pPr>
        <w:ind w:firstLine="720"/>
      </w:pPr>
    </w:p>
    <w:p w14:paraId="0B266D97" w14:textId="77777777" w:rsidR="00E459EE" w:rsidRDefault="005F75DA">
      <w:pPr>
        <w:ind w:firstLine="720"/>
        <w:rPr>
          <w:i/>
        </w:rPr>
      </w:pPr>
      <w:r>
        <w:rPr>
          <w:i/>
        </w:rPr>
        <w:t>Redesignating Renewable Fuels</w:t>
      </w:r>
    </w:p>
    <w:p w14:paraId="5C46F473" w14:textId="77777777" w:rsidR="00E459EE" w:rsidRDefault="00E459EE">
      <w:pPr>
        <w:ind w:firstLine="720"/>
      </w:pPr>
    </w:p>
    <w:p w14:paraId="291CBB44" w14:textId="77777777" w:rsidR="00E459EE" w:rsidRDefault="005F75DA">
      <w:pPr>
        <w:ind w:firstLine="720"/>
      </w:pPr>
      <w:r>
        <w:t>Under this proposal, parties that redesignate renewable fuels for uses other than transportation fuel, heating oil, jet fuel, or fuel for a stationary internal combustion engine would incur an obligation to retire RINs for the volume of renewable fuel redesignated. In order to fulfil this obligation, parties would need to register in CDX, submit reports demonstrating compliance with their obligation, keep records, and undergo an annual attest engagement. These requirements are consistent with those required for obligated parties and exporters that need to retire RINs for exported renewable fuels.</w:t>
      </w:r>
    </w:p>
    <w:p w14:paraId="4E48F139" w14:textId="77777777" w:rsidR="00E459EE" w:rsidRDefault="00E459EE">
      <w:pPr>
        <w:autoSpaceDE w:val="0"/>
        <w:adjustRightInd w:val="0"/>
        <w:ind w:firstLine="720"/>
      </w:pPr>
    </w:p>
    <w:p w14:paraId="5F5B0986" w14:textId="77777777" w:rsidR="00E459EE" w:rsidRDefault="005F75DA">
      <w:pPr>
        <w:pStyle w:val="Standard"/>
        <w:ind w:firstLine="720"/>
      </w:pPr>
      <w:r>
        <w:t>(ii)</w:t>
      </w:r>
      <w:r>
        <w:tab/>
        <w:t>Respondent Activities</w:t>
      </w:r>
    </w:p>
    <w:p w14:paraId="42893026" w14:textId="77777777" w:rsidR="00E459EE" w:rsidRDefault="00E459EE">
      <w:pPr>
        <w:pStyle w:val="Standard"/>
        <w:ind w:firstLine="720"/>
      </w:pPr>
    </w:p>
    <w:p w14:paraId="2408ECCF" w14:textId="77777777" w:rsidR="00E459EE" w:rsidRDefault="005F75DA">
      <w:pPr>
        <w:pStyle w:val="Standard"/>
        <w:ind w:firstLine="720"/>
      </w:pPr>
      <w:r>
        <w:rPr>
          <w:rFonts w:cs="Times New Roman"/>
          <w:kern w:val="0"/>
          <w:lang w:bidi="ar-SA"/>
        </w:rPr>
        <w:t>All respondents must be registered in</w:t>
      </w:r>
      <w:r>
        <w:rPr>
          <w:rFonts w:cs="Times New Roman"/>
        </w:rPr>
        <w:t xml:space="preserve"> </w:t>
      </w:r>
      <w:r>
        <w:t>the DCFUEL application to obtain a valid company number to sign up in CDX. In CDX, parties would submit facility registration corrections and updates and report fuel volumes used for buying and selling RINS in the EMTS. The information submitted to the EPA during a company’s initial registration defines its roles, responsibilities and participation in the EMTS environment. All parties that submit reports to the EPA are responsible for financing a yearly attest engagement or audit to verify their facilities.</w:t>
      </w:r>
    </w:p>
    <w:p w14:paraId="05719439" w14:textId="77777777" w:rsidR="00E459EE" w:rsidRDefault="00E459EE"/>
    <w:p w14:paraId="71500C12" w14:textId="77777777" w:rsidR="00E459EE" w:rsidRDefault="005F75DA">
      <w:pPr>
        <w:ind w:left="720" w:hanging="720"/>
        <w:outlineLvl w:val="0"/>
        <w:rPr>
          <w:b/>
          <w:u w:val="single"/>
        </w:rPr>
      </w:pPr>
      <w:r>
        <w:rPr>
          <w:b/>
        </w:rPr>
        <w:t>5.</w:t>
      </w:r>
      <w:r>
        <w:rPr>
          <w:b/>
        </w:rPr>
        <w:tab/>
      </w:r>
      <w:r>
        <w:rPr>
          <w:b/>
          <w:u w:val="single"/>
        </w:rPr>
        <w:t>The Information Collected, Agency Activities, Collection Methodology, and Information Management</w:t>
      </w:r>
    </w:p>
    <w:p w14:paraId="26EC05AD" w14:textId="77777777" w:rsidR="00E459EE" w:rsidRDefault="00E459EE">
      <w:pPr>
        <w:ind w:firstLine="720"/>
        <w:rPr>
          <w:b/>
        </w:rPr>
      </w:pPr>
    </w:p>
    <w:p w14:paraId="47A2907E" w14:textId="77777777" w:rsidR="00E459EE" w:rsidRDefault="005F75DA">
      <w:pPr>
        <w:ind w:firstLine="720"/>
        <w:outlineLvl w:val="1"/>
        <w:rPr>
          <w:b/>
        </w:rPr>
      </w:pPr>
      <w:r>
        <w:rPr>
          <w:b/>
        </w:rPr>
        <w:t>5(a)</w:t>
      </w:r>
      <w:r>
        <w:rPr>
          <w:b/>
        </w:rPr>
        <w:tab/>
        <w:t>Agency Activities</w:t>
      </w:r>
    </w:p>
    <w:p w14:paraId="428E1906" w14:textId="77777777" w:rsidR="00E459EE" w:rsidRDefault="00E459EE">
      <w:pPr>
        <w:ind w:firstLine="720"/>
      </w:pPr>
    </w:p>
    <w:p w14:paraId="6062E08E" w14:textId="77777777" w:rsidR="00E459EE" w:rsidRDefault="005F75DA">
      <w:pPr>
        <w:widowControl/>
        <w:numPr>
          <w:ilvl w:val="0"/>
          <w:numId w:val="5"/>
        </w:numPr>
        <w:tabs>
          <w:tab w:val="clear" w:pos="360"/>
          <w:tab w:val="num" w:pos="1080"/>
        </w:tabs>
        <w:suppressAutoHyphens w:val="0"/>
        <w:autoSpaceDN/>
        <w:ind w:left="1080"/>
        <w:textAlignment w:val="auto"/>
      </w:pPr>
      <w:r>
        <w:t>All reports and registrations will be reviewed by the EPA for completeness and for potential violations.</w:t>
      </w:r>
    </w:p>
    <w:p w14:paraId="4C4D9E92" w14:textId="77777777" w:rsidR="00E459EE" w:rsidRDefault="005F75DA">
      <w:pPr>
        <w:widowControl/>
        <w:numPr>
          <w:ilvl w:val="0"/>
          <w:numId w:val="5"/>
        </w:numPr>
        <w:tabs>
          <w:tab w:val="clear" w:pos="360"/>
          <w:tab w:val="num" w:pos="1080"/>
        </w:tabs>
        <w:suppressAutoHyphens w:val="0"/>
        <w:autoSpaceDN/>
        <w:ind w:left="1080"/>
        <w:textAlignment w:val="auto"/>
      </w:pPr>
      <w:r>
        <w:t>Potential violations will be referred to enforcement personnel.</w:t>
      </w:r>
    </w:p>
    <w:p w14:paraId="58C931F6" w14:textId="77777777" w:rsidR="00E459EE" w:rsidRDefault="005F75DA">
      <w:pPr>
        <w:widowControl/>
        <w:numPr>
          <w:ilvl w:val="0"/>
          <w:numId w:val="5"/>
        </w:numPr>
        <w:tabs>
          <w:tab w:val="clear" w:pos="360"/>
          <w:tab w:val="num" w:pos="1080"/>
        </w:tabs>
        <w:suppressAutoHyphens w:val="0"/>
        <w:autoSpaceDN/>
        <w:ind w:left="1080"/>
        <w:textAlignment w:val="auto"/>
      </w:pPr>
      <w:r>
        <w:t xml:space="preserve">Registration numbers will be issued for new registrants. </w:t>
      </w:r>
    </w:p>
    <w:p w14:paraId="398E8BED" w14:textId="77777777" w:rsidR="00E459EE" w:rsidRDefault="005F75DA">
      <w:pPr>
        <w:widowControl/>
        <w:numPr>
          <w:ilvl w:val="0"/>
          <w:numId w:val="5"/>
        </w:numPr>
        <w:tabs>
          <w:tab w:val="clear" w:pos="360"/>
          <w:tab w:val="num" w:pos="1080"/>
        </w:tabs>
        <w:suppressAutoHyphens w:val="0"/>
        <w:autoSpaceDN/>
        <w:ind w:left="1080"/>
        <w:textAlignment w:val="auto"/>
      </w:pPr>
      <w:r>
        <w:t>The EPA will contact reporting parties if there is a problem with their submission.</w:t>
      </w:r>
    </w:p>
    <w:p w14:paraId="2C9AC99B" w14:textId="77777777" w:rsidR="00E459EE" w:rsidRDefault="00E459EE">
      <w:pPr>
        <w:ind w:firstLine="720"/>
      </w:pPr>
    </w:p>
    <w:p w14:paraId="4935163A" w14:textId="77777777" w:rsidR="00E459EE" w:rsidRDefault="005F75DA">
      <w:pPr>
        <w:ind w:firstLine="720"/>
        <w:outlineLvl w:val="1"/>
        <w:rPr>
          <w:b/>
        </w:rPr>
      </w:pPr>
      <w:r>
        <w:rPr>
          <w:b/>
        </w:rPr>
        <w:t xml:space="preserve">5(b) </w:t>
      </w:r>
      <w:r>
        <w:rPr>
          <w:b/>
        </w:rPr>
        <w:tab/>
        <w:t>Collection Methodology and Management</w:t>
      </w:r>
    </w:p>
    <w:p w14:paraId="14A27D86" w14:textId="77777777" w:rsidR="00E459EE" w:rsidRDefault="00E459EE">
      <w:pPr>
        <w:pStyle w:val="Standard"/>
        <w:ind w:firstLine="720"/>
      </w:pPr>
    </w:p>
    <w:p w14:paraId="38B637FA" w14:textId="77777777" w:rsidR="00E459EE" w:rsidRDefault="005F75DA">
      <w:pPr>
        <w:widowControl/>
        <w:suppressAutoHyphens w:val="0"/>
        <w:autoSpaceDE w:val="0"/>
        <w:adjustRightInd w:val="0"/>
        <w:ind w:firstLine="720"/>
        <w:textAlignment w:val="auto"/>
        <w:rPr>
          <w:rFonts w:cs="Times New Roman"/>
        </w:rPr>
      </w:pPr>
      <w:r>
        <w:t xml:space="preserve">The EPA will to continue to receive all reports, registrations, initial registrations, and updates. We anticipate receiving data in a simplified and secure fashion via CDX. Information claimed as CBI will be stored in appropriately controlled areas. The </w:t>
      </w:r>
      <w:r>
        <w:rPr>
          <w:rFonts w:cs="Times New Roman"/>
          <w:kern w:val="0"/>
          <w:lang w:bidi="ar-SA"/>
        </w:rPr>
        <w:t xml:space="preserve">EPA will provide Guidance Documents, Report Instructions, and Report Templates at: </w:t>
      </w:r>
      <w:r>
        <w:rPr>
          <w:rFonts w:cs="Times New Roman"/>
          <w:kern w:val="0"/>
          <w:u w:val="single"/>
          <w:lang w:bidi="ar-SA"/>
        </w:rPr>
        <w:t>https://www.epa.gov/fuels-registration-reporting-and-compliance-help/list-all-quarterly-and-annual-reports-renewable</w:t>
      </w:r>
      <w:r>
        <w:rPr>
          <w:rFonts w:cs="Times New Roman"/>
          <w:kern w:val="0"/>
          <w:lang w:bidi="ar-SA"/>
        </w:rPr>
        <w:t>.</w:t>
      </w:r>
    </w:p>
    <w:p w14:paraId="418E316F" w14:textId="77777777" w:rsidR="00E459EE" w:rsidRDefault="00E459EE">
      <w:pPr>
        <w:ind w:firstLine="720"/>
      </w:pPr>
    </w:p>
    <w:p w14:paraId="070B5156" w14:textId="77777777" w:rsidR="00E459EE" w:rsidRDefault="005F75DA">
      <w:pPr>
        <w:ind w:firstLine="720"/>
        <w:outlineLvl w:val="1"/>
        <w:rPr>
          <w:b/>
        </w:rPr>
      </w:pPr>
      <w:r>
        <w:rPr>
          <w:b/>
        </w:rPr>
        <w:t>5(c)</w:t>
      </w:r>
      <w:r>
        <w:rPr>
          <w:b/>
        </w:rPr>
        <w:tab/>
        <w:t>Small Entity Flexibility</w:t>
      </w:r>
    </w:p>
    <w:p w14:paraId="583BF3D5" w14:textId="77777777" w:rsidR="00E459EE" w:rsidRDefault="00E459EE">
      <w:pPr>
        <w:ind w:firstLine="720"/>
      </w:pPr>
    </w:p>
    <w:p w14:paraId="0F0616F0" w14:textId="77777777" w:rsidR="00E459EE" w:rsidRDefault="005F75DA">
      <w:pPr>
        <w:ind w:firstLine="720"/>
      </w:pPr>
      <w:r>
        <w:t xml:space="preserve">This collection would not adversely affect small entities. The RFS program has flexibility provisions available to small entities. The flexibility provisions that are available to small entities are found in 40 CFR 80.1441 and 80.1442. </w:t>
      </w:r>
    </w:p>
    <w:p w14:paraId="77AA9F85" w14:textId="77777777" w:rsidR="00E459EE" w:rsidRDefault="00E459EE">
      <w:pPr>
        <w:ind w:firstLine="720"/>
      </w:pPr>
    </w:p>
    <w:p w14:paraId="67B6A335" w14:textId="77777777" w:rsidR="00E459EE" w:rsidRDefault="005F75DA">
      <w:pPr>
        <w:ind w:firstLine="720"/>
        <w:outlineLvl w:val="1"/>
        <w:rPr>
          <w:b/>
        </w:rPr>
      </w:pPr>
      <w:r>
        <w:rPr>
          <w:b/>
        </w:rPr>
        <w:t>5(d)</w:t>
      </w:r>
      <w:r>
        <w:rPr>
          <w:b/>
        </w:rPr>
        <w:tab/>
        <w:t>Collection Schedule</w:t>
      </w:r>
    </w:p>
    <w:p w14:paraId="64A005B0" w14:textId="77777777" w:rsidR="00E459EE" w:rsidRDefault="00E459EE">
      <w:pPr>
        <w:ind w:firstLine="720"/>
      </w:pPr>
    </w:p>
    <w:p w14:paraId="6A071E2E" w14:textId="77777777" w:rsidR="00E459EE" w:rsidRDefault="005F75DA">
      <w:pPr>
        <w:pStyle w:val="Standard"/>
        <w:ind w:firstLine="720"/>
      </w:pPr>
      <w:r>
        <w:t>Registrations are received on a rolling basis. Updates may be sent in at any time after initial registration. New parties may enter the regulated industry at any time, triggering registration requirements. Reports are submitted to the EPA as needed or on a monthly, quarterly, or annual basis.</w:t>
      </w:r>
    </w:p>
    <w:p w14:paraId="2E1DC479" w14:textId="77777777" w:rsidR="00E459EE" w:rsidRDefault="00E459EE">
      <w:pPr>
        <w:autoSpaceDE w:val="0"/>
        <w:adjustRightInd w:val="0"/>
        <w:ind w:firstLine="720"/>
      </w:pPr>
    </w:p>
    <w:p w14:paraId="47070FCD" w14:textId="77777777" w:rsidR="00E459EE" w:rsidRDefault="005F75DA">
      <w:pPr>
        <w:outlineLvl w:val="0"/>
        <w:rPr>
          <w:b/>
        </w:rPr>
      </w:pPr>
      <w:r>
        <w:rPr>
          <w:b/>
        </w:rPr>
        <w:t>6.</w:t>
      </w:r>
      <w:r>
        <w:rPr>
          <w:b/>
        </w:rPr>
        <w:tab/>
      </w:r>
      <w:r>
        <w:rPr>
          <w:b/>
          <w:u w:val="single"/>
        </w:rPr>
        <w:t>Estimating the Burden and Cost of Collection</w:t>
      </w:r>
    </w:p>
    <w:p w14:paraId="74F60E00" w14:textId="77777777" w:rsidR="00E459EE" w:rsidRDefault="00E459EE">
      <w:pPr>
        <w:ind w:firstLine="720"/>
        <w:rPr>
          <w:b/>
        </w:rPr>
      </w:pPr>
    </w:p>
    <w:p w14:paraId="1E8410BC" w14:textId="77777777" w:rsidR="00E459EE" w:rsidRDefault="005F75DA">
      <w:pPr>
        <w:ind w:firstLine="720"/>
        <w:outlineLvl w:val="1"/>
        <w:rPr>
          <w:b/>
        </w:rPr>
      </w:pPr>
      <w:r>
        <w:rPr>
          <w:b/>
        </w:rPr>
        <w:t>6(a)</w:t>
      </w:r>
      <w:r>
        <w:rPr>
          <w:b/>
        </w:rPr>
        <w:tab/>
        <w:t xml:space="preserve">Estimating the Respondent Universe </w:t>
      </w:r>
    </w:p>
    <w:p w14:paraId="4B82C427" w14:textId="77777777" w:rsidR="00E459EE" w:rsidRDefault="00E459EE">
      <w:pPr>
        <w:ind w:firstLine="720"/>
      </w:pPr>
    </w:p>
    <w:p w14:paraId="72ABED6C" w14:textId="77777777" w:rsidR="00E459EE" w:rsidRDefault="005F75DA">
      <w:pPr>
        <w:ind w:firstLine="720"/>
      </w:pPr>
      <w:r>
        <w:t>We drew upon experience implementing similar regulations among the same entities to develop estimates of the burden associated with this collection. When available, for example with independent third-party engineers, we used estimates based on the actual number of third-party engineers that had performed engineering reviews under the RFS program. In this collection, the EPA expects that there would be 366 parties affected by this collection. Many of the renewable fuel producers and obligated parties already participate in the RFS program and therefore should only marginally increase their burdens. The following parties are identified as part of this collection with the number of each category of respondent in parentheticals:</w:t>
      </w:r>
    </w:p>
    <w:p w14:paraId="48C03F98" w14:textId="77777777" w:rsidR="00E459EE" w:rsidRDefault="00E459EE">
      <w:pPr>
        <w:ind w:firstLine="720"/>
      </w:pPr>
    </w:p>
    <w:p w14:paraId="125491B3" w14:textId="77777777" w:rsidR="00E459EE" w:rsidRDefault="005F75DA">
      <w:pPr>
        <w:pStyle w:val="Standard"/>
        <w:numPr>
          <w:ilvl w:val="0"/>
          <w:numId w:val="1"/>
        </w:numPr>
        <w:ind w:firstLine="720"/>
      </w:pPr>
      <w:r>
        <w:t>Producers of biointermediates (40)</w:t>
      </w:r>
    </w:p>
    <w:p w14:paraId="51662D95" w14:textId="77777777" w:rsidR="00E459EE" w:rsidRDefault="005F75DA">
      <w:pPr>
        <w:pStyle w:val="Standard"/>
        <w:numPr>
          <w:ilvl w:val="0"/>
          <w:numId w:val="1"/>
        </w:numPr>
        <w:ind w:firstLine="720"/>
      </w:pPr>
      <w:r>
        <w:t>Producers of renewable fuels that use biointermediates (40)</w:t>
      </w:r>
    </w:p>
    <w:p w14:paraId="57EF97C0" w14:textId="77777777" w:rsidR="00E459EE" w:rsidRDefault="005F75DA">
      <w:pPr>
        <w:pStyle w:val="Standard"/>
        <w:numPr>
          <w:ilvl w:val="0"/>
          <w:numId w:val="1"/>
        </w:numPr>
        <w:ind w:firstLine="720"/>
      </w:pPr>
      <w:r>
        <w:t>Independent third-party auditors (5)</w:t>
      </w:r>
    </w:p>
    <w:p w14:paraId="1D9D8CCD" w14:textId="77777777" w:rsidR="00E459EE" w:rsidRDefault="005F75DA">
      <w:pPr>
        <w:pStyle w:val="Standard"/>
        <w:numPr>
          <w:ilvl w:val="0"/>
          <w:numId w:val="1"/>
        </w:numPr>
        <w:ind w:firstLine="720"/>
      </w:pPr>
      <w:r>
        <w:t>Producers of VRD-B (10)</w:t>
      </w:r>
    </w:p>
    <w:p w14:paraId="402F451A" w14:textId="77777777" w:rsidR="00E459EE" w:rsidRDefault="005F75DA">
      <w:pPr>
        <w:pStyle w:val="Standard"/>
        <w:numPr>
          <w:ilvl w:val="0"/>
          <w:numId w:val="1"/>
        </w:numPr>
        <w:ind w:firstLine="720"/>
      </w:pPr>
      <w:r>
        <w:t>Producers of renewable fuels from blending VRD-B into diesel (10)</w:t>
      </w:r>
    </w:p>
    <w:p w14:paraId="707ACBDC" w14:textId="77777777" w:rsidR="00E459EE" w:rsidRDefault="005F75DA">
      <w:pPr>
        <w:pStyle w:val="Standard"/>
        <w:numPr>
          <w:ilvl w:val="0"/>
          <w:numId w:val="1"/>
        </w:numPr>
        <w:ind w:firstLine="720"/>
      </w:pPr>
      <w:r>
        <w:t>Producers of renewable fuels from VRD-N (2)</w:t>
      </w:r>
    </w:p>
    <w:p w14:paraId="31EBB9D3" w14:textId="77777777" w:rsidR="00E459EE" w:rsidRDefault="005F75DA">
      <w:pPr>
        <w:pStyle w:val="Standard"/>
        <w:numPr>
          <w:ilvl w:val="0"/>
          <w:numId w:val="1"/>
        </w:numPr>
        <w:ind w:firstLine="720"/>
      </w:pPr>
      <w:r>
        <w:t xml:space="preserve">Producers of biogas (25) </w:t>
      </w:r>
    </w:p>
    <w:p w14:paraId="3B4493B7" w14:textId="77777777" w:rsidR="00E459EE" w:rsidRDefault="005F75DA">
      <w:pPr>
        <w:pStyle w:val="Standard"/>
        <w:numPr>
          <w:ilvl w:val="0"/>
          <w:numId w:val="1"/>
        </w:numPr>
        <w:ind w:firstLine="720"/>
      </w:pPr>
      <w:r>
        <w:t>Independent third-party engineers (70)</w:t>
      </w:r>
    </w:p>
    <w:p w14:paraId="50E3B8EF" w14:textId="77777777" w:rsidR="00E459EE" w:rsidRDefault="005F75DA">
      <w:pPr>
        <w:pStyle w:val="Standard"/>
        <w:numPr>
          <w:ilvl w:val="0"/>
          <w:numId w:val="1"/>
        </w:numPr>
        <w:ind w:firstLine="720"/>
      </w:pPr>
      <w:r>
        <w:t>Producers of renewable fuels that use a CCS pathway (2)</w:t>
      </w:r>
    </w:p>
    <w:p w14:paraId="4B3A806A" w14:textId="77777777" w:rsidR="00E459EE" w:rsidRDefault="005F75DA">
      <w:pPr>
        <w:pStyle w:val="Standard"/>
        <w:numPr>
          <w:ilvl w:val="0"/>
          <w:numId w:val="1"/>
        </w:numPr>
        <w:ind w:firstLine="720"/>
      </w:pPr>
      <w:r>
        <w:t>Producers of renewable fuels that use short-rotation tree pathway (2)</w:t>
      </w:r>
    </w:p>
    <w:p w14:paraId="1E5D4950" w14:textId="77777777" w:rsidR="00E459EE" w:rsidRDefault="005F75DA">
      <w:pPr>
        <w:pStyle w:val="Standard"/>
        <w:numPr>
          <w:ilvl w:val="0"/>
          <w:numId w:val="1"/>
        </w:numPr>
        <w:ind w:firstLine="720"/>
      </w:pPr>
      <w:r>
        <w:t xml:space="preserve">Parties that redesignate renewable fuels (10) </w:t>
      </w:r>
    </w:p>
    <w:p w14:paraId="7BD23DA1" w14:textId="77777777" w:rsidR="00E459EE" w:rsidRDefault="005F75DA">
      <w:pPr>
        <w:pStyle w:val="Standard"/>
        <w:numPr>
          <w:ilvl w:val="0"/>
          <w:numId w:val="1"/>
        </w:numPr>
        <w:ind w:firstLine="720"/>
      </w:pPr>
      <w:r>
        <w:lastRenderedPageBreak/>
        <w:t>Obligated Parties (150)</w:t>
      </w:r>
    </w:p>
    <w:p w14:paraId="4B9332D6" w14:textId="77777777" w:rsidR="00E459EE" w:rsidRDefault="00E459EE">
      <w:pPr>
        <w:ind w:firstLine="720"/>
      </w:pPr>
    </w:p>
    <w:p w14:paraId="69122491" w14:textId="77777777" w:rsidR="00E459EE" w:rsidRDefault="005F75DA">
      <w:pPr>
        <w:ind w:firstLine="720"/>
        <w:outlineLvl w:val="1"/>
        <w:rPr>
          <w:b/>
        </w:rPr>
      </w:pPr>
      <w:r>
        <w:rPr>
          <w:b/>
        </w:rPr>
        <w:t>6(b)</w:t>
      </w:r>
      <w:r>
        <w:rPr>
          <w:b/>
        </w:rPr>
        <w:tab/>
        <w:t>Estimating the Respondent Burden and Cost</w:t>
      </w:r>
    </w:p>
    <w:p w14:paraId="7811ACEF" w14:textId="77777777" w:rsidR="00E459EE" w:rsidRDefault="00E459EE">
      <w:pPr>
        <w:ind w:firstLine="720"/>
      </w:pPr>
    </w:p>
    <w:p w14:paraId="592439FE" w14:textId="77777777" w:rsidR="00E459EE" w:rsidRDefault="005F75DA">
      <w:pPr>
        <w:pStyle w:val="Standard"/>
        <w:ind w:firstLine="720"/>
      </w:pPr>
      <w:r>
        <w:t>Four labor categories are involved: managerial, technical, clerical, and legal. The estimates used the Bureau of Labor Statistics figures from “National Industry-Specific Occupational Employment &amp; Wage Estimate: Petroleum and Coal Products Manufacturing” (March 2016). Using this method, the following wages and benefits apply by category:</w:t>
      </w:r>
    </w:p>
    <w:p w14:paraId="5DD1B823" w14:textId="77777777" w:rsidR="00E459EE" w:rsidRDefault="00E459EE">
      <w:pPr>
        <w:pStyle w:val="Standard"/>
        <w:ind w:firstLine="720"/>
        <w:rPr>
          <w:u w:val="single"/>
        </w:rPr>
      </w:pPr>
    </w:p>
    <w:p w14:paraId="51920203" w14:textId="77777777" w:rsidR="00E459EE" w:rsidRDefault="005F75DA">
      <w:pPr>
        <w:pStyle w:val="Standard"/>
        <w:ind w:firstLine="720"/>
        <w:rPr>
          <w:u w:val="single"/>
        </w:rPr>
      </w:pPr>
      <w:r>
        <w:rPr>
          <w:u w:val="single"/>
        </w:rPr>
        <w:t>Wages and Benefits</w:t>
      </w:r>
    </w:p>
    <w:p w14:paraId="69640B1F" w14:textId="77777777" w:rsidR="00E459EE" w:rsidRDefault="00E459EE">
      <w:pPr>
        <w:pStyle w:val="Standard"/>
        <w:ind w:firstLine="720"/>
        <w:rPr>
          <w:u w:val="single"/>
        </w:rPr>
      </w:pPr>
    </w:p>
    <w:p w14:paraId="3E0BA2E4" w14:textId="77777777" w:rsidR="00E459EE" w:rsidRDefault="005F75DA">
      <w:pPr>
        <w:pStyle w:val="Standard"/>
        <w:tabs>
          <w:tab w:val="right" w:pos="3600"/>
        </w:tabs>
        <w:ind w:firstLine="720"/>
      </w:pPr>
      <w:r>
        <w:t>Managerial</w:t>
      </w:r>
      <w:r>
        <w:tab/>
        <w:t>$57.20 per hour</w:t>
      </w:r>
    </w:p>
    <w:p w14:paraId="5F74DD9E" w14:textId="77777777" w:rsidR="00E459EE" w:rsidRDefault="005F75DA">
      <w:pPr>
        <w:pStyle w:val="Standard"/>
        <w:tabs>
          <w:tab w:val="right" w:pos="3600"/>
        </w:tabs>
        <w:ind w:firstLine="720"/>
      </w:pPr>
      <w:r>
        <w:t>Technical</w:t>
      </w:r>
      <w:r>
        <w:tab/>
        <w:t>$52.99 per hour</w:t>
      </w:r>
    </w:p>
    <w:p w14:paraId="2166D99B" w14:textId="77777777" w:rsidR="00E459EE" w:rsidRDefault="005F75DA">
      <w:pPr>
        <w:pStyle w:val="Standard"/>
        <w:tabs>
          <w:tab w:val="right" w:pos="3600"/>
        </w:tabs>
        <w:ind w:firstLine="720"/>
      </w:pPr>
      <w:r>
        <w:t>Clerical</w:t>
      </w:r>
      <w:r>
        <w:tab/>
        <w:t>$16.03 per hour</w:t>
      </w:r>
    </w:p>
    <w:p w14:paraId="01B6D5AC" w14:textId="77777777" w:rsidR="00E459EE" w:rsidRDefault="005F75DA">
      <w:pPr>
        <w:pStyle w:val="Standard"/>
        <w:tabs>
          <w:tab w:val="right" w:pos="3600"/>
        </w:tabs>
        <w:ind w:firstLine="720"/>
      </w:pPr>
      <w:r>
        <w:t>Legal</w:t>
      </w:r>
      <w:r>
        <w:tab/>
        <w:t>$57.25 per hour</w:t>
      </w:r>
    </w:p>
    <w:p w14:paraId="5E2FCA1A" w14:textId="77777777" w:rsidR="00E459EE" w:rsidRDefault="00E459EE">
      <w:pPr>
        <w:pStyle w:val="Standard"/>
        <w:ind w:firstLine="720"/>
      </w:pPr>
    </w:p>
    <w:p w14:paraId="6A691E23" w14:textId="77777777" w:rsidR="00E459EE" w:rsidRDefault="005F75DA">
      <w:pPr>
        <w:pStyle w:val="Standard"/>
        <w:ind w:firstLine="720"/>
      </w:pPr>
      <w:r>
        <w:t>Doubling for company overhead beyond wages and benefits, and for convenience, rounding up to the dollar, gives the following rates for this ICR:</w:t>
      </w:r>
    </w:p>
    <w:p w14:paraId="5DB61BA0" w14:textId="77777777" w:rsidR="00E459EE" w:rsidRDefault="00E459EE">
      <w:pPr>
        <w:pStyle w:val="Standard"/>
        <w:ind w:firstLine="720"/>
        <w:rPr>
          <w:u w:val="single"/>
        </w:rPr>
      </w:pPr>
    </w:p>
    <w:p w14:paraId="2E4EAD15" w14:textId="77777777" w:rsidR="00E459EE" w:rsidRDefault="005F75DA">
      <w:pPr>
        <w:pStyle w:val="Standard"/>
        <w:ind w:firstLine="720"/>
        <w:rPr>
          <w:u w:val="single"/>
        </w:rPr>
      </w:pPr>
      <w:r>
        <w:rPr>
          <w:u w:val="single"/>
        </w:rPr>
        <w:t>Total Employer Cost</w:t>
      </w:r>
    </w:p>
    <w:p w14:paraId="1B52BDF2" w14:textId="77777777" w:rsidR="00E459EE" w:rsidRDefault="00E459EE">
      <w:pPr>
        <w:pStyle w:val="Standard"/>
        <w:ind w:firstLine="720"/>
      </w:pPr>
    </w:p>
    <w:p w14:paraId="504DB30C" w14:textId="77777777" w:rsidR="00E459EE" w:rsidRDefault="005F75DA">
      <w:pPr>
        <w:pStyle w:val="Standard"/>
        <w:tabs>
          <w:tab w:val="right" w:pos="3600"/>
        </w:tabs>
        <w:ind w:firstLine="720"/>
      </w:pPr>
      <w:r>
        <w:t>Managerial</w:t>
      </w:r>
      <w:r>
        <w:tab/>
        <w:t>$115.00 per hour</w:t>
      </w:r>
    </w:p>
    <w:p w14:paraId="4FDAADCC" w14:textId="77777777" w:rsidR="00E459EE" w:rsidRDefault="005F75DA">
      <w:pPr>
        <w:pStyle w:val="Standard"/>
        <w:tabs>
          <w:tab w:val="right" w:pos="3600"/>
        </w:tabs>
        <w:ind w:firstLine="720"/>
      </w:pPr>
      <w:r>
        <w:t>Technical</w:t>
      </w:r>
      <w:r>
        <w:tab/>
        <w:t>$106.00 per hour</w:t>
      </w:r>
    </w:p>
    <w:p w14:paraId="134A4E2B" w14:textId="77777777" w:rsidR="00E459EE" w:rsidRDefault="005F75DA">
      <w:pPr>
        <w:pStyle w:val="Standard"/>
        <w:tabs>
          <w:tab w:val="right" w:pos="3600"/>
        </w:tabs>
        <w:ind w:firstLine="720"/>
      </w:pPr>
      <w:r>
        <w:t>Clerical</w:t>
      </w:r>
      <w:r>
        <w:tab/>
        <w:t>$33.00 per hour</w:t>
      </w:r>
    </w:p>
    <w:p w14:paraId="24A5800B" w14:textId="77777777" w:rsidR="00E459EE" w:rsidRDefault="005F75DA">
      <w:pPr>
        <w:pStyle w:val="Standard"/>
        <w:tabs>
          <w:tab w:val="right" w:pos="3600"/>
        </w:tabs>
        <w:ind w:firstLine="720"/>
      </w:pPr>
      <w:r>
        <w:t>Legal</w:t>
      </w:r>
      <w:r>
        <w:tab/>
        <w:t>$115.00 per hour</w:t>
      </w:r>
    </w:p>
    <w:p w14:paraId="7C2DF737" w14:textId="77777777" w:rsidR="00E459EE" w:rsidRDefault="00E459EE">
      <w:pPr>
        <w:pStyle w:val="Standard"/>
        <w:ind w:firstLine="720"/>
      </w:pPr>
    </w:p>
    <w:p w14:paraId="0A71F54A" w14:textId="77777777" w:rsidR="00E459EE" w:rsidRDefault="005F75DA">
      <w:pPr>
        <w:pStyle w:val="Standard"/>
        <w:ind w:firstLine="720"/>
      </w:pPr>
      <w:r>
        <w:t>It is assumed that for each hour of activity the mix will be about 0.05 hour managerial, 0.7 hour technical, 0.2 hour clerical, and 0.05 legal. This gives an average labor cost of $93 per hour (rounded up from $92.30), which will be used in this ICR. For purchased services related to attest engagements and some items of registration, we have doubled this hourly cost to $186 in order to more accurately reflect the cost of a certified public accountant (CPA) or licensed professional engineer's (PE) services.</w:t>
      </w:r>
    </w:p>
    <w:p w14:paraId="50DBD88C" w14:textId="77777777" w:rsidR="00E459EE" w:rsidRDefault="00E459EE">
      <w:pPr>
        <w:pStyle w:val="Standard"/>
        <w:ind w:firstLine="720"/>
      </w:pPr>
    </w:p>
    <w:p w14:paraId="1D0F4356" w14:textId="77777777" w:rsidR="00E459EE" w:rsidRDefault="005F75DA">
      <w:pPr>
        <w:pStyle w:val="Standard"/>
        <w:ind w:firstLine="720"/>
        <w:rPr>
          <w:rFonts w:cs="Times New Roman"/>
        </w:rPr>
      </w:pPr>
      <w:r>
        <w:rPr>
          <w:rFonts w:cs="Times New Roman"/>
        </w:rPr>
        <w:t>We used a number of assumptions across all parties that would need to report under the REGS proposed rulemaking. For recordkeeping requirements, we assumed monthly (i.e., 12 responses per year) filing by clerical staff. This is consistent across all parties except for parties that have additional recordkeeping requirements as noted in the specific table below. For EMTS transaction reporting and the generation of PTDs, we assumed the daily production of a batch of biointermediates and renewable fuel (or 365 batches created each year) and the daily generation of RINs off of those batches (or 365 EMTS transactions each year). Since EMTS transactions are mostly automated, the burden associated with submitting reports to EMTS is minimal.</w:t>
      </w:r>
    </w:p>
    <w:p w14:paraId="6D96F0DD" w14:textId="77777777" w:rsidR="00E459EE" w:rsidRDefault="00E459EE">
      <w:pPr>
        <w:pStyle w:val="Standard"/>
        <w:ind w:firstLine="720"/>
        <w:rPr>
          <w:rFonts w:cs="Times New Roman"/>
        </w:rPr>
      </w:pPr>
    </w:p>
    <w:p w14:paraId="52A33815" w14:textId="77777777" w:rsidR="00E459EE" w:rsidRDefault="005F75DA">
      <w:pPr>
        <w:pStyle w:val="Standard"/>
        <w:ind w:firstLine="720"/>
      </w:pPr>
      <w:r>
        <w:rPr>
          <w:rFonts w:cs="Times New Roman"/>
        </w:rPr>
        <w:t xml:space="preserve">For the registration of biointermediate and renewable fuel producers, the estimated registration burden includes the contracting of an independent third-party engineer to perform an engineering review and the burden of the producer to submit relevant company and facility information in CDX. Attest engagements and QAP participation require purchased services of a </w:t>
      </w:r>
      <w:r>
        <w:rPr>
          <w:rFonts w:cs="Times New Roman"/>
        </w:rPr>
        <w:lastRenderedPageBreak/>
        <w:t>CPA and independent third-party auditor respectively. Parties must submit prepared attest engagement reports to the EPA. Estimates for costs associated with purchased services are based on the EPA’s experience implementing burdens under the existing RFS requirements.</w:t>
      </w:r>
    </w:p>
    <w:p w14:paraId="5AAB69C0" w14:textId="77777777" w:rsidR="00E459EE" w:rsidRDefault="005F75DA">
      <w:pPr>
        <w:widowControl/>
        <w:suppressAutoHyphens w:val="0"/>
        <w:autoSpaceDN/>
        <w:spacing w:after="160" w:line="259" w:lineRule="auto"/>
        <w:textAlignment w:val="auto"/>
        <w:rPr>
          <w:rFonts w:cs="Times New Roman"/>
        </w:rPr>
      </w:pPr>
      <w:r>
        <w:rPr>
          <w:rFonts w:cs="Times New Roman"/>
        </w:rPr>
        <w:br w:type="page"/>
      </w:r>
    </w:p>
    <w:p w14:paraId="7D04C8B5" w14:textId="77777777" w:rsidR="00E459EE" w:rsidRDefault="00E459EE">
      <w:pPr>
        <w:pStyle w:val="Standard"/>
        <w:sectPr w:rsidR="00E459EE">
          <w:footerReference w:type="default" r:id="rId8"/>
          <w:pgSz w:w="12240" w:h="15840"/>
          <w:pgMar w:top="1440" w:right="1440" w:bottom="1440" w:left="1440" w:header="720" w:footer="720" w:gutter="0"/>
          <w:cols w:space="720"/>
          <w:docGrid w:linePitch="360"/>
        </w:sectPr>
      </w:pPr>
    </w:p>
    <w:tbl>
      <w:tblPr>
        <w:tblW w:w="15969" w:type="dxa"/>
        <w:tblLook w:val="04A0" w:firstRow="1" w:lastRow="0" w:firstColumn="1" w:lastColumn="0" w:noHBand="0" w:noVBand="1"/>
      </w:tblPr>
      <w:tblGrid>
        <w:gridCol w:w="2040"/>
        <w:gridCol w:w="2100"/>
        <w:gridCol w:w="1120"/>
        <w:gridCol w:w="1060"/>
        <w:gridCol w:w="1120"/>
        <w:gridCol w:w="1040"/>
        <w:gridCol w:w="1380"/>
        <w:gridCol w:w="1220"/>
        <w:gridCol w:w="1220"/>
        <w:gridCol w:w="1220"/>
        <w:gridCol w:w="1200"/>
        <w:gridCol w:w="1249"/>
      </w:tblGrid>
      <w:tr w:rsidR="00E459EE" w14:paraId="5480227E" w14:textId="77777777">
        <w:trPr>
          <w:trHeight w:val="50"/>
        </w:trPr>
        <w:tc>
          <w:tcPr>
            <w:tcW w:w="1596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94BF6A"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lastRenderedPageBreak/>
              <w:t>Annual Respondent Burden and Cost by Type of Party</w:t>
            </w:r>
          </w:p>
        </w:tc>
      </w:tr>
      <w:tr w:rsidR="00E459EE" w14:paraId="7D863E28" w14:textId="77777777">
        <w:trPr>
          <w:trHeight w:val="50"/>
        </w:trPr>
        <w:tc>
          <w:tcPr>
            <w:tcW w:w="1596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B82592"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6(b).1 - Biointermediate Producers and Importers</w:t>
            </w:r>
          </w:p>
        </w:tc>
      </w:tr>
      <w:tr w:rsidR="00E459EE" w14:paraId="16CA35F6" w14:textId="77777777">
        <w:trPr>
          <w:trHeight w:val="50"/>
        </w:trPr>
        <w:tc>
          <w:tcPr>
            <w:tcW w:w="4140" w:type="dxa"/>
            <w:gridSpan w:val="2"/>
            <w:tcBorders>
              <w:top w:val="single" w:sz="8" w:space="0" w:color="auto"/>
              <w:left w:val="single" w:sz="8" w:space="0" w:color="auto"/>
              <w:bottom w:val="single" w:sz="8" w:space="0" w:color="auto"/>
              <w:right w:val="nil"/>
            </w:tcBorders>
            <w:shd w:val="clear" w:color="000000" w:fill="F8F8F8"/>
            <w:noWrap/>
            <w:vAlign w:val="bottom"/>
            <w:hideMark/>
          </w:tcPr>
          <w:p w14:paraId="220B88DB"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F8E0B02"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240" w:type="dxa"/>
            <w:gridSpan w:val="5"/>
            <w:tcBorders>
              <w:top w:val="single" w:sz="8" w:space="0" w:color="auto"/>
              <w:left w:val="nil"/>
              <w:bottom w:val="single" w:sz="8" w:space="0" w:color="auto"/>
              <w:right w:val="nil"/>
            </w:tcBorders>
            <w:shd w:val="clear" w:color="000000" w:fill="F8F8F8"/>
            <w:noWrap/>
            <w:vAlign w:val="bottom"/>
            <w:hideMark/>
          </w:tcPr>
          <w:p w14:paraId="77491035"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249" w:type="dxa"/>
            <w:vMerge w:val="restart"/>
            <w:tcBorders>
              <w:top w:val="nil"/>
              <w:left w:val="single" w:sz="8" w:space="0" w:color="auto"/>
              <w:bottom w:val="nil"/>
              <w:right w:val="single" w:sz="8" w:space="0" w:color="auto"/>
            </w:tcBorders>
            <w:shd w:val="clear" w:color="000000" w:fill="F8FFB9"/>
            <w:vAlign w:val="center"/>
            <w:hideMark/>
          </w:tcPr>
          <w:p w14:paraId="48FFC23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384668F4" w14:textId="77777777">
        <w:trPr>
          <w:trHeight w:val="50"/>
        </w:trPr>
        <w:tc>
          <w:tcPr>
            <w:tcW w:w="2040" w:type="dxa"/>
            <w:tcBorders>
              <w:top w:val="nil"/>
              <w:left w:val="single" w:sz="8" w:space="0" w:color="auto"/>
              <w:bottom w:val="single" w:sz="8" w:space="0" w:color="auto"/>
              <w:right w:val="single" w:sz="4" w:space="0" w:color="auto"/>
            </w:tcBorders>
            <w:shd w:val="clear" w:color="000000" w:fill="F8F8F8"/>
            <w:noWrap/>
            <w:vAlign w:val="bottom"/>
            <w:hideMark/>
          </w:tcPr>
          <w:p w14:paraId="6684D58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100" w:type="dxa"/>
            <w:tcBorders>
              <w:top w:val="nil"/>
              <w:left w:val="nil"/>
              <w:bottom w:val="single" w:sz="8" w:space="0" w:color="auto"/>
              <w:right w:val="nil"/>
            </w:tcBorders>
            <w:shd w:val="clear" w:color="000000" w:fill="F8F8F8"/>
            <w:vAlign w:val="bottom"/>
            <w:hideMark/>
          </w:tcPr>
          <w:p w14:paraId="10FFF6C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46AC0C1C"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51596EC1"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6EFAC11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24CFA864"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380" w:type="dxa"/>
            <w:tcBorders>
              <w:top w:val="nil"/>
              <w:left w:val="nil"/>
              <w:bottom w:val="single" w:sz="8" w:space="0" w:color="auto"/>
              <w:right w:val="single" w:sz="4" w:space="0" w:color="auto"/>
            </w:tcBorders>
            <w:shd w:val="clear" w:color="000000" w:fill="F8F8F8"/>
            <w:vAlign w:val="bottom"/>
            <w:hideMark/>
          </w:tcPr>
          <w:p w14:paraId="4D7BCDFB"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000000" w:fill="F8F8F8"/>
            <w:vAlign w:val="bottom"/>
            <w:hideMark/>
          </w:tcPr>
          <w:p w14:paraId="219A053B"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000000" w:fill="F8F8F8"/>
            <w:vAlign w:val="bottom"/>
            <w:hideMark/>
          </w:tcPr>
          <w:p w14:paraId="2CC76341"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000000" w:fill="F8F8F8"/>
            <w:vAlign w:val="bottom"/>
            <w:hideMark/>
          </w:tcPr>
          <w:p w14:paraId="78377EA4"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000000" w:fill="F8F8F8"/>
            <w:vAlign w:val="bottom"/>
            <w:hideMark/>
          </w:tcPr>
          <w:p w14:paraId="0402451B"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249" w:type="dxa"/>
            <w:vMerge/>
            <w:tcBorders>
              <w:top w:val="nil"/>
              <w:left w:val="single" w:sz="8" w:space="0" w:color="auto"/>
              <w:bottom w:val="nil"/>
              <w:right w:val="single" w:sz="8" w:space="0" w:color="auto"/>
            </w:tcBorders>
            <w:vAlign w:val="center"/>
            <w:hideMark/>
          </w:tcPr>
          <w:p w14:paraId="6621C318"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5CEA70F1" w14:textId="77777777">
        <w:trPr>
          <w:trHeight w:val="50"/>
        </w:trPr>
        <w:tc>
          <w:tcPr>
            <w:tcW w:w="2040" w:type="dxa"/>
            <w:tcBorders>
              <w:top w:val="single" w:sz="4" w:space="0" w:color="auto"/>
              <w:left w:val="single" w:sz="8" w:space="0" w:color="auto"/>
              <w:bottom w:val="single" w:sz="4" w:space="0" w:color="auto"/>
              <w:right w:val="single" w:sz="4" w:space="0" w:color="auto"/>
            </w:tcBorders>
            <w:shd w:val="clear" w:color="000000" w:fill="F8F8F8"/>
            <w:vAlign w:val="bottom"/>
            <w:hideMark/>
          </w:tcPr>
          <w:p w14:paraId="00352E7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w:t>
            </w:r>
          </w:p>
        </w:tc>
        <w:tc>
          <w:tcPr>
            <w:tcW w:w="2100" w:type="dxa"/>
            <w:tcBorders>
              <w:top w:val="single" w:sz="4" w:space="0" w:color="auto"/>
              <w:left w:val="nil"/>
              <w:bottom w:val="single" w:sz="4" w:space="0" w:color="auto"/>
              <w:right w:val="nil"/>
            </w:tcBorders>
            <w:shd w:val="clear" w:color="000000" w:fill="F8F8F8"/>
            <w:vAlign w:val="bottom"/>
            <w:hideMark/>
          </w:tcPr>
          <w:p w14:paraId="1343315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C8A85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060" w:type="dxa"/>
            <w:tcBorders>
              <w:top w:val="nil"/>
              <w:left w:val="nil"/>
              <w:bottom w:val="single" w:sz="4" w:space="0" w:color="auto"/>
              <w:right w:val="single" w:sz="4" w:space="0" w:color="auto"/>
            </w:tcBorders>
            <w:shd w:val="clear" w:color="auto" w:fill="auto"/>
            <w:noWrap/>
            <w:vAlign w:val="bottom"/>
            <w:hideMark/>
          </w:tcPr>
          <w:p w14:paraId="13EF736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42BC36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7DF3B87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4,836</w:t>
            </w:r>
          </w:p>
        </w:tc>
        <w:tc>
          <w:tcPr>
            <w:tcW w:w="1380" w:type="dxa"/>
            <w:tcBorders>
              <w:top w:val="nil"/>
              <w:left w:val="nil"/>
              <w:bottom w:val="single" w:sz="4" w:space="0" w:color="auto"/>
              <w:right w:val="single" w:sz="4" w:space="0" w:color="auto"/>
            </w:tcBorders>
            <w:shd w:val="clear" w:color="000000" w:fill="F8F8F8"/>
            <w:noWrap/>
            <w:vAlign w:val="bottom"/>
            <w:hideMark/>
          </w:tcPr>
          <w:p w14:paraId="09F870D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1B0CD5C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5671CA3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single" w:sz="4" w:space="0" w:color="auto"/>
              <w:left w:val="nil"/>
              <w:bottom w:val="single" w:sz="4" w:space="0" w:color="auto"/>
              <w:right w:val="nil"/>
            </w:tcBorders>
            <w:shd w:val="clear" w:color="000000" w:fill="F8F8F8"/>
            <w:noWrap/>
            <w:vAlign w:val="bottom"/>
            <w:hideMark/>
          </w:tcPr>
          <w:p w14:paraId="6667B68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1,120</w:t>
            </w:r>
          </w:p>
        </w:tc>
        <w:tc>
          <w:tcPr>
            <w:tcW w:w="1200" w:type="dxa"/>
            <w:tcBorders>
              <w:top w:val="single" w:sz="4" w:space="0" w:color="auto"/>
              <w:left w:val="single" w:sz="4" w:space="0" w:color="auto"/>
              <w:bottom w:val="single" w:sz="4" w:space="0" w:color="auto"/>
              <w:right w:val="nil"/>
            </w:tcBorders>
            <w:shd w:val="clear" w:color="000000" w:fill="F8F8F8"/>
            <w:noWrap/>
            <w:vAlign w:val="bottom"/>
            <w:hideMark/>
          </w:tcPr>
          <w:p w14:paraId="33D1963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193,440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0A7C483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5FC1AB05"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28FBB20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w:t>
            </w:r>
          </w:p>
        </w:tc>
        <w:tc>
          <w:tcPr>
            <w:tcW w:w="2100" w:type="dxa"/>
            <w:tcBorders>
              <w:top w:val="nil"/>
              <w:left w:val="nil"/>
              <w:bottom w:val="single" w:sz="4" w:space="0" w:color="auto"/>
              <w:right w:val="nil"/>
            </w:tcBorders>
            <w:shd w:val="clear" w:color="000000" w:fill="F8F8F8"/>
            <w:vAlign w:val="bottom"/>
            <w:hideMark/>
          </w:tcPr>
          <w:p w14:paraId="5AE9A6A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50AA8AD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399E1D5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01D8A9B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6FF4794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000000" w:fill="F8F8F8"/>
            <w:noWrap/>
            <w:vAlign w:val="bottom"/>
            <w:hideMark/>
          </w:tcPr>
          <w:p w14:paraId="10DE36F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w:t>
            </w:r>
          </w:p>
        </w:tc>
        <w:tc>
          <w:tcPr>
            <w:tcW w:w="1220" w:type="dxa"/>
            <w:tcBorders>
              <w:top w:val="nil"/>
              <w:left w:val="nil"/>
              <w:bottom w:val="single" w:sz="4" w:space="0" w:color="auto"/>
              <w:right w:val="single" w:sz="4" w:space="0" w:color="auto"/>
            </w:tcBorders>
            <w:shd w:val="clear" w:color="000000" w:fill="F8F8F8"/>
            <w:noWrap/>
            <w:vAlign w:val="bottom"/>
            <w:hideMark/>
          </w:tcPr>
          <w:p w14:paraId="37EEC6B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5E4959E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w:t>
            </w:r>
          </w:p>
        </w:tc>
        <w:tc>
          <w:tcPr>
            <w:tcW w:w="1220" w:type="dxa"/>
            <w:tcBorders>
              <w:top w:val="nil"/>
              <w:left w:val="nil"/>
              <w:bottom w:val="single" w:sz="4" w:space="0" w:color="auto"/>
              <w:right w:val="nil"/>
            </w:tcBorders>
            <w:shd w:val="clear" w:color="000000" w:fill="F8F8F8"/>
            <w:noWrap/>
            <w:vAlign w:val="bottom"/>
            <w:hideMark/>
          </w:tcPr>
          <w:p w14:paraId="3F0AD87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28</w:t>
            </w:r>
          </w:p>
        </w:tc>
        <w:tc>
          <w:tcPr>
            <w:tcW w:w="1200" w:type="dxa"/>
            <w:tcBorders>
              <w:top w:val="nil"/>
              <w:left w:val="single" w:sz="4" w:space="0" w:color="auto"/>
              <w:bottom w:val="single" w:sz="4" w:space="0" w:color="auto"/>
              <w:right w:val="nil"/>
            </w:tcBorders>
            <w:shd w:val="clear" w:color="000000" w:fill="F8F8F8"/>
            <w:noWrap/>
            <w:vAlign w:val="bottom"/>
            <w:hideMark/>
          </w:tcPr>
          <w:p w14:paraId="1E1E6BF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2,604</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1021122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6E4A609"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23CAC4A5"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§80.1451(i)</w:t>
            </w:r>
          </w:p>
        </w:tc>
        <w:tc>
          <w:tcPr>
            <w:tcW w:w="2100" w:type="dxa"/>
            <w:tcBorders>
              <w:top w:val="nil"/>
              <w:left w:val="nil"/>
              <w:bottom w:val="single" w:sz="4" w:space="0" w:color="auto"/>
              <w:right w:val="nil"/>
            </w:tcBorders>
            <w:shd w:val="clear" w:color="000000" w:fill="F8F8F8"/>
            <w:vAlign w:val="bottom"/>
            <w:hideMark/>
          </w:tcPr>
          <w:p w14:paraId="34E6C203"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Quarterly Reports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13ADBF4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60" w:type="dxa"/>
            <w:tcBorders>
              <w:top w:val="nil"/>
              <w:left w:val="nil"/>
              <w:bottom w:val="single" w:sz="4" w:space="0" w:color="auto"/>
              <w:right w:val="single" w:sz="4" w:space="0" w:color="auto"/>
            </w:tcBorders>
            <w:shd w:val="clear" w:color="auto" w:fill="auto"/>
            <w:noWrap/>
            <w:vAlign w:val="bottom"/>
            <w:hideMark/>
          </w:tcPr>
          <w:p w14:paraId="0B90375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6A742E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49BE199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80" w:type="dxa"/>
            <w:tcBorders>
              <w:top w:val="nil"/>
              <w:left w:val="nil"/>
              <w:bottom w:val="single" w:sz="4" w:space="0" w:color="auto"/>
              <w:right w:val="single" w:sz="4" w:space="0" w:color="auto"/>
            </w:tcBorders>
            <w:shd w:val="clear" w:color="000000" w:fill="F8F8F8"/>
            <w:noWrap/>
            <w:vAlign w:val="bottom"/>
            <w:hideMark/>
          </w:tcPr>
          <w:p w14:paraId="1CE7A95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7E593EE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000000" w:fill="F8F8F8"/>
            <w:noWrap/>
            <w:vAlign w:val="bottom"/>
            <w:hideMark/>
          </w:tcPr>
          <w:p w14:paraId="40CE45B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160</w:t>
            </w:r>
          </w:p>
        </w:tc>
        <w:tc>
          <w:tcPr>
            <w:tcW w:w="1220" w:type="dxa"/>
            <w:tcBorders>
              <w:top w:val="nil"/>
              <w:left w:val="nil"/>
              <w:bottom w:val="single" w:sz="4" w:space="0" w:color="auto"/>
              <w:right w:val="nil"/>
            </w:tcBorders>
            <w:shd w:val="clear" w:color="000000" w:fill="F8F8F8"/>
            <w:noWrap/>
            <w:vAlign w:val="bottom"/>
            <w:hideMark/>
          </w:tcPr>
          <w:p w14:paraId="44560AD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1,280</w:t>
            </w:r>
          </w:p>
        </w:tc>
        <w:tc>
          <w:tcPr>
            <w:tcW w:w="1200" w:type="dxa"/>
            <w:tcBorders>
              <w:top w:val="nil"/>
              <w:left w:val="single" w:sz="4" w:space="0" w:color="auto"/>
              <w:bottom w:val="single" w:sz="4" w:space="0" w:color="auto"/>
              <w:right w:val="nil"/>
            </w:tcBorders>
            <w:shd w:val="clear" w:color="000000" w:fill="F8F8F8"/>
            <w:noWrap/>
            <w:vAlign w:val="bottom"/>
            <w:hideMark/>
          </w:tcPr>
          <w:p w14:paraId="33EB009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119,040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5982B849" w14:textId="526BC0AA" w:rsidR="00E459EE" w:rsidRDefault="005F75DA" w:rsidP="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RFS4000, RFS0702, RFS0802</w:t>
            </w:r>
          </w:p>
        </w:tc>
      </w:tr>
      <w:tr w:rsidR="00E459EE" w14:paraId="5104A29A"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0CC24EC3"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100" w:type="dxa"/>
            <w:tcBorders>
              <w:top w:val="nil"/>
              <w:left w:val="nil"/>
              <w:bottom w:val="single" w:sz="4" w:space="0" w:color="auto"/>
              <w:right w:val="nil"/>
            </w:tcBorders>
            <w:shd w:val="clear" w:color="000000" w:fill="F8F8F8"/>
            <w:vAlign w:val="bottom"/>
            <w:hideMark/>
          </w:tcPr>
          <w:p w14:paraId="155437C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 Transaction Reporting</w:t>
            </w:r>
            <w:r>
              <w:rPr>
                <w:rFonts w:eastAsia="Times New Roman" w:cs="Times New Roman"/>
                <w:kern w:val="0"/>
                <w:sz w:val="21"/>
                <w:szCs w:val="21"/>
                <w:vertAlign w:val="superscript"/>
                <w:lang w:eastAsia="en-US" w:bidi="ar-SA"/>
              </w:rPr>
              <w:t>3</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5AEBA15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0.1</w:t>
            </w:r>
          </w:p>
        </w:tc>
        <w:tc>
          <w:tcPr>
            <w:tcW w:w="1060" w:type="dxa"/>
            <w:tcBorders>
              <w:top w:val="nil"/>
              <w:left w:val="nil"/>
              <w:bottom w:val="single" w:sz="4" w:space="0" w:color="auto"/>
              <w:right w:val="single" w:sz="4" w:space="0" w:color="auto"/>
            </w:tcBorders>
            <w:shd w:val="clear" w:color="auto" w:fill="auto"/>
            <w:noWrap/>
            <w:vAlign w:val="bottom"/>
            <w:hideMark/>
          </w:tcPr>
          <w:p w14:paraId="1C9918E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85CA29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54D66AC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w:t>
            </w:r>
          </w:p>
        </w:tc>
        <w:tc>
          <w:tcPr>
            <w:tcW w:w="1380" w:type="dxa"/>
            <w:tcBorders>
              <w:top w:val="nil"/>
              <w:left w:val="nil"/>
              <w:bottom w:val="single" w:sz="4" w:space="0" w:color="auto"/>
              <w:right w:val="single" w:sz="4" w:space="0" w:color="auto"/>
            </w:tcBorders>
            <w:shd w:val="clear" w:color="000000" w:fill="F8F8F8"/>
            <w:noWrap/>
            <w:vAlign w:val="bottom"/>
            <w:hideMark/>
          </w:tcPr>
          <w:p w14:paraId="40CBFC2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6C967C6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000000" w:fill="F8F8F8"/>
            <w:noWrap/>
            <w:vAlign w:val="bottom"/>
            <w:hideMark/>
          </w:tcPr>
          <w:p w14:paraId="642E5EE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14,600</w:t>
            </w:r>
          </w:p>
        </w:tc>
        <w:tc>
          <w:tcPr>
            <w:tcW w:w="1220" w:type="dxa"/>
            <w:tcBorders>
              <w:top w:val="nil"/>
              <w:left w:val="nil"/>
              <w:bottom w:val="single" w:sz="4" w:space="0" w:color="auto"/>
              <w:right w:val="nil"/>
            </w:tcBorders>
            <w:shd w:val="clear" w:color="000000" w:fill="F8F8F8"/>
            <w:noWrap/>
            <w:vAlign w:val="bottom"/>
            <w:hideMark/>
          </w:tcPr>
          <w:p w14:paraId="61FB3FF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1,460</w:t>
            </w:r>
          </w:p>
        </w:tc>
        <w:tc>
          <w:tcPr>
            <w:tcW w:w="1200" w:type="dxa"/>
            <w:tcBorders>
              <w:top w:val="nil"/>
              <w:left w:val="single" w:sz="4" w:space="0" w:color="auto"/>
              <w:bottom w:val="single" w:sz="4" w:space="0" w:color="auto"/>
              <w:right w:val="nil"/>
            </w:tcBorders>
            <w:shd w:val="clear" w:color="000000" w:fill="F8F8F8"/>
            <w:noWrap/>
            <w:vAlign w:val="bottom"/>
            <w:hideMark/>
          </w:tcPr>
          <w:p w14:paraId="7ED10F1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135,780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353BC51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F6459A0"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39DEBDF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§80.1453(e)</w:t>
            </w:r>
          </w:p>
        </w:tc>
        <w:tc>
          <w:tcPr>
            <w:tcW w:w="2100" w:type="dxa"/>
            <w:tcBorders>
              <w:top w:val="nil"/>
              <w:left w:val="nil"/>
              <w:bottom w:val="single" w:sz="4" w:space="0" w:color="auto"/>
              <w:right w:val="nil"/>
            </w:tcBorders>
            <w:shd w:val="clear" w:color="000000" w:fill="F8F8F8"/>
            <w:vAlign w:val="bottom"/>
            <w:hideMark/>
          </w:tcPr>
          <w:p w14:paraId="312AACA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Product Transfer Documents: </w:t>
            </w:r>
            <w:r>
              <w:rPr>
                <w:rFonts w:eastAsia="Times New Roman" w:cs="Times New Roman"/>
                <w:kern w:val="0"/>
                <w:sz w:val="21"/>
                <w:szCs w:val="21"/>
                <w:lang w:eastAsia="en-US" w:bidi="ar-SA"/>
              </w:rPr>
              <w:t>Transfers of Biointermediates</w:t>
            </w:r>
            <w:r>
              <w:rPr>
                <w:rFonts w:eastAsia="Times New Roman" w:cs="Times New Roman"/>
                <w:kern w:val="0"/>
                <w:sz w:val="21"/>
                <w:szCs w:val="21"/>
                <w:vertAlign w:val="superscript"/>
                <w:lang w:eastAsia="en-US" w:bidi="ar-SA"/>
              </w:rPr>
              <w:t>4</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4D2D9F0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6A3A1FF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120" w:type="dxa"/>
            <w:tcBorders>
              <w:top w:val="nil"/>
              <w:left w:val="nil"/>
              <w:bottom w:val="single" w:sz="4" w:space="0" w:color="auto"/>
              <w:right w:val="single" w:sz="4" w:space="0" w:color="auto"/>
            </w:tcBorders>
            <w:shd w:val="clear" w:color="auto" w:fill="auto"/>
            <w:noWrap/>
            <w:vAlign w:val="bottom"/>
            <w:hideMark/>
          </w:tcPr>
          <w:p w14:paraId="52E9137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529C4958"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66</w:t>
            </w:r>
          </w:p>
        </w:tc>
        <w:tc>
          <w:tcPr>
            <w:tcW w:w="1380" w:type="dxa"/>
            <w:tcBorders>
              <w:top w:val="nil"/>
              <w:left w:val="nil"/>
              <w:bottom w:val="single" w:sz="4" w:space="0" w:color="auto"/>
              <w:right w:val="single" w:sz="4" w:space="0" w:color="auto"/>
            </w:tcBorders>
            <w:shd w:val="clear" w:color="000000" w:fill="F8F8F8"/>
            <w:noWrap/>
            <w:vAlign w:val="bottom"/>
            <w:hideMark/>
          </w:tcPr>
          <w:p w14:paraId="50B686A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05581AF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000000" w:fill="F8F8F8"/>
            <w:noWrap/>
            <w:vAlign w:val="bottom"/>
            <w:hideMark/>
          </w:tcPr>
          <w:p w14:paraId="200F6A5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14,600</w:t>
            </w:r>
          </w:p>
        </w:tc>
        <w:tc>
          <w:tcPr>
            <w:tcW w:w="1220" w:type="dxa"/>
            <w:tcBorders>
              <w:top w:val="nil"/>
              <w:left w:val="nil"/>
              <w:bottom w:val="single" w:sz="4" w:space="0" w:color="auto"/>
              <w:right w:val="nil"/>
            </w:tcBorders>
            <w:shd w:val="clear" w:color="000000" w:fill="F8F8F8"/>
            <w:noWrap/>
            <w:vAlign w:val="bottom"/>
            <w:hideMark/>
          </w:tcPr>
          <w:p w14:paraId="0A6E978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29,200</w:t>
            </w:r>
          </w:p>
        </w:tc>
        <w:tc>
          <w:tcPr>
            <w:tcW w:w="1200" w:type="dxa"/>
            <w:tcBorders>
              <w:top w:val="nil"/>
              <w:left w:val="single" w:sz="4" w:space="0" w:color="auto"/>
              <w:bottom w:val="single" w:sz="4" w:space="0" w:color="auto"/>
              <w:right w:val="nil"/>
            </w:tcBorders>
            <w:shd w:val="clear" w:color="000000" w:fill="F8F8F8"/>
            <w:noWrap/>
            <w:vAlign w:val="bottom"/>
            <w:hideMark/>
          </w:tcPr>
          <w:p w14:paraId="4FB87B7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963,600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7365B1D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6ABEF158"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center"/>
            <w:hideMark/>
          </w:tcPr>
          <w:p w14:paraId="67CF24C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§80.1454(n)</w:t>
            </w:r>
          </w:p>
        </w:tc>
        <w:tc>
          <w:tcPr>
            <w:tcW w:w="2100" w:type="dxa"/>
            <w:tcBorders>
              <w:top w:val="nil"/>
              <w:left w:val="nil"/>
              <w:bottom w:val="single" w:sz="4" w:space="0" w:color="auto"/>
              <w:right w:val="nil"/>
            </w:tcBorders>
            <w:shd w:val="clear" w:color="000000" w:fill="F8F8F8"/>
            <w:vAlign w:val="center"/>
            <w:hideMark/>
          </w:tcPr>
          <w:p w14:paraId="10C264A6"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Biointermediate Production</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C9BE7E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541D7512"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092104B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52BDA2E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000000" w:fill="F8F8F8"/>
            <w:noWrap/>
            <w:vAlign w:val="bottom"/>
            <w:hideMark/>
          </w:tcPr>
          <w:p w14:paraId="501FAFB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6AA4EEF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000000" w:fill="F8F8F8"/>
            <w:noWrap/>
            <w:vAlign w:val="bottom"/>
            <w:hideMark/>
          </w:tcPr>
          <w:p w14:paraId="5470AB1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480</w:t>
            </w:r>
          </w:p>
        </w:tc>
        <w:tc>
          <w:tcPr>
            <w:tcW w:w="1220" w:type="dxa"/>
            <w:tcBorders>
              <w:top w:val="nil"/>
              <w:left w:val="nil"/>
              <w:bottom w:val="single" w:sz="4" w:space="0" w:color="auto"/>
              <w:right w:val="nil"/>
            </w:tcBorders>
            <w:shd w:val="clear" w:color="000000" w:fill="F8F8F8"/>
            <w:noWrap/>
            <w:vAlign w:val="bottom"/>
            <w:hideMark/>
          </w:tcPr>
          <w:p w14:paraId="016042A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480</w:t>
            </w:r>
          </w:p>
        </w:tc>
        <w:tc>
          <w:tcPr>
            <w:tcW w:w="1200" w:type="dxa"/>
            <w:tcBorders>
              <w:top w:val="nil"/>
              <w:left w:val="single" w:sz="4" w:space="0" w:color="auto"/>
              <w:bottom w:val="single" w:sz="4" w:space="0" w:color="auto"/>
              <w:right w:val="nil"/>
            </w:tcBorders>
            <w:shd w:val="clear" w:color="000000" w:fill="F8F8F8"/>
            <w:noWrap/>
            <w:vAlign w:val="bottom"/>
            <w:hideMark/>
          </w:tcPr>
          <w:p w14:paraId="64EA14C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15,840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032CDA4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1960FF7"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3A3D9A1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§80.1464(j)</w:t>
            </w:r>
          </w:p>
        </w:tc>
        <w:tc>
          <w:tcPr>
            <w:tcW w:w="2100" w:type="dxa"/>
            <w:tcBorders>
              <w:top w:val="nil"/>
              <w:left w:val="nil"/>
              <w:bottom w:val="single" w:sz="8" w:space="0" w:color="auto"/>
              <w:right w:val="nil"/>
            </w:tcBorders>
            <w:shd w:val="clear" w:color="000000" w:fill="F8F8F8"/>
            <w:vAlign w:val="center"/>
            <w:hideMark/>
          </w:tcPr>
          <w:p w14:paraId="684DE62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Attest Engagements:</w:t>
            </w:r>
            <w:r>
              <w:rPr>
                <w:rFonts w:eastAsia="Times New Roman" w:cs="Times New Roman"/>
                <w:kern w:val="0"/>
                <w:sz w:val="21"/>
                <w:szCs w:val="21"/>
                <w:lang w:eastAsia="en-US" w:bidi="ar-SA"/>
              </w:rPr>
              <w:t xml:space="preserve"> Annual Attest Engagement Report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F8473E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60" w:type="dxa"/>
            <w:tcBorders>
              <w:top w:val="nil"/>
              <w:left w:val="nil"/>
              <w:bottom w:val="single" w:sz="4" w:space="0" w:color="auto"/>
              <w:right w:val="single" w:sz="4" w:space="0" w:color="auto"/>
            </w:tcBorders>
            <w:shd w:val="clear" w:color="auto" w:fill="auto"/>
            <w:noWrap/>
            <w:vAlign w:val="bottom"/>
            <w:hideMark/>
          </w:tcPr>
          <w:p w14:paraId="675EAAF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5D2E92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nil"/>
              <w:left w:val="nil"/>
              <w:bottom w:val="single" w:sz="4" w:space="0" w:color="auto"/>
              <w:right w:val="single" w:sz="8" w:space="0" w:color="auto"/>
            </w:tcBorders>
            <w:shd w:val="clear" w:color="auto" w:fill="auto"/>
            <w:vAlign w:val="bottom"/>
            <w:hideMark/>
          </w:tcPr>
          <w:p w14:paraId="77485CC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4,557</w:t>
            </w:r>
          </w:p>
        </w:tc>
        <w:tc>
          <w:tcPr>
            <w:tcW w:w="1380" w:type="dxa"/>
            <w:tcBorders>
              <w:top w:val="nil"/>
              <w:left w:val="nil"/>
              <w:bottom w:val="single" w:sz="4" w:space="0" w:color="auto"/>
              <w:right w:val="single" w:sz="4" w:space="0" w:color="auto"/>
            </w:tcBorders>
            <w:shd w:val="clear" w:color="000000" w:fill="F8F8F8"/>
            <w:noWrap/>
            <w:vAlign w:val="bottom"/>
            <w:hideMark/>
          </w:tcPr>
          <w:p w14:paraId="2E1D358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319B956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38C0231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nil"/>
            </w:tcBorders>
            <w:shd w:val="clear" w:color="000000" w:fill="F8F8F8"/>
            <w:noWrap/>
            <w:vAlign w:val="bottom"/>
            <w:hideMark/>
          </w:tcPr>
          <w:p w14:paraId="3E0F989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1,000</w:t>
            </w:r>
          </w:p>
        </w:tc>
        <w:tc>
          <w:tcPr>
            <w:tcW w:w="1200" w:type="dxa"/>
            <w:tcBorders>
              <w:top w:val="nil"/>
              <w:left w:val="single" w:sz="4" w:space="0" w:color="auto"/>
              <w:bottom w:val="single" w:sz="4" w:space="0" w:color="auto"/>
              <w:right w:val="nil"/>
            </w:tcBorders>
            <w:shd w:val="clear" w:color="000000" w:fill="F8F8F8"/>
            <w:noWrap/>
            <w:vAlign w:val="bottom"/>
            <w:hideMark/>
          </w:tcPr>
          <w:p w14:paraId="775E24F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182,280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71BCC31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336EFC1B" w14:textId="77777777">
        <w:trPr>
          <w:trHeight w:val="5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24EF6E3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§80.1476</w:t>
            </w:r>
          </w:p>
        </w:tc>
        <w:tc>
          <w:tcPr>
            <w:tcW w:w="2100" w:type="dxa"/>
            <w:tcBorders>
              <w:top w:val="single" w:sz="4" w:space="0" w:color="auto"/>
              <w:left w:val="nil"/>
              <w:bottom w:val="single" w:sz="4" w:space="0" w:color="auto"/>
              <w:right w:val="nil"/>
            </w:tcBorders>
            <w:shd w:val="clear" w:color="000000" w:fill="F8F8F8"/>
            <w:vAlign w:val="bottom"/>
            <w:hideMark/>
          </w:tcPr>
          <w:p w14:paraId="10650F93" w14:textId="77777777" w:rsidR="00E459EE" w:rsidRDefault="005F75DA">
            <w:pPr>
              <w:widowControl/>
              <w:suppressAutoHyphens w:val="0"/>
              <w:autoSpaceDN/>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 xml:space="preserve">Quality Assurance Program: </w:t>
            </w:r>
            <w:r>
              <w:rPr>
                <w:rFonts w:eastAsia="Times New Roman" w:cs="Times New Roman"/>
                <w:kern w:val="0"/>
                <w:sz w:val="21"/>
                <w:szCs w:val="21"/>
                <w:lang w:eastAsia="en-US" w:bidi="ar-SA"/>
              </w:rPr>
              <w:t>Biointermediate Producer QAPs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1013461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4E7458A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0794A3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w:t>
            </w:r>
          </w:p>
        </w:tc>
        <w:tc>
          <w:tcPr>
            <w:tcW w:w="1040" w:type="dxa"/>
            <w:tcBorders>
              <w:top w:val="nil"/>
              <w:left w:val="nil"/>
              <w:bottom w:val="single" w:sz="4" w:space="0" w:color="auto"/>
              <w:right w:val="single" w:sz="8" w:space="0" w:color="auto"/>
            </w:tcBorders>
            <w:shd w:val="clear" w:color="auto" w:fill="auto"/>
            <w:vAlign w:val="bottom"/>
            <w:hideMark/>
          </w:tcPr>
          <w:p w14:paraId="28211A7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22,320</w:t>
            </w:r>
          </w:p>
        </w:tc>
        <w:tc>
          <w:tcPr>
            <w:tcW w:w="1380" w:type="dxa"/>
            <w:tcBorders>
              <w:top w:val="nil"/>
              <w:left w:val="nil"/>
              <w:bottom w:val="single" w:sz="4" w:space="0" w:color="auto"/>
              <w:right w:val="single" w:sz="4" w:space="0" w:color="auto"/>
            </w:tcBorders>
            <w:shd w:val="clear" w:color="000000" w:fill="F8F8F8"/>
            <w:noWrap/>
            <w:vAlign w:val="bottom"/>
            <w:hideMark/>
          </w:tcPr>
          <w:p w14:paraId="1902069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7DC3151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400CC51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nil"/>
            </w:tcBorders>
            <w:shd w:val="clear" w:color="000000" w:fill="F8F8F8"/>
            <w:noWrap/>
            <w:vAlign w:val="bottom"/>
            <w:hideMark/>
          </w:tcPr>
          <w:p w14:paraId="44F28E0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4,800</w:t>
            </w:r>
          </w:p>
        </w:tc>
        <w:tc>
          <w:tcPr>
            <w:tcW w:w="1200" w:type="dxa"/>
            <w:tcBorders>
              <w:top w:val="nil"/>
              <w:left w:val="single" w:sz="4" w:space="0" w:color="auto"/>
              <w:bottom w:val="single" w:sz="4" w:space="0" w:color="auto"/>
              <w:right w:val="nil"/>
            </w:tcBorders>
            <w:shd w:val="clear" w:color="000000" w:fill="F8F8F8"/>
            <w:noWrap/>
            <w:vAlign w:val="bottom"/>
            <w:hideMark/>
          </w:tcPr>
          <w:p w14:paraId="283F67A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892,800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2377511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81ED303" w14:textId="77777777">
        <w:trPr>
          <w:trHeight w:val="60"/>
        </w:trPr>
        <w:tc>
          <w:tcPr>
            <w:tcW w:w="2040" w:type="dxa"/>
            <w:tcBorders>
              <w:top w:val="nil"/>
              <w:left w:val="single" w:sz="8" w:space="0" w:color="auto"/>
              <w:bottom w:val="single" w:sz="8" w:space="0" w:color="auto"/>
              <w:right w:val="single" w:sz="4" w:space="0" w:color="auto"/>
            </w:tcBorders>
            <w:shd w:val="clear" w:color="000000" w:fill="F8F8F8"/>
            <w:vAlign w:val="center"/>
            <w:hideMark/>
          </w:tcPr>
          <w:p w14:paraId="43CA7159"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§80.1477(i)</w:t>
            </w:r>
          </w:p>
        </w:tc>
        <w:tc>
          <w:tcPr>
            <w:tcW w:w="2100" w:type="dxa"/>
            <w:tcBorders>
              <w:top w:val="nil"/>
              <w:left w:val="nil"/>
              <w:bottom w:val="single" w:sz="8" w:space="0" w:color="auto"/>
              <w:right w:val="nil"/>
            </w:tcBorders>
            <w:shd w:val="clear" w:color="000000" w:fill="F8F8F8"/>
            <w:vAlign w:val="center"/>
            <w:hideMark/>
          </w:tcPr>
          <w:p w14:paraId="486B3F7E" w14:textId="77777777" w:rsidR="00E459EE" w:rsidRDefault="005F75DA">
            <w:pPr>
              <w:widowControl/>
              <w:suppressAutoHyphens w:val="0"/>
              <w:autoSpaceDN/>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Biointermediate Importers</w:t>
            </w:r>
          </w:p>
        </w:tc>
        <w:tc>
          <w:tcPr>
            <w:tcW w:w="1120" w:type="dxa"/>
            <w:tcBorders>
              <w:top w:val="nil"/>
              <w:left w:val="single" w:sz="8" w:space="0" w:color="auto"/>
              <w:bottom w:val="single" w:sz="8" w:space="0" w:color="auto"/>
              <w:right w:val="single" w:sz="4" w:space="0" w:color="auto"/>
            </w:tcBorders>
            <w:shd w:val="clear" w:color="auto" w:fill="auto"/>
            <w:noWrap/>
            <w:vAlign w:val="bottom"/>
            <w:hideMark/>
          </w:tcPr>
          <w:p w14:paraId="556FAEA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8" w:space="0" w:color="auto"/>
              <w:right w:val="single" w:sz="4" w:space="0" w:color="auto"/>
            </w:tcBorders>
            <w:shd w:val="clear" w:color="auto" w:fill="auto"/>
            <w:noWrap/>
            <w:vAlign w:val="bottom"/>
            <w:hideMark/>
          </w:tcPr>
          <w:p w14:paraId="388BE308"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8" w:space="0" w:color="auto"/>
              <w:right w:val="single" w:sz="4" w:space="0" w:color="auto"/>
            </w:tcBorders>
            <w:shd w:val="clear" w:color="auto" w:fill="auto"/>
            <w:noWrap/>
            <w:vAlign w:val="bottom"/>
            <w:hideMark/>
          </w:tcPr>
          <w:p w14:paraId="699183B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8" w:space="0" w:color="auto"/>
              <w:right w:val="single" w:sz="8" w:space="0" w:color="auto"/>
            </w:tcBorders>
            <w:shd w:val="clear" w:color="auto" w:fill="auto"/>
            <w:vAlign w:val="bottom"/>
            <w:hideMark/>
          </w:tcPr>
          <w:p w14:paraId="0E78081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8" w:space="0" w:color="auto"/>
              <w:right w:val="single" w:sz="4" w:space="0" w:color="auto"/>
            </w:tcBorders>
            <w:shd w:val="clear" w:color="000000" w:fill="F8F8F8"/>
            <w:noWrap/>
            <w:vAlign w:val="bottom"/>
            <w:hideMark/>
          </w:tcPr>
          <w:p w14:paraId="2DDA00D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5</w:t>
            </w:r>
          </w:p>
        </w:tc>
        <w:tc>
          <w:tcPr>
            <w:tcW w:w="1220" w:type="dxa"/>
            <w:tcBorders>
              <w:top w:val="nil"/>
              <w:left w:val="nil"/>
              <w:bottom w:val="single" w:sz="8" w:space="0" w:color="auto"/>
              <w:right w:val="single" w:sz="4" w:space="0" w:color="auto"/>
            </w:tcBorders>
            <w:shd w:val="clear" w:color="000000" w:fill="F8F8F8"/>
            <w:noWrap/>
            <w:vAlign w:val="bottom"/>
            <w:hideMark/>
          </w:tcPr>
          <w:p w14:paraId="1F5F065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8" w:space="0" w:color="auto"/>
              <w:right w:val="single" w:sz="4" w:space="0" w:color="auto"/>
            </w:tcBorders>
            <w:shd w:val="clear" w:color="000000" w:fill="F8F8F8"/>
            <w:noWrap/>
            <w:vAlign w:val="bottom"/>
            <w:hideMark/>
          </w:tcPr>
          <w:p w14:paraId="1B82B6A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60</w:t>
            </w:r>
          </w:p>
        </w:tc>
        <w:tc>
          <w:tcPr>
            <w:tcW w:w="1220" w:type="dxa"/>
            <w:tcBorders>
              <w:top w:val="nil"/>
              <w:left w:val="nil"/>
              <w:bottom w:val="single" w:sz="4" w:space="0" w:color="auto"/>
              <w:right w:val="nil"/>
            </w:tcBorders>
            <w:shd w:val="clear" w:color="000000" w:fill="F8F8F8"/>
            <w:noWrap/>
            <w:vAlign w:val="bottom"/>
            <w:hideMark/>
          </w:tcPr>
          <w:p w14:paraId="00A530D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60</w:t>
            </w:r>
          </w:p>
        </w:tc>
        <w:tc>
          <w:tcPr>
            <w:tcW w:w="1200" w:type="dxa"/>
            <w:tcBorders>
              <w:top w:val="nil"/>
              <w:left w:val="single" w:sz="4" w:space="0" w:color="auto"/>
              <w:bottom w:val="single" w:sz="8" w:space="0" w:color="auto"/>
              <w:right w:val="nil"/>
            </w:tcBorders>
            <w:shd w:val="clear" w:color="000000" w:fill="F8F8F8"/>
            <w:noWrap/>
            <w:vAlign w:val="bottom"/>
            <w:hideMark/>
          </w:tcPr>
          <w:p w14:paraId="5C4F15E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1,980</w:t>
            </w:r>
          </w:p>
        </w:tc>
        <w:tc>
          <w:tcPr>
            <w:tcW w:w="1249" w:type="dxa"/>
            <w:tcBorders>
              <w:top w:val="single" w:sz="4" w:space="0" w:color="auto"/>
              <w:left w:val="single" w:sz="8" w:space="0" w:color="auto"/>
              <w:bottom w:val="single" w:sz="8" w:space="0" w:color="auto"/>
              <w:right w:val="single" w:sz="8" w:space="0" w:color="auto"/>
            </w:tcBorders>
            <w:shd w:val="clear" w:color="000000" w:fill="F8FFB9"/>
            <w:vAlign w:val="center"/>
            <w:hideMark/>
          </w:tcPr>
          <w:p w14:paraId="6107ED1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502B3419" w14:textId="77777777">
        <w:trPr>
          <w:trHeight w:val="50"/>
        </w:trPr>
        <w:tc>
          <w:tcPr>
            <w:tcW w:w="41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191DD27"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120" w:type="dxa"/>
            <w:tcBorders>
              <w:top w:val="nil"/>
              <w:left w:val="nil"/>
              <w:bottom w:val="single" w:sz="8" w:space="0" w:color="auto"/>
              <w:right w:val="single" w:sz="4" w:space="0" w:color="auto"/>
            </w:tcBorders>
            <w:shd w:val="clear" w:color="auto" w:fill="auto"/>
            <w:noWrap/>
            <w:vAlign w:val="bottom"/>
            <w:hideMark/>
          </w:tcPr>
          <w:p w14:paraId="73DDEA72"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nil"/>
              <w:left w:val="nil"/>
              <w:bottom w:val="single" w:sz="8" w:space="0" w:color="auto"/>
              <w:right w:val="single" w:sz="4" w:space="0" w:color="auto"/>
            </w:tcBorders>
            <w:shd w:val="clear" w:color="auto" w:fill="auto"/>
            <w:noWrap/>
            <w:vAlign w:val="bottom"/>
            <w:hideMark/>
          </w:tcPr>
          <w:p w14:paraId="237809FB"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120" w:type="dxa"/>
            <w:tcBorders>
              <w:top w:val="nil"/>
              <w:left w:val="nil"/>
              <w:bottom w:val="single" w:sz="8" w:space="0" w:color="auto"/>
              <w:right w:val="single" w:sz="4" w:space="0" w:color="auto"/>
            </w:tcBorders>
            <w:shd w:val="clear" w:color="auto" w:fill="auto"/>
            <w:noWrap/>
            <w:vAlign w:val="bottom"/>
            <w:hideMark/>
          </w:tcPr>
          <w:p w14:paraId="4F23B1AF"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040" w:type="dxa"/>
            <w:tcBorders>
              <w:top w:val="nil"/>
              <w:left w:val="nil"/>
              <w:bottom w:val="single" w:sz="8" w:space="0" w:color="auto"/>
              <w:right w:val="single" w:sz="4" w:space="0" w:color="auto"/>
            </w:tcBorders>
            <w:shd w:val="clear" w:color="auto" w:fill="auto"/>
            <w:noWrap/>
            <w:vAlign w:val="bottom"/>
            <w:hideMark/>
          </w:tcPr>
          <w:p w14:paraId="276455B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380" w:type="dxa"/>
            <w:tcBorders>
              <w:top w:val="nil"/>
              <w:left w:val="nil"/>
              <w:bottom w:val="single" w:sz="8" w:space="0" w:color="auto"/>
              <w:right w:val="single" w:sz="4" w:space="0" w:color="auto"/>
            </w:tcBorders>
            <w:shd w:val="clear" w:color="auto" w:fill="auto"/>
            <w:noWrap/>
            <w:vAlign w:val="bottom"/>
            <w:hideMark/>
          </w:tcPr>
          <w:p w14:paraId="4F3886AC"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40</w:t>
            </w:r>
          </w:p>
        </w:tc>
        <w:tc>
          <w:tcPr>
            <w:tcW w:w="1220" w:type="dxa"/>
            <w:tcBorders>
              <w:top w:val="nil"/>
              <w:left w:val="nil"/>
              <w:bottom w:val="single" w:sz="8" w:space="0" w:color="auto"/>
              <w:right w:val="single" w:sz="4" w:space="0" w:color="auto"/>
            </w:tcBorders>
            <w:shd w:val="clear" w:color="auto" w:fill="auto"/>
            <w:noWrap/>
            <w:vAlign w:val="bottom"/>
          </w:tcPr>
          <w:p w14:paraId="46935BBC"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220" w:type="dxa"/>
            <w:tcBorders>
              <w:top w:val="nil"/>
              <w:left w:val="nil"/>
              <w:bottom w:val="single" w:sz="8" w:space="0" w:color="auto"/>
              <w:right w:val="single" w:sz="4" w:space="0" w:color="auto"/>
            </w:tcBorders>
            <w:shd w:val="clear" w:color="auto" w:fill="auto"/>
            <w:noWrap/>
            <w:vAlign w:val="bottom"/>
          </w:tcPr>
          <w:p w14:paraId="1E3320A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30,034</w:t>
            </w:r>
          </w:p>
        </w:tc>
        <w:tc>
          <w:tcPr>
            <w:tcW w:w="1220" w:type="dxa"/>
            <w:tcBorders>
              <w:top w:val="single" w:sz="8" w:space="0" w:color="auto"/>
              <w:left w:val="nil"/>
              <w:bottom w:val="single" w:sz="8" w:space="0" w:color="auto"/>
              <w:right w:val="single" w:sz="4" w:space="0" w:color="auto"/>
            </w:tcBorders>
            <w:shd w:val="clear" w:color="auto" w:fill="auto"/>
            <w:noWrap/>
            <w:vAlign w:val="bottom"/>
          </w:tcPr>
          <w:p w14:paraId="2A795D79"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39,428</w:t>
            </w:r>
          </w:p>
        </w:tc>
        <w:tc>
          <w:tcPr>
            <w:tcW w:w="1200" w:type="dxa"/>
            <w:tcBorders>
              <w:top w:val="nil"/>
              <w:left w:val="nil"/>
              <w:bottom w:val="single" w:sz="8" w:space="0" w:color="auto"/>
              <w:right w:val="single" w:sz="4" w:space="0" w:color="auto"/>
            </w:tcBorders>
            <w:shd w:val="clear" w:color="auto" w:fill="auto"/>
            <w:noWrap/>
            <w:vAlign w:val="bottom"/>
          </w:tcPr>
          <w:p w14:paraId="0D03AF85"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2,507,364</w:t>
            </w:r>
          </w:p>
        </w:tc>
        <w:tc>
          <w:tcPr>
            <w:tcW w:w="1249" w:type="dxa"/>
            <w:tcBorders>
              <w:top w:val="nil"/>
              <w:left w:val="nil"/>
              <w:bottom w:val="nil"/>
              <w:right w:val="nil"/>
            </w:tcBorders>
            <w:shd w:val="clear" w:color="auto" w:fill="auto"/>
            <w:noWrap/>
            <w:vAlign w:val="bottom"/>
          </w:tcPr>
          <w:p w14:paraId="61713C82"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247A7A00" w14:textId="77777777" w:rsidR="00E459EE" w:rsidRDefault="005F75DA">
      <w:pPr>
        <w:pStyle w:val="Standard"/>
      </w:pPr>
      <w:r>
        <w:t>ASSUMPTIONS FOR TABLE 6(b).1</w:t>
      </w:r>
    </w:p>
    <w:p w14:paraId="09A72074" w14:textId="77777777" w:rsidR="00E459EE" w:rsidRDefault="005F75DA">
      <w:pPr>
        <w:pStyle w:val="Standard"/>
        <w:rPr>
          <w:sz w:val="20"/>
          <w:szCs w:val="20"/>
        </w:rPr>
      </w:pPr>
      <w:r>
        <w:rPr>
          <w:sz w:val="20"/>
          <w:szCs w:val="20"/>
          <w:vertAlign w:val="superscript"/>
        </w:rPr>
        <w:t>1</w:t>
      </w:r>
      <w:r>
        <w:rPr>
          <w:sz w:val="20"/>
          <w:szCs w:val="20"/>
        </w:rPr>
        <w:t>Assumes 35 new companies during first year of program plus 5 additional companies per year (averages to 40 companies per year over three year period).</w:t>
      </w:r>
    </w:p>
    <w:p w14:paraId="6B94BC6F" w14:textId="77777777" w:rsidR="00E459EE" w:rsidRDefault="005F75DA">
      <w:pPr>
        <w:pStyle w:val="Standard"/>
        <w:rPr>
          <w:sz w:val="20"/>
          <w:szCs w:val="20"/>
        </w:rPr>
      </w:pPr>
      <w:r>
        <w:rPr>
          <w:sz w:val="20"/>
          <w:szCs w:val="20"/>
          <w:vertAlign w:val="superscript"/>
        </w:rPr>
        <w:t>2</w:t>
      </w:r>
      <w:r>
        <w:rPr>
          <w:sz w:val="20"/>
          <w:szCs w:val="20"/>
        </w:rPr>
        <w:t>Assumes 33% of companies update registrations per year, rounded up to 14.</w:t>
      </w:r>
    </w:p>
    <w:p w14:paraId="440DD44D" w14:textId="77777777" w:rsidR="00E459EE" w:rsidRDefault="005F75DA">
      <w:pPr>
        <w:pStyle w:val="Standard"/>
        <w:rPr>
          <w:sz w:val="20"/>
          <w:szCs w:val="20"/>
        </w:rPr>
      </w:pPr>
      <w:r>
        <w:rPr>
          <w:sz w:val="20"/>
          <w:szCs w:val="20"/>
          <w:vertAlign w:val="superscript"/>
        </w:rPr>
        <w:lastRenderedPageBreak/>
        <w:t>3</w:t>
      </w:r>
      <w:r>
        <w:rPr>
          <w:sz w:val="20"/>
          <w:szCs w:val="20"/>
        </w:rPr>
        <w:t xml:space="preserve">EMTS transaction reporting assumes daily production and reporting of biointermediate (i.e., 365 responses per year). </w:t>
      </w:r>
    </w:p>
    <w:p w14:paraId="6196700D" w14:textId="77777777" w:rsidR="00E459EE" w:rsidRDefault="005F75DA">
      <w:pPr>
        <w:pStyle w:val="Standard"/>
        <w:rPr>
          <w:sz w:val="20"/>
          <w:szCs w:val="20"/>
        </w:rPr>
      </w:pPr>
      <w:r>
        <w:rPr>
          <w:sz w:val="20"/>
          <w:szCs w:val="20"/>
          <w:vertAlign w:val="superscript"/>
        </w:rPr>
        <w:t>4</w:t>
      </w:r>
      <w:r>
        <w:rPr>
          <w:sz w:val="20"/>
          <w:szCs w:val="20"/>
        </w:rPr>
        <w:t>Expected PTD creation and transmittal are assumed to be higher for biointermediate producers since they have to provide more details about the biointermediate than other RFS PTD requirements.</w:t>
      </w:r>
    </w:p>
    <w:p w14:paraId="63559A02" w14:textId="77777777" w:rsidR="00E459EE" w:rsidRDefault="005F75DA">
      <w:pPr>
        <w:pStyle w:val="Standard"/>
        <w:rPr>
          <w:rFonts w:asciiTheme="minorHAnsi" w:eastAsiaTheme="minorHAnsi" w:hAnsiTheme="minorHAnsi" w:cstheme="minorBidi"/>
          <w:kern w:val="0"/>
          <w:sz w:val="22"/>
          <w:szCs w:val="22"/>
          <w:lang w:eastAsia="en-US" w:bidi="ar-SA"/>
        </w:rPr>
      </w:pPr>
      <w:r>
        <w:fldChar w:fldCharType="begin"/>
      </w:r>
      <w:r>
        <w:instrText xml:space="preserve"> LINK Excel.Sheet.12 "C:\\Users\\RAnder02\\Documents\\Biointermediates\\ICR\\Redone ICR Tables.xlsx" "Renewable Fuel Producers!R1C1:R11C12" \a \f 4 \h  \* MERGEFORMAT </w:instrText>
      </w:r>
      <w:r>
        <w:fldChar w:fldCharType="separate"/>
      </w:r>
    </w:p>
    <w:p w14:paraId="66021F28" w14:textId="77777777" w:rsidR="00E459EE" w:rsidRDefault="00E459EE">
      <w:pPr>
        <w:pStyle w:val="Standard"/>
      </w:pPr>
    </w:p>
    <w:tbl>
      <w:tblPr>
        <w:tblW w:w="16631" w:type="dxa"/>
        <w:tblLook w:val="04A0" w:firstRow="1" w:lastRow="0" w:firstColumn="1" w:lastColumn="0" w:noHBand="0" w:noVBand="1"/>
      </w:tblPr>
      <w:tblGrid>
        <w:gridCol w:w="2040"/>
        <w:gridCol w:w="2800"/>
        <w:gridCol w:w="1120"/>
        <w:gridCol w:w="1060"/>
        <w:gridCol w:w="1120"/>
        <w:gridCol w:w="1040"/>
        <w:gridCol w:w="1453"/>
        <w:gridCol w:w="1220"/>
        <w:gridCol w:w="1220"/>
        <w:gridCol w:w="1220"/>
        <w:gridCol w:w="1200"/>
        <w:gridCol w:w="1138"/>
      </w:tblGrid>
      <w:tr w:rsidR="00E459EE" w14:paraId="0B004A1A" w14:textId="77777777">
        <w:trPr>
          <w:trHeight w:val="50"/>
        </w:trPr>
        <w:tc>
          <w:tcPr>
            <w:tcW w:w="16631"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A7238F7"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Annual Respondent Burden and Cost by Type of Party</w:t>
            </w:r>
          </w:p>
        </w:tc>
      </w:tr>
      <w:tr w:rsidR="00E459EE" w14:paraId="79D99C6A" w14:textId="77777777">
        <w:trPr>
          <w:trHeight w:val="50"/>
        </w:trPr>
        <w:tc>
          <w:tcPr>
            <w:tcW w:w="16631"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527905A"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6(b).2 - Renewable Fuel Producers that Use Biointermediates</w:t>
            </w:r>
          </w:p>
        </w:tc>
      </w:tr>
      <w:tr w:rsidR="00E459EE" w14:paraId="51AA8569" w14:textId="77777777">
        <w:trPr>
          <w:trHeight w:val="50"/>
        </w:trPr>
        <w:tc>
          <w:tcPr>
            <w:tcW w:w="4840" w:type="dxa"/>
            <w:gridSpan w:val="2"/>
            <w:tcBorders>
              <w:top w:val="single" w:sz="8" w:space="0" w:color="auto"/>
              <w:left w:val="single" w:sz="8" w:space="0" w:color="auto"/>
              <w:bottom w:val="single" w:sz="8" w:space="0" w:color="auto"/>
              <w:right w:val="nil"/>
            </w:tcBorders>
            <w:shd w:val="clear" w:color="000000" w:fill="F8F8F8"/>
            <w:noWrap/>
            <w:vAlign w:val="bottom"/>
            <w:hideMark/>
          </w:tcPr>
          <w:p w14:paraId="2C5298E7"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7C09C46"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313" w:type="dxa"/>
            <w:gridSpan w:val="5"/>
            <w:tcBorders>
              <w:top w:val="single" w:sz="8" w:space="0" w:color="auto"/>
              <w:left w:val="nil"/>
              <w:bottom w:val="single" w:sz="8" w:space="0" w:color="auto"/>
              <w:right w:val="nil"/>
            </w:tcBorders>
            <w:shd w:val="clear" w:color="000000" w:fill="F8F8F8"/>
            <w:noWrap/>
            <w:vAlign w:val="bottom"/>
            <w:hideMark/>
          </w:tcPr>
          <w:p w14:paraId="333818C6"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138" w:type="dxa"/>
            <w:vMerge w:val="restart"/>
            <w:tcBorders>
              <w:top w:val="nil"/>
              <w:left w:val="single" w:sz="8" w:space="0" w:color="auto"/>
              <w:bottom w:val="nil"/>
              <w:right w:val="single" w:sz="8" w:space="0" w:color="auto"/>
            </w:tcBorders>
            <w:shd w:val="clear" w:color="000000" w:fill="F8FFB9"/>
            <w:vAlign w:val="center"/>
            <w:hideMark/>
          </w:tcPr>
          <w:p w14:paraId="0A1B3AC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Forms</w:t>
            </w:r>
          </w:p>
        </w:tc>
      </w:tr>
      <w:tr w:rsidR="00E459EE" w14:paraId="34253ABB" w14:textId="77777777">
        <w:trPr>
          <w:trHeight w:val="50"/>
        </w:trPr>
        <w:tc>
          <w:tcPr>
            <w:tcW w:w="2040" w:type="dxa"/>
            <w:tcBorders>
              <w:top w:val="nil"/>
              <w:left w:val="single" w:sz="8" w:space="0" w:color="auto"/>
              <w:bottom w:val="single" w:sz="8" w:space="0" w:color="auto"/>
              <w:right w:val="single" w:sz="4" w:space="0" w:color="auto"/>
            </w:tcBorders>
            <w:shd w:val="clear" w:color="000000" w:fill="F8F8F8"/>
            <w:noWrap/>
            <w:vAlign w:val="bottom"/>
            <w:hideMark/>
          </w:tcPr>
          <w:p w14:paraId="15CCF1E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800" w:type="dxa"/>
            <w:tcBorders>
              <w:top w:val="nil"/>
              <w:left w:val="nil"/>
              <w:bottom w:val="single" w:sz="8" w:space="0" w:color="auto"/>
              <w:right w:val="nil"/>
            </w:tcBorders>
            <w:shd w:val="clear" w:color="000000" w:fill="F8F8F8"/>
            <w:vAlign w:val="bottom"/>
            <w:hideMark/>
          </w:tcPr>
          <w:p w14:paraId="7269D056"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606A58C5"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6ADC5C3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22C9FA2E"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398F6EA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453" w:type="dxa"/>
            <w:tcBorders>
              <w:top w:val="nil"/>
              <w:left w:val="nil"/>
              <w:bottom w:val="single" w:sz="8" w:space="0" w:color="auto"/>
              <w:right w:val="single" w:sz="4" w:space="0" w:color="auto"/>
            </w:tcBorders>
            <w:shd w:val="clear" w:color="000000" w:fill="F8F8F8"/>
            <w:vAlign w:val="bottom"/>
            <w:hideMark/>
          </w:tcPr>
          <w:p w14:paraId="4E95FD59"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1,2</w:t>
            </w:r>
          </w:p>
        </w:tc>
        <w:tc>
          <w:tcPr>
            <w:tcW w:w="1220" w:type="dxa"/>
            <w:tcBorders>
              <w:top w:val="nil"/>
              <w:left w:val="nil"/>
              <w:bottom w:val="single" w:sz="8" w:space="0" w:color="auto"/>
              <w:right w:val="single" w:sz="4" w:space="0" w:color="auto"/>
            </w:tcBorders>
            <w:shd w:val="clear" w:color="000000" w:fill="F8F8F8"/>
            <w:vAlign w:val="bottom"/>
            <w:hideMark/>
          </w:tcPr>
          <w:p w14:paraId="6B252E0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000000" w:fill="F8F8F8"/>
            <w:vAlign w:val="bottom"/>
            <w:hideMark/>
          </w:tcPr>
          <w:p w14:paraId="0C629AB5"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000000" w:fill="F8F8F8"/>
            <w:vAlign w:val="bottom"/>
            <w:hideMark/>
          </w:tcPr>
          <w:p w14:paraId="3DD5CA0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000000" w:fill="F8F8F8"/>
            <w:vAlign w:val="bottom"/>
            <w:hideMark/>
          </w:tcPr>
          <w:p w14:paraId="4DB431D4"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138" w:type="dxa"/>
            <w:vMerge/>
            <w:tcBorders>
              <w:top w:val="nil"/>
              <w:left w:val="single" w:sz="8" w:space="0" w:color="auto"/>
              <w:bottom w:val="nil"/>
              <w:right w:val="single" w:sz="8" w:space="0" w:color="auto"/>
            </w:tcBorders>
            <w:vAlign w:val="center"/>
            <w:hideMark/>
          </w:tcPr>
          <w:p w14:paraId="14E87034"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43E76ADC" w14:textId="77777777">
        <w:trPr>
          <w:trHeight w:val="50"/>
        </w:trPr>
        <w:tc>
          <w:tcPr>
            <w:tcW w:w="2040" w:type="dxa"/>
            <w:tcBorders>
              <w:top w:val="single" w:sz="4" w:space="0" w:color="auto"/>
              <w:left w:val="single" w:sz="8" w:space="0" w:color="auto"/>
              <w:bottom w:val="single" w:sz="4" w:space="0" w:color="auto"/>
              <w:right w:val="single" w:sz="4" w:space="0" w:color="auto"/>
            </w:tcBorders>
            <w:shd w:val="clear" w:color="000000" w:fill="F8F8F8"/>
            <w:vAlign w:val="bottom"/>
            <w:hideMark/>
          </w:tcPr>
          <w:p w14:paraId="134AE87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w:t>
            </w:r>
          </w:p>
        </w:tc>
        <w:tc>
          <w:tcPr>
            <w:tcW w:w="2800" w:type="dxa"/>
            <w:tcBorders>
              <w:top w:val="single" w:sz="4" w:space="0" w:color="auto"/>
              <w:left w:val="nil"/>
              <w:bottom w:val="single" w:sz="4" w:space="0" w:color="auto"/>
              <w:right w:val="nil"/>
            </w:tcBorders>
            <w:shd w:val="clear" w:color="000000" w:fill="F8F8F8"/>
            <w:vAlign w:val="bottom"/>
            <w:hideMark/>
          </w:tcPr>
          <w:p w14:paraId="3BC59AA3"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 of Biointermediate Feedstocks</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CA44E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060" w:type="dxa"/>
            <w:tcBorders>
              <w:top w:val="nil"/>
              <w:left w:val="nil"/>
              <w:bottom w:val="single" w:sz="4" w:space="0" w:color="auto"/>
              <w:right w:val="single" w:sz="4" w:space="0" w:color="auto"/>
            </w:tcBorders>
            <w:shd w:val="clear" w:color="auto" w:fill="auto"/>
            <w:noWrap/>
            <w:vAlign w:val="bottom"/>
            <w:hideMark/>
          </w:tcPr>
          <w:p w14:paraId="38C1CB5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7DA2099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4C56C8E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4,836</w:t>
            </w:r>
          </w:p>
        </w:tc>
        <w:tc>
          <w:tcPr>
            <w:tcW w:w="1453" w:type="dxa"/>
            <w:tcBorders>
              <w:top w:val="nil"/>
              <w:left w:val="nil"/>
              <w:bottom w:val="single" w:sz="4" w:space="0" w:color="auto"/>
              <w:right w:val="single" w:sz="4" w:space="0" w:color="auto"/>
            </w:tcBorders>
            <w:shd w:val="clear" w:color="000000" w:fill="F8F8F8"/>
            <w:noWrap/>
            <w:vAlign w:val="bottom"/>
            <w:hideMark/>
          </w:tcPr>
          <w:p w14:paraId="3866719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4D2019E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638F66C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single" w:sz="4" w:space="0" w:color="auto"/>
              <w:left w:val="nil"/>
              <w:bottom w:val="single" w:sz="4" w:space="0" w:color="auto"/>
              <w:right w:val="nil"/>
            </w:tcBorders>
            <w:shd w:val="clear" w:color="000000" w:fill="F8F8F8"/>
            <w:noWrap/>
            <w:vAlign w:val="bottom"/>
            <w:hideMark/>
          </w:tcPr>
          <w:p w14:paraId="0F6787D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1,120</w:t>
            </w:r>
          </w:p>
        </w:tc>
        <w:tc>
          <w:tcPr>
            <w:tcW w:w="1200" w:type="dxa"/>
            <w:tcBorders>
              <w:top w:val="single" w:sz="4" w:space="0" w:color="auto"/>
              <w:left w:val="single" w:sz="4" w:space="0" w:color="auto"/>
              <w:bottom w:val="single" w:sz="4" w:space="0" w:color="auto"/>
              <w:right w:val="nil"/>
            </w:tcBorders>
            <w:shd w:val="clear" w:color="000000" w:fill="F8F8F8"/>
            <w:noWrap/>
            <w:vAlign w:val="bottom"/>
            <w:hideMark/>
          </w:tcPr>
          <w:p w14:paraId="11D1F90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193,440</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3F4B397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4CDAC20"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1FFB465A"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w:t>
            </w:r>
          </w:p>
        </w:tc>
        <w:tc>
          <w:tcPr>
            <w:tcW w:w="2800" w:type="dxa"/>
            <w:tcBorders>
              <w:top w:val="nil"/>
              <w:left w:val="nil"/>
              <w:bottom w:val="single" w:sz="4" w:space="0" w:color="auto"/>
              <w:right w:val="nil"/>
            </w:tcBorders>
            <w:shd w:val="clear" w:color="000000" w:fill="F8F8F8"/>
            <w:vAlign w:val="bottom"/>
            <w:hideMark/>
          </w:tcPr>
          <w:p w14:paraId="05C6A8AA"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3</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31413D8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2EE3221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5AA08ED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5C94EC4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453" w:type="dxa"/>
            <w:tcBorders>
              <w:top w:val="nil"/>
              <w:left w:val="nil"/>
              <w:bottom w:val="single" w:sz="4" w:space="0" w:color="auto"/>
              <w:right w:val="single" w:sz="4" w:space="0" w:color="auto"/>
            </w:tcBorders>
            <w:shd w:val="clear" w:color="000000" w:fill="F8F8F8"/>
            <w:noWrap/>
            <w:vAlign w:val="bottom"/>
            <w:hideMark/>
          </w:tcPr>
          <w:p w14:paraId="58394AA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w:t>
            </w:r>
          </w:p>
        </w:tc>
        <w:tc>
          <w:tcPr>
            <w:tcW w:w="1220" w:type="dxa"/>
            <w:tcBorders>
              <w:top w:val="nil"/>
              <w:left w:val="nil"/>
              <w:bottom w:val="single" w:sz="4" w:space="0" w:color="auto"/>
              <w:right w:val="single" w:sz="4" w:space="0" w:color="auto"/>
            </w:tcBorders>
            <w:shd w:val="clear" w:color="000000" w:fill="F8F8F8"/>
            <w:noWrap/>
            <w:vAlign w:val="bottom"/>
            <w:hideMark/>
          </w:tcPr>
          <w:p w14:paraId="28F1502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4C9D4C4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w:t>
            </w:r>
          </w:p>
        </w:tc>
        <w:tc>
          <w:tcPr>
            <w:tcW w:w="1220" w:type="dxa"/>
            <w:tcBorders>
              <w:top w:val="nil"/>
              <w:left w:val="nil"/>
              <w:bottom w:val="single" w:sz="4" w:space="0" w:color="auto"/>
              <w:right w:val="nil"/>
            </w:tcBorders>
            <w:shd w:val="clear" w:color="000000" w:fill="F8F8F8"/>
            <w:noWrap/>
            <w:vAlign w:val="bottom"/>
            <w:hideMark/>
          </w:tcPr>
          <w:p w14:paraId="498309C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28</w:t>
            </w:r>
          </w:p>
        </w:tc>
        <w:tc>
          <w:tcPr>
            <w:tcW w:w="1200" w:type="dxa"/>
            <w:tcBorders>
              <w:top w:val="nil"/>
              <w:left w:val="single" w:sz="4" w:space="0" w:color="auto"/>
              <w:bottom w:val="single" w:sz="4" w:space="0" w:color="auto"/>
              <w:right w:val="nil"/>
            </w:tcBorders>
            <w:shd w:val="clear" w:color="000000" w:fill="F8F8F8"/>
            <w:noWrap/>
            <w:vAlign w:val="bottom"/>
            <w:hideMark/>
          </w:tcPr>
          <w:p w14:paraId="431B82B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2,604</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11729BB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414F4620"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11513B3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800" w:type="dxa"/>
            <w:tcBorders>
              <w:top w:val="nil"/>
              <w:left w:val="nil"/>
              <w:bottom w:val="single" w:sz="4" w:space="0" w:color="auto"/>
              <w:right w:val="nil"/>
            </w:tcBorders>
            <w:shd w:val="clear" w:color="000000" w:fill="F8F8F8"/>
            <w:vAlign w:val="bottom"/>
            <w:hideMark/>
          </w:tcPr>
          <w:p w14:paraId="745A777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 Transaction Reporting for Biointermediate Use</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4DA6D89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0.1</w:t>
            </w:r>
          </w:p>
        </w:tc>
        <w:tc>
          <w:tcPr>
            <w:tcW w:w="1060" w:type="dxa"/>
            <w:tcBorders>
              <w:top w:val="nil"/>
              <w:left w:val="nil"/>
              <w:bottom w:val="single" w:sz="4" w:space="0" w:color="auto"/>
              <w:right w:val="single" w:sz="4" w:space="0" w:color="auto"/>
            </w:tcBorders>
            <w:shd w:val="clear" w:color="auto" w:fill="auto"/>
            <w:noWrap/>
            <w:vAlign w:val="bottom"/>
            <w:hideMark/>
          </w:tcPr>
          <w:p w14:paraId="14CF0AB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5DAF8B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1C84E72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w:t>
            </w:r>
          </w:p>
        </w:tc>
        <w:tc>
          <w:tcPr>
            <w:tcW w:w="1453" w:type="dxa"/>
            <w:tcBorders>
              <w:top w:val="nil"/>
              <w:left w:val="nil"/>
              <w:bottom w:val="single" w:sz="4" w:space="0" w:color="auto"/>
              <w:right w:val="single" w:sz="4" w:space="0" w:color="auto"/>
            </w:tcBorders>
            <w:shd w:val="clear" w:color="000000" w:fill="F8F8F8"/>
            <w:noWrap/>
            <w:vAlign w:val="bottom"/>
            <w:hideMark/>
          </w:tcPr>
          <w:p w14:paraId="31A4155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7ED2719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000000" w:fill="F8F8F8"/>
            <w:noWrap/>
            <w:vAlign w:val="bottom"/>
            <w:hideMark/>
          </w:tcPr>
          <w:p w14:paraId="6A5D357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14,600</w:t>
            </w:r>
          </w:p>
        </w:tc>
        <w:tc>
          <w:tcPr>
            <w:tcW w:w="1220" w:type="dxa"/>
            <w:tcBorders>
              <w:top w:val="nil"/>
              <w:left w:val="nil"/>
              <w:bottom w:val="single" w:sz="4" w:space="0" w:color="auto"/>
              <w:right w:val="nil"/>
            </w:tcBorders>
            <w:shd w:val="clear" w:color="000000" w:fill="F8F8F8"/>
            <w:noWrap/>
            <w:vAlign w:val="bottom"/>
            <w:hideMark/>
          </w:tcPr>
          <w:p w14:paraId="14D87D9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1,460</w:t>
            </w:r>
          </w:p>
        </w:tc>
        <w:tc>
          <w:tcPr>
            <w:tcW w:w="1200" w:type="dxa"/>
            <w:tcBorders>
              <w:top w:val="nil"/>
              <w:left w:val="single" w:sz="4" w:space="0" w:color="auto"/>
              <w:bottom w:val="single" w:sz="4" w:space="0" w:color="auto"/>
              <w:right w:val="nil"/>
            </w:tcBorders>
            <w:shd w:val="clear" w:color="000000" w:fill="F8F8F8"/>
            <w:noWrap/>
            <w:vAlign w:val="bottom"/>
            <w:hideMark/>
          </w:tcPr>
          <w:p w14:paraId="505679D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135,780</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208C4C1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EFF123C"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center"/>
            <w:hideMark/>
          </w:tcPr>
          <w:p w14:paraId="19420F9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§80.1454(b)</w:t>
            </w:r>
          </w:p>
        </w:tc>
        <w:tc>
          <w:tcPr>
            <w:tcW w:w="2800" w:type="dxa"/>
            <w:tcBorders>
              <w:top w:val="nil"/>
              <w:left w:val="nil"/>
              <w:bottom w:val="single" w:sz="4" w:space="0" w:color="auto"/>
              <w:right w:val="nil"/>
            </w:tcBorders>
            <w:shd w:val="clear" w:color="000000" w:fill="F8F8F8"/>
            <w:vAlign w:val="center"/>
            <w:hideMark/>
          </w:tcPr>
          <w:p w14:paraId="165C14A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Production of Renewable Fuels Using Biointermediates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65902DF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67414A6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4ECF54A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02EFC70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453" w:type="dxa"/>
            <w:tcBorders>
              <w:top w:val="nil"/>
              <w:left w:val="nil"/>
              <w:bottom w:val="single" w:sz="4" w:space="0" w:color="auto"/>
              <w:right w:val="single" w:sz="4" w:space="0" w:color="auto"/>
            </w:tcBorders>
            <w:shd w:val="clear" w:color="000000" w:fill="F8F8F8"/>
            <w:noWrap/>
            <w:vAlign w:val="bottom"/>
            <w:hideMark/>
          </w:tcPr>
          <w:p w14:paraId="43B396D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5BAE5F2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000000" w:fill="F8F8F8"/>
            <w:noWrap/>
            <w:vAlign w:val="bottom"/>
            <w:hideMark/>
          </w:tcPr>
          <w:p w14:paraId="4B85D3C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480</w:t>
            </w:r>
          </w:p>
        </w:tc>
        <w:tc>
          <w:tcPr>
            <w:tcW w:w="1220" w:type="dxa"/>
            <w:tcBorders>
              <w:top w:val="nil"/>
              <w:left w:val="nil"/>
              <w:bottom w:val="single" w:sz="4" w:space="0" w:color="auto"/>
              <w:right w:val="nil"/>
            </w:tcBorders>
            <w:shd w:val="clear" w:color="000000" w:fill="F8F8F8"/>
            <w:noWrap/>
            <w:vAlign w:val="bottom"/>
            <w:hideMark/>
          </w:tcPr>
          <w:p w14:paraId="681A6D5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480</w:t>
            </w:r>
          </w:p>
        </w:tc>
        <w:tc>
          <w:tcPr>
            <w:tcW w:w="1200" w:type="dxa"/>
            <w:tcBorders>
              <w:top w:val="nil"/>
              <w:left w:val="single" w:sz="4" w:space="0" w:color="auto"/>
              <w:bottom w:val="single" w:sz="4" w:space="0" w:color="auto"/>
              <w:right w:val="nil"/>
            </w:tcBorders>
            <w:shd w:val="clear" w:color="000000" w:fill="F8F8F8"/>
            <w:noWrap/>
            <w:vAlign w:val="bottom"/>
            <w:hideMark/>
          </w:tcPr>
          <w:p w14:paraId="58E223C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15,840</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7682B24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2703326" w14:textId="77777777">
        <w:trPr>
          <w:trHeight w:val="6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6A6B4EC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§80.1476</w:t>
            </w:r>
          </w:p>
        </w:tc>
        <w:tc>
          <w:tcPr>
            <w:tcW w:w="2800" w:type="dxa"/>
            <w:tcBorders>
              <w:top w:val="nil"/>
              <w:left w:val="nil"/>
              <w:bottom w:val="single" w:sz="4" w:space="0" w:color="auto"/>
              <w:right w:val="nil"/>
            </w:tcBorders>
            <w:shd w:val="clear" w:color="000000" w:fill="F8F8F8"/>
            <w:vAlign w:val="bottom"/>
            <w:hideMark/>
          </w:tcPr>
          <w:p w14:paraId="31B91C7A" w14:textId="77777777" w:rsidR="00E459EE" w:rsidRDefault="005F75DA">
            <w:pPr>
              <w:widowControl/>
              <w:suppressAutoHyphens w:val="0"/>
              <w:autoSpaceDN/>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 xml:space="preserve">Quality Assurance Program: </w:t>
            </w:r>
            <w:r>
              <w:rPr>
                <w:rFonts w:eastAsia="Times New Roman" w:cs="Times New Roman"/>
                <w:kern w:val="0"/>
                <w:sz w:val="21"/>
                <w:szCs w:val="21"/>
                <w:lang w:eastAsia="en-US" w:bidi="ar-SA"/>
              </w:rPr>
              <w:t>Biointermediate QAPs</w:t>
            </w:r>
            <w:r>
              <w:rPr>
                <w:rFonts w:eastAsia="Times New Roman" w:cs="Times New Roman"/>
                <w:kern w:val="0"/>
                <w:sz w:val="21"/>
                <w:szCs w:val="21"/>
                <w:vertAlign w:val="superscript"/>
                <w:lang w:eastAsia="en-US" w:bidi="ar-SA"/>
              </w:rPr>
              <w:t>4</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2586506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2CC788B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7DD398C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w:t>
            </w:r>
          </w:p>
        </w:tc>
        <w:tc>
          <w:tcPr>
            <w:tcW w:w="1040" w:type="dxa"/>
            <w:tcBorders>
              <w:top w:val="nil"/>
              <w:left w:val="nil"/>
              <w:bottom w:val="single" w:sz="4" w:space="0" w:color="auto"/>
              <w:right w:val="single" w:sz="8" w:space="0" w:color="auto"/>
            </w:tcBorders>
            <w:shd w:val="clear" w:color="auto" w:fill="auto"/>
            <w:vAlign w:val="bottom"/>
            <w:hideMark/>
          </w:tcPr>
          <w:p w14:paraId="3999307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22,320</w:t>
            </w:r>
          </w:p>
        </w:tc>
        <w:tc>
          <w:tcPr>
            <w:tcW w:w="1453" w:type="dxa"/>
            <w:tcBorders>
              <w:top w:val="nil"/>
              <w:left w:val="nil"/>
              <w:bottom w:val="single" w:sz="4" w:space="0" w:color="auto"/>
              <w:right w:val="single" w:sz="4" w:space="0" w:color="auto"/>
            </w:tcBorders>
            <w:shd w:val="clear" w:color="000000" w:fill="F8F8F8"/>
            <w:noWrap/>
            <w:vAlign w:val="bottom"/>
            <w:hideMark/>
          </w:tcPr>
          <w:p w14:paraId="44E5DA6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single" w:sz="4" w:space="0" w:color="auto"/>
            </w:tcBorders>
            <w:shd w:val="clear" w:color="000000" w:fill="F8F8F8"/>
            <w:noWrap/>
            <w:vAlign w:val="bottom"/>
            <w:hideMark/>
          </w:tcPr>
          <w:p w14:paraId="40F803E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05BA52A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nil"/>
            </w:tcBorders>
            <w:shd w:val="clear" w:color="000000" w:fill="F8F8F8"/>
            <w:noWrap/>
            <w:vAlign w:val="bottom"/>
            <w:hideMark/>
          </w:tcPr>
          <w:p w14:paraId="580221D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4,800</w:t>
            </w:r>
          </w:p>
        </w:tc>
        <w:tc>
          <w:tcPr>
            <w:tcW w:w="1200" w:type="dxa"/>
            <w:tcBorders>
              <w:top w:val="nil"/>
              <w:left w:val="single" w:sz="4" w:space="0" w:color="auto"/>
              <w:bottom w:val="single" w:sz="4" w:space="0" w:color="auto"/>
              <w:right w:val="nil"/>
            </w:tcBorders>
            <w:shd w:val="clear" w:color="000000" w:fill="F8F8F8"/>
            <w:noWrap/>
            <w:vAlign w:val="bottom"/>
            <w:hideMark/>
          </w:tcPr>
          <w:p w14:paraId="64DA20E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892,800</w:t>
            </w:r>
          </w:p>
        </w:tc>
        <w:tc>
          <w:tcPr>
            <w:tcW w:w="1138"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1F2C52C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C904B8D" w14:textId="77777777">
        <w:trPr>
          <w:trHeight w:val="50"/>
        </w:trPr>
        <w:tc>
          <w:tcPr>
            <w:tcW w:w="48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566FBA5"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7AD09D51"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30301BFF"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40AECAF2"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0CAC806E"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453" w:type="dxa"/>
            <w:tcBorders>
              <w:top w:val="single" w:sz="8" w:space="0" w:color="auto"/>
              <w:left w:val="nil"/>
              <w:bottom w:val="single" w:sz="8" w:space="0" w:color="auto"/>
              <w:right w:val="single" w:sz="4" w:space="0" w:color="auto"/>
            </w:tcBorders>
            <w:shd w:val="clear" w:color="auto" w:fill="auto"/>
            <w:noWrap/>
            <w:vAlign w:val="bottom"/>
            <w:hideMark/>
          </w:tcPr>
          <w:p w14:paraId="50C7BF9F"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40</w:t>
            </w:r>
          </w:p>
        </w:tc>
        <w:tc>
          <w:tcPr>
            <w:tcW w:w="1220" w:type="dxa"/>
            <w:tcBorders>
              <w:top w:val="single" w:sz="8" w:space="0" w:color="auto"/>
              <w:left w:val="nil"/>
              <w:bottom w:val="single" w:sz="8" w:space="0" w:color="auto"/>
              <w:right w:val="single" w:sz="4" w:space="0" w:color="auto"/>
            </w:tcBorders>
            <w:shd w:val="clear" w:color="auto" w:fill="auto"/>
            <w:noWrap/>
            <w:vAlign w:val="bottom"/>
          </w:tcPr>
          <w:p w14:paraId="1A0F116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220" w:type="dxa"/>
            <w:tcBorders>
              <w:top w:val="single" w:sz="8" w:space="0" w:color="auto"/>
              <w:left w:val="nil"/>
              <w:bottom w:val="single" w:sz="8" w:space="0" w:color="auto"/>
              <w:right w:val="single" w:sz="4" w:space="0" w:color="auto"/>
            </w:tcBorders>
            <w:shd w:val="clear" w:color="auto" w:fill="auto"/>
            <w:noWrap/>
            <w:vAlign w:val="bottom"/>
          </w:tcPr>
          <w:p w14:paraId="4F1C5432"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15,174</w:t>
            </w:r>
          </w:p>
        </w:tc>
        <w:tc>
          <w:tcPr>
            <w:tcW w:w="1220" w:type="dxa"/>
            <w:tcBorders>
              <w:top w:val="single" w:sz="8" w:space="0" w:color="auto"/>
              <w:left w:val="nil"/>
              <w:bottom w:val="single" w:sz="8" w:space="0" w:color="auto"/>
              <w:right w:val="single" w:sz="4" w:space="0" w:color="auto"/>
            </w:tcBorders>
            <w:shd w:val="clear" w:color="auto" w:fill="auto"/>
            <w:noWrap/>
            <w:vAlign w:val="bottom"/>
          </w:tcPr>
          <w:p w14:paraId="0CD6D497"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7,888</w:t>
            </w:r>
          </w:p>
        </w:tc>
        <w:tc>
          <w:tcPr>
            <w:tcW w:w="1200" w:type="dxa"/>
            <w:tcBorders>
              <w:top w:val="single" w:sz="8" w:space="0" w:color="auto"/>
              <w:left w:val="nil"/>
              <w:bottom w:val="single" w:sz="8" w:space="0" w:color="auto"/>
              <w:right w:val="single" w:sz="4" w:space="0" w:color="auto"/>
            </w:tcBorders>
            <w:shd w:val="clear" w:color="auto" w:fill="auto"/>
            <w:noWrap/>
            <w:vAlign w:val="bottom"/>
          </w:tcPr>
          <w:p w14:paraId="28A650D7"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1,240,464</w:t>
            </w:r>
          </w:p>
        </w:tc>
        <w:tc>
          <w:tcPr>
            <w:tcW w:w="1138" w:type="dxa"/>
            <w:tcBorders>
              <w:top w:val="nil"/>
              <w:left w:val="nil"/>
              <w:bottom w:val="nil"/>
              <w:right w:val="nil"/>
            </w:tcBorders>
            <w:shd w:val="clear" w:color="auto" w:fill="auto"/>
            <w:noWrap/>
            <w:vAlign w:val="bottom"/>
          </w:tcPr>
          <w:p w14:paraId="0F78137D"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16AF08FD" w14:textId="77777777" w:rsidR="00E459EE" w:rsidRDefault="005F75DA">
      <w:pPr>
        <w:pStyle w:val="Standard"/>
      </w:pPr>
      <w:r>
        <w:fldChar w:fldCharType="end"/>
      </w:r>
      <w:r>
        <w:t>ASSUMPTIONS FOR TABLE 6(b).2</w:t>
      </w:r>
    </w:p>
    <w:p w14:paraId="53F87E31" w14:textId="77777777" w:rsidR="00E459EE" w:rsidRDefault="005F75DA">
      <w:pPr>
        <w:pStyle w:val="Standard"/>
        <w:rPr>
          <w:sz w:val="20"/>
          <w:szCs w:val="20"/>
        </w:rPr>
      </w:pPr>
      <w:r>
        <w:rPr>
          <w:sz w:val="20"/>
          <w:szCs w:val="20"/>
          <w:vertAlign w:val="superscript"/>
        </w:rPr>
        <w:t>1</w:t>
      </w:r>
      <w:r>
        <w:rPr>
          <w:sz w:val="20"/>
          <w:szCs w:val="20"/>
        </w:rPr>
        <w:t>Assumes all renewable fuel producers already participate in the RFS program; therefore, estimated burdens represent additional burden for renewable fuel producers that choose to use a biointermediate to produce renewable fuels.</w:t>
      </w:r>
    </w:p>
    <w:p w14:paraId="7F0E050C" w14:textId="77777777" w:rsidR="00E459EE" w:rsidRDefault="005F75DA">
      <w:pPr>
        <w:pStyle w:val="Standard"/>
        <w:rPr>
          <w:sz w:val="20"/>
          <w:szCs w:val="20"/>
        </w:rPr>
      </w:pPr>
      <w:r>
        <w:rPr>
          <w:sz w:val="20"/>
          <w:szCs w:val="20"/>
          <w:vertAlign w:val="superscript"/>
        </w:rPr>
        <w:t>2</w:t>
      </w:r>
      <w:r>
        <w:rPr>
          <w:sz w:val="20"/>
          <w:szCs w:val="20"/>
        </w:rPr>
        <w:t>Assumes that each biointermediate has a corresponding renewable fuel producer; this is a conservative estimate since a more likely outcome is that a renewable fuel producer uses multiple biointermediate suppliers.</w:t>
      </w:r>
    </w:p>
    <w:p w14:paraId="57E4A919" w14:textId="77777777" w:rsidR="00E459EE" w:rsidRDefault="005F75DA">
      <w:pPr>
        <w:pStyle w:val="Standard"/>
        <w:rPr>
          <w:sz w:val="20"/>
          <w:szCs w:val="20"/>
        </w:rPr>
      </w:pPr>
      <w:r>
        <w:rPr>
          <w:sz w:val="20"/>
          <w:szCs w:val="20"/>
          <w:vertAlign w:val="superscript"/>
        </w:rPr>
        <w:t>3</w:t>
      </w:r>
      <w:r>
        <w:rPr>
          <w:sz w:val="20"/>
          <w:szCs w:val="20"/>
        </w:rPr>
        <w:t>Assumes 33% of companies update registrations per year, rounded up to 14.</w:t>
      </w:r>
    </w:p>
    <w:p w14:paraId="7A381B24" w14:textId="77777777" w:rsidR="00E459EE" w:rsidRDefault="005F75DA">
      <w:pPr>
        <w:pStyle w:val="Standard"/>
        <w:rPr>
          <w:sz w:val="20"/>
          <w:szCs w:val="20"/>
        </w:rPr>
      </w:pPr>
      <w:r>
        <w:rPr>
          <w:sz w:val="20"/>
          <w:szCs w:val="20"/>
          <w:vertAlign w:val="superscript"/>
        </w:rPr>
        <w:t>4</w:t>
      </w:r>
      <w:r>
        <w:rPr>
          <w:sz w:val="20"/>
          <w:szCs w:val="20"/>
        </w:rPr>
        <w:t>Renewable fuel producers that use biointermediates must have a QAP in place during the interim implementation period (roughly the first year of the program). This estimate does not assume that renewable fuel producers that are using biointermediates already have a QAP in place under the existing RFS program.</w:t>
      </w:r>
    </w:p>
    <w:p w14:paraId="557625F8" w14:textId="77777777" w:rsidR="00E459EE" w:rsidRDefault="005F75DA">
      <w:pPr>
        <w:widowControl/>
        <w:suppressAutoHyphens w:val="0"/>
        <w:autoSpaceDN/>
        <w:spacing w:after="160" w:line="259" w:lineRule="auto"/>
        <w:textAlignment w:val="auto"/>
      </w:pPr>
      <w:r>
        <w:br w:type="page"/>
      </w:r>
    </w:p>
    <w:tbl>
      <w:tblPr>
        <w:tblW w:w="16579" w:type="dxa"/>
        <w:tblLook w:val="04A0" w:firstRow="1" w:lastRow="0" w:firstColumn="1" w:lastColumn="0" w:noHBand="0" w:noVBand="1"/>
      </w:tblPr>
      <w:tblGrid>
        <w:gridCol w:w="1880"/>
        <w:gridCol w:w="2700"/>
        <w:gridCol w:w="1170"/>
        <w:gridCol w:w="1170"/>
        <w:gridCol w:w="1260"/>
        <w:gridCol w:w="1260"/>
        <w:gridCol w:w="1399"/>
        <w:gridCol w:w="1301"/>
        <w:gridCol w:w="1260"/>
        <w:gridCol w:w="900"/>
        <w:gridCol w:w="1097"/>
        <w:gridCol w:w="1182"/>
      </w:tblGrid>
      <w:tr w:rsidR="00E459EE" w14:paraId="576BC04A" w14:textId="77777777">
        <w:trPr>
          <w:trHeight w:val="50"/>
        </w:trPr>
        <w:tc>
          <w:tcPr>
            <w:tcW w:w="1657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9B7888" w14:textId="77777777" w:rsidR="00E459EE" w:rsidRDefault="005F75DA">
            <w:pPr>
              <w:widowControl/>
              <w:suppressAutoHyphens w:val="0"/>
              <w:autoSpaceDN/>
              <w:jc w:val="center"/>
              <w:textAlignment w:val="auto"/>
              <w:rPr>
                <w:rFonts w:eastAsia="Times New Roman" w:cs="Times New Roman"/>
                <w:b/>
                <w:bCs/>
                <w:kern w:val="0"/>
                <w:sz w:val="22"/>
                <w:szCs w:val="22"/>
                <w:lang w:eastAsia="en-US" w:bidi="ar-SA"/>
              </w:rPr>
            </w:pPr>
            <w:r>
              <w:rPr>
                <w:rFonts w:eastAsia="Times New Roman" w:cs="Times New Roman"/>
                <w:b/>
                <w:bCs/>
                <w:kern w:val="0"/>
                <w:sz w:val="22"/>
                <w:szCs w:val="22"/>
                <w:lang w:eastAsia="en-US" w:bidi="ar-SA"/>
              </w:rPr>
              <w:lastRenderedPageBreak/>
              <w:t>Annual Respondent Burden and Cost by Type of Party</w:t>
            </w:r>
          </w:p>
        </w:tc>
      </w:tr>
      <w:tr w:rsidR="00E459EE" w14:paraId="6FDD4600" w14:textId="77777777">
        <w:trPr>
          <w:trHeight w:val="50"/>
        </w:trPr>
        <w:tc>
          <w:tcPr>
            <w:tcW w:w="1657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BBCAA47" w14:textId="77777777" w:rsidR="00E459EE" w:rsidRDefault="005F75DA">
            <w:pPr>
              <w:widowControl/>
              <w:suppressAutoHyphens w:val="0"/>
              <w:autoSpaceDN/>
              <w:jc w:val="center"/>
              <w:textAlignment w:val="auto"/>
              <w:rPr>
                <w:rFonts w:eastAsia="Times New Roman" w:cs="Times New Roman"/>
                <w:i/>
                <w:iCs/>
                <w:kern w:val="0"/>
                <w:sz w:val="22"/>
                <w:szCs w:val="22"/>
                <w:lang w:eastAsia="en-US" w:bidi="ar-SA"/>
              </w:rPr>
            </w:pPr>
            <w:r>
              <w:rPr>
                <w:rFonts w:eastAsia="Times New Roman" w:cs="Times New Roman"/>
                <w:i/>
                <w:iCs/>
                <w:kern w:val="0"/>
                <w:sz w:val="22"/>
                <w:szCs w:val="22"/>
                <w:lang w:eastAsia="en-US" w:bidi="ar-SA"/>
              </w:rPr>
              <w:t xml:space="preserve">Table 6(b).3 - Independent Third-Party Auditors </w:t>
            </w:r>
          </w:p>
        </w:tc>
      </w:tr>
      <w:tr w:rsidR="00E459EE" w14:paraId="57475D3C" w14:textId="77777777">
        <w:trPr>
          <w:trHeight w:val="50"/>
        </w:trPr>
        <w:tc>
          <w:tcPr>
            <w:tcW w:w="4580" w:type="dxa"/>
            <w:gridSpan w:val="2"/>
            <w:tcBorders>
              <w:top w:val="single" w:sz="8" w:space="0" w:color="auto"/>
              <w:left w:val="single" w:sz="8" w:space="0" w:color="auto"/>
              <w:bottom w:val="single" w:sz="8" w:space="0" w:color="auto"/>
              <w:right w:val="nil"/>
            </w:tcBorders>
            <w:shd w:val="clear" w:color="auto" w:fill="EDEDED" w:themeFill="accent3" w:themeFillTint="33"/>
            <w:noWrap/>
            <w:vAlign w:val="bottom"/>
            <w:hideMark/>
          </w:tcPr>
          <w:p w14:paraId="16D35089" w14:textId="77777777" w:rsidR="00E459EE" w:rsidRDefault="005F75DA">
            <w:pPr>
              <w:widowControl/>
              <w:suppressAutoHyphens w:val="0"/>
              <w:autoSpaceDN/>
              <w:jc w:val="center"/>
              <w:textAlignment w:val="auto"/>
              <w:rPr>
                <w:rFonts w:eastAsia="Times New Roman" w:cs="Times New Roman"/>
                <w:b/>
                <w:bCs/>
                <w:color w:val="000000"/>
                <w:kern w:val="0"/>
                <w:lang w:eastAsia="en-US" w:bidi="ar-SA"/>
              </w:rPr>
            </w:pPr>
            <w:r>
              <w:rPr>
                <w:rFonts w:eastAsia="Times New Roman" w:cs="Times New Roman"/>
                <w:b/>
                <w:bCs/>
                <w:color w:val="000000"/>
                <w:kern w:val="0"/>
                <w:lang w:eastAsia="en-US" w:bidi="ar-SA"/>
              </w:rPr>
              <w:t>Information Collection Activity</w:t>
            </w:r>
          </w:p>
        </w:tc>
        <w:tc>
          <w:tcPr>
            <w:tcW w:w="486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3C545DA" w14:textId="77777777" w:rsidR="00E459EE" w:rsidRDefault="005F75DA">
            <w:pPr>
              <w:widowControl/>
              <w:suppressAutoHyphens w:val="0"/>
              <w:autoSpaceDN/>
              <w:jc w:val="center"/>
              <w:textAlignment w:val="auto"/>
              <w:rPr>
                <w:rFonts w:eastAsia="Times New Roman" w:cs="Times New Roman"/>
                <w:b/>
                <w:bCs/>
                <w:color w:val="000000"/>
                <w:kern w:val="0"/>
                <w:lang w:eastAsia="en-US" w:bidi="ar-SA"/>
              </w:rPr>
            </w:pPr>
            <w:r>
              <w:rPr>
                <w:rFonts w:eastAsia="Times New Roman" w:cs="Times New Roman"/>
                <w:b/>
                <w:bCs/>
                <w:color w:val="000000"/>
                <w:kern w:val="0"/>
                <w:lang w:eastAsia="en-US" w:bidi="ar-SA"/>
              </w:rPr>
              <w:t>Hours and Cost</w:t>
            </w:r>
          </w:p>
        </w:tc>
        <w:tc>
          <w:tcPr>
            <w:tcW w:w="5957" w:type="dxa"/>
            <w:gridSpan w:val="5"/>
            <w:tcBorders>
              <w:top w:val="single" w:sz="8" w:space="0" w:color="auto"/>
              <w:left w:val="nil"/>
              <w:bottom w:val="single" w:sz="8" w:space="0" w:color="auto"/>
              <w:right w:val="nil"/>
            </w:tcBorders>
            <w:shd w:val="clear" w:color="auto" w:fill="EDEDED" w:themeFill="accent3" w:themeFillTint="33"/>
            <w:noWrap/>
            <w:vAlign w:val="bottom"/>
            <w:hideMark/>
          </w:tcPr>
          <w:p w14:paraId="02158AE0" w14:textId="77777777" w:rsidR="00E459EE" w:rsidRDefault="005F75DA">
            <w:pPr>
              <w:widowControl/>
              <w:suppressAutoHyphens w:val="0"/>
              <w:autoSpaceDN/>
              <w:jc w:val="center"/>
              <w:textAlignment w:val="auto"/>
              <w:rPr>
                <w:rFonts w:eastAsia="Times New Roman" w:cs="Times New Roman"/>
                <w:b/>
                <w:bCs/>
                <w:color w:val="000000"/>
                <w:kern w:val="0"/>
                <w:lang w:eastAsia="en-US" w:bidi="ar-SA"/>
              </w:rPr>
            </w:pPr>
            <w:r>
              <w:rPr>
                <w:rFonts w:eastAsia="Times New Roman" w:cs="Times New Roman"/>
                <w:b/>
                <w:bCs/>
                <w:color w:val="000000"/>
                <w:kern w:val="0"/>
                <w:lang w:eastAsia="en-US" w:bidi="ar-SA"/>
              </w:rPr>
              <w:t>Total Hours and Cost</w:t>
            </w:r>
          </w:p>
        </w:tc>
        <w:tc>
          <w:tcPr>
            <w:tcW w:w="1182" w:type="dxa"/>
            <w:vMerge w:val="restart"/>
            <w:tcBorders>
              <w:top w:val="nil"/>
              <w:left w:val="single" w:sz="8" w:space="0" w:color="auto"/>
              <w:bottom w:val="nil"/>
              <w:right w:val="single" w:sz="8" w:space="0" w:color="auto"/>
            </w:tcBorders>
            <w:shd w:val="clear" w:color="000000" w:fill="F8FFB9"/>
            <w:vAlign w:val="center"/>
            <w:hideMark/>
          </w:tcPr>
          <w:p w14:paraId="0F7D5C37" w14:textId="77777777" w:rsidR="00E459EE" w:rsidRDefault="005F75DA">
            <w:pPr>
              <w:widowControl/>
              <w:suppressAutoHyphens w:val="0"/>
              <w:autoSpaceDN/>
              <w:jc w:val="center"/>
              <w:textAlignment w:val="auto"/>
              <w:rPr>
                <w:rFonts w:eastAsia="Times New Roman" w:cs="Times New Roman"/>
                <w:color w:val="000000"/>
                <w:kern w:val="0"/>
                <w:sz w:val="22"/>
                <w:szCs w:val="22"/>
                <w:lang w:eastAsia="en-US" w:bidi="ar-SA"/>
              </w:rPr>
            </w:pPr>
            <w:r>
              <w:rPr>
                <w:rFonts w:eastAsia="Times New Roman" w:cs="Times New Roman"/>
                <w:color w:val="000000"/>
                <w:kern w:val="0"/>
                <w:sz w:val="22"/>
                <w:szCs w:val="22"/>
                <w:lang w:eastAsia="en-US" w:bidi="ar-SA"/>
              </w:rPr>
              <w:t>Applicable Form</w:t>
            </w:r>
          </w:p>
        </w:tc>
      </w:tr>
      <w:tr w:rsidR="00E459EE" w14:paraId="470402F7" w14:textId="77777777">
        <w:trPr>
          <w:trHeight w:val="50"/>
        </w:trPr>
        <w:tc>
          <w:tcPr>
            <w:tcW w:w="1880" w:type="dxa"/>
            <w:tcBorders>
              <w:top w:val="nil"/>
              <w:left w:val="single" w:sz="8" w:space="0" w:color="auto"/>
              <w:bottom w:val="single" w:sz="8" w:space="0" w:color="auto"/>
              <w:right w:val="single" w:sz="4" w:space="0" w:color="auto"/>
            </w:tcBorders>
            <w:shd w:val="clear" w:color="auto" w:fill="EDEDED" w:themeFill="accent3" w:themeFillTint="33"/>
            <w:noWrap/>
            <w:vAlign w:val="bottom"/>
            <w:hideMark/>
          </w:tcPr>
          <w:p w14:paraId="67D09A91"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Citation</w:t>
            </w:r>
          </w:p>
        </w:tc>
        <w:tc>
          <w:tcPr>
            <w:tcW w:w="2700" w:type="dxa"/>
            <w:tcBorders>
              <w:top w:val="nil"/>
              <w:left w:val="nil"/>
              <w:bottom w:val="single" w:sz="8" w:space="0" w:color="auto"/>
              <w:right w:val="nil"/>
            </w:tcBorders>
            <w:shd w:val="clear" w:color="auto" w:fill="EDEDED" w:themeFill="accent3" w:themeFillTint="33"/>
            <w:vAlign w:val="bottom"/>
            <w:hideMark/>
          </w:tcPr>
          <w:p w14:paraId="48C6895D"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Activity</w:t>
            </w:r>
          </w:p>
        </w:tc>
        <w:tc>
          <w:tcPr>
            <w:tcW w:w="1170" w:type="dxa"/>
            <w:tcBorders>
              <w:top w:val="nil"/>
              <w:left w:val="single" w:sz="8" w:space="0" w:color="auto"/>
              <w:bottom w:val="single" w:sz="8" w:space="0" w:color="auto"/>
              <w:right w:val="single" w:sz="4" w:space="0" w:color="auto"/>
            </w:tcBorders>
            <w:shd w:val="clear" w:color="auto" w:fill="auto"/>
            <w:vAlign w:val="bottom"/>
            <w:hideMark/>
          </w:tcPr>
          <w:p w14:paraId="039082B7"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Standard Industry Mix Hours/ Response</w:t>
            </w:r>
          </w:p>
        </w:tc>
        <w:tc>
          <w:tcPr>
            <w:tcW w:w="1170" w:type="dxa"/>
            <w:tcBorders>
              <w:top w:val="nil"/>
              <w:left w:val="nil"/>
              <w:bottom w:val="single" w:sz="8" w:space="0" w:color="auto"/>
              <w:right w:val="single" w:sz="4" w:space="0" w:color="auto"/>
            </w:tcBorders>
            <w:shd w:val="clear" w:color="auto" w:fill="auto"/>
            <w:vAlign w:val="bottom"/>
            <w:hideMark/>
          </w:tcPr>
          <w:p w14:paraId="59F3565C"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Clerical Only Hours/ Response</w:t>
            </w:r>
          </w:p>
        </w:tc>
        <w:tc>
          <w:tcPr>
            <w:tcW w:w="1260" w:type="dxa"/>
            <w:tcBorders>
              <w:top w:val="nil"/>
              <w:left w:val="nil"/>
              <w:bottom w:val="single" w:sz="8" w:space="0" w:color="auto"/>
              <w:right w:val="single" w:sz="4" w:space="0" w:color="auto"/>
            </w:tcBorders>
            <w:shd w:val="clear" w:color="auto" w:fill="auto"/>
            <w:vAlign w:val="bottom"/>
            <w:hideMark/>
          </w:tcPr>
          <w:p w14:paraId="6744E3E2"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 xml:space="preserve">Purchased Services Hours/ Response </w:t>
            </w:r>
          </w:p>
        </w:tc>
        <w:tc>
          <w:tcPr>
            <w:tcW w:w="1260" w:type="dxa"/>
            <w:tcBorders>
              <w:top w:val="nil"/>
              <w:left w:val="nil"/>
              <w:bottom w:val="single" w:sz="8" w:space="0" w:color="auto"/>
              <w:right w:val="single" w:sz="8" w:space="0" w:color="auto"/>
            </w:tcBorders>
            <w:shd w:val="clear" w:color="auto" w:fill="auto"/>
            <w:vAlign w:val="bottom"/>
            <w:hideMark/>
          </w:tcPr>
          <w:p w14:paraId="58E7347C"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Total Cost/ Response (dollars)</w:t>
            </w:r>
          </w:p>
        </w:tc>
        <w:tc>
          <w:tcPr>
            <w:tcW w:w="1399" w:type="dxa"/>
            <w:tcBorders>
              <w:top w:val="nil"/>
              <w:left w:val="nil"/>
              <w:bottom w:val="single" w:sz="8" w:space="0" w:color="auto"/>
              <w:right w:val="single" w:sz="4" w:space="0" w:color="auto"/>
            </w:tcBorders>
            <w:shd w:val="clear" w:color="auto" w:fill="EDEDED" w:themeFill="accent3" w:themeFillTint="33"/>
            <w:vAlign w:val="bottom"/>
            <w:hideMark/>
          </w:tcPr>
          <w:p w14:paraId="38D55BA7"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Number of Respondents</w:t>
            </w:r>
            <w:r>
              <w:rPr>
                <w:rFonts w:eastAsia="Times New Roman" w:cs="Times New Roman"/>
                <w:i/>
                <w:iCs/>
                <w:color w:val="000000"/>
                <w:kern w:val="0"/>
                <w:sz w:val="22"/>
                <w:szCs w:val="22"/>
                <w:vertAlign w:val="superscript"/>
                <w:lang w:eastAsia="en-US" w:bidi="ar-SA"/>
              </w:rPr>
              <w:t>1</w:t>
            </w:r>
          </w:p>
        </w:tc>
        <w:tc>
          <w:tcPr>
            <w:tcW w:w="1301" w:type="dxa"/>
            <w:tcBorders>
              <w:top w:val="nil"/>
              <w:left w:val="nil"/>
              <w:bottom w:val="single" w:sz="8" w:space="0" w:color="auto"/>
              <w:right w:val="single" w:sz="4" w:space="0" w:color="auto"/>
            </w:tcBorders>
            <w:shd w:val="clear" w:color="auto" w:fill="EDEDED" w:themeFill="accent3" w:themeFillTint="33"/>
            <w:vAlign w:val="bottom"/>
            <w:hideMark/>
          </w:tcPr>
          <w:p w14:paraId="6C29F101"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Number of Responses per party/year</w:t>
            </w:r>
          </w:p>
        </w:tc>
        <w:tc>
          <w:tcPr>
            <w:tcW w:w="1260" w:type="dxa"/>
            <w:tcBorders>
              <w:top w:val="nil"/>
              <w:left w:val="nil"/>
              <w:bottom w:val="single" w:sz="8" w:space="0" w:color="auto"/>
              <w:right w:val="single" w:sz="4" w:space="0" w:color="auto"/>
            </w:tcBorders>
            <w:shd w:val="clear" w:color="auto" w:fill="EDEDED" w:themeFill="accent3" w:themeFillTint="33"/>
            <w:vAlign w:val="bottom"/>
            <w:hideMark/>
          </w:tcPr>
          <w:p w14:paraId="200F9D50"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Total Number of Responses per Year</w:t>
            </w:r>
          </w:p>
        </w:tc>
        <w:tc>
          <w:tcPr>
            <w:tcW w:w="900" w:type="dxa"/>
            <w:tcBorders>
              <w:top w:val="nil"/>
              <w:left w:val="nil"/>
              <w:bottom w:val="single" w:sz="8" w:space="0" w:color="auto"/>
              <w:right w:val="single" w:sz="4" w:space="0" w:color="auto"/>
            </w:tcBorders>
            <w:shd w:val="clear" w:color="auto" w:fill="EDEDED" w:themeFill="accent3" w:themeFillTint="33"/>
            <w:vAlign w:val="bottom"/>
            <w:hideMark/>
          </w:tcPr>
          <w:p w14:paraId="1212D9E9"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Total Hours/ Year</w:t>
            </w:r>
          </w:p>
        </w:tc>
        <w:tc>
          <w:tcPr>
            <w:tcW w:w="1097" w:type="dxa"/>
            <w:tcBorders>
              <w:top w:val="nil"/>
              <w:left w:val="nil"/>
              <w:bottom w:val="single" w:sz="8" w:space="0" w:color="auto"/>
              <w:right w:val="single" w:sz="8" w:space="0" w:color="auto"/>
            </w:tcBorders>
            <w:shd w:val="clear" w:color="auto" w:fill="EDEDED" w:themeFill="accent3" w:themeFillTint="33"/>
            <w:vAlign w:val="bottom"/>
            <w:hideMark/>
          </w:tcPr>
          <w:p w14:paraId="783E7CEF" w14:textId="77777777" w:rsidR="00E459EE" w:rsidRDefault="005F75DA">
            <w:pPr>
              <w:widowControl/>
              <w:suppressAutoHyphens w:val="0"/>
              <w:autoSpaceDN/>
              <w:jc w:val="center"/>
              <w:textAlignment w:val="auto"/>
              <w:rPr>
                <w:rFonts w:eastAsia="Times New Roman" w:cs="Times New Roman"/>
                <w:i/>
                <w:iCs/>
                <w:color w:val="000000"/>
                <w:kern w:val="0"/>
                <w:sz w:val="22"/>
                <w:szCs w:val="22"/>
                <w:lang w:eastAsia="en-US" w:bidi="ar-SA"/>
              </w:rPr>
            </w:pPr>
            <w:r>
              <w:rPr>
                <w:rFonts w:eastAsia="Times New Roman" w:cs="Times New Roman"/>
                <w:i/>
                <w:iCs/>
                <w:color w:val="000000"/>
                <w:kern w:val="0"/>
                <w:sz w:val="22"/>
                <w:szCs w:val="22"/>
                <w:lang w:eastAsia="en-US" w:bidi="ar-SA"/>
              </w:rPr>
              <w:t>Total Cost/Year</w:t>
            </w:r>
          </w:p>
        </w:tc>
        <w:tc>
          <w:tcPr>
            <w:tcW w:w="1182" w:type="dxa"/>
            <w:vMerge/>
            <w:tcBorders>
              <w:top w:val="nil"/>
              <w:left w:val="single" w:sz="8" w:space="0" w:color="auto"/>
              <w:bottom w:val="nil"/>
              <w:right w:val="single" w:sz="8" w:space="0" w:color="auto"/>
            </w:tcBorders>
            <w:vAlign w:val="center"/>
            <w:hideMark/>
          </w:tcPr>
          <w:p w14:paraId="104BCCFF" w14:textId="77777777" w:rsidR="00E459EE" w:rsidRDefault="00E459EE">
            <w:pPr>
              <w:widowControl/>
              <w:suppressAutoHyphens w:val="0"/>
              <w:autoSpaceDN/>
              <w:textAlignment w:val="auto"/>
              <w:rPr>
                <w:rFonts w:eastAsia="Times New Roman" w:cs="Times New Roman"/>
                <w:color w:val="000000"/>
                <w:kern w:val="0"/>
                <w:sz w:val="22"/>
                <w:szCs w:val="22"/>
                <w:lang w:eastAsia="en-US" w:bidi="ar-SA"/>
              </w:rPr>
            </w:pPr>
          </w:p>
        </w:tc>
      </w:tr>
      <w:tr w:rsidR="00E459EE" w14:paraId="000B7C96" w14:textId="77777777">
        <w:trPr>
          <w:trHeight w:val="50"/>
        </w:trPr>
        <w:tc>
          <w:tcPr>
            <w:tcW w:w="1880"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bottom"/>
            <w:hideMark/>
          </w:tcPr>
          <w:p w14:paraId="7FF29DA3" w14:textId="77777777" w:rsidR="00E459EE" w:rsidRDefault="005F75DA">
            <w:pPr>
              <w:widowControl/>
              <w:suppressAutoHyphens w:val="0"/>
              <w:autoSpaceDN/>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§80.1476</w:t>
            </w:r>
          </w:p>
        </w:tc>
        <w:tc>
          <w:tcPr>
            <w:tcW w:w="2700" w:type="dxa"/>
            <w:tcBorders>
              <w:top w:val="single" w:sz="4" w:space="0" w:color="auto"/>
              <w:left w:val="nil"/>
              <w:bottom w:val="single" w:sz="4" w:space="0" w:color="auto"/>
              <w:right w:val="nil"/>
            </w:tcBorders>
            <w:shd w:val="clear" w:color="auto" w:fill="EDEDED" w:themeFill="accent3" w:themeFillTint="33"/>
            <w:vAlign w:val="bottom"/>
            <w:hideMark/>
          </w:tcPr>
          <w:p w14:paraId="1996633D" w14:textId="77777777" w:rsidR="00E459EE" w:rsidRDefault="005F75DA">
            <w:pPr>
              <w:widowControl/>
              <w:suppressAutoHyphens w:val="0"/>
              <w:autoSpaceDN/>
              <w:textAlignment w:val="auto"/>
              <w:rPr>
                <w:rFonts w:eastAsia="Times New Roman" w:cs="Times New Roman"/>
                <w:b/>
                <w:bCs/>
                <w:kern w:val="0"/>
                <w:sz w:val="22"/>
                <w:szCs w:val="22"/>
                <w:lang w:eastAsia="en-US" w:bidi="ar-SA"/>
              </w:rPr>
            </w:pPr>
            <w:r>
              <w:rPr>
                <w:rFonts w:eastAsia="Times New Roman" w:cs="Times New Roman"/>
                <w:b/>
                <w:bCs/>
                <w:kern w:val="0"/>
                <w:sz w:val="22"/>
                <w:szCs w:val="22"/>
                <w:lang w:eastAsia="en-US" w:bidi="ar-SA"/>
              </w:rPr>
              <w:t xml:space="preserve">Quality Assurance Plans: </w:t>
            </w:r>
            <w:r>
              <w:rPr>
                <w:rFonts w:eastAsia="Times New Roman" w:cs="Times New Roman"/>
                <w:kern w:val="0"/>
                <w:sz w:val="22"/>
                <w:szCs w:val="22"/>
                <w:lang w:eastAsia="en-US" w:bidi="ar-SA"/>
              </w:rPr>
              <w:t>Biointermediate pathway specific plans</w:t>
            </w:r>
            <w:r>
              <w:rPr>
                <w:rFonts w:eastAsia="Times New Roman" w:cs="Times New Roman"/>
                <w:kern w:val="0"/>
                <w:sz w:val="22"/>
                <w:szCs w:val="22"/>
                <w:vertAlign w:val="superscript"/>
                <w:lang w:eastAsia="en-US" w:bidi="ar-SA"/>
              </w:rPr>
              <w:t>2</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69D9BA" w14:textId="77777777" w:rsidR="00E459EE" w:rsidRDefault="005F75DA">
            <w:pPr>
              <w:widowControl/>
              <w:suppressAutoHyphens w:val="0"/>
              <w:autoSpaceDN/>
              <w:jc w:val="center"/>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40</w:t>
            </w:r>
          </w:p>
        </w:tc>
        <w:tc>
          <w:tcPr>
            <w:tcW w:w="1170" w:type="dxa"/>
            <w:tcBorders>
              <w:top w:val="nil"/>
              <w:left w:val="nil"/>
              <w:bottom w:val="single" w:sz="4" w:space="0" w:color="auto"/>
              <w:right w:val="single" w:sz="4" w:space="0" w:color="auto"/>
            </w:tcBorders>
            <w:shd w:val="clear" w:color="auto" w:fill="auto"/>
            <w:noWrap/>
            <w:vAlign w:val="bottom"/>
            <w:hideMark/>
          </w:tcPr>
          <w:p w14:paraId="2CD281BF" w14:textId="77777777" w:rsidR="00E459EE" w:rsidRDefault="005F75DA">
            <w:pPr>
              <w:widowControl/>
              <w:suppressAutoHyphens w:val="0"/>
              <w:autoSpaceDN/>
              <w:jc w:val="center"/>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0</w:t>
            </w:r>
          </w:p>
        </w:tc>
        <w:tc>
          <w:tcPr>
            <w:tcW w:w="1260" w:type="dxa"/>
            <w:tcBorders>
              <w:top w:val="nil"/>
              <w:left w:val="nil"/>
              <w:bottom w:val="single" w:sz="4" w:space="0" w:color="auto"/>
              <w:right w:val="single" w:sz="4" w:space="0" w:color="auto"/>
            </w:tcBorders>
            <w:shd w:val="clear" w:color="auto" w:fill="auto"/>
            <w:noWrap/>
            <w:vAlign w:val="bottom"/>
            <w:hideMark/>
          </w:tcPr>
          <w:p w14:paraId="22C859AD" w14:textId="77777777" w:rsidR="00E459EE" w:rsidRDefault="005F75DA">
            <w:pPr>
              <w:widowControl/>
              <w:suppressAutoHyphens w:val="0"/>
              <w:autoSpaceDN/>
              <w:jc w:val="center"/>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0</w:t>
            </w:r>
          </w:p>
        </w:tc>
        <w:tc>
          <w:tcPr>
            <w:tcW w:w="1260" w:type="dxa"/>
            <w:tcBorders>
              <w:top w:val="single" w:sz="4" w:space="0" w:color="auto"/>
              <w:left w:val="nil"/>
              <w:bottom w:val="single" w:sz="4" w:space="0" w:color="auto"/>
              <w:right w:val="single" w:sz="8" w:space="0" w:color="auto"/>
            </w:tcBorders>
            <w:shd w:val="clear" w:color="auto" w:fill="auto"/>
            <w:vAlign w:val="bottom"/>
            <w:hideMark/>
          </w:tcPr>
          <w:p w14:paraId="7B24FACA" w14:textId="77777777" w:rsidR="00E459EE" w:rsidRDefault="005F75DA">
            <w:pPr>
              <w:widowControl/>
              <w:suppressAutoHyphens w:val="0"/>
              <w:autoSpaceDN/>
              <w:jc w:val="center"/>
              <w:textAlignment w:val="auto"/>
              <w:rPr>
                <w:rFonts w:eastAsia="Times New Roman" w:cs="Times New Roman"/>
                <w:color w:val="000000"/>
                <w:kern w:val="0"/>
                <w:sz w:val="22"/>
                <w:szCs w:val="22"/>
                <w:lang w:eastAsia="en-US" w:bidi="ar-SA"/>
              </w:rPr>
            </w:pPr>
            <w:r>
              <w:rPr>
                <w:rFonts w:eastAsia="Times New Roman" w:cs="Times New Roman"/>
                <w:color w:val="000000"/>
                <w:kern w:val="0"/>
                <w:sz w:val="22"/>
                <w:szCs w:val="22"/>
                <w:lang w:eastAsia="en-US" w:bidi="ar-SA"/>
              </w:rPr>
              <w:t>3,720</w:t>
            </w:r>
          </w:p>
        </w:tc>
        <w:tc>
          <w:tcPr>
            <w:tcW w:w="1399" w:type="dxa"/>
            <w:tcBorders>
              <w:top w:val="nil"/>
              <w:left w:val="nil"/>
              <w:bottom w:val="single" w:sz="4" w:space="0" w:color="auto"/>
              <w:right w:val="single" w:sz="4" w:space="0" w:color="auto"/>
            </w:tcBorders>
            <w:shd w:val="clear" w:color="auto" w:fill="EDEDED" w:themeFill="accent3" w:themeFillTint="33"/>
            <w:noWrap/>
            <w:vAlign w:val="bottom"/>
            <w:hideMark/>
          </w:tcPr>
          <w:p w14:paraId="54B61962" w14:textId="77777777" w:rsidR="00E459EE" w:rsidRDefault="005F75DA">
            <w:pPr>
              <w:widowControl/>
              <w:suppressAutoHyphens w:val="0"/>
              <w:autoSpaceDN/>
              <w:jc w:val="center"/>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5</w:t>
            </w:r>
          </w:p>
        </w:tc>
        <w:tc>
          <w:tcPr>
            <w:tcW w:w="1301" w:type="dxa"/>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68F8A422" w14:textId="77777777" w:rsidR="00E459EE" w:rsidRDefault="005F75DA">
            <w:pPr>
              <w:widowControl/>
              <w:suppressAutoHyphens w:val="0"/>
              <w:autoSpaceDN/>
              <w:jc w:val="center"/>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7</w:t>
            </w:r>
          </w:p>
        </w:tc>
        <w:tc>
          <w:tcPr>
            <w:tcW w:w="1260" w:type="dxa"/>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25BD9CE5" w14:textId="77777777" w:rsidR="00E459EE" w:rsidRDefault="005F75DA">
            <w:pPr>
              <w:widowControl/>
              <w:suppressAutoHyphens w:val="0"/>
              <w:autoSpaceDN/>
              <w:jc w:val="center"/>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35</w:t>
            </w:r>
          </w:p>
        </w:tc>
        <w:tc>
          <w:tcPr>
            <w:tcW w:w="900" w:type="dxa"/>
            <w:tcBorders>
              <w:top w:val="single" w:sz="4" w:space="0" w:color="auto"/>
              <w:left w:val="nil"/>
              <w:bottom w:val="single" w:sz="4" w:space="0" w:color="auto"/>
              <w:right w:val="nil"/>
            </w:tcBorders>
            <w:shd w:val="clear" w:color="auto" w:fill="EDEDED" w:themeFill="accent3" w:themeFillTint="33"/>
            <w:noWrap/>
            <w:vAlign w:val="bottom"/>
            <w:hideMark/>
          </w:tcPr>
          <w:p w14:paraId="7638D049" w14:textId="77777777" w:rsidR="00E459EE" w:rsidRDefault="005F75DA">
            <w:pPr>
              <w:widowControl/>
              <w:suppressAutoHyphens w:val="0"/>
              <w:autoSpaceDN/>
              <w:jc w:val="center"/>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1,400</w:t>
            </w:r>
          </w:p>
        </w:tc>
        <w:tc>
          <w:tcPr>
            <w:tcW w:w="1097"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14:paraId="7C9B6B37" w14:textId="77777777" w:rsidR="00E459EE" w:rsidRDefault="005F75DA">
            <w:pPr>
              <w:widowControl/>
              <w:suppressAutoHyphens w:val="0"/>
              <w:autoSpaceDN/>
              <w:jc w:val="center"/>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130,200</w:t>
            </w:r>
          </w:p>
        </w:tc>
        <w:tc>
          <w:tcPr>
            <w:tcW w:w="1182" w:type="dxa"/>
            <w:tcBorders>
              <w:top w:val="single" w:sz="4" w:space="0" w:color="auto"/>
              <w:left w:val="single" w:sz="8" w:space="0" w:color="auto"/>
              <w:bottom w:val="single" w:sz="8" w:space="0" w:color="auto"/>
              <w:right w:val="single" w:sz="8" w:space="0" w:color="auto"/>
            </w:tcBorders>
            <w:shd w:val="clear" w:color="000000" w:fill="F8FFB9"/>
            <w:vAlign w:val="center"/>
            <w:hideMark/>
          </w:tcPr>
          <w:p w14:paraId="716D0FFE" w14:textId="77777777" w:rsidR="00E459EE" w:rsidRDefault="005F75DA">
            <w:pPr>
              <w:widowControl/>
              <w:suppressAutoHyphens w:val="0"/>
              <w:autoSpaceDN/>
              <w:jc w:val="center"/>
              <w:textAlignment w:val="auto"/>
              <w:rPr>
                <w:rFonts w:eastAsia="Times New Roman" w:cs="Times New Roman"/>
                <w:color w:val="000000"/>
                <w:kern w:val="0"/>
                <w:sz w:val="22"/>
                <w:szCs w:val="22"/>
                <w:lang w:eastAsia="en-US" w:bidi="ar-SA"/>
              </w:rPr>
            </w:pPr>
            <w:r>
              <w:rPr>
                <w:rFonts w:eastAsia="Times New Roman" w:cs="Times New Roman"/>
                <w:color w:val="000000"/>
                <w:kern w:val="0"/>
                <w:sz w:val="22"/>
                <w:szCs w:val="22"/>
                <w:lang w:eastAsia="en-US" w:bidi="ar-SA"/>
              </w:rPr>
              <w:t>NA</w:t>
            </w:r>
          </w:p>
        </w:tc>
      </w:tr>
      <w:tr w:rsidR="00E459EE" w14:paraId="649706C7" w14:textId="77777777">
        <w:trPr>
          <w:trHeight w:val="50"/>
        </w:trPr>
        <w:tc>
          <w:tcPr>
            <w:tcW w:w="458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3B73CF7" w14:textId="77777777" w:rsidR="00E459EE" w:rsidRDefault="005F75DA">
            <w:pPr>
              <w:widowControl/>
              <w:suppressAutoHyphens w:val="0"/>
              <w:autoSpaceDN/>
              <w:textAlignment w:val="auto"/>
              <w:rPr>
                <w:rFonts w:eastAsia="Times New Roman" w:cs="Times New Roman"/>
                <w:b/>
                <w:bCs/>
                <w:color w:val="FF0000"/>
                <w:kern w:val="0"/>
                <w:lang w:eastAsia="en-US" w:bidi="ar-SA"/>
              </w:rPr>
            </w:pPr>
            <w:r>
              <w:rPr>
                <w:rFonts w:eastAsia="Times New Roman" w:cs="Times New Roman"/>
                <w:b/>
                <w:bCs/>
                <w:color w:val="FF0000"/>
                <w:kern w:val="0"/>
                <w:lang w:eastAsia="en-US" w:bidi="ar-SA"/>
              </w:rPr>
              <w:t>GRAND TOTAL</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37AAAB98"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 </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985C1DC"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0B6ACE05"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6E5908"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 </w:t>
            </w:r>
          </w:p>
        </w:tc>
        <w:tc>
          <w:tcPr>
            <w:tcW w:w="1399" w:type="dxa"/>
            <w:tcBorders>
              <w:top w:val="single" w:sz="8" w:space="0" w:color="auto"/>
              <w:left w:val="nil"/>
              <w:bottom w:val="single" w:sz="8" w:space="0" w:color="auto"/>
              <w:right w:val="single" w:sz="4" w:space="0" w:color="auto"/>
            </w:tcBorders>
            <w:shd w:val="clear" w:color="auto" w:fill="auto"/>
            <w:noWrap/>
            <w:vAlign w:val="bottom"/>
            <w:hideMark/>
          </w:tcPr>
          <w:p w14:paraId="735A38C2"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5</w:t>
            </w:r>
          </w:p>
        </w:tc>
        <w:tc>
          <w:tcPr>
            <w:tcW w:w="1301" w:type="dxa"/>
            <w:tcBorders>
              <w:top w:val="single" w:sz="8" w:space="0" w:color="auto"/>
              <w:left w:val="nil"/>
              <w:bottom w:val="single" w:sz="8" w:space="0" w:color="auto"/>
              <w:right w:val="single" w:sz="4" w:space="0" w:color="auto"/>
            </w:tcBorders>
            <w:shd w:val="clear" w:color="auto" w:fill="auto"/>
            <w:noWrap/>
            <w:vAlign w:val="bottom"/>
            <w:hideMark/>
          </w:tcPr>
          <w:p w14:paraId="674054CC"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2A020CB9"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35</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14:paraId="2BAEDD4A"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1,400</w:t>
            </w:r>
          </w:p>
        </w:tc>
        <w:tc>
          <w:tcPr>
            <w:tcW w:w="1097" w:type="dxa"/>
            <w:tcBorders>
              <w:top w:val="single" w:sz="8" w:space="0" w:color="auto"/>
              <w:left w:val="nil"/>
              <w:bottom w:val="single" w:sz="8" w:space="0" w:color="auto"/>
              <w:right w:val="single" w:sz="4" w:space="0" w:color="auto"/>
            </w:tcBorders>
            <w:shd w:val="clear" w:color="auto" w:fill="auto"/>
            <w:noWrap/>
            <w:vAlign w:val="bottom"/>
            <w:hideMark/>
          </w:tcPr>
          <w:p w14:paraId="6E6C2FAE" w14:textId="77777777" w:rsidR="00E459EE" w:rsidRDefault="005F75DA">
            <w:pPr>
              <w:widowControl/>
              <w:suppressAutoHyphens w:val="0"/>
              <w:autoSpaceDN/>
              <w:jc w:val="center"/>
              <w:textAlignment w:val="auto"/>
              <w:rPr>
                <w:rFonts w:eastAsia="Times New Roman" w:cs="Times New Roman"/>
                <w:color w:val="FF0000"/>
                <w:kern w:val="0"/>
                <w:lang w:eastAsia="en-US" w:bidi="ar-SA"/>
              </w:rPr>
            </w:pPr>
            <w:r>
              <w:rPr>
                <w:rFonts w:eastAsia="Times New Roman" w:cs="Times New Roman"/>
                <w:color w:val="FF0000"/>
                <w:kern w:val="0"/>
                <w:lang w:eastAsia="en-US" w:bidi="ar-SA"/>
              </w:rPr>
              <w:t>130,200</w:t>
            </w:r>
          </w:p>
        </w:tc>
        <w:tc>
          <w:tcPr>
            <w:tcW w:w="1182" w:type="dxa"/>
            <w:tcBorders>
              <w:top w:val="nil"/>
              <w:left w:val="nil"/>
              <w:bottom w:val="nil"/>
              <w:right w:val="nil"/>
            </w:tcBorders>
            <w:shd w:val="clear" w:color="auto" w:fill="auto"/>
            <w:noWrap/>
            <w:vAlign w:val="bottom"/>
            <w:hideMark/>
          </w:tcPr>
          <w:p w14:paraId="476E1135" w14:textId="77777777" w:rsidR="00E459EE" w:rsidRDefault="00E459EE">
            <w:pPr>
              <w:widowControl/>
              <w:suppressAutoHyphens w:val="0"/>
              <w:autoSpaceDN/>
              <w:jc w:val="center"/>
              <w:textAlignment w:val="auto"/>
              <w:rPr>
                <w:rFonts w:eastAsia="Times New Roman" w:cs="Times New Roman"/>
                <w:color w:val="FF0000"/>
                <w:kern w:val="0"/>
                <w:lang w:eastAsia="en-US" w:bidi="ar-SA"/>
              </w:rPr>
            </w:pPr>
          </w:p>
        </w:tc>
      </w:tr>
    </w:tbl>
    <w:p w14:paraId="10EBE90C" w14:textId="77777777" w:rsidR="00E459EE" w:rsidRDefault="005F75DA">
      <w:pPr>
        <w:pStyle w:val="Standard"/>
      </w:pPr>
      <w:r>
        <w:t>ASSUMPTIONS FOR TABLE 6(b).3</w:t>
      </w:r>
    </w:p>
    <w:p w14:paraId="4558224A" w14:textId="77777777" w:rsidR="00E459EE" w:rsidRDefault="005F75DA">
      <w:pPr>
        <w:pStyle w:val="Standard"/>
        <w:rPr>
          <w:sz w:val="20"/>
          <w:szCs w:val="20"/>
        </w:rPr>
      </w:pPr>
      <w:r>
        <w:rPr>
          <w:sz w:val="20"/>
          <w:szCs w:val="20"/>
          <w:vertAlign w:val="superscript"/>
        </w:rPr>
        <w:t>1</w:t>
      </w:r>
      <w:r>
        <w:rPr>
          <w:sz w:val="20"/>
          <w:szCs w:val="20"/>
        </w:rPr>
        <w:t>Currently there are only five independent third-party auditors and it is not likely that there will be more auditors in the near future.</w:t>
      </w:r>
    </w:p>
    <w:p w14:paraId="61283BCF" w14:textId="77777777" w:rsidR="00E459EE" w:rsidRDefault="005F75DA">
      <w:pPr>
        <w:pStyle w:val="Standard"/>
        <w:rPr>
          <w:sz w:val="20"/>
          <w:szCs w:val="20"/>
        </w:rPr>
      </w:pPr>
      <w:r>
        <w:rPr>
          <w:sz w:val="20"/>
          <w:szCs w:val="20"/>
          <w:vertAlign w:val="superscript"/>
        </w:rPr>
        <w:t>2</w:t>
      </w:r>
      <w:r>
        <w:rPr>
          <w:sz w:val="20"/>
          <w:szCs w:val="20"/>
        </w:rPr>
        <w:t>Assumes no additional burdens on independent third-party auditors other than the preparation and submission of pathway-specific plans for biointermediate production and use.</w:t>
      </w:r>
    </w:p>
    <w:p w14:paraId="5F8B669D" w14:textId="77777777" w:rsidR="00E459EE" w:rsidRDefault="005F75DA">
      <w:pPr>
        <w:widowControl/>
        <w:suppressAutoHyphens w:val="0"/>
        <w:autoSpaceDN/>
        <w:spacing w:after="160" w:line="259" w:lineRule="auto"/>
        <w:textAlignment w:val="auto"/>
      </w:pPr>
      <w:r>
        <w:br w:type="page"/>
      </w:r>
    </w:p>
    <w:tbl>
      <w:tblPr>
        <w:tblW w:w="15969" w:type="dxa"/>
        <w:tblLook w:val="04A0" w:firstRow="1" w:lastRow="0" w:firstColumn="1" w:lastColumn="0" w:noHBand="0" w:noVBand="1"/>
      </w:tblPr>
      <w:tblGrid>
        <w:gridCol w:w="2040"/>
        <w:gridCol w:w="2100"/>
        <w:gridCol w:w="1120"/>
        <w:gridCol w:w="1060"/>
        <w:gridCol w:w="1120"/>
        <w:gridCol w:w="1040"/>
        <w:gridCol w:w="1380"/>
        <w:gridCol w:w="1220"/>
        <w:gridCol w:w="1220"/>
        <w:gridCol w:w="1220"/>
        <w:gridCol w:w="1200"/>
        <w:gridCol w:w="1249"/>
      </w:tblGrid>
      <w:tr w:rsidR="00E459EE" w14:paraId="687FE0DC" w14:textId="77777777">
        <w:trPr>
          <w:trHeight w:val="50"/>
        </w:trPr>
        <w:tc>
          <w:tcPr>
            <w:tcW w:w="1596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EC7CE4"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lastRenderedPageBreak/>
              <w:t>Annual Respondent Burden and Cost by Type of Party</w:t>
            </w:r>
          </w:p>
        </w:tc>
      </w:tr>
      <w:tr w:rsidR="00E459EE" w14:paraId="61C912E5" w14:textId="77777777">
        <w:trPr>
          <w:trHeight w:val="50"/>
        </w:trPr>
        <w:tc>
          <w:tcPr>
            <w:tcW w:w="1596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CE2544F"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6(b).4 - VRD-B Producers</w:t>
            </w:r>
          </w:p>
        </w:tc>
      </w:tr>
      <w:tr w:rsidR="00E459EE" w14:paraId="6BA797EB" w14:textId="77777777">
        <w:trPr>
          <w:trHeight w:val="50"/>
        </w:trPr>
        <w:tc>
          <w:tcPr>
            <w:tcW w:w="4140" w:type="dxa"/>
            <w:gridSpan w:val="2"/>
            <w:tcBorders>
              <w:top w:val="single" w:sz="8" w:space="0" w:color="auto"/>
              <w:left w:val="single" w:sz="8" w:space="0" w:color="auto"/>
              <w:bottom w:val="single" w:sz="8" w:space="0" w:color="auto"/>
              <w:right w:val="nil"/>
            </w:tcBorders>
            <w:shd w:val="clear" w:color="auto" w:fill="EDEDED" w:themeFill="accent3" w:themeFillTint="33"/>
            <w:noWrap/>
            <w:vAlign w:val="bottom"/>
            <w:hideMark/>
          </w:tcPr>
          <w:p w14:paraId="79E6BDDE"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40EF652"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240" w:type="dxa"/>
            <w:gridSpan w:val="5"/>
            <w:tcBorders>
              <w:top w:val="single" w:sz="8" w:space="0" w:color="auto"/>
              <w:left w:val="nil"/>
              <w:bottom w:val="single" w:sz="8" w:space="0" w:color="auto"/>
              <w:right w:val="nil"/>
            </w:tcBorders>
            <w:shd w:val="clear" w:color="auto" w:fill="EDEDED" w:themeFill="accent3" w:themeFillTint="33"/>
            <w:noWrap/>
            <w:vAlign w:val="bottom"/>
            <w:hideMark/>
          </w:tcPr>
          <w:p w14:paraId="6D0C6740"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249" w:type="dxa"/>
            <w:vMerge w:val="restart"/>
            <w:tcBorders>
              <w:top w:val="nil"/>
              <w:left w:val="single" w:sz="8" w:space="0" w:color="auto"/>
              <w:bottom w:val="nil"/>
              <w:right w:val="single" w:sz="8" w:space="0" w:color="auto"/>
            </w:tcBorders>
            <w:shd w:val="clear" w:color="000000" w:fill="F8FFB9"/>
            <w:vAlign w:val="center"/>
            <w:hideMark/>
          </w:tcPr>
          <w:p w14:paraId="0FE1FCB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063BB1E1" w14:textId="77777777">
        <w:trPr>
          <w:trHeight w:val="50"/>
        </w:trPr>
        <w:tc>
          <w:tcPr>
            <w:tcW w:w="2040" w:type="dxa"/>
            <w:tcBorders>
              <w:top w:val="nil"/>
              <w:left w:val="single" w:sz="8" w:space="0" w:color="auto"/>
              <w:bottom w:val="single" w:sz="8" w:space="0" w:color="auto"/>
              <w:right w:val="single" w:sz="4" w:space="0" w:color="auto"/>
            </w:tcBorders>
            <w:shd w:val="clear" w:color="auto" w:fill="EDEDED" w:themeFill="accent3" w:themeFillTint="33"/>
            <w:noWrap/>
            <w:vAlign w:val="bottom"/>
            <w:hideMark/>
          </w:tcPr>
          <w:p w14:paraId="177C041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100" w:type="dxa"/>
            <w:tcBorders>
              <w:top w:val="nil"/>
              <w:left w:val="nil"/>
              <w:bottom w:val="single" w:sz="8" w:space="0" w:color="auto"/>
              <w:right w:val="nil"/>
            </w:tcBorders>
            <w:shd w:val="clear" w:color="auto" w:fill="EDEDED" w:themeFill="accent3" w:themeFillTint="33"/>
            <w:vAlign w:val="bottom"/>
            <w:hideMark/>
          </w:tcPr>
          <w:p w14:paraId="0BB69C3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77929422"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4D49CD1E"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234EDFFA"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23F338C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380" w:type="dxa"/>
            <w:tcBorders>
              <w:top w:val="nil"/>
              <w:left w:val="nil"/>
              <w:bottom w:val="single" w:sz="8" w:space="0" w:color="auto"/>
              <w:right w:val="single" w:sz="4" w:space="0" w:color="auto"/>
            </w:tcBorders>
            <w:shd w:val="clear" w:color="auto" w:fill="EDEDED" w:themeFill="accent3" w:themeFillTint="33"/>
            <w:vAlign w:val="bottom"/>
            <w:hideMark/>
          </w:tcPr>
          <w:p w14:paraId="44D55A7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auto" w:fill="EDEDED" w:themeFill="accent3" w:themeFillTint="33"/>
            <w:vAlign w:val="bottom"/>
            <w:hideMark/>
          </w:tcPr>
          <w:p w14:paraId="47FD82D1"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auto" w:fill="EDEDED" w:themeFill="accent3" w:themeFillTint="33"/>
            <w:vAlign w:val="bottom"/>
            <w:hideMark/>
          </w:tcPr>
          <w:p w14:paraId="63906D1B"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auto" w:fill="EDEDED" w:themeFill="accent3" w:themeFillTint="33"/>
            <w:vAlign w:val="bottom"/>
            <w:hideMark/>
          </w:tcPr>
          <w:p w14:paraId="36B69534"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auto" w:fill="EDEDED" w:themeFill="accent3" w:themeFillTint="33"/>
            <w:vAlign w:val="bottom"/>
            <w:hideMark/>
          </w:tcPr>
          <w:p w14:paraId="1586B10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249" w:type="dxa"/>
            <w:vMerge/>
            <w:tcBorders>
              <w:top w:val="nil"/>
              <w:left w:val="single" w:sz="8" w:space="0" w:color="auto"/>
              <w:bottom w:val="nil"/>
              <w:right w:val="single" w:sz="8" w:space="0" w:color="auto"/>
            </w:tcBorders>
            <w:vAlign w:val="center"/>
            <w:hideMark/>
          </w:tcPr>
          <w:p w14:paraId="6B430C4C"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4D1173A5" w14:textId="77777777">
        <w:trPr>
          <w:trHeight w:val="50"/>
        </w:trPr>
        <w:tc>
          <w:tcPr>
            <w:tcW w:w="2040"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bottom"/>
            <w:hideMark/>
          </w:tcPr>
          <w:p w14:paraId="3B23B85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w:t>
            </w:r>
          </w:p>
        </w:tc>
        <w:tc>
          <w:tcPr>
            <w:tcW w:w="2100" w:type="dxa"/>
            <w:tcBorders>
              <w:top w:val="single" w:sz="4" w:space="0" w:color="auto"/>
              <w:left w:val="nil"/>
              <w:bottom w:val="single" w:sz="4" w:space="0" w:color="auto"/>
              <w:right w:val="nil"/>
            </w:tcBorders>
            <w:shd w:val="clear" w:color="auto" w:fill="EDEDED" w:themeFill="accent3" w:themeFillTint="33"/>
            <w:vAlign w:val="bottom"/>
            <w:hideMark/>
          </w:tcPr>
          <w:p w14:paraId="6464A76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769ED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060" w:type="dxa"/>
            <w:tcBorders>
              <w:top w:val="nil"/>
              <w:left w:val="nil"/>
              <w:bottom w:val="single" w:sz="4" w:space="0" w:color="auto"/>
              <w:right w:val="single" w:sz="4" w:space="0" w:color="auto"/>
            </w:tcBorders>
            <w:shd w:val="clear" w:color="auto" w:fill="auto"/>
            <w:noWrap/>
            <w:vAlign w:val="bottom"/>
            <w:hideMark/>
          </w:tcPr>
          <w:p w14:paraId="55B86D1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1F3D835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15E469B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4,836</w:t>
            </w:r>
          </w:p>
        </w:tc>
        <w:tc>
          <w:tcPr>
            <w:tcW w:w="1380" w:type="dxa"/>
            <w:tcBorders>
              <w:top w:val="nil"/>
              <w:left w:val="nil"/>
              <w:bottom w:val="single" w:sz="4" w:space="0" w:color="auto"/>
              <w:right w:val="single" w:sz="4" w:space="0" w:color="auto"/>
            </w:tcBorders>
            <w:shd w:val="clear" w:color="auto" w:fill="EDEDED" w:themeFill="accent3" w:themeFillTint="33"/>
            <w:noWrap/>
            <w:vAlign w:val="bottom"/>
            <w:hideMark/>
          </w:tcPr>
          <w:p w14:paraId="76B935E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3A569CC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27C8D2C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single" w:sz="4" w:space="0" w:color="auto"/>
              <w:left w:val="nil"/>
              <w:bottom w:val="single" w:sz="4" w:space="0" w:color="auto"/>
              <w:right w:val="nil"/>
            </w:tcBorders>
            <w:shd w:val="clear" w:color="auto" w:fill="EDEDED" w:themeFill="accent3" w:themeFillTint="33"/>
            <w:noWrap/>
            <w:vAlign w:val="bottom"/>
            <w:hideMark/>
          </w:tcPr>
          <w:p w14:paraId="5E4A483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280</w:t>
            </w:r>
          </w:p>
        </w:tc>
        <w:tc>
          <w:tcPr>
            <w:tcW w:w="1200"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14:paraId="62C1943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48,360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375EDB5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82B92FA" w14:textId="77777777">
        <w:trPr>
          <w:trHeight w:val="60"/>
        </w:trPr>
        <w:tc>
          <w:tcPr>
            <w:tcW w:w="2040" w:type="dxa"/>
            <w:tcBorders>
              <w:top w:val="nil"/>
              <w:left w:val="single" w:sz="8" w:space="0" w:color="auto"/>
              <w:bottom w:val="single" w:sz="4" w:space="0" w:color="auto"/>
              <w:right w:val="single" w:sz="4" w:space="0" w:color="auto"/>
            </w:tcBorders>
            <w:shd w:val="clear" w:color="auto" w:fill="EDEDED" w:themeFill="accent3" w:themeFillTint="33"/>
            <w:vAlign w:val="bottom"/>
            <w:hideMark/>
          </w:tcPr>
          <w:p w14:paraId="318E4F05"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w:t>
            </w:r>
          </w:p>
        </w:tc>
        <w:tc>
          <w:tcPr>
            <w:tcW w:w="2100" w:type="dxa"/>
            <w:tcBorders>
              <w:top w:val="nil"/>
              <w:left w:val="nil"/>
              <w:bottom w:val="single" w:sz="4" w:space="0" w:color="auto"/>
              <w:right w:val="nil"/>
            </w:tcBorders>
            <w:shd w:val="clear" w:color="auto" w:fill="EDEDED" w:themeFill="accent3" w:themeFillTint="33"/>
            <w:vAlign w:val="bottom"/>
            <w:hideMark/>
          </w:tcPr>
          <w:p w14:paraId="3B7A30A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59A88B1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31EC11A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486ECF0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5E09D7D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auto" w:fill="EDEDED" w:themeFill="accent3" w:themeFillTint="33"/>
            <w:noWrap/>
            <w:vAlign w:val="bottom"/>
            <w:hideMark/>
          </w:tcPr>
          <w:p w14:paraId="3AAA8D8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3C044AE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0BB9ADF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nil"/>
            </w:tcBorders>
            <w:shd w:val="clear" w:color="auto" w:fill="EDEDED" w:themeFill="accent3" w:themeFillTint="33"/>
            <w:noWrap/>
            <w:vAlign w:val="bottom"/>
            <w:hideMark/>
          </w:tcPr>
          <w:p w14:paraId="6D5301B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200" w:type="dxa"/>
            <w:tcBorders>
              <w:top w:val="nil"/>
              <w:left w:val="single" w:sz="4" w:space="0" w:color="auto"/>
              <w:bottom w:val="single" w:sz="4" w:space="0" w:color="auto"/>
              <w:right w:val="nil"/>
            </w:tcBorders>
            <w:shd w:val="clear" w:color="auto" w:fill="EDEDED" w:themeFill="accent3" w:themeFillTint="33"/>
            <w:noWrap/>
            <w:vAlign w:val="bottom"/>
            <w:hideMark/>
          </w:tcPr>
          <w:p w14:paraId="2474C8E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744</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2F4C2B72"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2C8A8384" w14:textId="77777777">
        <w:trPr>
          <w:trHeight w:val="60"/>
        </w:trPr>
        <w:tc>
          <w:tcPr>
            <w:tcW w:w="2040" w:type="dxa"/>
            <w:tcBorders>
              <w:top w:val="nil"/>
              <w:left w:val="single" w:sz="8" w:space="0" w:color="auto"/>
              <w:bottom w:val="single" w:sz="4" w:space="0" w:color="auto"/>
              <w:right w:val="single" w:sz="4" w:space="0" w:color="auto"/>
            </w:tcBorders>
            <w:shd w:val="clear" w:color="auto" w:fill="EDEDED" w:themeFill="accent3" w:themeFillTint="33"/>
            <w:vAlign w:val="bottom"/>
            <w:hideMark/>
          </w:tcPr>
          <w:p w14:paraId="5AB23D23"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§80.1451(i)</w:t>
            </w:r>
          </w:p>
        </w:tc>
        <w:tc>
          <w:tcPr>
            <w:tcW w:w="2100" w:type="dxa"/>
            <w:tcBorders>
              <w:top w:val="nil"/>
              <w:left w:val="nil"/>
              <w:bottom w:val="single" w:sz="4" w:space="0" w:color="auto"/>
              <w:right w:val="nil"/>
            </w:tcBorders>
            <w:shd w:val="clear" w:color="auto" w:fill="EDEDED" w:themeFill="accent3" w:themeFillTint="33"/>
            <w:vAlign w:val="bottom"/>
            <w:hideMark/>
          </w:tcPr>
          <w:p w14:paraId="02E04A06"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Quarterly Reports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718487A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60" w:type="dxa"/>
            <w:tcBorders>
              <w:top w:val="nil"/>
              <w:left w:val="nil"/>
              <w:bottom w:val="single" w:sz="4" w:space="0" w:color="auto"/>
              <w:right w:val="single" w:sz="4" w:space="0" w:color="auto"/>
            </w:tcBorders>
            <w:shd w:val="clear" w:color="auto" w:fill="auto"/>
            <w:noWrap/>
            <w:vAlign w:val="bottom"/>
            <w:hideMark/>
          </w:tcPr>
          <w:p w14:paraId="0454990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C7EF15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6CFE5E7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80" w:type="dxa"/>
            <w:tcBorders>
              <w:top w:val="nil"/>
              <w:left w:val="nil"/>
              <w:bottom w:val="single" w:sz="4" w:space="0" w:color="auto"/>
              <w:right w:val="single" w:sz="4" w:space="0" w:color="auto"/>
            </w:tcBorders>
            <w:shd w:val="clear" w:color="auto" w:fill="EDEDED" w:themeFill="accent3" w:themeFillTint="33"/>
            <w:noWrap/>
            <w:vAlign w:val="bottom"/>
            <w:hideMark/>
          </w:tcPr>
          <w:p w14:paraId="757BDC3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2BBC1F1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6B01B1F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nil"/>
            </w:tcBorders>
            <w:shd w:val="clear" w:color="auto" w:fill="EDEDED" w:themeFill="accent3" w:themeFillTint="33"/>
            <w:noWrap/>
            <w:vAlign w:val="bottom"/>
            <w:hideMark/>
          </w:tcPr>
          <w:p w14:paraId="3B1506D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320</w:t>
            </w:r>
          </w:p>
        </w:tc>
        <w:tc>
          <w:tcPr>
            <w:tcW w:w="1200" w:type="dxa"/>
            <w:tcBorders>
              <w:top w:val="nil"/>
              <w:left w:val="single" w:sz="4" w:space="0" w:color="auto"/>
              <w:bottom w:val="single" w:sz="4" w:space="0" w:color="auto"/>
              <w:right w:val="nil"/>
            </w:tcBorders>
            <w:shd w:val="clear" w:color="auto" w:fill="EDEDED" w:themeFill="accent3" w:themeFillTint="33"/>
            <w:noWrap/>
            <w:vAlign w:val="bottom"/>
            <w:hideMark/>
          </w:tcPr>
          <w:p w14:paraId="30B3D28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29,760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7DA13566" w14:textId="6CED7114" w:rsidR="00E459EE" w:rsidRDefault="005F75DA" w:rsidP="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RFS4000, RFS0702, RFS0802</w:t>
            </w:r>
          </w:p>
        </w:tc>
      </w:tr>
      <w:tr w:rsidR="00E459EE" w14:paraId="6ADC9CA2" w14:textId="77777777">
        <w:trPr>
          <w:trHeight w:val="60"/>
        </w:trPr>
        <w:tc>
          <w:tcPr>
            <w:tcW w:w="2040" w:type="dxa"/>
            <w:tcBorders>
              <w:top w:val="nil"/>
              <w:left w:val="single" w:sz="8" w:space="0" w:color="auto"/>
              <w:bottom w:val="single" w:sz="4" w:space="0" w:color="auto"/>
              <w:right w:val="single" w:sz="4" w:space="0" w:color="auto"/>
            </w:tcBorders>
            <w:shd w:val="clear" w:color="auto" w:fill="EDEDED" w:themeFill="accent3" w:themeFillTint="33"/>
            <w:vAlign w:val="bottom"/>
            <w:hideMark/>
          </w:tcPr>
          <w:p w14:paraId="58E4235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100" w:type="dxa"/>
            <w:tcBorders>
              <w:top w:val="nil"/>
              <w:left w:val="nil"/>
              <w:bottom w:val="single" w:sz="4" w:space="0" w:color="auto"/>
              <w:right w:val="nil"/>
            </w:tcBorders>
            <w:shd w:val="clear" w:color="auto" w:fill="EDEDED" w:themeFill="accent3" w:themeFillTint="33"/>
            <w:vAlign w:val="bottom"/>
            <w:hideMark/>
          </w:tcPr>
          <w:p w14:paraId="432D7A6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 Transaction Reporting</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42BDB68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0.1</w:t>
            </w:r>
          </w:p>
        </w:tc>
        <w:tc>
          <w:tcPr>
            <w:tcW w:w="1060" w:type="dxa"/>
            <w:tcBorders>
              <w:top w:val="nil"/>
              <w:left w:val="nil"/>
              <w:bottom w:val="single" w:sz="4" w:space="0" w:color="auto"/>
              <w:right w:val="single" w:sz="4" w:space="0" w:color="auto"/>
            </w:tcBorders>
            <w:shd w:val="clear" w:color="auto" w:fill="auto"/>
            <w:noWrap/>
            <w:vAlign w:val="bottom"/>
            <w:hideMark/>
          </w:tcPr>
          <w:p w14:paraId="0310559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24AFBDE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0514DDB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w:t>
            </w:r>
          </w:p>
        </w:tc>
        <w:tc>
          <w:tcPr>
            <w:tcW w:w="1380" w:type="dxa"/>
            <w:tcBorders>
              <w:top w:val="nil"/>
              <w:left w:val="nil"/>
              <w:bottom w:val="single" w:sz="4" w:space="0" w:color="auto"/>
              <w:right w:val="single" w:sz="4" w:space="0" w:color="auto"/>
            </w:tcBorders>
            <w:shd w:val="clear" w:color="auto" w:fill="EDEDED" w:themeFill="accent3" w:themeFillTint="33"/>
            <w:noWrap/>
            <w:vAlign w:val="bottom"/>
            <w:hideMark/>
          </w:tcPr>
          <w:p w14:paraId="0C89EEE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229EC35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3FB9065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3,650</w:t>
            </w:r>
          </w:p>
        </w:tc>
        <w:tc>
          <w:tcPr>
            <w:tcW w:w="1220" w:type="dxa"/>
            <w:tcBorders>
              <w:top w:val="nil"/>
              <w:left w:val="nil"/>
              <w:bottom w:val="single" w:sz="4" w:space="0" w:color="auto"/>
              <w:right w:val="nil"/>
            </w:tcBorders>
            <w:shd w:val="clear" w:color="auto" w:fill="EDEDED" w:themeFill="accent3" w:themeFillTint="33"/>
            <w:noWrap/>
            <w:vAlign w:val="bottom"/>
            <w:hideMark/>
          </w:tcPr>
          <w:p w14:paraId="3835561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00" w:type="dxa"/>
            <w:tcBorders>
              <w:top w:val="nil"/>
              <w:left w:val="single" w:sz="4" w:space="0" w:color="auto"/>
              <w:bottom w:val="single" w:sz="4" w:space="0" w:color="auto"/>
              <w:right w:val="nil"/>
            </w:tcBorders>
            <w:shd w:val="clear" w:color="auto" w:fill="EDEDED" w:themeFill="accent3" w:themeFillTint="33"/>
            <w:noWrap/>
            <w:vAlign w:val="bottom"/>
            <w:hideMark/>
          </w:tcPr>
          <w:p w14:paraId="71341D9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33,945</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77614D3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43BCEAC8" w14:textId="77777777">
        <w:trPr>
          <w:trHeight w:val="60"/>
        </w:trPr>
        <w:tc>
          <w:tcPr>
            <w:tcW w:w="2040" w:type="dxa"/>
            <w:tcBorders>
              <w:top w:val="nil"/>
              <w:left w:val="single" w:sz="8" w:space="0" w:color="auto"/>
              <w:bottom w:val="single" w:sz="4" w:space="0" w:color="auto"/>
              <w:right w:val="single" w:sz="4" w:space="0" w:color="auto"/>
            </w:tcBorders>
            <w:shd w:val="clear" w:color="auto" w:fill="EDEDED" w:themeFill="accent3" w:themeFillTint="33"/>
            <w:vAlign w:val="bottom"/>
            <w:hideMark/>
          </w:tcPr>
          <w:p w14:paraId="2C71E8B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§80.1453(e)</w:t>
            </w:r>
          </w:p>
        </w:tc>
        <w:tc>
          <w:tcPr>
            <w:tcW w:w="2100" w:type="dxa"/>
            <w:tcBorders>
              <w:top w:val="nil"/>
              <w:left w:val="nil"/>
              <w:bottom w:val="single" w:sz="4" w:space="0" w:color="auto"/>
              <w:right w:val="nil"/>
            </w:tcBorders>
            <w:shd w:val="clear" w:color="auto" w:fill="EDEDED" w:themeFill="accent3" w:themeFillTint="33"/>
            <w:vAlign w:val="bottom"/>
            <w:hideMark/>
          </w:tcPr>
          <w:p w14:paraId="28F983A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Product Transfer Documents: </w:t>
            </w:r>
            <w:r>
              <w:rPr>
                <w:rFonts w:eastAsia="Times New Roman" w:cs="Times New Roman"/>
                <w:kern w:val="0"/>
                <w:sz w:val="21"/>
                <w:szCs w:val="21"/>
                <w:lang w:eastAsia="en-US" w:bidi="ar-SA"/>
              </w:rPr>
              <w:t>Transfers of VRD-B</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73D83D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5DF718C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6B7E966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725D073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DEDED" w:themeFill="accent3" w:themeFillTint="33"/>
            <w:noWrap/>
            <w:vAlign w:val="bottom"/>
            <w:hideMark/>
          </w:tcPr>
          <w:p w14:paraId="75EBD24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72EED84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4FEB86E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3,650</w:t>
            </w:r>
          </w:p>
        </w:tc>
        <w:tc>
          <w:tcPr>
            <w:tcW w:w="1220" w:type="dxa"/>
            <w:tcBorders>
              <w:top w:val="nil"/>
              <w:left w:val="nil"/>
              <w:bottom w:val="single" w:sz="4" w:space="0" w:color="auto"/>
              <w:right w:val="nil"/>
            </w:tcBorders>
            <w:shd w:val="clear" w:color="auto" w:fill="EDEDED" w:themeFill="accent3" w:themeFillTint="33"/>
            <w:noWrap/>
            <w:vAlign w:val="bottom"/>
            <w:hideMark/>
          </w:tcPr>
          <w:p w14:paraId="19A298B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3,650</w:t>
            </w:r>
          </w:p>
        </w:tc>
        <w:tc>
          <w:tcPr>
            <w:tcW w:w="1200" w:type="dxa"/>
            <w:tcBorders>
              <w:top w:val="nil"/>
              <w:left w:val="single" w:sz="4" w:space="0" w:color="auto"/>
              <w:bottom w:val="single" w:sz="4" w:space="0" w:color="auto"/>
              <w:right w:val="nil"/>
            </w:tcBorders>
            <w:shd w:val="clear" w:color="auto" w:fill="EDEDED" w:themeFill="accent3" w:themeFillTint="33"/>
            <w:noWrap/>
            <w:vAlign w:val="bottom"/>
            <w:hideMark/>
          </w:tcPr>
          <w:p w14:paraId="0DCA888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120,450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2DE4F5F8"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CE6F026" w14:textId="77777777">
        <w:trPr>
          <w:trHeight w:val="60"/>
        </w:trPr>
        <w:tc>
          <w:tcPr>
            <w:tcW w:w="2040" w:type="dxa"/>
            <w:tcBorders>
              <w:top w:val="nil"/>
              <w:left w:val="single" w:sz="8" w:space="0" w:color="auto"/>
              <w:bottom w:val="single" w:sz="4" w:space="0" w:color="auto"/>
              <w:right w:val="single" w:sz="4" w:space="0" w:color="auto"/>
            </w:tcBorders>
            <w:shd w:val="clear" w:color="auto" w:fill="EDEDED" w:themeFill="accent3" w:themeFillTint="33"/>
            <w:vAlign w:val="center"/>
            <w:hideMark/>
          </w:tcPr>
          <w:p w14:paraId="4187E3A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§80.1454(n)</w:t>
            </w:r>
          </w:p>
        </w:tc>
        <w:tc>
          <w:tcPr>
            <w:tcW w:w="2100" w:type="dxa"/>
            <w:tcBorders>
              <w:top w:val="nil"/>
              <w:left w:val="nil"/>
              <w:bottom w:val="single" w:sz="4" w:space="0" w:color="auto"/>
              <w:right w:val="nil"/>
            </w:tcBorders>
            <w:shd w:val="clear" w:color="auto" w:fill="EDEDED" w:themeFill="accent3" w:themeFillTint="33"/>
            <w:vAlign w:val="center"/>
            <w:hideMark/>
          </w:tcPr>
          <w:p w14:paraId="153483B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VRD-B production</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1AACB58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6EBBE30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3901D3E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162BBDC2"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DEDED" w:themeFill="accent3" w:themeFillTint="33"/>
            <w:noWrap/>
            <w:vAlign w:val="bottom"/>
            <w:hideMark/>
          </w:tcPr>
          <w:p w14:paraId="271B77B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10</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63CCA92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3D8333A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w:t>
            </w:r>
          </w:p>
        </w:tc>
        <w:tc>
          <w:tcPr>
            <w:tcW w:w="1220" w:type="dxa"/>
            <w:tcBorders>
              <w:top w:val="nil"/>
              <w:left w:val="nil"/>
              <w:bottom w:val="single" w:sz="4" w:space="0" w:color="auto"/>
              <w:right w:val="nil"/>
            </w:tcBorders>
            <w:shd w:val="clear" w:color="auto" w:fill="EDEDED" w:themeFill="accent3" w:themeFillTint="33"/>
            <w:noWrap/>
            <w:vAlign w:val="bottom"/>
            <w:hideMark/>
          </w:tcPr>
          <w:p w14:paraId="6D61AE1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w:t>
            </w:r>
          </w:p>
        </w:tc>
        <w:tc>
          <w:tcPr>
            <w:tcW w:w="1200" w:type="dxa"/>
            <w:tcBorders>
              <w:top w:val="nil"/>
              <w:left w:val="single" w:sz="4" w:space="0" w:color="auto"/>
              <w:bottom w:val="single" w:sz="4" w:space="0" w:color="auto"/>
              <w:right w:val="nil"/>
            </w:tcBorders>
            <w:shd w:val="clear" w:color="auto" w:fill="EDEDED" w:themeFill="accent3" w:themeFillTint="33"/>
            <w:noWrap/>
            <w:vAlign w:val="bottom"/>
            <w:hideMark/>
          </w:tcPr>
          <w:p w14:paraId="57607E1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3,960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2BD170F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2834FB4" w14:textId="77777777">
        <w:trPr>
          <w:trHeight w:val="60"/>
        </w:trPr>
        <w:tc>
          <w:tcPr>
            <w:tcW w:w="2040" w:type="dxa"/>
            <w:tcBorders>
              <w:top w:val="nil"/>
              <w:left w:val="single" w:sz="8" w:space="0" w:color="auto"/>
              <w:bottom w:val="single" w:sz="4" w:space="0" w:color="auto"/>
              <w:right w:val="single" w:sz="4" w:space="0" w:color="auto"/>
            </w:tcBorders>
            <w:shd w:val="clear" w:color="auto" w:fill="EDEDED" w:themeFill="accent3" w:themeFillTint="33"/>
            <w:vAlign w:val="bottom"/>
            <w:hideMark/>
          </w:tcPr>
          <w:p w14:paraId="62979B6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§80.1464(j)</w:t>
            </w:r>
          </w:p>
        </w:tc>
        <w:tc>
          <w:tcPr>
            <w:tcW w:w="2100" w:type="dxa"/>
            <w:tcBorders>
              <w:top w:val="nil"/>
              <w:left w:val="nil"/>
              <w:bottom w:val="single" w:sz="8" w:space="0" w:color="auto"/>
              <w:right w:val="nil"/>
            </w:tcBorders>
            <w:shd w:val="clear" w:color="auto" w:fill="EDEDED" w:themeFill="accent3" w:themeFillTint="33"/>
            <w:vAlign w:val="center"/>
            <w:hideMark/>
          </w:tcPr>
          <w:p w14:paraId="6D327239"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Attest Engagements:</w:t>
            </w:r>
            <w:r>
              <w:rPr>
                <w:rFonts w:eastAsia="Times New Roman" w:cs="Times New Roman"/>
                <w:kern w:val="0"/>
                <w:sz w:val="21"/>
                <w:szCs w:val="21"/>
                <w:lang w:eastAsia="en-US" w:bidi="ar-SA"/>
              </w:rPr>
              <w:t xml:space="preserve"> Annual Attest Engagement Report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4354D57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60" w:type="dxa"/>
            <w:tcBorders>
              <w:top w:val="nil"/>
              <w:left w:val="nil"/>
              <w:bottom w:val="single" w:sz="4" w:space="0" w:color="auto"/>
              <w:right w:val="single" w:sz="4" w:space="0" w:color="auto"/>
            </w:tcBorders>
            <w:shd w:val="clear" w:color="auto" w:fill="auto"/>
            <w:noWrap/>
            <w:vAlign w:val="bottom"/>
            <w:hideMark/>
          </w:tcPr>
          <w:p w14:paraId="288D16B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47AD029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nil"/>
              <w:left w:val="nil"/>
              <w:bottom w:val="single" w:sz="4" w:space="0" w:color="auto"/>
              <w:right w:val="single" w:sz="8" w:space="0" w:color="auto"/>
            </w:tcBorders>
            <w:shd w:val="clear" w:color="auto" w:fill="auto"/>
            <w:vAlign w:val="bottom"/>
            <w:hideMark/>
          </w:tcPr>
          <w:p w14:paraId="5349E0E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4,557</w:t>
            </w:r>
          </w:p>
        </w:tc>
        <w:tc>
          <w:tcPr>
            <w:tcW w:w="1380" w:type="dxa"/>
            <w:tcBorders>
              <w:top w:val="nil"/>
              <w:left w:val="nil"/>
              <w:bottom w:val="single" w:sz="4" w:space="0" w:color="auto"/>
              <w:right w:val="single" w:sz="4" w:space="0" w:color="auto"/>
            </w:tcBorders>
            <w:shd w:val="clear" w:color="auto" w:fill="EDEDED" w:themeFill="accent3" w:themeFillTint="33"/>
            <w:noWrap/>
            <w:vAlign w:val="bottom"/>
            <w:hideMark/>
          </w:tcPr>
          <w:p w14:paraId="5444F92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7516DF5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0984450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nil"/>
            </w:tcBorders>
            <w:shd w:val="clear" w:color="auto" w:fill="EDEDED" w:themeFill="accent3" w:themeFillTint="33"/>
            <w:noWrap/>
            <w:vAlign w:val="bottom"/>
            <w:hideMark/>
          </w:tcPr>
          <w:p w14:paraId="3259381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250</w:t>
            </w:r>
          </w:p>
        </w:tc>
        <w:tc>
          <w:tcPr>
            <w:tcW w:w="1200" w:type="dxa"/>
            <w:tcBorders>
              <w:top w:val="nil"/>
              <w:left w:val="single" w:sz="4" w:space="0" w:color="auto"/>
              <w:bottom w:val="single" w:sz="4" w:space="0" w:color="auto"/>
              <w:right w:val="nil"/>
            </w:tcBorders>
            <w:shd w:val="clear" w:color="auto" w:fill="EDEDED" w:themeFill="accent3" w:themeFillTint="33"/>
            <w:noWrap/>
            <w:vAlign w:val="bottom"/>
            <w:hideMark/>
          </w:tcPr>
          <w:p w14:paraId="23CACC8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45,570</w:t>
            </w:r>
          </w:p>
        </w:tc>
        <w:tc>
          <w:tcPr>
            <w:tcW w:w="1249" w:type="dxa"/>
            <w:tcBorders>
              <w:top w:val="single" w:sz="4" w:space="0" w:color="auto"/>
              <w:left w:val="single" w:sz="8" w:space="0" w:color="auto"/>
              <w:bottom w:val="nil"/>
              <w:right w:val="single" w:sz="8" w:space="0" w:color="auto"/>
            </w:tcBorders>
            <w:shd w:val="clear" w:color="000000" w:fill="F8FFB9"/>
            <w:vAlign w:val="center"/>
            <w:hideMark/>
          </w:tcPr>
          <w:p w14:paraId="3615845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377E5F8" w14:textId="77777777">
        <w:trPr>
          <w:trHeight w:val="50"/>
        </w:trPr>
        <w:tc>
          <w:tcPr>
            <w:tcW w:w="2040" w:type="dxa"/>
            <w:tcBorders>
              <w:top w:val="nil"/>
              <w:left w:val="single" w:sz="8" w:space="0" w:color="auto"/>
              <w:bottom w:val="single" w:sz="4" w:space="0" w:color="auto"/>
              <w:right w:val="single" w:sz="4" w:space="0" w:color="auto"/>
            </w:tcBorders>
            <w:shd w:val="clear" w:color="auto" w:fill="EDEDED" w:themeFill="accent3" w:themeFillTint="33"/>
            <w:vAlign w:val="bottom"/>
            <w:hideMark/>
          </w:tcPr>
          <w:p w14:paraId="32959285"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§80.1476</w:t>
            </w:r>
          </w:p>
        </w:tc>
        <w:tc>
          <w:tcPr>
            <w:tcW w:w="2100" w:type="dxa"/>
            <w:tcBorders>
              <w:top w:val="single" w:sz="4" w:space="0" w:color="auto"/>
              <w:left w:val="nil"/>
              <w:bottom w:val="single" w:sz="4" w:space="0" w:color="auto"/>
              <w:right w:val="nil"/>
            </w:tcBorders>
            <w:shd w:val="clear" w:color="auto" w:fill="EDEDED" w:themeFill="accent3" w:themeFillTint="33"/>
            <w:vAlign w:val="bottom"/>
            <w:hideMark/>
          </w:tcPr>
          <w:p w14:paraId="2F22C1F9" w14:textId="77777777" w:rsidR="00E459EE" w:rsidRDefault="005F75DA">
            <w:pPr>
              <w:widowControl/>
              <w:suppressAutoHyphens w:val="0"/>
              <w:autoSpaceDN/>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 xml:space="preserve">Quality Assurance Program: </w:t>
            </w:r>
            <w:r>
              <w:rPr>
                <w:rFonts w:eastAsia="Times New Roman" w:cs="Times New Roman"/>
                <w:kern w:val="0"/>
                <w:sz w:val="21"/>
                <w:szCs w:val="21"/>
                <w:lang w:eastAsia="en-US" w:bidi="ar-SA"/>
              </w:rPr>
              <w:t>VRD-B Producer QAPs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6378362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15C1BDE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449EEA9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w:t>
            </w:r>
          </w:p>
        </w:tc>
        <w:tc>
          <w:tcPr>
            <w:tcW w:w="1040" w:type="dxa"/>
            <w:tcBorders>
              <w:top w:val="nil"/>
              <w:left w:val="nil"/>
              <w:bottom w:val="single" w:sz="4" w:space="0" w:color="auto"/>
              <w:right w:val="single" w:sz="8" w:space="0" w:color="auto"/>
            </w:tcBorders>
            <w:shd w:val="clear" w:color="auto" w:fill="auto"/>
            <w:vAlign w:val="bottom"/>
            <w:hideMark/>
          </w:tcPr>
          <w:p w14:paraId="1F9A41A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22,320</w:t>
            </w:r>
          </w:p>
        </w:tc>
        <w:tc>
          <w:tcPr>
            <w:tcW w:w="1380" w:type="dxa"/>
            <w:tcBorders>
              <w:top w:val="nil"/>
              <w:left w:val="nil"/>
              <w:bottom w:val="single" w:sz="4" w:space="0" w:color="auto"/>
              <w:right w:val="single" w:sz="4" w:space="0" w:color="auto"/>
            </w:tcBorders>
            <w:shd w:val="clear" w:color="auto" w:fill="EDEDED" w:themeFill="accent3" w:themeFillTint="33"/>
            <w:noWrap/>
            <w:vAlign w:val="bottom"/>
            <w:hideMark/>
          </w:tcPr>
          <w:p w14:paraId="7BD5703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463FECC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DEDED" w:themeFill="accent3" w:themeFillTint="33"/>
            <w:noWrap/>
            <w:vAlign w:val="bottom"/>
            <w:hideMark/>
          </w:tcPr>
          <w:p w14:paraId="1D6BDB6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nil"/>
            </w:tcBorders>
            <w:shd w:val="clear" w:color="auto" w:fill="EDEDED" w:themeFill="accent3" w:themeFillTint="33"/>
            <w:noWrap/>
            <w:vAlign w:val="bottom"/>
            <w:hideMark/>
          </w:tcPr>
          <w:p w14:paraId="4DCBAB1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1,200</w:t>
            </w:r>
          </w:p>
        </w:tc>
        <w:tc>
          <w:tcPr>
            <w:tcW w:w="1200" w:type="dxa"/>
            <w:tcBorders>
              <w:top w:val="nil"/>
              <w:left w:val="single" w:sz="4" w:space="0" w:color="auto"/>
              <w:bottom w:val="single" w:sz="4" w:space="0" w:color="auto"/>
              <w:right w:val="nil"/>
            </w:tcBorders>
            <w:shd w:val="clear" w:color="auto" w:fill="EDEDED" w:themeFill="accent3" w:themeFillTint="33"/>
            <w:noWrap/>
            <w:vAlign w:val="bottom"/>
            <w:hideMark/>
          </w:tcPr>
          <w:p w14:paraId="1970956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223,200</w:t>
            </w:r>
          </w:p>
        </w:tc>
        <w:tc>
          <w:tcPr>
            <w:tcW w:w="1249"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0F20AC1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E2CF2F7" w14:textId="77777777">
        <w:trPr>
          <w:trHeight w:val="50"/>
        </w:trPr>
        <w:tc>
          <w:tcPr>
            <w:tcW w:w="41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9BE4A96"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7440411E"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600F19E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3E628705"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64E2903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62C2D602"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10</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6798F0A0"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71542B86"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7,494</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4516A81E"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6,193</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14:paraId="113C6B3B"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505,989</w:t>
            </w:r>
          </w:p>
        </w:tc>
        <w:tc>
          <w:tcPr>
            <w:tcW w:w="1249" w:type="dxa"/>
            <w:tcBorders>
              <w:top w:val="nil"/>
              <w:left w:val="nil"/>
              <w:bottom w:val="nil"/>
              <w:right w:val="nil"/>
            </w:tcBorders>
            <w:shd w:val="clear" w:color="auto" w:fill="auto"/>
            <w:noWrap/>
            <w:vAlign w:val="bottom"/>
            <w:hideMark/>
          </w:tcPr>
          <w:p w14:paraId="55EA723A"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3D71A3AE" w14:textId="77777777" w:rsidR="00E459EE" w:rsidRDefault="005F75DA">
      <w:pPr>
        <w:pStyle w:val="Standard"/>
      </w:pPr>
      <w:r>
        <w:t>ASSUMPTIONS FOR TABLE 6(b).4</w:t>
      </w:r>
    </w:p>
    <w:p w14:paraId="4BA11BA8" w14:textId="77777777" w:rsidR="00E459EE" w:rsidRDefault="005F75DA">
      <w:pPr>
        <w:pStyle w:val="Standard"/>
        <w:rPr>
          <w:sz w:val="20"/>
          <w:szCs w:val="20"/>
        </w:rPr>
      </w:pPr>
      <w:r>
        <w:rPr>
          <w:sz w:val="20"/>
          <w:szCs w:val="20"/>
          <w:vertAlign w:val="superscript"/>
        </w:rPr>
        <w:t>1</w:t>
      </w:r>
      <w:r>
        <w:rPr>
          <w:sz w:val="20"/>
          <w:szCs w:val="20"/>
        </w:rPr>
        <w:t>Estimate about 10 parties that generate RINs from VRD under existing regulations.</w:t>
      </w:r>
    </w:p>
    <w:p w14:paraId="7EAEE6E0" w14:textId="77777777" w:rsidR="00E459EE" w:rsidRDefault="005F75DA">
      <w:pPr>
        <w:pStyle w:val="Standard"/>
        <w:rPr>
          <w:sz w:val="20"/>
          <w:szCs w:val="20"/>
        </w:rPr>
      </w:pPr>
      <w:r>
        <w:rPr>
          <w:sz w:val="20"/>
          <w:szCs w:val="20"/>
          <w:vertAlign w:val="superscript"/>
        </w:rPr>
        <w:t>2</w:t>
      </w:r>
      <w:r>
        <w:rPr>
          <w:sz w:val="20"/>
          <w:szCs w:val="20"/>
        </w:rPr>
        <w:t>Assumes 33% of companies update registrations per year, rounded up to 4.</w:t>
      </w:r>
    </w:p>
    <w:p w14:paraId="16DC2054" w14:textId="77777777" w:rsidR="00E459EE" w:rsidRDefault="005F75DA">
      <w:pPr>
        <w:widowControl/>
        <w:suppressAutoHyphens w:val="0"/>
        <w:autoSpaceDN/>
        <w:spacing w:after="160" w:line="259" w:lineRule="auto"/>
        <w:textAlignment w:val="auto"/>
      </w:pPr>
      <w:r>
        <w:br w:type="page"/>
      </w:r>
    </w:p>
    <w:tbl>
      <w:tblPr>
        <w:tblW w:w="15917" w:type="dxa"/>
        <w:tblLook w:val="04A0" w:firstRow="1" w:lastRow="0" w:firstColumn="1" w:lastColumn="0" w:noHBand="0" w:noVBand="1"/>
      </w:tblPr>
      <w:tblGrid>
        <w:gridCol w:w="2040"/>
        <w:gridCol w:w="2180"/>
        <w:gridCol w:w="1040"/>
        <w:gridCol w:w="1060"/>
        <w:gridCol w:w="1120"/>
        <w:gridCol w:w="1040"/>
        <w:gridCol w:w="1380"/>
        <w:gridCol w:w="1220"/>
        <w:gridCol w:w="1220"/>
        <w:gridCol w:w="1220"/>
        <w:gridCol w:w="1200"/>
        <w:gridCol w:w="1197"/>
      </w:tblGrid>
      <w:tr w:rsidR="00E459EE" w14:paraId="0E289EDC" w14:textId="77777777">
        <w:trPr>
          <w:trHeight w:val="60"/>
        </w:trPr>
        <w:tc>
          <w:tcPr>
            <w:tcW w:w="15917"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5D10139"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lastRenderedPageBreak/>
              <w:t>Annual Respondent Burden and Cost by Type of Party</w:t>
            </w:r>
          </w:p>
        </w:tc>
      </w:tr>
      <w:tr w:rsidR="00E459EE" w14:paraId="3CD35C6B" w14:textId="77777777">
        <w:trPr>
          <w:trHeight w:val="60"/>
        </w:trPr>
        <w:tc>
          <w:tcPr>
            <w:tcW w:w="15917"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7630569"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6(b).5 - VRD-B Blenders</w:t>
            </w:r>
          </w:p>
        </w:tc>
      </w:tr>
      <w:tr w:rsidR="00E459EE" w14:paraId="07A8827F" w14:textId="77777777">
        <w:trPr>
          <w:trHeight w:val="60"/>
        </w:trPr>
        <w:tc>
          <w:tcPr>
            <w:tcW w:w="4220" w:type="dxa"/>
            <w:gridSpan w:val="2"/>
            <w:tcBorders>
              <w:top w:val="single" w:sz="8" w:space="0" w:color="auto"/>
              <w:left w:val="single" w:sz="8" w:space="0" w:color="auto"/>
              <w:bottom w:val="single" w:sz="8" w:space="0" w:color="auto"/>
              <w:right w:val="nil"/>
            </w:tcBorders>
            <w:shd w:val="clear" w:color="auto" w:fill="E7E6E6" w:themeFill="background2"/>
            <w:noWrap/>
            <w:vAlign w:val="bottom"/>
            <w:hideMark/>
          </w:tcPr>
          <w:p w14:paraId="138D5575"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26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142227"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240" w:type="dxa"/>
            <w:gridSpan w:val="5"/>
            <w:tcBorders>
              <w:top w:val="single" w:sz="8" w:space="0" w:color="auto"/>
              <w:left w:val="nil"/>
              <w:bottom w:val="single" w:sz="8" w:space="0" w:color="auto"/>
              <w:right w:val="nil"/>
            </w:tcBorders>
            <w:shd w:val="clear" w:color="auto" w:fill="E7E6E6" w:themeFill="background2"/>
            <w:noWrap/>
            <w:vAlign w:val="bottom"/>
            <w:hideMark/>
          </w:tcPr>
          <w:p w14:paraId="0F6EF1EF"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197" w:type="dxa"/>
            <w:vMerge w:val="restart"/>
            <w:tcBorders>
              <w:top w:val="nil"/>
              <w:left w:val="single" w:sz="8" w:space="0" w:color="auto"/>
              <w:bottom w:val="nil"/>
              <w:right w:val="single" w:sz="8" w:space="0" w:color="auto"/>
            </w:tcBorders>
            <w:shd w:val="clear" w:color="000000" w:fill="F8FFB9"/>
            <w:vAlign w:val="center"/>
            <w:hideMark/>
          </w:tcPr>
          <w:p w14:paraId="2E442768"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5C6C5655" w14:textId="77777777">
        <w:trPr>
          <w:trHeight w:val="60"/>
        </w:trPr>
        <w:tc>
          <w:tcPr>
            <w:tcW w:w="2040" w:type="dxa"/>
            <w:tcBorders>
              <w:top w:val="nil"/>
              <w:left w:val="single" w:sz="8" w:space="0" w:color="auto"/>
              <w:bottom w:val="single" w:sz="8" w:space="0" w:color="auto"/>
              <w:right w:val="single" w:sz="4" w:space="0" w:color="auto"/>
            </w:tcBorders>
            <w:shd w:val="clear" w:color="auto" w:fill="E7E6E6" w:themeFill="background2"/>
            <w:noWrap/>
            <w:vAlign w:val="bottom"/>
            <w:hideMark/>
          </w:tcPr>
          <w:p w14:paraId="66A3011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180" w:type="dxa"/>
            <w:tcBorders>
              <w:top w:val="nil"/>
              <w:left w:val="nil"/>
              <w:bottom w:val="single" w:sz="8" w:space="0" w:color="auto"/>
              <w:right w:val="nil"/>
            </w:tcBorders>
            <w:shd w:val="clear" w:color="auto" w:fill="E7E6E6" w:themeFill="background2"/>
            <w:vAlign w:val="bottom"/>
            <w:hideMark/>
          </w:tcPr>
          <w:p w14:paraId="166D25EC"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040" w:type="dxa"/>
            <w:tcBorders>
              <w:top w:val="nil"/>
              <w:left w:val="single" w:sz="8" w:space="0" w:color="auto"/>
              <w:bottom w:val="single" w:sz="8" w:space="0" w:color="auto"/>
              <w:right w:val="single" w:sz="4" w:space="0" w:color="auto"/>
            </w:tcBorders>
            <w:shd w:val="clear" w:color="auto" w:fill="auto"/>
            <w:vAlign w:val="bottom"/>
            <w:hideMark/>
          </w:tcPr>
          <w:p w14:paraId="74549769"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6C419EB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2C71B668"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216F7FFC"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380" w:type="dxa"/>
            <w:tcBorders>
              <w:top w:val="nil"/>
              <w:left w:val="nil"/>
              <w:bottom w:val="single" w:sz="8" w:space="0" w:color="auto"/>
              <w:right w:val="single" w:sz="4" w:space="0" w:color="auto"/>
            </w:tcBorders>
            <w:shd w:val="clear" w:color="auto" w:fill="E7E6E6" w:themeFill="background2"/>
            <w:vAlign w:val="bottom"/>
            <w:hideMark/>
          </w:tcPr>
          <w:p w14:paraId="4D8DB5F8"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508AD99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79CB32C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0368C95A"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auto" w:fill="E7E6E6" w:themeFill="background2"/>
            <w:vAlign w:val="bottom"/>
            <w:hideMark/>
          </w:tcPr>
          <w:p w14:paraId="6601444E"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197" w:type="dxa"/>
            <w:vMerge/>
            <w:tcBorders>
              <w:top w:val="nil"/>
              <w:left w:val="single" w:sz="8" w:space="0" w:color="auto"/>
              <w:bottom w:val="nil"/>
              <w:right w:val="single" w:sz="8" w:space="0" w:color="auto"/>
            </w:tcBorders>
            <w:vAlign w:val="center"/>
            <w:hideMark/>
          </w:tcPr>
          <w:p w14:paraId="59A65088"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616B8C45" w14:textId="77777777">
        <w:trPr>
          <w:trHeight w:val="60"/>
        </w:trPr>
        <w:tc>
          <w:tcPr>
            <w:tcW w:w="2040" w:type="dxa"/>
            <w:tcBorders>
              <w:top w:val="single" w:sz="4" w:space="0" w:color="auto"/>
              <w:left w:val="single" w:sz="8" w:space="0" w:color="auto"/>
              <w:bottom w:val="single" w:sz="4" w:space="0" w:color="auto"/>
              <w:right w:val="single" w:sz="4" w:space="0" w:color="auto"/>
            </w:tcBorders>
            <w:shd w:val="clear" w:color="auto" w:fill="E7E6E6" w:themeFill="background2"/>
            <w:vAlign w:val="bottom"/>
            <w:hideMark/>
          </w:tcPr>
          <w:p w14:paraId="4338EE6B"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w:t>
            </w:r>
          </w:p>
        </w:tc>
        <w:tc>
          <w:tcPr>
            <w:tcW w:w="2180" w:type="dxa"/>
            <w:tcBorders>
              <w:top w:val="single" w:sz="4" w:space="0" w:color="auto"/>
              <w:left w:val="nil"/>
              <w:bottom w:val="single" w:sz="4" w:space="0" w:color="auto"/>
              <w:right w:val="nil"/>
            </w:tcBorders>
            <w:shd w:val="clear" w:color="auto" w:fill="E7E6E6" w:themeFill="background2"/>
            <w:vAlign w:val="bottom"/>
            <w:hideMark/>
          </w:tcPr>
          <w:p w14:paraId="7A1F5C2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r>
              <w:rPr>
                <w:rFonts w:eastAsia="Times New Roman" w:cs="Times New Roman"/>
                <w:kern w:val="0"/>
                <w:sz w:val="21"/>
                <w:szCs w:val="21"/>
                <w:vertAlign w:val="superscript"/>
                <w:lang w:eastAsia="en-US" w:bidi="ar-SA"/>
              </w:rPr>
              <w:t>2</w:t>
            </w:r>
          </w:p>
        </w:tc>
        <w:tc>
          <w:tcPr>
            <w:tcW w:w="10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1F49D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060" w:type="dxa"/>
            <w:tcBorders>
              <w:top w:val="nil"/>
              <w:left w:val="nil"/>
              <w:bottom w:val="single" w:sz="4" w:space="0" w:color="auto"/>
              <w:right w:val="single" w:sz="4" w:space="0" w:color="auto"/>
            </w:tcBorders>
            <w:shd w:val="clear" w:color="auto" w:fill="auto"/>
            <w:noWrap/>
            <w:vAlign w:val="bottom"/>
            <w:hideMark/>
          </w:tcPr>
          <w:p w14:paraId="6B6098B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73D0907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2343A86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4,836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75A0830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9CECCC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D92BB3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single" w:sz="4" w:space="0" w:color="auto"/>
              <w:left w:val="nil"/>
              <w:bottom w:val="single" w:sz="4" w:space="0" w:color="auto"/>
              <w:right w:val="nil"/>
            </w:tcBorders>
            <w:shd w:val="clear" w:color="auto" w:fill="E7E6E6" w:themeFill="background2"/>
            <w:noWrap/>
            <w:vAlign w:val="bottom"/>
            <w:hideMark/>
          </w:tcPr>
          <w:p w14:paraId="0126284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280</w:t>
            </w:r>
          </w:p>
        </w:tc>
        <w:tc>
          <w:tcPr>
            <w:tcW w:w="1200"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2FE3A48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48,360</w:t>
            </w:r>
          </w:p>
        </w:tc>
        <w:tc>
          <w:tcPr>
            <w:tcW w:w="1197" w:type="dxa"/>
            <w:tcBorders>
              <w:top w:val="single" w:sz="4" w:space="0" w:color="auto"/>
              <w:left w:val="single" w:sz="8" w:space="0" w:color="auto"/>
              <w:bottom w:val="nil"/>
              <w:right w:val="single" w:sz="8" w:space="0" w:color="auto"/>
            </w:tcBorders>
            <w:shd w:val="clear" w:color="000000" w:fill="F8FFB9"/>
            <w:vAlign w:val="center"/>
            <w:hideMark/>
          </w:tcPr>
          <w:p w14:paraId="4B2B912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53A268A6"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75F11D29"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w:t>
            </w:r>
          </w:p>
        </w:tc>
        <w:tc>
          <w:tcPr>
            <w:tcW w:w="2180" w:type="dxa"/>
            <w:tcBorders>
              <w:top w:val="nil"/>
              <w:left w:val="nil"/>
              <w:bottom w:val="single" w:sz="4" w:space="0" w:color="auto"/>
              <w:right w:val="nil"/>
            </w:tcBorders>
            <w:shd w:val="clear" w:color="auto" w:fill="E7E6E6" w:themeFill="background2"/>
            <w:vAlign w:val="bottom"/>
            <w:hideMark/>
          </w:tcPr>
          <w:p w14:paraId="3DF8B5E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3</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0966B96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44E2980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43EE291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22AA4EB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7A9983C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E61ABA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34032CC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nil"/>
            </w:tcBorders>
            <w:shd w:val="clear" w:color="auto" w:fill="E7E6E6" w:themeFill="background2"/>
            <w:noWrap/>
            <w:vAlign w:val="bottom"/>
            <w:hideMark/>
          </w:tcPr>
          <w:p w14:paraId="78D921D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3CF4D9C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744</w:t>
            </w:r>
          </w:p>
        </w:tc>
        <w:tc>
          <w:tcPr>
            <w:tcW w:w="1197" w:type="dxa"/>
            <w:tcBorders>
              <w:top w:val="single" w:sz="4" w:space="0" w:color="auto"/>
              <w:left w:val="single" w:sz="8" w:space="0" w:color="auto"/>
              <w:bottom w:val="nil"/>
              <w:right w:val="single" w:sz="8" w:space="0" w:color="auto"/>
            </w:tcBorders>
            <w:shd w:val="clear" w:color="000000" w:fill="F8FFB9"/>
            <w:vAlign w:val="center"/>
            <w:hideMark/>
          </w:tcPr>
          <w:p w14:paraId="18536DA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36F7016A"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18957F0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§80.1451(b)</w:t>
            </w:r>
          </w:p>
        </w:tc>
        <w:tc>
          <w:tcPr>
            <w:tcW w:w="2180" w:type="dxa"/>
            <w:tcBorders>
              <w:top w:val="nil"/>
              <w:left w:val="nil"/>
              <w:bottom w:val="single" w:sz="4" w:space="0" w:color="auto"/>
              <w:right w:val="nil"/>
            </w:tcBorders>
            <w:shd w:val="clear" w:color="auto" w:fill="E7E6E6" w:themeFill="background2"/>
            <w:vAlign w:val="bottom"/>
            <w:hideMark/>
          </w:tcPr>
          <w:p w14:paraId="3A35DC8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Quarterly Reports</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3F5AAD8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60" w:type="dxa"/>
            <w:tcBorders>
              <w:top w:val="nil"/>
              <w:left w:val="nil"/>
              <w:bottom w:val="single" w:sz="4" w:space="0" w:color="auto"/>
              <w:right w:val="single" w:sz="4" w:space="0" w:color="auto"/>
            </w:tcBorders>
            <w:shd w:val="clear" w:color="auto" w:fill="auto"/>
            <w:noWrap/>
            <w:vAlign w:val="bottom"/>
            <w:hideMark/>
          </w:tcPr>
          <w:p w14:paraId="14BF85C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127D1C6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64B7A33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73FC475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304AE6A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4480225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220" w:type="dxa"/>
            <w:tcBorders>
              <w:top w:val="nil"/>
              <w:left w:val="nil"/>
              <w:bottom w:val="single" w:sz="4" w:space="0" w:color="auto"/>
              <w:right w:val="nil"/>
            </w:tcBorders>
            <w:shd w:val="clear" w:color="auto" w:fill="E7E6E6" w:themeFill="background2"/>
            <w:noWrap/>
            <w:vAlign w:val="bottom"/>
            <w:hideMark/>
          </w:tcPr>
          <w:p w14:paraId="02B20C8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320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0397048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29,760</w:t>
            </w:r>
          </w:p>
        </w:tc>
        <w:tc>
          <w:tcPr>
            <w:tcW w:w="1197" w:type="dxa"/>
            <w:tcBorders>
              <w:top w:val="single" w:sz="4" w:space="0" w:color="auto"/>
              <w:left w:val="single" w:sz="8" w:space="0" w:color="auto"/>
              <w:bottom w:val="nil"/>
              <w:right w:val="single" w:sz="8" w:space="0" w:color="auto"/>
            </w:tcBorders>
            <w:shd w:val="clear" w:color="000000" w:fill="F8FFB9"/>
            <w:vAlign w:val="center"/>
            <w:hideMark/>
          </w:tcPr>
          <w:p w14:paraId="5395DAC8" w14:textId="6E8D8AED" w:rsidR="00E459EE" w:rsidRDefault="005F75DA" w:rsidP="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RFS4000</w:t>
            </w:r>
          </w:p>
        </w:tc>
      </w:tr>
      <w:tr w:rsidR="00E459EE" w14:paraId="27A9794E"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3CFE1719"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180" w:type="dxa"/>
            <w:tcBorders>
              <w:top w:val="nil"/>
              <w:left w:val="nil"/>
              <w:bottom w:val="single" w:sz="4" w:space="0" w:color="auto"/>
              <w:right w:val="nil"/>
            </w:tcBorders>
            <w:shd w:val="clear" w:color="auto" w:fill="E7E6E6" w:themeFill="background2"/>
            <w:vAlign w:val="bottom"/>
            <w:hideMark/>
          </w:tcPr>
          <w:p w14:paraId="7AC900E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 Transaction Reporting</w:t>
            </w:r>
            <w:r>
              <w:rPr>
                <w:rFonts w:eastAsia="Times New Roman" w:cs="Times New Roman"/>
                <w:kern w:val="0"/>
                <w:sz w:val="21"/>
                <w:szCs w:val="21"/>
                <w:vertAlign w:val="superscript"/>
                <w:lang w:eastAsia="en-US" w:bidi="ar-SA"/>
              </w:rPr>
              <w:t>4</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0C33C00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0.1</w:t>
            </w:r>
          </w:p>
        </w:tc>
        <w:tc>
          <w:tcPr>
            <w:tcW w:w="1060" w:type="dxa"/>
            <w:tcBorders>
              <w:top w:val="nil"/>
              <w:left w:val="nil"/>
              <w:bottom w:val="single" w:sz="4" w:space="0" w:color="auto"/>
              <w:right w:val="single" w:sz="4" w:space="0" w:color="auto"/>
            </w:tcBorders>
            <w:shd w:val="clear" w:color="auto" w:fill="auto"/>
            <w:noWrap/>
            <w:vAlign w:val="bottom"/>
            <w:hideMark/>
          </w:tcPr>
          <w:p w14:paraId="385ADC5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10C3722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34FF5B1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43569D8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CE54C6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33B0225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3,650</w:t>
            </w:r>
          </w:p>
        </w:tc>
        <w:tc>
          <w:tcPr>
            <w:tcW w:w="1220" w:type="dxa"/>
            <w:tcBorders>
              <w:top w:val="nil"/>
              <w:left w:val="nil"/>
              <w:bottom w:val="single" w:sz="4" w:space="0" w:color="auto"/>
              <w:right w:val="nil"/>
            </w:tcBorders>
            <w:shd w:val="clear" w:color="auto" w:fill="E7E6E6" w:themeFill="background2"/>
            <w:noWrap/>
            <w:vAlign w:val="bottom"/>
            <w:hideMark/>
          </w:tcPr>
          <w:p w14:paraId="0723572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71D429D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33,945</w:t>
            </w:r>
          </w:p>
        </w:tc>
        <w:tc>
          <w:tcPr>
            <w:tcW w:w="1197" w:type="dxa"/>
            <w:tcBorders>
              <w:top w:val="single" w:sz="4" w:space="0" w:color="auto"/>
              <w:left w:val="single" w:sz="8" w:space="0" w:color="auto"/>
              <w:bottom w:val="nil"/>
              <w:right w:val="single" w:sz="8" w:space="0" w:color="auto"/>
            </w:tcBorders>
            <w:shd w:val="clear" w:color="000000" w:fill="F8FFB9"/>
            <w:vAlign w:val="center"/>
            <w:hideMark/>
          </w:tcPr>
          <w:p w14:paraId="73553A4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930D361"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2B9F722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§80.1453(a)</w:t>
            </w:r>
          </w:p>
        </w:tc>
        <w:tc>
          <w:tcPr>
            <w:tcW w:w="2180" w:type="dxa"/>
            <w:tcBorders>
              <w:top w:val="nil"/>
              <w:left w:val="nil"/>
              <w:bottom w:val="single" w:sz="4" w:space="0" w:color="auto"/>
              <w:right w:val="nil"/>
            </w:tcBorders>
            <w:shd w:val="clear" w:color="auto" w:fill="E7E6E6" w:themeFill="background2"/>
            <w:vAlign w:val="bottom"/>
            <w:hideMark/>
          </w:tcPr>
          <w:p w14:paraId="1EEA8986" w14:textId="77777777" w:rsidR="00E459EE" w:rsidRDefault="005F75DA">
            <w:pPr>
              <w:widowControl/>
              <w:suppressAutoHyphens w:val="0"/>
              <w:autoSpaceDN/>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Product Transfer Documents:</w:t>
            </w:r>
            <w:r>
              <w:rPr>
                <w:rFonts w:eastAsia="Times New Roman" w:cs="Times New Roman"/>
                <w:kern w:val="0"/>
                <w:sz w:val="21"/>
                <w:szCs w:val="21"/>
                <w:lang w:eastAsia="en-US" w:bidi="ar-SA"/>
              </w:rPr>
              <w:t xml:space="preserve"> Transfers of VRD-B</w:t>
            </w:r>
            <w:r>
              <w:rPr>
                <w:rFonts w:eastAsia="Times New Roman" w:cs="Times New Roman"/>
                <w:kern w:val="0"/>
                <w:sz w:val="21"/>
                <w:szCs w:val="21"/>
                <w:vertAlign w:val="superscript"/>
                <w:lang w:eastAsia="en-US" w:bidi="ar-SA"/>
              </w:rPr>
              <w:t>5</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26AAA73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7BDE5C3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1C83DB3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097E440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4C0448A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5B63605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E74D71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3,650</w:t>
            </w:r>
          </w:p>
        </w:tc>
        <w:tc>
          <w:tcPr>
            <w:tcW w:w="1220" w:type="dxa"/>
            <w:tcBorders>
              <w:top w:val="nil"/>
              <w:left w:val="nil"/>
              <w:bottom w:val="single" w:sz="4" w:space="0" w:color="auto"/>
              <w:right w:val="nil"/>
            </w:tcBorders>
            <w:shd w:val="clear" w:color="auto" w:fill="E7E6E6" w:themeFill="background2"/>
            <w:noWrap/>
            <w:vAlign w:val="bottom"/>
            <w:hideMark/>
          </w:tcPr>
          <w:p w14:paraId="336D024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77FDEF2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120,450</w:t>
            </w:r>
          </w:p>
        </w:tc>
        <w:tc>
          <w:tcPr>
            <w:tcW w:w="1197" w:type="dxa"/>
            <w:tcBorders>
              <w:top w:val="single" w:sz="4" w:space="0" w:color="auto"/>
              <w:left w:val="single" w:sz="8" w:space="0" w:color="auto"/>
              <w:bottom w:val="nil"/>
              <w:right w:val="single" w:sz="8" w:space="0" w:color="auto"/>
            </w:tcBorders>
            <w:shd w:val="clear" w:color="000000" w:fill="F8FFB9"/>
            <w:vAlign w:val="center"/>
            <w:hideMark/>
          </w:tcPr>
          <w:p w14:paraId="63CBB6C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3D0F11E5"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center"/>
            <w:hideMark/>
          </w:tcPr>
          <w:p w14:paraId="012A023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w:t>
            </w:r>
          </w:p>
        </w:tc>
        <w:tc>
          <w:tcPr>
            <w:tcW w:w="2180" w:type="dxa"/>
            <w:tcBorders>
              <w:top w:val="nil"/>
              <w:left w:val="nil"/>
              <w:bottom w:val="single" w:sz="4" w:space="0" w:color="auto"/>
              <w:right w:val="nil"/>
            </w:tcBorders>
            <w:shd w:val="clear" w:color="auto" w:fill="E7E6E6" w:themeFill="background2"/>
            <w:vAlign w:val="center"/>
            <w:hideMark/>
          </w:tcPr>
          <w:p w14:paraId="43A3A08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VRD-B blending</w:t>
            </w:r>
            <w:r>
              <w:rPr>
                <w:rFonts w:eastAsia="Times New Roman" w:cs="Times New Roman"/>
                <w:kern w:val="0"/>
                <w:sz w:val="21"/>
                <w:szCs w:val="21"/>
                <w:vertAlign w:val="superscript"/>
                <w:lang w:eastAsia="en-US" w:bidi="ar-SA"/>
              </w:rPr>
              <w:t>6</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7751CC0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180E342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73F40B7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7469D19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1A9B6328"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10</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5637B76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32836A9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w:t>
            </w:r>
          </w:p>
        </w:tc>
        <w:tc>
          <w:tcPr>
            <w:tcW w:w="1220" w:type="dxa"/>
            <w:tcBorders>
              <w:top w:val="nil"/>
              <w:left w:val="nil"/>
              <w:bottom w:val="single" w:sz="4" w:space="0" w:color="auto"/>
              <w:right w:val="nil"/>
            </w:tcBorders>
            <w:shd w:val="clear" w:color="auto" w:fill="E7E6E6" w:themeFill="background2"/>
            <w:noWrap/>
            <w:vAlign w:val="bottom"/>
            <w:hideMark/>
          </w:tcPr>
          <w:p w14:paraId="769C247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5F2F3F9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3,960</w:t>
            </w:r>
          </w:p>
        </w:tc>
        <w:tc>
          <w:tcPr>
            <w:tcW w:w="1197" w:type="dxa"/>
            <w:tcBorders>
              <w:top w:val="single" w:sz="4" w:space="0" w:color="auto"/>
              <w:left w:val="single" w:sz="8" w:space="0" w:color="auto"/>
              <w:bottom w:val="nil"/>
              <w:right w:val="single" w:sz="8" w:space="0" w:color="auto"/>
            </w:tcBorders>
            <w:shd w:val="clear" w:color="000000" w:fill="F8FFB9"/>
            <w:vAlign w:val="center"/>
            <w:hideMark/>
          </w:tcPr>
          <w:p w14:paraId="32A69E2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6F4766A0"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062E471A"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§80.1464(b)</w:t>
            </w:r>
          </w:p>
        </w:tc>
        <w:tc>
          <w:tcPr>
            <w:tcW w:w="2180" w:type="dxa"/>
            <w:tcBorders>
              <w:top w:val="nil"/>
              <w:left w:val="nil"/>
              <w:bottom w:val="single" w:sz="8" w:space="0" w:color="auto"/>
              <w:right w:val="nil"/>
            </w:tcBorders>
            <w:shd w:val="clear" w:color="auto" w:fill="E7E6E6" w:themeFill="background2"/>
            <w:vAlign w:val="center"/>
            <w:hideMark/>
          </w:tcPr>
          <w:p w14:paraId="386A59C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Attest Engagements:</w:t>
            </w:r>
            <w:r>
              <w:rPr>
                <w:rFonts w:eastAsia="Times New Roman" w:cs="Times New Roman"/>
                <w:kern w:val="0"/>
                <w:sz w:val="21"/>
                <w:szCs w:val="21"/>
                <w:lang w:eastAsia="en-US" w:bidi="ar-SA"/>
              </w:rPr>
              <w:t xml:space="preserve"> Annual Attest Engagement Report</w:t>
            </w:r>
            <w:r>
              <w:rPr>
                <w:rFonts w:eastAsia="Times New Roman" w:cs="Times New Roman"/>
                <w:kern w:val="0"/>
                <w:sz w:val="21"/>
                <w:szCs w:val="21"/>
                <w:vertAlign w:val="superscript"/>
                <w:lang w:eastAsia="en-US" w:bidi="ar-SA"/>
              </w:rPr>
              <w:t>7</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630417D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60" w:type="dxa"/>
            <w:tcBorders>
              <w:top w:val="nil"/>
              <w:left w:val="nil"/>
              <w:bottom w:val="single" w:sz="4" w:space="0" w:color="auto"/>
              <w:right w:val="single" w:sz="4" w:space="0" w:color="auto"/>
            </w:tcBorders>
            <w:shd w:val="clear" w:color="auto" w:fill="auto"/>
            <w:noWrap/>
            <w:vAlign w:val="bottom"/>
            <w:hideMark/>
          </w:tcPr>
          <w:p w14:paraId="2F1465E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C9743D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nil"/>
              <w:left w:val="nil"/>
              <w:bottom w:val="single" w:sz="4" w:space="0" w:color="auto"/>
              <w:right w:val="single" w:sz="8" w:space="0" w:color="auto"/>
            </w:tcBorders>
            <w:shd w:val="clear" w:color="auto" w:fill="auto"/>
            <w:vAlign w:val="bottom"/>
            <w:hideMark/>
          </w:tcPr>
          <w:p w14:paraId="1212438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4,557</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61B67E1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3111357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7C3C032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w:t>
            </w:r>
          </w:p>
        </w:tc>
        <w:tc>
          <w:tcPr>
            <w:tcW w:w="1220" w:type="dxa"/>
            <w:tcBorders>
              <w:top w:val="nil"/>
              <w:left w:val="nil"/>
              <w:bottom w:val="single" w:sz="4" w:space="0" w:color="auto"/>
              <w:right w:val="nil"/>
            </w:tcBorders>
            <w:shd w:val="clear" w:color="auto" w:fill="E7E6E6" w:themeFill="background2"/>
            <w:noWrap/>
            <w:vAlign w:val="bottom"/>
            <w:hideMark/>
          </w:tcPr>
          <w:p w14:paraId="25518D2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250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44A06AB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45,570</w:t>
            </w:r>
          </w:p>
        </w:tc>
        <w:tc>
          <w:tcPr>
            <w:tcW w:w="1197"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592B5AC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51B07E9" w14:textId="77777777">
        <w:trPr>
          <w:trHeight w:val="60"/>
        </w:trPr>
        <w:tc>
          <w:tcPr>
            <w:tcW w:w="42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1390781"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23E1B19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24678E08"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33C0930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7DD4A637"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61F97ACC"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10</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3AE8D6D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11863A04"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7,484</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656C6B5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4,993</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14:paraId="0B5FCCAB"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282,789</w:t>
            </w:r>
          </w:p>
        </w:tc>
        <w:tc>
          <w:tcPr>
            <w:tcW w:w="1197" w:type="dxa"/>
            <w:tcBorders>
              <w:top w:val="nil"/>
              <w:left w:val="nil"/>
              <w:bottom w:val="nil"/>
              <w:right w:val="nil"/>
            </w:tcBorders>
            <w:shd w:val="clear" w:color="auto" w:fill="auto"/>
            <w:noWrap/>
            <w:vAlign w:val="bottom"/>
            <w:hideMark/>
          </w:tcPr>
          <w:p w14:paraId="753B7597"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790B3867" w14:textId="77777777" w:rsidR="00E459EE" w:rsidRDefault="005F75DA">
      <w:pPr>
        <w:pStyle w:val="Standard"/>
      </w:pPr>
      <w:r>
        <w:t>ASSUMPTIONS FOR TABLE 6(b).5</w:t>
      </w:r>
    </w:p>
    <w:p w14:paraId="3E7FC18D" w14:textId="77777777" w:rsidR="00E459EE" w:rsidRDefault="005F75DA">
      <w:pPr>
        <w:pStyle w:val="Standard"/>
        <w:rPr>
          <w:sz w:val="20"/>
          <w:szCs w:val="20"/>
        </w:rPr>
      </w:pPr>
      <w:r>
        <w:rPr>
          <w:sz w:val="20"/>
          <w:szCs w:val="20"/>
          <w:vertAlign w:val="superscript"/>
        </w:rPr>
        <w:t>1</w:t>
      </w:r>
      <w:r>
        <w:rPr>
          <w:sz w:val="20"/>
          <w:szCs w:val="20"/>
        </w:rPr>
        <w:t>Estimate about 10 parties that generate RINs from VRD under existing regulations. This means that, under the proposal, 10 additional parties would need to register as renewable fuel producers for VRD-B blending.</w:t>
      </w:r>
    </w:p>
    <w:p w14:paraId="46311B0F" w14:textId="77777777" w:rsidR="00E459EE" w:rsidRDefault="005F75DA">
      <w:pPr>
        <w:pStyle w:val="Standard"/>
        <w:rPr>
          <w:sz w:val="20"/>
          <w:szCs w:val="20"/>
        </w:rPr>
      </w:pPr>
      <w:r>
        <w:rPr>
          <w:sz w:val="20"/>
          <w:szCs w:val="20"/>
          <w:vertAlign w:val="superscript"/>
        </w:rPr>
        <w:t>2</w:t>
      </w:r>
      <w:r>
        <w:rPr>
          <w:sz w:val="20"/>
          <w:szCs w:val="20"/>
        </w:rPr>
        <w:t>The estimated initial registration burden includes the contracting of an independent third-party engineer to perform an engineering review and the burden of the producer to submit relevant company and facility information in CDX.</w:t>
      </w:r>
    </w:p>
    <w:p w14:paraId="64E7EA4F" w14:textId="77777777" w:rsidR="00E459EE" w:rsidRDefault="005F75DA">
      <w:pPr>
        <w:pStyle w:val="Standard"/>
        <w:rPr>
          <w:sz w:val="20"/>
          <w:szCs w:val="20"/>
        </w:rPr>
      </w:pPr>
      <w:r>
        <w:rPr>
          <w:sz w:val="20"/>
          <w:szCs w:val="20"/>
          <w:vertAlign w:val="superscript"/>
        </w:rPr>
        <w:t>3</w:t>
      </w:r>
      <w:r>
        <w:rPr>
          <w:sz w:val="20"/>
          <w:szCs w:val="20"/>
        </w:rPr>
        <w:t>Assumes 33% of companies update registrations per year, rounded up to 4.</w:t>
      </w:r>
    </w:p>
    <w:p w14:paraId="3014CD10" w14:textId="77777777" w:rsidR="00E459EE" w:rsidRDefault="005F75DA">
      <w:pPr>
        <w:pStyle w:val="Standard"/>
        <w:rPr>
          <w:sz w:val="20"/>
          <w:szCs w:val="20"/>
        </w:rPr>
      </w:pPr>
      <w:r>
        <w:rPr>
          <w:sz w:val="20"/>
          <w:szCs w:val="20"/>
          <w:vertAlign w:val="superscript"/>
        </w:rPr>
        <w:t>4</w:t>
      </w:r>
      <w:r>
        <w:rPr>
          <w:sz w:val="20"/>
          <w:szCs w:val="20"/>
        </w:rPr>
        <w:t>EMTS transaction reporting assumes daily generation of RINs on batches of VRD-B (i.e., 365 responses per year). Since EMTS transactions are mostly automated, the burden associated with submitting reports to EMTS is minimal.</w:t>
      </w:r>
    </w:p>
    <w:p w14:paraId="290BBC06" w14:textId="77777777" w:rsidR="00E459EE" w:rsidRDefault="005F75DA">
      <w:pPr>
        <w:pStyle w:val="Standard"/>
        <w:rPr>
          <w:sz w:val="20"/>
          <w:szCs w:val="20"/>
        </w:rPr>
      </w:pPr>
      <w:r>
        <w:rPr>
          <w:sz w:val="20"/>
          <w:szCs w:val="20"/>
          <w:vertAlign w:val="superscript"/>
        </w:rPr>
        <w:t>5</w:t>
      </w:r>
      <w:r>
        <w:rPr>
          <w:sz w:val="20"/>
          <w:szCs w:val="20"/>
        </w:rPr>
        <w:t>PTD creation assumes the production and transfer of a batch of VRD-B every day (i.e., 365 responses per year).</w:t>
      </w:r>
    </w:p>
    <w:p w14:paraId="42390A85" w14:textId="77777777" w:rsidR="00E459EE" w:rsidRDefault="005F75DA">
      <w:pPr>
        <w:pStyle w:val="Standard"/>
        <w:rPr>
          <w:sz w:val="20"/>
          <w:szCs w:val="20"/>
        </w:rPr>
      </w:pPr>
      <w:r>
        <w:rPr>
          <w:sz w:val="20"/>
          <w:szCs w:val="20"/>
          <w:vertAlign w:val="superscript"/>
        </w:rPr>
        <w:t>6</w:t>
      </w:r>
      <w:r>
        <w:rPr>
          <w:sz w:val="20"/>
          <w:szCs w:val="20"/>
        </w:rPr>
        <w:t>Recordkeeping requirements assume monthly (i.e., 12 responses per year) filing.</w:t>
      </w:r>
    </w:p>
    <w:p w14:paraId="21557014" w14:textId="77777777" w:rsidR="00E459EE" w:rsidRDefault="005F75DA">
      <w:pPr>
        <w:pStyle w:val="Standard"/>
        <w:rPr>
          <w:sz w:val="20"/>
          <w:szCs w:val="20"/>
        </w:rPr>
      </w:pPr>
      <w:r>
        <w:rPr>
          <w:sz w:val="20"/>
          <w:szCs w:val="20"/>
          <w:vertAlign w:val="superscript"/>
        </w:rPr>
        <w:t>7</w:t>
      </w:r>
      <w:r>
        <w:rPr>
          <w:sz w:val="20"/>
          <w:szCs w:val="20"/>
        </w:rPr>
        <w:t>Attest engagements require purchased services of a CPA; however, party must also submit prepared attest engagement report to the EPA.</w:t>
      </w:r>
    </w:p>
    <w:p w14:paraId="65B967FC" w14:textId="77777777" w:rsidR="00E459EE" w:rsidRDefault="005F75DA">
      <w:pPr>
        <w:widowControl/>
        <w:suppressAutoHyphens w:val="0"/>
        <w:autoSpaceDN/>
        <w:spacing w:after="160" w:line="259" w:lineRule="auto"/>
        <w:textAlignment w:val="auto"/>
      </w:pPr>
      <w:r>
        <w:br w:type="page"/>
      </w:r>
    </w:p>
    <w:tbl>
      <w:tblPr>
        <w:tblW w:w="15858" w:type="dxa"/>
        <w:tblLook w:val="04A0" w:firstRow="1" w:lastRow="0" w:firstColumn="1" w:lastColumn="0" w:noHBand="0" w:noVBand="1"/>
      </w:tblPr>
      <w:tblGrid>
        <w:gridCol w:w="2040"/>
        <w:gridCol w:w="2180"/>
        <w:gridCol w:w="1040"/>
        <w:gridCol w:w="1060"/>
        <w:gridCol w:w="1120"/>
        <w:gridCol w:w="1040"/>
        <w:gridCol w:w="1380"/>
        <w:gridCol w:w="1220"/>
        <w:gridCol w:w="1220"/>
        <w:gridCol w:w="1220"/>
        <w:gridCol w:w="1200"/>
        <w:gridCol w:w="1138"/>
      </w:tblGrid>
      <w:tr w:rsidR="00E459EE" w14:paraId="1B4C4E67" w14:textId="77777777">
        <w:trPr>
          <w:trHeight w:val="60"/>
        </w:trPr>
        <w:tc>
          <w:tcPr>
            <w:tcW w:w="15858"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4D71BA5"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lastRenderedPageBreak/>
              <w:t>Annual Respondent Burden and Cost by Type of Party</w:t>
            </w:r>
          </w:p>
        </w:tc>
      </w:tr>
      <w:tr w:rsidR="00E459EE" w14:paraId="1A2341A6" w14:textId="77777777">
        <w:trPr>
          <w:trHeight w:val="60"/>
        </w:trPr>
        <w:tc>
          <w:tcPr>
            <w:tcW w:w="15858"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9688781"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6(b).6 - VRD-N Producers</w:t>
            </w:r>
          </w:p>
        </w:tc>
      </w:tr>
      <w:tr w:rsidR="00E459EE" w14:paraId="178A979D" w14:textId="77777777">
        <w:trPr>
          <w:trHeight w:val="60"/>
        </w:trPr>
        <w:tc>
          <w:tcPr>
            <w:tcW w:w="15858"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59A325A"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Annual Respondent Burden and Cost -- Viscous Renewable Diesel Neat Producers</w:t>
            </w:r>
          </w:p>
        </w:tc>
      </w:tr>
      <w:tr w:rsidR="00E459EE" w14:paraId="20200F06" w14:textId="77777777">
        <w:trPr>
          <w:trHeight w:val="60"/>
        </w:trPr>
        <w:tc>
          <w:tcPr>
            <w:tcW w:w="4220" w:type="dxa"/>
            <w:gridSpan w:val="2"/>
            <w:tcBorders>
              <w:top w:val="single" w:sz="8" w:space="0" w:color="auto"/>
              <w:left w:val="single" w:sz="8" w:space="0" w:color="auto"/>
              <w:bottom w:val="single" w:sz="8" w:space="0" w:color="auto"/>
              <w:right w:val="nil"/>
            </w:tcBorders>
            <w:shd w:val="clear" w:color="auto" w:fill="E7E6E6" w:themeFill="background2"/>
            <w:noWrap/>
            <w:vAlign w:val="bottom"/>
            <w:hideMark/>
          </w:tcPr>
          <w:p w14:paraId="3AE7319C"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26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6703C4"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240" w:type="dxa"/>
            <w:gridSpan w:val="5"/>
            <w:tcBorders>
              <w:top w:val="single" w:sz="8" w:space="0" w:color="auto"/>
              <w:left w:val="nil"/>
              <w:bottom w:val="single" w:sz="8" w:space="0" w:color="auto"/>
              <w:right w:val="nil"/>
            </w:tcBorders>
            <w:shd w:val="clear" w:color="auto" w:fill="E7E6E6" w:themeFill="background2"/>
            <w:noWrap/>
            <w:vAlign w:val="bottom"/>
            <w:hideMark/>
          </w:tcPr>
          <w:p w14:paraId="550844BA"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138" w:type="dxa"/>
            <w:vMerge w:val="restart"/>
            <w:tcBorders>
              <w:top w:val="nil"/>
              <w:left w:val="single" w:sz="8" w:space="0" w:color="auto"/>
              <w:bottom w:val="nil"/>
              <w:right w:val="single" w:sz="8" w:space="0" w:color="auto"/>
            </w:tcBorders>
            <w:shd w:val="clear" w:color="000000" w:fill="F8FFB9"/>
            <w:vAlign w:val="center"/>
            <w:hideMark/>
          </w:tcPr>
          <w:p w14:paraId="39417B32"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111E1DB1" w14:textId="77777777">
        <w:trPr>
          <w:trHeight w:val="60"/>
        </w:trPr>
        <w:tc>
          <w:tcPr>
            <w:tcW w:w="2040" w:type="dxa"/>
            <w:tcBorders>
              <w:top w:val="nil"/>
              <w:left w:val="single" w:sz="8" w:space="0" w:color="auto"/>
              <w:bottom w:val="single" w:sz="8" w:space="0" w:color="auto"/>
              <w:right w:val="single" w:sz="4" w:space="0" w:color="auto"/>
            </w:tcBorders>
            <w:shd w:val="clear" w:color="auto" w:fill="E7E6E6" w:themeFill="background2"/>
            <w:noWrap/>
            <w:vAlign w:val="bottom"/>
            <w:hideMark/>
          </w:tcPr>
          <w:p w14:paraId="08ED153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180" w:type="dxa"/>
            <w:tcBorders>
              <w:top w:val="nil"/>
              <w:left w:val="nil"/>
              <w:bottom w:val="single" w:sz="8" w:space="0" w:color="auto"/>
              <w:right w:val="nil"/>
            </w:tcBorders>
            <w:shd w:val="clear" w:color="auto" w:fill="E7E6E6" w:themeFill="background2"/>
            <w:vAlign w:val="bottom"/>
            <w:hideMark/>
          </w:tcPr>
          <w:p w14:paraId="0A530BF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040" w:type="dxa"/>
            <w:tcBorders>
              <w:top w:val="nil"/>
              <w:left w:val="single" w:sz="8" w:space="0" w:color="auto"/>
              <w:bottom w:val="single" w:sz="8" w:space="0" w:color="auto"/>
              <w:right w:val="single" w:sz="4" w:space="0" w:color="auto"/>
            </w:tcBorders>
            <w:shd w:val="clear" w:color="auto" w:fill="auto"/>
            <w:vAlign w:val="bottom"/>
            <w:hideMark/>
          </w:tcPr>
          <w:p w14:paraId="2EFEAC51"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7B2571FE"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669323EB"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35D5D7F2"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w:t>
            </w:r>
            <w:r>
              <w:rPr>
                <w:rFonts w:eastAsia="Times New Roman" w:cs="Times New Roman"/>
                <w:i/>
                <w:iCs/>
                <w:color w:val="000000"/>
                <w:kern w:val="0"/>
                <w:sz w:val="21"/>
                <w:szCs w:val="21"/>
                <w:vertAlign w:val="superscript"/>
                <w:lang w:eastAsia="en-US" w:bidi="ar-SA"/>
              </w:rPr>
              <w:t xml:space="preserve"> </w:t>
            </w:r>
            <w:r>
              <w:rPr>
                <w:rFonts w:eastAsia="Times New Roman" w:cs="Times New Roman"/>
                <w:i/>
                <w:iCs/>
                <w:color w:val="000000"/>
                <w:kern w:val="0"/>
                <w:sz w:val="21"/>
                <w:szCs w:val="21"/>
                <w:lang w:eastAsia="en-US" w:bidi="ar-SA"/>
              </w:rPr>
              <w:t>(dollars)</w:t>
            </w:r>
          </w:p>
        </w:tc>
        <w:tc>
          <w:tcPr>
            <w:tcW w:w="1380" w:type="dxa"/>
            <w:tcBorders>
              <w:top w:val="nil"/>
              <w:left w:val="nil"/>
              <w:bottom w:val="single" w:sz="8" w:space="0" w:color="auto"/>
              <w:right w:val="single" w:sz="4" w:space="0" w:color="auto"/>
            </w:tcBorders>
            <w:shd w:val="clear" w:color="auto" w:fill="E7E6E6" w:themeFill="background2"/>
            <w:vAlign w:val="bottom"/>
            <w:hideMark/>
          </w:tcPr>
          <w:p w14:paraId="67CA3621"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538B7A5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28E01F3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391B2846"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auto" w:fill="E7E6E6" w:themeFill="background2"/>
            <w:vAlign w:val="bottom"/>
            <w:hideMark/>
          </w:tcPr>
          <w:p w14:paraId="61E4D959"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138" w:type="dxa"/>
            <w:vMerge/>
            <w:tcBorders>
              <w:top w:val="nil"/>
              <w:left w:val="single" w:sz="8" w:space="0" w:color="auto"/>
              <w:bottom w:val="nil"/>
              <w:right w:val="single" w:sz="8" w:space="0" w:color="auto"/>
            </w:tcBorders>
            <w:vAlign w:val="center"/>
            <w:hideMark/>
          </w:tcPr>
          <w:p w14:paraId="237315F5"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0AE16EC7" w14:textId="77777777">
        <w:trPr>
          <w:trHeight w:val="60"/>
        </w:trPr>
        <w:tc>
          <w:tcPr>
            <w:tcW w:w="2040" w:type="dxa"/>
            <w:tcBorders>
              <w:top w:val="single" w:sz="4" w:space="0" w:color="auto"/>
              <w:left w:val="single" w:sz="8" w:space="0" w:color="auto"/>
              <w:bottom w:val="single" w:sz="4" w:space="0" w:color="auto"/>
              <w:right w:val="single" w:sz="4" w:space="0" w:color="auto"/>
            </w:tcBorders>
            <w:shd w:val="clear" w:color="auto" w:fill="E7E6E6" w:themeFill="background2"/>
            <w:vAlign w:val="bottom"/>
            <w:hideMark/>
          </w:tcPr>
          <w:p w14:paraId="4B65BFE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w:t>
            </w:r>
          </w:p>
        </w:tc>
        <w:tc>
          <w:tcPr>
            <w:tcW w:w="2180" w:type="dxa"/>
            <w:tcBorders>
              <w:top w:val="single" w:sz="4" w:space="0" w:color="auto"/>
              <w:left w:val="nil"/>
              <w:bottom w:val="single" w:sz="4" w:space="0" w:color="auto"/>
              <w:right w:val="nil"/>
            </w:tcBorders>
            <w:shd w:val="clear" w:color="auto" w:fill="E7E6E6" w:themeFill="background2"/>
            <w:vAlign w:val="bottom"/>
            <w:hideMark/>
          </w:tcPr>
          <w:p w14:paraId="1980E2E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r>
              <w:rPr>
                <w:rFonts w:eastAsia="Times New Roman" w:cs="Times New Roman"/>
                <w:kern w:val="0"/>
                <w:sz w:val="21"/>
                <w:szCs w:val="21"/>
                <w:vertAlign w:val="superscript"/>
                <w:lang w:eastAsia="en-US" w:bidi="ar-SA"/>
              </w:rPr>
              <w:t>2</w:t>
            </w:r>
          </w:p>
        </w:tc>
        <w:tc>
          <w:tcPr>
            <w:tcW w:w="10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8CAE4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060" w:type="dxa"/>
            <w:tcBorders>
              <w:top w:val="nil"/>
              <w:left w:val="nil"/>
              <w:bottom w:val="single" w:sz="4" w:space="0" w:color="auto"/>
              <w:right w:val="single" w:sz="4" w:space="0" w:color="auto"/>
            </w:tcBorders>
            <w:shd w:val="clear" w:color="auto" w:fill="auto"/>
            <w:noWrap/>
            <w:vAlign w:val="bottom"/>
            <w:hideMark/>
          </w:tcPr>
          <w:p w14:paraId="300699C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08466C2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10AF884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4,836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390C73F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DC963D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209265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single" w:sz="4" w:space="0" w:color="auto"/>
              <w:left w:val="nil"/>
              <w:bottom w:val="single" w:sz="4" w:space="0" w:color="auto"/>
              <w:right w:val="nil"/>
            </w:tcBorders>
            <w:shd w:val="clear" w:color="auto" w:fill="E7E6E6" w:themeFill="background2"/>
            <w:noWrap/>
            <w:vAlign w:val="bottom"/>
            <w:hideMark/>
          </w:tcPr>
          <w:p w14:paraId="5410F0F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56</w:t>
            </w:r>
          </w:p>
        </w:tc>
        <w:tc>
          <w:tcPr>
            <w:tcW w:w="1200"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28F9C66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9,672</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113DCCA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3EA406AC"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056373A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w:t>
            </w:r>
          </w:p>
        </w:tc>
        <w:tc>
          <w:tcPr>
            <w:tcW w:w="2180" w:type="dxa"/>
            <w:tcBorders>
              <w:top w:val="nil"/>
              <w:left w:val="nil"/>
              <w:bottom w:val="single" w:sz="4" w:space="0" w:color="auto"/>
              <w:right w:val="nil"/>
            </w:tcBorders>
            <w:shd w:val="clear" w:color="auto" w:fill="E7E6E6" w:themeFill="background2"/>
            <w:vAlign w:val="bottom"/>
            <w:hideMark/>
          </w:tcPr>
          <w:p w14:paraId="5359943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3</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2E977F5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04FDB88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149DC1A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031BFC7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63B21DC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432E2BE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5D55F82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nil"/>
            </w:tcBorders>
            <w:shd w:val="clear" w:color="auto" w:fill="E7E6E6" w:themeFill="background2"/>
            <w:noWrap/>
            <w:vAlign w:val="bottom"/>
            <w:hideMark/>
          </w:tcPr>
          <w:p w14:paraId="461DF0D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05AC7D6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186</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4553E5C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8A24764"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35A0D179"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§80.1451(b)</w:t>
            </w:r>
          </w:p>
        </w:tc>
        <w:tc>
          <w:tcPr>
            <w:tcW w:w="2180" w:type="dxa"/>
            <w:tcBorders>
              <w:top w:val="nil"/>
              <w:left w:val="nil"/>
              <w:bottom w:val="single" w:sz="4" w:space="0" w:color="auto"/>
              <w:right w:val="nil"/>
            </w:tcBorders>
            <w:shd w:val="clear" w:color="auto" w:fill="E7E6E6" w:themeFill="background2"/>
            <w:vAlign w:val="bottom"/>
            <w:hideMark/>
          </w:tcPr>
          <w:p w14:paraId="7590D26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Quarterly Reports</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4FE4327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60" w:type="dxa"/>
            <w:tcBorders>
              <w:top w:val="nil"/>
              <w:left w:val="nil"/>
              <w:bottom w:val="single" w:sz="4" w:space="0" w:color="auto"/>
              <w:right w:val="single" w:sz="4" w:space="0" w:color="auto"/>
            </w:tcBorders>
            <w:shd w:val="clear" w:color="auto" w:fill="auto"/>
            <w:noWrap/>
            <w:vAlign w:val="bottom"/>
            <w:hideMark/>
          </w:tcPr>
          <w:p w14:paraId="007043D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DE65AD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39374FC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19FD80A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2D3D794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2A63A21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220" w:type="dxa"/>
            <w:tcBorders>
              <w:top w:val="nil"/>
              <w:left w:val="nil"/>
              <w:bottom w:val="single" w:sz="4" w:space="0" w:color="auto"/>
              <w:right w:val="nil"/>
            </w:tcBorders>
            <w:shd w:val="clear" w:color="auto" w:fill="E7E6E6" w:themeFill="background2"/>
            <w:noWrap/>
            <w:vAlign w:val="bottom"/>
            <w:hideMark/>
          </w:tcPr>
          <w:p w14:paraId="4B4E36C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1297614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5,952</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547ADDF8" w14:textId="42BC5015"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RFS4000</w:t>
            </w:r>
          </w:p>
        </w:tc>
      </w:tr>
      <w:tr w:rsidR="00E459EE" w14:paraId="2D7AB1C8"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5499881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180" w:type="dxa"/>
            <w:tcBorders>
              <w:top w:val="nil"/>
              <w:left w:val="nil"/>
              <w:bottom w:val="single" w:sz="4" w:space="0" w:color="auto"/>
              <w:right w:val="nil"/>
            </w:tcBorders>
            <w:shd w:val="clear" w:color="auto" w:fill="E7E6E6" w:themeFill="background2"/>
            <w:vAlign w:val="bottom"/>
            <w:hideMark/>
          </w:tcPr>
          <w:p w14:paraId="2105CB9F"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 Transaction Reporting</w:t>
            </w:r>
            <w:r>
              <w:rPr>
                <w:rFonts w:eastAsia="Times New Roman" w:cs="Times New Roman"/>
                <w:kern w:val="0"/>
                <w:sz w:val="21"/>
                <w:szCs w:val="21"/>
                <w:vertAlign w:val="superscript"/>
                <w:lang w:eastAsia="en-US" w:bidi="ar-SA"/>
              </w:rPr>
              <w:t>4</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7661454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0.1</w:t>
            </w:r>
          </w:p>
        </w:tc>
        <w:tc>
          <w:tcPr>
            <w:tcW w:w="1060" w:type="dxa"/>
            <w:tcBorders>
              <w:top w:val="nil"/>
              <w:left w:val="nil"/>
              <w:bottom w:val="single" w:sz="4" w:space="0" w:color="auto"/>
              <w:right w:val="single" w:sz="4" w:space="0" w:color="auto"/>
            </w:tcBorders>
            <w:shd w:val="clear" w:color="auto" w:fill="auto"/>
            <w:noWrap/>
            <w:vAlign w:val="bottom"/>
            <w:hideMark/>
          </w:tcPr>
          <w:p w14:paraId="0CAB058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17FF5B4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3A5D100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1F3CAB9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758FB1E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24A8899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220" w:type="dxa"/>
            <w:tcBorders>
              <w:top w:val="nil"/>
              <w:left w:val="nil"/>
              <w:bottom w:val="single" w:sz="4" w:space="0" w:color="auto"/>
              <w:right w:val="nil"/>
            </w:tcBorders>
            <w:shd w:val="clear" w:color="auto" w:fill="E7E6E6" w:themeFill="background2"/>
            <w:noWrap/>
            <w:vAlign w:val="bottom"/>
            <w:hideMark/>
          </w:tcPr>
          <w:p w14:paraId="70B23E6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01105D7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6,789</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6BDD8D18"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6524CAE1"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5702FF6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§80.1453(a)</w:t>
            </w:r>
          </w:p>
        </w:tc>
        <w:tc>
          <w:tcPr>
            <w:tcW w:w="2180" w:type="dxa"/>
            <w:tcBorders>
              <w:top w:val="nil"/>
              <w:left w:val="nil"/>
              <w:bottom w:val="single" w:sz="4" w:space="0" w:color="auto"/>
              <w:right w:val="nil"/>
            </w:tcBorders>
            <w:shd w:val="clear" w:color="auto" w:fill="E7E6E6" w:themeFill="background2"/>
            <w:vAlign w:val="bottom"/>
            <w:hideMark/>
          </w:tcPr>
          <w:p w14:paraId="290DD429"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Product Transfer Documents: </w:t>
            </w:r>
            <w:r>
              <w:rPr>
                <w:rFonts w:eastAsia="Times New Roman" w:cs="Times New Roman"/>
                <w:kern w:val="0"/>
                <w:sz w:val="21"/>
                <w:szCs w:val="21"/>
                <w:lang w:eastAsia="en-US" w:bidi="ar-SA"/>
              </w:rPr>
              <w:t>Transfers of VRD-N</w:t>
            </w:r>
            <w:r>
              <w:rPr>
                <w:rFonts w:eastAsia="Times New Roman" w:cs="Times New Roman"/>
                <w:kern w:val="0"/>
                <w:sz w:val="21"/>
                <w:szCs w:val="21"/>
                <w:vertAlign w:val="superscript"/>
                <w:lang w:eastAsia="en-US" w:bidi="ar-SA"/>
              </w:rPr>
              <w:t>5</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1291016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5FEEFA4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6E050C7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52BB859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7F0209B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C3A987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3EF85DC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220" w:type="dxa"/>
            <w:tcBorders>
              <w:top w:val="nil"/>
              <w:left w:val="nil"/>
              <w:bottom w:val="single" w:sz="4" w:space="0" w:color="auto"/>
              <w:right w:val="nil"/>
            </w:tcBorders>
            <w:shd w:val="clear" w:color="auto" w:fill="E7E6E6" w:themeFill="background2"/>
            <w:noWrap/>
            <w:vAlign w:val="bottom"/>
            <w:hideMark/>
          </w:tcPr>
          <w:p w14:paraId="5931A25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602E76D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24,090</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71911022"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2BC94E1D"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center"/>
            <w:hideMark/>
          </w:tcPr>
          <w:p w14:paraId="4F88148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w:t>
            </w:r>
          </w:p>
        </w:tc>
        <w:tc>
          <w:tcPr>
            <w:tcW w:w="2180" w:type="dxa"/>
            <w:tcBorders>
              <w:top w:val="nil"/>
              <w:left w:val="nil"/>
              <w:bottom w:val="single" w:sz="4" w:space="0" w:color="auto"/>
              <w:right w:val="nil"/>
            </w:tcBorders>
            <w:shd w:val="clear" w:color="auto" w:fill="E7E6E6" w:themeFill="background2"/>
            <w:vAlign w:val="center"/>
            <w:hideMark/>
          </w:tcPr>
          <w:p w14:paraId="32890D89"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VRD-N production</w:t>
            </w:r>
            <w:r>
              <w:rPr>
                <w:rFonts w:eastAsia="Times New Roman" w:cs="Times New Roman"/>
                <w:kern w:val="0"/>
                <w:sz w:val="21"/>
                <w:szCs w:val="21"/>
                <w:vertAlign w:val="superscript"/>
                <w:lang w:eastAsia="en-US" w:bidi="ar-SA"/>
              </w:rPr>
              <w:t>6</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4ED90FF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784676B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4244E0E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677423E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6D93358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4379749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257B1BD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220" w:type="dxa"/>
            <w:tcBorders>
              <w:top w:val="nil"/>
              <w:left w:val="nil"/>
              <w:bottom w:val="single" w:sz="4" w:space="0" w:color="auto"/>
              <w:right w:val="nil"/>
            </w:tcBorders>
            <w:shd w:val="clear" w:color="auto" w:fill="E7E6E6" w:themeFill="background2"/>
            <w:noWrap/>
            <w:vAlign w:val="bottom"/>
            <w:hideMark/>
          </w:tcPr>
          <w:p w14:paraId="7EE74C5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0A69560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792</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061697C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32BC6D79"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64C6777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§80.1464(b)</w:t>
            </w:r>
          </w:p>
        </w:tc>
        <w:tc>
          <w:tcPr>
            <w:tcW w:w="2180" w:type="dxa"/>
            <w:tcBorders>
              <w:top w:val="nil"/>
              <w:left w:val="nil"/>
              <w:bottom w:val="single" w:sz="8" w:space="0" w:color="auto"/>
              <w:right w:val="nil"/>
            </w:tcBorders>
            <w:shd w:val="clear" w:color="auto" w:fill="E7E6E6" w:themeFill="background2"/>
            <w:vAlign w:val="center"/>
            <w:hideMark/>
          </w:tcPr>
          <w:p w14:paraId="2CE0F9C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Attest Engagements:</w:t>
            </w:r>
            <w:r>
              <w:rPr>
                <w:rFonts w:eastAsia="Times New Roman" w:cs="Times New Roman"/>
                <w:kern w:val="0"/>
                <w:sz w:val="21"/>
                <w:szCs w:val="21"/>
                <w:lang w:eastAsia="en-US" w:bidi="ar-SA"/>
              </w:rPr>
              <w:t xml:space="preserve"> Annual Attest Engagement Report</w:t>
            </w:r>
            <w:r>
              <w:rPr>
                <w:rFonts w:eastAsia="Times New Roman" w:cs="Times New Roman"/>
                <w:kern w:val="0"/>
                <w:sz w:val="21"/>
                <w:szCs w:val="21"/>
                <w:vertAlign w:val="superscript"/>
                <w:lang w:eastAsia="en-US" w:bidi="ar-SA"/>
              </w:rPr>
              <w:t>7</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4DDB04F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60" w:type="dxa"/>
            <w:tcBorders>
              <w:top w:val="nil"/>
              <w:left w:val="nil"/>
              <w:bottom w:val="single" w:sz="4" w:space="0" w:color="auto"/>
              <w:right w:val="single" w:sz="4" w:space="0" w:color="auto"/>
            </w:tcBorders>
            <w:shd w:val="clear" w:color="auto" w:fill="auto"/>
            <w:noWrap/>
            <w:vAlign w:val="bottom"/>
            <w:hideMark/>
          </w:tcPr>
          <w:p w14:paraId="665A17A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294A23A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nil"/>
              <w:left w:val="nil"/>
              <w:bottom w:val="single" w:sz="4" w:space="0" w:color="auto"/>
              <w:right w:val="single" w:sz="8" w:space="0" w:color="auto"/>
            </w:tcBorders>
            <w:shd w:val="clear" w:color="auto" w:fill="auto"/>
            <w:vAlign w:val="bottom"/>
            <w:hideMark/>
          </w:tcPr>
          <w:p w14:paraId="1C47A50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4,557</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0392B6B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2E7854A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5954AA7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nil"/>
            </w:tcBorders>
            <w:shd w:val="clear" w:color="auto" w:fill="E7E6E6" w:themeFill="background2"/>
            <w:noWrap/>
            <w:vAlign w:val="bottom"/>
            <w:hideMark/>
          </w:tcPr>
          <w:p w14:paraId="201D681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232FC6D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9,114</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7AEB5F8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ACB4B82" w14:textId="77777777">
        <w:trPr>
          <w:trHeight w:val="6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01C0940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§80.1469</w:t>
            </w:r>
          </w:p>
        </w:tc>
        <w:tc>
          <w:tcPr>
            <w:tcW w:w="2180" w:type="dxa"/>
            <w:tcBorders>
              <w:top w:val="single" w:sz="4" w:space="0" w:color="auto"/>
              <w:left w:val="nil"/>
              <w:bottom w:val="single" w:sz="4" w:space="0" w:color="auto"/>
              <w:right w:val="nil"/>
            </w:tcBorders>
            <w:shd w:val="clear" w:color="auto" w:fill="E7E6E6" w:themeFill="background2"/>
            <w:vAlign w:val="bottom"/>
            <w:hideMark/>
          </w:tcPr>
          <w:p w14:paraId="53FC6913" w14:textId="77777777" w:rsidR="00E459EE" w:rsidRDefault="005F75DA">
            <w:pPr>
              <w:widowControl/>
              <w:suppressAutoHyphens w:val="0"/>
              <w:autoSpaceDN/>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 xml:space="preserve">Quality Assurance Program: </w:t>
            </w:r>
            <w:r>
              <w:rPr>
                <w:rFonts w:eastAsia="Times New Roman" w:cs="Times New Roman"/>
                <w:kern w:val="0"/>
                <w:sz w:val="21"/>
                <w:szCs w:val="21"/>
                <w:lang w:eastAsia="en-US" w:bidi="ar-SA"/>
              </w:rPr>
              <w:t>Renewable Fuel Producer QAPs</w:t>
            </w:r>
            <w:r>
              <w:rPr>
                <w:rFonts w:eastAsia="Times New Roman" w:cs="Times New Roman"/>
                <w:kern w:val="0"/>
                <w:sz w:val="21"/>
                <w:szCs w:val="21"/>
                <w:vertAlign w:val="superscript"/>
                <w:lang w:eastAsia="en-US" w:bidi="ar-SA"/>
              </w:rPr>
              <w:t>7</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14:paraId="1557DA2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6658788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B15EBD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w:t>
            </w:r>
          </w:p>
        </w:tc>
        <w:tc>
          <w:tcPr>
            <w:tcW w:w="1040" w:type="dxa"/>
            <w:tcBorders>
              <w:top w:val="nil"/>
              <w:left w:val="nil"/>
              <w:bottom w:val="single" w:sz="4" w:space="0" w:color="auto"/>
              <w:right w:val="single" w:sz="8" w:space="0" w:color="auto"/>
            </w:tcBorders>
            <w:shd w:val="clear" w:color="auto" w:fill="auto"/>
            <w:vAlign w:val="bottom"/>
            <w:hideMark/>
          </w:tcPr>
          <w:p w14:paraId="4305E53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22,320</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5437FCF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2EFBB1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41E824E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nil"/>
            </w:tcBorders>
            <w:shd w:val="clear" w:color="auto" w:fill="E7E6E6" w:themeFill="background2"/>
            <w:noWrap/>
            <w:vAlign w:val="bottom"/>
            <w:hideMark/>
          </w:tcPr>
          <w:p w14:paraId="01DCDF2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1169CA3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44,640</w:t>
            </w:r>
          </w:p>
        </w:tc>
        <w:tc>
          <w:tcPr>
            <w:tcW w:w="1138"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227F5AC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39011DB" w14:textId="77777777">
        <w:trPr>
          <w:trHeight w:val="60"/>
        </w:trPr>
        <w:tc>
          <w:tcPr>
            <w:tcW w:w="42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41C7652"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42F3F531"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241224A1"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6714076F"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066E0A17"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4685C2E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2</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14925097"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4C2A6754"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1,499</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11CADD61"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1,239</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14:paraId="2E9BA03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101,235</w:t>
            </w:r>
          </w:p>
        </w:tc>
        <w:tc>
          <w:tcPr>
            <w:tcW w:w="1138" w:type="dxa"/>
            <w:tcBorders>
              <w:top w:val="nil"/>
              <w:left w:val="nil"/>
              <w:bottom w:val="nil"/>
              <w:right w:val="nil"/>
            </w:tcBorders>
            <w:shd w:val="clear" w:color="auto" w:fill="auto"/>
            <w:noWrap/>
            <w:vAlign w:val="bottom"/>
            <w:hideMark/>
          </w:tcPr>
          <w:p w14:paraId="235F215F"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1909B7F5" w14:textId="77777777" w:rsidR="00E459EE" w:rsidRDefault="005F75DA">
      <w:pPr>
        <w:pStyle w:val="Standard"/>
        <w:rPr>
          <w:rFonts w:asciiTheme="minorHAnsi" w:eastAsiaTheme="minorHAnsi" w:hAnsiTheme="minorHAnsi" w:cstheme="minorBidi"/>
          <w:kern w:val="0"/>
          <w:sz w:val="22"/>
          <w:szCs w:val="22"/>
          <w:lang w:eastAsia="en-US" w:bidi="ar-SA"/>
        </w:rPr>
      </w:pPr>
      <w:r>
        <w:t>ASSUMPTIONS FOR TABLE 6(b).6</w:t>
      </w:r>
      <w:r>
        <w:fldChar w:fldCharType="begin"/>
      </w:r>
      <w:r>
        <w:instrText xml:space="preserve"> LINK Excel.Sheet.12 "C:\\Users\\RAnder02\\Documents\\Biointermediates\\ICR\\Redone ICR Tables.xlsx" "VRD-N Producers!R1C1:R14C12" \a \f 4 \h </w:instrText>
      </w:r>
      <w:r>
        <w:fldChar w:fldCharType="separate"/>
      </w:r>
    </w:p>
    <w:p w14:paraId="24E2EABA" w14:textId="77777777" w:rsidR="00E459EE" w:rsidRDefault="005F75DA">
      <w:pPr>
        <w:pStyle w:val="Standard"/>
        <w:rPr>
          <w:sz w:val="20"/>
          <w:szCs w:val="20"/>
        </w:rPr>
      </w:pPr>
      <w:r>
        <w:fldChar w:fldCharType="end"/>
      </w:r>
      <w:r>
        <w:rPr>
          <w:sz w:val="20"/>
          <w:szCs w:val="20"/>
          <w:vertAlign w:val="superscript"/>
        </w:rPr>
        <w:t>1</w:t>
      </w:r>
      <w:r>
        <w:rPr>
          <w:sz w:val="20"/>
          <w:szCs w:val="20"/>
        </w:rPr>
        <w:t>Estimate about 2 parties that generate RINs from VRD-N under existing regulations.</w:t>
      </w:r>
    </w:p>
    <w:p w14:paraId="3053A84E" w14:textId="77777777" w:rsidR="00E459EE" w:rsidRDefault="005F75DA">
      <w:pPr>
        <w:pStyle w:val="Standard"/>
        <w:rPr>
          <w:sz w:val="20"/>
          <w:szCs w:val="20"/>
        </w:rPr>
      </w:pPr>
      <w:r>
        <w:rPr>
          <w:sz w:val="20"/>
          <w:szCs w:val="20"/>
          <w:vertAlign w:val="superscript"/>
        </w:rPr>
        <w:t>2</w:t>
      </w:r>
      <w:r>
        <w:rPr>
          <w:sz w:val="20"/>
          <w:szCs w:val="20"/>
        </w:rPr>
        <w:t>The estimated initial registration burden includes the contracting of an independent third-party engineer to perform an engineering review and the burden of the producer to submit relevant company and facility information in CDX.</w:t>
      </w:r>
    </w:p>
    <w:p w14:paraId="146C7DCC" w14:textId="77777777" w:rsidR="00E459EE" w:rsidRDefault="005F75DA">
      <w:pPr>
        <w:pStyle w:val="Standard"/>
        <w:rPr>
          <w:sz w:val="20"/>
          <w:szCs w:val="20"/>
        </w:rPr>
      </w:pPr>
      <w:r>
        <w:rPr>
          <w:sz w:val="20"/>
          <w:szCs w:val="20"/>
          <w:vertAlign w:val="superscript"/>
        </w:rPr>
        <w:t>3</w:t>
      </w:r>
      <w:r>
        <w:rPr>
          <w:sz w:val="20"/>
          <w:szCs w:val="20"/>
        </w:rPr>
        <w:t>Assumes 33% of companies update registrations per year, rounded up to 1.</w:t>
      </w:r>
    </w:p>
    <w:p w14:paraId="2122BD33" w14:textId="77777777" w:rsidR="00E459EE" w:rsidRDefault="005F75DA">
      <w:pPr>
        <w:pStyle w:val="Standard"/>
        <w:rPr>
          <w:sz w:val="20"/>
          <w:szCs w:val="20"/>
        </w:rPr>
      </w:pPr>
      <w:r>
        <w:rPr>
          <w:sz w:val="20"/>
          <w:szCs w:val="20"/>
          <w:vertAlign w:val="superscript"/>
        </w:rPr>
        <w:t>4</w:t>
      </w:r>
      <w:r>
        <w:rPr>
          <w:sz w:val="20"/>
          <w:szCs w:val="20"/>
        </w:rPr>
        <w:t>EMTS transaction reporting assumes daily generation of RINs on batches of VRD-N (i.e., 365 responses per year). Since EMTS transactions are mostly automated, the burden associated with submitting reports to EMTS is minimal.</w:t>
      </w:r>
    </w:p>
    <w:p w14:paraId="4CC108F2" w14:textId="77777777" w:rsidR="00E459EE" w:rsidRDefault="005F75DA">
      <w:pPr>
        <w:pStyle w:val="Standard"/>
        <w:rPr>
          <w:sz w:val="20"/>
          <w:szCs w:val="20"/>
        </w:rPr>
      </w:pPr>
      <w:r>
        <w:rPr>
          <w:sz w:val="20"/>
          <w:szCs w:val="20"/>
          <w:vertAlign w:val="superscript"/>
        </w:rPr>
        <w:t>5</w:t>
      </w:r>
      <w:r>
        <w:rPr>
          <w:sz w:val="20"/>
          <w:szCs w:val="20"/>
        </w:rPr>
        <w:t>PTD creation assumes the production and transfer of a batch of VRD-N every day (i.e., 365 responses per year).</w:t>
      </w:r>
    </w:p>
    <w:p w14:paraId="24810754" w14:textId="77777777" w:rsidR="00E459EE" w:rsidRDefault="005F75DA">
      <w:pPr>
        <w:pStyle w:val="Standard"/>
        <w:rPr>
          <w:sz w:val="20"/>
          <w:szCs w:val="20"/>
        </w:rPr>
      </w:pPr>
      <w:r>
        <w:rPr>
          <w:sz w:val="20"/>
          <w:szCs w:val="20"/>
          <w:vertAlign w:val="superscript"/>
        </w:rPr>
        <w:t>6</w:t>
      </w:r>
      <w:r>
        <w:rPr>
          <w:sz w:val="20"/>
          <w:szCs w:val="20"/>
        </w:rPr>
        <w:t>Recordkeeping requirements assume monthly (i.e., 12 responses per year) filing.</w:t>
      </w:r>
    </w:p>
    <w:p w14:paraId="0502EC13" w14:textId="77777777" w:rsidR="00E459EE" w:rsidRDefault="005F75DA">
      <w:pPr>
        <w:pStyle w:val="Standard"/>
        <w:rPr>
          <w:sz w:val="20"/>
          <w:szCs w:val="20"/>
        </w:rPr>
      </w:pPr>
      <w:r>
        <w:rPr>
          <w:sz w:val="20"/>
          <w:szCs w:val="20"/>
          <w:vertAlign w:val="superscript"/>
        </w:rPr>
        <w:t>7</w:t>
      </w:r>
      <w:r>
        <w:rPr>
          <w:sz w:val="20"/>
          <w:szCs w:val="20"/>
        </w:rPr>
        <w:t>Attest engagements and QAP participation require purchased services of a CPA and independent third-party auditor respectively; party must also submit prepared attest engagement report to the EPA.</w:t>
      </w:r>
    </w:p>
    <w:p w14:paraId="5C273E1D" w14:textId="77777777" w:rsidR="00E459EE" w:rsidRDefault="005F75DA">
      <w:pPr>
        <w:widowControl/>
        <w:suppressAutoHyphens w:val="0"/>
        <w:autoSpaceDN/>
        <w:spacing w:after="160" w:line="259" w:lineRule="auto"/>
        <w:textAlignment w:val="auto"/>
        <w:rPr>
          <w:sz w:val="20"/>
          <w:szCs w:val="20"/>
        </w:rPr>
      </w:pPr>
      <w:r>
        <w:rPr>
          <w:sz w:val="20"/>
          <w:szCs w:val="20"/>
        </w:rPr>
        <w:br w:type="page"/>
      </w:r>
    </w:p>
    <w:tbl>
      <w:tblPr>
        <w:tblW w:w="15858" w:type="dxa"/>
        <w:tblLook w:val="04A0" w:firstRow="1" w:lastRow="0" w:firstColumn="1" w:lastColumn="0" w:noHBand="0" w:noVBand="1"/>
      </w:tblPr>
      <w:tblGrid>
        <w:gridCol w:w="2040"/>
        <w:gridCol w:w="2100"/>
        <w:gridCol w:w="1120"/>
        <w:gridCol w:w="1060"/>
        <w:gridCol w:w="1120"/>
        <w:gridCol w:w="1040"/>
        <w:gridCol w:w="1380"/>
        <w:gridCol w:w="1220"/>
        <w:gridCol w:w="1220"/>
        <w:gridCol w:w="1220"/>
        <w:gridCol w:w="1200"/>
        <w:gridCol w:w="1138"/>
      </w:tblGrid>
      <w:tr w:rsidR="00E459EE" w14:paraId="12CC5304" w14:textId="77777777">
        <w:trPr>
          <w:trHeight w:val="60"/>
        </w:trPr>
        <w:tc>
          <w:tcPr>
            <w:tcW w:w="15858"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886B4A0"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lastRenderedPageBreak/>
              <w:t>Annual Respondent Burden and Cost by Type of Party</w:t>
            </w:r>
          </w:p>
        </w:tc>
      </w:tr>
      <w:tr w:rsidR="00E459EE" w14:paraId="73122B56" w14:textId="77777777">
        <w:trPr>
          <w:trHeight w:val="60"/>
        </w:trPr>
        <w:tc>
          <w:tcPr>
            <w:tcW w:w="15858"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39981B7"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6(b).7 - Biogas Producers</w:t>
            </w:r>
          </w:p>
        </w:tc>
      </w:tr>
      <w:tr w:rsidR="00E459EE" w14:paraId="50DD271C" w14:textId="77777777">
        <w:trPr>
          <w:trHeight w:val="60"/>
        </w:trPr>
        <w:tc>
          <w:tcPr>
            <w:tcW w:w="4140" w:type="dxa"/>
            <w:gridSpan w:val="2"/>
            <w:tcBorders>
              <w:top w:val="single" w:sz="8" w:space="0" w:color="auto"/>
              <w:left w:val="single" w:sz="8" w:space="0" w:color="auto"/>
              <w:bottom w:val="single" w:sz="8" w:space="0" w:color="auto"/>
              <w:right w:val="nil"/>
            </w:tcBorders>
            <w:shd w:val="clear" w:color="auto" w:fill="E7E6E6" w:themeFill="background2"/>
            <w:noWrap/>
            <w:vAlign w:val="bottom"/>
            <w:hideMark/>
          </w:tcPr>
          <w:p w14:paraId="1B1564A0"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EC214A3"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240" w:type="dxa"/>
            <w:gridSpan w:val="5"/>
            <w:tcBorders>
              <w:top w:val="single" w:sz="8" w:space="0" w:color="auto"/>
              <w:left w:val="nil"/>
              <w:bottom w:val="single" w:sz="8" w:space="0" w:color="auto"/>
              <w:right w:val="nil"/>
            </w:tcBorders>
            <w:shd w:val="clear" w:color="auto" w:fill="E7E6E6" w:themeFill="background2"/>
            <w:noWrap/>
            <w:vAlign w:val="bottom"/>
            <w:hideMark/>
          </w:tcPr>
          <w:p w14:paraId="169E61C5"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138" w:type="dxa"/>
            <w:vMerge w:val="restart"/>
            <w:tcBorders>
              <w:top w:val="nil"/>
              <w:left w:val="single" w:sz="8" w:space="0" w:color="auto"/>
              <w:bottom w:val="nil"/>
              <w:right w:val="single" w:sz="8" w:space="0" w:color="auto"/>
            </w:tcBorders>
            <w:shd w:val="clear" w:color="000000" w:fill="F8FFB9"/>
            <w:vAlign w:val="center"/>
            <w:hideMark/>
          </w:tcPr>
          <w:p w14:paraId="5519910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5C2C2F60" w14:textId="77777777">
        <w:trPr>
          <w:trHeight w:val="60"/>
        </w:trPr>
        <w:tc>
          <w:tcPr>
            <w:tcW w:w="2040" w:type="dxa"/>
            <w:tcBorders>
              <w:top w:val="nil"/>
              <w:left w:val="single" w:sz="8" w:space="0" w:color="auto"/>
              <w:bottom w:val="single" w:sz="8" w:space="0" w:color="auto"/>
              <w:right w:val="single" w:sz="4" w:space="0" w:color="auto"/>
            </w:tcBorders>
            <w:shd w:val="clear" w:color="auto" w:fill="E7E6E6" w:themeFill="background2"/>
            <w:noWrap/>
            <w:vAlign w:val="bottom"/>
            <w:hideMark/>
          </w:tcPr>
          <w:p w14:paraId="4F324326"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100" w:type="dxa"/>
            <w:tcBorders>
              <w:top w:val="nil"/>
              <w:left w:val="nil"/>
              <w:bottom w:val="single" w:sz="8" w:space="0" w:color="auto"/>
              <w:right w:val="nil"/>
            </w:tcBorders>
            <w:shd w:val="clear" w:color="auto" w:fill="E7E6E6" w:themeFill="background2"/>
            <w:vAlign w:val="bottom"/>
            <w:hideMark/>
          </w:tcPr>
          <w:p w14:paraId="5646EAC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79AAF78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2EE66782"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581DB71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07052D5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380" w:type="dxa"/>
            <w:tcBorders>
              <w:top w:val="nil"/>
              <w:left w:val="nil"/>
              <w:bottom w:val="single" w:sz="8" w:space="0" w:color="auto"/>
              <w:right w:val="single" w:sz="4" w:space="0" w:color="auto"/>
            </w:tcBorders>
            <w:shd w:val="clear" w:color="auto" w:fill="E7E6E6" w:themeFill="background2"/>
            <w:vAlign w:val="bottom"/>
            <w:hideMark/>
          </w:tcPr>
          <w:p w14:paraId="6CAA4457"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5B0CAB99"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101FFF4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3691E3F9"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auto" w:fill="E7E6E6" w:themeFill="background2"/>
            <w:vAlign w:val="bottom"/>
            <w:hideMark/>
          </w:tcPr>
          <w:p w14:paraId="15E3876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138" w:type="dxa"/>
            <w:vMerge/>
            <w:tcBorders>
              <w:top w:val="nil"/>
              <w:left w:val="single" w:sz="8" w:space="0" w:color="auto"/>
              <w:bottom w:val="nil"/>
              <w:right w:val="single" w:sz="8" w:space="0" w:color="auto"/>
            </w:tcBorders>
            <w:vAlign w:val="center"/>
            <w:hideMark/>
          </w:tcPr>
          <w:p w14:paraId="54CD1F07"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5F070C20" w14:textId="77777777">
        <w:trPr>
          <w:trHeight w:val="60"/>
        </w:trPr>
        <w:tc>
          <w:tcPr>
            <w:tcW w:w="2040" w:type="dxa"/>
            <w:tcBorders>
              <w:top w:val="single" w:sz="4" w:space="0" w:color="auto"/>
              <w:left w:val="single" w:sz="8" w:space="0" w:color="auto"/>
              <w:bottom w:val="single" w:sz="4" w:space="0" w:color="auto"/>
              <w:right w:val="single" w:sz="4" w:space="0" w:color="auto"/>
            </w:tcBorders>
            <w:shd w:val="clear" w:color="auto" w:fill="E7E6E6" w:themeFill="background2"/>
            <w:vAlign w:val="bottom"/>
            <w:hideMark/>
          </w:tcPr>
          <w:p w14:paraId="26225BE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w:t>
            </w:r>
          </w:p>
        </w:tc>
        <w:tc>
          <w:tcPr>
            <w:tcW w:w="2100" w:type="dxa"/>
            <w:tcBorders>
              <w:top w:val="single" w:sz="4" w:space="0" w:color="auto"/>
              <w:left w:val="nil"/>
              <w:bottom w:val="single" w:sz="4" w:space="0" w:color="auto"/>
              <w:right w:val="nil"/>
            </w:tcBorders>
            <w:shd w:val="clear" w:color="auto" w:fill="E7E6E6" w:themeFill="background2"/>
            <w:vAlign w:val="bottom"/>
            <w:hideMark/>
          </w:tcPr>
          <w:p w14:paraId="0F2D7C13"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r>
              <w:rPr>
                <w:rFonts w:eastAsia="Times New Roman" w:cs="Times New Roman"/>
                <w:kern w:val="0"/>
                <w:sz w:val="21"/>
                <w:szCs w:val="21"/>
                <w:vertAlign w:val="superscript"/>
                <w:lang w:eastAsia="en-US" w:bidi="ar-SA"/>
              </w:rPr>
              <w:t>2</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EFDAAB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060" w:type="dxa"/>
            <w:tcBorders>
              <w:top w:val="nil"/>
              <w:left w:val="nil"/>
              <w:bottom w:val="single" w:sz="4" w:space="0" w:color="auto"/>
              <w:right w:val="single" w:sz="4" w:space="0" w:color="auto"/>
            </w:tcBorders>
            <w:shd w:val="clear" w:color="auto" w:fill="auto"/>
            <w:noWrap/>
            <w:vAlign w:val="bottom"/>
            <w:hideMark/>
          </w:tcPr>
          <w:p w14:paraId="448BD33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4333253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1C28BF2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4,836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623ADA4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25</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6D54AE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FA69F9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25</w:t>
            </w:r>
          </w:p>
        </w:tc>
        <w:tc>
          <w:tcPr>
            <w:tcW w:w="1220" w:type="dxa"/>
            <w:tcBorders>
              <w:top w:val="single" w:sz="4" w:space="0" w:color="auto"/>
              <w:left w:val="nil"/>
              <w:bottom w:val="single" w:sz="4" w:space="0" w:color="auto"/>
              <w:right w:val="nil"/>
            </w:tcBorders>
            <w:shd w:val="clear" w:color="auto" w:fill="E7E6E6" w:themeFill="background2"/>
            <w:noWrap/>
            <w:vAlign w:val="bottom"/>
            <w:hideMark/>
          </w:tcPr>
          <w:p w14:paraId="76441A8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700</w:t>
            </w:r>
          </w:p>
        </w:tc>
        <w:tc>
          <w:tcPr>
            <w:tcW w:w="1200"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2DBA5DE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120,900</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61B1048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2AA5C994"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2C690F1A"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w:t>
            </w:r>
          </w:p>
        </w:tc>
        <w:tc>
          <w:tcPr>
            <w:tcW w:w="2100" w:type="dxa"/>
            <w:tcBorders>
              <w:top w:val="nil"/>
              <w:left w:val="nil"/>
              <w:bottom w:val="single" w:sz="4" w:space="0" w:color="auto"/>
              <w:right w:val="nil"/>
            </w:tcBorders>
            <w:shd w:val="clear" w:color="auto" w:fill="E7E6E6" w:themeFill="background2"/>
            <w:vAlign w:val="bottom"/>
            <w:hideMark/>
          </w:tcPr>
          <w:p w14:paraId="55752C5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3</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B33D66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5EB53FD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A5E7F0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463B452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6AD878F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DA5F52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32BB779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w:t>
            </w:r>
          </w:p>
        </w:tc>
        <w:tc>
          <w:tcPr>
            <w:tcW w:w="1220" w:type="dxa"/>
            <w:tcBorders>
              <w:top w:val="nil"/>
              <w:left w:val="nil"/>
              <w:bottom w:val="single" w:sz="4" w:space="0" w:color="auto"/>
              <w:right w:val="nil"/>
            </w:tcBorders>
            <w:shd w:val="clear" w:color="auto" w:fill="E7E6E6" w:themeFill="background2"/>
            <w:noWrap/>
            <w:vAlign w:val="bottom"/>
            <w:hideMark/>
          </w:tcPr>
          <w:p w14:paraId="5CE8D20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18</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6ACEF48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1,674</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20885EB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DCD32B9"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3532F05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§80.1451(i)</w:t>
            </w:r>
          </w:p>
        </w:tc>
        <w:tc>
          <w:tcPr>
            <w:tcW w:w="2100" w:type="dxa"/>
            <w:tcBorders>
              <w:top w:val="nil"/>
              <w:left w:val="nil"/>
              <w:bottom w:val="single" w:sz="4" w:space="0" w:color="auto"/>
              <w:right w:val="nil"/>
            </w:tcBorders>
            <w:shd w:val="clear" w:color="auto" w:fill="E7E6E6" w:themeFill="background2"/>
            <w:vAlign w:val="bottom"/>
            <w:hideMark/>
          </w:tcPr>
          <w:p w14:paraId="7E3BB8B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Quarterly Reports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542AF0C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60" w:type="dxa"/>
            <w:tcBorders>
              <w:top w:val="nil"/>
              <w:left w:val="nil"/>
              <w:bottom w:val="single" w:sz="4" w:space="0" w:color="auto"/>
              <w:right w:val="single" w:sz="4" w:space="0" w:color="auto"/>
            </w:tcBorders>
            <w:shd w:val="clear" w:color="auto" w:fill="auto"/>
            <w:noWrap/>
            <w:vAlign w:val="bottom"/>
            <w:hideMark/>
          </w:tcPr>
          <w:p w14:paraId="0E64763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F16CC2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68A1ECC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2705392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E6E631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3BDD102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100</w:t>
            </w:r>
          </w:p>
        </w:tc>
        <w:tc>
          <w:tcPr>
            <w:tcW w:w="1220" w:type="dxa"/>
            <w:tcBorders>
              <w:top w:val="nil"/>
              <w:left w:val="nil"/>
              <w:bottom w:val="single" w:sz="4" w:space="0" w:color="auto"/>
              <w:right w:val="nil"/>
            </w:tcBorders>
            <w:shd w:val="clear" w:color="auto" w:fill="E7E6E6" w:themeFill="background2"/>
            <w:noWrap/>
            <w:vAlign w:val="bottom"/>
            <w:hideMark/>
          </w:tcPr>
          <w:p w14:paraId="2AC0652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800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31F4841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74,400</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0C7C7625" w14:textId="2452F3D9"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RFS 4000</w:t>
            </w:r>
          </w:p>
        </w:tc>
      </w:tr>
      <w:tr w:rsidR="00E459EE" w14:paraId="42398E08"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641FAF6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100" w:type="dxa"/>
            <w:tcBorders>
              <w:top w:val="nil"/>
              <w:left w:val="nil"/>
              <w:bottom w:val="single" w:sz="4" w:space="0" w:color="auto"/>
              <w:right w:val="nil"/>
            </w:tcBorders>
            <w:shd w:val="clear" w:color="auto" w:fill="E7E6E6" w:themeFill="background2"/>
            <w:vAlign w:val="bottom"/>
            <w:hideMark/>
          </w:tcPr>
          <w:p w14:paraId="2E991E9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 Transaction Reporting</w:t>
            </w:r>
            <w:r>
              <w:rPr>
                <w:rFonts w:eastAsia="Times New Roman" w:cs="Times New Roman"/>
                <w:kern w:val="0"/>
                <w:sz w:val="21"/>
                <w:szCs w:val="21"/>
                <w:vertAlign w:val="superscript"/>
                <w:lang w:eastAsia="en-US" w:bidi="ar-SA"/>
              </w:rPr>
              <w:t>4</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43368F3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0.1</w:t>
            </w:r>
          </w:p>
        </w:tc>
        <w:tc>
          <w:tcPr>
            <w:tcW w:w="1060" w:type="dxa"/>
            <w:tcBorders>
              <w:top w:val="nil"/>
              <w:left w:val="nil"/>
              <w:bottom w:val="single" w:sz="4" w:space="0" w:color="auto"/>
              <w:right w:val="single" w:sz="4" w:space="0" w:color="auto"/>
            </w:tcBorders>
            <w:shd w:val="clear" w:color="auto" w:fill="auto"/>
            <w:noWrap/>
            <w:vAlign w:val="bottom"/>
            <w:hideMark/>
          </w:tcPr>
          <w:p w14:paraId="1F2047E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4745C5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6F07382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0301A24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70BC737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8A649A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9,125</w:t>
            </w:r>
          </w:p>
        </w:tc>
        <w:tc>
          <w:tcPr>
            <w:tcW w:w="1220" w:type="dxa"/>
            <w:tcBorders>
              <w:top w:val="nil"/>
              <w:left w:val="nil"/>
              <w:bottom w:val="single" w:sz="4" w:space="0" w:color="auto"/>
              <w:right w:val="nil"/>
            </w:tcBorders>
            <w:shd w:val="clear" w:color="auto" w:fill="E7E6E6" w:themeFill="background2"/>
            <w:noWrap/>
            <w:vAlign w:val="bottom"/>
            <w:hideMark/>
          </w:tcPr>
          <w:p w14:paraId="6E63E5F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913</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097A9A0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84,863</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3F73380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51434E72"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center"/>
            <w:hideMark/>
          </w:tcPr>
          <w:p w14:paraId="350A9DC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§80.1454(k)</w:t>
            </w:r>
          </w:p>
        </w:tc>
        <w:tc>
          <w:tcPr>
            <w:tcW w:w="2100" w:type="dxa"/>
            <w:tcBorders>
              <w:top w:val="nil"/>
              <w:left w:val="nil"/>
              <w:bottom w:val="single" w:sz="4" w:space="0" w:color="auto"/>
              <w:right w:val="nil"/>
            </w:tcBorders>
            <w:shd w:val="clear" w:color="auto" w:fill="E7E6E6" w:themeFill="background2"/>
            <w:vAlign w:val="center"/>
            <w:hideMark/>
          </w:tcPr>
          <w:p w14:paraId="7354939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Biogas Production</w:t>
            </w:r>
            <w:r>
              <w:rPr>
                <w:rFonts w:eastAsia="Times New Roman" w:cs="Times New Roman"/>
                <w:kern w:val="0"/>
                <w:sz w:val="21"/>
                <w:szCs w:val="21"/>
                <w:vertAlign w:val="superscript"/>
                <w:lang w:eastAsia="en-US" w:bidi="ar-SA"/>
              </w:rPr>
              <w:t>5</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EAF0B0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6C47F40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1F695F2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28740E0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074BA2A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7BAB8E4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7F7EEB3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300</w:t>
            </w:r>
          </w:p>
        </w:tc>
        <w:tc>
          <w:tcPr>
            <w:tcW w:w="1220" w:type="dxa"/>
            <w:tcBorders>
              <w:top w:val="nil"/>
              <w:left w:val="nil"/>
              <w:bottom w:val="single" w:sz="4" w:space="0" w:color="auto"/>
              <w:right w:val="nil"/>
            </w:tcBorders>
            <w:shd w:val="clear" w:color="auto" w:fill="E7E6E6" w:themeFill="background2"/>
            <w:noWrap/>
            <w:vAlign w:val="bottom"/>
            <w:hideMark/>
          </w:tcPr>
          <w:p w14:paraId="4311EB7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300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2182989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9,900</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2A2464F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4F21634"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1E25540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§80.1464(j)</w:t>
            </w:r>
          </w:p>
        </w:tc>
        <w:tc>
          <w:tcPr>
            <w:tcW w:w="2100" w:type="dxa"/>
            <w:tcBorders>
              <w:top w:val="nil"/>
              <w:left w:val="nil"/>
              <w:bottom w:val="single" w:sz="8" w:space="0" w:color="auto"/>
              <w:right w:val="nil"/>
            </w:tcBorders>
            <w:shd w:val="clear" w:color="auto" w:fill="E7E6E6" w:themeFill="background2"/>
            <w:vAlign w:val="center"/>
            <w:hideMark/>
          </w:tcPr>
          <w:p w14:paraId="1914E6D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Attest Engagements:</w:t>
            </w:r>
            <w:r>
              <w:rPr>
                <w:rFonts w:eastAsia="Times New Roman" w:cs="Times New Roman"/>
                <w:kern w:val="0"/>
                <w:sz w:val="21"/>
                <w:szCs w:val="21"/>
                <w:lang w:eastAsia="en-US" w:bidi="ar-SA"/>
              </w:rPr>
              <w:t xml:space="preserve"> Annual Attest Engagement Report</w:t>
            </w:r>
            <w:r>
              <w:rPr>
                <w:rFonts w:eastAsia="Times New Roman" w:cs="Times New Roman"/>
                <w:kern w:val="0"/>
                <w:sz w:val="21"/>
                <w:szCs w:val="21"/>
                <w:vertAlign w:val="superscript"/>
                <w:lang w:eastAsia="en-US" w:bidi="ar-SA"/>
              </w:rPr>
              <w:t>6</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51E7665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354F15D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604BB7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nil"/>
              <w:left w:val="nil"/>
              <w:bottom w:val="single" w:sz="4" w:space="0" w:color="auto"/>
              <w:right w:val="single" w:sz="8" w:space="0" w:color="auto"/>
            </w:tcBorders>
            <w:shd w:val="clear" w:color="auto" w:fill="auto"/>
            <w:vAlign w:val="bottom"/>
            <w:hideMark/>
          </w:tcPr>
          <w:p w14:paraId="6E984AB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4,464</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63787A0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FEDFCB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805C03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25</w:t>
            </w:r>
          </w:p>
        </w:tc>
        <w:tc>
          <w:tcPr>
            <w:tcW w:w="1220" w:type="dxa"/>
            <w:tcBorders>
              <w:top w:val="nil"/>
              <w:left w:val="nil"/>
              <w:bottom w:val="single" w:sz="4" w:space="0" w:color="auto"/>
              <w:right w:val="nil"/>
            </w:tcBorders>
            <w:shd w:val="clear" w:color="auto" w:fill="E7E6E6" w:themeFill="background2"/>
            <w:noWrap/>
            <w:vAlign w:val="bottom"/>
            <w:hideMark/>
          </w:tcPr>
          <w:p w14:paraId="5FABEAD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600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615D841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111,600</w:t>
            </w:r>
          </w:p>
        </w:tc>
        <w:tc>
          <w:tcPr>
            <w:tcW w:w="1138"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5BA21AF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5B9BD7C8" w14:textId="77777777">
        <w:trPr>
          <w:trHeight w:val="60"/>
        </w:trPr>
        <w:tc>
          <w:tcPr>
            <w:tcW w:w="41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64AAEDF"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7A235CBA"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39A942DB"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2D76ABFE"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3CB10059"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6D671E56"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25</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2803B870"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31C76972"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9,584</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4A24FC3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3,331</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14:paraId="07EC1CC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403,337</w:t>
            </w:r>
          </w:p>
        </w:tc>
        <w:tc>
          <w:tcPr>
            <w:tcW w:w="1138" w:type="dxa"/>
            <w:tcBorders>
              <w:top w:val="nil"/>
              <w:left w:val="nil"/>
              <w:bottom w:val="nil"/>
              <w:right w:val="nil"/>
            </w:tcBorders>
            <w:shd w:val="clear" w:color="auto" w:fill="auto"/>
            <w:noWrap/>
            <w:vAlign w:val="bottom"/>
            <w:hideMark/>
          </w:tcPr>
          <w:p w14:paraId="0819AA03"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04B1F152" w14:textId="77777777" w:rsidR="00E459EE" w:rsidRDefault="005F75DA">
      <w:pPr>
        <w:pStyle w:val="Standard"/>
        <w:rPr>
          <w:rFonts w:asciiTheme="minorHAnsi" w:eastAsiaTheme="minorHAnsi" w:hAnsiTheme="minorHAnsi" w:cstheme="minorBidi"/>
          <w:kern w:val="0"/>
          <w:sz w:val="22"/>
          <w:szCs w:val="22"/>
          <w:lang w:eastAsia="en-US" w:bidi="ar-SA"/>
        </w:rPr>
      </w:pPr>
      <w:r>
        <w:t>ASSUMPTIONS FOR TABLE 6(b).7</w:t>
      </w:r>
      <w:r>
        <w:fldChar w:fldCharType="begin"/>
      </w:r>
      <w:r>
        <w:instrText xml:space="preserve"> LINK Excel.Sheet.12 "C:\\Users\\RAnder02\\Documents\\Biointermediates\\ICR\\Redone ICR Tables.xlsx" "Biogas Producers!R1C1:R11C12" \a \f 4 \h  \* MERGEFORMAT </w:instrText>
      </w:r>
      <w:r>
        <w:fldChar w:fldCharType="separate"/>
      </w:r>
    </w:p>
    <w:p w14:paraId="39838C37" w14:textId="77777777" w:rsidR="00E459EE" w:rsidRDefault="005F75DA">
      <w:pPr>
        <w:pStyle w:val="Standard"/>
        <w:rPr>
          <w:sz w:val="20"/>
          <w:szCs w:val="20"/>
        </w:rPr>
      </w:pPr>
      <w:r>
        <w:fldChar w:fldCharType="end"/>
      </w:r>
      <w:r>
        <w:rPr>
          <w:sz w:val="20"/>
          <w:szCs w:val="20"/>
          <w:vertAlign w:val="superscript"/>
        </w:rPr>
        <w:t>1</w:t>
      </w:r>
      <w:r>
        <w:rPr>
          <w:sz w:val="20"/>
          <w:szCs w:val="20"/>
        </w:rPr>
        <w:t>Estimate about 25 parties produce biogas under the existing regulations would need to register with the EPA. The other biogas producers are already registered as RIN generators.</w:t>
      </w:r>
    </w:p>
    <w:p w14:paraId="06A6E104" w14:textId="77777777" w:rsidR="00E459EE" w:rsidRDefault="005F75DA">
      <w:pPr>
        <w:pStyle w:val="Standard"/>
        <w:rPr>
          <w:sz w:val="20"/>
          <w:szCs w:val="20"/>
        </w:rPr>
      </w:pPr>
      <w:r>
        <w:rPr>
          <w:sz w:val="20"/>
          <w:szCs w:val="20"/>
          <w:vertAlign w:val="superscript"/>
        </w:rPr>
        <w:t>2</w:t>
      </w:r>
      <w:r>
        <w:rPr>
          <w:sz w:val="20"/>
          <w:szCs w:val="20"/>
        </w:rPr>
        <w:t>The estimated initial registration burden includes the contracting of an independent third-party engineer to perform an engineering review and the burden of the producer to submit relevant company and facility information in CDX.</w:t>
      </w:r>
    </w:p>
    <w:p w14:paraId="4B13116C" w14:textId="77777777" w:rsidR="00E459EE" w:rsidRDefault="005F75DA">
      <w:pPr>
        <w:pStyle w:val="Standard"/>
        <w:rPr>
          <w:sz w:val="20"/>
          <w:szCs w:val="20"/>
        </w:rPr>
      </w:pPr>
      <w:r>
        <w:rPr>
          <w:sz w:val="20"/>
          <w:szCs w:val="20"/>
          <w:vertAlign w:val="superscript"/>
        </w:rPr>
        <w:t>3</w:t>
      </w:r>
      <w:r>
        <w:rPr>
          <w:sz w:val="20"/>
          <w:szCs w:val="20"/>
        </w:rPr>
        <w:t>Assumes 33% of companies update registrations per year, rounded up to 9.</w:t>
      </w:r>
    </w:p>
    <w:p w14:paraId="35903433" w14:textId="77777777" w:rsidR="00E459EE" w:rsidRDefault="005F75DA">
      <w:pPr>
        <w:pStyle w:val="Standard"/>
        <w:rPr>
          <w:sz w:val="20"/>
          <w:szCs w:val="20"/>
        </w:rPr>
      </w:pPr>
      <w:r>
        <w:rPr>
          <w:sz w:val="20"/>
          <w:szCs w:val="20"/>
          <w:vertAlign w:val="superscript"/>
        </w:rPr>
        <w:t>4</w:t>
      </w:r>
      <w:r>
        <w:rPr>
          <w:sz w:val="20"/>
          <w:szCs w:val="20"/>
        </w:rPr>
        <w:t>EMTS transaction reporting assumes daily generation of RINs on batches of biogas (i.e., 365 responses per year). Since EMTS transactions are mostly automated, the burden associated with submitting reports to EMTS is minimal.</w:t>
      </w:r>
    </w:p>
    <w:p w14:paraId="782F6BCE" w14:textId="77777777" w:rsidR="00E459EE" w:rsidRDefault="005F75DA">
      <w:pPr>
        <w:pStyle w:val="Standard"/>
        <w:rPr>
          <w:sz w:val="20"/>
          <w:szCs w:val="20"/>
        </w:rPr>
      </w:pPr>
      <w:r>
        <w:rPr>
          <w:sz w:val="20"/>
          <w:szCs w:val="20"/>
          <w:vertAlign w:val="superscript"/>
        </w:rPr>
        <w:t>5</w:t>
      </w:r>
      <w:r>
        <w:rPr>
          <w:sz w:val="20"/>
          <w:szCs w:val="20"/>
        </w:rPr>
        <w:t>Recordkeeping requirements assume monthly (i.e., 12 responses per year) filing.</w:t>
      </w:r>
    </w:p>
    <w:p w14:paraId="4E47B186" w14:textId="77777777" w:rsidR="00E459EE" w:rsidRDefault="005F75DA">
      <w:pPr>
        <w:pStyle w:val="Standard"/>
        <w:rPr>
          <w:sz w:val="20"/>
          <w:szCs w:val="20"/>
        </w:rPr>
      </w:pPr>
      <w:r>
        <w:rPr>
          <w:sz w:val="20"/>
          <w:szCs w:val="20"/>
          <w:vertAlign w:val="superscript"/>
        </w:rPr>
        <w:t>6</w:t>
      </w:r>
      <w:r>
        <w:rPr>
          <w:sz w:val="20"/>
          <w:szCs w:val="20"/>
        </w:rPr>
        <w:t>Attest engagements require purchased services of a CPA; party must also submit prepared attest engagement report to the EPA.</w:t>
      </w:r>
    </w:p>
    <w:p w14:paraId="2F724CE7" w14:textId="77777777" w:rsidR="00E459EE" w:rsidRDefault="005F75DA">
      <w:pPr>
        <w:widowControl/>
        <w:suppressAutoHyphens w:val="0"/>
        <w:autoSpaceDN/>
        <w:spacing w:after="160" w:line="259" w:lineRule="auto"/>
        <w:textAlignment w:val="auto"/>
      </w:pPr>
      <w:r>
        <w:br w:type="page"/>
      </w:r>
    </w:p>
    <w:tbl>
      <w:tblPr>
        <w:tblW w:w="17000" w:type="dxa"/>
        <w:tblLook w:val="04A0" w:firstRow="1" w:lastRow="0" w:firstColumn="1" w:lastColumn="0" w:noHBand="0" w:noVBand="1"/>
      </w:tblPr>
      <w:tblGrid>
        <w:gridCol w:w="2510"/>
        <w:gridCol w:w="2610"/>
        <w:gridCol w:w="1240"/>
        <w:gridCol w:w="1300"/>
        <w:gridCol w:w="1480"/>
        <w:gridCol w:w="1300"/>
        <w:gridCol w:w="1348"/>
        <w:gridCol w:w="1091"/>
        <w:gridCol w:w="1091"/>
        <w:gridCol w:w="800"/>
        <w:gridCol w:w="1060"/>
        <w:gridCol w:w="1170"/>
      </w:tblGrid>
      <w:tr w:rsidR="00E459EE" w14:paraId="5D816FEF" w14:textId="77777777">
        <w:trPr>
          <w:trHeight w:val="60"/>
        </w:trPr>
        <w:tc>
          <w:tcPr>
            <w:tcW w:w="1700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EFD10FC"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lastRenderedPageBreak/>
              <w:t>Annual Respondent Burden and Cost by Type of Party</w:t>
            </w:r>
          </w:p>
        </w:tc>
      </w:tr>
      <w:tr w:rsidR="00E459EE" w14:paraId="7F6C96E2" w14:textId="77777777">
        <w:trPr>
          <w:trHeight w:val="60"/>
        </w:trPr>
        <w:tc>
          <w:tcPr>
            <w:tcW w:w="1700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9AFFC3D"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6(b).8 - Third-Party Engineers</w:t>
            </w:r>
          </w:p>
        </w:tc>
      </w:tr>
      <w:tr w:rsidR="00E459EE" w14:paraId="017D4B52" w14:textId="77777777">
        <w:trPr>
          <w:trHeight w:val="60"/>
        </w:trPr>
        <w:tc>
          <w:tcPr>
            <w:tcW w:w="5120" w:type="dxa"/>
            <w:gridSpan w:val="2"/>
            <w:tcBorders>
              <w:top w:val="single" w:sz="8" w:space="0" w:color="auto"/>
              <w:left w:val="single" w:sz="8" w:space="0" w:color="auto"/>
              <w:bottom w:val="single" w:sz="8" w:space="0" w:color="auto"/>
              <w:right w:val="nil"/>
            </w:tcBorders>
            <w:shd w:val="clear" w:color="auto" w:fill="E7E6E6" w:themeFill="background2"/>
            <w:noWrap/>
            <w:vAlign w:val="bottom"/>
            <w:hideMark/>
          </w:tcPr>
          <w:p w14:paraId="03E55D6F"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532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13E0C39"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5390" w:type="dxa"/>
            <w:gridSpan w:val="5"/>
            <w:tcBorders>
              <w:top w:val="single" w:sz="8" w:space="0" w:color="auto"/>
              <w:left w:val="nil"/>
              <w:bottom w:val="single" w:sz="8" w:space="0" w:color="auto"/>
              <w:right w:val="nil"/>
            </w:tcBorders>
            <w:shd w:val="clear" w:color="auto" w:fill="E7E6E6" w:themeFill="background2"/>
            <w:noWrap/>
            <w:vAlign w:val="bottom"/>
            <w:hideMark/>
          </w:tcPr>
          <w:p w14:paraId="14679038"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170" w:type="dxa"/>
            <w:vMerge w:val="restart"/>
            <w:tcBorders>
              <w:top w:val="nil"/>
              <w:left w:val="single" w:sz="8" w:space="0" w:color="auto"/>
              <w:bottom w:val="nil"/>
              <w:right w:val="single" w:sz="8" w:space="0" w:color="auto"/>
            </w:tcBorders>
            <w:shd w:val="clear" w:color="000000" w:fill="F8FFB9"/>
            <w:vAlign w:val="center"/>
            <w:hideMark/>
          </w:tcPr>
          <w:p w14:paraId="64147FF2"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55A39B84" w14:textId="77777777">
        <w:trPr>
          <w:trHeight w:val="60"/>
        </w:trPr>
        <w:tc>
          <w:tcPr>
            <w:tcW w:w="2510" w:type="dxa"/>
            <w:tcBorders>
              <w:top w:val="nil"/>
              <w:left w:val="single" w:sz="8" w:space="0" w:color="auto"/>
              <w:bottom w:val="single" w:sz="8" w:space="0" w:color="auto"/>
              <w:right w:val="single" w:sz="4" w:space="0" w:color="auto"/>
            </w:tcBorders>
            <w:shd w:val="clear" w:color="auto" w:fill="E7E6E6" w:themeFill="background2"/>
            <w:noWrap/>
            <w:vAlign w:val="bottom"/>
            <w:hideMark/>
          </w:tcPr>
          <w:p w14:paraId="3EBF4B8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610" w:type="dxa"/>
            <w:tcBorders>
              <w:top w:val="nil"/>
              <w:left w:val="nil"/>
              <w:bottom w:val="single" w:sz="8" w:space="0" w:color="auto"/>
              <w:right w:val="nil"/>
            </w:tcBorders>
            <w:shd w:val="clear" w:color="auto" w:fill="E7E6E6" w:themeFill="background2"/>
            <w:vAlign w:val="bottom"/>
            <w:hideMark/>
          </w:tcPr>
          <w:p w14:paraId="4BC233FE"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240" w:type="dxa"/>
            <w:tcBorders>
              <w:top w:val="nil"/>
              <w:left w:val="single" w:sz="8" w:space="0" w:color="auto"/>
              <w:bottom w:val="single" w:sz="8" w:space="0" w:color="auto"/>
              <w:right w:val="single" w:sz="4" w:space="0" w:color="auto"/>
            </w:tcBorders>
            <w:shd w:val="clear" w:color="auto" w:fill="auto"/>
            <w:vAlign w:val="bottom"/>
            <w:hideMark/>
          </w:tcPr>
          <w:p w14:paraId="74517F6C"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300" w:type="dxa"/>
            <w:tcBorders>
              <w:top w:val="nil"/>
              <w:left w:val="nil"/>
              <w:bottom w:val="single" w:sz="8" w:space="0" w:color="auto"/>
              <w:right w:val="single" w:sz="4" w:space="0" w:color="auto"/>
            </w:tcBorders>
            <w:shd w:val="clear" w:color="auto" w:fill="auto"/>
            <w:vAlign w:val="bottom"/>
            <w:hideMark/>
          </w:tcPr>
          <w:p w14:paraId="75923E81"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480" w:type="dxa"/>
            <w:tcBorders>
              <w:top w:val="nil"/>
              <w:left w:val="nil"/>
              <w:bottom w:val="single" w:sz="8" w:space="0" w:color="auto"/>
              <w:right w:val="single" w:sz="4" w:space="0" w:color="auto"/>
            </w:tcBorders>
            <w:shd w:val="clear" w:color="auto" w:fill="auto"/>
            <w:vAlign w:val="bottom"/>
            <w:hideMark/>
          </w:tcPr>
          <w:p w14:paraId="0674C6D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300" w:type="dxa"/>
            <w:tcBorders>
              <w:top w:val="nil"/>
              <w:left w:val="nil"/>
              <w:bottom w:val="single" w:sz="8" w:space="0" w:color="auto"/>
              <w:right w:val="single" w:sz="8" w:space="0" w:color="auto"/>
            </w:tcBorders>
            <w:shd w:val="clear" w:color="auto" w:fill="auto"/>
            <w:vAlign w:val="bottom"/>
            <w:hideMark/>
          </w:tcPr>
          <w:p w14:paraId="48FCCFD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348" w:type="dxa"/>
            <w:tcBorders>
              <w:top w:val="nil"/>
              <w:left w:val="nil"/>
              <w:bottom w:val="single" w:sz="8" w:space="0" w:color="auto"/>
              <w:right w:val="single" w:sz="4" w:space="0" w:color="auto"/>
            </w:tcBorders>
            <w:shd w:val="clear" w:color="auto" w:fill="E7E6E6" w:themeFill="background2"/>
            <w:vAlign w:val="bottom"/>
            <w:hideMark/>
          </w:tcPr>
          <w:p w14:paraId="25BE4B9D"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091" w:type="dxa"/>
            <w:tcBorders>
              <w:top w:val="nil"/>
              <w:left w:val="nil"/>
              <w:bottom w:val="single" w:sz="8" w:space="0" w:color="auto"/>
              <w:right w:val="single" w:sz="4" w:space="0" w:color="auto"/>
            </w:tcBorders>
            <w:shd w:val="clear" w:color="auto" w:fill="E7E6E6" w:themeFill="background2"/>
            <w:vAlign w:val="bottom"/>
            <w:hideMark/>
          </w:tcPr>
          <w:p w14:paraId="10679E14"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091" w:type="dxa"/>
            <w:tcBorders>
              <w:top w:val="nil"/>
              <w:left w:val="nil"/>
              <w:bottom w:val="single" w:sz="8" w:space="0" w:color="auto"/>
              <w:right w:val="single" w:sz="4" w:space="0" w:color="auto"/>
            </w:tcBorders>
            <w:shd w:val="clear" w:color="auto" w:fill="E7E6E6" w:themeFill="background2"/>
            <w:vAlign w:val="bottom"/>
            <w:hideMark/>
          </w:tcPr>
          <w:p w14:paraId="72282926"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800" w:type="dxa"/>
            <w:tcBorders>
              <w:top w:val="nil"/>
              <w:left w:val="nil"/>
              <w:bottom w:val="single" w:sz="8" w:space="0" w:color="auto"/>
              <w:right w:val="single" w:sz="4" w:space="0" w:color="auto"/>
            </w:tcBorders>
            <w:shd w:val="clear" w:color="auto" w:fill="E7E6E6" w:themeFill="background2"/>
            <w:vAlign w:val="bottom"/>
            <w:hideMark/>
          </w:tcPr>
          <w:p w14:paraId="09BF866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060" w:type="dxa"/>
            <w:tcBorders>
              <w:top w:val="nil"/>
              <w:left w:val="nil"/>
              <w:bottom w:val="single" w:sz="8" w:space="0" w:color="auto"/>
              <w:right w:val="single" w:sz="8" w:space="0" w:color="auto"/>
            </w:tcBorders>
            <w:shd w:val="clear" w:color="auto" w:fill="E7E6E6" w:themeFill="background2"/>
            <w:vAlign w:val="bottom"/>
            <w:hideMark/>
          </w:tcPr>
          <w:p w14:paraId="1392D63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Year</w:t>
            </w:r>
          </w:p>
        </w:tc>
        <w:tc>
          <w:tcPr>
            <w:tcW w:w="1170" w:type="dxa"/>
            <w:vMerge/>
            <w:tcBorders>
              <w:top w:val="nil"/>
              <w:left w:val="single" w:sz="8" w:space="0" w:color="auto"/>
              <w:bottom w:val="nil"/>
              <w:right w:val="single" w:sz="8" w:space="0" w:color="auto"/>
            </w:tcBorders>
            <w:vAlign w:val="center"/>
            <w:hideMark/>
          </w:tcPr>
          <w:p w14:paraId="032FA397"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7945185B" w14:textId="77777777">
        <w:trPr>
          <w:trHeight w:val="60"/>
        </w:trPr>
        <w:tc>
          <w:tcPr>
            <w:tcW w:w="2510" w:type="dxa"/>
            <w:tcBorders>
              <w:top w:val="single" w:sz="4" w:space="0" w:color="auto"/>
              <w:left w:val="single" w:sz="8" w:space="0" w:color="auto"/>
              <w:bottom w:val="single" w:sz="4" w:space="0" w:color="auto"/>
              <w:right w:val="single" w:sz="4" w:space="0" w:color="auto"/>
            </w:tcBorders>
            <w:shd w:val="clear" w:color="auto" w:fill="E7E6E6" w:themeFill="background2"/>
            <w:vAlign w:val="bottom"/>
            <w:hideMark/>
          </w:tcPr>
          <w:p w14:paraId="0091F19F"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§80.1450(h)</w:t>
            </w:r>
          </w:p>
        </w:tc>
        <w:tc>
          <w:tcPr>
            <w:tcW w:w="2610" w:type="dxa"/>
            <w:tcBorders>
              <w:top w:val="single" w:sz="4" w:space="0" w:color="auto"/>
              <w:left w:val="nil"/>
              <w:bottom w:val="single" w:sz="4" w:space="0" w:color="auto"/>
              <w:right w:val="nil"/>
            </w:tcBorders>
            <w:shd w:val="clear" w:color="auto" w:fill="E7E6E6" w:themeFill="background2"/>
            <w:vAlign w:val="bottom"/>
            <w:hideMark/>
          </w:tcPr>
          <w:p w14:paraId="79EF22FF"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r>
              <w:rPr>
                <w:rFonts w:eastAsia="Times New Roman" w:cs="Times New Roman"/>
                <w:kern w:val="0"/>
                <w:sz w:val="21"/>
                <w:szCs w:val="21"/>
                <w:vertAlign w:val="superscript"/>
                <w:lang w:eastAsia="en-US" w:bidi="ar-SA"/>
              </w:rPr>
              <w:t>2</w:t>
            </w:r>
          </w:p>
        </w:tc>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1E805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300" w:type="dxa"/>
            <w:tcBorders>
              <w:top w:val="nil"/>
              <w:left w:val="nil"/>
              <w:bottom w:val="single" w:sz="4" w:space="0" w:color="auto"/>
              <w:right w:val="single" w:sz="4" w:space="0" w:color="auto"/>
            </w:tcBorders>
            <w:shd w:val="clear" w:color="auto" w:fill="auto"/>
            <w:noWrap/>
            <w:vAlign w:val="bottom"/>
            <w:hideMark/>
          </w:tcPr>
          <w:p w14:paraId="3B2F01D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480" w:type="dxa"/>
            <w:tcBorders>
              <w:top w:val="nil"/>
              <w:left w:val="nil"/>
              <w:bottom w:val="single" w:sz="4" w:space="0" w:color="auto"/>
              <w:right w:val="single" w:sz="4" w:space="0" w:color="auto"/>
            </w:tcBorders>
            <w:shd w:val="clear" w:color="auto" w:fill="auto"/>
            <w:noWrap/>
            <w:vAlign w:val="bottom"/>
            <w:hideMark/>
          </w:tcPr>
          <w:p w14:paraId="15668CB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300" w:type="dxa"/>
            <w:tcBorders>
              <w:top w:val="single" w:sz="4" w:space="0" w:color="auto"/>
              <w:left w:val="nil"/>
              <w:bottom w:val="single" w:sz="4" w:space="0" w:color="auto"/>
              <w:right w:val="single" w:sz="8" w:space="0" w:color="auto"/>
            </w:tcBorders>
            <w:shd w:val="clear" w:color="auto" w:fill="auto"/>
            <w:vAlign w:val="bottom"/>
            <w:hideMark/>
          </w:tcPr>
          <w:p w14:paraId="1A30383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48" w:type="dxa"/>
            <w:tcBorders>
              <w:top w:val="nil"/>
              <w:left w:val="nil"/>
              <w:bottom w:val="single" w:sz="4" w:space="0" w:color="auto"/>
              <w:right w:val="single" w:sz="4" w:space="0" w:color="auto"/>
            </w:tcBorders>
            <w:shd w:val="clear" w:color="auto" w:fill="E7E6E6" w:themeFill="background2"/>
            <w:noWrap/>
            <w:vAlign w:val="bottom"/>
            <w:hideMark/>
          </w:tcPr>
          <w:p w14:paraId="46EA897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70</w:t>
            </w:r>
          </w:p>
        </w:tc>
        <w:tc>
          <w:tcPr>
            <w:tcW w:w="109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EA8D6D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9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E463DC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70</w:t>
            </w:r>
          </w:p>
        </w:tc>
        <w:tc>
          <w:tcPr>
            <w:tcW w:w="800" w:type="dxa"/>
            <w:tcBorders>
              <w:top w:val="single" w:sz="4" w:space="0" w:color="auto"/>
              <w:left w:val="nil"/>
              <w:bottom w:val="single" w:sz="4" w:space="0" w:color="auto"/>
              <w:right w:val="nil"/>
            </w:tcBorders>
            <w:shd w:val="clear" w:color="auto" w:fill="E7E6E6" w:themeFill="background2"/>
            <w:noWrap/>
            <w:vAlign w:val="bottom"/>
            <w:hideMark/>
          </w:tcPr>
          <w:p w14:paraId="07BC24E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560</w:t>
            </w:r>
          </w:p>
        </w:tc>
        <w:tc>
          <w:tcPr>
            <w:tcW w:w="1060"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7E07B3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52,080</w:t>
            </w:r>
          </w:p>
        </w:tc>
        <w:tc>
          <w:tcPr>
            <w:tcW w:w="1170" w:type="dxa"/>
            <w:tcBorders>
              <w:top w:val="single" w:sz="4" w:space="0" w:color="auto"/>
              <w:left w:val="single" w:sz="8" w:space="0" w:color="auto"/>
              <w:bottom w:val="nil"/>
              <w:right w:val="single" w:sz="8" w:space="0" w:color="auto"/>
            </w:tcBorders>
            <w:shd w:val="clear" w:color="000000" w:fill="F8FFB9"/>
            <w:vAlign w:val="center"/>
            <w:hideMark/>
          </w:tcPr>
          <w:p w14:paraId="59E31FB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DD29B12" w14:textId="77777777">
        <w:trPr>
          <w:trHeight w:val="70"/>
        </w:trPr>
        <w:tc>
          <w:tcPr>
            <w:tcW w:w="2510" w:type="dxa"/>
            <w:tcBorders>
              <w:top w:val="nil"/>
              <w:left w:val="single" w:sz="8" w:space="0" w:color="auto"/>
              <w:bottom w:val="single" w:sz="4" w:space="0" w:color="auto"/>
              <w:right w:val="single" w:sz="4" w:space="0" w:color="auto"/>
            </w:tcBorders>
            <w:shd w:val="clear" w:color="auto" w:fill="E7E6E6" w:themeFill="background2"/>
            <w:vAlign w:val="bottom"/>
            <w:hideMark/>
          </w:tcPr>
          <w:p w14:paraId="6AC44993"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§80.1450(h)(10)</w:t>
            </w:r>
          </w:p>
        </w:tc>
        <w:tc>
          <w:tcPr>
            <w:tcW w:w="2610" w:type="dxa"/>
            <w:tcBorders>
              <w:top w:val="nil"/>
              <w:left w:val="nil"/>
              <w:bottom w:val="single" w:sz="4" w:space="0" w:color="auto"/>
              <w:right w:val="nil"/>
            </w:tcBorders>
            <w:shd w:val="clear" w:color="auto" w:fill="E7E6E6" w:themeFill="background2"/>
            <w:vAlign w:val="bottom"/>
            <w:hideMark/>
          </w:tcPr>
          <w:p w14:paraId="0747899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3</w:t>
            </w:r>
          </w:p>
        </w:tc>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5E76ED3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300" w:type="dxa"/>
            <w:tcBorders>
              <w:top w:val="nil"/>
              <w:left w:val="nil"/>
              <w:bottom w:val="single" w:sz="4" w:space="0" w:color="auto"/>
              <w:right w:val="single" w:sz="4" w:space="0" w:color="auto"/>
            </w:tcBorders>
            <w:shd w:val="clear" w:color="auto" w:fill="auto"/>
            <w:noWrap/>
            <w:vAlign w:val="bottom"/>
            <w:hideMark/>
          </w:tcPr>
          <w:p w14:paraId="1377B5D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480" w:type="dxa"/>
            <w:tcBorders>
              <w:top w:val="nil"/>
              <w:left w:val="nil"/>
              <w:bottom w:val="single" w:sz="4" w:space="0" w:color="auto"/>
              <w:right w:val="single" w:sz="4" w:space="0" w:color="auto"/>
            </w:tcBorders>
            <w:shd w:val="clear" w:color="auto" w:fill="auto"/>
            <w:noWrap/>
            <w:vAlign w:val="bottom"/>
            <w:hideMark/>
          </w:tcPr>
          <w:p w14:paraId="7286F46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300" w:type="dxa"/>
            <w:tcBorders>
              <w:top w:val="nil"/>
              <w:left w:val="nil"/>
              <w:bottom w:val="single" w:sz="4" w:space="0" w:color="auto"/>
              <w:right w:val="single" w:sz="8" w:space="0" w:color="auto"/>
            </w:tcBorders>
            <w:shd w:val="clear" w:color="auto" w:fill="auto"/>
            <w:vAlign w:val="bottom"/>
            <w:hideMark/>
          </w:tcPr>
          <w:p w14:paraId="3E5B1FA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93</w:t>
            </w:r>
          </w:p>
        </w:tc>
        <w:tc>
          <w:tcPr>
            <w:tcW w:w="1348" w:type="dxa"/>
            <w:tcBorders>
              <w:top w:val="nil"/>
              <w:left w:val="nil"/>
              <w:bottom w:val="single" w:sz="4" w:space="0" w:color="auto"/>
              <w:right w:val="single" w:sz="4" w:space="0" w:color="auto"/>
            </w:tcBorders>
            <w:shd w:val="clear" w:color="auto" w:fill="E7E6E6" w:themeFill="background2"/>
            <w:noWrap/>
            <w:vAlign w:val="bottom"/>
            <w:hideMark/>
          </w:tcPr>
          <w:p w14:paraId="48DB579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91" w:type="dxa"/>
            <w:tcBorders>
              <w:top w:val="nil"/>
              <w:left w:val="nil"/>
              <w:bottom w:val="single" w:sz="4" w:space="0" w:color="auto"/>
              <w:right w:val="single" w:sz="4" w:space="0" w:color="auto"/>
            </w:tcBorders>
            <w:shd w:val="clear" w:color="auto" w:fill="E7E6E6" w:themeFill="background2"/>
            <w:noWrap/>
            <w:vAlign w:val="bottom"/>
            <w:hideMark/>
          </w:tcPr>
          <w:p w14:paraId="21BCF01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91" w:type="dxa"/>
            <w:tcBorders>
              <w:top w:val="nil"/>
              <w:left w:val="nil"/>
              <w:bottom w:val="single" w:sz="4" w:space="0" w:color="auto"/>
              <w:right w:val="single" w:sz="4" w:space="0" w:color="auto"/>
            </w:tcBorders>
            <w:shd w:val="clear" w:color="auto" w:fill="E7E6E6" w:themeFill="background2"/>
            <w:noWrap/>
            <w:vAlign w:val="bottom"/>
            <w:hideMark/>
          </w:tcPr>
          <w:p w14:paraId="6854465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800" w:type="dxa"/>
            <w:tcBorders>
              <w:top w:val="nil"/>
              <w:left w:val="nil"/>
              <w:bottom w:val="single" w:sz="4" w:space="0" w:color="auto"/>
              <w:right w:val="nil"/>
            </w:tcBorders>
            <w:shd w:val="clear" w:color="auto" w:fill="E7E6E6" w:themeFill="background2"/>
            <w:noWrap/>
            <w:vAlign w:val="bottom"/>
            <w:hideMark/>
          </w:tcPr>
          <w:p w14:paraId="041BBEE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60" w:type="dxa"/>
            <w:tcBorders>
              <w:top w:val="nil"/>
              <w:left w:val="single" w:sz="4" w:space="0" w:color="auto"/>
              <w:bottom w:val="single" w:sz="4" w:space="0" w:color="auto"/>
              <w:right w:val="nil"/>
            </w:tcBorders>
            <w:shd w:val="clear" w:color="auto" w:fill="E7E6E6" w:themeFill="background2"/>
            <w:noWrap/>
            <w:vAlign w:val="bottom"/>
            <w:hideMark/>
          </w:tcPr>
          <w:p w14:paraId="3777F72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2,232</w:t>
            </w:r>
          </w:p>
        </w:tc>
        <w:tc>
          <w:tcPr>
            <w:tcW w:w="1170" w:type="dxa"/>
            <w:tcBorders>
              <w:top w:val="single" w:sz="4" w:space="0" w:color="auto"/>
              <w:left w:val="single" w:sz="8" w:space="0" w:color="auto"/>
              <w:bottom w:val="nil"/>
              <w:right w:val="single" w:sz="8" w:space="0" w:color="auto"/>
            </w:tcBorders>
            <w:shd w:val="clear" w:color="000000" w:fill="F8FFB9"/>
            <w:vAlign w:val="center"/>
            <w:hideMark/>
          </w:tcPr>
          <w:p w14:paraId="1050FBA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39B9E82B" w14:textId="77777777">
        <w:trPr>
          <w:trHeight w:val="70"/>
        </w:trPr>
        <w:tc>
          <w:tcPr>
            <w:tcW w:w="2510" w:type="dxa"/>
            <w:tcBorders>
              <w:top w:val="nil"/>
              <w:left w:val="single" w:sz="8" w:space="0" w:color="auto"/>
              <w:bottom w:val="single" w:sz="4" w:space="0" w:color="auto"/>
              <w:right w:val="single" w:sz="4" w:space="0" w:color="auto"/>
            </w:tcBorders>
            <w:shd w:val="clear" w:color="auto" w:fill="E7E6E6" w:themeFill="background2"/>
            <w:vAlign w:val="bottom"/>
            <w:hideMark/>
          </w:tcPr>
          <w:p w14:paraId="6393C8D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§80.1450(b)(2) and (d)(3)</w:t>
            </w:r>
          </w:p>
        </w:tc>
        <w:tc>
          <w:tcPr>
            <w:tcW w:w="2610" w:type="dxa"/>
            <w:tcBorders>
              <w:top w:val="nil"/>
              <w:left w:val="nil"/>
              <w:bottom w:val="single" w:sz="4" w:space="0" w:color="auto"/>
              <w:right w:val="nil"/>
            </w:tcBorders>
            <w:shd w:val="clear" w:color="auto" w:fill="E7E6E6" w:themeFill="background2"/>
            <w:vAlign w:val="bottom"/>
            <w:hideMark/>
          </w:tcPr>
          <w:p w14:paraId="378DE9DB"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Engineering Review Reports</w:t>
            </w:r>
            <w:r>
              <w:rPr>
                <w:rFonts w:eastAsia="Times New Roman" w:cs="Times New Roman"/>
                <w:kern w:val="0"/>
                <w:sz w:val="21"/>
                <w:szCs w:val="21"/>
                <w:vertAlign w:val="superscript"/>
                <w:lang w:eastAsia="en-US" w:bidi="ar-SA"/>
              </w:rPr>
              <w:t>4</w:t>
            </w:r>
          </w:p>
        </w:tc>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5A513E0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40</w:t>
            </w:r>
          </w:p>
        </w:tc>
        <w:tc>
          <w:tcPr>
            <w:tcW w:w="1300" w:type="dxa"/>
            <w:tcBorders>
              <w:top w:val="nil"/>
              <w:left w:val="nil"/>
              <w:bottom w:val="single" w:sz="4" w:space="0" w:color="auto"/>
              <w:right w:val="single" w:sz="4" w:space="0" w:color="auto"/>
            </w:tcBorders>
            <w:shd w:val="clear" w:color="auto" w:fill="auto"/>
            <w:noWrap/>
            <w:vAlign w:val="bottom"/>
            <w:hideMark/>
          </w:tcPr>
          <w:p w14:paraId="79C5EA6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480" w:type="dxa"/>
            <w:tcBorders>
              <w:top w:val="nil"/>
              <w:left w:val="nil"/>
              <w:bottom w:val="single" w:sz="4" w:space="0" w:color="auto"/>
              <w:right w:val="single" w:sz="4" w:space="0" w:color="auto"/>
            </w:tcBorders>
            <w:shd w:val="clear" w:color="auto" w:fill="auto"/>
            <w:noWrap/>
            <w:vAlign w:val="bottom"/>
            <w:hideMark/>
          </w:tcPr>
          <w:p w14:paraId="38BEA3C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300" w:type="dxa"/>
            <w:tcBorders>
              <w:top w:val="nil"/>
              <w:left w:val="nil"/>
              <w:bottom w:val="single" w:sz="4" w:space="0" w:color="auto"/>
              <w:right w:val="single" w:sz="8" w:space="0" w:color="auto"/>
            </w:tcBorders>
            <w:shd w:val="clear" w:color="auto" w:fill="auto"/>
            <w:vAlign w:val="bottom"/>
            <w:hideMark/>
          </w:tcPr>
          <w:p w14:paraId="049CBBE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3,720</w:t>
            </w:r>
          </w:p>
        </w:tc>
        <w:tc>
          <w:tcPr>
            <w:tcW w:w="1348" w:type="dxa"/>
            <w:tcBorders>
              <w:top w:val="nil"/>
              <w:left w:val="nil"/>
              <w:bottom w:val="single" w:sz="4" w:space="0" w:color="auto"/>
              <w:right w:val="single" w:sz="4" w:space="0" w:color="auto"/>
            </w:tcBorders>
            <w:shd w:val="clear" w:color="auto" w:fill="E7E6E6" w:themeFill="background2"/>
            <w:noWrap/>
            <w:vAlign w:val="bottom"/>
            <w:hideMark/>
          </w:tcPr>
          <w:p w14:paraId="0BE1DE9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70</w:t>
            </w:r>
          </w:p>
        </w:tc>
        <w:tc>
          <w:tcPr>
            <w:tcW w:w="1091" w:type="dxa"/>
            <w:tcBorders>
              <w:top w:val="nil"/>
              <w:left w:val="nil"/>
              <w:bottom w:val="single" w:sz="4" w:space="0" w:color="auto"/>
              <w:right w:val="single" w:sz="4" w:space="0" w:color="auto"/>
            </w:tcBorders>
            <w:shd w:val="clear" w:color="auto" w:fill="E7E6E6" w:themeFill="background2"/>
            <w:noWrap/>
            <w:vAlign w:val="bottom"/>
            <w:hideMark/>
          </w:tcPr>
          <w:p w14:paraId="7324435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w:t>
            </w:r>
          </w:p>
        </w:tc>
        <w:tc>
          <w:tcPr>
            <w:tcW w:w="1091" w:type="dxa"/>
            <w:tcBorders>
              <w:top w:val="nil"/>
              <w:left w:val="nil"/>
              <w:bottom w:val="single" w:sz="4" w:space="0" w:color="auto"/>
              <w:right w:val="single" w:sz="4" w:space="0" w:color="auto"/>
            </w:tcBorders>
            <w:shd w:val="clear" w:color="auto" w:fill="E7E6E6" w:themeFill="background2"/>
            <w:noWrap/>
            <w:vAlign w:val="bottom"/>
            <w:hideMark/>
          </w:tcPr>
          <w:p w14:paraId="5138DC5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350</w:t>
            </w:r>
          </w:p>
        </w:tc>
        <w:tc>
          <w:tcPr>
            <w:tcW w:w="800" w:type="dxa"/>
            <w:tcBorders>
              <w:top w:val="nil"/>
              <w:left w:val="nil"/>
              <w:bottom w:val="single" w:sz="4" w:space="0" w:color="auto"/>
              <w:right w:val="nil"/>
            </w:tcBorders>
            <w:shd w:val="clear" w:color="auto" w:fill="E7E6E6" w:themeFill="background2"/>
            <w:noWrap/>
            <w:vAlign w:val="bottom"/>
            <w:hideMark/>
          </w:tcPr>
          <w:p w14:paraId="0D6AC19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14,000</w:t>
            </w:r>
          </w:p>
        </w:tc>
        <w:tc>
          <w:tcPr>
            <w:tcW w:w="1060" w:type="dxa"/>
            <w:tcBorders>
              <w:top w:val="nil"/>
              <w:left w:val="single" w:sz="4" w:space="0" w:color="auto"/>
              <w:bottom w:val="single" w:sz="4" w:space="0" w:color="auto"/>
              <w:right w:val="nil"/>
            </w:tcBorders>
            <w:shd w:val="clear" w:color="auto" w:fill="E7E6E6" w:themeFill="background2"/>
            <w:noWrap/>
            <w:vAlign w:val="bottom"/>
            <w:hideMark/>
          </w:tcPr>
          <w:p w14:paraId="5392781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1,302,000</w:t>
            </w:r>
          </w:p>
        </w:tc>
        <w:tc>
          <w:tcPr>
            <w:tcW w:w="1170" w:type="dxa"/>
            <w:tcBorders>
              <w:top w:val="single" w:sz="4" w:space="0" w:color="auto"/>
              <w:left w:val="single" w:sz="8" w:space="0" w:color="auto"/>
              <w:bottom w:val="nil"/>
              <w:right w:val="single" w:sz="8" w:space="0" w:color="auto"/>
            </w:tcBorders>
            <w:shd w:val="clear" w:color="000000" w:fill="F8FFB9"/>
            <w:vAlign w:val="center"/>
            <w:hideMark/>
          </w:tcPr>
          <w:p w14:paraId="35167602"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Electronic ER Form</w:t>
            </w:r>
          </w:p>
        </w:tc>
      </w:tr>
      <w:tr w:rsidR="00E459EE" w14:paraId="0F11B136" w14:textId="77777777">
        <w:trPr>
          <w:trHeight w:val="70"/>
        </w:trPr>
        <w:tc>
          <w:tcPr>
            <w:tcW w:w="2510" w:type="dxa"/>
            <w:tcBorders>
              <w:top w:val="nil"/>
              <w:left w:val="single" w:sz="8" w:space="0" w:color="auto"/>
              <w:bottom w:val="single" w:sz="4" w:space="0" w:color="auto"/>
              <w:right w:val="single" w:sz="4" w:space="0" w:color="auto"/>
            </w:tcBorders>
            <w:shd w:val="clear" w:color="auto" w:fill="E7E6E6" w:themeFill="background2"/>
            <w:vAlign w:val="bottom"/>
            <w:hideMark/>
          </w:tcPr>
          <w:p w14:paraId="2C0C915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§80.1450(d)(1) and (d)(4)</w:t>
            </w:r>
          </w:p>
        </w:tc>
        <w:tc>
          <w:tcPr>
            <w:tcW w:w="2610" w:type="dxa"/>
            <w:tcBorders>
              <w:top w:val="nil"/>
              <w:left w:val="nil"/>
              <w:bottom w:val="single" w:sz="4" w:space="0" w:color="auto"/>
              <w:right w:val="nil"/>
            </w:tcBorders>
            <w:shd w:val="clear" w:color="auto" w:fill="E7E6E6" w:themeFill="background2"/>
            <w:vAlign w:val="bottom"/>
            <w:hideMark/>
          </w:tcPr>
          <w:p w14:paraId="79316B2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Engineering Review Addendums</w:t>
            </w:r>
          </w:p>
        </w:tc>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77E8DD9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300" w:type="dxa"/>
            <w:tcBorders>
              <w:top w:val="nil"/>
              <w:left w:val="nil"/>
              <w:bottom w:val="single" w:sz="4" w:space="0" w:color="auto"/>
              <w:right w:val="single" w:sz="4" w:space="0" w:color="auto"/>
            </w:tcBorders>
            <w:shd w:val="clear" w:color="auto" w:fill="auto"/>
            <w:noWrap/>
            <w:vAlign w:val="bottom"/>
            <w:hideMark/>
          </w:tcPr>
          <w:p w14:paraId="3B89874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480" w:type="dxa"/>
            <w:tcBorders>
              <w:top w:val="nil"/>
              <w:left w:val="nil"/>
              <w:bottom w:val="single" w:sz="4" w:space="0" w:color="auto"/>
              <w:right w:val="single" w:sz="4" w:space="0" w:color="auto"/>
            </w:tcBorders>
            <w:shd w:val="clear" w:color="auto" w:fill="auto"/>
            <w:noWrap/>
            <w:vAlign w:val="bottom"/>
            <w:hideMark/>
          </w:tcPr>
          <w:p w14:paraId="26187DA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300" w:type="dxa"/>
            <w:tcBorders>
              <w:top w:val="nil"/>
              <w:left w:val="nil"/>
              <w:bottom w:val="single" w:sz="4" w:space="0" w:color="auto"/>
              <w:right w:val="single" w:sz="8" w:space="0" w:color="auto"/>
            </w:tcBorders>
            <w:shd w:val="clear" w:color="auto" w:fill="auto"/>
            <w:vAlign w:val="bottom"/>
            <w:hideMark/>
          </w:tcPr>
          <w:p w14:paraId="149919A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48" w:type="dxa"/>
            <w:tcBorders>
              <w:top w:val="nil"/>
              <w:left w:val="nil"/>
              <w:bottom w:val="single" w:sz="4" w:space="0" w:color="auto"/>
              <w:right w:val="single" w:sz="4" w:space="0" w:color="auto"/>
            </w:tcBorders>
            <w:shd w:val="clear" w:color="auto" w:fill="E7E6E6" w:themeFill="background2"/>
            <w:noWrap/>
            <w:vAlign w:val="bottom"/>
            <w:hideMark/>
          </w:tcPr>
          <w:p w14:paraId="5079048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20</w:t>
            </w:r>
          </w:p>
        </w:tc>
        <w:tc>
          <w:tcPr>
            <w:tcW w:w="1091" w:type="dxa"/>
            <w:tcBorders>
              <w:top w:val="nil"/>
              <w:left w:val="nil"/>
              <w:bottom w:val="single" w:sz="4" w:space="0" w:color="auto"/>
              <w:right w:val="single" w:sz="4" w:space="0" w:color="auto"/>
            </w:tcBorders>
            <w:shd w:val="clear" w:color="auto" w:fill="E7E6E6" w:themeFill="background2"/>
            <w:noWrap/>
            <w:vAlign w:val="bottom"/>
            <w:hideMark/>
          </w:tcPr>
          <w:p w14:paraId="4DAFEDC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91" w:type="dxa"/>
            <w:tcBorders>
              <w:top w:val="nil"/>
              <w:left w:val="nil"/>
              <w:bottom w:val="single" w:sz="4" w:space="0" w:color="auto"/>
              <w:right w:val="single" w:sz="4" w:space="0" w:color="auto"/>
            </w:tcBorders>
            <w:shd w:val="clear" w:color="auto" w:fill="E7E6E6" w:themeFill="background2"/>
            <w:noWrap/>
            <w:vAlign w:val="bottom"/>
            <w:hideMark/>
          </w:tcPr>
          <w:p w14:paraId="7143099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20</w:t>
            </w:r>
          </w:p>
        </w:tc>
        <w:tc>
          <w:tcPr>
            <w:tcW w:w="800" w:type="dxa"/>
            <w:tcBorders>
              <w:top w:val="nil"/>
              <w:left w:val="nil"/>
              <w:bottom w:val="single" w:sz="4" w:space="0" w:color="auto"/>
              <w:right w:val="nil"/>
            </w:tcBorders>
            <w:shd w:val="clear" w:color="auto" w:fill="E7E6E6" w:themeFill="background2"/>
            <w:noWrap/>
            <w:vAlign w:val="bottom"/>
            <w:hideMark/>
          </w:tcPr>
          <w:p w14:paraId="33D30B0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160</w:t>
            </w:r>
          </w:p>
        </w:tc>
        <w:tc>
          <w:tcPr>
            <w:tcW w:w="1060" w:type="dxa"/>
            <w:tcBorders>
              <w:top w:val="nil"/>
              <w:left w:val="single" w:sz="4" w:space="0" w:color="auto"/>
              <w:bottom w:val="single" w:sz="4" w:space="0" w:color="auto"/>
              <w:right w:val="nil"/>
            </w:tcBorders>
            <w:shd w:val="clear" w:color="auto" w:fill="E7E6E6" w:themeFill="background2"/>
            <w:noWrap/>
            <w:vAlign w:val="bottom"/>
            <w:hideMark/>
          </w:tcPr>
          <w:p w14:paraId="425B792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14,880</w:t>
            </w:r>
          </w:p>
        </w:tc>
        <w:tc>
          <w:tcPr>
            <w:tcW w:w="1170" w:type="dxa"/>
            <w:tcBorders>
              <w:top w:val="single" w:sz="4" w:space="0" w:color="auto"/>
              <w:left w:val="single" w:sz="8" w:space="0" w:color="auto"/>
              <w:bottom w:val="single" w:sz="8" w:space="0" w:color="auto"/>
              <w:right w:val="single" w:sz="8" w:space="0" w:color="auto"/>
            </w:tcBorders>
            <w:shd w:val="clear" w:color="000000" w:fill="F8FFB9"/>
            <w:vAlign w:val="center"/>
            <w:hideMark/>
          </w:tcPr>
          <w:p w14:paraId="4A43333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2FA86AD4" w14:textId="77777777">
        <w:trPr>
          <w:trHeight w:val="60"/>
        </w:trPr>
        <w:tc>
          <w:tcPr>
            <w:tcW w:w="51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4C8165F"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7B0F055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00" w:type="dxa"/>
            <w:tcBorders>
              <w:top w:val="single" w:sz="8" w:space="0" w:color="auto"/>
              <w:left w:val="nil"/>
              <w:bottom w:val="single" w:sz="8" w:space="0" w:color="auto"/>
              <w:right w:val="single" w:sz="4" w:space="0" w:color="auto"/>
            </w:tcBorders>
            <w:shd w:val="clear" w:color="auto" w:fill="auto"/>
            <w:noWrap/>
            <w:vAlign w:val="bottom"/>
            <w:hideMark/>
          </w:tcPr>
          <w:p w14:paraId="0A4DAC3C"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480" w:type="dxa"/>
            <w:tcBorders>
              <w:top w:val="single" w:sz="8" w:space="0" w:color="auto"/>
              <w:left w:val="nil"/>
              <w:bottom w:val="single" w:sz="8" w:space="0" w:color="auto"/>
              <w:right w:val="single" w:sz="4" w:space="0" w:color="auto"/>
            </w:tcBorders>
            <w:shd w:val="clear" w:color="auto" w:fill="auto"/>
            <w:noWrap/>
            <w:vAlign w:val="bottom"/>
            <w:hideMark/>
          </w:tcPr>
          <w:p w14:paraId="60D53F8E"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00" w:type="dxa"/>
            <w:tcBorders>
              <w:top w:val="single" w:sz="8" w:space="0" w:color="auto"/>
              <w:left w:val="nil"/>
              <w:bottom w:val="single" w:sz="8" w:space="0" w:color="auto"/>
              <w:right w:val="single" w:sz="4" w:space="0" w:color="auto"/>
            </w:tcBorders>
            <w:shd w:val="clear" w:color="auto" w:fill="auto"/>
            <w:noWrap/>
            <w:vAlign w:val="bottom"/>
            <w:hideMark/>
          </w:tcPr>
          <w:p w14:paraId="6FF4088B"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48" w:type="dxa"/>
            <w:tcBorders>
              <w:top w:val="single" w:sz="8" w:space="0" w:color="auto"/>
              <w:left w:val="nil"/>
              <w:bottom w:val="single" w:sz="8" w:space="0" w:color="auto"/>
              <w:right w:val="single" w:sz="4" w:space="0" w:color="auto"/>
            </w:tcBorders>
            <w:shd w:val="clear" w:color="auto" w:fill="auto"/>
            <w:noWrap/>
            <w:vAlign w:val="bottom"/>
            <w:hideMark/>
          </w:tcPr>
          <w:p w14:paraId="7FF8B427"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70</w:t>
            </w:r>
          </w:p>
        </w:tc>
        <w:tc>
          <w:tcPr>
            <w:tcW w:w="1091" w:type="dxa"/>
            <w:tcBorders>
              <w:top w:val="single" w:sz="8" w:space="0" w:color="auto"/>
              <w:left w:val="nil"/>
              <w:bottom w:val="single" w:sz="8" w:space="0" w:color="auto"/>
              <w:right w:val="single" w:sz="4" w:space="0" w:color="auto"/>
            </w:tcBorders>
            <w:shd w:val="clear" w:color="auto" w:fill="auto"/>
            <w:noWrap/>
            <w:vAlign w:val="bottom"/>
            <w:hideMark/>
          </w:tcPr>
          <w:p w14:paraId="03243F85"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091" w:type="dxa"/>
            <w:tcBorders>
              <w:top w:val="single" w:sz="8" w:space="0" w:color="auto"/>
              <w:left w:val="nil"/>
              <w:bottom w:val="single" w:sz="8" w:space="0" w:color="auto"/>
              <w:right w:val="single" w:sz="4" w:space="0" w:color="auto"/>
            </w:tcBorders>
            <w:shd w:val="clear" w:color="auto" w:fill="auto"/>
            <w:noWrap/>
            <w:vAlign w:val="bottom"/>
            <w:hideMark/>
          </w:tcPr>
          <w:p w14:paraId="20A594D4"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464</w:t>
            </w:r>
          </w:p>
        </w:tc>
        <w:tc>
          <w:tcPr>
            <w:tcW w:w="800" w:type="dxa"/>
            <w:tcBorders>
              <w:top w:val="single" w:sz="8" w:space="0" w:color="auto"/>
              <w:left w:val="nil"/>
              <w:bottom w:val="single" w:sz="8" w:space="0" w:color="auto"/>
              <w:right w:val="single" w:sz="4" w:space="0" w:color="auto"/>
            </w:tcBorders>
            <w:shd w:val="clear" w:color="auto" w:fill="auto"/>
            <w:noWrap/>
            <w:vAlign w:val="bottom"/>
            <w:hideMark/>
          </w:tcPr>
          <w:p w14:paraId="0B4B55C0"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14,744</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64254AD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1,371,192</w:t>
            </w:r>
          </w:p>
        </w:tc>
        <w:tc>
          <w:tcPr>
            <w:tcW w:w="1170" w:type="dxa"/>
            <w:tcBorders>
              <w:top w:val="nil"/>
              <w:left w:val="nil"/>
              <w:bottom w:val="nil"/>
              <w:right w:val="nil"/>
            </w:tcBorders>
            <w:shd w:val="clear" w:color="auto" w:fill="auto"/>
            <w:noWrap/>
            <w:vAlign w:val="bottom"/>
            <w:hideMark/>
          </w:tcPr>
          <w:p w14:paraId="05B5EF42"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6B17152A" w14:textId="77777777" w:rsidR="00E459EE" w:rsidRDefault="005F75DA">
      <w:pPr>
        <w:pStyle w:val="Standard"/>
      </w:pPr>
      <w:r>
        <w:t>ASSUMPTIONS FOR TABLE 6(b).8</w:t>
      </w:r>
    </w:p>
    <w:p w14:paraId="6F93D767" w14:textId="77777777" w:rsidR="00E459EE" w:rsidRDefault="005F75DA">
      <w:pPr>
        <w:pStyle w:val="Standard"/>
        <w:rPr>
          <w:sz w:val="20"/>
          <w:szCs w:val="20"/>
        </w:rPr>
      </w:pPr>
      <w:r>
        <w:rPr>
          <w:sz w:val="20"/>
          <w:szCs w:val="20"/>
          <w:vertAlign w:val="superscript"/>
        </w:rPr>
        <w:t>1</w:t>
      </w:r>
      <w:r>
        <w:rPr>
          <w:sz w:val="20"/>
          <w:szCs w:val="20"/>
        </w:rPr>
        <w:t>Over the past three years, about 70 different third-party engineers have performed engineering reviews for renewable fuel producers under the RFS program. Assume that this number stays flat in the near term.</w:t>
      </w:r>
    </w:p>
    <w:p w14:paraId="15BB8108" w14:textId="77777777" w:rsidR="00E459EE" w:rsidRDefault="005F75DA">
      <w:pPr>
        <w:pStyle w:val="Standard"/>
        <w:rPr>
          <w:sz w:val="20"/>
          <w:szCs w:val="20"/>
        </w:rPr>
      </w:pPr>
      <w:r>
        <w:rPr>
          <w:sz w:val="20"/>
          <w:szCs w:val="20"/>
          <w:vertAlign w:val="superscript"/>
        </w:rPr>
        <w:t>2</w:t>
      </w:r>
      <w:r>
        <w:rPr>
          <w:sz w:val="20"/>
          <w:szCs w:val="20"/>
        </w:rPr>
        <w:t>Engineering review reporting burden is based on the estimated time to perform the engineering review and prepare and submit the engineering review report to the EPA.</w:t>
      </w:r>
    </w:p>
    <w:p w14:paraId="5551D810" w14:textId="77777777" w:rsidR="00E459EE" w:rsidRDefault="005F75DA">
      <w:pPr>
        <w:pStyle w:val="Standard"/>
        <w:rPr>
          <w:sz w:val="20"/>
          <w:szCs w:val="20"/>
        </w:rPr>
      </w:pPr>
      <w:r>
        <w:rPr>
          <w:sz w:val="20"/>
          <w:szCs w:val="20"/>
          <w:vertAlign w:val="superscript"/>
        </w:rPr>
        <w:t>3</w:t>
      </w:r>
      <w:r>
        <w:rPr>
          <w:sz w:val="20"/>
          <w:szCs w:val="20"/>
        </w:rPr>
        <w:t>Assumes 33% of companies update registrations per year, rounded up to 24.</w:t>
      </w:r>
    </w:p>
    <w:p w14:paraId="3FDAB494" w14:textId="77777777" w:rsidR="00E459EE" w:rsidRDefault="005F75DA">
      <w:pPr>
        <w:pStyle w:val="Standard"/>
        <w:rPr>
          <w:sz w:val="20"/>
          <w:szCs w:val="20"/>
        </w:rPr>
      </w:pPr>
      <w:r>
        <w:rPr>
          <w:sz w:val="20"/>
          <w:szCs w:val="20"/>
          <w:vertAlign w:val="superscript"/>
        </w:rPr>
        <w:t>4</w:t>
      </w:r>
      <w:r>
        <w:rPr>
          <w:sz w:val="20"/>
          <w:szCs w:val="20"/>
        </w:rPr>
        <w:t>A sample electronic engineering review report is included in the docket entitled, “Sample Electronic Engineering Review Report Form.”</w:t>
      </w:r>
    </w:p>
    <w:p w14:paraId="444E78A4" w14:textId="77777777" w:rsidR="00E459EE" w:rsidRDefault="005F75DA">
      <w:pPr>
        <w:widowControl/>
        <w:suppressAutoHyphens w:val="0"/>
        <w:autoSpaceDN/>
        <w:spacing w:after="160" w:line="259" w:lineRule="auto"/>
        <w:textAlignment w:val="auto"/>
        <w:rPr>
          <w:sz w:val="20"/>
          <w:szCs w:val="20"/>
        </w:rPr>
      </w:pPr>
      <w:r>
        <w:rPr>
          <w:sz w:val="20"/>
          <w:szCs w:val="20"/>
        </w:rPr>
        <w:br w:type="page"/>
      </w:r>
    </w:p>
    <w:p w14:paraId="1177147B" w14:textId="77777777" w:rsidR="00E459EE" w:rsidRDefault="00E459EE">
      <w:pPr>
        <w:pStyle w:val="Standard"/>
        <w:rPr>
          <w:sz w:val="20"/>
          <w:szCs w:val="20"/>
        </w:rPr>
      </w:pPr>
    </w:p>
    <w:tbl>
      <w:tblPr>
        <w:tblW w:w="16839" w:type="dxa"/>
        <w:tblLook w:val="04A0" w:firstRow="1" w:lastRow="0" w:firstColumn="1" w:lastColumn="0" w:noHBand="0" w:noVBand="1"/>
      </w:tblPr>
      <w:tblGrid>
        <w:gridCol w:w="2040"/>
        <w:gridCol w:w="2800"/>
        <w:gridCol w:w="1120"/>
        <w:gridCol w:w="1060"/>
        <w:gridCol w:w="1120"/>
        <w:gridCol w:w="1040"/>
        <w:gridCol w:w="1380"/>
        <w:gridCol w:w="1220"/>
        <w:gridCol w:w="1220"/>
        <w:gridCol w:w="1220"/>
        <w:gridCol w:w="1200"/>
        <w:gridCol w:w="1419"/>
      </w:tblGrid>
      <w:tr w:rsidR="00E459EE" w14:paraId="2265F0E9" w14:textId="77777777">
        <w:trPr>
          <w:trHeight w:val="60"/>
        </w:trPr>
        <w:tc>
          <w:tcPr>
            <w:tcW w:w="1683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059718D"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Annual Respondent Burden and Cost by Type of Party</w:t>
            </w:r>
          </w:p>
        </w:tc>
      </w:tr>
      <w:tr w:rsidR="00E459EE" w14:paraId="64D6E138" w14:textId="77777777">
        <w:trPr>
          <w:trHeight w:val="60"/>
        </w:trPr>
        <w:tc>
          <w:tcPr>
            <w:tcW w:w="1683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D7E772"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6(b).9 - Renewable Fuel Producers using CCS</w:t>
            </w:r>
          </w:p>
        </w:tc>
      </w:tr>
      <w:tr w:rsidR="00E459EE" w14:paraId="26E00D7B" w14:textId="77777777">
        <w:trPr>
          <w:trHeight w:val="223"/>
        </w:trPr>
        <w:tc>
          <w:tcPr>
            <w:tcW w:w="4840" w:type="dxa"/>
            <w:gridSpan w:val="2"/>
            <w:tcBorders>
              <w:top w:val="single" w:sz="8" w:space="0" w:color="auto"/>
              <w:left w:val="single" w:sz="8" w:space="0" w:color="auto"/>
              <w:bottom w:val="single" w:sz="8" w:space="0" w:color="auto"/>
              <w:right w:val="nil"/>
            </w:tcBorders>
            <w:shd w:val="clear" w:color="auto" w:fill="E7E6E6" w:themeFill="background2"/>
            <w:noWrap/>
            <w:vAlign w:val="bottom"/>
            <w:hideMark/>
          </w:tcPr>
          <w:p w14:paraId="228B1543"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CBB5EBD"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240" w:type="dxa"/>
            <w:gridSpan w:val="5"/>
            <w:tcBorders>
              <w:top w:val="single" w:sz="8" w:space="0" w:color="auto"/>
              <w:left w:val="nil"/>
              <w:bottom w:val="single" w:sz="8" w:space="0" w:color="auto"/>
              <w:right w:val="nil"/>
            </w:tcBorders>
            <w:shd w:val="clear" w:color="auto" w:fill="E7E6E6" w:themeFill="background2"/>
            <w:noWrap/>
            <w:vAlign w:val="bottom"/>
            <w:hideMark/>
          </w:tcPr>
          <w:p w14:paraId="4B2E69BA"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419" w:type="dxa"/>
            <w:vMerge w:val="restart"/>
            <w:tcBorders>
              <w:top w:val="nil"/>
              <w:left w:val="single" w:sz="8" w:space="0" w:color="auto"/>
              <w:bottom w:val="nil"/>
              <w:right w:val="single" w:sz="8" w:space="0" w:color="auto"/>
            </w:tcBorders>
            <w:shd w:val="clear" w:color="000000" w:fill="F8FFB9"/>
            <w:vAlign w:val="center"/>
            <w:hideMark/>
          </w:tcPr>
          <w:p w14:paraId="4E9AE21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15FF930A" w14:textId="77777777">
        <w:trPr>
          <w:trHeight w:val="60"/>
        </w:trPr>
        <w:tc>
          <w:tcPr>
            <w:tcW w:w="2040" w:type="dxa"/>
            <w:tcBorders>
              <w:top w:val="nil"/>
              <w:left w:val="single" w:sz="8" w:space="0" w:color="auto"/>
              <w:bottom w:val="single" w:sz="8" w:space="0" w:color="auto"/>
              <w:right w:val="single" w:sz="4" w:space="0" w:color="auto"/>
            </w:tcBorders>
            <w:shd w:val="clear" w:color="auto" w:fill="E7E6E6" w:themeFill="background2"/>
            <w:noWrap/>
            <w:vAlign w:val="bottom"/>
            <w:hideMark/>
          </w:tcPr>
          <w:p w14:paraId="7C71F6F4"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800" w:type="dxa"/>
            <w:tcBorders>
              <w:top w:val="nil"/>
              <w:left w:val="nil"/>
              <w:bottom w:val="single" w:sz="8" w:space="0" w:color="auto"/>
              <w:right w:val="nil"/>
            </w:tcBorders>
            <w:shd w:val="clear" w:color="auto" w:fill="E7E6E6" w:themeFill="background2"/>
            <w:vAlign w:val="bottom"/>
            <w:hideMark/>
          </w:tcPr>
          <w:p w14:paraId="3B1BF596"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3AA95A94"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0E04A68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637441F5"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7E133C7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380" w:type="dxa"/>
            <w:tcBorders>
              <w:top w:val="nil"/>
              <w:left w:val="nil"/>
              <w:bottom w:val="single" w:sz="8" w:space="0" w:color="auto"/>
              <w:right w:val="single" w:sz="4" w:space="0" w:color="auto"/>
            </w:tcBorders>
            <w:shd w:val="clear" w:color="auto" w:fill="E7E6E6" w:themeFill="background2"/>
            <w:vAlign w:val="bottom"/>
            <w:hideMark/>
          </w:tcPr>
          <w:p w14:paraId="43030FEC"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6786AC38"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3489D83B"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27391AE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auto" w:fill="E7E6E6" w:themeFill="background2"/>
            <w:vAlign w:val="bottom"/>
            <w:hideMark/>
          </w:tcPr>
          <w:p w14:paraId="54C94CEE"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419" w:type="dxa"/>
            <w:vMerge/>
            <w:tcBorders>
              <w:top w:val="nil"/>
              <w:left w:val="single" w:sz="8" w:space="0" w:color="auto"/>
              <w:bottom w:val="nil"/>
              <w:right w:val="single" w:sz="8" w:space="0" w:color="auto"/>
            </w:tcBorders>
            <w:vAlign w:val="center"/>
            <w:hideMark/>
          </w:tcPr>
          <w:p w14:paraId="499937D4"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44F368E8" w14:textId="77777777">
        <w:trPr>
          <w:trHeight w:val="60"/>
        </w:trPr>
        <w:tc>
          <w:tcPr>
            <w:tcW w:w="2040" w:type="dxa"/>
            <w:tcBorders>
              <w:top w:val="single" w:sz="4" w:space="0" w:color="auto"/>
              <w:left w:val="single" w:sz="8" w:space="0" w:color="auto"/>
              <w:bottom w:val="single" w:sz="4" w:space="0" w:color="auto"/>
              <w:right w:val="single" w:sz="4" w:space="0" w:color="auto"/>
            </w:tcBorders>
            <w:shd w:val="clear" w:color="auto" w:fill="E7E6E6" w:themeFill="background2"/>
            <w:vAlign w:val="bottom"/>
            <w:hideMark/>
          </w:tcPr>
          <w:p w14:paraId="08B8A40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§80.1450(b)(1)</w:t>
            </w:r>
          </w:p>
        </w:tc>
        <w:tc>
          <w:tcPr>
            <w:tcW w:w="2800" w:type="dxa"/>
            <w:tcBorders>
              <w:top w:val="single" w:sz="4" w:space="0" w:color="auto"/>
              <w:left w:val="nil"/>
              <w:bottom w:val="single" w:sz="4" w:space="0" w:color="auto"/>
              <w:right w:val="nil"/>
            </w:tcBorders>
            <w:shd w:val="clear" w:color="auto" w:fill="E7E6E6" w:themeFill="background2"/>
            <w:vAlign w:val="bottom"/>
            <w:hideMark/>
          </w:tcPr>
          <w:p w14:paraId="2E7864C6"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BED26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060" w:type="dxa"/>
            <w:tcBorders>
              <w:top w:val="nil"/>
              <w:left w:val="nil"/>
              <w:bottom w:val="single" w:sz="4" w:space="0" w:color="auto"/>
              <w:right w:val="single" w:sz="4" w:space="0" w:color="auto"/>
            </w:tcBorders>
            <w:shd w:val="clear" w:color="auto" w:fill="auto"/>
            <w:noWrap/>
            <w:vAlign w:val="bottom"/>
            <w:hideMark/>
          </w:tcPr>
          <w:p w14:paraId="429B78E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17A704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3131B09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4,836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5A4FE95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6B89F8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3CDCD5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single" w:sz="4" w:space="0" w:color="auto"/>
              <w:left w:val="nil"/>
              <w:bottom w:val="single" w:sz="4" w:space="0" w:color="auto"/>
              <w:right w:val="nil"/>
            </w:tcBorders>
            <w:shd w:val="clear" w:color="auto" w:fill="E7E6E6" w:themeFill="background2"/>
            <w:noWrap/>
            <w:vAlign w:val="bottom"/>
            <w:hideMark/>
          </w:tcPr>
          <w:p w14:paraId="794BA31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56</w:t>
            </w:r>
          </w:p>
        </w:tc>
        <w:tc>
          <w:tcPr>
            <w:tcW w:w="1200"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65BCF92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9,672</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1DAE5B5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FF5414E"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490C649F"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§80.1450(b)(1)(xvi)</w:t>
            </w:r>
          </w:p>
        </w:tc>
        <w:tc>
          <w:tcPr>
            <w:tcW w:w="2800" w:type="dxa"/>
            <w:tcBorders>
              <w:top w:val="nil"/>
              <w:left w:val="nil"/>
              <w:bottom w:val="single" w:sz="4" w:space="0" w:color="auto"/>
              <w:right w:val="nil"/>
            </w:tcBorders>
            <w:shd w:val="clear" w:color="auto" w:fill="E7E6E6" w:themeFill="background2"/>
            <w:vAlign w:val="bottom"/>
            <w:hideMark/>
          </w:tcPr>
          <w:p w14:paraId="7B7D078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Additional CCS Initial Registration Info</w:t>
            </w:r>
            <w:r>
              <w:rPr>
                <w:rFonts w:eastAsia="Times New Roman" w:cs="Times New Roman"/>
                <w:kern w:val="0"/>
                <w:sz w:val="21"/>
                <w:szCs w:val="21"/>
                <w:vertAlign w:val="superscript"/>
                <w:lang w:eastAsia="en-US" w:bidi="ar-SA"/>
              </w:rPr>
              <w:t>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696586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50CA2E3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775C337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27307378"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08CA7E7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5B6253B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632DEC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nil"/>
            </w:tcBorders>
            <w:shd w:val="clear" w:color="auto" w:fill="E7E6E6" w:themeFill="background2"/>
            <w:noWrap/>
            <w:vAlign w:val="bottom"/>
            <w:hideMark/>
          </w:tcPr>
          <w:p w14:paraId="4898B0A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24BE2AB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372</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2E79C13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E016958"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4ED71245"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§80.1450(d)(2)</w:t>
            </w:r>
          </w:p>
        </w:tc>
        <w:tc>
          <w:tcPr>
            <w:tcW w:w="2800" w:type="dxa"/>
            <w:tcBorders>
              <w:top w:val="nil"/>
              <w:left w:val="nil"/>
              <w:bottom w:val="single" w:sz="4" w:space="0" w:color="auto"/>
              <w:right w:val="nil"/>
            </w:tcBorders>
            <w:shd w:val="clear" w:color="auto" w:fill="E7E6E6" w:themeFill="background2"/>
            <w:vAlign w:val="bottom"/>
            <w:hideMark/>
          </w:tcPr>
          <w:p w14:paraId="2BE4BF1A"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3</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18420B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44E7BEE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0993AD7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0173663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4325CCC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C2D1AD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96AE89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nil"/>
            </w:tcBorders>
            <w:shd w:val="clear" w:color="auto" w:fill="E7E6E6" w:themeFill="background2"/>
            <w:noWrap/>
            <w:vAlign w:val="bottom"/>
            <w:hideMark/>
          </w:tcPr>
          <w:p w14:paraId="656AD8A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4F07588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186</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67DC6AF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7D0EED7"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67330AF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§80.1451(b)</w:t>
            </w:r>
          </w:p>
        </w:tc>
        <w:tc>
          <w:tcPr>
            <w:tcW w:w="2800" w:type="dxa"/>
            <w:tcBorders>
              <w:top w:val="nil"/>
              <w:left w:val="nil"/>
              <w:bottom w:val="single" w:sz="4" w:space="0" w:color="auto"/>
              <w:right w:val="nil"/>
            </w:tcBorders>
            <w:shd w:val="clear" w:color="auto" w:fill="E7E6E6" w:themeFill="background2"/>
            <w:vAlign w:val="bottom"/>
            <w:hideMark/>
          </w:tcPr>
          <w:p w14:paraId="2C398AB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Quarterly Reports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368A68A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60" w:type="dxa"/>
            <w:tcBorders>
              <w:top w:val="nil"/>
              <w:left w:val="nil"/>
              <w:bottom w:val="single" w:sz="4" w:space="0" w:color="auto"/>
              <w:right w:val="single" w:sz="4" w:space="0" w:color="auto"/>
            </w:tcBorders>
            <w:shd w:val="clear" w:color="auto" w:fill="auto"/>
            <w:noWrap/>
            <w:vAlign w:val="bottom"/>
            <w:hideMark/>
          </w:tcPr>
          <w:p w14:paraId="76DE1CB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4200AC5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2EDF617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4AA9E08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72166E0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188197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220" w:type="dxa"/>
            <w:tcBorders>
              <w:top w:val="nil"/>
              <w:left w:val="nil"/>
              <w:bottom w:val="single" w:sz="4" w:space="0" w:color="auto"/>
              <w:right w:val="nil"/>
            </w:tcBorders>
            <w:shd w:val="clear" w:color="auto" w:fill="E7E6E6" w:themeFill="background2"/>
            <w:noWrap/>
            <w:vAlign w:val="bottom"/>
            <w:hideMark/>
          </w:tcPr>
          <w:p w14:paraId="3D45240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2083CC7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5,952</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7B47428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44F10E9"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2567A33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§80.1451(b)(1)(W)</w:t>
            </w:r>
          </w:p>
        </w:tc>
        <w:tc>
          <w:tcPr>
            <w:tcW w:w="2800" w:type="dxa"/>
            <w:tcBorders>
              <w:top w:val="nil"/>
              <w:left w:val="nil"/>
              <w:bottom w:val="single" w:sz="4" w:space="0" w:color="auto"/>
              <w:right w:val="nil"/>
            </w:tcBorders>
            <w:shd w:val="clear" w:color="auto" w:fill="E7E6E6" w:themeFill="background2"/>
            <w:vAlign w:val="bottom"/>
            <w:hideMark/>
          </w:tcPr>
          <w:p w14:paraId="13ED719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Additional CCS Quarterly Reports</w:t>
            </w:r>
            <w:r>
              <w:rPr>
                <w:rFonts w:eastAsia="Times New Roman" w:cs="Times New Roman"/>
                <w:kern w:val="0"/>
                <w:sz w:val="21"/>
                <w:szCs w:val="21"/>
                <w:vertAlign w:val="superscript"/>
                <w:lang w:eastAsia="en-US" w:bidi="ar-SA"/>
              </w:rPr>
              <w:t>4</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172B63F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60" w:type="dxa"/>
            <w:tcBorders>
              <w:top w:val="nil"/>
              <w:left w:val="nil"/>
              <w:bottom w:val="single" w:sz="4" w:space="0" w:color="auto"/>
              <w:right w:val="single" w:sz="4" w:space="0" w:color="auto"/>
            </w:tcBorders>
            <w:shd w:val="clear" w:color="auto" w:fill="auto"/>
            <w:noWrap/>
            <w:vAlign w:val="bottom"/>
            <w:hideMark/>
          </w:tcPr>
          <w:p w14:paraId="76A6670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8CB33C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568E815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34056A0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4EC0A26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4F23DEF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220" w:type="dxa"/>
            <w:tcBorders>
              <w:top w:val="nil"/>
              <w:left w:val="nil"/>
              <w:bottom w:val="single" w:sz="4" w:space="0" w:color="auto"/>
              <w:right w:val="nil"/>
            </w:tcBorders>
            <w:shd w:val="clear" w:color="auto" w:fill="E7E6E6" w:themeFill="background2"/>
            <w:noWrap/>
            <w:vAlign w:val="bottom"/>
            <w:hideMark/>
          </w:tcPr>
          <w:p w14:paraId="2E2D08B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10B31DC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5,952</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428B47D2"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commentRangeStart w:id="1"/>
            <w:r>
              <w:rPr>
                <w:rFonts w:eastAsia="Times New Roman" w:cs="Times New Roman"/>
                <w:color w:val="000000"/>
                <w:kern w:val="0"/>
                <w:sz w:val="21"/>
                <w:szCs w:val="21"/>
                <w:lang w:eastAsia="en-US" w:bidi="ar-SA"/>
              </w:rPr>
              <w:t>RFS2500</w:t>
            </w:r>
            <w:commentRangeEnd w:id="1"/>
            <w:r>
              <w:rPr>
                <w:rStyle w:val="CommentReference"/>
              </w:rPr>
              <w:commentReference w:id="1"/>
            </w:r>
          </w:p>
        </w:tc>
      </w:tr>
      <w:tr w:rsidR="00E459EE" w14:paraId="1AC44413"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1848C1B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800" w:type="dxa"/>
            <w:tcBorders>
              <w:top w:val="nil"/>
              <w:left w:val="nil"/>
              <w:bottom w:val="single" w:sz="4" w:space="0" w:color="auto"/>
              <w:right w:val="nil"/>
            </w:tcBorders>
            <w:shd w:val="clear" w:color="auto" w:fill="E7E6E6" w:themeFill="background2"/>
            <w:vAlign w:val="bottom"/>
            <w:hideMark/>
          </w:tcPr>
          <w:p w14:paraId="3A3D5CA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 Transaction Reporting</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5F19641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0.1</w:t>
            </w:r>
          </w:p>
        </w:tc>
        <w:tc>
          <w:tcPr>
            <w:tcW w:w="1060" w:type="dxa"/>
            <w:tcBorders>
              <w:top w:val="nil"/>
              <w:left w:val="nil"/>
              <w:bottom w:val="single" w:sz="4" w:space="0" w:color="auto"/>
              <w:right w:val="single" w:sz="4" w:space="0" w:color="auto"/>
            </w:tcBorders>
            <w:shd w:val="clear" w:color="auto" w:fill="auto"/>
            <w:noWrap/>
            <w:vAlign w:val="bottom"/>
            <w:hideMark/>
          </w:tcPr>
          <w:p w14:paraId="6C20A66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B9BDF0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65C72EA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2555E88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BC75D4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5A52A13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220" w:type="dxa"/>
            <w:tcBorders>
              <w:top w:val="nil"/>
              <w:left w:val="nil"/>
              <w:bottom w:val="single" w:sz="4" w:space="0" w:color="auto"/>
              <w:right w:val="nil"/>
            </w:tcBorders>
            <w:shd w:val="clear" w:color="auto" w:fill="E7E6E6" w:themeFill="background2"/>
            <w:noWrap/>
            <w:vAlign w:val="bottom"/>
            <w:hideMark/>
          </w:tcPr>
          <w:p w14:paraId="2EFFCA2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25FBB1E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6,789</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43E3F1E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3F0C10CC"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76744AD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§80.1453(a)</w:t>
            </w:r>
          </w:p>
        </w:tc>
        <w:tc>
          <w:tcPr>
            <w:tcW w:w="2800" w:type="dxa"/>
            <w:tcBorders>
              <w:top w:val="nil"/>
              <w:left w:val="nil"/>
              <w:bottom w:val="single" w:sz="4" w:space="0" w:color="auto"/>
              <w:right w:val="nil"/>
            </w:tcBorders>
            <w:shd w:val="clear" w:color="auto" w:fill="E7E6E6" w:themeFill="background2"/>
            <w:vAlign w:val="bottom"/>
            <w:hideMark/>
          </w:tcPr>
          <w:p w14:paraId="666908C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Product Transfer Documents: </w:t>
            </w:r>
            <w:r>
              <w:rPr>
                <w:rFonts w:eastAsia="Times New Roman" w:cs="Times New Roman"/>
                <w:kern w:val="0"/>
                <w:sz w:val="21"/>
                <w:szCs w:val="21"/>
                <w:lang w:eastAsia="en-US" w:bidi="ar-SA"/>
              </w:rPr>
              <w:t>Transfers of renewable fuel</w:t>
            </w:r>
            <w:r>
              <w:rPr>
                <w:rFonts w:eastAsia="Times New Roman" w:cs="Times New Roman"/>
                <w:kern w:val="0"/>
                <w:sz w:val="21"/>
                <w:szCs w:val="21"/>
                <w:vertAlign w:val="superscript"/>
                <w:lang w:eastAsia="en-US" w:bidi="ar-SA"/>
              </w:rPr>
              <w:t>5</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66839EE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6272E19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6C46805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67B6021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4C7BE61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48367B6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D29456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220" w:type="dxa"/>
            <w:tcBorders>
              <w:top w:val="nil"/>
              <w:left w:val="nil"/>
              <w:bottom w:val="single" w:sz="4" w:space="0" w:color="auto"/>
              <w:right w:val="nil"/>
            </w:tcBorders>
            <w:shd w:val="clear" w:color="auto" w:fill="E7E6E6" w:themeFill="background2"/>
            <w:noWrap/>
            <w:vAlign w:val="bottom"/>
            <w:hideMark/>
          </w:tcPr>
          <w:p w14:paraId="6359887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7CD43E1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24,090</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755E55B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2E559D54"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center"/>
            <w:hideMark/>
          </w:tcPr>
          <w:p w14:paraId="4CED338E"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§80.1454(b)</w:t>
            </w:r>
          </w:p>
        </w:tc>
        <w:tc>
          <w:tcPr>
            <w:tcW w:w="2800" w:type="dxa"/>
            <w:tcBorders>
              <w:top w:val="nil"/>
              <w:left w:val="nil"/>
              <w:bottom w:val="single" w:sz="4" w:space="0" w:color="auto"/>
              <w:right w:val="nil"/>
            </w:tcBorders>
            <w:shd w:val="clear" w:color="auto" w:fill="E7E6E6" w:themeFill="background2"/>
            <w:vAlign w:val="center"/>
            <w:hideMark/>
          </w:tcPr>
          <w:p w14:paraId="42DFB96F"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renewable fuel production</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1BD9B1E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098B28A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3AA2CBC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126FA37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5FDE41A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C8A6DF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5A8F6E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220" w:type="dxa"/>
            <w:tcBorders>
              <w:top w:val="nil"/>
              <w:left w:val="nil"/>
              <w:bottom w:val="single" w:sz="4" w:space="0" w:color="auto"/>
              <w:right w:val="nil"/>
            </w:tcBorders>
            <w:shd w:val="clear" w:color="auto" w:fill="E7E6E6" w:themeFill="background2"/>
            <w:noWrap/>
            <w:vAlign w:val="bottom"/>
            <w:hideMark/>
          </w:tcPr>
          <w:p w14:paraId="0E146D2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40AC79B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792</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33C52CD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6F5FCA2C"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center"/>
            <w:hideMark/>
          </w:tcPr>
          <w:p w14:paraId="258170F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§80.1454(b)(11)</w:t>
            </w:r>
          </w:p>
        </w:tc>
        <w:tc>
          <w:tcPr>
            <w:tcW w:w="2800" w:type="dxa"/>
            <w:tcBorders>
              <w:top w:val="nil"/>
              <w:left w:val="nil"/>
              <w:bottom w:val="single" w:sz="4" w:space="0" w:color="auto"/>
              <w:right w:val="nil"/>
            </w:tcBorders>
            <w:shd w:val="clear" w:color="auto" w:fill="E7E6E6" w:themeFill="background2"/>
            <w:vAlign w:val="center"/>
            <w:hideMark/>
          </w:tcPr>
          <w:p w14:paraId="71D77836" w14:textId="77777777" w:rsidR="00E459EE" w:rsidRDefault="005F75DA">
            <w:pPr>
              <w:widowControl/>
              <w:suppressAutoHyphens w:val="0"/>
              <w:autoSpaceDN/>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Additional Records for CCS</w:t>
            </w:r>
            <w:r>
              <w:rPr>
                <w:rFonts w:eastAsia="Times New Roman" w:cs="Times New Roman"/>
                <w:kern w:val="0"/>
                <w:sz w:val="21"/>
                <w:szCs w:val="21"/>
                <w:vertAlign w:val="superscript"/>
                <w:lang w:eastAsia="en-US" w:bidi="ar-SA"/>
              </w:rPr>
              <w:t>6</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722BB09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11219BB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5160A59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40" w:type="dxa"/>
            <w:tcBorders>
              <w:top w:val="nil"/>
              <w:left w:val="nil"/>
              <w:bottom w:val="single" w:sz="4" w:space="0" w:color="auto"/>
              <w:right w:val="single" w:sz="8" w:space="0" w:color="auto"/>
            </w:tcBorders>
            <w:shd w:val="clear" w:color="auto" w:fill="auto"/>
            <w:vAlign w:val="bottom"/>
            <w:hideMark/>
          </w:tcPr>
          <w:p w14:paraId="03BE267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30D77AE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5593B70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EE26F9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220" w:type="dxa"/>
            <w:tcBorders>
              <w:top w:val="nil"/>
              <w:left w:val="nil"/>
              <w:bottom w:val="single" w:sz="4" w:space="0" w:color="auto"/>
              <w:right w:val="nil"/>
            </w:tcBorders>
            <w:shd w:val="clear" w:color="auto" w:fill="E7E6E6" w:themeFill="background2"/>
            <w:noWrap/>
            <w:vAlign w:val="bottom"/>
            <w:hideMark/>
          </w:tcPr>
          <w:p w14:paraId="6FDF2BE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5FA4EE8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792</w:t>
            </w:r>
          </w:p>
        </w:tc>
        <w:tc>
          <w:tcPr>
            <w:tcW w:w="1419" w:type="dxa"/>
            <w:tcBorders>
              <w:top w:val="single" w:sz="4" w:space="0" w:color="auto"/>
              <w:left w:val="single" w:sz="8" w:space="0" w:color="auto"/>
              <w:bottom w:val="nil"/>
              <w:right w:val="single" w:sz="8" w:space="0" w:color="auto"/>
            </w:tcBorders>
            <w:shd w:val="clear" w:color="000000" w:fill="F8FFB9"/>
            <w:vAlign w:val="center"/>
            <w:hideMark/>
          </w:tcPr>
          <w:p w14:paraId="55606DC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61AAA304"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48DBEF3F"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§80.1464(b)</w:t>
            </w:r>
          </w:p>
        </w:tc>
        <w:tc>
          <w:tcPr>
            <w:tcW w:w="2800" w:type="dxa"/>
            <w:tcBorders>
              <w:top w:val="nil"/>
              <w:left w:val="nil"/>
              <w:bottom w:val="single" w:sz="8" w:space="0" w:color="auto"/>
              <w:right w:val="nil"/>
            </w:tcBorders>
            <w:shd w:val="clear" w:color="auto" w:fill="E7E6E6" w:themeFill="background2"/>
            <w:vAlign w:val="center"/>
            <w:hideMark/>
          </w:tcPr>
          <w:p w14:paraId="3876281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Attest Engagements:</w:t>
            </w:r>
            <w:r>
              <w:rPr>
                <w:rFonts w:eastAsia="Times New Roman" w:cs="Times New Roman"/>
                <w:kern w:val="0"/>
                <w:sz w:val="21"/>
                <w:szCs w:val="21"/>
                <w:lang w:eastAsia="en-US" w:bidi="ar-SA"/>
              </w:rPr>
              <w:t xml:space="preserve"> Annual Attest Engagement Report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27EBE86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60" w:type="dxa"/>
            <w:tcBorders>
              <w:top w:val="nil"/>
              <w:left w:val="nil"/>
              <w:bottom w:val="single" w:sz="4" w:space="0" w:color="auto"/>
              <w:right w:val="single" w:sz="4" w:space="0" w:color="auto"/>
            </w:tcBorders>
            <w:shd w:val="clear" w:color="auto" w:fill="auto"/>
            <w:noWrap/>
            <w:vAlign w:val="bottom"/>
            <w:hideMark/>
          </w:tcPr>
          <w:p w14:paraId="203F4AD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7265C3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40" w:type="dxa"/>
            <w:tcBorders>
              <w:top w:val="nil"/>
              <w:left w:val="nil"/>
              <w:bottom w:val="single" w:sz="4" w:space="0" w:color="auto"/>
              <w:right w:val="single" w:sz="8" w:space="0" w:color="auto"/>
            </w:tcBorders>
            <w:shd w:val="clear" w:color="auto" w:fill="auto"/>
            <w:vAlign w:val="bottom"/>
            <w:hideMark/>
          </w:tcPr>
          <w:p w14:paraId="55AC8278"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4,557</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5616234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2A54A4B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C403B0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nil"/>
            </w:tcBorders>
            <w:shd w:val="clear" w:color="auto" w:fill="E7E6E6" w:themeFill="background2"/>
            <w:noWrap/>
            <w:vAlign w:val="bottom"/>
            <w:hideMark/>
          </w:tcPr>
          <w:p w14:paraId="1726468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326B821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9,114</w:t>
            </w:r>
          </w:p>
        </w:tc>
        <w:tc>
          <w:tcPr>
            <w:tcW w:w="1419"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616B04F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2F2903DF" w14:textId="77777777">
        <w:trPr>
          <w:trHeight w:val="315"/>
        </w:trPr>
        <w:tc>
          <w:tcPr>
            <w:tcW w:w="48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A3CB322"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35B101A9"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62996FDB"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33651EFE"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4962C878"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6DB18765"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2</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4EA42BCC"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0B30FF90"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1,531</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71C8F19B"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1,091</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14:paraId="44E9AD49"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63,711</w:t>
            </w:r>
          </w:p>
        </w:tc>
        <w:tc>
          <w:tcPr>
            <w:tcW w:w="1419" w:type="dxa"/>
            <w:tcBorders>
              <w:top w:val="nil"/>
              <w:left w:val="nil"/>
              <w:bottom w:val="nil"/>
              <w:right w:val="nil"/>
            </w:tcBorders>
            <w:shd w:val="clear" w:color="auto" w:fill="auto"/>
            <w:noWrap/>
            <w:vAlign w:val="bottom"/>
            <w:hideMark/>
          </w:tcPr>
          <w:p w14:paraId="53A9AB9A"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53863C15" w14:textId="77777777" w:rsidR="00E459EE" w:rsidRDefault="005F75DA">
      <w:pPr>
        <w:pStyle w:val="Standard"/>
        <w:rPr>
          <w:szCs w:val="20"/>
        </w:rPr>
      </w:pPr>
      <w:r>
        <w:rPr>
          <w:szCs w:val="20"/>
        </w:rPr>
        <w:t>ASSUMPTIONS FOR TABLE 6(b).9</w:t>
      </w:r>
    </w:p>
    <w:p w14:paraId="5FBBC2B3" w14:textId="77777777" w:rsidR="00E459EE" w:rsidRDefault="005F75DA">
      <w:pPr>
        <w:pStyle w:val="Standard"/>
        <w:rPr>
          <w:sz w:val="20"/>
          <w:szCs w:val="20"/>
        </w:rPr>
      </w:pPr>
      <w:r>
        <w:rPr>
          <w:sz w:val="20"/>
          <w:szCs w:val="20"/>
          <w:vertAlign w:val="superscript"/>
        </w:rPr>
        <w:t>1</w:t>
      </w:r>
      <w:r>
        <w:rPr>
          <w:sz w:val="20"/>
          <w:szCs w:val="20"/>
        </w:rPr>
        <w:t xml:space="preserve">Estimate number of respondents based on the expressed interest of two parties who are capable under RFS regulations and interested in using CCS technology to generate advanced (D5) RINs. </w:t>
      </w:r>
    </w:p>
    <w:p w14:paraId="41293B66" w14:textId="77777777" w:rsidR="00E459EE" w:rsidRDefault="005F75DA">
      <w:pPr>
        <w:pStyle w:val="Standard"/>
        <w:rPr>
          <w:sz w:val="20"/>
          <w:szCs w:val="20"/>
        </w:rPr>
      </w:pPr>
      <w:r>
        <w:rPr>
          <w:sz w:val="20"/>
          <w:szCs w:val="20"/>
          <w:vertAlign w:val="superscript"/>
        </w:rPr>
        <w:t>2</w:t>
      </w:r>
      <w:r>
        <w:rPr>
          <w:sz w:val="20"/>
          <w:szCs w:val="20"/>
        </w:rPr>
        <w:t>Initial registration for renewable fuels producers using a CCS pathway would be similar to producers covered under the existing RFS provisions. However, due to additional information required specific to the use of a CCS pathway, these producers would have a slightly greater burden.</w:t>
      </w:r>
    </w:p>
    <w:p w14:paraId="65D880E2" w14:textId="77777777" w:rsidR="00E459EE" w:rsidRDefault="005F75DA">
      <w:pPr>
        <w:pStyle w:val="Standard"/>
        <w:rPr>
          <w:sz w:val="20"/>
          <w:szCs w:val="20"/>
        </w:rPr>
      </w:pPr>
      <w:r>
        <w:rPr>
          <w:sz w:val="20"/>
          <w:szCs w:val="20"/>
          <w:vertAlign w:val="superscript"/>
        </w:rPr>
        <w:t>3</w:t>
      </w:r>
      <w:r>
        <w:rPr>
          <w:sz w:val="20"/>
          <w:szCs w:val="20"/>
        </w:rPr>
        <w:t>Assumes 33% of companies update registrations per year, rounded up to 1.</w:t>
      </w:r>
    </w:p>
    <w:p w14:paraId="3DD54D38" w14:textId="77777777" w:rsidR="00E459EE" w:rsidRDefault="005F75DA">
      <w:pPr>
        <w:pStyle w:val="Standard"/>
        <w:rPr>
          <w:sz w:val="20"/>
          <w:szCs w:val="20"/>
        </w:rPr>
      </w:pPr>
      <w:r>
        <w:rPr>
          <w:sz w:val="20"/>
          <w:szCs w:val="20"/>
          <w:vertAlign w:val="superscript"/>
        </w:rPr>
        <w:t>4</w:t>
      </w:r>
      <w:r>
        <w:rPr>
          <w:sz w:val="20"/>
          <w:szCs w:val="20"/>
        </w:rPr>
        <w:t xml:space="preserve">Quarterly periodic and EMTS reporting requirements for renewable fuel producers using a CCS pathway would be identical to other renewable fuel producers in the RFS program. Producers using CCS would also need to submit an additional form (draft form </w:t>
      </w:r>
      <w:r w:rsidRPr="00963867">
        <w:rPr>
          <w:sz w:val="20"/>
          <w:szCs w:val="20"/>
        </w:rPr>
        <w:t>RFS2500).</w:t>
      </w:r>
    </w:p>
    <w:p w14:paraId="3B00457F" w14:textId="77777777" w:rsidR="00E459EE" w:rsidRDefault="005F75DA">
      <w:pPr>
        <w:pStyle w:val="Standard"/>
        <w:rPr>
          <w:sz w:val="20"/>
          <w:szCs w:val="20"/>
        </w:rPr>
      </w:pPr>
      <w:r>
        <w:rPr>
          <w:sz w:val="20"/>
          <w:szCs w:val="20"/>
          <w:vertAlign w:val="superscript"/>
        </w:rPr>
        <w:t>5</w:t>
      </w:r>
      <w:r>
        <w:rPr>
          <w:sz w:val="20"/>
          <w:szCs w:val="20"/>
        </w:rPr>
        <w:t>Producers using CCS would need to generate PTDs and maintain records for renewable fuel production identically to renewable fuel producers under the existing RFS program requirements.</w:t>
      </w:r>
    </w:p>
    <w:p w14:paraId="1476DF0C" w14:textId="77777777" w:rsidR="00E459EE" w:rsidRDefault="005F75DA">
      <w:pPr>
        <w:pStyle w:val="Standard"/>
        <w:rPr>
          <w:sz w:val="20"/>
          <w:szCs w:val="20"/>
        </w:rPr>
      </w:pPr>
      <w:r>
        <w:rPr>
          <w:sz w:val="20"/>
          <w:szCs w:val="20"/>
          <w:vertAlign w:val="superscript"/>
        </w:rPr>
        <w:t>6</w:t>
      </w:r>
      <w:r>
        <w:rPr>
          <w:sz w:val="20"/>
          <w:szCs w:val="20"/>
        </w:rPr>
        <w:t>Producers using CCS would need to keep additional records related to the use of CCS technology. Recordkeeping requirements assume monthly (i.e., 12 responses per year) filing.</w:t>
      </w:r>
      <w:r>
        <w:rPr>
          <w:sz w:val="20"/>
          <w:szCs w:val="20"/>
        </w:rPr>
        <w:br w:type="page"/>
      </w:r>
    </w:p>
    <w:tbl>
      <w:tblPr>
        <w:tblW w:w="16559" w:type="dxa"/>
        <w:tblLook w:val="04A0" w:firstRow="1" w:lastRow="0" w:firstColumn="1" w:lastColumn="0" w:noHBand="0" w:noVBand="1"/>
      </w:tblPr>
      <w:tblGrid>
        <w:gridCol w:w="2040"/>
        <w:gridCol w:w="2418"/>
        <w:gridCol w:w="1120"/>
        <w:gridCol w:w="1060"/>
        <w:gridCol w:w="1120"/>
        <w:gridCol w:w="1629"/>
        <w:gridCol w:w="1380"/>
        <w:gridCol w:w="1220"/>
        <w:gridCol w:w="1220"/>
        <w:gridCol w:w="1014"/>
        <w:gridCol w:w="1200"/>
        <w:gridCol w:w="1138"/>
      </w:tblGrid>
      <w:tr w:rsidR="00E459EE" w14:paraId="4DF7DE3F" w14:textId="77777777">
        <w:trPr>
          <w:trHeight w:val="60"/>
        </w:trPr>
        <w:tc>
          <w:tcPr>
            <w:tcW w:w="1655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F5794E5"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lastRenderedPageBreak/>
              <w:t>Annual Respondent Burden and Cost by Type of Party</w:t>
            </w:r>
          </w:p>
        </w:tc>
      </w:tr>
      <w:tr w:rsidR="00E459EE" w14:paraId="1A537AA6" w14:textId="77777777">
        <w:trPr>
          <w:trHeight w:val="60"/>
        </w:trPr>
        <w:tc>
          <w:tcPr>
            <w:tcW w:w="1655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15F48C"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6(b).10 - Renewable Fuel Producers using SRT Pathway</w:t>
            </w:r>
          </w:p>
        </w:tc>
      </w:tr>
      <w:tr w:rsidR="00E459EE" w14:paraId="6052F249" w14:textId="77777777">
        <w:trPr>
          <w:trHeight w:val="60"/>
        </w:trPr>
        <w:tc>
          <w:tcPr>
            <w:tcW w:w="4458" w:type="dxa"/>
            <w:gridSpan w:val="2"/>
            <w:tcBorders>
              <w:top w:val="single" w:sz="8" w:space="0" w:color="auto"/>
              <w:left w:val="single" w:sz="8" w:space="0" w:color="auto"/>
              <w:bottom w:val="single" w:sz="8" w:space="0" w:color="auto"/>
              <w:right w:val="nil"/>
            </w:tcBorders>
            <w:shd w:val="clear" w:color="auto" w:fill="E7E6E6" w:themeFill="background2"/>
            <w:noWrap/>
            <w:vAlign w:val="bottom"/>
            <w:hideMark/>
          </w:tcPr>
          <w:p w14:paraId="0F94F957"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92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12E3993"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034" w:type="dxa"/>
            <w:gridSpan w:val="5"/>
            <w:tcBorders>
              <w:top w:val="single" w:sz="8" w:space="0" w:color="auto"/>
              <w:left w:val="nil"/>
              <w:bottom w:val="single" w:sz="8" w:space="0" w:color="auto"/>
              <w:right w:val="nil"/>
            </w:tcBorders>
            <w:shd w:val="clear" w:color="auto" w:fill="E7E6E6" w:themeFill="background2"/>
            <w:noWrap/>
            <w:vAlign w:val="bottom"/>
            <w:hideMark/>
          </w:tcPr>
          <w:p w14:paraId="4563945E"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138" w:type="dxa"/>
            <w:vMerge w:val="restart"/>
            <w:tcBorders>
              <w:top w:val="nil"/>
              <w:left w:val="single" w:sz="8" w:space="0" w:color="auto"/>
              <w:bottom w:val="nil"/>
              <w:right w:val="single" w:sz="8" w:space="0" w:color="auto"/>
            </w:tcBorders>
            <w:shd w:val="clear" w:color="000000" w:fill="F8FFB9"/>
            <w:vAlign w:val="center"/>
            <w:hideMark/>
          </w:tcPr>
          <w:p w14:paraId="183FBD6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60F61BC4" w14:textId="77777777">
        <w:trPr>
          <w:trHeight w:val="60"/>
        </w:trPr>
        <w:tc>
          <w:tcPr>
            <w:tcW w:w="2040" w:type="dxa"/>
            <w:tcBorders>
              <w:top w:val="nil"/>
              <w:left w:val="single" w:sz="8" w:space="0" w:color="auto"/>
              <w:bottom w:val="single" w:sz="8" w:space="0" w:color="auto"/>
              <w:right w:val="single" w:sz="4" w:space="0" w:color="auto"/>
            </w:tcBorders>
            <w:shd w:val="clear" w:color="auto" w:fill="E7E6E6" w:themeFill="background2"/>
            <w:noWrap/>
            <w:vAlign w:val="bottom"/>
            <w:hideMark/>
          </w:tcPr>
          <w:p w14:paraId="6925C5B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418" w:type="dxa"/>
            <w:tcBorders>
              <w:top w:val="nil"/>
              <w:left w:val="nil"/>
              <w:bottom w:val="single" w:sz="8" w:space="0" w:color="auto"/>
              <w:right w:val="nil"/>
            </w:tcBorders>
            <w:shd w:val="clear" w:color="auto" w:fill="E7E6E6" w:themeFill="background2"/>
            <w:vAlign w:val="bottom"/>
            <w:hideMark/>
          </w:tcPr>
          <w:p w14:paraId="691FE11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070B0BB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4DCE507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7EF0BF69"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629" w:type="dxa"/>
            <w:tcBorders>
              <w:top w:val="nil"/>
              <w:left w:val="nil"/>
              <w:bottom w:val="single" w:sz="8" w:space="0" w:color="auto"/>
              <w:right w:val="single" w:sz="8" w:space="0" w:color="auto"/>
            </w:tcBorders>
            <w:shd w:val="clear" w:color="auto" w:fill="auto"/>
            <w:vAlign w:val="bottom"/>
            <w:hideMark/>
          </w:tcPr>
          <w:p w14:paraId="74EC2078"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w:t>
            </w:r>
            <w:r>
              <w:rPr>
                <w:rFonts w:eastAsia="Times New Roman" w:cs="Times New Roman"/>
                <w:i/>
                <w:iCs/>
                <w:color w:val="000000"/>
                <w:kern w:val="0"/>
                <w:sz w:val="21"/>
                <w:szCs w:val="21"/>
                <w:vertAlign w:val="superscript"/>
                <w:lang w:eastAsia="en-US" w:bidi="ar-SA"/>
              </w:rPr>
              <w:t xml:space="preserve"> </w:t>
            </w:r>
            <w:r>
              <w:rPr>
                <w:rFonts w:eastAsia="Times New Roman" w:cs="Times New Roman"/>
                <w:i/>
                <w:iCs/>
                <w:color w:val="000000"/>
                <w:kern w:val="0"/>
                <w:sz w:val="21"/>
                <w:szCs w:val="21"/>
                <w:lang w:eastAsia="en-US" w:bidi="ar-SA"/>
              </w:rPr>
              <w:t>(dollars)</w:t>
            </w:r>
          </w:p>
        </w:tc>
        <w:tc>
          <w:tcPr>
            <w:tcW w:w="1380" w:type="dxa"/>
            <w:tcBorders>
              <w:top w:val="nil"/>
              <w:left w:val="nil"/>
              <w:bottom w:val="single" w:sz="8" w:space="0" w:color="auto"/>
              <w:right w:val="single" w:sz="4" w:space="0" w:color="auto"/>
            </w:tcBorders>
            <w:shd w:val="clear" w:color="auto" w:fill="E7E6E6" w:themeFill="background2"/>
            <w:vAlign w:val="bottom"/>
            <w:hideMark/>
          </w:tcPr>
          <w:p w14:paraId="21A6893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0CEAD2E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auto" w:fill="E7E6E6" w:themeFill="background2"/>
            <w:vAlign w:val="bottom"/>
            <w:hideMark/>
          </w:tcPr>
          <w:p w14:paraId="27AAC709"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014" w:type="dxa"/>
            <w:tcBorders>
              <w:top w:val="nil"/>
              <w:left w:val="nil"/>
              <w:bottom w:val="single" w:sz="8" w:space="0" w:color="auto"/>
              <w:right w:val="single" w:sz="4" w:space="0" w:color="auto"/>
            </w:tcBorders>
            <w:shd w:val="clear" w:color="auto" w:fill="E7E6E6" w:themeFill="background2"/>
            <w:vAlign w:val="bottom"/>
            <w:hideMark/>
          </w:tcPr>
          <w:p w14:paraId="5DA25E3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auto" w:fill="E7E6E6" w:themeFill="background2"/>
            <w:vAlign w:val="bottom"/>
            <w:hideMark/>
          </w:tcPr>
          <w:p w14:paraId="390440F0"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138" w:type="dxa"/>
            <w:vMerge/>
            <w:tcBorders>
              <w:top w:val="nil"/>
              <w:left w:val="single" w:sz="8" w:space="0" w:color="auto"/>
              <w:bottom w:val="nil"/>
              <w:right w:val="single" w:sz="8" w:space="0" w:color="auto"/>
            </w:tcBorders>
            <w:vAlign w:val="center"/>
            <w:hideMark/>
          </w:tcPr>
          <w:p w14:paraId="733C076F"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5557B145" w14:textId="77777777">
        <w:trPr>
          <w:trHeight w:val="60"/>
        </w:trPr>
        <w:tc>
          <w:tcPr>
            <w:tcW w:w="2040" w:type="dxa"/>
            <w:tcBorders>
              <w:top w:val="single" w:sz="4" w:space="0" w:color="auto"/>
              <w:left w:val="single" w:sz="8" w:space="0" w:color="auto"/>
              <w:bottom w:val="single" w:sz="4" w:space="0" w:color="auto"/>
              <w:right w:val="single" w:sz="4" w:space="0" w:color="auto"/>
            </w:tcBorders>
            <w:shd w:val="clear" w:color="auto" w:fill="E7E6E6" w:themeFill="background2"/>
            <w:vAlign w:val="bottom"/>
            <w:hideMark/>
          </w:tcPr>
          <w:p w14:paraId="5C942483"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§80.1450(b)(1)</w:t>
            </w:r>
          </w:p>
        </w:tc>
        <w:tc>
          <w:tcPr>
            <w:tcW w:w="2418" w:type="dxa"/>
            <w:tcBorders>
              <w:top w:val="single" w:sz="4" w:space="0" w:color="auto"/>
              <w:left w:val="nil"/>
              <w:bottom w:val="single" w:sz="4" w:space="0" w:color="auto"/>
              <w:right w:val="nil"/>
            </w:tcBorders>
            <w:shd w:val="clear" w:color="auto" w:fill="E7E6E6" w:themeFill="background2"/>
            <w:vAlign w:val="bottom"/>
            <w:hideMark/>
          </w:tcPr>
          <w:p w14:paraId="3A49AE86"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B92AF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060" w:type="dxa"/>
            <w:tcBorders>
              <w:top w:val="nil"/>
              <w:left w:val="nil"/>
              <w:bottom w:val="single" w:sz="4" w:space="0" w:color="auto"/>
              <w:right w:val="single" w:sz="4" w:space="0" w:color="auto"/>
            </w:tcBorders>
            <w:shd w:val="clear" w:color="auto" w:fill="auto"/>
            <w:noWrap/>
            <w:vAlign w:val="bottom"/>
            <w:hideMark/>
          </w:tcPr>
          <w:p w14:paraId="55B208D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2A0AFCE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629" w:type="dxa"/>
            <w:tcBorders>
              <w:top w:val="single" w:sz="4" w:space="0" w:color="auto"/>
              <w:left w:val="nil"/>
              <w:bottom w:val="single" w:sz="4" w:space="0" w:color="auto"/>
              <w:right w:val="single" w:sz="8" w:space="0" w:color="auto"/>
            </w:tcBorders>
            <w:shd w:val="clear" w:color="auto" w:fill="auto"/>
            <w:vAlign w:val="bottom"/>
            <w:hideMark/>
          </w:tcPr>
          <w:p w14:paraId="0294CBA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4,836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2154FC0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454EA1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8A54D8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14" w:type="dxa"/>
            <w:tcBorders>
              <w:top w:val="single" w:sz="4" w:space="0" w:color="auto"/>
              <w:left w:val="nil"/>
              <w:bottom w:val="single" w:sz="4" w:space="0" w:color="auto"/>
              <w:right w:val="nil"/>
            </w:tcBorders>
            <w:shd w:val="clear" w:color="auto" w:fill="E7E6E6" w:themeFill="background2"/>
            <w:noWrap/>
            <w:vAlign w:val="bottom"/>
            <w:hideMark/>
          </w:tcPr>
          <w:p w14:paraId="589BC70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56</w:t>
            </w:r>
          </w:p>
        </w:tc>
        <w:tc>
          <w:tcPr>
            <w:tcW w:w="1200"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6B2E231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9,672</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640600C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44342B4C"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2038970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§80.1450(b)(1)(xviii)</w:t>
            </w:r>
          </w:p>
        </w:tc>
        <w:tc>
          <w:tcPr>
            <w:tcW w:w="2418" w:type="dxa"/>
            <w:tcBorders>
              <w:top w:val="nil"/>
              <w:left w:val="nil"/>
              <w:bottom w:val="single" w:sz="4" w:space="0" w:color="auto"/>
              <w:right w:val="nil"/>
            </w:tcBorders>
            <w:shd w:val="clear" w:color="auto" w:fill="E7E6E6" w:themeFill="background2"/>
            <w:vAlign w:val="bottom"/>
            <w:hideMark/>
          </w:tcPr>
          <w:p w14:paraId="3605F3A1" w14:textId="77777777" w:rsidR="00E459EE" w:rsidRDefault="005F75DA">
            <w:pPr>
              <w:widowControl/>
              <w:suppressAutoHyphens w:val="0"/>
              <w:autoSpaceDN/>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Additional SRT Registration Information</w:t>
            </w:r>
            <w:r>
              <w:rPr>
                <w:rFonts w:eastAsia="Times New Roman" w:cs="Times New Roman"/>
                <w:kern w:val="0"/>
                <w:sz w:val="21"/>
                <w:szCs w:val="21"/>
                <w:vertAlign w:val="superscript"/>
                <w:lang w:eastAsia="en-US" w:bidi="ar-SA"/>
              </w:rPr>
              <w:t>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1D60416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10B9E51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469545B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629" w:type="dxa"/>
            <w:tcBorders>
              <w:top w:val="nil"/>
              <w:left w:val="nil"/>
              <w:bottom w:val="single" w:sz="4" w:space="0" w:color="auto"/>
              <w:right w:val="single" w:sz="8" w:space="0" w:color="auto"/>
            </w:tcBorders>
            <w:shd w:val="clear" w:color="auto" w:fill="auto"/>
            <w:vAlign w:val="bottom"/>
            <w:hideMark/>
          </w:tcPr>
          <w:p w14:paraId="67A0727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115347A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42F062A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B06699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14" w:type="dxa"/>
            <w:tcBorders>
              <w:top w:val="nil"/>
              <w:left w:val="nil"/>
              <w:bottom w:val="single" w:sz="4" w:space="0" w:color="auto"/>
              <w:right w:val="nil"/>
            </w:tcBorders>
            <w:shd w:val="clear" w:color="auto" w:fill="E7E6E6" w:themeFill="background2"/>
            <w:noWrap/>
            <w:vAlign w:val="bottom"/>
            <w:hideMark/>
          </w:tcPr>
          <w:p w14:paraId="600E223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1943A00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372</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525FE72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4A5C958"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206DD1D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§80.1450(d)(2)</w:t>
            </w:r>
          </w:p>
        </w:tc>
        <w:tc>
          <w:tcPr>
            <w:tcW w:w="2418" w:type="dxa"/>
            <w:tcBorders>
              <w:top w:val="nil"/>
              <w:left w:val="nil"/>
              <w:bottom w:val="single" w:sz="4" w:space="0" w:color="auto"/>
              <w:right w:val="nil"/>
            </w:tcBorders>
            <w:shd w:val="clear" w:color="auto" w:fill="E7E6E6" w:themeFill="background2"/>
            <w:vAlign w:val="bottom"/>
            <w:hideMark/>
          </w:tcPr>
          <w:p w14:paraId="3016CBD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3</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7595CDB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60" w:type="dxa"/>
            <w:tcBorders>
              <w:top w:val="nil"/>
              <w:left w:val="nil"/>
              <w:bottom w:val="single" w:sz="4" w:space="0" w:color="auto"/>
              <w:right w:val="single" w:sz="4" w:space="0" w:color="auto"/>
            </w:tcBorders>
            <w:shd w:val="clear" w:color="auto" w:fill="auto"/>
            <w:noWrap/>
            <w:vAlign w:val="bottom"/>
            <w:hideMark/>
          </w:tcPr>
          <w:p w14:paraId="0F00E50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060175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629" w:type="dxa"/>
            <w:tcBorders>
              <w:top w:val="nil"/>
              <w:left w:val="nil"/>
              <w:bottom w:val="single" w:sz="4" w:space="0" w:color="auto"/>
              <w:right w:val="single" w:sz="8" w:space="0" w:color="auto"/>
            </w:tcBorders>
            <w:shd w:val="clear" w:color="auto" w:fill="auto"/>
            <w:vAlign w:val="bottom"/>
            <w:hideMark/>
          </w:tcPr>
          <w:p w14:paraId="716C227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186</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5C743D5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7261753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FDB881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14" w:type="dxa"/>
            <w:tcBorders>
              <w:top w:val="nil"/>
              <w:left w:val="nil"/>
              <w:bottom w:val="single" w:sz="4" w:space="0" w:color="auto"/>
              <w:right w:val="nil"/>
            </w:tcBorders>
            <w:shd w:val="clear" w:color="auto" w:fill="E7E6E6" w:themeFill="background2"/>
            <w:noWrap/>
            <w:vAlign w:val="bottom"/>
            <w:hideMark/>
          </w:tcPr>
          <w:p w14:paraId="43FFC50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463650A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186</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2CC09F2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AE355E7" w14:textId="77777777">
        <w:trPr>
          <w:trHeight w:val="30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172A27B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§80.1451(b)(1)</w:t>
            </w:r>
          </w:p>
        </w:tc>
        <w:tc>
          <w:tcPr>
            <w:tcW w:w="2418" w:type="dxa"/>
            <w:tcBorders>
              <w:top w:val="nil"/>
              <w:left w:val="nil"/>
              <w:bottom w:val="single" w:sz="4" w:space="0" w:color="auto"/>
              <w:right w:val="nil"/>
            </w:tcBorders>
            <w:shd w:val="clear" w:color="auto" w:fill="E7E6E6" w:themeFill="background2"/>
            <w:vAlign w:val="bottom"/>
            <w:hideMark/>
          </w:tcPr>
          <w:p w14:paraId="47414202"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Quarterly Reports</w:t>
            </w:r>
            <w:r>
              <w:rPr>
                <w:rFonts w:eastAsia="Times New Roman" w:cs="Times New Roman"/>
                <w:kern w:val="0"/>
                <w:sz w:val="21"/>
                <w:szCs w:val="21"/>
                <w:vertAlign w:val="superscript"/>
                <w:lang w:eastAsia="en-US" w:bidi="ar-SA"/>
              </w:rPr>
              <w:t>4</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2D8E33F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60" w:type="dxa"/>
            <w:tcBorders>
              <w:top w:val="nil"/>
              <w:left w:val="nil"/>
              <w:bottom w:val="single" w:sz="4" w:space="0" w:color="auto"/>
              <w:right w:val="single" w:sz="4" w:space="0" w:color="auto"/>
            </w:tcBorders>
            <w:shd w:val="clear" w:color="auto" w:fill="auto"/>
            <w:noWrap/>
            <w:vAlign w:val="bottom"/>
            <w:hideMark/>
          </w:tcPr>
          <w:p w14:paraId="436CAAD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3AE34D6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629" w:type="dxa"/>
            <w:tcBorders>
              <w:top w:val="nil"/>
              <w:left w:val="nil"/>
              <w:bottom w:val="single" w:sz="4" w:space="0" w:color="auto"/>
              <w:right w:val="single" w:sz="8" w:space="0" w:color="auto"/>
            </w:tcBorders>
            <w:shd w:val="clear" w:color="auto" w:fill="auto"/>
            <w:vAlign w:val="bottom"/>
            <w:hideMark/>
          </w:tcPr>
          <w:p w14:paraId="3D1D4AF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744</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27D120A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CDE480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4</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67D6E6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8</w:t>
            </w:r>
          </w:p>
        </w:tc>
        <w:tc>
          <w:tcPr>
            <w:tcW w:w="1014" w:type="dxa"/>
            <w:tcBorders>
              <w:top w:val="nil"/>
              <w:left w:val="nil"/>
              <w:bottom w:val="single" w:sz="4" w:space="0" w:color="auto"/>
              <w:right w:val="nil"/>
            </w:tcBorders>
            <w:shd w:val="clear" w:color="auto" w:fill="E7E6E6" w:themeFill="background2"/>
            <w:noWrap/>
            <w:vAlign w:val="bottom"/>
            <w:hideMark/>
          </w:tcPr>
          <w:p w14:paraId="65018B6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074D154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5,952</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3335329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5D11B573"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1E63407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418" w:type="dxa"/>
            <w:tcBorders>
              <w:top w:val="nil"/>
              <w:left w:val="nil"/>
              <w:bottom w:val="single" w:sz="4" w:space="0" w:color="auto"/>
              <w:right w:val="nil"/>
            </w:tcBorders>
            <w:shd w:val="clear" w:color="auto" w:fill="E7E6E6" w:themeFill="background2"/>
            <w:vAlign w:val="bottom"/>
            <w:hideMark/>
          </w:tcPr>
          <w:p w14:paraId="60AD860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 Transaction Reporting</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7BFC729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0.1</w:t>
            </w:r>
          </w:p>
        </w:tc>
        <w:tc>
          <w:tcPr>
            <w:tcW w:w="1060" w:type="dxa"/>
            <w:tcBorders>
              <w:top w:val="nil"/>
              <w:left w:val="nil"/>
              <w:bottom w:val="single" w:sz="4" w:space="0" w:color="auto"/>
              <w:right w:val="single" w:sz="4" w:space="0" w:color="auto"/>
            </w:tcBorders>
            <w:shd w:val="clear" w:color="auto" w:fill="auto"/>
            <w:noWrap/>
            <w:vAlign w:val="bottom"/>
            <w:hideMark/>
          </w:tcPr>
          <w:p w14:paraId="1EC605B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2DD53F8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629" w:type="dxa"/>
            <w:tcBorders>
              <w:top w:val="nil"/>
              <w:left w:val="nil"/>
              <w:bottom w:val="single" w:sz="4" w:space="0" w:color="auto"/>
              <w:right w:val="single" w:sz="8" w:space="0" w:color="auto"/>
            </w:tcBorders>
            <w:shd w:val="clear" w:color="auto" w:fill="auto"/>
            <w:vAlign w:val="bottom"/>
            <w:hideMark/>
          </w:tcPr>
          <w:p w14:paraId="68F2EAE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9</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4A2B2125"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73A3783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1486FE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014" w:type="dxa"/>
            <w:tcBorders>
              <w:top w:val="nil"/>
              <w:left w:val="nil"/>
              <w:bottom w:val="single" w:sz="4" w:space="0" w:color="auto"/>
              <w:right w:val="nil"/>
            </w:tcBorders>
            <w:shd w:val="clear" w:color="auto" w:fill="E7E6E6" w:themeFill="background2"/>
            <w:noWrap/>
            <w:vAlign w:val="bottom"/>
            <w:hideMark/>
          </w:tcPr>
          <w:p w14:paraId="32FB117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64D9124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6,789</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769F6C7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CF69980" w14:textId="77777777">
        <w:trPr>
          <w:trHeight w:val="70"/>
        </w:trPr>
        <w:tc>
          <w:tcPr>
            <w:tcW w:w="2040" w:type="dxa"/>
            <w:tcBorders>
              <w:top w:val="nil"/>
              <w:left w:val="single" w:sz="8" w:space="0" w:color="auto"/>
              <w:bottom w:val="single" w:sz="4" w:space="0" w:color="auto"/>
              <w:right w:val="single" w:sz="4" w:space="0" w:color="auto"/>
            </w:tcBorders>
            <w:shd w:val="clear" w:color="auto" w:fill="E7E6E6" w:themeFill="background2"/>
            <w:vAlign w:val="bottom"/>
            <w:hideMark/>
          </w:tcPr>
          <w:p w14:paraId="0B6AE5E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§80.1453(a)</w:t>
            </w:r>
          </w:p>
        </w:tc>
        <w:tc>
          <w:tcPr>
            <w:tcW w:w="2418" w:type="dxa"/>
            <w:tcBorders>
              <w:top w:val="nil"/>
              <w:left w:val="nil"/>
              <w:bottom w:val="single" w:sz="4" w:space="0" w:color="auto"/>
              <w:right w:val="nil"/>
            </w:tcBorders>
            <w:shd w:val="clear" w:color="auto" w:fill="E7E6E6" w:themeFill="background2"/>
            <w:vAlign w:val="bottom"/>
            <w:hideMark/>
          </w:tcPr>
          <w:p w14:paraId="1F02A2B1"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Product Transfer Documents: </w:t>
            </w:r>
            <w:r>
              <w:rPr>
                <w:rFonts w:eastAsia="Times New Roman" w:cs="Times New Roman"/>
                <w:kern w:val="0"/>
                <w:sz w:val="21"/>
                <w:szCs w:val="21"/>
                <w:lang w:eastAsia="en-US" w:bidi="ar-SA"/>
              </w:rPr>
              <w:t>Transfers of renewable fuel</w:t>
            </w:r>
            <w:r>
              <w:rPr>
                <w:rFonts w:eastAsia="Times New Roman" w:cs="Times New Roman"/>
                <w:kern w:val="0"/>
                <w:sz w:val="21"/>
                <w:szCs w:val="21"/>
                <w:vertAlign w:val="superscript"/>
                <w:lang w:eastAsia="en-US" w:bidi="ar-SA"/>
              </w:rPr>
              <w:t>5</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432816A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73F8C60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29D2B6F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629" w:type="dxa"/>
            <w:tcBorders>
              <w:top w:val="nil"/>
              <w:left w:val="nil"/>
              <w:bottom w:val="single" w:sz="4" w:space="0" w:color="auto"/>
              <w:right w:val="single" w:sz="8" w:space="0" w:color="auto"/>
            </w:tcBorders>
            <w:shd w:val="clear" w:color="auto" w:fill="auto"/>
            <w:vAlign w:val="bottom"/>
            <w:hideMark/>
          </w:tcPr>
          <w:p w14:paraId="13C1FE4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14445D0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DB2C09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365</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D927CC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014" w:type="dxa"/>
            <w:tcBorders>
              <w:top w:val="nil"/>
              <w:left w:val="nil"/>
              <w:bottom w:val="single" w:sz="4" w:space="0" w:color="auto"/>
              <w:right w:val="nil"/>
            </w:tcBorders>
            <w:shd w:val="clear" w:color="auto" w:fill="E7E6E6" w:themeFill="background2"/>
            <w:noWrap/>
            <w:vAlign w:val="bottom"/>
            <w:hideMark/>
          </w:tcPr>
          <w:p w14:paraId="27C8B82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730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5A4E7BE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24,090</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0FF31EF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E6FBC53" w14:textId="77777777">
        <w:trPr>
          <w:trHeight w:val="540"/>
        </w:trPr>
        <w:tc>
          <w:tcPr>
            <w:tcW w:w="2040" w:type="dxa"/>
            <w:tcBorders>
              <w:top w:val="nil"/>
              <w:left w:val="single" w:sz="8" w:space="0" w:color="auto"/>
              <w:bottom w:val="single" w:sz="4" w:space="0" w:color="auto"/>
              <w:right w:val="single" w:sz="4" w:space="0" w:color="auto"/>
            </w:tcBorders>
            <w:shd w:val="clear" w:color="auto" w:fill="E7E6E6" w:themeFill="background2"/>
            <w:vAlign w:val="center"/>
            <w:hideMark/>
          </w:tcPr>
          <w:p w14:paraId="1B6BCC2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§80.1454(b)</w:t>
            </w:r>
          </w:p>
        </w:tc>
        <w:tc>
          <w:tcPr>
            <w:tcW w:w="2418" w:type="dxa"/>
            <w:tcBorders>
              <w:top w:val="nil"/>
              <w:left w:val="nil"/>
              <w:bottom w:val="single" w:sz="4" w:space="0" w:color="auto"/>
              <w:right w:val="nil"/>
            </w:tcBorders>
            <w:shd w:val="clear" w:color="auto" w:fill="E7E6E6" w:themeFill="background2"/>
            <w:vAlign w:val="center"/>
            <w:hideMark/>
          </w:tcPr>
          <w:p w14:paraId="1184737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renewable fuel production</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214DD6D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4238150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7C8B915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629" w:type="dxa"/>
            <w:tcBorders>
              <w:top w:val="nil"/>
              <w:left w:val="nil"/>
              <w:bottom w:val="single" w:sz="4" w:space="0" w:color="auto"/>
              <w:right w:val="single" w:sz="8" w:space="0" w:color="auto"/>
            </w:tcBorders>
            <w:shd w:val="clear" w:color="auto" w:fill="auto"/>
            <w:vAlign w:val="bottom"/>
            <w:hideMark/>
          </w:tcPr>
          <w:p w14:paraId="1153DB1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5908365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2B19FB5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ECC91A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14" w:type="dxa"/>
            <w:tcBorders>
              <w:top w:val="nil"/>
              <w:left w:val="nil"/>
              <w:bottom w:val="single" w:sz="4" w:space="0" w:color="auto"/>
              <w:right w:val="nil"/>
            </w:tcBorders>
            <w:shd w:val="clear" w:color="auto" w:fill="E7E6E6" w:themeFill="background2"/>
            <w:noWrap/>
            <w:vAlign w:val="bottom"/>
            <w:hideMark/>
          </w:tcPr>
          <w:p w14:paraId="28FD557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19C58CB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792</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4AB4A02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286C6C9E" w14:textId="77777777">
        <w:trPr>
          <w:trHeight w:val="540"/>
        </w:trPr>
        <w:tc>
          <w:tcPr>
            <w:tcW w:w="2040" w:type="dxa"/>
            <w:tcBorders>
              <w:top w:val="nil"/>
              <w:left w:val="single" w:sz="8" w:space="0" w:color="auto"/>
              <w:bottom w:val="single" w:sz="4" w:space="0" w:color="auto"/>
              <w:right w:val="single" w:sz="4" w:space="0" w:color="auto"/>
            </w:tcBorders>
            <w:shd w:val="clear" w:color="auto" w:fill="E7E6E6" w:themeFill="background2"/>
            <w:vAlign w:val="center"/>
            <w:hideMark/>
          </w:tcPr>
          <w:p w14:paraId="6F9887A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§80.1454(p)</w:t>
            </w:r>
          </w:p>
        </w:tc>
        <w:tc>
          <w:tcPr>
            <w:tcW w:w="2418" w:type="dxa"/>
            <w:tcBorders>
              <w:top w:val="nil"/>
              <w:left w:val="nil"/>
              <w:bottom w:val="single" w:sz="4" w:space="0" w:color="auto"/>
              <w:right w:val="nil"/>
            </w:tcBorders>
            <w:shd w:val="clear" w:color="auto" w:fill="E7E6E6" w:themeFill="background2"/>
            <w:vAlign w:val="center"/>
            <w:hideMark/>
          </w:tcPr>
          <w:p w14:paraId="4999FBA5"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Additional </w:t>
            </w:r>
            <w:r>
              <w:rPr>
                <w:rFonts w:eastAsia="Times New Roman" w:cs="Times New Roman"/>
                <w:kern w:val="0"/>
                <w:sz w:val="21"/>
                <w:szCs w:val="21"/>
                <w:lang w:eastAsia="en-US" w:bidi="ar-SA"/>
              </w:rPr>
              <w:t>Records for SRT</w:t>
            </w:r>
            <w:r>
              <w:rPr>
                <w:rFonts w:eastAsia="Times New Roman" w:cs="Times New Roman"/>
                <w:kern w:val="0"/>
                <w:sz w:val="21"/>
                <w:szCs w:val="21"/>
                <w:vertAlign w:val="superscript"/>
                <w:lang w:eastAsia="en-US" w:bidi="ar-SA"/>
              </w:rPr>
              <w:t>6</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3357D64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060" w:type="dxa"/>
            <w:tcBorders>
              <w:top w:val="nil"/>
              <w:left w:val="nil"/>
              <w:bottom w:val="single" w:sz="4" w:space="0" w:color="auto"/>
              <w:right w:val="single" w:sz="4" w:space="0" w:color="auto"/>
            </w:tcBorders>
            <w:shd w:val="clear" w:color="auto" w:fill="auto"/>
            <w:noWrap/>
            <w:vAlign w:val="bottom"/>
            <w:hideMark/>
          </w:tcPr>
          <w:p w14:paraId="4BC3A2B4"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w:t>
            </w:r>
          </w:p>
        </w:tc>
        <w:tc>
          <w:tcPr>
            <w:tcW w:w="1120" w:type="dxa"/>
            <w:tcBorders>
              <w:top w:val="nil"/>
              <w:left w:val="nil"/>
              <w:bottom w:val="single" w:sz="4" w:space="0" w:color="auto"/>
              <w:right w:val="single" w:sz="4" w:space="0" w:color="auto"/>
            </w:tcBorders>
            <w:shd w:val="clear" w:color="auto" w:fill="auto"/>
            <w:noWrap/>
            <w:vAlign w:val="bottom"/>
            <w:hideMark/>
          </w:tcPr>
          <w:p w14:paraId="2B45AF7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629" w:type="dxa"/>
            <w:tcBorders>
              <w:top w:val="nil"/>
              <w:left w:val="nil"/>
              <w:bottom w:val="single" w:sz="4" w:space="0" w:color="auto"/>
              <w:right w:val="single" w:sz="8" w:space="0" w:color="auto"/>
            </w:tcBorders>
            <w:shd w:val="clear" w:color="auto" w:fill="auto"/>
            <w:vAlign w:val="bottom"/>
            <w:hideMark/>
          </w:tcPr>
          <w:p w14:paraId="2B69BE3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33</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12B387E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C721BD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12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10A2B5F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014" w:type="dxa"/>
            <w:tcBorders>
              <w:top w:val="nil"/>
              <w:left w:val="nil"/>
              <w:bottom w:val="single" w:sz="4" w:space="0" w:color="auto"/>
              <w:right w:val="nil"/>
            </w:tcBorders>
            <w:shd w:val="clear" w:color="auto" w:fill="E7E6E6" w:themeFill="background2"/>
            <w:noWrap/>
            <w:vAlign w:val="bottom"/>
            <w:hideMark/>
          </w:tcPr>
          <w:p w14:paraId="4D2A7FD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727667A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792</w:t>
            </w:r>
          </w:p>
        </w:tc>
        <w:tc>
          <w:tcPr>
            <w:tcW w:w="1138" w:type="dxa"/>
            <w:tcBorders>
              <w:top w:val="single" w:sz="4" w:space="0" w:color="auto"/>
              <w:left w:val="single" w:sz="8" w:space="0" w:color="auto"/>
              <w:bottom w:val="nil"/>
              <w:right w:val="single" w:sz="8" w:space="0" w:color="auto"/>
            </w:tcBorders>
            <w:shd w:val="clear" w:color="000000" w:fill="F8FFB9"/>
            <w:vAlign w:val="center"/>
            <w:hideMark/>
          </w:tcPr>
          <w:p w14:paraId="4372DBF0"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3D55AEF" w14:textId="77777777">
        <w:trPr>
          <w:trHeight w:val="555"/>
        </w:trPr>
        <w:tc>
          <w:tcPr>
            <w:tcW w:w="2040" w:type="dxa"/>
            <w:tcBorders>
              <w:top w:val="nil"/>
              <w:left w:val="single" w:sz="8" w:space="0" w:color="auto"/>
              <w:bottom w:val="single" w:sz="4" w:space="0" w:color="auto"/>
              <w:right w:val="single" w:sz="4" w:space="0" w:color="auto"/>
            </w:tcBorders>
            <w:shd w:val="clear" w:color="auto" w:fill="E7E6E6" w:themeFill="background2"/>
            <w:vAlign w:val="center"/>
            <w:hideMark/>
          </w:tcPr>
          <w:p w14:paraId="628FA87C"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§80.1464(b)</w:t>
            </w:r>
          </w:p>
        </w:tc>
        <w:tc>
          <w:tcPr>
            <w:tcW w:w="2418" w:type="dxa"/>
            <w:tcBorders>
              <w:top w:val="nil"/>
              <w:left w:val="nil"/>
              <w:bottom w:val="single" w:sz="8" w:space="0" w:color="auto"/>
              <w:right w:val="nil"/>
            </w:tcBorders>
            <w:shd w:val="clear" w:color="auto" w:fill="E7E6E6" w:themeFill="background2"/>
            <w:vAlign w:val="center"/>
            <w:hideMark/>
          </w:tcPr>
          <w:p w14:paraId="3C3F9B00"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Attest Engagements:</w:t>
            </w:r>
            <w:r>
              <w:rPr>
                <w:rFonts w:eastAsia="Times New Roman" w:cs="Times New Roman"/>
                <w:kern w:val="0"/>
                <w:sz w:val="21"/>
                <w:szCs w:val="21"/>
                <w:lang w:eastAsia="en-US" w:bidi="ar-SA"/>
              </w:rPr>
              <w:t xml:space="preserve"> Annual Attest Engagement Report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6F2A35C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060" w:type="dxa"/>
            <w:tcBorders>
              <w:top w:val="nil"/>
              <w:left w:val="nil"/>
              <w:bottom w:val="single" w:sz="4" w:space="0" w:color="auto"/>
              <w:right w:val="single" w:sz="4" w:space="0" w:color="auto"/>
            </w:tcBorders>
            <w:shd w:val="clear" w:color="auto" w:fill="auto"/>
            <w:noWrap/>
            <w:vAlign w:val="bottom"/>
            <w:hideMark/>
          </w:tcPr>
          <w:p w14:paraId="415EDB6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0</w:t>
            </w:r>
          </w:p>
        </w:tc>
        <w:tc>
          <w:tcPr>
            <w:tcW w:w="1120" w:type="dxa"/>
            <w:tcBorders>
              <w:top w:val="nil"/>
              <w:left w:val="nil"/>
              <w:bottom w:val="single" w:sz="4" w:space="0" w:color="auto"/>
              <w:right w:val="single" w:sz="4" w:space="0" w:color="auto"/>
            </w:tcBorders>
            <w:shd w:val="clear" w:color="auto" w:fill="auto"/>
            <w:noWrap/>
            <w:vAlign w:val="bottom"/>
            <w:hideMark/>
          </w:tcPr>
          <w:p w14:paraId="6F13E7D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24</w:t>
            </w:r>
          </w:p>
        </w:tc>
        <w:tc>
          <w:tcPr>
            <w:tcW w:w="1629" w:type="dxa"/>
            <w:tcBorders>
              <w:top w:val="nil"/>
              <w:left w:val="nil"/>
              <w:bottom w:val="single" w:sz="4" w:space="0" w:color="auto"/>
              <w:right w:val="single" w:sz="8" w:space="0" w:color="auto"/>
            </w:tcBorders>
            <w:shd w:val="clear" w:color="auto" w:fill="auto"/>
            <w:vAlign w:val="bottom"/>
            <w:hideMark/>
          </w:tcPr>
          <w:p w14:paraId="69B212B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color w:val="000000"/>
                <w:sz w:val="21"/>
                <w:szCs w:val="21"/>
              </w:rPr>
              <w:t>4,557</w:t>
            </w:r>
          </w:p>
        </w:tc>
        <w:tc>
          <w:tcPr>
            <w:tcW w:w="1380" w:type="dxa"/>
            <w:tcBorders>
              <w:top w:val="nil"/>
              <w:left w:val="nil"/>
              <w:bottom w:val="single" w:sz="4" w:space="0" w:color="auto"/>
              <w:right w:val="single" w:sz="4" w:space="0" w:color="auto"/>
            </w:tcBorders>
            <w:shd w:val="clear" w:color="auto" w:fill="E7E6E6" w:themeFill="background2"/>
            <w:noWrap/>
            <w:vAlign w:val="bottom"/>
            <w:hideMark/>
          </w:tcPr>
          <w:p w14:paraId="6F861C1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06F0EEC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1</w:t>
            </w:r>
          </w:p>
        </w:tc>
        <w:tc>
          <w:tcPr>
            <w:tcW w:w="1220" w:type="dxa"/>
            <w:tcBorders>
              <w:top w:val="nil"/>
              <w:left w:val="nil"/>
              <w:bottom w:val="single" w:sz="4" w:space="0" w:color="auto"/>
              <w:right w:val="single" w:sz="4" w:space="0" w:color="auto"/>
            </w:tcBorders>
            <w:shd w:val="clear" w:color="auto" w:fill="E7E6E6" w:themeFill="background2"/>
            <w:noWrap/>
            <w:vAlign w:val="bottom"/>
            <w:hideMark/>
          </w:tcPr>
          <w:p w14:paraId="64063B4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2</w:t>
            </w:r>
          </w:p>
        </w:tc>
        <w:tc>
          <w:tcPr>
            <w:tcW w:w="1014" w:type="dxa"/>
            <w:tcBorders>
              <w:top w:val="nil"/>
              <w:left w:val="nil"/>
              <w:bottom w:val="single" w:sz="4" w:space="0" w:color="auto"/>
              <w:right w:val="nil"/>
            </w:tcBorders>
            <w:shd w:val="clear" w:color="auto" w:fill="E7E6E6" w:themeFill="background2"/>
            <w:noWrap/>
            <w:vAlign w:val="bottom"/>
            <w:hideMark/>
          </w:tcPr>
          <w:p w14:paraId="5E1C5EC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50</w:t>
            </w:r>
          </w:p>
        </w:tc>
        <w:tc>
          <w:tcPr>
            <w:tcW w:w="1200" w:type="dxa"/>
            <w:tcBorders>
              <w:top w:val="nil"/>
              <w:left w:val="single" w:sz="4" w:space="0" w:color="auto"/>
              <w:bottom w:val="single" w:sz="4" w:space="0" w:color="auto"/>
              <w:right w:val="nil"/>
            </w:tcBorders>
            <w:shd w:val="clear" w:color="auto" w:fill="E7E6E6" w:themeFill="background2"/>
            <w:noWrap/>
            <w:vAlign w:val="bottom"/>
            <w:hideMark/>
          </w:tcPr>
          <w:p w14:paraId="016D695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sz w:val="21"/>
                <w:szCs w:val="21"/>
              </w:rPr>
              <w:t>9,114</w:t>
            </w:r>
          </w:p>
        </w:tc>
        <w:tc>
          <w:tcPr>
            <w:tcW w:w="1138"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5D6EEF0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2F274B42" w14:textId="77777777">
        <w:trPr>
          <w:trHeight w:val="60"/>
        </w:trPr>
        <w:tc>
          <w:tcPr>
            <w:tcW w:w="4458"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B0E2AEA"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59910D4D"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2CB828F4"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3007D449"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629" w:type="dxa"/>
            <w:tcBorders>
              <w:top w:val="single" w:sz="8" w:space="0" w:color="auto"/>
              <w:left w:val="nil"/>
              <w:bottom w:val="single" w:sz="8" w:space="0" w:color="auto"/>
              <w:right w:val="single" w:sz="4" w:space="0" w:color="auto"/>
            </w:tcBorders>
            <w:shd w:val="clear" w:color="auto" w:fill="auto"/>
            <w:noWrap/>
            <w:vAlign w:val="bottom"/>
            <w:hideMark/>
          </w:tcPr>
          <w:p w14:paraId="3767BE79"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22030C8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2</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6A03CE49"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2F0DB869"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1,523</w:t>
            </w:r>
          </w:p>
        </w:tc>
        <w:tc>
          <w:tcPr>
            <w:tcW w:w="1014" w:type="dxa"/>
            <w:tcBorders>
              <w:top w:val="single" w:sz="8" w:space="0" w:color="auto"/>
              <w:left w:val="nil"/>
              <w:bottom w:val="single" w:sz="8" w:space="0" w:color="auto"/>
              <w:right w:val="single" w:sz="4" w:space="0" w:color="auto"/>
            </w:tcBorders>
            <w:shd w:val="clear" w:color="auto" w:fill="auto"/>
            <w:noWrap/>
            <w:vAlign w:val="bottom"/>
            <w:hideMark/>
          </w:tcPr>
          <w:p w14:paraId="3C687195"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1,027</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14:paraId="0DDA2804"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color w:val="FF0000"/>
                <w:sz w:val="21"/>
                <w:szCs w:val="21"/>
              </w:rPr>
              <w:t>57,759</w:t>
            </w:r>
          </w:p>
        </w:tc>
        <w:tc>
          <w:tcPr>
            <w:tcW w:w="1138" w:type="dxa"/>
            <w:tcBorders>
              <w:top w:val="nil"/>
              <w:left w:val="nil"/>
              <w:bottom w:val="nil"/>
              <w:right w:val="nil"/>
            </w:tcBorders>
            <w:shd w:val="clear" w:color="auto" w:fill="auto"/>
            <w:noWrap/>
            <w:vAlign w:val="bottom"/>
            <w:hideMark/>
          </w:tcPr>
          <w:p w14:paraId="053DCE7D"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117EDF26" w14:textId="77777777" w:rsidR="00E459EE" w:rsidRDefault="005F75DA">
      <w:pPr>
        <w:pStyle w:val="Standard"/>
        <w:rPr>
          <w:sz w:val="20"/>
          <w:szCs w:val="20"/>
        </w:rPr>
      </w:pPr>
      <w:r>
        <w:rPr>
          <w:szCs w:val="20"/>
        </w:rPr>
        <w:t>ASSUMPTIONS FOR TABLE 6(b).10</w:t>
      </w:r>
    </w:p>
    <w:p w14:paraId="4B4362CF" w14:textId="77777777" w:rsidR="00E459EE" w:rsidRDefault="005F75DA">
      <w:pPr>
        <w:pStyle w:val="Standard"/>
        <w:rPr>
          <w:sz w:val="20"/>
          <w:szCs w:val="20"/>
        </w:rPr>
      </w:pPr>
      <w:r>
        <w:rPr>
          <w:sz w:val="20"/>
          <w:szCs w:val="20"/>
          <w:vertAlign w:val="superscript"/>
        </w:rPr>
        <w:t>1</w:t>
      </w:r>
      <w:r>
        <w:rPr>
          <w:sz w:val="20"/>
          <w:szCs w:val="20"/>
        </w:rPr>
        <w:t xml:space="preserve">Estimate number of respondents based on two parties that have expressed interest in the SRT pathway. </w:t>
      </w:r>
    </w:p>
    <w:p w14:paraId="73328D44" w14:textId="77777777" w:rsidR="00E459EE" w:rsidRDefault="005F75DA">
      <w:pPr>
        <w:pStyle w:val="Standard"/>
        <w:rPr>
          <w:sz w:val="20"/>
          <w:szCs w:val="20"/>
        </w:rPr>
      </w:pPr>
      <w:r>
        <w:rPr>
          <w:sz w:val="20"/>
          <w:szCs w:val="20"/>
          <w:vertAlign w:val="superscript"/>
        </w:rPr>
        <w:t>2</w:t>
      </w:r>
      <w:r>
        <w:rPr>
          <w:sz w:val="20"/>
          <w:szCs w:val="20"/>
        </w:rPr>
        <w:t>Initial registration for renewable fuels producers using the SRT pathway would be similar to producers covered under the existing RFS provisions. However, due to additional information required specific to the use of the SRT pathway, these producers would have a slightly greater burden.</w:t>
      </w:r>
    </w:p>
    <w:p w14:paraId="75626362" w14:textId="77777777" w:rsidR="00E459EE" w:rsidRDefault="005F75DA">
      <w:pPr>
        <w:pStyle w:val="Standard"/>
        <w:rPr>
          <w:sz w:val="20"/>
          <w:szCs w:val="20"/>
        </w:rPr>
      </w:pPr>
      <w:r>
        <w:rPr>
          <w:sz w:val="20"/>
          <w:szCs w:val="20"/>
          <w:vertAlign w:val="superscript"/>
        </w:rPr>
        <w:t>3</w:t>
      </w:r>
      <w:r>
        <w:rPr>
          <w:sz w:val="20"/>
          <w:szCs w:val="20"/>
        </w:rPr>
        <w:t>Assumes 33% of companies update registrations per year, rounded up to 1.</w:t>
      </w:r>
    </w:p>
    <w:p w14:paraId="5A8BA634" w14:textId="77777777" w:rsidR="00E459EE" w:rsidRDefault="005F75DA">
      <w:pPr>
        <w:pStyle w:val="Standard"/>
        <w:rPr>
          <w:sz w:val="20"/>
          <w:szCs w:val="20"/>
        </w:rPr>
      </w:pPr>
      <w:r>
        <w:rPr>
          <w:sz w:val="20"/>
          <w:szCs w:val="20"/>
          <w:vertAlign w:val="superscript"/>
        </w:rPr>
        <w:t>4</w:t>
      </w:r>
      <w:r>
        <w:rPr>
          <w:sz w:val="20"/>
          <w:szCs w:val="20"/>
        </w:rPr>
        <w:t>Quarterly periodic and EMTS reporting requirements for renewable fuel producers using the SRT pathway would be identical to other renewable fuel producers in the RFS program.</w:t>
      </w:r>
    </w:p>
    <w:p w14:paraId="3A73FF9E" w14:textId="77777777" w:rsidR="00E459EE" w:rsidRDefault="005F75DA">
      <w:pPr>
        <w:pStyle w:val="Standard"/>
        <w:rPr>
          <w:sz w:val="20"/>
          <w:szCs w:val="20"/>
        </w:rPr>
      </w:pPr>
      <w:r>
        <w:rPr>
          <w:sz w:val="20"/>
          <w:szCs w:val="20"/>
          <w:vertAlign w:val="superscript"/>
        </w:rPr>
        <w:t>5</w:t>
      </w:r>
      <w:r>
        <w:rPr>
          <w:sz w:val="20"/>
          <w:szCs w:val="20"/>
        </w:rPr>
        <w:t>Producers using the SRT pathway would need to generate PTDs and maintain records for renewable fuel production identically to renewable fuel producers under the existing RFS program requirements.</w:t>
      </w:r>
    </w:p>
    <w:p w14:paraId="0F222B5D" w14:textId="77777777" w:rsidR="00E459EE" w:rsidRDefault="005F75DA">
      <w:pPr>
        <w:pStyle w:val="Standard"/>
        <w:rPr>
          <w:rFonts w:asciiTheme="minorHAnsi" w:eastAsiaTheme="minorHAnsi" w:hAnsiTheme="minorHAnsi" w:cstheme="minorBidi"/>
          <w:kern w:val="0"/>
          <w:sz w:val="22"/>
          <w:szCs w:val="22"/>
          <w:lang w:eastAsia="en-US" w:bidi="ar-SA"/>
        </w:rPr>
      </w:pPr>
      <w:r>
        <w:rPr>
          <w:sz w:val="20"/>
          <w:szCs w:val="20"/>
          <w:vertAlign w:val="superscript"/>
        </w:rPr>
        <w:t>6</w:t>
      </w:r>
      <w:r>
        <w:rPr>
          <w:sz w:val="20"/>
          <w:szCs w:val="20"/>
        </w:rPr>
        <w:t>Producers using CCS would need to keep additional records related to the use of the use of SRT feedstocks. Recordkeeping requirements assume monthly (i.e., 12 responses per year) filing.</w:t>
      </w:r>
      <w:r>
        <w:rPr>
          <w:sz w:val="20"/>
          <w:szCs w:val="20"/>
        </w:rPr>
        <w:br w:type="page"/>
      </w:r>
      <w:r>
        <w:rPr>
          <w:sz w:val="20"/>
          <w:szCs w:val="20"/>
        </w:rPr>
        <w:fldChar w:fldCharType="begin"/>
      </w:r>
      <w:r>
        <w:rPr>
          <w:sz w:val="20"/>
          <w:szCs w:val="20"/>
        </w:rPr>
        <w:instrText xml:space="preserve"> LINK Excel.Sheet.12 "\\\\j2756daaec100\\share\\Project\\RFS2\\2015 RFS Program Amendments\\NPRM\\ICR\\Redone ICR Tables.xlsx" "Intended Use Provisions!R1C1:R11C12" \a \f 4 \h </w:instrText>
      </w:r>
      <w:r>
        <w:rPr>
          <w:sz w:val="20"/>
          <w:szCs w:val="20"/>
        </w:rPr>
        <w:fldChar w:fldCharType="separate"/>
      </w:r>
    </w:p>
    <w:p w14:paraId="2CE655E5" w14:textId="77777777" w:rsidR="00E459EE" w:rsidRDefault="005F75DA">
      <w:pPr>
        <w:widowControl/>
        <w:suppressAutoHyphens w:val="0"/>
        <w:autoSpaceDN/>
        <w:textAlignment w:val="auto"/>
        <w:rPr>
          <w:sz w:val="20"/>
          <w:szCs w:val="20"/>
        </w:rPr>
      </w:pPr>
      <w:r>
        <w:rPr>
          <w:sz w:val="20"/>
          <w:szCs w:val="20"/>
        </w:rPr>
        <w:lastRenderedPageBreak/>
        <w:fldChar w:fldCharType="end"/>
      </w:r>
    </w:p>
    <w:tbl>
      <w:tblPr>
        <w:tblW w:w="16500" w:type="dxa"/>
        <w:tblLook w:val="04A0" w:firstRow="1" w:lastRow="0" w:firstColumn="1" w:lastColumn="0" w:noHBand="0" w:noVBand="1"/>
      </w:tblPr>
      <w:tblGrid>
        <w:gridCol w:w="2040"/>
        <w:gridCol w:w="2800"/>
        <w:gridCol w:w="1120"/>
        <w:gridCol w:w="1060"/>
        <w:gridCol w:w="1120"/>
        <w:gridCol w:w="1040"/>
        <w:gridCol w:w="1380"/>
        <w:gridCol w:w="1220"/>
        <w:gridCol w:w="1220"/>
        <w:gridCol w:w="1220"/>
        <w:gridCol w:w="1200"/>
        <w:gridCol w:w="1138"/>
      </w:tblGrid>
      <w:tr w:rsidR="00E459EE" w14:paraId="309769D6" w14:textId="77777777">
        <w:trPr>
          <w:trHeight w:val="60"/>
        </w:trPr>
        <w:tc>
          <w:tcPr>
            <w:tcW w:w="1650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B79F422"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Annual Respondent Burden and Cost by Type of Party</w:t>
            </w:r>
          </w:p>
        </w:tc>
      </w:tr>
      <w:tr w:rsidR="00E459EE" w14:paraId="6775C712" w14:textId="77777777">
        <w:trPr>
          <w:trHeight w:val="60"/>
        </w:trPr>
        <w:tc>
          <w:tcPr>
            <w:tcW w:w="1650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C3F409"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6(b).11 - Intended Use Obligated Parties</w:t>
            </w:r>
          </w:p>
        </w:tc>
      </w:tr>
      <w:tr w:rsidR="00E459EE" w14:paraId="7AFE7BB0" w14:textId="77777777">
        <w:trPr>
          <w:trHeight w:val="60"/>
        </w:trPr>
        <w:tc>
          <w:tcPr>
            <w:tcW w:w="4840" w:type="dxa"/>
            <w:gridSpan w:val="2"/>
            <w:tcBorders>
              <w:top w:val="single" w:sz="8" w:space="0" w:color="auto"/>
              <w:left w:val="single" w:sz="8" w:space="0" w:color="auto"/>
              <w:bottom w:val="single" w:sz="8" w:space="0" w:color="auto"/>
              <w:right w:val="nil"/>
            </w:tcBorders>
            <w:shd w:val="clear" w:color="000000" w:fill="F8F8F8"/>
            <w:noWrap/>
            <w:vAlign w:val="bottom"/>
            <w:hideMark/>
          </w:tcPr>
          <w:p w14:paraId="2C62FA85"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C319941"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240" w:type="dxa"/>
            <w:gridSpan w:val="5"/>
            <w:tcBorders>
              <w:top w:val="single" w:sz="8" w:space="0" w:color="auto"/>
              <w:left w:val="nil"/>
              <w:bottom w:val="single" w:sz="8" w:space="0" w:color="auto"/>
              <w:right w:val="nil"/>
            </w:tcBorders>
            <w:shd w:val="clear" w:color="000000" w:fill="F8F8F8"/>
            <w:noWrap/>
            <w:vAlign w:val="bottom"/>
            <w:hideMark/>
          </w:tcPr>
          <w:p w14:paraId="45D143C1"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080" w:type="dxa"/>
            <w:vMerge w:val="restart"/>
            <w:tcBorders>
              <w:top w:val="nil"/>
              <w:left w:val="single" w:sz="8" w:space="0" w:color="auto"/>
              <w:bottom w:val="nil"/>
              <w:right w:val="single" w:sz="8" w:space="0" w:color="auto"/>
            </w:tcBorders>
            <w:shd w:val="clear" w:color="000000" w:fill="F8FFB9"/>
            <w:vAlign w:val="center"/>
            <w:hideMark/>
          </w:tcPr>
          <w:p w14:paraId="082127B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5A4CEB4D" w14:textId="77777777">
        <w:trPr>
          <w:trHeight w:val="60"/>
        </w:trPr>
        <w:tc>
          <w:tcPr>
            <w:tcW w:w="2040" w:type="dxa"/>
            <w:tcBorders>
              <w:top w:val="nil"/>
              <w:left w:val="single" w:sz="8" w:space="0" w:color="auto"/>
              <w:bottom w:val="single" w:sz="8" w:space="0" w:color="auto"/>
              <w:right w:val="single" w:sz="4" w:space="0" w:color="auto"/>
            </w:tcBorders>
            <w:shd w:val="clear" w:color="000000" w:fill="F8F8F8"/>
            <w:noWrap/>
            <w:vAlign w:val="bottom"/>
            <w:hideMark/>
          </w:tcPr>
          <w:p w14:paraId="0FDBFCB6"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800" w:type="dxa"/>
            <w:tcBorders>
              <w:top w:val="nil"/>
              <w:left w:val="nil"/>
              <w:bottom w:val="single" w:sz="8" w:space="0" w:color="auto"/>
              <w:right w:val="nil"/>
            </w:tcBorders>
            <w:shd w:val="clear" w:color="000000" w:fill="F8F8F8"/>
            <w:vAlign w:val="bottom"/>
            <w:hideMark/>
          </w:tcPr>
          <w:p w14:paraId="057A89A5"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48FF22E8"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7EEAFF4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18518285"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0A08F5D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380" w:type="dxa"/>
            <w:tcBorders>
              <w:top w:val="nil"/>
              <w:left w:val="nil"/>
              <w:bottom w:val="single" w:sz="8" w:space="0" w:color="auto"/>
              <w:right w:val="single" w:sz="4" w:space="0" w:color="auto"/>
            </w:tcBorders>
            <w:shd w:val="clear" w:color="000000" w:fill="F8F8F8"/>
            <w:vAlign w:val="bottom"/>
            <w:hideMark/>
          </w:tcPr>
          <w:p w14:paraId="14CD1F6A"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000000" w:fill="F8F8F8"/>
            <w:vAlign w:val="bottom"/>
            <w:hideMark/>
          </w:tcPr>
          <w:p w14:paraId="1C3AF03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000000" w:fill="F8F8F8"/>
            <w:vAlign w:val="bottom"/>
            <w:hideMark/>
          </w:tcPr>
          <w:p w14:paraId="1C1E2521"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000000" w:fill="F8F8F8"/>
            <w:vAlign w:val="bottom"/>
            <w:hideMark/>
          </w:tcPr>
          <w:p w14:paraId="4B8330D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000000" w:fill="F8F8F8"/>
            <w:vAlign w:val="bottom"/>
            <w:hideMark/>
          </w:tcPr>
          <w:p w14:paraId="02F57762"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080" w:type="dxa"/>
            <w:vMerge/>
            <w:tcBorders>
              <w:top w:val="nil"/>
              <w:left w:val="single" w:sz="8" w:space="0" w:color="auto"/>
              <w:bottom w:val="nil"/>
              <w:right w:val="single" w:sz="8" w:space="0" w:color="auto"/>
            </w:tcBorders>
            <w:vAlign w:val="center"/>
            <w:hideMark/>
          </w:tcPr>
          <w:p w14:paraId="1DF1A4D3"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25992FE7" w14:textId="77777777">
        <w:trPr>
          <w:trHeight w:val="60"/>
        </w:trPr>
        <w:tc>
          <w:tcPr>
            <w:tcW w:w="2040" w:type="dxa"/>
            <w:tcBorders>
              <w:top w:val="single" w:sz="4" w:space="0" w:color="auto"/>
              <w:left w:val="single" w:sz="8" w:space="0" w:color="auto"/>
              <w:bottom w:val="single" w:sz="4" w:space="0" w:color="auto"/>
              <w:right w:val="single" w:sz="4" w:space="0" w:color="auto"/>
            </w:tcBorders>
            <w:shd w:val="clear" w:color="000000" w:fill="F8F8F8"/>
            <w:vAlign w:val="bottom"/>
            <w:hideMark/>
          </w:tcPr>
          <w:p w14:paraId="53EBBFBD"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§80.1450(a)(1)</w:t>
            </w:r>
          </w:p>
        </w:tc>
        <w:tc>
          <w:tcPr>
            <w:tcW w:w="2800" w:type="dxa"/>
            <w:tcBorders>
              <w:top w:val="single" w:sz="4" w:space="0" w:color="auto"/>
              <w:left w:val="nil"/>
              <w:bottom w:val="single" w:sz="4" w:space="0" w:color="auto"/>
              <w:right w:val="nil"/>
            </w:tcBorders>
            <w:shd w:val="clear" w:color="000000" w:fill="F8F8F8"/>
            <w:vAlign w:val="bottom"/>
            <w:hideMark/>
          </w:tcPr>
          <w:p w14:paraId="16279C8A"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Registration:</w:t>
            </w:r>
            <w:r>
              <w:rPr>
                <w:rFonts w:eastAsia="Times New Roman" w:cs="Times New Roman"/>
                <w:kern w:val="0"/>
                <w:sz w:val="21"/>
                <w:szCs w:val="21"/>
                <w:lang w:eastAsia="en-US" w:bidi="ar-SA"/>
              </w:rPr>
              <w:t xml:space="preserve"> Initial Registration</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AD1CA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w:t>
            </w:r>
          </w:p>
        </w:tc>
        <w:tc>
          <w:tcPr>
            <w:tcW w:w="1060" w:type="dxa"/>
            <w:tcBorders>
              <w:top w:val="nil"/>
              <w:left w:val="nil"/>
              <w:bottom w:val="single" w:sz="4" w:space="0" w:color="auto"/>
              <w:right w:val="single" w:sz="4" w:space="0" w:color="auto"/>
            </w:tcBorders>
            <w:shd w:val="clear" w:color="auto" w:fill="auto"/>
            <w:noWrap/>
            <w:vAlign w:val="bottom"/>
            <w:hideMark/>
          </w:tcPr>
          <w:p w14:paraId="7431B15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14:paraId="316D8C6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52AF588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744</w:t>
            </w:r>
          </w:p>
        </w:tc>
        <w:tc>
          <w:tcPr>
            <w:tcW w:w="1380" w:type="dxa"/>
            <w:tcBorders>
              <w:top w:val="nil"/>
              <w:left w:val="nil"/>
              <w:bottom w:val="single" w:sz="4" w:space="0" w:color="auto"/>
              <w:right w:val="single" w:sz="4" w:space="0" w:color="auto"/>
            </w:tcBorders>
            <w:shd w:val="clear" w:color="000000" w:fill="F8F8F8"/>
            <w:noWrap/>
            <w:vAlign w:val="bottom"/>
            <w:hideMark/>
          </w:tcPr>
          <w:p w14:paraId="2BE507F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10</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0C6F7A6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2BB79BE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10</w:t>
            </w:r>
          </w:p>
        </w:tc>
        <w:tc>
          <w:tcPr>
            <w:tcW w:w="1220" w:type="dxa"/>
            <w:tcBorders>
              <w:top w:val="single" w:sz="4" w:space="0" w:color="auto"/>
              <w:left w:val="nil"/>
              <w:bottom w:val="single" w:sz="4" w:space="0" w:color="auto"/>
              <w:right w:val="nil"/>
            </w:tcBorders>
            <w:shd w:val="clear" w:color="000000" w:fill="F8F8F8"/>
            <w:noWrap/>
            <w:vAlign w:val="bottom"/>
            <w:hideMark/>
          </w:tcPr>
          <w:p w14:paraId="3DE5E37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w:t>
            </w:r>
          </w:p>
        </w:tc>
        <w:tc>
          <w:tcPr>
            <w:tcW w:w="1200" w:type="dxa"/>
            <w:tcBorders>
              <w:top w:val="single" w:sz="4" w:space="0" w:color="auto"/>
              <w:left w:val="single" w:sz="4" w:space="0" w:color="auto"/>
              <w:bottom w:val="single" w:sz="4" w:space="0" w:color="auto"/>
              <w:right w:val="nil"/>
            </w:tcBorders>
            <w:shd w:val="clear" w:color="000000" w:fill="F8F8F8"/>
            <w:noWrap/>
            <w:vAlign w:val="bottom"/>
            <w:hideMark/>
          </w:tcPr>
          <w:p w14:paraId="3754E6B6"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7,440</w:t>
            </w:r>
          </w:p>
        </w:tc>
        <w:tc>
          <w:tcPr>
            <w:tcW w:w="1080" w:type="dxa"/>
            <w:tcBorders>
              <w:top w:val="single" w:sz="4" w:space="0" w:color="auto"/>
              <w:left w:val="single" w:sz="8" w:space="0" w:color="auto"/>
              <w:bottom w:val="nil"/>
              <w:right w:val="single" w:sz="8" w:space="0" w:color="auto"/>
            </w:tcBorders>
            <w:shd w:val="clear" w:color="000000" w:fill="F8FFB9"/>
            <w:vAlign w:val="center"/>
            <w:hideMark/>
          </w:tcPr>
          <w:p w14:paraId="4F23A5B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1089E75C" w14:textId="77777777">
        <w:trPr>
          <w:trHeight w:val="7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00CF8345"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§80.1450(d)(2)</w:t>
            </w:r>
          </w:p>
        </w:tc>
        <w:tc>
          <w:tcPr>
            <w:tcW w:w="2800" w:type="dxa"/>
            <w:tcBorders>
              <w:top w:val="nil"/>
              <w:left w:val="nil"/>
              <w:bottom w:val="single" w:sz="4" w:space="0" w:color="auto"/>
              <w:right w:val="nil"/>
            </w:tcBorders>
            <w:shd w:val="clear" w:color="000000" w:fill="F8F8F8"/>
            <w:vAlign w:val="bottom"/>
            <w:hideMark/>
          </w:tcPr>
          <w:p w14:paraId="33EB9315"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Registration: </w:t>
            </w:r>
            <w:r>
              <w:rPr>
                <w:rFonts w:eastAsia="Times New Roman" w:cs="Times New Roman"/>
                <w:kern w:val="0"/>
                <w:sz w:val="21"/>
                <w:szCs w:val="21"/>
                <w:lang w:eastAsia="en-US" w:bidi="ar-SA"/>
              </w:rPr>
              <w:t>Registration Updates</w:t>
            </w:r>
            <w:r>
              <w:rPr>
                <w:rFonts w:eastAsia="Times New Roman" w:cs="Times New Roman"/>
                <w:kern w:val="0"/>
                <w:sz w:val="21"/>
                <w:szCs w:val="21"/>
                <w:vertAlign w:val="superscript"/>
                <w:lang w:eastAsia="en-US" w:bidi="ar-SA"/>
              </w:rPr>
              <w:t>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6F765C2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2</w:t>
            </w:r>
          </w:p>
        </w:tc>
        <w:tc>
          <w:tcPr>
            <w:tcW w:w="1060" w:type="dxa"/>
            <w:tcBorders>
              <w:top w:val="nil"/>
              <w:left w:val="nil"/>
              <w:bottom w:val="single" w:sz="4" w:space="0" w:color="auto"/>
              <w:right w:val="single" w:sz="4" w:space="0" w:color="auto"/>
            </w:tcBorders>
            <w:shd w:val="clear" w:color="auto" w:fill="auto"/>
            <w:noWrap/>
            <w:vAlign w:val="bottom"/>
            <w:hideMark/>
          </w:tcPr>
          <w:p w14:paraId="2AB9389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14:paraId="1EBDC05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040" w:type="dxa"/>
            <w:tcBorders>
              <w:top w:val="nil"/>
              <w:left w:val="nil"/>
              <w:bottom w:val="single" w:sz="4" w:space="0" w:color="auto"/>
              <w:right w:val="single" w:sz="8" w:space="0" w:color="auto"/>
            </w:tcBorders>
            <w:shd w:val="clear" w:color="auto" w:fill="auto"/>
            <w:vAlign w:val="bottom"/>
            <w:hideMark/>
          </w:tcPr>
          <w:p w14:paraId="7089AE1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186</w:t>
            </w:r>
          </w:p>
        </w:tc>
        <w:tc>
          <w:tcPr>
            <w:tcW w:w="1380" w:type="dxa"/>
            <w:tcBorders>
              <w:top w:val="nil"/>
              <w:left w:val="nil"/>
              <w:bottom w:val="single" w:sz="4" w:space="0" w:color="auto"/>
              <w:right w:val="single" w:sz="4" w:space="0" w:color="auto"/>
            </w:tcBorders>
            <w:shd w:val="clear" w:color="000000" w:fill="F8F8F8"/>
            <w:noWrap/>
            <w:vAlign w:val="bottom"/>
            <w:hideMark/>
          </w:tcPr>
          <w:p w14:paraId="6CE971D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4</w:t>
            </w:r>
          </w:p>
        </w:tc>
        <w:tc>
          <w:tcPr>
            <w:tcW w:w="1220" w:type="dxa"/>
            <w:tcBorders>
              <w:top w:val="nil"/>
              <w:left w:val="nil"/>
              <w:bottom w:val="single" w:sz="4" w:space="0" w:color="auto"/>
              <w:right w:val="single" w:sz="4" w:space="0" w:color="auto"/>
            </w:tcBorders>
            <w:shd w:val="clear" w:color="000000" w:fill="F8F8F8"/>
            <w:noWrap/>
            <w:vAlign w:val="bottom"/>
            <w:hideMark/>
          </w:tcPr>
          <w:p w14:paraId="52C02C5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31715E6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4</w:t>
            </w:r>
          </w:p>
        </w:tc>
        <w:tc>
          <w:tcPr>
            <w:tcW w:w="1220" w:type="dxa"/>
            <w:tcBorders>
              <w:top w:val="nil"/>
              <w:left w:val="nil"/>
              <w:bottom w:val="single" w:sz="4" w:space="0" w:color="auto"/>
              <w:right w:val="nil"/>
            </w:tcBorders>
            <w:shd w:val="clear" w:color="000000" w:fill="F8F8F8"/>
            <w:noWrap/>
            <w:vAlign w:val="bottom"/>
            <w:hideMark/>
          </w:tcPr>
          <w:p w14:paraId="654008C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w:t>
            </w:r>
          </w:p>
        </w:tc>
        <w:tc>
          <w:tcPr>
            <w:tcW w:w="1200" w:type="dxa"/>
            <w:tcBorders>
              <w:top w:val="nil"/>
              <w:left w:val="single" w:sz="4" w:space="0" w:color="auto"/>
              <w:bottom w:val="single" w:sz="4" w:space="0" w:color="auto"/>
              <w:right w:val="nil"/>
            </w:tcBorders>
            <w:shd w:val="clear" w:color="000000" w:fill="F8F8F8"/>
            <w:noWrap/>
            <w:vAlign w:val="bottom"/>
            <w:hideMark/>
          </w:tcPr>
          <w:p w14:paraId="649DDFA8"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744</w:t>
            </w:r>
          </w:p>
        </w:tc>
        <w:tc>
          <w:tcPr>
            <w:tcW w:w="1080" w:type="dxa"/>
            <w:tcBorders>
              <w:top w:val="single" w:sz="4" w:space="0" w:color="auto"/>
              <w:left w:val="single" w:sz="8" w:space="0" w:color="auto"/>
              <w:bottom w:val="nil"/>
              <w:right w:val="single" w:sz="8" w:space="0" w:color="auto"/>
            </w:tcBorders>
            <w:shd w:val="clear" w:color="000000" w:fill="F8FFB9"/>
            <w:vAlign w:val="center"/>
            <w:hideMark/>
          </w:tcPr>
          <w:p w14:paraId="179A2BA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7DD70CA2" w14:textId="77777777">
        <w:trPr>
          <w:trHeight w:val="7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157D7CA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§80.1451(a)</w:t>
            </w:r>
          </w:p>
        </w:tc>
        <w:tc>
          <w:tcPr>
            <w:tcW w:w="2800" w:type="dxa"/>
            <w:tcBorders>
              <w:top w:val="nil"/>
              <w:left w:val="nil"/>
              <w:bottom w:val="single" w:sz="4" w:space="0" w:color="auto"/>
              <w:right w:val="nil"/>
            </w:tcBorders>
            <w:shd w:val="clear" w:color="000000" w:fill="F8F8F8"/>
            <w:vAlign w:val="bottom"/>
            <w:hideMark/>
          </w:tcPr>
          <w:p w14:paraId="0A23F06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Annual Compliance Reports</w:t>
            </w:r>
            <w:r>
              <w:rPr>
                <w:rFonts w:eastAsia="Times New Roman" w:cs="Times New Roman"/>
                <w:kern w:val="0"/>
                <w:sz w:val="21"/>
                <w:szCs w:val="21"/>
                <w:vertAlign w:val="superscript"/>
                <w:lang w:eastAsia="en-US" w:bidi="ar-SA"/>
              </w:rPr>
              <w:t>3,4</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1FCA822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1.5</w:t>
            </w:r>
          </w:p>
        </w:tc>
        <w:tc>
          <w:tcPr>
            <w:tcW w:w="1060" w:type="dxa"/>
            <w:tcBorders>
              <w:top w:val="nil"/>
              <w:left w:val="nil"/>
              <w:bottom w:val="single" w:sz="4" w:space="0" w:color="auto"/>
              <w:right w:val="single" w:sz="4" w:space="0" w:color="auto"/>
            </w:tcBorders>
            <w:shd w:val="clear" w:color="auto" w:fill="auto"/>
            <w:noWrap/>
            <w:vAlign w:val="bottom"/>
            <w:hideMark/>
          </w:tcPr>
          <w:p w14:paraId="36F0BB4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14:paraId="4C4CB4A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040" w:type="dxa"/>
            <w:tcBorders>
              <w:top w:val="nil"/>
              <w:left w:val="nil"/>
              <w:bottom w:val="single" w:sz="4" w:space="0" w:color="auto"/>
              <w:right w:val="single" w:sz="8" w:space="0" w:color="auto"/>
            </w:tcBorders>
            <w:shd w:val="clear" w:color="auto" w:fill="auto"/>
            <w:vAlign w:val="bottom"/>
            <w:hideMark/>
          </w:tcPr>
          <w:p w14:paraId="35BC720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140</w:t>
            </w:r>
          </w:p>
        </w:tc>
        <w:tc>
          <w:tcPr>
            <w:tcW w:w="1380" w:type="dxa"/>
            <w:tcBorders>
              <w:top w:val="nil"/>
              <w:left w:val="nil"/>
              <w:bottom w:val="single" w:sz="4" w:space="0" w:color="auto"/>
              <w:right w:val="single" w:sz="4" w:space="0" w:color="auto"/>
            </w:tcBorders>
            <w:shd w:val="clear" w:color="000000" w:fill="F8F8F8"/>
            <w:noWrap/>
            <w:vAlign w:val="bottom"/>
            <w:hideMark/>
          </w:tcPr>
          <w:p w14:paraId="196EF87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10</w:t>
            </w:r>
          </w:p>
        </w:tc>
        <w:tc>
          <w:tcPr>
            <w:tcW w:w="1220" w:type="dxa"/>
            <w:tcBorders>
              <w:top w:val="nil"/>
              <w:left w:val="nil"/>
              <w:bottom w:val="single" w:sz="4" w:space="0" w:color="auto"/>
              <w:right w:val="single" w:sz="4" w:space="0" w:color="auto"/>
            </w:tcBorders>
            <w:shd w:val="clear" w:color="000000" w:fill="F8F8F8"/>
            <w:noWrap/>
            <w:vAlign w:val="bottom"/>
            <w:hideMark/>
          </w:tcPr>
          <w:p w14:paraId="513FC8F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170DD21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10</w:t>
            </w:r>
          </w:p>
        </w:tc>
        <w:tc>
          <w:tcPr>
            <w:tcW w:w="1220" w:type="dxa"/>
            <w:tcBorders>
              <w:top w:val="nil"/>
              <w:left w:val="nil"/>
              <w:bottom w:val="single" w:sz="4" w:space="0" w:color="auto"/>
              <w:right w:val="nil"/>
            </w:tcBorders>
            <w:shd w:val="clear" w:color="000000" w:fill="F8F8F8"/>
            <w:noWrap/>
            <w:vAlign w:val="bottom"/>
            <w:hideMark/>
          </w:tcPr>
          <w:p w14:paraId="0840DFAC"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15</w:t>
            </w:r>
          </w:p>
        </w:tc>
        <w:tc>
          <w:tcPr>
            <w:tcW w:w="1200" w:type="dxa"/>
            <w:tcBorders>
              <w:top w:val="nil"/>
              <w:left w:val="single" w:sz="4" w:space="0" w:color="auto"/>
              <w:bottom w:val="single" w:sz="4" w:space="0" w:color="auto"/>
              <w:right w:val="nil"/>
            </w:tcBorders>
            <w:shd w:val="clear" w:color="000000" w:fill="F8F8F8"/>
            <w:noWrap/>
            <w:vAlign w:val="bottom"/>
            <w:hideMark/>
          </w:tcPr>
          <w:p w14:paraId="3BD188E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1,395</w:t>
            </w:r>
          </w:p>
        </w:tc>
        <w:tc>
          <w:tcPr>
            <w:tcW w:w="1080" w:type="dxa"/>
            <w:tcBorders>
              <w:top w:val="single" w:sz="4" w:space="0" w:color="auto"/>
              <w:left w:val="single" w:sz="8" w:space="0" w:color="auto"/>
              <w:bottom w:val="nil"/>
              <w:right w:val="single" w:sz="8" w:space="0" w:color="auto"/>
            </w:tcBorders>
            <w:shd w:val="clear" w:color="000000" w:fill="F8FFB9"/>
            <w:vAlign w:val="center"/>
            <w:hideMark/>
          </w:tcPr>
          <w:p w14:paraId="707CC679" w14:textId="77777777" w:rsidR="00E459EE" w:rsidRDefault="003A41D2">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RFS0305</w:t>
            </w:r>
          </w:p>
        </w:tc>
      </w:tr>
      <w:tr w:rsidR="00E459EE" w14:paraId="67D0B366" w14:textId="77777777">
        <w:trPr>
          <w:trHeight w:val="70"/>
        </w:trPr>
        <w:tc>
          <w:tcPr>
            <w:tcW w:w="2040" w:type="dxa"/>
            <w:tcBorders>
              <w:top w:val="nil"/>
              <w:left w:val="single" w:sz="8" w:space="0" w:color="auto"/>
              <w:bottom w:val="single" w:sz="4" w:space="0" w:color="auto"/>
              <w:right w:val="single" w:sz="4" w:space="0" w:color="auto"/>
            </w:tcBorders>
            <w:shd w:val="clear" w:color="000000" w:fill="F8F8F8"/>
            <w:vAlign w:val="bottom"/>
            <w:hideMark/>
          </w:tcPr>
          <w:p w14:paraId="3E0CACA5"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§80.1452</w:t>
            </w:r>
          </w:p>
        </w:tc>
        <w:tc>
          <w:tcPr>
            <w:tcW w:w="2800" w:type="dxa"/>
            <w:tcBorders>
              <w:top w:val="nil"/>
              <w:left w:val="nil"/>
              <w:bottom w:val="single" w:sz="4" w:space="0" w:color="auto"/>
              <w:right w:val="nil"/>
            </w:tcBorders>
            <w:shd w:val="clear" w:color="000000" w:fill="F8F8F8"/>
            <w:vAlign w:val="bottom"/>
            <w:hideMark/>
          </w:tcPr>
          <w:p w14:paraId="07481148"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Reporting: </w:t>
            </w:r>
            <w:r>
              <w:rPr>
                <w:rFonts w:eastAsia="Times New Roman" w:cs="Times New Roman"/>
                <w:kern w:val="0"/>
                <w:sz w:val="21"/>
                <w:szCs w:val="21"/>
                <w:lang w:eastAsia="en-US" w:bidi="ar-SA"/>
              </w:rPr>
              <w:t>EMTS</w:t>
            </w:r>
            <w:r>
              <w:rPr>
                <w:rFonts w:eastAsia="Times New Roman" w:cs="Times New Roman"/>
                <w:b/>
                <w:bCs/>
                <w:kern w:val="0"/>
                <w:sz w:val="21"/>
                <w:szCs w:val="21"/>
                <w:lang w:eastAsia="en-US" w:bidi="ar-SA"/>
              </w:rPr>
              <w:t xml:space="preserve"> </w:t>
            </w:r>
            <w:r>
              <w:rPr>
                <w:rFonts w:eastAsia="Times New Roman" w:cs="Times New Roman"/>
                <w:kern w:val="0"/>
                <w:sz w:val="21"/>
                <w:szCs w:val="21"/>
                <w:lang w:eastAsia="en-US" w:bidi="ar-SA"/>
              </w:rPr>
              <w:t>Transactional Reporting</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72CBBAB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0.1</w:t>
            </w:r>
          </w:p>
        </w:tc>
        <w:tc>
          <w:tcPr>
            <w:tcW w:w="1060" w:type="dxa"/>
            <w:tcBorders>
              <w:top w:val="nil"/>
              <w:left w:val="nil"/>
              <w:bottom w:val="single" w:sz="4" w:space="0" w:color="auto"/>
              <w:right w:val="single" w:sz="4" w:space="0" w:color="auto"/>
            </w:tcBorders>
            <w:shd w:val="clear" w:color="auto" w:fill="auto"/>
            <w:noWrap/>
            <w:vAlign w:val="bottom"/>
            <w:hideMark/>
          </w:tcPr>
          <w:p w14:paraId="0CC7DEB9"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14:paraId="6AB80EA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040" w:type="dxa"/>
            <w:tcBorders>
              <w:top w:val="nil"/>
              <w:left w:val="nil"/>
              <w:bottom w:val="single" w:sz="4" w:space="0" w:color="auto"/>
              <w:right w:val="single" w:sz="8" w:space="0" w:color="auto"/>
            </w:tcBorders>
            <w:shd w:val="clear" w:color="auto" w:fill="auto"/>
            <w:vAlign w:val="bottom"/>
            <w:hideMark/>
          </w:tcPr>
          <w:p w14:paraId="32165C3B"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9</w:t>
            </w:r>
          </w:p>
        </w:tc>
        <w:tc>
          <w:tcPr>
            <w:tcW w:w="1380" w:type="dxa"/>
            <w:tcBorders>
              <w:top w:val="nil"/>
              <w:left w:val="nil"/>
              <w:bottom w:val="single" w:sz="4" w:space="0" w:color="auto"/>
              <w:right w:val="single" w:sz="4" w:space="0" w:color="auto"/>
            </w:tcBorders>
            <w:shd w:val="clear" w:color="000000" w:fill="F8F8F8"/>
            <w:noWrap/>
            <w:vAlign w:val="bottom"/>
            <w:hideMark/>
          </w:tcPr>
          <w:p w14:paraId="1EDD152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10</w:t>
            </w:r>
          </w:p>
        </w:tc>
        <w:tc>
          <w:tcPr>
            <w:tcW w:w="1220" w:type="dxa"/>
            <w:tcBorders>
              <w:top w:val="nil"/>
              <w:left w:val="nil"/>
              <w:bottom w:val="single" w:sz="4" w:space="0" w:color="auto"/>
              <w:right w:val="single" w:sz="4" w:space="0" w:color="auto"/>
            </w:tcBorders>
            <w:shd w:val="clear" w:color="000000" w:fill="F8F8F8"/>
            <w:noWrap/>
            <w:vAlign w:val="bottom"/>
            <w:hideMark/>
          </w:tcPr>
          <w:p w14:paraId="2282661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365</w:t>
            </w:r>
          </w:p>
        </w:tc>
        <w:tc>
          <w:tcPr>
            <w:tcW w:w="1220" w:type="dxa"/>
            <w:tcBorders>
              <w:top w:val="nil"/>
              <w:left w:val="nil"/>
              <w:bottom w:val="single" w:sz="4" w:space="0" w:color="auto"/>
              <w:right w:val="single" w:sz="4" w:space="0" w:color="auto"/>
            </w:tcBorders>
            <w:shd w:val="clear" w:color="000000" w:fill="F8F8F8"/>
            <w:noWrap/>
            <w:vAlign w:val="bottom"/>
            <w:hideMark/>
          </w:tcPr>
          <w:p w14:paraId="7F928AA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3,650</w:t>
            </w:r>
          </w:p>
        </w:tc>
        <w:tc>
          <w:tcPr>
            <w:tcW w:w="1220" w:type="dxa"/>
            <w:tcBorders>
              <w:top w:val="nil"/>
              <w:left w:val="nil"/>
              <w:bottom w:val="single" w:sz="4" w:space="0" w:color="auto"/>
              <w:right w:val="nil"/>
            </w:tcBorders>
            <w:shd w:val="clear" w:color="000000" w:fill="F8F8F8"/>
            <w:noWrap/>
            <w:vAlign w:val="bottom"/>
            <w:hideMark/>
          </w:tcPr>
          <w:p w14:paraId="33DDA81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365</w:t>
            </w:r>
          </w:p>
        </w:tc>
        <w:tc>
          <w:tcPr>
            <w:tcW w:w="1200" w:type="dxa"/>
            <w:tcBorders>
              <w:top w:val="nil"/>
              <w:left w:val="single" w:sz="4" w:space="0" w:color="auto"/>
              <w:bottom w:val="single" w:sz="4" w:space="0" w:color="auto"/>
              <w:right w:val="nil"/>
            </w:tcBorders>
            <w:shd w:val="clear" w:color="000000" w:fill="F8F8F8"/>
            <w:noWrap/>
            <w:vAlign w:val="bottom"/>
            <w:hideMark/>
          </w:tcPr>
          <w:p w14:paraId="598582F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33,945</w:t>
            </w:r>
          </w:p>
        </w:tc>
        <w:tc>
          <w:tcPr>
            <w:tcW w:w="1080" w:type="dxa"/>
            <w:tcBorders>
              <w:top w:val="single" w:sz="4" w:space="0" w:color="auto"/>
              <w:left w:val="single" w:sz="8" w:space="0" w:color="auto"/>
              <w:bottom w:val="nil"/>
              <w:right w:val="single" w:sz="8" w:space="0" w:color="auto"/>
            </w:tcBorders>
            <w:shd w:val="clear" w:color="000000" w:fill="F8FFB9"/>
            <w:vAlign w:val="center"/>
            <w:hideMark/>
          </w:tcPr>
          <w:p w14:paraId="71FF3CE9"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56DE8D60" w14:textId="77777777">
        <w:trPr>
          <w:trHeight w:val="70"/>
        </w:trPr>
        <w:tc>
          <w:tcPr>
            <w:tcW w:w="2040" w:type="dxa"/>
            <w:tcBorders>
              <w:top w:val="nil"/>
              <w:left w:val="single" w:sz="8" w:space="0" w:color="auto"/>
              <w:bottom w:val="single" w:sz="4" w:space="0" w:color="auto"/>
              <w:right w:val="single" w:sz="4" w:space="0" w:color="auto"/>
            </w:tcBorders>
            <w:shd w:val="clear" w:color="000000" w:fill="F8F8F8"/>
            <w:vAlign w:val="center"/>
            <w:hideMark/>
          </w:tcPr>
          <w:p w14:paraId="4C7F3A8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§80.1454(a)</w:t>
            </w:r>
          </w:p>
        </w:tc>
        <w:tc>
          <w:tcPr>
            <w:tcW w:w="2800" w:type="dxa"/>
            <w:tcBorders>
              <w:top w:val="nil"/>
              <w:left w:val="nil"/>
              <w:bottom w:val="single" w:sz="4" w:space="0" w:color="auto"/>
              <w:right w:val="nil"/>
            </w:tcBorders>
            <w:shd w:val="clear" w:color="000000" w:fill="F8F8F8"/>
            <w:vAlign w:val="center"/>
            <w:hideMark/>
          </w:tcPr>
          <w:p w14:paraId="47F52B27"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 xml:space="preserve">Recordkeeping: </w:t>
            </w:r>
            <w:r>
              <w:rPr>
                <w:rFonts w:eastAsia="Times New Roman" w:cs="Times New Roman"/>
                <w:kern w:val="0"/>
                <w:sz w:val="21"/>
                <w:szCs w:val="21"/>
                <w:lang w:eastAsia="en-US" w:bidi="ar-SA"/>
              </w:rPr>
              <w:t>Records for Redesignation Obligations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2385566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060" w:type="dxa"/>
            <w:tcBorders>
              <w:top w:val="nil"/>
              <w:left w:val="nil"/>
              <w:bottom w:val="single" w:sz="4" w:space="0" w:color="auto"/>
              <w:right w:val="single" w:sz="4" w:space="0" w:color="auto"/>
            </w:tcBorders>
            <w:shd w:val="clear" w:color="auto" w:fill="auto"/>
            <w:noWrap/>
            <w:vAlign w:val="bottom"/>
            <w:hideMark/>
          </w:tcPr>
          <w:p w14:paraId="4D50821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w:t>
            </w:r>
          </w:p>
        </w:tc>
        <w:tc>
          <w:tcPr>
            <w:tcW w:w="1120" w:type="dxa"/>
            <w:tcBorders>
              <w:top w:val="nil"/>
              <w:left w:val="nil"/>
              <w:bottom w:val="single" w:sz="4" w:space="0" w:color="auto"/>
              <w:right w:val="single" w:sz="4" w:space="0" w:color="auto"/>
            </w:tcBorders>
            <w:shd w:val="clear" w:color="auto" w:fill="auto"/>
            <w:noWrap/>
            <w:vAlign w:val="bottom"/>
            <w:hideMark/>
          </w:tcPr>
          <w:p w14:paraId="249B6993"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040" w:type="dxa"/>
            <w:tcBorders>
              <w:top w:val="nil"/>
              <w:left w:val="nil"/>
              <w:bottom w:val="single" w:sz="4" w:space="0" w:color="auto"/>
              <w:right w:val="single" w:sz="8" w:space="0" w:color="auto"/>
            </w:tcBorders>
            <w:shd w:val="clear" w:color="auto" w:fill="auto"/>
            <w:vAlign w:val="bottom"/>
            <w:hideMark/>
          </w:tcPr>
          <w:p w14:paraId="792DEF3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33</w:t>
            </w:r>
          </w:p>
        </w:tc>
        <w:tc>
          <w:tcPr>
            <w:tcW w:w="1380" w:type="dxa"/>
            <w:tcBorders>
              <w:top w:val="nil"/>
              <w:left w:val="nil"/>
              <w:bottom w:val="single" w:sz="4" w:space="0" w:color="auto"/>
              <w:right w:val="single" w:sz="4" w:space="0" w:color="auto"/>
            </w:tcBorders>
            <w:shd w:val="clear" w:color="000000" w:fill="F8F8F8"/>
            <w:noWrap/>
            <w:vAlign w:val="bottom"/>
            <w:hideMark/>
          </w:tcPr>
          <w:p w14:paraId="723FD1E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10</w:t>
            </w:r>
          </w:p>
        </w:tc>
        <w:tc>
          <w:tcPr>
            <w:tcW w:w="1220" w:type="dxa"/>
            <w:tcBorders>
              <w:top w:val="nil"/>
              <w:left w:val="nil"/>
              <w:bottom w:val="single" w:sz="4" w:space="0" w:color="auto"/>
              <w:right w:val="single" w:sz="4" w:space="0" w:color="auto"/>
            </w:tcBorders>
            <w:shd w:val="clear" w:color="000000" w:fill="F8F8F8"/>
            <w:noWrap/>
            <w:vAlign w:val="bottom"/>
            <w:hideMark/>
          </w:tcPr>
          <w:p w14:paraId="15643D3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12</w:t>
            </w:r>
          </w:p>
        </w:tc>
        <w:tc>
          <w:tcPr>
            <w:tcW w:w="1220" w:type="dxa"/>
            <w:tcBorders>
              <w:top w:val="nil"/>
              <w:left w:val="nil"/>
              <w:bottom w:val="single" w:sz="4" w:space="0" w:color="auto"/>
              <w:right w:val="single" w:sz="4" w:space="0" w:color="auto"/>
            </w:tcBorders>
            <w:shd w:val="clear" w:color="000000" w:fill="F8F8F8"/>
            <w:noWrap/>
            <w:vAlign w:val="bottom"/>
            <w:hideMark/>
          </w:tcPr>
          <w:p w14:paraId="418C7C8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120</w:t>
            </w:r>
          </w:p>
        </w:tc>
        <w:tc>
          <w:tcPr>
            <w:tcW w:w="1220" w:type="dxa"/>
            <w:tcBorders>
              <w:top w:val="nil"/>
              <w:left w:val="nil"/>
              <w:bottom w:val="single" w:sz="4" w:space="0" w:color="auto"/>
              <w:right w:val="nil"/>
            </w:tcBorders>
            <w:shd w:val="clear" w:color="000000" w:fill="F8F8F8"/>
            <w:noWrap/>
            <w:vAlign w:val="bottom"/>
            <w:hideMark/>
          </w:tcPr>
          <w:p w14:paraId="45915CC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120</w:t>
            </w:r>
          </w:p>
        </w:tc>
        <w:tc>
          <w:tcPr>
            <w:tcW w:w="1200" w:type="dxa"/>
            <w:tcBorders>
              <w:top w:val="nil"/>
              <w:left w:val="single" w:sz="4" w:space="0" w:color="auto"/>
              <w:bottom w:val="single" w:sz="4" w:space="0" w:color="auto"/>
              <w:right w:val="nil"/>
            </w:tcBorders>
            <w:shd w:val="clear" w:color="000000" w:fill="F8F8F8"/>
            <w:noWrap/>
            <w:vAlign w:val="bottom"/>
            <w:hideMark/>
          </w:tcPr>
          <w:p w14:paraId="74A1C23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3,960</w:t>
            </w:r>
          </w:p>
        </w:tc>
        <w:tc>
          <w:tcPr>
            <w:tcW w:w="1080"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7CA4BC7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0747A037" w14:textId="77777777">
        <w:trPr>
          <w:trHeight w:val="70"/>
        </w:trPr>
        <w:tc>
          <w:tcPr>
            <w:tcW w:w="2040" w:type="dxa"/>
            <w:tcBorders>
              <w:top w:val="nil"/>
              <w:left w:val="single" w:sz="8" w:space="0" w:color="auto"/>
              <w:bottom w:val="nil"/>
              <w:right w:val="nil"/>
            </w:tcBorders>
            <w:shd w:val="clear" w:color="000000" w:fill="F8F8F8"/>
            <w:vAlign w:val="center"/>
            <w:hideMark/>
          </w:tcPr>
          <w:p w14:paraId="32E2709F"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§80.1464(a)</w:t>
            </w:r>
          </w:p>
        </w:tc>
        <w:tc>
          <w:tcPr>
            <w:tcW w:w="2800" w:type="dxa"/>
            <w:tcBorders>
              <w:top w:val="nil"/>
              <w:left w:val="single" w:sz="4" w:space="0" w:color="auto"/>
              <w:bottom w:val="single" w:sz="8" w:space="0" w:color="auto"/>
              <w:right w:val="nil"/>
            </w:tcBorders>
            <w:shd w:val="clear" w:color="000000" w:fill="F8F8F8"/>
            <w:vAlign w:val="center"/>
            <w:hideMark/>
          </w:tcPr>
          <w:p w14:paraId="340747F3"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Attest Engagements:</w:t>
            </w:r>
            <w:r>
              <w:rPr>
                <w:rFonts w:eastAsia="Times New Roman" w:cs="Times New Roman"/>
                <w:kern w:val="0"/>
                <w:sz w:val="21"/>
                <w:szCs w:val="21"/>
                <w:lang w:eastAsia="en-US" w:bidi="ar-SA"/>
              </w:rPr>
              <w:t xml:space="preserve"> Annual Attest Engagement Report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165FF3F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w:t>
            </w:r>
          </w:p>
        </w:tc>
        <w:tc>
          <w:tcPr>
            <w:tcW w:w="1060" w:type="dxa"/>
            <w:tcBorders>
              <w:top w:val="nil"/>
              <w:left w:val="nil"/>
              <w:bottom w:val="single" w:sz="4" w:space="0" w:color="auto"/>
              <w:right w:val="single" w:sz="4" w:space="0" w:color="auto"/>
            </w:tcBorders>
            <w:shd w:val="clear" w:color="auto" w:fill="auto"/>
            <w:noWrap/>
            <w:vAlign w:val="bottom"/>
            <w:hideMark/>
          </w:tcPr>
          <w:p w14:paraId="7A20326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14:paraId="4039D50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24</w:t>
            </w:r>
          </w:p>
        </w:tc>
        <w:tc>
          <w:tcPr>
            <w:tcW w:w="1040" w:type="dxa"/>
            <w:tcBorders>
              <w:top w:val="nil"/>
              <w:left w:val="nil"/>
              <w:bottom w:val="single" w:sz="4" w:space="0" w:color="auto"/>
              <w:right w:val="single" w:sz="8" w:space="0" w:color="auto"/>
            </w:tcBorders>
            <w:shd w:val="clear" w:color="auto" w:fill="auto"/>
            <w:vAlign w:val="bottom"/>
            <w:hideMark/>
          </w:tcPr>
          <w:p w14:paraId="05AD8DDD"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4,557</w:t>
            </w:r>
          </w:p>
        </w:tc>
        <w:tc>
          <w:tcPr>
            <w:tcW w:w="1380" w:type="dxa"/>
            <w:tcBorders>
              <w:top w:val="nil"/>
              <w:left w:val="nil"/>
              <w:bottom w:val="single" w:sz="4" w:space="0" w:color="auto"/>
              <w:right w:val="single" w:sz="4" w:space="0" w:color="auto"/>
            </w:tcBorders>
            <w:shd w:val="clear" w:color="000000" w:fill="F8F8F8"/>
            <w:noWrap/>
            <w:vAlign w:val="bottom"/>
            <w:hideMark/>
          </w:tcPr>
          <w:p w14:paraId="6E280C7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2</w:t>
            </w:r>
          </w:p>
        </w:tc>
        <w:tc>
          <w:tcPr>
            <w:tcW w:w="1220" w:type="dxa"/>
            <w:tcBorders>
              <w:top w:val="nil"/>
              <w:left w:val="nil"/>
              <w:bottom w:val="single" w:sz="4" w:space="0" w:color="auto"/>
              <w:right w:val="single" w:sz="4" w:space="0" w:color="auto"/>
            </w:tcBorders>
            <w:shd w:val="clear" w:color="000000" w:fill="F8F8F8"/>
            <w:noWrap/>
            <w:vAlign w:val="bottom"/>
            <w:hideMark/>
          </w:tcPr>
          <w:p w14:paraId="1173C98A"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22077A8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2</w:t>
            </w:r>
          </w:p>
        </w:tc>
        <w:tc>
          <w:tcPr>
            <w:tcW w:w="1220" w:type="dxa"/>
            <w:tcBorders>
              <w:top w:val="nil"/>
              <w:left w:val="nil"/>
              <w:bottom w:val="single" w:sz="4" w:space="0" w:color="auto"/>
              <w:right w:val="nil"/>
            </w:tcBorders>
            <w:shd w:val="clear" w:color="000000" w:fill="F8F8F8"/>
            <w:noWrap/>
            <w:vAlign w:val="bottom"/>
            <w:hideMark/>
          </w:tcPr>
          <w:p w14:paraId="13F4DDF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50</w:t>
            </w:r>
          </w:p>
        </w:tc>
        <w:tc>
          <w:tcPr>
            <w:tcW w:w="1200" w:type="dxa"/>
            <w:tcBorders>
              <w:top w:val="nil"/>
              <w:left w:val="single" w:sz="4" w:space="0" w:color="auto"/>
              <w:bottom w:val="single" w:sz="8" w:space="0" w:color="auto"/>
              <w:right w:val="single" w:sz="8" w:space="0" w:color="auto"/>
            </w:tcBorders>
            <w:shd w:val="clear" w:color="000000" w:fill="F8F8F8"/>
            <w:noWrap/>
            <w:vAlign w:val="bottom"/>
            <w:hideMark/>
          </w:tcPr>
          <w:p w14:paraId="33F35047"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9,114</w:t>
            </w:r>
          </w:p>
        </w:tc>
        <w:tc>
          <w:tcPr>
            <w:tcW w:w="1080" w:type="dxa"/>
            <w:tcBorders>
              <w:top w:val="nil"/>
              <w:left w:val="nil"/>
              <w:bottom w:val="single" w:sz="4" w:space="0" w:color="auto"/>
              <w:right w:val="single" w:sz="4" w:space="0" w:color="auto"/>
            </w:tcBorders>
            <w:shd w:val="clear" w:color="000000" w:fill="F8FFB9"/>
            <w:vAlign w:val="center"/>
            <w:hideMark/>
          </w:tcPr>
          <w:p w14:paraId="185B7296"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NA</w:t>
            </w:r>
          </w:p>
        </w:tc>
      </w:tr>
      <w:tr w:rsidR="00E459EE" w14:paraId="4BDB7BB5" w14:textId="77777777">
        <w:trPr>
          <w:trHeight w:val="60"/>
        </w:trPr>
        <w:tc>
          <w:tcPr>
            <w:tcW w:w="48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1DA088A"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04867692"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357F69C0"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7408B2C1"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0CBE854F"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040CF075"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10</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7F717A4A"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3F6D5528"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3,796</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6068A52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638</w:t>
            </w:r>
          </w:p>
        </w:tc>
        <w:tc>
          <w:tcPr>
            <w:tcW w:w="1200" w:type="dxa"/>
            <w:tcBorders>
              <w:top w:val="nil"/>
              <w:left w:val="nil"/>
              <w:bottom w:val="single" w:sz="8" w:space="0" w:color="auto"/>
              <w:right w:val="single" w:sz="4" w:space="0" w:color="auto"/>
            </w:tcBorders>
            <w:shd w:val="clear" w:color="auto" w:fill="auto"/>
            <w:noWrap/>
            <w:vAlign w:val="bottom"/>
            <w:hideMark/>
          </w:tcPr>
          <w:p w14:paraId="2994261A"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56,598</w:t>
            </w:r>
          </w:p>
        </w:tc>
        <w:tc>
          <w:tcPr>
            <w:tcW w:w="1080" w:type="dxa"/>
            <w:tcBorders>
              <w:top w:val="nil"/>
              <w:left w:val="nil"/>
              <w:bottom w:val="nil"/>
              <w:right w:val="nil"/>
            </w:tcBorders>
            <w:shd w:val="clear" w:color="auto" w:fill="auto"/>
            <w:noWrap/>
            <w:vAlign w:val="bottom"/>
            <w:hideMark/>
          </w:tcPr>
          <w:p w14:paraId="33868CFC"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3E25B8A1" w14:textId="77777777" w:rsidR="00E459EE" w:rsidRDefault="005F75DA">
      <w:pPr>
        <w:widowControl/>
        <w:suppressAutoHyphens w:val="0"/>
        <w:autoSpaceDN/>
        <w:textAlignment w:val="auto"/>
        <w:rPr>
          <w:szCs w:val="20"/>
        </w:rPr>
      </w:pPr>
      <w:r>
        <w:rPr>
          <w:szCs w:val="20"/>
        </w:rPr>
        <w:t>ASSUMPTIONS FOR TABLE 6(b).11</w:t>
      </w:r>
    </w:p>
    <w:p w14:paraId="4828C537" w14:textId="77777777" w:rsidR="00E459EE" w:rsidRDefault="005F75DA">
      <w:pPr>
        <w:widowControl/>
        <w:suppressAutoHyphens w:val="0"/>
        <w:autoSpaceDN/>
        <w:textAlignment w:val="auto"/>
        <w:rPr>
          <w:sz w:val="20"/>
          <w:szCs w:val="20"/>
        </w:rPr>
      </w:pPr>
      <w:r>
        <w:rPr>
          <w:sz w:val="20"/>
          <w:szCs w:val="20"/>
          <w:vertAlign w:val="superscript"/>
        </w:rPr>
        <w:t>1</w:t>
      </w:r>
      <w:r>
        <w:rPr>
          <w:sz w:val="20"/>
          <w:szCs w:val="20"/>
        </w:rPr>
        <w:t>Estimate that there would be approximately 10 parties that incur an obligation to retire RINs from redesignating renewable fuels each year.</w:t>
      </w:r>
    </w:p>
    <w:p w14:paraId="5F22A8D1" w14:textId="77777777" w:rsidR="00E459EE" w:rsidRDefault="005F75DA">
      <w:pPr>
        <w:pStyle w:val="Standard"/>
        <w:rPr>
          <w:sz w:val="20"/>
          <w:szCs w:val="20"/>
        </w:rPr>
      </w:pPr>
      <w:r>
        <w:rPr>
          <w:sz w:val="20"/>
          <w:szCs w:val="20"/>
          <w:vertAlign w:val="superscript"/>
        </w:rPr>
        <w:t>2</w:t>
      </w:r>
      <w:r>
        <w:rPr>
          <w:sz w:val="20"/>
          <w:szCs w:val="20"/>
        </w:rPr>
        <w:t>Assumes 33% of companies update registrations per year, rounded up to 4.</w:t>
      </w:r>
    </w:p>
    <w:p w14:paraId="4FB351F6" w14:textId="77777777" w:rsidR="00E459EE" w:rsidRDefault="005F75DA">
      <w:pPr>
        <w:widowControl/>
        <w:suppressAutoHyphens w:val="0"/>
        <w:autoSpaceDN/>
        <w:textAlignment w:val="auto"/>
        <w:rPr>
          <w:sz w:val="20"/>
          <w:szCs w:val="20"/>
        </w:rPr>
      </w:pPr>
      <w:r>
        <w:rPr>
          <w:sz w:val="20"/>
          <w:szCs w:val="20"/>
          <w:vertAlign w:val="superscript"/>
        </w:rPr>
        <w:t>3</w:t>
      </w:r>
      <w:r>
        <w:rPr>
          <w:sz w:val="20"/>
          <w:szCs w:val="20"/>
        </w:rPr>
        <w:t xml:space="preserve">Annual compliance reports for these parties are identical as those for obligated parties and exporters of renewable fuel under existing RFS program requirements. </w:t>
      </w:r>
    </w:p>
    <w:p w14:paraId="2D5C23C2" w14:textId="2B6E09BF" w:rsidR="00E459EE" w:rsidRDefault="005F75DA">
      <w:pPr>
        <w:widowControl/>
        <w:suppressAutoHyphens w:val="0"/>
        <w:autoSpaceDN/>
        <w:textAlignment w:val="auto"/>
        <w:rPr>
          <w:sz w:val="20"/>
          <w:szCs w:val="20"/>
        </w:rPr>
      </w:pPr>
      <w:r>
        <w:rPr>
          <w:sz w:val="20"/>
          <w:szCs w:val="20"/>
          <w:vertAlign w:val="superscript"/>
        </w:rPr>
        <w:t>4</w:t>
      </w:r>
      <w:r>
        <w:rPr>
          <w:sz w:val="20"/>
          <w:szCs w:val="20"/>
        </w:rPr>
        <w:t>See docketed sample form entitled, “RFS305” for a sample of the annual compliance report.</w:t>
      </w:r>
    </w:p>
    <w:p w14:paraId="42D497B4" w14:textId="77777777" w:rsidR="00E459EE" w:rsidRDefault="005F75DA">
      <w:pPr>
        <w:widowControl/>
        <w:suppressAutoHyphens w:val="0"/>
        <w:autoSpaceDN/>
        <w:spacing w:after="160" w:line="259" w:lineRule="auto"/>
        <w:textAlignment w:val="auto"/>
        <w:rPr>
          <w:sz w:val="20"/>
          <w:szCs w:val="20"/>
        </w:rPr>
      </w:pPr>
      <w:r>
        <w:rPr>
          <w:sz w:val="20"/>
          <w:szCs w:val="20"/>
        </w:rPr>
        <w:br w:type="page"/>
      </w:r>
    </w:p>
    <w:tbl>
      <w:tblPr>
        <w:tblW w:w="16500" w:type="dxa"/>
        <w:tblLook w:val="04A0" w:firstRow="1" w:lastRow="0" w:firstColumn="1" w:lastColumn="0" w:noHBand="0" w:noVBand="1"/>
      </w:tblPr>
      <w:tblGrid>
        <w:gridCol w:w="2040"/>
        <w:gridCol w:w="2800"/>
        <w:gridCol w:w="1120"/>
        <w:gridCol w:w="1060"/>
        <w:gridCol w:w="1120"/>
        <w:gridCol w:w="1040"/>
        <w:gridCol w:w="1380"/>
        <w:gridCol w:w="1220"/>
        <w:gridCol w:w="1220"/>
        <w:gridCol w:w="1220"/>
        <w:gridCol w:w="1200"/>
        <w:gridCol w:w="1138"/>
      </w:tblGrid>
      <w:tr w:rsidR="00E459EE" w14:paraId="7528776A" w14:textId="77777777">
        <w:trPr>
          <w:trHeight w:val="315"/>
        </w:trPr>
        <w:tc>
          <w:tcPr>
            <w:tcW w:w="1650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0CCA024"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Annual Respondent Burden and Cost by Type of Party</w:t>
            </w:r>
          </w:p>
        </w:tc>
      </w:tr>
      <w:tr w:rsidR="00E459EE" w14:paraId="64E69472" w14:textId="77777777">
        <w:trPr>
          <w:trHeight w:val="315"/>
        </w:trPr>
        <w:tc>
          <w:tcPr>
            <w:tcW w:w="1650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C7A24E8"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6(b).12 - Obligated Parties</w:t>
            </w:r>
          </w:p>
        </w:tc>
      </w:tr>
      <w:tr w:rsidR="00E459EE" w14:paraId="11E68AA6" w14:textId="77777777">
        <w:trPr>
          <w:trHeight w:val="315"/>
        </w:trPr>
        <w:tc>
          <w:tcPr>
            <w:tcW w:w="4840" w:type="dxa"/>
            <w:gridSpan w:val="2"/>
            <w:tcBorders>
              <w:top w:val="single" w:sz="8" w:space="0" w:color="auto"/>
              <w:left w:val="single" w:sz="8" w:space="0" w:color="auto"/>
              <w:bottom w:val="single" w:sz="8" w:space="0" w:color="auto"/>
              <w:right w:val="nil"/>
            </w:tcBorders>
            <w:shd w:val="clear" w:color="000000" w:fill="F8F8F8"/>
            <w:noWrap/>
            <w:vAlign w:val="bottom"/>
            <w:hideMark/>
          </w:tcPr>
          <w:p w14:paraId="7CD9D425"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Information Collection Activity</w:t>
            </w:r>
          </w:p>
        </w:tc>
        <w:tc>
          <w:tcPr>
            <w:tcW w:w="4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BAC7D83"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Hours and Cost</w:t>
            </w:r>
          </w:p>
        </w:tc>
        <w:tc>
          <w:tcPr>
            <w:tcW w:w="6240" w:type="dxa"/>
            <w:gridSpan w:val="5"/>
            <w:tcBorders>
              <w:top w:val="single" w:sz="8" w:space="0" w:color="auto"/>
              <w:left w:val="nil"/>
              <w:bottom w:val="single" w:sz="8" w:space="0" w:color="auto"/>
              <w:right w:val="nil"/>
            </w:tcBorders>
            <w:shd w:val="clear" w:color="000000" w:fill="F8F8F8"/>
            <w:noWrap/>
            <w:vAlign w:val="bottom"/>
            <w:hideMark/>
          </w:tcPr>
          <w:p w14:paraId="3357DDFC" w14:textId="77777777" w:rsidR="00E459EE" w:rsidRDefault="005F75DA">
            <w:pPr>
              <w:widowControl/>
              <w:suppressAutoHyphens w:val="0"/>
              <w:autoSpaceDN/>
              <w:jc w:val="center"/>
              <w:textAlignment w:val="auto"/>
              <w:rPr>
                <w:rFonts w:eastAsia="Times New Roman" w:cs="Times New Roman"/>
                <w:b/>
                <w:bCs/>
                <w:color w:val="000000"/>
                <w:kern w:val="0"/>
                <w:sz w:val="21"/>
                <w:szCs w:val="21"/>
                <w:lang w:eastAsia="en-US" w:bidi="ar-SA"/>
              </w:rPr>
            </w:pPr>
            <w:r>
              <w:rPr>
                <w:rFonts w:eastAsia="Times New Roman" w:cs="Times New Roman"/>
                <w:b/>
                <w:bCs/>
                <w:color w:val="000000"/>
                <w:kern w:val="0"/>
                <w:sz w:val="21"/>
                <w:szCs w:val="21"/>
                <w:lang w:eastAsia="en-US" w:bidi="ar-SA"/>
              </w:rPr>
              <w:t>Total Hours and Cost</w:t>
            </w:r>
          </w:p>
        </w:tc>
        <w:tc>
          <w:tcPr>
            <w:tcW w:w="1080" w:type="dxa"/>
            <w:vMerge w:val="restart"/>
            <w:tcBorders>
              <w:top w:val="nil"/>
              <w:left w:val="single" w:sz="8" w:space="0" w:color="auto"/>
              <w:bottom w:val="nil"/>
              <w:right w:val="single" w:sz="8" w:space="0" w:color="auto"/>
            </w:tcBorders>
            <w:shd w:val="clear" w:color="000000" w:fill="F8FFB9"/>
            <w:vAlign w:val="center"/>
            <w:hideMark/>
          </w:tcPr>
          <w:p w14:paraId="4CEBECC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Applicable Form</w:t>
            </w:r>
          </w:p>
        </w:tc>
      </w:tr>
      <w:tr w:rsidR="00E459EE" w14:paraId="58D88970" w14:textId="77777777">
        <w:trPr>
          <w:trHeight w:val="1110"/>
        </w:trPr>
        <w:tc>
          <w:tcPr>
            <w:tcW w:w="2040" w:type="dxa"/>
            <w:tcBorders>
              <w:top w:val="nil"/>
              <w:left w:val="single" w:sz="8" w:space="0" w:color="auto"/>
              <w:bottom w:val="single" w:sz="8" w:space="0" w:color="auto"/>
              <w:right w:val="single" w:sz="4" w:space="0" w:color="auto"/>
            </w:tcBorders>
            <w:shd w:val="clear" w:color="000000" w:fill="F8F8F8"/>
            <w:noWrap/>
            <w:vAlign w:val="bottom"/>
            <w:hideMark/>
          </w:tcPr>
          <w:p w14:paraId="5461B04F"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Citation</w:t>
            </w:r>
          </w:p>
        </w:tc>
        <w:tc>
          <w:tcPr>
            <w:tcW w:w="2800" w:type="dxa"/>
            <w:tcBorders>
              <w:top w:val="nil"/>
              <w:left w:val="nil"/>
              <w:bottom w:val="single" w:sz="8" w:space="0" w:color="auto"/>
              <w:right w:val="nil"/>
            </w:tcBorders>
            <w:shd w:val="clear" w:color="000000" w:fill="F8F8F8"/>
            <w:vAlign w:val="bottom"/>
            <w:hideMark/>
          </w:tcPr>
          <w:p w14:paraId="42B5B4C5"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4FE4BCE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152F29B5"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Clerical Only Hours/ Response</w:t>
            </w:r>
          </w:p>
        </w:tc>
        <w:tc>
          <w:tcPr>
            <w:tcW w:w="1120" w:type="dxa"/>
            <w:tcBorders>
              <w:top w:val="nil"/>
              <w:left w:val="nil"/>
              <w:bottom w:val="single" w:sz="8" w:space="0" w:color="auto"/>
              <w:right w:val="single" w:sz="4" w:space="0" w:color="auto"/>
            </w:tcBorders>
            <w:shd w:val="clear" w:color="auto" w:fill="auto"/>
            <w:vAlign w:val="bottom"/>
            <w:hideMark/>
          </w:tcPr>
          <w:p w14:paraId="4D5FC50B"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 xml:space="preserve">Purchased Services Hours/ Response </w:t>
            </w:r>
          </w:p>
        </w:tc>
        <w:tc>
          <w:tcPr>
            <w:tcW w:w="1040" w:type="dxa"/>
            <w:tcBorders>
              <w:top w:val="nil"/>
              <w:left w:val="nil"/>
              <w:bottom w:val="single" w:sz="8" w:space="0" w:color="auto"/>
              <w:right w:val="single" w:sz="8" w:space="0" w:color="auto"/>
            </w:tcBorders>
            <w:shd w:val="clear" w:color="auto" w:fill="auto"/>
            <w:vAlign w:val="bottom"/>
            <w:hideMark/>
          </w:tcPr>
          <w:p w14:paraId="6E170AFD"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 Response (dollars)</w:t>
            </w:r>
          </w:p>
        </w:tc>
        <w:tc>
          <w:tcPr>
            <w:tcW w:w="1380" w:type="dxa"/>
            <w:tcBorders>
              <w:top w:val="nil"/>
              <w:left w:val="nil"/>
              <w:bottom w:val="single" w:sz="8" w:space="0" w:color="auto"/>
              <w:right w:val="single" w:sz="4" w:space="0" w:color="auto"/>
            </w:tcBorders>
            <w:shd w:val="clear" w:color="000000" w:fill="F8F8F8"/>
            <w:vAlign w:val="bottom"/>
            <w:hideMark/>
          </w:tcPr>
          <w:p w14:paraId="050D7D81" w14:textId="77777777" w:rsidR="00E459EE" w:rsidRDefault="005F75DA">
            <w:pPr>
              <w:widowControl/>
              <w:suppressAutoHyphens w:val="0"/>
              <w:autoSpaceDN/>
              <w:jc w:val="center"/>
              <w:textAlignment w:val="auto"/>
              <w:rPr>
                <w:rFonts w:eastAsia="Times New Roman" w:cs="Times New Roman"/>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r>
              <w:rPr>
                <w:rFonts w:eastAsia="Times New Roman" w:cs="Times New Roman"/>
                <w:iCs/>
                <w:color w:val="000000"/>
                <w:kern w:val="0"/>
                <w:sz w:val="21"/>
                <w:szCs w:val="21"/>
                <w:vertAlign w:val="superscript"/>
                <w:lang w:eastAsia="en-US" w:bidi="ar-SA"/>
              </w:rPr>
              <w:t>1</w:t>
            </w:r>
          </w:p>
        </w:tc>
        <w:tc>
          <w:tcPr>
            <w:tcW w:w="1220" w:type="dxa"/>
            <w:tcBorders>
              <w:top w:val="nil"/>
              <w:left w:val="nil"/>
              <w:bottom w:val="single" w:sz="8" w:space="0" w:color="auto"/>
              <w:right w:val="single" w:sz="4" w:space="0" w:color="auto"/>
            </w:tcBorders>
            <w:shd w:val="clear" w:color="000000" w:fill="F8F8F8"/>
            <w:vAlign w:val="bottom"/>
            <w:hideMark/>
          </w:tcPr>
          <w:p w14:paraId="71947F6C"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Responses per party/year</w:t>
            </w:r>
          </w:p>
        </w:tc>
        <w:tc>
          <w:tcPr>
            <w:tcW w:w="1220" w:type="dxa"/>
            <w:tcBorders>
              <w:top w:val="nil"/>
              <w:left w:val="nil"/>
              <w:bottom w:val="single" w:sz="8" w:space="0" w:color="auto"/>
              <w:right w:val="single" w:sz="4" w:space="0" w:color="auto"/>
            </w:tcBorders>
            <w:shd w:val="clear" w:color="000000" w:fill="F8F8F8"/>
            <w:vAlign w:val="bottom"/>
            <w:hideMark/>
          </w:tcPr>
          <w:p w14:paraId="68E94FF6"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20" w:type="dxa"/>
            <w:tcBorders>
              <w:top w:val="nil"/>
              <w:left w:val="nil"/>
              <w:bottom w:val="single" w:sz="8" w:space="0" w:color="auto"/>
              <w:right w:val="single" w:sz="4" w:space="0" w:color="auto"/>
            </w:tcBorders>
            <w:shd w:val="clear" w:color="000000" w:fill="F8F8F8"/>
            <w:vAlign w:val="bottom"/>
            <w:hideMark/>
          </w:tcPr>
          <w:p w14:paraId="59AD88C7"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200" w:type="dxa"/>
            <w:tcBorders>
              <w:top w:val="nil"/>
              <w:left w:val="nil"/>
              <w:bottom w:val="single" w:sz="8" w:space="0" w:color="auto"/>
              <w:right w:val="single" w:sz="8" w:space="0" w:color="auto"/>
            </w:tcBorders>
            <w:shd w:val="clear" w:color="000000" w:fill="F8F8F8"/>
            <w:vAlign w:val="bottom"/>
            <w:hideMark/>
          </w:tcPr>
          <w:p w14:paraId="71651028"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c>
          <w:tcPr>
            <w:tcW w:w="1080" w:type="dxa"/>
            <w:vMerge/>
            <w:tcBorders>
              <w:top w:val="nil"/>
              <w:left w:val="single" w:sz="8" w:space="0" w:color="auto"/>
              <w:bottom w:val="nil"/>
              <w:right w:val="single" w:sz="8" w:space="0" w:color="auto"/>
            </w:tcBorders>
            <w:vAlign w:val="center"/>
            <w:hideMark/>
          </w:tcPr>
          <w:p w14:paraId="4D29D4E1" w14:textId="77777777" w:rsidR="00E459EE" w:rsidRDefault="00E459EE">
            <w:pPr>
              <w:widowControl/>
              <w:suppressAutoHyphens w:val="0"/>
              <w:autoSpaceDN/>
              <w:textAlignment w:val="auto"/>
              <w:rPr>
                <w:rFonts w:eastAsia="Times New Roman" w:cs="Times New Roman"/>
                <w:color w:val="000000"/>
                <w:kern w:val="0"/>
                <w:sz w:val="21"/>
                <w:szCs w:val="21"/>
                <w:lang w:eastAsia="en-US" w:bidi="ar-SA"/>
              </w:rPr>
            </w:pPr>
          </w:p>
        </w:tc>
      </w:tr>
      <w:tr w:rsidR="00E459EE" w14:paraId="038BA9F3" w14:textId="77777777">
        <w:trPr>
          <w:trHeight w:val="570"/>
        </w:trPr>
        <w:tc>
          <w:tcPr>
            <w:tcW w:w="2040" w:type="dxa"/>
            <w:tcBorders>
              <w:top w:val="single" w:sz="4" w:space="0" w:color="auto"/>
              <w:left w:val="single" w:sz="8" w:space="0" w:color="auto"/>
              <w:bottom w:val="single" w:sz="4" w:space="0" w:color="auto"/>
              <w:right w:val="single" w:sz="4" w:space="0" w:color="auto"/>
            </w:tcBorders>
            <w:shd w:val="clear" w:color="000000" w:fill="F8F8F8"/>
            <w:vAlign w:val="bottom"/>
            <w:hideMark/>
          </w:tcPr>
          <w:p w14:paraId="061D7564"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§80.1451(a)(1)</w:t>
            </w:r>
          </w:p>
        </w:tc>
        <w:tc>
          <w:tcPr>
            <w:tcW w:w="2800" w:type="dxa"/>
            <w:tcBorders>
              <w:top w:val="single" w:sz="4" w:space="0" w:color="auto"/>
              <w:left w:val="nil"/>
              <w:bottom w:val="single" w:sz="4" w:space="0" w:color="auto"/>
              <w:right w:val="nil"/>
            </w:tcBorders>
            <w:shd w:val="clear" w:color="000000" w:fill="F8F8F8"/>
            <w:vAlign w:val="bottom"/>
            <w:hideMark/>
          </w:tcPr>
          <w:p w14:paraId="332D3FCA" w14:textId="77777777" w:rsidR="00E459EE" w:rsidRDefault="005F75DA">
            <w:pPr>
              <w:widowControl/>
              <w:suppressAutoHyphens w:val="0"/>
              <w:autoSpaceDN/>
              <w:textAlignment w:val="auto"/>
              <w:rPr>
                <w:rFonts w:eastAsia="Times New Roman" w:cs="Times New Roman"/>
                <w:kern w:val="0"/>
                <w:sz w:val="21"/>
                <w:szCs w:val="21"/>
                <w:lang w:eastAsia="en-US" w:bidi="ar-SA"/>
              </w:rPr>
            </w:pPr>
            <w:r>
              <w:rPr>
                <w:rFonts w:eastAsia="Times New Roman" w:cs="Times New Roman"/>
                <w:b/>
                <w:bCs/>
                <w:kern w:val="0"/>
                <w:sz w:val="21"/>
                <w:szCs w:val="21"/>
                <w:lang w:eastAsia="en-US" w:bidi="ar-SA"/>
              </w:rPr>
              <w:t>Reporting:</w:t>
            </w:r>
            <w:r>
              <w:rPr>
                <w:rFonts w:eastAsia="Times New Roman" w:cs="Times New Roman"/>
                <w:kern w:val="0"/>
                <w:sz w:val="21"/>
                <w:szCs w:val="21"/>
                <w:lang w:eastAsia="en-US" w:bidi="ar-SA"/>
              </w:rPr>
              <w:t xml:space="preserve"> Annual Compliance Reports</w:t>
            </w:r>
            <w:r>
              <w:rPr>
                <w:rFonts w:eastAsia="Times New Roman" w:cs="Times New Roman"/>
                <w:kern w:val="0"/>
                <w:sz w:val="21"/>
                <w:szCs w:val="21"/>
                <w:vertAlign w:val="superscript"/>
                <w:lang w:eastAsia="en-US" w:bidi="ar-SA"/>
              </w:rPr>
              <w:t>2</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F506A4"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0.5</w:t>
            </w:r>
          </w:p>
        </w:tc>
        <w:tc>
          <w:tcPr>
            <w:tcW w:w="1060" w:type="dxa"/>
            <w:tcBorders>
              <w:top w:val="nil"/>
              <w:left w:val="nil"/>
              <w:bottom w:val="single" w:sz="4" w:space="0" w:color="auto"/>
              <w:right w:val="single" w:sz="4" w:space="0" w:color="auto"/>
            </w:tcBorders>
            <w:shd w:val="clear" w:color="auto" w:fill="auto"/>
            <w:noWrap/>
            <w:vAlign w:val="bottom"/>
            <w:hideMark/>
          </w:tcPr>
          <w:p w14:paraId="780CAEBF"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14:paraId="1998C82E"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0</w:t>
            </w:r>
          </w:p>
        </w:tc>
        <w:tc>
          <w:tcPr>
            <w:tcW w:w="1040" w:type="dxa"/>
            <w:tcBorders>
              <w:top w:val="single" w:sz="4" w:space="0" w:color="auto"/>
              <w:left w:val="nil"/>
              <w:bottom w:val="single" w:sz="4" w:space="0" w:color="auto"/>
              <w:right w:val="single" w:sz="8" w:space="0" w:color="auto"/>
            </w:tcBorders>
            <w:shd w:val="clear" w:color="auto" w:fill="auto"/>
            <w:vAlign w:val="bottom"/>
            <w:hideMark/>
          </w:tcPr>
          <w:p w14:paraId="15444AA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47</w:t>
            </w:r>
          </w:p>
        </w:tc>
        <w:tc>
          <w:tcPr>
            <w:tcW w:w="1380" w:type="dxa"/>
            <w:tcBorders>
              <w:top w:val="nil"/>
              <w:left w:val="nil"/>
              <w:bottom w:val="single" w:sz="4" w:space="0" w:color="auto"/>
              <w:right w:val="single" w:sz="4" w:space="0" w:color="auto"/>
            </w:tcBorders>
            <w:shd w:val="clear" w:color="000000" w:fill="F8F8F8"/>
            <w:noWrap/>
            <w:vAlign w:val="bottom"/>
            <w:hideMark/>
          </w:tcPr>
          <w:p w14:paraId="77F1B100"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150</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0E204B42"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07F3D901"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150</w:t>
            </w:r>
          </w:p>
        </w:tc>
        <w:tc>
          <w:tcPr>
            <w:tcW w:w="1220" w:type="dxa"/>
            <w:tcBorders>
              <w:top w:val="single" w:sz="4" w:space="0" w:color="auto"/>
              <w:left w:val="nil"/>
              <w:bottom w:val="single" w:sz="4" w:space="0" w:color="auto"/>
              <w:right w:val="nil"/>
            </w:tcBorders>
            <w:shd w:val="clear" w:color="000000" w:fill="F8F8F8"/>
            <w:noWrap/>
            <w:vAlign w:val="bottom"/>
            <w:hideMark/>
          </w:tcPr>
          <w:p w14:paraId="30D8AD6B"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75</w:t>
            </w:r>
          </w:p>
        </w:tc>
        <w:tc>
          <w:tcPr>
            <w:tcW w:w="1200" w:type="dxa"/>
            <w:tcBorders>
              <w:top w:val="single" w:sz="4" w:space="0" w:color="auto"/>
              <w:left w:val="single" w:sz="4" w:space="0" w:color="auto"/>
              <w:bottom w:val="single" w:sz="4" w:space="0" w:color="auto"/>
              <w:right w:val="nil"/>
            </w:tcBorders>
            <w:shd w:val="clear" w:color="000000" w:fill="F8F8F8"/>
            <w:noWrap/>
            <w:vAlign w:val="bottom"/>
            <w:hideMark/>
          </w:tcPr>
          <w:p w14:paraId="0381A23D" w14:textId="77777777" w:rsidR="00E459EE" w:rsidRDefault="005F75DA">
            <w:pPr>
              <w:widowControl/>
              <w:suppressAutoHyphens w:val="0"/>
              <w:autoSpaceDN/>
              <w:jc w:val="center"/>
              <w:textAlignment w:val="auto"/>
              <w:rPr>
                <w:rFonts w:eastAsia="Times New Roman" w:cs="Times New Roman"/>
                <w:kern w:val="0"/>
                <w:sz w:val="21"/>
                <w:szCs w:val="21"/>
                <w:lang w:eastAsia="en-US" w:bidi="ar-SA"/>
              </w:rPr>
            </w:pPr>
            <w:r>
              <w:rPr>
                <w:rFonts w:eastAsia="Times New Roman" w:cs="Times New Roman"/>
                <w:kern w:val="0"/>
                <w:sz w:val="21"/>
                <w:szCs w:val="21"/>
                <w:lang w:eastAsia="en-US" w:bidi="ar-SA"/>
              </w:rPr>
              <w:t>6,975</w:t>
            </w:r>
          </w:p>
        </w:tc>
        <w:tc>
          <w:tcPr>
            <w:tcW w:w="1080" w:type="dxa"/>
            <w:tcBorders>
              <w:top w:val="single" w:sz="4" w:space="0" w:color="auto"/>
              <w:left w:val="single" w:sz="8" w:space="0" w:color="auto"/>
              <w:bottom w:val="single" w:sz="4" w:space="0" w:color="auto"/>
              <w:right w:val="single" w:sz="8" w:space="0" w:color="auto"/>
            </w:tcBorders>
            <w:shd w:val="clear" w:color="000000" w:fill="F8FFB9"/>
            <w:vAlign w:val="center"/>
            <w:hideMark/>
          </w:tcPr>
          <w:p w14:paraId="1F39B2C3" w14:textId="77777777" w:rsidR="00E459EE" w:rsidRDefault="003A41D2">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RFS305</w:t>
            </w:r>
          </w:p>
        </w:tc>
      </w:tr>
      <w:tr w:rsidR="00E459EE" w14:paraId="3EAD1084" w14:textId="77777777">
        <w:trPr>
          <w:trHeight w:val="315"/>
        </w:trPr>
        <w:tc>
          <w:tcPr>
            <w:tcW w:w="48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0039137"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43E6BED3"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06338850"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02010882"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7CB0137A"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09E82EA1"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150</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2B5191E8"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73574CB1"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150</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77261337"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75</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14:paraId="0ABC1AFF"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6,975</w:t>
            </w:r>
          </w:p>
        </w:tc>
        <w:tc>
          <w:tcPr>
            <w:tcW w:w="1080" w:type="dxa"/>
            <w:tcBorders>
              <w:top w:val="nil"/>
              <w:left w:val="nil"/>
              <w:bottom w:val="nil"/>
              <w:right w:val="nil"/>
            </w:tcBorders>
            <w:shd w:val="clear" w:color="auto" w:fill="auto"/>
            <w:noWrap/>
            <w:vAlign w:val="bottom"/>
            <w:hideMark/>
          </w:tcPr>
          <w:p w14:paraId="6D645F68" w14:textId="77777777" w:rsidR="00E459EE" w:rsidRDefault="00E459EE">
            <w:pPr>
              <w:widowControl/>
              <w:suppressAutoHyphens w:val="0"/>
              <w:autoSpaceDN/>
              <w:jc w:val="center"/>
              <w:textAlignment w:val="auto"/>
              <w:rPr>
                <w:rFonts w:eastAsia="Times New Roman" w:cs="Times New Roman"/>
                <w:color w:val="FF0000"/>
                <w:kern w:val="0"/>
                <w:sz w:val="21"/>
                <w:szCs w:val="21"/>
                <w:lang w:eastAsia="en-US" w:bidi="ar-SA"/>
              </w:rPr>
            </w:pPr>
          </w:p>
        </w:tc>
      </w:tr>
    </w:tbl>
    <w:p w14:paraId="105F7BFC" w14:textId="77777777" w:rsidR="00E459EE" w:rsidRDefault="005F75DA">
      <w:pPr>
        <w:widowControl/>
        <w:suppressAutoHyphens w:val="0"/>
        <w:autoSpaceDN/>
        <w:textAlignment w:val="auto"/>
        <w:rPr>
          <w:rFonts w:asciiTheme="minorHAnsi" w:eastAsiaTheme="minorHAnsi" w:hAnsiTheme="minorHAnsi" w:cstheme="minorBidi"/>
          <w:kern w:val="0"/>
          <w:sz w:val="22"/>
          <w:szCs w:val="22"/>
          <w:lang w:eastAsia="en-US" w:bidi="ar-SA"/>
        </w:rPr>
      </w:pPr>
      <w:r>
        <w:t>ASSUMPTIONS FOR TABLE 6(b).12</w:t>
      </w:r>
      <w:r>
        <w:fldChar w:fldCharType="begin"/>
      </w:r>
      <w:r>
        <w:instrText xml:space="preserve"> LINK Excel.Sheet.12 "\\\\j2756daaec100\\share\\Project\\RFS2\\2015 RFS Program Amendments\\NPRM\\ICR\\Redone ICR Tables.xlsx" "Obligated Parties!R1C1:R6C12" \a \f 4 \h </w:instrText>
      </w:r>
      <w:r>
        <w:fldChar w:fldCharType="separate"/>
      </w:r>
    </w:p>
    <w:p w14:paraId="3A2438D5" w14:textId="77777777" w:rsidR="00E459EE" w:rsidRDefault="005F75DA">
      <w:pPr>
        <w:widowControl/>
        <w:suppressAutoHyphens w:val="0"/>
        <w:autoSpaceDN/>
        <w:textAlignment w:val="auto"/>
        <w:rPr>
          <w:sz w:val="20"/>
          <w:szCs w:val="20"/>
        </w:rPr>
      </w:pPr>
      <w:r>
        <w:rPr>
          <w:sz w:val="20"/>
          <w:szCs w:val="20"/>
        </w:rPr>
        <w:fldChar w:fldCharType="end"/>
      </w:r>
      <w:r>
        <w:rPr>
          <w:sz w:val="20"/>
          <w:szCs w:val="20"/>
          <w:vertAlign w:val="superscript"/>
        </w:rPr>
        <w:t>1</w:t>
      </w:r>
      <w:r>
        <w:rPr>
          <w:sz w:val="20"/>
          <w:szCs w:val="20"/>
        </w:rPr>
        <w:t>Estimate the number of obligated parties based on the number of parties that currently submit annual compliance reports.</w:t>
      </w:r>
    </w:p>
    <w:p w14:paraId="1AA50565" w14:textId="77777777" w:rsidR="00E459EE" w:rsidRDefault="005F75DA">
      <w:pPr>
        <w:widowControl/>
        <w:suppressAutoHyphens w:val="0"/>
        <w:autoSpaceDN/>
        <w:textAlignment w:val="auto"/>
        <w:rPr>
          <w:sz w:val="20"/>
          <w:szCs w:val="20"/>
        </w:rPr>
      </w:pPr>
      <w:r>
        <w:rPr>
          <w:sz w:val="20"/>
          <w:szCs w:val="20"/>
          <w:vertAlign w:val="superscript"/>
        </w:rPr>
        <w:t>2</w:t>
      </w:r>
      <w:r>
        <w:rPr>
          <w:sz w:val="20"/>
          <w:szCs w:val="20"/>
        </w:rPr>
        <w:t>The estimated burden for annual compliance reports represents the increased burden associated with the proposed rulemaking.</w:t>
      </w:r>
    </w:p>
    <w:p w14:paraId="47CCA824" w14:textId="77777777" w:rsidR="00E459EE" w:rsidRDefault="005F75DA">
      <w:pPr>
        <w:widowControl/>
        <w:suppressAutoHyphens w:val="0"/>
        <w:autoSpaceDN/>
        <w:spacing w:after="160" w:line="259" w:lineRule="auto"/>
        <w:textAlignment w:val="auto"/>
        <w:rPr>
          <w:sz w:val="20"/>
          <w:szCs w:val="20"/>
        </w:rPr>
      </w:pPr>
      <w:r>
        <w:rPr>
          <w:sz w:val="20"/>
          <w:szCs w:val="20"/>
        </w:rPr>
        <w:br w:type="page"/>
      </w:r>
    </w:p>
    <w:p w14:paraId="115B4C9D" w14:textId="77777777" w:rsidR="00E459EE" w:rsidRDefault="00E459EE">
      <w:pPr>
        <w:widowControl/>
        <w:suppressAutoHyphens w:val="0"/>
        <w:autoSpaceDN/>
        <w:textAlignment w:val="auto"/>
        <w:sectPr w:rsidR="00E459EE">
          <w:pgSz w:w="20160" w:h="12240" w:orient="landscape" w:code="5"/>
          <w:pgMar w:top="720" w:right="1440" w:bottom="720" w:left="1440" w:header="720" w:footer="720" w:gutter="0"/>
          <w:cols w:space="720"/>
          <w:docGrid w:linePitch="360"/>
        </w:sectPr>
      </w:pPr>
    </w:p>
    <w:tbl>
      <w:tblPr>
        <w:tblW w:w="10180" w:type="dxa"/>
        <w:tblLook w:val="04A0" w:firstRow="1" w:lastRow="0" w:firstColumn="1" w:lastColumn="0" w:noHBand="0" w:noVBand="1"/>
      </w:tblPr>
      <w:tblGrid>
        <w:gridCol w:w="4440"/>
        <w:gridCol w:w="1278"/>
        <w:gridCol w:w="1091"/>
        <w:gridCol w:w="1240"/>
        <w:gridCol w:w="1196"/>
        <w:gridCol w:w="1161"/>
      </w:tblGrid>
      <w:tr w:rsidR="00E459EE" w14:paraId="17172A14" w14:textId="77777777">
        <w:trPr>
          <w:trHeight w:val="315"/>
        </w:trPr>
        <w:tc>
          <w:tcPr>
            <w:tcW w:w="1018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696ED36" w14:textId="77777777" w:rsidR="00E459EE" w:rsidRDefault="005F75DA">
            <w:pPr>
              <w:widowControl/>
              <w:suppressAutoHyphens w:val="0"/>
              <w:autoSpaceDN/>
              <w:jc w:val="center"/>
              <w:textAlignment w:val="auto"/>
              <w:rPr>
                <w:rFonts w:eastAsia="Times New Roman" w:cs="Times New Roman"/>
                <w:b/>
                <w:bCs/>
                <w:kern w:val="0"/>
                <w:sz w:val="21"/>
                <w:szCs w:val="21"/>
                <w:lang w:eastAsia="en-US" w:bidi="ar-SA"/>
              </w:rPr>
            </w:pPr>
            <w:r>
              <w:rPr>
                <w:rFonts w:eastAsia="Times New Roman" w:cs="Times New Roman"/>
                <w:b/>
                <w:bCs/>
                <w:kern w:val="0"/>
                <w:sz w:val="21"/>
                <w:szCs w:val="21"/>
                <w:lang w:eastAsia="en-US" w:bidi="ar-SA"/>
              </w:rPr>
              <w:t>Annual Respondent Burden and Cost by Type of Party</w:t>
            </w:r>
          </w:p>
        </w:tc>
      </w:tr>
      <w:tr w:rsidR="00E459EE" w14:paraId="58049177" w14:textId="77777777">
        <w:trPr>
          <w:trHeight w:val="315"/>
        </w:trPr>
        <w:tc>
          <w:tcPr>
            <w:tcW w:w="1018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EB605AC" w14:textId="77777777" w:rsidR="00E459EE" w:rsidRDefault="005F75DA">
            <w:pPr>
              <w:widowControl/>
              <w:suppressAutoHyphens w:val="0"/>
              <w:autoSpaceDN/>
              <w:jc w:val="center"/>
              <w:textAlignment w:val="auto"/>
              <w:rPr>
                <w:rFonts w:eastAsia="Times New Roman" w:cs="Times New Roman"/>
                <w:i/>
                <w:iCs/>
                <w:kern w:val="0"/>
                <w:sz w:val="21"/>
                <w:szCs w:val="21"/>
                <w:lang w:eastAsia="en-US" w:bidi="ar-SA"/>
              </w:rPr>
            </w:pPr>
            <w:r>
              <w:rPr>
                <w:rFonts w:eastAsia="Times New Roman" w:cs="Times New Roman"/>
                <w:i/>
                <w:iCs/>
                <w:kern w:val="0"/>
                <w:sz w:val="21"/>
                <w:szCs w:val="21"/>
                <w:lang w:eastAsia="en-US" w:bidi="ar-SA"/>
              </w:rPr>
              <w:t>Table 6(b).13 - Summary of ICR Burden</w:t>
            </w:r>
          </w:p>
        </w:tc>
      </w:tr>
      <w:tr w:rsidR="00E459EE" w14:paraId="2F0DBE19" w14:textId="77777777">
        <w:trPr>
          <w:trHeight w:val="1365"/>
        </w:trPr>
        <w:tc>
          <w:tcPr>
            <w:tcW w:w="4440" w:type="dxa"/>
            <w:tcBorders>
              <w:top w:val="nil"/>
              <w:left w:val="single" w:sz="8" w:space="0" w:color="auto"/>
              <w:bottom w:val="nil"/>
              <w:right w:val="single" w:sz="4" w:space="0" w:color="auto"/>
            </w:tcBorders>
            <w:shd w:val="clear" w:color="000000" w:fill="F8F8F8"/>
            <w:noWrap/>
            <w:vAlign w:val="bottom"/>
            <w:hideMark/>
          </w:tcPr>
          <w:p w14:paraId="424D7758"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Party Type</w:t>
            </w:r>
          </w:p>
        </w:tc>
        <w:tc>
          <w:tcPr>
            <w:tcW w:w="1220" w:type="dxa"/>
            <w:tcBorders>
              <w:top w:val="nil"/>
              <w:left w:val="nil"/>
              <w:bottom w:val="nil"/>
              <w:right w:val="single" w:sz="4" w:space="0" w:color="auto"/>
            </w:tcBorders>
            <w:shd w:val="clear" w:color="000000" w:fill="F8F8F8"/>
            <w:vAlign w:val="bottom"/>
            <w:hideMark/>
          </w:tcPr>
          <w:p w14:paraId="30E84123"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Number of Respondents</w:t>
            </w:r>
          </w:p>
        </w:tc>
        <w:tc>
          <w:tcPr>
            <w:tcW w:w="1060" w:type="dxa"/>
            <w:tcBorders>
              <w:top w:val="nil"/>
              <w:left w:val="nil"/>
              <w:bottom w:val="nil"/>
              <w:right w:val="single" w:sz="4" w:space="0" w:color="auto"/>
            </w:tcBorders>
            <w:shd w:val="clear" w:color="000000" w:fill="F8F8F8"/>
            <w:vAlign w:val="bottom"/>
            <w:hideMark/>
          </w:tcPr>
          <w:p w14:paraId="5917B135"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Number of Responses per Year</w:t>
            </w:r>
          </w:p>
        </w:tc>
        <w:tc>
          <w:tcPr>
            <w:tcW w:w="1240" w:type="dxa"/>
            <w:tcBorders>
              <w:top w:val="nil"/>
              <w:left w:val="nil"/>
              <w:bottom w:val="nil"/>
              <w:right w:val="single" w:sz="4" w:space="0" w:color="auto"/>
            </w:tcBorders>
            <w:shd w:val="clear" w:color="000000" w:fill="F8F8F8"/>
            <w:vAlign w:val="bottom"/>
            <w:hideMark/>
          </w:tcPr>
          <w:p w14:paraId="7CF621C1"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Hours/ Year</w:t>
            </w:r>
          </w:p>
        </w:tc>
        <w:tc>
          <w:tcPr>
            <w:tcW w:w="1160" w:type="dxa"/>
            <w:tcBorders>
              <w:top w:val="nil"/>
              <w:left w:val="nil"/>
              <w:bottom w:val="nil"/>
              <w:right w:val="nil"/>
            </w:tcBorders>
            <w:shd w:val="clear" w:color="000000" w:fill="F8F8F8"/>
            <w:vAlign w:val="bottom"/>
            <w:hideMark/>
          </w:tcPr>
          <w:p w14:paraId="0979F1B6"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Average Annual Respondent Burden in Hours</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263A8BB1" w14:textId="77777777" w:rsidR="00E459EE" w:rsidRDefault="005F75DA">
            <w:pPr>
              <w:widowControl/>
              <w:suppressAutoHyphens w:val="0"/>
              <w:autoSpaceDN/>
              <w:jc w:val="center"/>
              <w:textAlignment w:val="auto"/>
              <w:rPr>
                <w:rFonts w:eastAsia="Times New Roman" w:cs="Times New Roman"/>
                <w:i/>
                <w:iCs/>
                <w:color w:val="000000"/>
                <w:kern w:val="0"/>
                <w:sz w:val="21"/>
                <w:szCs w:val="21"/>
                <w:lang w:eastAsia="en-US" w:bidi="ar-SA"/>
              </w:rPr>
            </w:pPr>
            <w:r>
              <w:rPr>
                <w:rFonts w:eastAsia="Times New Roman" w:cs="Times New Roman"/>
                <w:i/>
                <w:iCs/>
                <w:color w:val="000000"/>
                <w:kern w:val="0"/>
                <w:sz w:val="21"/>
                <w:szCs w:val="21"/>
                <w:lang w:eastAsia="en-US" w:bidi="ar-SA"/>
              </w:rPr>
              <w:t>Total Cost/Year</w:t>
            </w:r>
          </w:p>
        </w:tc>
      </w:tr>
      <w:tr w:rsidR="00E459EE" w14:paraId="05EEB446" w14:textId="77777777">
        <w:trPr>
          <w:trHeight w:val="300"/>
        </w:trPr>
        <w:tc>
          <w:tcPr>
            <w:tcW w:w="4440" w:type="dxa"/>
            <w:tcBorders>
              <w:top w:val="single" w:sz="4" w:space="0" w:color="auto"/>
              <w:left w:val="single" w:sz="8" w:space="0" w:color="auto"/>
              <w:bottom w:val="single" w:sz="4" w:space="0" w:color="auto"/>
              <w:right w:val="single" w:sz="4" w:space="0" w:color="auto"/>
            </w:tcBorders>
            <w:shd w:val="clear" w:color="000000" w:fill="F8F8F8"/>
            <w:noWrap/>
            <w:vAlign w:val="bottom"/>
            <w:hideMark/>
          </w:tcPr>
          <w:p w14:paraId="3D4292C8"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Biointermediate Producers</w:t>
            </w:r>
          </w:p>
        </w:tc>
        <w:tc>
          <w:tcPr>
            <w:tcW w:w="1220" w:type="dxa"/>
            <w:tcBorders>
              <w:top w:val="single" w:sz="4" w:space="0" w:color="auto"/>
              <w:left w:val="nil"/>
              <w:bottom w:val="single" w:sz="4" w:space="0" w:color="auto"/>
              <w:right w:val="single" w:sz="4" w:space="0" w:color="auto"/>
            </w:tcBorders>
            <w:shd w:val="clear" w:color="000000" w:fill="F8F8F8"/>
            <w:vAlign w:val="bottom"/>
            <w:hideMark/>
          </w:tcPr>
          <w:p w14:paraId="3E05EA5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40</w:t>
            </w:r>
          </w:p>
        </w:tc>
        <w:tc>
          <w:tcPr>
            <w:tcW w:w="1060" w:type="dxa"/>
            <w:tcBorders>
              <w:top w:val="single" w:sz="4" w:space="0" w:color="auto"/>
              <w:left w:val="nil"/>
              <w:bottom w:val="single" w:sz="4" w:space="0" w:color="auto"/>
              <w:right w:val="single" w:sz="4" w:space="0" w:color="auto"/>
            </w:tcBorders>
            <w:shd w:val="clear" w:color="000000" w:fill="F8F8F8"/>
            <w:vAlign w:val="bottom"/>
            <w:hideMark/>
          </w:tcPr>
          <w:p w14:paraId="03FC8DE3"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30,034</w:t>
            </w:r>
          </w:p>
        </w:tc>
        <w:tc>
          <w:tcPr>
            <w:tcW w:w="1240" w:type="dxa"/>
            <w:tcBorders>
              <w:top w:val="single" w:sz="4" w:space="0" w:color="auto"/>
              <w:left w:val="nil"/>
              <w:bottom w:val="single" w:sz="4" w:space="0" w:color="auto"/>
              <w:right w:val="single" w:sz="4" w:space="0" w:color="auto"/>
            </w:tcBorders>
            <w:shd w:val="clear" w:color="000000" w:fill="F8F8F8"/>
            <w:vAlign w:val="bottom"/>
            <w:hideMark/>
          </w:tcPr>
          <w:p w14:paraId="0ADBF55D"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39,428</w:t>
            </w:r>
          </w:p>
        </w:tc>
        <w:tc>
          <w:tcPr>
            <w:tcW w:w="1160" w:type="dxa"/>
            <w:tcBorders>
              <w:top w:val="single" w:sz="4" w:space="0" w:color="auto"/>
              <w:left w:val="nil"/>
              <w:bottom w:val="single" w:sz="4" w:space="0" w:color="auto"/>
              <w:right w:val="nil"/>
            </w:tcBorders>
            <w:shd w:val="clear" w:color="000000" w:fill="F8F8F8"/>
            <w:vAlign w:val="bottom"/>
            <w:hideMark/>
          </w:tcPr>
          <w:p w14:paraId="3360B798"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986</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20700EA6"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$2,507,364</w:t>
            </w:r>
          </w:p>
        </w:tc>
      </w:tr>
      <w:tr w:rsidR="00E459EE" w14:paraId="758123C9"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31869D39"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Renewable Fuel Producers using Biointermediates</w:t>
            </w:r>
          </w:p>
        </w:tc>
        <w:tc>
          <w:tcPr>
            <w:tcW w:w="1220" w:type="dxa"/>
            <w:tcBorders>
              <w:top w:val="nil"/>
              <w:left w:val="nil"/>
              <w:bottom w:val="single" w:sz="4" w:space="0" w:color="auto"/>
              <w:right w:val="single" w:sz="4" w:space="0" w:color="auto"/>
            </w:tcBorders>
            <w:shd w:val="clear" w:color="000000" w:fill="F8F8F8"/>
            <w:vAlign w:val="bottom"/>
            <w:hideMark/>
          </w:tcPr>
          <w:p w14:paraId="144A6B9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40</w:t>
            </w:r>
          </w:p>
        </w:tc>
        <w:tc>
          <w:tcPr>
            <w:tcW w:w="1060" w:type="dxa"/>
            <w:tcBorders>
              <w:top w:val="nil"/>
              <w:left w:val="nil"/>
              <w:bottom w:val="single" w:sz="4" w:space="0" w:color="auto"/>
              <w:right w:val="single" w:sz="4" w:space="0" w:color="auto"/>
            </w:tcBorders>
            <w:shd w:val="clear" w:color="000000" w:fill="F8F8F8"/>
            <w:vAlign w:val="bottom"/>
            <w:hideMark/>
          </w:tcPr>
          <w:p w14:paraId="060EA8E6"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15,174</w:t>
            </w:r>
          </w:p>
        </w:tc>
        <w:tc>
          <w:tcPr>
            <w:tcW w:w="1240" w:type="dxa"/>
            <w:tcBorders>
              <w:top w:val="nil"/>
              <w:left w:val="nil"/>
              <w:bottom w:val="single" w:sz="4" w:space="0" w:color="auto"/>
              <w:right w:val="single" w:sz="4" w:space="0" w:color="auto"/>
            </w:tcBorders>
            <w:shd w:val="clear" w:color="000000" w:fill="F8F8F8"/>
            <w:vAlign w:val="bottom"/>
            <w:hideMark/>
          </w:tcPr>
          <w:p w14:paraId="7B722AA3"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7,888</w:t>
            </w:r>
          </w:p>
        </w:tc>
        <w:tc>
          <w:tcPr>
            <w:tcW w:w="1160" w:type="dxa"/>
            <w:tcBorders>
              <w:top w:val="nil"/>
              <w:left w:val="nil"/>
              <w:bottom w:val="single" w:sz="4" w:space="0" w:color="auto"/>
              <w:right w:val="nil"/>
            </w:tcBorders>
            <w:shd w:val="clear" w:color="000000" w:fill="F8F8F8"/>
            <w:vAlign w:val="bottom"/>
            <w:hideMark/>
          </w:tcPr>
          <w:p w14:paraId="65DA9A10"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197</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0E55328E"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$1,240,464</w:t>
            </w:r>
          </w:p>
        </w:tc>
      </w:tr>
      <w:tr w:rsidR="00E459EE" w14:paraId="42F4C64D"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7646CAAE"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Third-Party Auditors</w:t>
            </w:r>
          </w:p>
        </w:tc>
        <w:tc>
          <w:tcPr>
            <w:tcW w:w="1220" w:type="dxa"/>
            <w:tcBorders>
              <w:top w:val="nil"/>
              <w:left w:val="nil"/>
              <w:bottom w:val="single" w:sz="4" w:space="0" w:color="auto"/>
              <w:right w:val="single" w:sz="4" w:space="0" w:color="auto"/>
            </w:tcBorders>
            <w:shd w:val="clear" w:color="000000" w:fill="F8F8F8"/>
            <w:vAlign w:val="bottom"/>
            <w:hideMark/>
          </w:tcPr>
          <w:p w14:paraId="14DA6E5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5</w:t>
            </w:r>
          </w:p>
        </w:tc>
        <w:tc>
          <w:tcPr>
            <w:tcW w:w="1060" w:type="dxa"/>
            <w:tcBorders>
              <w:top w:val="nil"/>
              <w:left w:val="nil"/>
              <w:bottom w:val="single" w:sz="4" w:space="0" w:color="auto"/>
              <w:right w:val="single" w:sz="4" w:space="0" w:color="auto"/>
            </w:tcBorders>
            <w:shd w:val="clear" w:color="000000" w:fill="F8F8F8"/>
            <w:vAlign w:val="bottom"/>
            <w:hideMark/>
          </w:tcPr>
          <w:p w14:paraId="1AC9016A"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35</w:t>
            </w:r>
          </w:p>
        </w:tc>
        <w:tc>
          <w:tcPr>
            <w:tcW w:w="1240" w:type="dxa"/>
            <w:tcBorders>
              <w:top w:val="nil"/>
              <w:left w:val="nil"/>
              <w:bottom w:val="single" w:sz="4" w:space="0" w:color="auto"/>
              <w:right w:val="single" w:sz="4" w:space="0" w:color="auto"/>
            </w:tcBorders>
            <w:shd w:val="clear" w:color="000000" w:fill="F8F8F8"/>
            <w:vAlign w:val="bottom"/>
            <w:hideMark/>
          </w:tcPr>
          <w:p w14:paraId="2C47FD40"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1,400</w:t>
            </w:r>
          </w:p>
        </w:tc>
        <w:tc>
          <w:tcPr>
            <w:tcW w:w="1160" w:type="dxa"/>
            <w:tcBorders>
              <w:top w:val="nil"/>
              <w:left w:val="nil"/>
              <w:bottom w:val="single" w:sz="4" w:space="0" w:color="auto"/>
              <w:right w:val="nil"/>
            </w:tcBorders>
            <w:shd w:val="clear" w:color="000000" w:fill="F8F8F8"/>
            <w:vAlign w:val="bottom"/>
            <w:hideMark/>
          </w:tcPr>
          <w:p w14:paraId="60CB4D80"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280</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72690BC0"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$130,200</w:t>
            </w:r>
          </w:p>
        </w:tc>
      </w:tr>
      <w:tr w:rsidR="00E459EE" w14:paraId="30FA8A31"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4368540F"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VRD-B Producers</w:t>
            </w:r>
          </w:p>
        </w:tc>
        <w:tc>
          <w:tcPr>
            <w:tcW w:w="1220" w:type="dxa"/>
            <w:tcBorders>
              <w:top w:val="nil"/>
              <w:left w:val="nil"/>
              <w:bottom w:val="single" w:sz="4" w:space="0" w:color="auto"/>
              <w:right w:val="single" w:sz="4" w:space="0" w:color="auto"/>
            </w:tcBorders>
            <w:shd w:val="clear" w:color="000000" w:fill="F8F8F8"/>
            <w:vAlign w:val="bottom"/>
            <w:hideMark/>
          </w:tcPr>
          <w:p w14:paraId="146DA65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10</w:t>
            </w:r>
          </w:p>
        </w:tc>
        <w:tc>
          <w:tcPr>
            <w:tcW w:w="1060" w:type="dxa"/>
            <w:tcBorders>
              <w:top w:val="nil"/>
              <w:left w:val="nil"/>
              <w:bottom w:val="single" w:sz="4" w:space="0" w:color="auto"/>
              <w:right w:val="single" w:sz="4" w:space="0" w:color="auto"/>
            </w:tcBorders>
            <w:shd w:val="clear" w:color="000000" w:fill="F8F8F8"/>
            <w:vAlign w:val="bottom"/>
            <w:hideMark/>
          </w:tcPr>
          <w:p w14:paraId="4D93C1E8"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7,494</w:t>
            </w:r>
          </w:p>
        </w:tc>
        <w:tc>
          <w:tcPr>
            <w:tcW w:w="1240" w:type="dxa"/>
            <w:tcBorders>
              <w:top w:val="nil"/>
              <w:left w:val="nil"/>
              <w:bottom w:val="single" w:sz="4" w:space="0" w:color="auto"/>
              <w:right w:val="single" w:sz="4" w:space="0" w:color="auto"/>
            </w:tcBorders>
            <w:shd w:val="clear" w:color="000000" w:fill="F8F8F8"/>
            <w:vAlign w:val="bottom"/>
            <w:hideMark/>
          </w:tcPr>
          <w:p w14:paraId="3882BABF"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6,193</w:t>
            </w:r>
          </w:p>
        </w:tc>
        <w:tc>
          <w:tcPr>
            <w:tcW w:w="1160" w:type="dxa"/>
            <w:tcBorders>
              <w:top w:val="nil"/>
              <w:left w:val="nil"/>
              <w:bottom w:val="single" w:sz="4" w:space="0" w:color="auto"/>
              <w:right w:val="nil"/>
            </w:tcBorders>
            <w:shd w:val="clear" w:color="000000" w:fill="F8F8F8"/>
            <w:vAlign w:val="bottom"/>
            <w:hideMark/>
          </w:tcPr>
          <w:p w14:paraId="0A430695"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619</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486049C3"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$505,989</w:t>
            </w:r>
          </w:p>
        </w:tc>
      </w:tr>
      <w:tr w:rsidR="00E459EE" w14:paraId="0F8E246A"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1694572A"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VRD-B Blenders</w:t>
            </w:r>
          </w:p>
        </w:tc>
        <w:tc>
          <w:tcPr>
            <w:tcW w:w="1220" w:type="dxa"/>
            <w:tcBorders>
              <w:top w:val="nil"/>
              <w:left w:val="nil"/>
              <w:bottom w:val="single" w:sz="4" w:space="0" w:color="auto"/>
              <w:right w:val="single" w:sz="4" w:space="0" w:color="auto"/>
            </w:tcBorders>
            <w:shd w:val="clear" w:color="000000" w:fill="F8F8F8"/>
            <w:vAlign w:val="bottom"/>
            <w:hideMark/>
          </w:tcPr>
          <w:p w14:paraId="53E0A62C"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10</w:t>
            </w:r>
          </w:p>
        </w:tc>
        <w:tc>
          <w:tcPr>
            <w:tcW w:w="1060" w:type="dxa"/>
            <w:tcBorders>
              <w:top w:val="nil"/>
              <w:left w:val="nil"/>
              <w:bottom w:val="single" w:sz="4" w:space="0" w:color="auto"/>
              <w:right w:val="single" w:sz="4" w:space="0" w:color="auto"/>
            </w:tcBorders>
            <w:shd w:val="clear" w:color="000000" w:fill="F8F8F8"/>
            <w:vAlign w:val="bottom"/>
            <w:hideMark/>
          </w:tcPr>
          <w:p w14:paraId="6C53BD80"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7,484</w:t>
            </w:r>
          </w:p>
        </w:tc>
        <w:tc>
          <w:tcPr>
            <w:tcW w:w="1240" w:type="dxa"/>
            <w:tcBorders>
              <w:top w:val="nil"/>
              <w:left w:val="nil"/>
              <w:bottom w:val="single" w:sz="4" w:space="0" w:color="auto"/>
              <w:right w:val="single" w:sz="4" w:space="0" w:color="auto"/>
            </w:tcBorders>
            <w:shd w:val="clear" w:color="000000" w:fill="F8F8F8"/>
            <w:vAlign w:val="bottom"/>
            <w:hideMark/>
          </w:tcPr>
          <w:p w14:paraId="6399B755"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4,993</w:t>
            </w:r>
          </w:p>
        </w:tc>
        <w:tc>
          <w:tcPr>
            <w:tcW w:w="1160" w:type="dxa"/>
            <w:tcBorders>
              <w:top w:val="nil"/>
              <w:left w:val="nil"/>
              <w:bottom w:val="single" w:sz="4" w:space="0" w:color="auto"/>
              <w:right w:val="nil"/>
            </w:tcBorders>
            <w:shd w:val="clear" w:color="000000" w:fill="F8F8F8"/>
            <w:vAlign w:val="bottom"/>
            <w:hideMark/>
          </w:tcPr>
          <w:p w14:paraId="1B1B1E02"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499</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7A5AFC4E"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$282,789</w:t>
            </w:r>
          </w:p>
        </w:tc>
      </w:tr>
      <w:tr w:rsidR="00E459EE" w14:paraId="75A7051A"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5B17B585"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VRD-N Producers</w:t>
            </w:r>
          </w:p>
        </w:tc>
        <w:tc>
          <w:tcPr>
            <w:tcW w:w="1220" w:type="dxa"/>
            <w:tcBorders>
              <w:top w:val="nil"/>
              <w:left w:val="nil"/>
              <w:bottom w:val="single" w:sz="4" w:space="0" w:color="auto"/>
              <w:right w:val="single" w:sz="4" w:space="0" w:color="auto"/>
            </w:tcBorders>
            <w:shd w:val="clear" w:color="000000" w:fill="F8F8F8"/>
            <w:vAlign w:val="bottom"/>
            <w:hideMark/>
          </w:tcPr>
          <w:p w14:paraId="379BA64E"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2</w:t>
            </w:r>
          </w:p>
        </w:tc>
        <w:tc>
          <w:tcPr>
            <w:tcW w:w="1060" w:type="dxa"/>
            <w:tcBorders>
              <w:top w:val="nil"/>
              <w:left w:val="nil"/>
              <w:bottom w:val="single" w:sz="4" w:space="0" w:color="auto"/>
              <w:right w:val="single" w:sz="4" w:space="0" w:color="auto"/>
            </w:tcBorders>
            <w:shd w:val="clear" w:color="000000" w:fill="F8F8F8"/>
            <w:vAlign w:val="bottom"/>
            <w:hideMark/>
          </w:tcPr>
          <w:p w14:paraId="6947C2E5"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1,499</w:t>
            </w:r>
          </w:p>
        </w:tc>
        <w:tc>
          <w:tcPr>
            <w:tcW w:w="1240" w:type="dxa"/>
            <w:tcBorders>
              <w:top w:val="nil"/>
              <w:left w:val="nil"/>
              <w:bottom w:val="single" w:sz="4" w:space="0" w:color="auto"/>
              <w:right w:val="single" w:sz="4" w:space="0" w:color="auto"/>
            </w:tcBorders>
            <w:shd w:val="clear" w:color="000000" w:fill="F8F8F8"/>
            <w:vAlign w:val="bottom"/>
            <w:hideMark/>
          </w:tcPr>
          <w:p w14:paraId="010CACC1"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1,239</w:t>
            </w:r>
          </w:p>
        </w:tc>
        <w:tc>
          <w:tcPr>
            <w:tcW w:w="1160" w:type="dxa"/>
            <w:tcBorders>
              <w:top w:val="nil"/>
              <w:left w:val="nil"/>
              <w:bottom w:val="single" w:sz="4" w:space="0" w:color="auto"/>
              <w:right w:val="nil"/>
            </w:tcBorders>
            <w:shd w:val="clear" w:color="000000" w:fill="F8F8F8"/>
            <w:vAlign w:val="bottom"/>
            <w:hideMark/>
          </w:tcPr>
          <w:p w14:paraId="5E4C0842"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620</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25E5A2E5"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$101,235</w:t>
            </w:r>
          </w:p>
        </w:tc>
      </w:tr>
      <w:tr w:rsidR="00E459EE" w14:paraId="6AA6FEE4"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237BB573"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Biogas Producers</w:t>
            </w:r>
          </w:p>
        </w:tc>
        <w:tc>
          <w:tcPr>
            <w:tcW w:w="1220" w:type="dxa"/>
            <w:tcBorders>
              <w:top w:val="nil"/>
              <w:left w:val="nil"/>
              <w:bottom w:val="single" w:sz="4" w:space="0" w:color="auto"/>
              <w:right w:val="single" w:sz="4" w:space="0" w:color="auto"/>
            </w:tcBorders>
            <w:shd w:val="clear" w:color="000000" w:fill="F8F8F8"/>
            <w:vAlign w:val="bottom"/>
            <w:hideMark/>
          </w:tcPr>
          <w:p w14:paraId="5BECD21F"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25</w:t>
            </w:r>
          </w:p>
        </w:tc>
        <w:tc>
          <w:tcPr>
            <w:tcW w:w="1060" w:type="dxa"/>
            <w:tcBorders>
              <w:top w:val="nil"/>
              <w:left w:val="nil"/>
              <w:bottom w:val="single" w:sz="4" w:space="0" w:color="auto"/>
              <w:right w:val="single" w:sz="4" w:space="0" w:color="auto"/>
            </w:tcBorders>
            <w:shd w:val="clear" w:color="000000" w:fill="F8F8F8"/>
            <w:vAlign w:val="bottom"/>
            <w:hideMark/>
          </w:tcPr>
          <w:p w14:paraId="2745C4D5"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9,584</w:t>
            </w:r>
          </w:p>
        </w:tc>
        <w:tc>
          <w:tcPr>
            <w:tcW w:w="1240" w:type="dxa"/>
            <w:tcBorders>
              <w:top w:val="nil"/>
              <w:left w:val="nil"/>
              <w:bottom w:val="single" w:sz="4" w:space="0" w:color="auto"/>
              <w:right w:val="single" w:sz="4" w:space="0" w:color="auto"/>
            </w:tcBorders>
            <w:shd w:val="clear" w:color="000000" w:fill="F8F8F8"/>
            <w:vAlign w:val="bottom"/>
            <w:hideMark/>
          </w:tcPr>
          <w:p w14:paraId="3A9CE37D"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3,331</w:t>
            </w:r>
          </w:p>
        </w:tc>
        <w:tc>
          <w:tcPr>
            <w:tcW w:w="1160" w:type="dxa"/>
            <w:tcBorders>
              <w:top w:val="nil"/>
              <w:left w:val="nil"/>
              <w:bottom w:val="single" w:sz="4" w:space="0" w:color="auto"/>
              <w:right w:val="nil"/>
            </w:tcBorders>
            <w:shd w:val="clear" w:color="000000" w:fill="F8F8F8"/>
            <w:vAlign w:val="bottom"/>
            <w:hideMark/>
          </w:tcPr>
          <w:p w14:paraId="2FD01085"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133</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5C169D8D"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$403,337</w:t>
            </w:r>
          </w:p>
        </w:tc>
      </w:tr>
      <w:tr w:rsidR="00E459EE" w14:paraId="03F7273B"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238D5469"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Third-Party Engineers</w:t>
            </w:r>
          </w:p>
        </w:tc>
        <w:tc>
          <w:tcPr>
            <w:tcW w:w="1220" w:type="dxa"/>
            <w:tcBorders>
              <w:top w:val="nil"/>
              <w:left w:val="nil"/>
              <w:bottom w:val="single" w:sz="4" w:space="0" w:color="auto"/>
              <w:right w:val="single" w:sz="4" w:space="0" w:color="auto"/>
            </w:tcBorders>
            <w:shd w:val="clear" w:color="000000" w:fill="F8F8F8"/>
            <w:vAlign w:val="bottom"/>
            <w:hideMark/>
          </w:tcPr>
          <w:p w14:paraId="7FEC02FA"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70</w:t>
            </w:r>
          </w:p>
        </w:tc>
        <w:tc>
          <w:tcPr>
            <w:tcW w:w="1060" w:type="dxa"/>
            <w:tcBorders>
              <w:top w:val="nil"/>
              <w:left w:val="nil"/>
              <w:bottom w:val="single" w:sz="4" w:space="0" w:color="auto"/>
              <w:right w:val="single" w:sz="4" w:space="0" w:color="auto"/>
            </w:tcBorders>
            <w:shd w:val="clear" w:color="000000" w:fill="F8F8F8"/>
            <w:vAlign w:val="bottom"/>
            <w:hideMark/>
          </w:tcPr>
          <w:p w14:paraId="1C3B31ED"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464</w:t>
            </w:r>
          </w:p>
        </w:tc>
        <w:tc>
          <w:tcPr>
            <w:tcW w:w="1240" w:type="dxa"/>
            <w:tcBorders>
              <w:top w:val="nil"/>
              <w:left w:val="nil"/>
              <w:bottom w:val="single" w:sz="4" w:space="0" w:color="auto"/>
              <w:right w:val="single" w:sz="4" w:space="0" w:color="auto"/>
            </w:tcBorders>
            <w:shd w:val="clear" w:color="000000" w:fill="F8F8F8"/>
            <w:vAlign w:val="bottom"/>
            <w:hideMark/>
          </w:tcPr>
          <w:p w14:paraId="25F70360"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14,744</w:t>
            </w:r>
          </w:p>
        </w:tc>
        <w:tc>
          <w:tcPr>
            <w:tcW w:w="1160" w:type="dxa"/>
            <w:tcBorders>
              <w:top w:val="nil"/>
              <w:left w:val="nil"/>
              <w:bottom w:val="single" w:sz="4" w:space="0" w:color="auto"/>
              <w:right w:val="nil"/>
            </w:tcBorders>
            <w:shd w:val="clear" w:color="000000" w:fill="F8F8F8"/>
            <w:vAlign w:val="bottom"/>
            <w:hideMark/>
          </w:tcPr>
          <w:p w14:paraId="10494F26"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211</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676E0D0A"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$1,371,192</w:t>
            </w:r>
          </w:p>
        </w:tc>
      </w:tr>
      <w:tr w:rsidR="00E459EE" w14:paraId="415E2408"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3BA8B9CE"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Renewable Fuel Producers using CCS</w:t>
            </w:r>
          </w:p>
        </w:tc>
        <w:tc>
          <w:tcPr>
            <w:tcW w:w="1220" w:type="dxa"/>
            <w:tcBorders>
              <w:top w:val="nil"/>
              <w:left w:val="nil"/>
              <w:bottom w:val="single" w:sz="4" w:space="0" w:color="auto"/>
              <w:right w:val="single" w:sz="4" w:space="0" w:color="auto"/>
            </w:tcBorders>
            <w:shd w:val="clear" w:color="000000" w:fill="F8F8F8"/>
            <w:vAlign w:val="bottom"/>
            <w:hideMark/>
          </w:tcPr>
          <w:p w14:paraId="52ECF697"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2</w:t>
            </w:r>
          </w:p>
        </w:tc>
        <w:tc>
          <w:tcPr>
            <w:tcW w:w="1060" w:type="dxa"/>
            <w:tcBorders>
              <w:top w:val="nil"/>
              <w:left w:val="nil"/>
              <w:bottom w:val="single" w:sz="4" w:space="0" w:color="auto"/>
              <w:right w:val="single" w:sz="4" w:space="0" w:color="auto"/>
            </w:tcBorders>
            <w:shd w:val="clear" w:color="000000" w:fill="F8F8F8"/>
            <w:vAlign w:val="bottom"/>
            <w:hideMark/>
          </w:tcPr>
          <w:p w14:paraId="67BCE821"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1,531</w:t>
            </w:r>
          </w:p>
        </w:tc>
        <w:tc>
          <w:tcPr>
            <w:tcW w:w="1240" w:type="dxa"/>
            <w:tcBorders>
              <w:top w:val="nil"/>
              <w:left w:val="nil"/>
              <w:bottom w:val="single" w:sz="4" w:space="0" w:color="auto"/>
              <w:right w:val="single" w:sz="4" w:space="0" w:color="auto"/>
            </w:tcBorders>
            <w:shd w:val="clear" w:color="000000" w:fill="F8F8F8"/>
            <w:vAlign w:val="bottom"/>
            <w:hideMark/>
          </w:tcPr>
          <w:p w14:paraId="55221BB2"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1,091</w:t>
            </w:r>
          </w:p>
        </w:tc>
        <w:tc>
          <w:tcPr>
            <w:tcW w:w="1160" w:type="dxa"/>
            <w:tcBorders>
              <w:top w:val="nil"/>
              <w:left w:val="nil"/>
              <w:bottom w:val="single" w:sz="4" w:space="0" w:color="auto"/>
              <w:right w:val="nil"/>
            </w:tcBorders>
            <w:shd w:val="clear" w:color="000000" w:fill="F8F8F8"/>
            <w:vAlign w:val="bottom"/>
            <w:hideMark/>
          </w:tcPr>
          <w:p w14:paraId="188D501C"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546</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004710DA"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$63,711</w:t>
            </w:r>
          </w:p>
        </w:tc>
      </w:tr>
      <w:tr w:rsidR="00E459EE" w14:paraId="53115878"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53992085"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Renewable Fuel Producers using SRT</w:t>
            </w:r>
          </w:p>
        </w:tc>
        <w:tc>
          <w:tcPr>
            <w:tcW w:w="1220" w:type="dxa"/>
            <w:tcBorders>
              <w:top w:val="nil"/>
              <w:left w:val="nil"/>
              <w:bottom w:val="single" w:sz="4" w:space="0" w:color="auto"/>
              <w:right w:val="single" w:sz="4" w:space="0" w:color="auto"/>
            </w:tcBorders>
            <w:shd w:val="clear" w:color="000000" w:fill="F8F8F8"/>
            <w:vAlign w:val="bottom"/>
            <w:hideMark/>
          </w:tcPr>
          <w:p w14:paraId="34817FD5"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2</w:t>
            </w:r>
          </w:p>
        </w:tc>
        <w:tc>
          <w:tcPr>
            <w:tcW w:w="1060" w:type="dxa"/>
            <w:tcBorders>
              <w:top w:val="nil"/>
              <w:left w:val="nil"/>
              <w:bottom w:val="single" w:sz="4" w:space="0" w:color="auto"/>
              <w:right w:val="single" w:sz="4" w:space="0" w:color="auto"/>
            </w:tcBorders>
            <w:shd w:val="clear" w:color="000000" w:fill="F8F8F8"/>
            <w:vAlign w:val="bottom"/>
            <w:hideMark/>
          </w:tcPr>
          <w:p w14:paraId="6711EF56"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1,523</w:t>
            </w:r>
          </w:p>
        </w:tc>
        <w:tc>
          <w:tcPr>
            <w:tcW w:w="1240" w:type="dxa"/>
            <w:tcBorders>
              <w:top w:val="nil"/>
              <w:left w:val="nil"/>
              <w:bottom w:val="single" w:sz="4" w:space="0" w:color="auto"/>
              <w:right w:val="single" w:sz="4" w:space="0" w:color="auto"/>
            </w:tcBorders>
            <w:shd w:val="clear" w:color="000000" w:fill="F8F8F8"/>
            <w:vAlign w:val="bottom"/>
            <w:hideMark/>
          </w:tcPr>
          <w:p w14:paraId="361791BB"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1,027</w:t>
            </w:r>
          </w:p>
        </w:tc>
        <w:tc>
          <w:tcPr>
            <w:tcW w:w="1160" w:type="dxa"/>
            <w:tcBorders>
              <w:top w:val="nil"/>
              <w:left w:val="nil"/>
              <w:bottom w:val="single" w:sz="4" w:space="0" w:color="auto"/>
              <w:right w:val="nil"/>
            </w:tcBorders>
            <w:shd w:val="clear" w:color="000000" w:fill="F8F8F8"/>
            <w:vAlign w:val="bottom"/>
            <w:hideMark/>
          </w:tcPr>
          <w:p w14:paraId="413E8475"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514</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166C47F6"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$57,759</w:t>
            </w:r>
          </w:p>
        </w:tc>
      </w:tr>
      <w:tr w:rsidR="00E459EE" w14:paraId="57F2F895" w14:textId="77777777">
        <w:trPr>
          <w:trHeight w:val="300"/>
        </w:trPr>
        <w:tc>
          <w:tcPr>
            <w:tcW w:w="4440" w:type="dxa"/>
            <w:tcBorders>
              <w:top w:val="nil"/>
              <w:left w:val="single" w:sz="8" w:space="0" w:color="auto"/>
              <w:bottom w:val="single" w:sz="4" w:space="0" w:color="auto"/>
              <w:right w:val="single" w:sz="4" w:space="0" w:color="auto"/>
            </w:tcBorders>
            <w:shd w:val="clear" w:color="000000" w:fill="F8F8F8"/>
            <w:noWrap/>
            <w:vAlign w:val="bottom"/>
            <w:hideMark/>
          </w:tcPr>
          <w:p w14:paraId="5B7BE4F5"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Intended Use Obligated Parties</w:t>
            </w:r>
          </w:p>
        </w:tc>
        <w:tc>
          <w:tcPr>
            <w:tcW w:w="1220" w:type="dxa"/>
            <w:tcBorders>
              <w:top w:val="nil"/>
              <w:left w:val="nil"/>
              <w:bottom w:val="single" w:sz="4" w:space="0" w:color="auto"/>
              <w:right w:val="single" w:sz="4" w:space="0" w:color="auto"/>
            </w:tcBorders>
            <w:shd w:val="clear" w:color="000000" w:fill="F8F8F8"/>
            <w:vAlign w:val="bottom"/>
            <w:hideMark/>
          </w:tcPr>
          <w:p w14:paraId="3B0B8463"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10</w:t>
            </w:r>
          </w:p>
        </w:tc>
        <w:tc>
          <w:tcPr>
            <w:tcW w:w="1060" w:type="dxa"/>
            <w:tcBorders>
              <w:top w:val="nil"/>
              <w:left w:val="nil"/>
              <w:bottom w:val="single" w:sz="4" w:space="0" w:color="auto"/>
              <w:right w:val="single" w:sz="4" w:space="0" w:color="auto"/>
            </w:tcBorders>
            <w:shd w:val="clear" w:color="000000" w:fill="F8F8F8"/>
            <w:vAlign w:val="bottom"/>
            <w:hideMark/>
          </w:tcPr>
          <w:p w14:paraId="43E2ADB2"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3,796</w:t>
            </w:r>
          </w:p>
        </w:tc>
        <w:tc>
          <w:tcPr>
            <w:tcW w:w="1240" w:type="dxa"/>
            <w:tcBorders>
              <w:top w:val="nil"/>
              <w:left w:val="nil"/>
              <w:bottom w:val="single" w:sz="4" w:space="0" w:color="auto"/>
              <w:right w:val="single" w:sz="4" w:space="0" w:color="auto"/>
            </w:tcBorders>
            <w:shd w:val="clear" w:color="000000" w:fill="F8F8F8"/>
            <w:vAlign w:val="bottom"/>
            <w:hideMark/>
          </w:tcPr>
          <w:p w14:paraId="6A2E566F"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638</w:t>
            </w:r>
          </w:p>
        </w:tc>
        <w:tc>
          <w:tcPr>
            <w:tcW w:w="1160" w:type="dxa"/>
            <w:tcBorders>
              <w:top w:val="nil"/>
              <w:left w:val="nil"/>
              <w:bottom w:val="single" w:sz="4" w:space="0" w:color="auto"/>
              <w:right w:val="nil"/>
            </w:tcBorders>
            <w:shd w:val="clear" w:color="000000" w:fill="F8F8F8"/>
            <w:vAlign w:val="bottom"/>
            <w:hideMark/>
          </w:tcPr>
          <w:p w14:paraId="0EB6D930"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64</w:t>
            </w:r>
          </w:p>
        </w:tc>
        <w:tc>
          <w:tcPr>
            <w:tcW w:w="1060" w:type="dxa"/>
            <w:tcBorders>
              <w:top w:val="nil"/>
              <w:left w:val="single" w:sz="4" w:space="0" w:color="auto"/>
              <w:bottom w:val="single" w:sz="4" w:space="0" w:color="auto"/>
              <w:right w:val="single" w:sz="8" w:space="0" w:color="auto"/>
            </w:tcBorders>
            <w:shd w:val="clear" w:color="000000" w:fill="F8F8F8"/>
            <w:vAlign w:val="bottom"/>
            <w:hideMark/>
          </w:tcPr>
          <w:p w14:paraId="17B6B964"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$56,598</w:t>
            </w:r>
          </w:p>
        </w:tc>
      </w:tr>
      <w:tr w:rsidR="00E459EE" w14:paraId="40E941E5" w14:textId="77777777">
        <w:trPr>
          <w:trHeight w:val="315"/>
        </w:trPr>
        <w:tc>
          <w:tcPr>
            <w:tcW w:w="4440" w:type="dxa"/>
            <w:tcBorders>
              <w:top w:val="nil"/>
              <w:left w:val="single" w:sz="8" w:space="0" w:color="auto"/>
              <w:bottom w:val="single" w:sz="8" w:space="0" w:color="auto"/>
              <w:right w:val="single" w:sz="4" w:space="0" w:color="auto"/>
            </w:tcBorders>
            <w:shd w:val="clear" w:color="000000" w:fill="F8F8F8"/>
            <w:noWrap/>
            <w:vAlign w:val="bottom"/>
            <w:hideMark/>
          </w:tcPr>
          <w:p w14:paraId="1F37625E" w14:textId="77777777" w:rsidR="00E459EE" w:rsidRDefault="005F75DA">
            <w:pPr>
              <w:widowControl/>
              <w:suppressAutoHyphens w:val="0"/>
              <w:autoSpaceDN/>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Obligated Parties</w:t>
            </w:r>
          </w:p>
        </w:tc>
        <w:tc>
          <w:tcPr>
            <w:tcW w:w="1220" w:type="dxa"/>
            <w:tcBorders>
              <w:top w:val="nil"/>
              <w:left w:val="nil"/>
              <w:bottom w:val="single" w:sz="8" w:space="0" w:color="auto"/>
              <w:right w:val="single" w:sz="4" w:space="0" w:color="auto"/>
            </w:tcBorders>
            <w:shd w:val="clear" w:color="000000" w:fill="F8F8F8"/>
            <w:vAlign w:val="bottom"/>
            <w:hideMark/>
          </w:tcPr>
          <w:p w14:paraId="2AC57BC1" w14:textId="77777777" w:rsidR="00E459EE" w:rsidRDefault="005F75DA">
            <w:pPr>
              <w:widowControl/>
              <w:suppressAutoHyphens w:val="0"/>
              <w:autoSpaceDN/>
              <w:jc w:val="center"/>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150</w:t>
            </w:r>
          </w:p>
        </w:tc>
        <w:tc>
          <w:tcPr>
            <w:tcW w:w="1060" w:type="dxa"/>
            <w:tcBorders>
              <w:top w:val="nil"/>
              <w:left w:val="nil"/>
              <w:bottom w:val="single" w:sz="8" w:space="0" w:color="auto"/>
              <w:right w:val="single" w:sz="4" w:space="0" w:color="auto"/>
            </w:tcBorders>
            <w:shd w:val="clear" w:color="000000" w:fill="F8F8F8"/>
            <w:vAlign w:val="bottom"/>
            <w:hideMark/>
          </w:tcPr>
          <w:p w14:paraId="75295927"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150</w:t>
            </w:r>
          </w:p>
        </w:tc>
        <w:tc>
          <w:tcPr>
            <w:tcW w:w="1240" w:type="dxa"/>
            <w:tcBorders>
              <w:top w:val="nil"/>
              <w:left w:val="nil"/>
              <w:bottom w:val="single" w:sz="8" w:space="0" w:color="auto"/>
              <w:right w:val="single" w:sz="4" w:space="0" w:color="auto"/>
            </w:tcBorders>
            <w:shd w:val="clear" w:color="000000" w:fill="F8F8F8"/>
            <w:vAlign w:val="bottom"/>
            <w:hideMark/>
          </w:tcPr>
          <w:p w14:paraId="4E4E164B"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75</w:t>
            </w:r>
          </w:p>
        </w:tc>
        <w:tc>
          <w:tcPr>
            <w:tcW w:w="1160" w:type="dxa"/>
            <w:tcBorders>
              <w:top w:val="nil"/>
              <w:left w:val="nil"/>
              <w:bottom w:val="single" w:sz="8" w:space="0" w:color="auto"/>
              <w:right w:val="single" w:sz="4" w:space="0" w:color="auto"/>
            </w:tcBorders>
            <w:shd w:val="clear" w:color="000000" w:fill="F8F8F8"/>
            <w:vAlign w:val="bottom"/>
            <w:hideMark/>
          </w:tcPr>
          <w:p w14:paraId="24BA0F18"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1</w:t>
            </w:r>
          </w:p>
        </w:tc>
        <w:tc>
          <w:tcPr>
            <w:tcW w:w="1060" w:type="dxa"/>
            <w:tcBorders>
              <w:top w:val="nil"/>
              <w:left w:val="nil"/>
              <w:bottom w:val="single" w:sz="8" w:space="0" w:color="auto"/>
              <w:right w:val="single" w:sz="8" w:space="0" w:color="auto"/>
            </w:tcBorders>
            <w:shd w:val="clear" w:color="000000" w:fill="F8F8F8"/>
            <w:vAlign w:val="bottom"/>
            <w:hideMark/>
          </w:tcPr>
          <w:p w14:paraId="10E1C903" w14:textId="77777777" w:rsidR="00E459EE" w:rsidRDefault="005F75DA">
            <w:pPr>
              <w:widowControl/>
              <w:suppressAutoHyphens w:val="0"/>
              <w:autoSpaceDN/>
              <w:jc w:val="right"/>
              <w:textAlignment w:val="auto"/>
              <w:rPr>
                <w:rFonts w:eastAsia="Times New Roman" w:cs="Times New Roman"/>
                <w:color w:val="000000"/>
                <w:kern w:val="0"/>
                <w:sz w:val="21"/>
                <w:szCs w:val="21"/>
                <w:lang w:eastAsia="en-US" w:bidi="ar-SA"/>
              </w:rPr>
            </w:pPr>
            <w:r>
              <w:rPr>
                <w:rFonts w:eastAsia="Times New Roman" w:cs="Times New Roman"/>
                <w:color w:val="000000"/>
                <w:kern w:val="0"/>
                <w:sz w:val="21"/>
                <w:szCs w:val="21"/>
                <w:lang w:eastAsia="en-US" w:bidi="ar-SA"/>
              </w:rPr>
              <w:t>$6,975</w:t>
            </w:r>
          </w:p>
        </w:tc>
      </w:tr>
      <w:tr w:rsidR="00E459EE" w14:paraId="0341CA64" w14:textId="77777777">
        <w:trPr>
          <w:trHeight w:val="315"/>
        </w:trPr>
        <w:tc>
          <w:tcPr>
            <w:tcW w:w="4440" w:type="dxa"/>
            <w:tcBorders>
              <w:top w:val="nil"/>
              <w:left w:val="single" w:sz="8" w:space="0" w:color="auto"/>
              <w:bottom w:val="single" w:sz="8" w:space="0" w:color="auto"/>
              <w:right w:val="nil"/>
            </w:tcBorders>
            <w:shd w:val="clear" w:color="auto" w:fill="auto"/>
            <w:vAlign w:val="bottom"/>
            <w:hideMark/>
          </w:tcPr>
          <w:p w14:paraId="4F91C4CF" w14:textId="77777777" w:rsidR="00E459EE" w:rsidRDefault="005F75DA">
            <w:pPr>
              <w:widowControl/>
              <w:suppressAutoHyphens w:val="0"/>
              <w:autoSpaceDN/>
              <w:textAlignment w:val="auto"/>
              <w:rPr>
                <w:rFonts w:eastAsia="Times New Roman" w:cs="Times New Roman"/>
                <w:b/>
                <w:bCs/>
                <w:color w:val="FF0000"/>
                <w:kern w:val="0"/>
                <w:sz w:val="21"/>
                <w:szCs w:val="21"/>
                <w:lang w:eastAsia="en-US" w:bidi="ar-SA"/>
              </w:rPr>
            </w:pPr>
            <w:r>
              <w:rPr>
                <w:rFonts w:eastAsia="Times New Roman" w:cs="Times New Roman"/>
                <w:b/>
                <w:bCs/>
                <w:color w:val="FF0000"/>
                <w:kern w:val="0"/>
                <w:sz w:val="21"/>
                <w:szCs w:val="21"/>
                <w:lang w:eastAsia="en-US" w:bidi="ar-SA"/>
              </w:rPr>
              <w:t>GRAND TOTAL</w:t>
            </w:r>
          </w:p>
        </w:tc>
        <w:tc>
          <w:tcPr>
            <w:tcW w:w="1220" w:type="dxa"/>
            <w:tcBorders>
              <w:top w:val="nil"/>
              <w:left w:val="single" w:sz="4" w:space="0" w:color="auto"/>
              <w:bottom w:val="single" w:sz="8" w:space="0" w:color="auto"/>
              <w:right w:val="single" w:sz="4" w:space="0" w:color="auto"/>
            </w:tcBorders>
            <w:shd w:val="clear" w:color="auto" w:fill="auto"/>
            <w:noWrap/>
            <w:vAlign w:val="bottom"/>
            <w:hideMark/>
          </w:tcPr>
          <w:p w14:paraId="26381224" w14:textId="77777777" w:rsidR="00E459EE" w:rsidRDefault="005F75DA">
            <w:pPr>
              <w:widowControl/>
              <w:suppressAutoHyphens w:val="0"/>
              <w:autoSpaceDN/>
              <w:jc w:val="center"/>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366</w:t>
            </w:r>
          </w:p>
        </w:tc>
        <w:tc>
          <w:tcPr>
            <w:tcW w:w="1060" w:type="dxa"/>
            <w:tcBorders>
              <w:top w:val="nil"/>
              <w:left w:val="nil"/>
              <w:bottom w:val="single" w:sz="8" w:space="0" w:color="auto"/>
              <w:right w:val="single" w:sz="4" w:space="0" w:color="auto"/>
            </w:tcBorders>
            <w:shd w:val="clear" w:color="auto" w:fill="auto"/>
            <w:noWrap/>
            <w:vAlign w:val="bottom"/>
            <w:hideMark/>
          </w:tcPr>
          <w:p w14:paraId="501CB9DB" w14:textId="77777777" w:rsidR="00E459EE" w:rsidRDefault="005F75DA">
            <w:pPr>
              <w:widowControl/>
              <w:suppressAutoHyphens w:val="0"/>
              <w:autoSpaceDN/>
              <w:jc w:val="right"/>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78,768</w:t>
            </w:r>
          </w:p>
        </w:tc>
        <w:tc>
          <w:tcPr>
            <w:tcW w:w="1240" w:type="dxa"/>
            <w:tcBorders>
              <w:top w:val="nil"/>
              <w:left w:val="nil"/>
              <w:bottom w:val="single" w:sz="8" w:space="0" w:color="auto"/>
              <w:right w:val="single" w:sz="4" w:space="0" w:color="auto"/>
            </w:tcBorders>
            <w:shd w:val="clear" w:color="auto" w:fill="auto"/>
            <w:noWrap/>
            <w:vAlign w:val="bottom"/>
            <w:hideMark/>
          </w:tcPr>
          <w:p w14:paraId="7912EB09" w14:textId="77777777" w:rsidR="00E459EE" w:rsidRDefault="005F75DA">
            <w:pPr>
              <w:widowControl/>
              <w:suppressAutoHyphens w:val="0"/>
              <w:autoSpaceDN/>
              <w:jc w:val="right"/>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82,047</w:t>
            </w:r>
          </w:p>
        </w:tc>
        <w:tc>
          <w:tcPr>
            <w:tcW w:w="1160" w:type="dxa"/>
            <w:tcBorders>
              <w:top w:val="nil"/>
              <w:left w:val="nil"/>
              <w:bottom w:val="single" w:sz="8" w:space="0" w:color="auto"/>
              <w:right w:val="single" w:sz="4" w:space="0" w:color="auto"/>
            </w:tcBorders>
            <w:shd w:val="clear" w:color="auto" w:fill="auto"/>
            <w:noWrap/>
            <w:vAlign w:val="bottom"/>
            <w:hideMark/>
          </w:tcPr>
          <w:p w14:paraId="65CFA85C" w14:textId="77777777" w:rsidR="00E459EE" w:rsidRDefault="005F75DA">
            <w:pPr>
              <w:widowControl/>
              <w:suppressAutoHyphens w:val="0"/>
              <w:autoSpaceDN/>
              <w:jc w:val="right"/>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224</w:t>
            </w:r>
          </w:p>
        </w:tc>
        <w:tc>
          <w:tcPr>
            <w:tcW w:w="1060" w:type="dxa"/>
            <w:tcBorders>
              <w:top w:val="nil"/>
              <w:left w:val="nil"/>
              <w:bottom w:val="single" w:sz="8" w:space="0" w:color="auto"/>
              <w:right w:val="single" w:sz="8" w:space="0" w:color="auto"/>
            </w:tcBorders>
            <w:shd w:val="clear" w:color="auto" w:fill="auto"/>
            <w:noWrap/>
            <w:vAlign w:val="bottom"/>
            <w:hideMark/>
          </w:tcPr>
          <w:p w14:paraId="6A7AC76F" w14:textId="77777777" w:rsidR="00E459EE" w:rsidRDefault="005F75DA">
            <w:pPr>
              <w:widowControl/>
              <w:suppressAutoHyphens w:val="0"/>
              <w:autoSpaceDN/>
              <w:jc w:val="right"/>
              <w:textAlignment w:val="auto"/>
              <w:rPr>
                <w:rFonts w:eastAsia="Times New Roman" w:cs="Times New Roman"/>
                <w:color w:val="FF0000"/>
                <w:kern w:val="0"/>
                <w:sz w:val="21"/>
                <w:szCs w:val="21"/>
                <w:lang w:eastAsia="en-US" w:bidi="ar-SA"/>
              </w:rPr>
            </w:pPr>
            <w:r>
              <w:rPr>
                <w:rFonts w:eastAsia="Times New Roman" w:cs="Times New Roman"/>
                <w:color w:val="FF0000"/>
                <w:kern w:val="0"/>
                <w:sz w:val="21"/>
                <w:szCs w:val="21"/>
                <w:lang w:eastAsia="en-US" w:bidi="ar-SA"/>
              </w:rPr>
              <w:t>$6,727,613</w:t>
            </w:r>
          </w:p>
        </w:tc>
      </w:tr>
    </w:tbl>
    <w:p w14:paraId="0DFE025F" w14:textId="77777777" w:rsidR="00E459EE" w:rsidRDefault="00E459EE">
      <w:pPr>
        <w:widowControl/>
        <w:suppressAutoHyphens w:val="0"/>
        <w:autoSpaceDN/>
        <w:textAlignment w:val="auto"/>
      </w:pPr>
    </w:p>
    <w:p w14:paraId="64ADB826" w14:textId="77777777" w:rsidR="00E459EE" w:rsidRDefault="005F75DA">
      <w:pPr>
        <w:widowControl/>
        <w:suppressAutoHyphens w:val="0"/>
        <w:autoSpaceDN/>
        <w:textAlignment w:val="auto"/>
        <w:outlineLvl w:val="1"/>
        <w:rPr>
          <w:b/>
        </w:rPr>
      </w:pPr>
      <w:r>
        <w:rPr>
          <w:b/>
        </w:rPr>
        <w:t>6(c)</w:t>
      </w:r>
      <w:r>
        <w:rPr>
          <w:b/>
        </w:rPr>
        <w:tab/>
        <w:t xml:space="preserve">Estimating the Agency Burden and Costs </w:t>
      </w:r>
    </w:p>
    <w:p w14:paraId="777E7F24" w14:textId="77777777" w:rsidR="00E459EE" w:rsidRDefault="00E459EE">
      <w:pPr>
        <w:widowControl/>
        <w:suppressAutoHyphens w:val="0"/>
        <w:autoSpaceDN/>
        <w:ind w:firstLine="720"/>
        <w:textAlignment w:val="auto"/>
      </w:pPr>
    </w:p>
    <w:p w14:paraId="4AE07326" w14:textId="77777777" w:rsidR="00E459EE" w:rsidRDefault="005F75DA">
      <w:pPr>
        <w:widowControl/>
        <w:suppressAutoHyphens w:val="0"/>
        <w:autoSpaceDN/>
        <w:ind w:firstLine="720"/>
        <w:textAlignment w:val="auto"/>
      </w:pPr>
      <w:r>
        <w:t>The EPA would generate company and facility registration number(s) for new registrants and notify them of these numbers, which would appear on reports. Report formats and instructions/guidance would be prepared by EPA personnel. Reports would be processed by contractors and must be reviewed by EPA personnel using automated processes to the greatest extent practical. Reporting parties would be contacted if there is a problem with their submission. We would have to develop forms for the reporting requirements for many of the parties covered in the proposed rulemaking. We have provided sample reporting templates as an attachment to this document in the docket for the proposed rulemaking.</w:t>
      </w:r>
    </w:p>
    <w:p w14:paraId="1FAE6860" w14:textId="77777777" w:rsidR="00E459EE" w:rsidRDefault="005F75DA">
      <w:pPr>
        <w:widowControl/>
        <w:suppressAutoHyphens w:val="0"/>
        <w:autoSpaceDN/>
        <w:ind w:firstLine="720"/>
        <w:textAlignment w:val="auto"/>
      </w:pPr>
      <w:r>
        <w:t xml:space="preserve"> </w:t>
      </w:r>
    </w:p>
    <w:p w14:paraId="00E6F01D" w14:textId="77777777" w:rsidR="00E459EE" w:rsidRDefault="005F75DA">
      <w:pPr>
        <w:widowControl/>
        <w:suppressAutoHyphens w:val="0"/>
        <w:autoSpaceDN/>
        <w:ind w:firstLine="720"/>
        <w:textAlignment w:val="auto"/>
      </w:pPr>
      <w:r>
        <w:t>This supporting statement considers all EPA costs associated with accepting new registrants and new reports associated with the proposed REGS rule. Using the RFS-related ICRs as a guide in developing these initial estimates, we anticipate that the REGS proposed rule would require the equivalent labor of one full time GS-13 technical employees for a total of $192,000, and labor costs of $91,000 in the clerical category and $32,000 in the management category.</w:t>
      </w:r>
      <w:r>
        <w:rPr>
          <w:rStyle w:val="FootnoteReference"/>
        </w:rPr>
        <w:footnoteReference w:id="6"/>
      </w:r>
    </w:p>
    <w:p w14:paraId="369635B8" w14:textId="77777777" w:rsidR="00E459EE" w:rsidRDefault="00E459EE">
      <w:pPr>
        <w:widowControl/>
        <w:suppressAutoHyphens w:val="0"/>
        <w:autoSpaceDN/>
        <w:ind w:firstLine="720"/>
        <w:textAlignment w:val="auto"/>
      </w:pPr>
    </w:p>
    <w:p w14:paraId="3B979BA0" w14:textId="77777777" w:rsidR="00E459EE" w:rsidRDefault="005F75DA">
      <w:pPr>
        <w:widowControl/>
        <w:suppressAutoHyphens w:val="0"/>
        <w:autoSpaceDN/>
        <w:ind w:firstLine="720"/>
        <w:textAlignment w:val="auto"/>
      </w:pPr>
      <w:r>
        <w:t>Since we are using CDX, some costs incurred by the EPA will be tied to the number of registrants who send us reports. Specifically, there is an annual "subscription cost" associated with the use of CDX that is passed on to the EPA program office and we estimate that registrants due to the RFS program would increase by approximately $100,000 per year as a result of the REGS proposed rule. We anticipate an increase of $90,000 in annual contract costs related to registration and reporting activities related to the RFS program. We anticipate IT development and testing costs at $1,800,000 divided by three years to yield an annual cost of $600,000. Adding the following values results in an annual estimated EPA burden as follows:</w:t>
      </w:r>
    </w:p>
    <w:p w14:paraId="423A2EE1" w14:textId="77777777" w:rsidR="00E459EE" w:rsidRDefault="00E459EE">
      <w:pPr>
        <w:widowControl/>
        <w:suppressAutoHyphens w:val="0"/>
        <w:autoSpaceDN/>
        <w:ind w:firstLine="720"/>
        <w:textAlignment w:val="auto"/>
      </w:pPr>
    </w:p>
    <w:p w14:paraId="4D253AD7" w14:textId="77777777" w:rsidR="00E459EE" w:rsidRDefault="005F75DA">
      <w:pPr>
        <w:pStyle w:val="Standard"/>
        <w:keepNext/>
        <w:tabs>
          <w:tab w:val="left" w:pos="5400"/>
          <w:tab w:val="right" w:pos="6480"/>
        </w:tabs>
        <w:suppressAutoHyphens w:val="0"/>
        <w:ind w:firstLine="720"/>
      </w:pPr>
      <w:r>
        <w:t xml:space="preserve">One GS-13 technical employee (full time) = </w:t>
      </w:r>
      <w:r>
        <w:tab/>
        <w:t>$</w:t>
      </w:r>
      <w:r>
        <w:tab/>
        <w:t>192,000</w:t>
      </w:r>
    </w:p>
    <w:p w14:paraId="284F206D" w14:textId="77777777" w:rsidR="00E459EE" w:rsidRDefault="005F75DA">
      <w:pPr>
        <w:pStyle w:val="Standard"/>
        <w:keepNext/>
        <w:tabs>
          <w:tab w:val="right" w:pos="6480"/>
        </w:tabs>
        <w:suppressAutoHyphens w:val="0"/>
        <w:ind w:firstLine="720"/>
      </w:pPr>
      <w:r>
        <w:t xml:space="preserve">One GS-7 clerical worker (full-time) = </w:t>
      </w:r>
      <w:r>
        <w:tab/>
        <w:t>91,000</w:t>
      </w:r>
    </w:p>
    <w:p w14:paraId="7E9BB2A9" w14:textId="77777777" w:rsidR="00E459EE" w:rsidRDefault="005F75DA">
      <w:pPr>
        <w:pStyle w:val="Standard"/>
        <w:keepNext/>
        <w:tabs>
          <w:tab w:val="right" w:pos="6480"/>
        </w:tabs>
        <w:suppressAutoHyphens w:val="0"/>
        <w:ind w:firstLine="720"/>
      </w:pPr>
      <w:r>
        <w:t xml:space="preserve">One GS-15 manager (1/8 time) = </w:t>
      </w:r>
      <w:r>
        <w:tab/>
        <w:t>32,000</w:t>
      </w:r>
    </w:p>
    <w:p w14:paraId="3621FF05" w14:textId="77777777" w:rsidR="00E459EE" w:rsidRDefault="005F75DA">
      <w:pPr>
        <w:pStyle w:val="Standard"/>
        <w:keepNext/>
        <w:tabs>
          <w:tab w:val="right" w:pos="6480"/>
        </w:tabs>
        <w:suppressAutoHyphens w:val="0"/>
        <w:ind w:firstLine="720"/>
      </w:pPr>
      <w:r>
        <w:t xml:space="preserve">Annual CDX subscription fee = </w:t>
      </w:r>
      <w:r>
        <w:tab/>
        <w:t>100,000</w:t>
      </w:r>
    </w:p>
    <w:p w14:paraId="514145F2" w14:textId="77777777" w:rsidR="00E459EE" w:rsidRDefault="005F75DA">
      <w:pPr>
        <w:pStyle w:val="Standard"/>
        <w:keepNext/>
        <w:tabs>
          <w:tab w:val="right" w:pos="6480"/>
        </w:tabs>
        <w:suppressAutoHyphens w:val="0"/>
        <w:ind w:firstLine="720"/>
      </w:pPr>
      <w:r>
        <w:t xml:space="preserve">Annual contract costs = </w:t>
      </w:r>
      <w:r>
        <w:tab/>
        <w:t>90,000</w:t>
      </w:r>
    </w:p>
    <w:p w14:paraId="50253AAB" w14:textId="77777777" w:rsidR="00E459EE" w:rsidRDefault="005F75DA">
      <w:pPr>
        <w:pStyle w:val="Standard"/>
        <w:keepNext/>
        <w:tabs>
          <w:tab w:val="right" w:pos="6480"/>
        </w:tabs>
        <w:suppressAutoHyphens w:val="0"/>
        <w:ind w:firstLine="720"/>
      </w:pPr>
      <w:r>
        <w:t xml:space="preserve">Testing and development= </w:t>
      </w:r>
      <w:r>
        <w:tab/>
        <w:t>600,000</w:t>
      </w:r>
    </w:p>
    <w:p w14:paraId="3F487F39" w14:textId="77777777" w:rsidR="00E459EE" w:rsidRDefault="005F75DA">
      <w:pPr>
        <w:pStyle w:val="Standard"/>
        <w:keepNext/>
        <w:tabs>
          <w:tab w:val="left" w:pos="5400"/>
          <w:tab w:val="right" w:pos="6480"/>
        </w:tabs>
        <w:suppressAutoHyphens w:val="0"/>
        <w:ind w:firstLine="720"/>
        <w:rPr>
          <w:b/>
        </w:rPr>
      </w:pPr>
      <w:r>
        <w:rPr>
          <w:b/>
        </w:rPr>
        <w:t xml:space="preserve">TOTAL = </w:t>
      </w:r>
      <w:r>
        <w:rPr>
          <w:b/>
        </w:rPr>
        <w:tab/>
        <w:t>$</w:t>
      </w:r>
      <w:r>
        <w:rPr>
          <w:b/>
        </w:rPr>
        <w:tab/>
        <w:t>1,105,000</w:t>
      </w:r>
    </w:p>
    <w:p w14:paraId="5B458406" w14:textId="77777777" w:rsidR="00E459EE" w:rsidRDefault="00E459EE">
      <w:pPr>
        <w:widowControl/>
        <w:suppressAutoHyphens w:val="0"/>
        <w:autoSpaceDN/>
        <w:ind w:firstLine="720"/>
        <w:textAlignment w:val="auto"/>
      </w:pPr>
    </w:p>
    <w:p w14:paraId="14E6BD9D" w14:textId="77777777" w:rsidR="00E459EE" w:rsidRDefault="005F75DA">
      <w:pPr>
        <w:widowControl/>
        <w:suppressAutoHyphens w:val="0"/>
        <w:autoSpaceDN/>
        <w:ind w:firstLine="720"/>
        <w:textAlignment w:val="auto"/>
      </w:pPr>
      <w:r>
        <w:t>As with all items in this supporting statement, we strongly encourage comment on the estimated EPA burden and on the EPA activities associated with this proposed information collection.</w:t>
      </w:r>
    </w:p>
    <w:p w14:paraId="7304E4EF" w14:textId="77777777" w:rsidR="00E459EE" w:rsidRDefault="00E459EE">
      <w:pPr>
        <w:widowControl/>
        <w:suppressAutoHyphens w:val="0"/>
        <w:autoSpaceDN/>
        <w:ind w:firstLine="720"/>
        <w:textAlignment w:val="auto"/>
      </w:pPr>
    </w:p>
    <w:p w14:paraId="1DCF87CF" w14:textId="77777777" w:rsidR="00E459EE" w:rsidRDefault="005F75DA">
      <w:pPr>
        <w:widowControl/>
        <w:suppressAutoHyphens w:val="0"/>
        <w:autoSpaceDN/>
        <w:ind w:firstLine="720"/>
        <w:textAlignment w:val="auto"/>
        <w:outlineLvl w:val="1"/>
        <w:rPr>
          <w:b/>
        </w:rPr>
      </w:pPr>
      <w:r>
        <w:rPr>
          <w:b/>
        </w:rPr>
        <w:t>6(d)</w:t>
      </w:r>
      <w:r>
        <w:rPr>
          <w:b/>
        </w:rPr>
        <w:tab/>
        <w:t xml:space="preserve">Estimating the Respondent Universe </w:t>
      </w:r>
    </w:p>
    <w:p w14:paraId="3D99C1BA" w14:textId="77777777" w:rsidR="00E459EE" w:rsidRDefault="00E459EE">
      <w:pPr>
        <w:widowControl/>
        <w:suppressAutoHyphens w:val="0"/>
        <w:autoSpaceDN/>
        <w:ind w:firstLine="720"/>
        <w:textAlignment w:val="auto"/>
      </w:pPr>
    </w:p>
    <w:p w14:paraId="4EA9D8E2" w14:textId="77777777" w:rsidR="00E459EE" w:rsidRDefault="005F75DA">
      <w:pPr>
        <w:widowControl/>
        <w:suppressAutoHyphens w:val="0"/>
        <w:autoSpaceDN/>
        <w:ind w:firstLine="720"/>
        <w:textAlignment w:val="auto"/>
      </w:pPr>
      <w:r>
        <w:t>We estimated the number of regulated entities for this proposed ICR by drawing upon our experience regulating the same or similar entities under the RFS program. Where possible, we used estimates based on parties that have expressed interest in a particular portion of the proposed REGS rule.</w:t>
      </w:r>
    </w:p>
    <w:p w14:paraId="64F2278C" w14:textId="77777777" w:rsidR="00E459EE" w:rsidRDefault="00E459EE">
      <w:pPr>
        <w:widowControl/>
        <w:suppressAutoHyphens w:val="0"/>
        <w:autoSpaceDN/>
        <w:ind w:firstLine="720"/>
        <w:textAlignment w:val="auto"/>
      </w:pPr>
    </w:p>
    <w:p w14:paraId="38E410B5" w14:textId="77777777" w:rsidR="00E459EE" w:rsidRDefault="005F75DA">
      <w:pPr>
        <w:widowControl/>
        <w:suppressAutoHyphens w:val="0"/>
        <w:autoSpaceDN/>
        <w:ind w:firstLine="720"/>
        <w:textAlignment w:val="auto"/>
        <w:outlineLvl w:val="1"/>
        <w:rPr>
          <w:b/>
        </w:rPr>
      </w:pPr>
      <w:r>
        <w:rPr>
          <w:b/>
        </w:rPr>
        <w:t>6(e)</w:t>
      </w:r>
      <w:r>
        <w:rPr>
          <w:b/>
        </w:rPr>
        <w:tab/>
        <w:t>Bottom Line Burden Hours and Costs</w:t>
      </w:r>
    </w:p>
    <w:p w14:paraId="2061CA58" w14:textId="77777777" w:rsidR="00E459EE" w:rsidRDefault="00E459EE">
      <w:pPr>
        <w:widowControl/>
        <w:suppressAutoHyphens w:val="0"/>
        <w:autoSpaceDN/>
        <w:ind w:firstLine="720"/>
        <w:textAlignment w:val="auto"/>
      </w:pPr>
    </w:p>
    <w:p w14:paraId="629C5C98" w14:textId="77777777" w:rsidR="00E459EE" w:rsidRDefault="005F75DA">
      <w:pPr>
        <w:widowControl/>
        <w:suppressAutoHyphens w:val="0"/>
        <w:autoSpaceDN/>
        <w:ind w:firstLine="720"/>
        <w:textAlignment w:val="auto"/>
      </w:pPr>
      <w:r>
        <w:t>From the tables, we estimate the following annual totals:</w:t>
      </w:r>
    </w:p>
    <w:p w14:paraId="23993020" w14:textId="77777777" w:rsidR="00E459EE" w:rsidRDefault="00E459EE">
      <w:pPr>
        <w:widowControl/>
        <w:suppressAutoHyphens w:val="0"/>
        <w:autoSpaceDN/>
        <w:ind w:firstLine="720"/>
        <w:textAlignment w:val="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2016"/>
      </w:tblGrid>
      <w:tr w:rsidR="00E459EE" w14:paraId="193DD3CA" w14:textId="77777777">
        <w:tc>
          <w:tcPr>
            <w:tcW w:w="4942" w:type="dxa"/>
          </w:tcPr>
          <w:p w14:paraId="46D80D99" w14:textId="77777777" w:rsidR="00E459EE" w:rsidRDefault="005F75DA">
            <w:pPr>
              <w:widowControl/>
              <w:suppressAutoHyphens w:val="0"/>
              <w:autoSpaceDN/>
              <w:ind w:firstLine="720"/>
              <w:textAlignment w:val="auto"/>
              <w:rPr>
                <w:b/>
              </w:rPr>
            </w:pPr>
            <w:r>
              <w:rPr>
                <w:b/>
              </w:rPr>
              <w:t>TOTAL NO. OF RESPONDENTS:</w:t>
            </w:r>
          </w:p>
        </w:tc>
        <w:tc>
          <w:tcPr>
            <w:tcW w:w="2016" w:type="dxa"/>
          </w:tcPr>
          <w:p w14:paraId="698E757B" w14:textId="77777777" w:rsidR="00E459EE" w:rsidRDefault="005F75DA">
            <w:pPr>
              <w:widowControl/>
              <w:suppressAutoHyphens w:val="0"/>
              <w:autoSpaceDN/>
              <w:ind w:firstLine="720"/>
              <w:jc w:val="right"/>
              <w:textAlignment w:val="auto"/>
              <w:rPr>
                <w:b/>
              </w:rPr>
            </w:pPr>
            <w:r>
              <w:rPr>
                <w:b/>
              </w:rPr>
              <w:t>366</w:t>
            </w:r>
          </w:p>
        </w:tc>
      </w:tr>
      <w:tr w:rsidR="00E459EE" w14:paraId="3F1BC726" w14:textId="77777777">
        <w:tc>
          <w:tcPr>
            <w:tcW w:w="4942" w:type="dxa"/>
          </w:tcPr>
          <w:p w14:paraId="73F2B9A2" w14:textId="77777777" w:rsidR="00E459EE" w:rsidRDefault="005F75DA">
            <w:pPr>
              <w:widowControl/>
              <w:suppressAutoHyphens w:val="0"/>
              <w:autoSpaceDN/>
              <w:ind w:firstLine="720"/>
              <w:textAlignment w:val="auto"/>
              <w:rPr>
                <w:b/>
              </w:rPr>
            </w:pPr>
            <w:r>
              <w:rPr>
                <w:b/>
              </w:rPr>
              <w:t>TOTAL NO. OF RESPONSES:</w:t>
            </w:r>
          </w:p>
        </w:tc>
        <w:tc>
          <w:tcPr>
            <w:tcW w:w="2016" w:type="dxa"/>
          </w:tcPr>
          <w:p w14:paraId="41C8601B" w14:textId="77777777" w:rsidR="00E459EE" w:rsidRDefault="005F75DA">
            <w:pPr>
              <w:widowControl/>
              <w:suppressAutoHyphens w:val="0"/>
              <w:autoSpaceDN/>
              <w:ind w:firstLine="720"/>
              <w:jc w:val="right"/>
              <w:textAlignment w:val="auto"/>
              <w:rPr>
                <w:b/>
              </w:rPr>
            </w:pPr>
            <w:r>
              <w:rPr>
                <w:b/>
              </w:rPr>
              <w:t>78,768</w:t>
            </w:r>
          </w:p>
        </w:tc>
      </w:tr>
      <w:tr w:rsidR="00E459EE" w14:paraId="35EA0BE6" w14:textId="77777777">
        <w:tc>
          <w:tcPr>
            <w:tcW w:w="4942" w:type="dxa"/>
          </w:tcPr>
          <w:p w14:paraId="27B3C064" w14:textId="77777777" w:rsidR="00E459EE" w:rsidRDefault="005F75DA">
            <w:pPr>
              <w:widowControl/>
              <w:suppressAutoHyphens w:val="0"/>
              <w:autoSpaceDN/>
              <w:ind w:firstLine="720"/>
              <w:textAlignment w:val="auto"/>
              <w:rPr>
                <w:b/>
              </w:rPr>
            </w:pPr>
            <w:r>
              <w:rPr>
                <w:b/>
              </w:rPr>
              <w:t xml:space="preserve">TOTAL BURDEN HOURS: </w:t>
            </w:r>
          </w:p>
        </w:tc>
        <w:tc>
          <w:tcPr>
            <w:tcW w:w="2016" w:type="dxa"/>
          </w:tcPr>
          <w:p w14:paraId="35E89006" w14:textId="77777777" w:rsidR="00E459EE" w:rsidRDefault="005F75DA">
            <w:pPr>
              <w:widowControl/>
              <w:suppressAutoHyphens w:val="0"/>
              <w:autoSpaceDN/>
              <w:ind w:firstLine="720"/>
              <w:jc w:val="right"/>
              <w:textAlignment w:val="auto"/>
              <w:rPr>
                <w:b/>
              </w:rPr>
            </w:pPr>
            <w:r>
              <w:rPr>
                <w:b/>
              </w:rPr>
              <w:t>82,047</w:t>
            </w:r>
          </w:p>
        </w:tc>
      </w:tr>
      <w:tr w:rsidR="00E459EE" w14:paraId="7AFD38B1" w14:textId="77777777">
        <w:tc>
          <w:tcPr>
            <w:tcW w:w="4942" w:type="dxa"/>
          </w:tcPr>
          <w:p w14:paraId="6ED74899" w14:textId="77777777" w:rsidR="00E459EE" w:rsidRDefault="005F75DA">
            <w:pPr>
              <w:widowControl/>
              <w:suppressAutoHyphens w:val="0"/>
              <w:autoSpaceDN/>
              <w:ind w:firstLine="720"/>
              <w:textAlignment w:val="auto"/>
              <w:rPr>
                <w:b/>
              </w:rPr>
            </w:pPr>
            <w:r>
              <w:rPr>
                <w:b/>
              </w:rPr>
              <w:t xml:space="preserve">TOTAL COST TO RESPONDENTS: </w:t>
            </w:r>
          </w:p>
        </w:tc>
        <w:tc>
          <w:tcPr>
            <w:tcW w:w="2016" w:type="dxa"/>
          </w:tcPr>
          <w:p w14:paraId="540911D0" w14:textId="77777777" w:rsidR="00E459EE" w:rsidRDefault="005F75DA">
            <w:pPr>
              <w:widowControl/>
              <w:suppressAutoHyphens w:val="0"/>
              <w:autoSpaceDN/>
              <w:ind w:firstLine="720"/>
              <w:jc w:val="right"/>
              <w:textAlignment w:val="auto"/>
              <w:rPr>
                <w:b/>
              </w:rPr>
            </w:pPr>
            <w:r>
              <w:rPr>
                <w:b/>
              </w:rPr>
              <w:t>$6,727,613</w:t>
            </w:r>
          </w:p>
        </w:tc>
      </w:tr>
    </w:tbl>
    <w:p w14:paraId="5F74E03A" w14:textId="77777777" w:rsidR="00E459EE" w:rsidRDefault="00E459EE">
      <w:pPr>
        <w:widowControl/>
        <w:suppressAutoHyphens w:val="0"/>
        <w:autoSpaceDN/>
        <w:ind w:firstLine="720"/>
        <w:textAlignment w:val="auto"/>
      </w:pPr>
    </w:p>
    <w:p w14:paraId="21CAE9B6" w14:textId="77777777" w:rsidR="00E459EE" w:rsidRDefault="005F75DA">
      <w:pPr>
        <w:widowControl/>
        <w:suppressAutoHyphens w:val="0"/>
        <w:autoSpaceDN/>
        <w:ind w:firstLine="720"/>
        <w:textAlignment w:val="auto"/>
        <w:rPr>
          <w:b/>
        </w:rPr>
      </w:pPr>
      <w:r>
        <w:rPr>
          <w:b/>
        </w:rPr>
        <w:t>6(f)</w:t>
      </w:r>
      <w:r>
        <w:rPr>
          <w:b/>
        </w:rPr>
        <w:tab/>
        <w:t>Burden Statement</w:t>
      </w:r>
    </w:p>
    <w:p w14:paraId="0074C064" w14:textId="77777777" w:rsidR="00E459EE" w:rsidRDefault="00E459EE">
      <w:pPr>
        <w:widowControl/>
        <w:suppressAutoHyphens w:val="0"/>
        <w:autoSpaceDN/>
        <w:ind w:firstLine="720"/>
        <w:textAlignment w:val="auto"/>
      </w:pPr>
    </w:p>
    <w:p w14:paraId="1A056491" w14:textId="77777777" w:rsidR="00E459EE" w:rsidRDefault="005F75DA">
      <w:pPr>
        <w:widowControl/>
        <w:suppressAutoHyphens w:val="0"/>
        <w:autoSpaceDN/>
        <w:ind w:firstLine="720"/>
        <w:textAlignment w:val="auto"/>
      </w:pPr>
      <w:r>
        <w:t>Because the universe of respondents covered under this proposed ICR is quite diverse, there is no “typical” respondent. Table 6(b).13 presents the average annual respondent burden for each respondent by activity covered in the proposed REGS rule. The annual burden is estimated to average between 1 and 986 hours per respondent, depending on the information collection requirements of the particular party. The average annual burden across all parties is 224 hours, and the average number of hours per response is estimated to be approximately 1 hour.</w:t>
      </w:r>
    </w:p>
    <w:p w14:paraId="5BEFD6E8" w14:textId="77777777" w:rsidR="00E459EE" w:rsidRDefault="00E459EE">
      <w:pPr>
        <w:widowControl/>
        <w:suppressAutoHyphens w:val="0"/>
        <w:autoSpaceDN/>
        <w:ind w:firstLine="720"/>
        <w:textAlignment w:val="auto"/>
      </w:pPr>
    </w:p>
    <w:p w14:paraId="1B146B85" w14:textId="77777777" w:rsidR="00E459EE" w:rsidRDefault="005F75DA">
      <w:pPr>
        <w:widowControl/>
        <w:suppressAutoHyphens w:val="0"/>
        <w:autoSpaceDN/>
        <w:ind w:firstLine="720"/>
        <w:textAlignment w:val="auto"/>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the EPA’s regulations are listed in 40 CFR part 9 and 48 CFR chapter 15.</w:t>
      </w:r>
    </w:p>
    <w:p w14:paraId="796D9864" w14:textId="77777777" w:rsidR="00E459EE" w:rsidRDefault="00E459EE">
      <w:pPr>
        <w:widowControl/>
        <w:suppressAutoHyphens w:val="0"/>
        <w:autoSpaceDN/>
        <w:ind w:firstLine="720"/>
        <w:textAlignment w:val="auto"/>
      </w:pPr>
    </w:p>
    <w:p w14:paraId="7C7C34AD" w14:textId="77777777" w:rsidR="00E459EE" w:rsidRDefault="005F75DA">
      <w:pPr>
        <w:widowControl/>
        <w:suppressAutoHyphens w:val="0"/>
        <w:autoSpaceDN/>
        <w:ind w:firstLine="720"/>
        <w:textAlignment w:val="auto"/>
      </w:pPr>
      <w:r>
        <w:t xml:space="preserve">To comment on the EPA’s need for this information, the accuracy of the provided burden estimates, and any suggested methods for minimizing respondent burden, including the use of automated collection techniques, EPA has established a public docket for this ICR under Docket ID No. EPA-HQ-OAR-2016-0041, which is available for online viewing at </w:t>
      </w:r>
      <w:r>
        <w:rPr>
          <w:u w:val="single"/>
        </w:rPr>
        <w:t>www.regulations.gov</w:t>
      </w:r>
      <w:r>
        <w:t>, or in-person viewing at the Air and Radiation Docket and Information Center in the EPA Docket Center (EPA/DC). The docket is located in the William Jefferson Clinton Building West, 1301 Constitution Avenue, NW, Room 3334, Washington, DC, and is open from 8:30 a.m. to 4:30 p.m., Eastern Standard Time, Monday through Friday, excluding legal holidays. The telephone number for the Reading Room is (202) 566-1744, and the telephone number for the Air and Radiation Docket and Information Center is (202) 566-1742.</w:t>
      </w:r>
    </w:p>
    <w:p w14:paraId="43FDD6E5" w14:textId="77777777" w:rsidR="00E459EE" w:rsidRDefault="00E459EE">
      <w:pPr>
        <w:widowControl/>
        <w:suppressAutoHyphens w:val="0"/>
        <w:autoSpaceDN/>
        <w:ind w:firstLine="720"/>
        <w:textAlignment w:val="auto"/>
      </w:pPr>
    </w:p>
    <w:p w14:paraId="7C29E761" w14:textId="77777777" w:rsidR="00E459EE" w:rsidRDefault="005F75DA">
      <w:pPr>
        <w:widowControl/>
        <w:suppressAutoHyphens w:val="0"/>
        <w:autoSpaceDN/>
        <w:ind w:firstLine="720"/>
        <w:textAlignment w:val="auto"/>
      </w:pPr>
      <w:r>
        <w:t xml:space="preserve">An electronic version of the public docket is available at </w:t>
      </w:r>
      <w:r>
        <w:rPr>
          <w:u w:val="single"/>
        </w:rPr>
        <w:t>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No. identified above. Also, you can send comments to the Office of Information and Regulatory Affairs, Office of Management and Budget, 725 17th Street, NW, Washington, D.C. 20503, Attention: Desk Officer for EPA. Please include the EPA Docket ID No. EPA-HQ-OAR-2016-0041 and OMB Control Number 2060-AS66 in any correspondence.</w:t>
      </w:r>
    </w:p>
    <w:p w14:paraId="6E9E6C6C" w14:textId="77777777" w:rsidR="00E459EE" w:rsidRDefault="00E459EE">
      <w:pPr>
        <w:widowControl/>
        <w:suppressAutoHyphens w:val="0"/>
        <w:autoSpaceDN/>
        <w:ind w:firstLine="720"/>
        <w:textAlignment w:val="auto"/>
      </w:pPr>
    </w:p>
    <w:sectPr w:rsidR="00E459EE">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erson, Robert" w:date="2016-06-14T14:53:00Z" w:initials="AR">
    <w:p w14:paraId="2A16245F" w14:textId="77777777" w:rsidR="00E459EE" w:rsidRDefault="005F75DA">
      <w:pPr>
        <w:pStyle w:val="CommentText"/>
      </w:pPr>
      <w:r>
        <w:rPr>
          <w:rStyle w:val="CommentReference"/>
        </w:rPr>
        <w:annotationRef/>
      </w:r>
      <w:r>
        <w:t>Check TCD’s form number.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1624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E26EC" w14:textId="77777777" w:rsidR="008E55A7" w:rsidRDefault="008E55A7">
      <w:r>
        <w:separator/>
      </w:r>
    </w:p>
  </w:endnote>
  <w:endnote w:type="continuationSeparator" w:id="0">
    <w:p w14:paraId="481D13B8" w14:textId="77777777" w:rsidR="008E55A7" w:rsidRDefault="008E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596169"/>
      <w:docPartObj>
        <w:docPartGallery w:val="Page Numbers (Bottom of Page)"/>
        <w:docPartUnique/>
      </w:docPartObj>
    </w:sdtPr>
    <w:sdtEndPr>
      <w:rPr>
        <w:noProof/>
      </w:rPr>
    </w:sdtEndPr>
    <w:sdtContent>
      <w:p w14:paraId="02418E37" w14:textId="77777777" w:rsidR="00E459EE" w:rsidRDefault="005F75DA">
        <w:pPr>
          <w:pStyle w:val="Footer"/>
          <w:jc w:val="center"/>
        </w:pPr>
        <w:r>
          <w:fldChar w:fldCharType="begin"/>
        </w:r>
        <w:r>
          <w:instrText xml:space="preserve"> PAGE   \* MERGEFORMAT </w:instrText>
        </w:r>
        <w:r>
          <w:fldChar w:fldCharType="separate"/>
        </w:r>
        <w:r w:rsidR="00A26537">
          <w:rPr>
            <w:noProof/>
          </w:rPr>
          <w:t>1</w:t>
        </w:r>
        <w:r>
          <w:rPr>
            <w:noProof/>
          </w:rPr>
          <w:fldChar w:fldCharType="end"/>
        </w:r>
      </w:p>
    </w:sdtContent>
  </w:sdt>
  <w:p w14:paraId="27F98A3B" w14:textId="77777777" w:rsidR="00E459EE" w:rsidRDefault="00E45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208AF" w14:textId="77777777" w:rsidR="008E55A7" w:rsidRDefault="008E55A7">
      <w:r>
        <w:separator/>
      </w:r>
    </w:p>
  </w:footnote>
  <w:footnote w:type="continuationSeparator" w:id="0">
    <w:p w14:paraId="5443978A" w14:textId="77777777" w:rsidR="008E55A7" w:rsidRDefault="008E55A7">
      <w:r>
        <w:continuationSeparator/>
      </w:r>
    </w:p>
  </w:footnote>
  <w:footnote w:id="1">
    <w:p w14:paraId="2EC958B0" w14:textId="77777777" w:rsidR="00E459EE" w:rsidRDefault="005F75DA">
      <w:pPr>
        <w:pStyle w:val="FootnoteText"/>
      </w:pPr>
      <w:r>
        <w:rPr>
          <w:rStyle w:val="FootnoteReference"/>
        </w:rPr>
        <w:footnoteRef/>
      </w:r>
      <w:r>
        <w:t xml:space="preserve"> The White House, “The President’s Climate Action Plan,” June 2013, </w:t>
      </w:r>
      <w:r>
        <w:rPr>
          <w:u w:val="single"/>
        </w:rPr>
        <w:t>http://www.whitehouse.gov/share/climate-action-plan</w:t>
      </w:r>
      <w:r>
        <w:t>.</w:t>
      </w:r>
    </w:p>
  </w:footnote>
  <w:footnote w:id="2">
    <w:p w14:paraId="7D5C154D" w14:textId="77777777" w:rsidR="00E459EE" w:rsidRDefault="005F75DA">
      <w:pPr>
        <w:pStyle w:val="FootnoteText"/>
      </w:pPr>
      <w:r>
        <w:rPr>
          <w:rStyle w:val="FootnoteReference"/>
        </w:rPr>
        <w:footnoteRef/>
      </w:r>
      <w:r>
        <w:t xml:space="preserve"> The White House, “U.S. Leadership and the Historic Paris Agreement to Combat Climate Change,” December 2015, </w:t>
      </w:r>
      <w:r>
        <w:rPr>
          <w:u w:val="single"/>
        </w:rPr>
        <w:t>http://www.whitehouse.gov/the-press-office/2015/12/12/us-leadership-and-historic-paris-agreement-combat-climate-change</w:t>
      </w:r>
      <w:r>
        <w:t>.</w:t>
      </w:r>
    </w:p>
  </w:footnote>
  <w:footnote w:id="3">
    <w:p w14:paraId="50AA221C" w14:textId="77777777" w:rsidR="00E459EE" w:rsidRDefault="005F75DA">
      <w:pPr>
        <w:pStyle w:val="FootnoteText"/>
      </w:pPr>
      <w:r>
        <w:rPr>
          <w:rStyle w:val="FootnoteReference"/>
        </w:rPr>
        <w:footnoteRef/>
      </w:r>
      <w:r>
        <w:t xml:space="preserve"> The White House, “Improving the Fuel Efficiency of American Trucks—Bolstering Energy Security, Cutting Carbon Pollution, Saving Money and Supporting Manufacturing Innovation,” p. 2, February 2014, </w:t>
      </w:r>
      <w:r>
        <w:rPr>
          <w:u w:val="single"/>
        </w:rPr>
        <w:t>http://www.whitehouse.gov/sites/default/files/docs/finaltrucksreport.pdf</w:t>
      </w:r>
      <w:r>
        <w:t>.</w:t>
      </w:r>
    </w:p>
  </w:footnote>
  <w:footnote w:id="4">
    <w:p w14:paraId="29EB5ED2" w14:textId="77777777" w:rsidR="00E459EE" w:rsidRDefault="005F75DA">
      <w:pPr>
        <w:pStyle w:val="FootnoteText"/>
      </w:pPr>
      <w:r>
        <w:rPr>
          <w:rStyle w:val="FootnoteReference"/>
        </w:rPr>
        <w:footnoteRef/>
      </w:r>
      <w:r>
        <w:t xml:space="preserve"> U.S. EPA, “Inventory of U.S. Greenhouse Gas Emissions and Sinks: 1990–2012,” EPA 430-R-14-003, April 2014, </w:t>
      </w:r>
      <w:r>
        <w:rPr>
          <w:u w:val="single"/>
        </w:rPr>
        <w:t>http://www.epa.gov/climatechange/Downloads/ghgemissions/US-GHG-Inventory-2014-Main-Text.pdf</w:t>
      </w:r>
      <w:r>
        <w:t>.</w:t>
      </w:r>
    </w:p>
  </w:footnote>
  <w:footnote w:id="5">
    <w:p w14:paraId="45A15F2D" w14:textId="77777777" w:rsidR="00E459EE" w:rsidRDefault="005F75DA">
      <w:pPr>
        <w:pStyle w:val="FootnoteText"/>
      </w:pPr>
      <w:r>
        <w:rPr>
          <w:rStyle w:val="FootnoteReference"/>
        </w:rPr>
        <w:footnoteRef/>
      </w:r>
      <w:r>
        <w:t xml:space="preserve"> While we are not proposing to add a generally applicable CCS technology to an approved pathway in the RFS regulations, we do believe it is appropriate to propose the necessary registration, recordkeeping, and reporting requirements that would generally govern the use of CCS if and when such a pathway is approved.</w:t>
      </w:r>
    </w:p>
  </w:footnote>
  <w:footnote w:id="6">
    <w:p w14:paraId="5ACD26B9" w14:textId="77777777" w:rsidR="00E459EE" w:rsidRDefault="005F75DA">
      <w:pPr>
        <w:pStyle w:val="FootnoteText"/>
      </w:pPr>
      <w:r>
        <w:rPr>
          <w:rStyle w:val="FootnoteReference"/>
        </w:rPr>
        <w:footnoteRef/>
      </w:r>
      <w:r>
        <w:t xml:space="preserve"> These estimates are derived from "OPM Salary Table 2016-DCB," effective January 2016. This table may be found at </w:t>
      </w:r>
      <w:r>
        <w:rPr>
          <w:u w:val="single"/>
        </w:rPr>
        <w:t>https://www.opm.gov/policy-data-oversight/pay-leave/salaries-wages/salary-tables/pdf/2016/DCB.pdf</w:t>
      </w:r>
      <w:r>
        <w:t>. The extreme of step 10 was assumed for all categories. We have assumed a full-time GS-7 clerical worker, one full-time GS-13 technical worker, and a GS-15 manager working one-eighth of his/her time managing this project (0.125). All values were multiplied by 1.6 (which is a common factor utilized in ICRs to account for overhead costs). We rounded the resulting dollar value to the nearest thousand. This cost is per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40318"/>
    <w:multiLevelType w:val="hybridMultilevel"/>
    <w:tmpl w:val="D43A5DB4"/>
    <w:lvl w:ilvl="0" w:tplc="84C4E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E4D29"/>
    <w:multiLevelType w:val="multilevel"/>
    <w:tmpl w:val="E9F03C90"/>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BF7EFE"/>
    <w:multiLevelType w:val="hybridMultilevel"/>
    <w:tmpl w:val="739E0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F36E87"/>
    <w:multiLevelType w:val="hybridMultilevel"/>
    <w:tmpl w:val="25CAFD86"/>
    <w:lvl w:ilvl="0" w:tplc="84C4E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on, Robert">
    <w15:presenceInfo w15:providerId="AD" w15:userId="S-1-5-21-1339303556-449845944-1601390327-145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EE"/>
    <w:rsid w:val="00031283"/>
    <w:rsid w:val="003A41D2"/>
    <w:rsid w:val="00477036"/>
    <w:rsid w:val="005531E4"/>
    <w:rsid w:val="005F75DA"/>
    <w:rsid w:val="00661E50"/>
    <w:rsid w:val="008E55A7"/>
    <w:rsid w:val="00963867"/>
    <w:rsid w:val="00A26537"/>
    <w:rsid w:val="00B0797A"/>
    <w:rsid w:val="00CA727D"/>
    <w:rsid w:val="00E4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82C3"/>
  <w15:chartTrackingRefBased/>
  <w15:docId w15:val="{F2C77FA3-59C7-46B2-B620-7D79FF15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9">
    <w:name w:val="WWNum19"/>
    <w:basedOn w:val="NoList"/>
    <w:pPr>
      <w:numPr>
        <w:numId w:val="1"/>
      </w:numPr>
    </w:pPr>
  </w:style>
  <w:style w:type="paragraph" w:styleId="ListParagraph">
    <w:name w:val="List Paragraph"/>
    <w:basedOn w:val="Standard"/>
    <w:uiPriority w:val="34"/>
    <w:qFormat/>
    <w:pPr>
      <w:ind w:left="720"/>
    </w:pPr>
  </w:style>
  <w:style w:type="paragraph" w:styleId="FootnoteText">
    <w:name w:val="footnote text"/>
    <w:aliases w:val=" Char, Char1,Footnote Text - Preamble, Char2,Footnote Text - Preamble1, Char3, Char11,Footnote Text - Preamble2, Char21,Footnote Text - Preamble11, Char4, Char5,Footnote Text - Preamble3, Char6,Footnote Text - Preamble4, Char7, Char12, Cha"/>
    <w:basedOn w:val="Normal"/>
    <w:link w:val="FootnoteTextChar"/>
    <w:unhideWhenUsed/>
    <w:qFormat/>
    <w:pPr>
      <w:widowControl/>
      <w:suppressAutoHyphens w:val="0"/>
      <w:autoSpaceDN/>
      <w:textAlignment w:val="auto"/>
    </w:pPr>
    <w:rPr>
      <w:rFonts w:eastAsiaTheme="minorHAnsi" w:cs="Calibri"/>
      <w:kern w:val="0"/>
      <w:sz w:val="20"/>
      <w:szCs w:val="20"/>
      <w:lang w:eastAsia="en-US" w:bidi="ar-SA"/>
    </w:rPr>
  </w:style>
  <w:style w:type="character" w:customStyle="1" w:styleId="FootnoteTextChar">
    <w:name w:val="Footnote Text Char"/>
    <w:aliases w:val=" Char Char, Char1 Char,Footnote Text - Preamble Char, Char2 Char,Footnote Text - Preamble1 Char, Char3 Char, Char11 Char,Footnote Text - Preamble2 Char, Char21 Char,Footnote Text - Preamble11 Char, Char4 Char, Char5 Char, Char6 Char"/>
    <w:basedOn w:val="DefaultParagraphFont"/>
    <w:link w:val="FootnoteText"/>
    <w:rPr>
      <w:rFonts w:ascii="Times New Roman" w:hAnsi="Times New Roman" w:cs="Calibri"/>
      <w:sz w:val="20"/>
      <w:szCs w:val="20"/>
    </w:rPr>
  </w:style>
  <w:style w:type="character" w:styleId="FootnoteReference">
    <w:name w:val="footnote reference"/>
    <w:basedOn w:val="DefaultParagraphFont"/>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18"/>
    </w:rPr>
  </w:style>
  <w:style w:type="character" w:customStyle="1" w:styleId="CommentTextChar">
    <w:name w:val="Comment Text Char"/>
    <w:basedOn w:val="DefaultParagraphFont"/>
    <w:link w:val="CommentText"/>
    <w:uiPriority w:val="99"/>
    <w:semiHidden/>
    <w:rPr>
      <w:rFonts w:ascii="Times New Roman" w:eastAsia="SimSun" w:hAnsi="Times New Roman" w:cs="Mangal"/>
      <w:kern w:val="3"/>
      <w:sz w:val="20"/>
      <w:szCs w:val="18"/>
      <w:lang w:eastAsia="zh-CN" w:bidi="hi-I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Mangal"/>
      <w:b/>
      <w:bCs/>
      <w:kern w:val="3"/>
      <w:sz w:val="20"/>
      <w:szCs w:val="18"/>
      <w:lang w:eastAsia="zh-CN" w:bidi="hi-IN"/>
    </w:rPr>
  </w:style>
  <w:style w:type="paragraph" w:styleId="BalloonText">
    <w:name w:val="Balloon Text"/>
    <w:basedOn w:val="Normal"/>
    <w:link w:val="BalloonTextChar"/>
    <w:uiPriority w:val="99"/>
    <w:semiHidden/>
    <w:unhideWhenUsed/>
    <w:rPr>
      <w:rFonts w:ascii="Segoe UI" w:hAnsi="Segoe UI"/>
      <w:sz w:val="18"/>
      <w:szCs w:val="16"/>
    </w:rPr>
  </w:style>
  <w:style w:type="character" w:customStyle="1" w:styleId="BalloonTextChar">
    <w:name w:val="Balloon Text Char"/>
    <w:basedOn w:val="DefaultParagraphFont"/>
    <w:link w:val="BalloonText"/>
    <w:uiPriority w:val="99"/>
    <w:semiHidden/>
    <w:rPr>
      <w:rFonts w:ascii="Segoe UI" w:eastAsia="SimSun" w:hAnsi="Segoe UI" w:cs="Mangal"/>
      <w:kern w:val="3"/>
      <w:sz w:val="18"/>
      <w:szCs w:val="16"/>
      <w:lang w:eastAsia="zh-CN" w:bidi="hi-IN"/>
    </w:rPr>
  </w:style>
  <w:style w:type="paragraph" w:styleId="Header">
    <w:name w:val="header"/>
    <w:basedOn w:val="Normal"/>
    <w:link w:val="HeaderChar"/>
    <w:uiPriority w:val="99"/>
    <w:unhideWhenUsed/>
    <w:pPr>
      <w:tabs>
        <w:tab w:val="center" w:pos="4680"/>
        <w:tab w:val="right" w:pos="9360"/>
      </w:tabs>
    </w:pPr>
    <w:rPr>
      <w:szCs w:val="21"/>
    </w:rPr>
  </w:style>
  <w:style w:type="character" w:customStyle="1" w:styleId="HeaderChar">
    <w:name w:val="Header Char"/>
    <w:basedOn w:val="DefaultParagraphFont"/>
    <w:link w:val="Header"/>
    <w:uiPriority w:val="99"/>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pPr>
      <w:tabs>
        <w:tab w:val="center" w:pos="4680"/>
        <w:tab w:val="right" w:pos="9360"/>
      </w:tabs>
    </w:pPr>
    <w:rPr>
      <w:szCs w:val="21"/>
    </w:rPr>
  </w:style>
  <w:style w:type="character" w:customStyle="1" w:styleId="FooterChar">
    <w:name w:val="Footer Char"/>
    <w:basedOn w:val="DefaultParagraphFont"/>
    <w:link w:val="Footer"/>
    <w:uiPriority w:val="99"/>
    <w:rPr>
      <w:rFonts w:ascii="Times New Roman" w:eastAsia="SimSun" w:hAnsi="Times New Roman" w:cs="Mangal"/>
      <w:kern w:val="3"/>
      <w:sz w:val="24"/>
      <w:szCs w:val="21"/>
      <w:lang w:eastAsia="zh-CN" w:bidi="hi-IN"/>
    </w:rPr>
  </w:style>
  <w:style w:type="paragraph" w:customStyle="1" w:styleId="Footnote">
    <w:name w:val="Footnote"/>
    <w:basedOn w:val="Standard"/>
    <w:pPr>
      <w:suppressLineNumbers/>
      <w:ind w:left="283" w:hanging="283"/>
      <w:textAlignment w:val="auto"/>
    </w:pPr>
    <w:rPr>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3867"/>
    <w:pPr>
      <w:spacing w:after="0" w:line="240" w:lineRule="auto"/>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093">
      <w:bodyDiv w:val="1"/>
      <w:marLeft w:val="0"/>
      <w:marRight w:val="0"/>
      <w:marTop w:val="0"/>
      <w:marBottom w:val="0"/>
      <w:divBdr>
        <w:top w:val="none" w:sz="0" w:space="0" w:color="auto"/>
        <w:left w:val="none" w:sz="0" w:space="0" w:color="auto"/>
        <w:bottom w:val="none" w:sz="0" w:space="0" w:color="auto"/>
        <w:right w:val="none" w:sz="0" w:space="0" w:color="auto"/>
      </w:divBdr>
    </w:div>
    <w:div w:id="13312563">
      <w:bodyDiv w:val="1"/>
      <w:marLeft w:val="0"/>
      <w:marRight w:val="0"/>
      <w:marTop w:val="0"/>
      <w:marBottom w:val="0"/>
      <w:divBdr>
        <w:top w:val="none" w:sz="0" w:space="0" w:color="auto"/>
        <w:left w:val="none" w:sz="0" w:space="0" w:color="auto"/>
        <w:bottom w:val="none" w:sz="0" w:space="0" w:color="auto"/>
        <w:right w:val="none" w:sz="0" w:space="0" w:color="auto"/>
      </w:divBdr>
    </w:div>
    <w:div w:id="16007895">
      <w:bodyDiv w:val="1"/>
      <w:marLeft w:val="0"/>
      <w:marRight w:val="0"/>
      <w:marTop w:val="0"/>
      <w:marBottom w:val="0"/>
      <w:divBdr>
        <w:top w:val="none" w:sz="0" w:space="0" w:color="auto"/>
        <w:left w:val="none" w:sz="0" w:space="0" w:color="auto"/>
        <w:bottom w:val="none" w:sz="0" w:space="0" w:color="auto"/>
        <w:right w:val="none" w:sz="0" w:space="0" w:color="auto"/>
      </w:divBdr>
    </w:div>
    <w:div w:id="26411598">
      <w:bodyDiv w:val="1"/>
      <w:marLeft w:val="0"/>
      <w:marRight w:val="0"/>
      <w:marTop w:val="0"/>
      <w:marBottom w:val="0"/>
      <w:divBdr>
        <w:top w:val="none" w:sz="0" w:space="0" w:color="auto"/>
        <w:left w:val="none" w:sz="0" w:space="0" w:color="auto"/>
        <w:bottom w:val="none" w:sz="0" w:space="0" w:color="auto"/>
        <w:right w:val="none" w:sz="0" w:space="0" w:color="auto"/>
      </w:divBdr>
    </w:div>
    <w:div w:id="32779998">
      <w:bodyDiv w:val="1"/>
      <w:marLeft w:val="0"/>
      <w:marRight w:val="0"/>
      <w:marTop w:val="0"/>
      <w:marBottom w:val="0"/>
      <w:divBdr>
        <w:top w:val="none" w:sz="0" w:space="0" w:color="auto"/>
        <w:left w:val="none" w:sz="0" w:space="0" w:color="auto"/>
        <w:bottom w:val="none" w:sz="0" w:space="0" w:color="auto"/>
        <w:right w:val="none" w:sz="0" w:space="0" w:color="auto"/>
      </w:divBdr>
    </w:div>
    <w:div w:id="41254673">
      <w:bodyDiv w:val="1"/>
      <w:marLeft w:val="0"/>
      <w:marRight w:val="0"/>
      <w:marTop w:val="0"/>
      <w:marBottom w:val="0"/>
      <w:divBdr>
        <w:top w:val="none" w:sz="0" w:space="0" w:color="auto"/>
        <w:left w:val="none" w:sz="0" w:space="0" w:color="auto"/>
        <w:bottom w:val="none" w:sz="0" w:space="0" w:color="auto"/>
        <w:right w:val="none" w:sz="0" w:space="0" w:color="auto"/>
      </w:divBdr>
    </w:div>
    <w:div w:id="60447405">
      <w:bodyDiv w:val="1"/>
      <w:marLeft w:val="0"/>
      <w:marRight w:val="0"/>
      <w:marTop w:val="0"/>
      <w:marBottom w:val="0"/>
      <w:divBdr>
        <w:top w:val="none" w:sz="0" w:space="0" w:color="auto"/>
        <w:left w:val="none" w:sz="0" w:space="0" w:color="auto"/>
        <w:bottom w:val="none" w:sz="0" w:space="0" w:color="auto"/>
        <w:right w:val="none" w:sz="0" w:space="0" w:color="auto"/>
      </w:divBdr>
    </w:div>
    <w:div w:id="64304714">
      <w:bodyDiv w:val="1"/>
      <w:marLeft w:val="0"/>
      <w:marRight w:val="0"/>
      <w:marTop w:val="0"/>
      <w:marBottom w:val="0"/>
      <w:divBdr>
        <w:top w:val="none" w:sz="0" w:space="0" w:color="auto"/>
        <w:left w:val="none" w:sz="0" w:space="0" w:color="auto"/>
        <w:bottom w:val="none" w:sz="0" w:space="0" w:color="auto"/>
        <w:right w:val="none" w:sz="0" w:space="0" w:color="auto"/>
      </w:divBdr>
    </w:div>
    <w:div w:id="64453320">
      <w:bodyDiv w:val="1"/>
      <w:marLeft w:val="0"/>
      <w:marRight w:val="0"/>
      <w:marTop w:val="0"/>
      <w:marBottom w:val="0"/>
      <w:divBdr>
        <w:top w:val="none" w:sz="0" w:space="0" w:color="auto"/>
        <w:left w:val="none" w:sz="0" w:space="0" w:color="auto"/>
        <w:bottom w:val="none" w:sz="0" w:space="0" w:color="auto"/>
        <w:right w:val="none" w:sz="0" w:space="0" w:color="auto"/>
      </w:divBdr>
    </w:div>
    <w:div w:id="70933557">
      <w:bodyDiv w:val="1"/>
      <w:marLeft w:val="0"/>
      <w:marRight w:val="0"/>
      <w:marTop w:val="0"/>
      <w:marBottom w:val="0"/>
      <w:divBdr>
        <w:top w:val="none" w:sz="0" w:space="0" w:color="auto"/>
        <w:left w:val="none" w:sz="0" w:space="0" w:color="auto"/>
        <w:bottom w:val="none" w:sz="0" w:space="0" w:color="auto"/>
        <w:right w:val="none" w:sz="0" w:space="0" w:color="auto"/>
      </w:divBdr>
    </w:div>
    <w:div w:id="71778949">
      <w:bodyDiv w:val="1"/>
      <w:marLeft w:val="0"/>
      <w:marRight w:val="0"/>
      <w:marTop w:val="0"/>
      <w:marBottom w:val="0"/>
      <w:divBdr>
        <w:top w:val="none" w:sz="0" w:space="0" w:color="auto"/>
        <w:left w:val="none" w:sz="0" w:space="0" w:color="auto"/>
        <w:bottom w:val="none" w:sz="0" w:space="0" w:color="auto"/>
        <w:right w:val="none" w:sz="0" w:space="0" w:color="auto"/>
      </w:divBdr>
    </w:div>
    <w:div w:id="74209440">
      <w:bodyDiv w:val="1"/>
      <w:marLeft w:val="0"/>
      <w:marRight w:val="0"/>
      <w:marTop w:val="0"/>
      <w:marBottom w:val="0"/>
      <w:divBdr>
        <w:top w:val="none" w:sz="0" w:space="0" w:color="auto"/>
        <w:left w:val="none" w:sz="0" w:space="0" w:color="auto"/>
        <w:bottom w:val="none" w:sz="0" w:space="0" w:color="auto"/>
        <w:right w:val="none" w:sz="0" w:space="0" w:color="auto"/>
      </w:divBdr>
    </w:div>
    <w:div w:id="85344037">
      <w:bodyDiv w:val="1"/>
      <w:marLeft w:val="0"/>
      <w:marRight w:val="0"/>
      <w:marTop w:val="0"/>
      <w:marBottom w:val="0"/>
      <w:divBdr>
        <w:top w:val="none" w:sz="0" w:space="0" w:color="auto"/>
        <w:left w:val="none" w:sz="0" w:space="0" w:color="auto"/>
        <w:bottom w:val="none" w:sz="0" w:space="0" w:color="auto"/>
        <w:right w:val="none" w:sz="0" w:space="0" w:color="auto"/>
      </w:divBdr>
    </w:div>
    <w:div w:id="92408471">
      <w:bodyDiv w:val="1"/>
      <w:marLeft w:val="0"/>
      <w:marRight w:val="0"/>
      <w:marTop w:val="0"/>
      <w:marBottom w:val="0"/>
      <w:divBdr>
        <w:top w:val="none" w:sz="0" w:space="0" w:color="auto"/>
        <w:left w:val="none" w:sz="0" w:space="0" w:color="auto"/>
        <w:bottom w:val="none" w:sz="0" w:space="0" w:color="auto"/>
        <w:right w:val="none" w:sz="0" w:space="0" w:color="auto"/>
      </w:divBdr>
    </w:div>
    <w:div w:id="96486949">
      <w:bodyDiv w:val="1"/>
      <w:marLeft w:val="0"/>
      <w:marRight w:val="0"/>
      <w:marTop w:val="0"/>
      <w:marBottom w:val="0"/>
      <w:divBdr>
        <w:top w:val="none" w:sz="0" w:space="0" w:color="auto"/>
        <w:left w:val="none" w:sz="0" w:space="0" w:color="auto"/>
        <w:bottom w:val="none" w:sz="0" w:space="0" w:color="auto"/>
        <w:right w:val="none" w:sz="0" w:space="0" w:color="auto"/>
      </w:divBdr>
    </w:div>
    <w:div w:id="106891962">
      <w:bodyDiv w:val="1"/>
      <w:marLeft w:val="0"/>
      <w:marRight w:val="0"/>
      <w:marTop w:val="0"/>
      <w:marBottom w:val="0"/>
      <w:divBdr>
        <w:top w:val="none" w:sz="0" w:space="0" w:color="auto"/>
        <w:left w:val="none" w:sz="0" w:space="0" w:color="auto"/>
        <w:bottom w:val="none" w:sz="0" w:space="0" w:color="auto"/>
        <w:right w:val="none" w:sz="0" w:space="0" w:color="auto"/>
      </w:divBdr>
    </w:div>
    <w:div w:id="114065294">
      <w:bodyDiv w:val="1"/>
      <w:marLeft w:val="0"/>
      <w:marRight w:val="0"/>
      <w:marTop w:val="0"/>
      <w:marBottom w:val="0"/>
      <w:divBdr>
        <w:top w:val="none" w:sz="0" w:space="0" w:color="auto"/>
        <w:left w:val="none" w:sz="0" w:space="0" w:color="auto"/>
        <w:bottom w:val="none" w:sz="0" w:space="0" w:color="auto"/>
        <w:right w:val="none" w:sz="0" w:space="0" w:color="auto"/>
      </w:divBdr>
    </w:div>
    <w:div w:id="116073489">
      <w:bodyDiv w:val="1"/>
      <w:marLeft w:val="0"/>
      <w:marRight w:val="0"/>
      <w:marTop w:val="0"/>
      <w:marBottom w:val="0"/>
      <w:divBdr>
        <w:top w:val="none" w:sz="0" w:space="0" w:color="auto"/>
        <w:left w:val="none" w:sz="0" w:space="0" w:color="auto"/>
        <w:bottom w:val="none" w:sz="0" w:space="0" w:color="auto"/>
        <w:right w:val="none" w:sz="0" w:space="0" w:color="auto"/>
      </w:divBdr>
    </w:div>
    <w:div w:id="124012251">
      <w:bodyDiv w:val="1"/>
      <w:marLeft w:val="0"/>
      <w:marRight w:val="0"/>
      <w:marTop w:val="0"/>
      <w:marBottom w:val="0"/>
      <w:divBdr>
        <w:top w:val="none" w:sz="0" w:space="0" w:color="auto"/>
        <w:left w:val="none" w:sz="0" w:space="0" w:color="auto"/>
        <w:bottom w:val="none" w:sz="0" w:space="0" w:color="auto"/>
        <w:right w:val="none" w:sz="0" w:space="0" w:color="auto"/>
      </w:divBdr>
    </w:div>
    <w:div w:id="135034764">
      <w:bodyDiv w:val="1"/>
      <w:marLeft w:val="0"/>
      <w:marRight w:val="0"/>
      <w:marTop w:val="0"/>
      <w:marBottom w:val="0"/>
      <w:divBdr>
        <w:top w:val="none" w:sz="0" w:space="0" w:color="auto"/>
        <w:left w:val="none" w:sz="0" w:space="0" w:color="auto"/>
        <w:bottom w:val="none" w:sz="0" w:space="0" w:color="auto"/>
        <w:right w:val="none" w:sz="0" w:space="0" w:color="auto"/>
      </w:divBdr>
    </w:div>
    <w:div w:id="137386022">
      <w:bodyDiv w:val="1"/>
      <w:marLeft w:val="0"/>
      <w:marRight w:val="0"/>
      <w:marTop w:val="0"/>
      <w:marBottom w:val="0"/>
      <w:divBdr>
        <w:top w:val="none" w:sz="0" w:space="0" w:color="auto"/>
        <w:left w:val="none" w:sz="0" w:space="0" w:color="auto"/>
        <w:bottom w:val="none" w:sz="0" w:space="0" w:color="auto"/>
        <w:right w:val="none" w:sz="0" w:space="0" w:color="auto"/>
      </w:divBdr>
    </w:div>
    <w:div w:id="155651753">
      <w:bodyDiv w:val="1"/>
      <w:marLeft w:val="0"/>
      <w:marRight w:val="0"/>
      <w:marTop w:val="0"/>
      <w:marBottom w:val="0"/>
      <w:divBdr>
        <w:top w:val="none" w:sz="0" w:space="0" w:color="auto"/>
        <w:left w:val="none" w:sz="0" w:space="0" w:color="auto"/>
        <w:bottom w:val="none" w:sz="0" w:space="0" w:color="auto"/>
        <w:right w:val="none" w:sz="0" w:space="0" w:color="auto"/>
      </w:divBdr>
    </w:div>
    <w:div w:id="159394938">
      <w:bodyDiv w:val="1"/>
      <w:marLeft w:val="0"/>
      <w:marRight w:val="0"/>
      <w:marTop w:val="0"/>
      <w:marBottom w:val="0"/>
      <w:divBdr>
        <w:top w:val="none" w:sz="0" w:space="0" w:color="auto"/>
        <w:left w:val="none" w:sz="0" w:space="0" w:color="auto"/>
        <w:bottom w:val="none" w:sz="0" w:space="0" w:color="auto"/>
        <w:right w:val="none" w:sz="0" w:space="0" w:color="auto"/>
      </w:divBdr>
    </w:div>
    <w:div w:id="169373664">
      <w:bodyDiv w:val="1"/>
      <w:marLeft w:val="0"/>
      <w:marRight w:val="0"/>
      <w:marTop w:val="0"/>
      <w:marBottom w:val="0"/>
      <w:divBdr>
        <w:top w:val="none" w:sz="0" w:space="0" w:color="auto"/>
        <w:left w:val="none" w:sz="0" w:space="0" w:color="auto"/>
        <w:bottom w:val="none" w:sz="0" w:space="0" w:color="auto"/>
        <w:right w:val="none" w:sz="0" w:space="0" w:color="auto"/>
      </w:divBdr>
    </w:div>
    <w:div w:id="174004609">
      <w:bodyDiv w:val="1"/>
      <w:marLeft w:val="0"/>
      <w:marRight w:val="0"/>
      <w:marTop w:val="0"/>
      <w:marBottom w:val="0"/>
      <w:divBdr>
        <w:top w:val="none" w:sz="0" w:space="0" w:color="auto"/>
        <w:left w:val="none" w:sz="0" w:space="0" w:color="auto"/>
        <w:bottom w:val="none" w:sz="0" w:space="0" w:color="auto"/>
        <w:right w:val="none" w:sz="0" w:space="0" w:color="auto"/>
      </w:divBdr>
    </w:div>
    <w:div w:id="178131521">
      <w:bodyDiv w:val="1"/>
      <w:marLeft w:val="0"/>
      <w:marRight w:val="0"/>
      <w:marTop w:val="0"/>
      <w:marBottom w:val="0"/>
      <w:divBdr>
        <w:top w:val="none" w:sz="0" w:space="0" w:color="auto"/>
        <w:left w:val="none" w:sz="0" w:space="0" w:color="auto"/>
        <w:bottom w:val="none" w:sz="0" w:space="0" w:color="auto"/>
        <w:right w:val="none" w:sz="0" w:space="0" w:color="auto"/>
      </w:divBdr>
    </w:div>
    <w:div w:id="181171029">
      <w:bodyDiv w:val="1"/>
      <w:marLeft w:val="0"/>
      <w:marRight w:val="0"/>
      <w:marTop w:val="0"/>
      <w:marBottom w:val="0"/>
      <w:divBdr>
        <w:top w:val="none" w:sz="0" w:space="0" w:color="auto"/>
        <w:left w:val="none" w:sz="0" w:space="0" w:color="auto"/>
        <w:bottom w:val="none" w:sz="0" w:space="0" w:color="auto"/>
        <w:right w:val="none" w:sz="0" w:space="0" w:color="auto"/>
      </w:divBdr>
    </w:div>
    <w:div w:id="201327685">
      <w:bodyDiv w:val="1"/>
      <w:marLeft w:val="0"/>
      <w:marRight w:val="0"/>
      <w:marTop w:val="0"/>
      <w:marBottom w:val="0"/>
      <w:divBdr>
        <w:top w:val="none" w:sz="0" w:space="0" w:color="auto"/>
        <w:left w:val="none" w:sz="0" w:space="0" w:color="auto"/>
        <w:bottom w:val="none" w:sz="0" w:space="0" w:color="auto"/>
        <w:right w:val="none" w:sz="0" w:space="0" w:color="auto"/>
      </w:divBdr>
    </w:div>
    <w:div w:id="202862276">
      <w:bodyDiv w:val="1"/>
      <w:marLeft w:val="0"/>
      <w:marRight w:val="0"/>
      <w:marTop w:val="0"/>
      <w:marBottom w:val="0"/>
      <w:divBdr>
        <w:top w:val="none" w:sz="0" w:space="0" w:color="auto"/>
        <w:left w:val="none" w:sz="0" w:space="0" w:color="auto"/>
        <w:bottom w:val="none" w:sz="0" w:space="0" w:color="auto"/>
        <w:right w:val="none" w:sz="0" w:space="0" w:color="auto"/>
      </w:divBdr>
    </w:div>
    <w:div w:id="228855970">
      <w:bodyDiv w:val="1"/>
      <w:marLeft w:val="0"/>
      <w:marRight w:val="0"/>
      <w:marTop w:val="0"/>
      <w:marBottom w:val="0"/>
      <w:divBdr>
        <w:top w:val="none" w:sz="0" w:space="0" w:color="auto"/>
        <w:left w:val="none" w:sz="0" w:space="0" w:color="auto"/>
        <w:bottom w:val="none" w:sz="0" w:space="0" w:color="auto"/>
        <w:right w:val="none" w:sz="0" w:space="0" w:color="auto"/>
      </w:divBdr>
    </w:div>
    <w:div w:id="237861498">
      <w:bodyDiv w:val="1"/>
      <w:marLeft w:val="0"/>
      <w:marRight w:val="0"/>
      <w:marTop w:val="0"/>
      <w:marBottom w:val="0"/>
      <w:divBdr>
        <w:top w:val="none" w:sz="0" w:space="0" w:color="auto"/>
        <w:left w:val="none" w:sz="0" w:space="0" w:color="auto"/>
        <w:bottom w:val="none" w:sz="0" w:space="0" w:color="auto"/>
        <w:right w:val="none" w:sz="0" w:space="0" w:color="auto"/>
      </w:divBdr>
    </w:div>
    <w:div w:id="248781757">
      <w:bodyDiv w:val="1"/>
      <w:marLeft w:val="0"/>
      <w:marRight w:val="0"/>
      <w:marTop w:val="0"/>
      <w:marBottom w:val="0"/>
      <w:divBdr>
        <w:top w:val="none" w:sz="0" w:space="0" w:color="auto"/>
        <w:left w:val="none" w:sz="0" w:space="0" w:color="auto"/>
        <w:bottom w:val="none" w:sz="0" w:space="0" w:color="auto"/>
        <w:right w:val="none" w:sz="0" w:space="0" w:color="auto"/>
      </w:divBdr>
    </w:div>
    <w:div w:id="256601132">
      <w:bodyDiv w:val="1"/>
      <w:marLeft w:val="0"/>
      <w:marRight w:val="0"/>
      <w:marTop w:val="0"/>
      <w:marBottom w:val="0"/>
      <w:divBdr>
        <w:top w:val="none" w:sz="0" w:space="0" w:color="auto"/>
        <w:left w:val="none" w:sz="0" w:space="0" w:color="auto"/>
        <w:bottom w:val="none" w:sz="0" w:space="0" w:color="auto"/>
        <w:right w:val="none" w:sz="0" w:space="0" w:color="auto"/>
      </w:divBdr>
    </w:div>
    <w:div w:id="257445668">
      <w:bodyDiv w:val="1"/>
      <w:marLeft w:val="0"/>
      <w:marRight w:val="0"/>
      <w:marTop w:val="0"/>
      <w:marBottom w:val="0"/>
      <w:divBdr>
        <w:top w:val="none" w:sz="0" w:space="0" w:color="auto"/>
        <w:left w:val="none" w:sz="0" w:space="0" w:color="auto"/>
        <w:bottom w:val="none" w:sz="0" w:space="0" w:color="auto"/>
        <w:right w:val="none" w:sz="0" w:space="0" w:color="auto"/>
      </w:divBdr>
    </w:div>
    <w:div w:id="264190723">
      <w:bodyDiv w:val="1"/>
      <w:marLeft w:val="0"/>
      <w:marRight w:val="0"/>
      <w:marTop w:val="0"/>
      <w:marBottom w:val="0"/>
      <w:divBdr>
        <w:top w:val="none" w:sz="0" w:space="0" w:color="auto"/>
        <w:left w:val="none" w:sz="0" w:space="0" w:color="auto"/>
        <w:bottom w:val="none" w:sz="0" w:space="0" w:color="auto"/>
        <w:right w:val="none" w:sz="0" w:space="0" w:color="auto"/>
      </w:divBdr>
    </w:div>
    <w:div w:id="271936509">
      <w:bodyDiv w:val="1"/>
      <w:marLeft w:val="0"/>
      <w:marRight w:val="0"/>
      <w:marTop w:val="0"/>
      <w:marBottom w:val="0"/>
      <w:divBdr>
        <w:top w:val="none" w:sz="0" w:space="0" w:color="auto"/>
        <w:left w:val="none" w:sz="0" w:space="0" w:color="auto"/>
        <w:bottom w:val="none" w:sz="0" w:space="0" w:color="auto"/>
        <w:right w:val="none" w:sz="0" w:space="0" w:color="auto"/>
      </w:divBdr>
    </w:div>
    <w:div w:id="272984571">
      <w:bodyDiv w:val="1"/>
      <w:marLeft w:val="0"/>
      <w:marRight w:val="0"/>
      <w:marTop w:val="0"/>
      <w:marBottom w:val="0"/>
      <w:divBdr>
        <w:top w:val="none" w:sz="0" w:space="0" w:color="auto"/>
        <w:left w:val="none" w:sz="0" w:space="0" w:color="auto"/>
        <w:bottom w:val="none" w:sz="0" w:space="0" w:color="auto"/>
        <w:right w:val="none" w:sz="0" w:space="0" w:color="auto"/>
      </w:divBdr>
    </w:div>
    <w:div w:id="290481651">
      <w:bodyDiv w:val="1"/>
      <w:marLeft w:val="0"/>
      <w:marRight w:val="0"/>
      <w:marTop w:val="0"/>
      <w:marBottom w:val="0"/>
      <w:divBdr>
        <w:top w:val="none" w:sz="0" w:space="0" w:color="auto"/>
        <w:left w:val="none" w:sz="0" w:space="0" w:color="auto"/>
        <w:bottom w:val="none" w:sz="0" w:space="0" w:color="auto"/>
        <w:right w:val="none" w:sz="0" w:space="0" w:color="auto"/>
      </w:divBdr>
    </w:div>
    <w:div w:id="295140529">
      <w:bodyDiv w:val="1"/>
      <w:marLeft w:val="0"/>
      <w:marRight w:val="0"/>
      <w:marTop w:val="0"/>
      <w:marBottom w:val="0"/>
      <w:divBdr>
        <w:top w:val="none" w:sz="0" w:space="0" w:color="auto"/>
        <w:left w:val="none" w:sz="0" w:space="0" w:color="auto"/>
        <w:bottom w:val="none" w:sz="0" w:space="0" w:color="auto"/>
        <w:right w:val="none" w:sz="0" w:space="0" w:color="auto"/>
      </w:divBdr>
    </w:div>
    <w:div w:id="295182172">
      <w:bodyDiv w:val="1"/>
      <w:marLeft w:val="0"/>
      <w:marRight w:val="0"/>
      <w:marTop w:val="0"/>
      <w:marBottom w:val="0"/>
      <w:divBdr>
        <w:top w:val="none" w:sz="0" w:space="0" w:color="auto"/>
        <w:left w:val="none" w:sz="0" w:space="0" w:color="auto"/>
        <w:bottom w:val="none" w:sz="0" w:space="0" w:color="auto"/>
        <w:right w:val="none" w:sz="0" w:space="0" w:color="auto"/>
      </w:divBdr>
    </w:div>
    <w:div w:id="297348328">
      <w:bodyDiv w:val="1"/>
      <w:marLeft w:val="0"/>
      <w:marRight w:val="0"/>
      <w:marTop w:val="0"/>
      <w:marBottom w:val="0"/>
      <w:divBdr>
        <w:top w:val="none" w:sz="0" w:space="0" w:color="auto"/>
        <w:left w:val="none" w:sz="0" w:space="0" w:color="auto"/>
        <w:bottom w:val="none" w:sz="0" w:space="0" w:color="auto"/>
        <w:right w:val="none" w:sz="0" w:space="0" w:color="auto"/>
      </w:divBdr>
    </w:div>
    <w:div w:id="299068516">
      <w:bodyDiv w:val="1"/>
      <w:marLeft w:val="0"/>
      <w:marRight w:val="0"/>
      <w:marTop w:val="0"/>
      <w:marBottom w:val="0"/>
      <w:divBdr>
        <w:top w:val="none" w:sz="0" w:space="0" w:color="auto"/>
        <w:left w:val="none" w:sz="0" w:space="0" w:color="auto"/>
        <w:bottom w:val="none" w:sz="0" w:space="0" w:color="auto"/>
        <w:right w:val="none" w:sz="0" w:space="0" w:color="auto"/>
      </w:divBdr>
    </w:div>
    <w:div w:id="301926227">
      <w:bodyDiv w:val="1"/>
      <w:marLeft w:val="0"/>
      <w:marRight w:val="0"/>
      <w:marTop w:val="0"/>
      <w:marBottom w:val="0"/>
      <w:divBdr>
        <w:top w:val="none" w:sz="0" w:space="0" w:color="auto"/>
        <w:left w:val="none" w:sz="0" w:space="0" w:color="auto"/>
        <w:bottom w:val="none" w:sz="0" w:space="0" w:color="auto"/>
        <w:right w:val="none" w:sz="0" w:space="0" w:color="auto"/>
      </w:divBdr>
    </w:div>
    <w:div w:id="305665499">
      <w:bodyDiv w:val="1"/>
      <w:marLeft w:val="0"/>
      <w:marRight w:val="0"/>
      <w:marTop w:val="0"/>
      <w:marBottom w:val="0"/>
      <w:divBdr>
        <w:top w:val="none" w:sz="0" w:space="0" w:color="auto"/>
        <w:left w:val="none" w:sz="0" w:space="0" w:color="auto"/>
        <w:bottom w:val="none" w:sz="0" w:space="0" w:color="auto"/>
        <w:right w:val="none" w:sz="0" w:space="0" w:color="auto"/>
      </w:divBdr>
    </w:div>
    <w:div w:id="308286286">
      <w:bodyDiv w:val="1"/>
      <w:marLeft w:val="0"/>
      <w:marRight w:val="0"/>
      <w:marTop w:val="0"/>
      <w:marBottom w:val="0"/>
      <w:divBdr>
        <w:top w:val="none" w:sz="0" w:space="0" w:color="auto"/>
        <w:left w:val="none" w:sz="0" w:space="0" w:color="auto"/>
        <w:bottom w:val="none" w:sz="0" w:space="0" w:color="auto"/>
        <w:right w:val="none" w:sz="0" w:space="0" w:color="auto"/>
      </w:divBdr>
    </w:div>
    <w:div w:id="311760017">
      <w:bodyDiv w:val="1"/>
      <w:marLeft w:val="0"/>
      <w:marRight w:val="0"/>
      <w:marTop w:val="0"/>
      <w:marBottom w:val="0"/>
      <w:divBdr>
        <w:top w:val="none" w:sz="0" w:space="0" w:color="auto"/>
        <w:left w:val="none" w:sz="0" w:space="0" w:color="auto"/>
        <w:bottom w:val="none" w:sz="0" w:space="0" w:color="auto"/>
        <w:right w:val="none" w:sz="0" w:space="0" w:color="auto"/>
      </w:divBdr>
    </w:div>
    <w:div w:id="328366952">
      <w:bodyDiv w:val="1"/>
      <w:marLeft w:val="0"/>
      <w:marRight w:val="0"/>
      <w:marTop w:val="0"/>
      <w:marBottom w:val="0"/>
      <w:divBdr>
        <w:top w:val="none" w:sz="0" w:space="0" w:color="auto"/>
        <w:left w:val="none" w:sz="0" w:space="0" w:color="auto"/>
        <w:bottom w:val="none" w:sz="0" w:space="0" w:color="auto"/>
        <w:right w:val="none" w:sz="0" w:space="0" w:color="auto"/>
      </w:divBdr>
    </w:div>
    <w:div w:id="334185050">
      <w:bodyDiv w:val="1"/>
      <w:marLeft w:val="0"/>
      <w:marRight w:val="0"/>
      <w:marTop w:val="0"/>
      <w:marBottom w:val="0"/>
      <w:divBdr>
        <w:top w:val="none" w:sz="0" w:space="0" w:color="auto"/>
        <w:left w:val="none" w:sz="0" w:space="0" w:color="auto"/>
        <w:bottom w:val="none" w:sz="0" w:space="0" w:color="auto"/>
        <w:right w:val="none" w:sz="0" w:space="0" w:color="auto"/>
      </w:divBdr>
    </w:div>
    <w:div w:id="338894329">
      <w:bodyDiv w:val="1"/>
      <w:marLeft w:val="0"/>
      <w:marRight w:val="0"/>
      <w:marTop w:val="0"/>
      <w:marBottom w:val="0"/>
      <w:divBdr>
        <w:top w:val="none" w:sz="0" w:space="0" w:color="auto"/>
        <w:left w:val="none" w:sz="0" w:space="0" w:color="auto"/>
        <w:bottom w:val="none" w:sz="0" w:space="0" w:color="auto"/>
        <w:right w:val="none" w:sz="0" w:space="0" w:color="auto"/>
      </w:divBdr>
    </w:div>
    <w:div w:id="347097300">
      <w:bodyDiv w:val="1"/>
      <w:marLeft w:val="0"/>
      <w:marRight w:val="0"/>
      <w:marTop w:val="0"/>
      <w:marBottom w:val="0"/>
      <w:divBdr>
        <w:top w:val="none" w:sz="0" w:space="0" w:color="auto"/>
        <w:left w:val="none" w:sz="0" w:space="0" w:color="auto"/>
        <w:bottom w:val="none" w:sz="0" w:space="0" w:color="auto"/>
        <w:right w:val="none" w:sz="0" w:space="0" w:color="auto"/>
      </w:divBdr>
    </w:div>
    <w:div w:id="357202049">
      <w:bodyDiv w:val="1"/>
      <w:marLeft w:val="0"/>
      <w:marRight w:val="0"/>
      <w:marTop w:val="0"/>
      <w:marBottom w:val="0"/>
      <w:divBdr>
        <w:top w:val="none" w:sz="0" w:space="0" w:color="auto"/>
        <w:left w:val="none" w:sz="0" w:space="0" w:color="auto"/>
        <w:bottom w:val="none" w:sz="0" w:space="0" w:color="auto"/>
        <w:right w:val="none" w:sz="0" w:space="0" w:color="auto"/>
      </w:divBdr>
    </w:div>
    <w:div w:id="369306060">
      <w:bodyDiv w:val="1"/>
      <w:marLeft w:val="0"/>
      <w:marRight w:val="0"/>
      <w:marTop w:val="0"/>
      <w:marBottom w:val="0"/>
      <w:divBdr>
        <w:top w:val="none" w:sz="0" w:space="0" w:color="auto"/>
        <w:left w:val="none" w:sz="0" w:space="0" w:color="auto"/>
        <w:bottom w:val="none" w:sz="0" w:space="0" w:color="auto"/>
        <w:right w:val="none" w:sz="0" w:space="0" w:color="auto"/>
      </w:divBdr>
    </w:div>
    <w:div w:id="383331595">
      <w:bodyDiv w:val="1"/>
      <w:marLeft w:val="0"/>
      <w:marRight w:val="0"/>
      <w:marTop w:val="0"/>
      <w:marBottom w:val="0"/>
      <w:divBdr>
        <w:top w:val="none" w:sz="0" w:space="0" w:color="auto"/>
        <w:left w:val="none" w:sz="0" w:space="0" w:color="auto"/>
        <w:bottom w:val="none" w:sz="0" w:space="0" w:color="auto"/>
        <w:right w:val="none" w:sz="0" w:space="0" w:color="auto"/>
      </w:divBdr>
    </w:div>
    <w:div w:id="389962009">
      <w:bodyDiv w:val="1"/>
      <w:marLeft w:val="0"/>
      <w:marRight w:val="0"/>
      <w:marTop w:val="0"/>
      <w:marBottom w:val="0"/>
      <w:divBdr>
        <w:top w:val="none" w:sz="0" w:space="0" w:color="auto"/>
        <w:left w:val="none" w:sz="0" w:space="0" w:color="auto"/>
        <w:bottom w:val="none" w:sz="0" w:space="0" w:color="auto"/>
        <w:right w:val="none" w:sz="0" w:space="0" w:color="auto"/>
      </w:divBdr>
    </w:div>
    <w:div w:id="405225458">
      <w:bodyDiv w:val="1"/>
      <w:marLeft w:val="0"/>
      <w:marRight w:val="0"/>
      <w:marTop w:val="0"/>
      <w:marBottom w:val="0"/>
      <w:divBdr>
        <w:top w:val="none" w:sz="0" w:space="0" w:color="auto"/>
        <w:left w:val="none" w:sz="0" w:space="0" w:color="auto"/>
        <w:bottom w:val="none" w:sz="0" w:space="0" w:color="auto"/>
        <w:right w:val="none" w:sz="0" w:space="0" w:color="auto"/>
      </w:divBdr>
    </w:div>
    <w:div w:id="409038256">
      <w:bodyDiv w:val="1"/>
      <w:marLeft w:val="0"/>
      <w:marRight w:val="0"/>
      <w:marTop w:val="0"/>
      <w:marBottom w:val="0"/>
      <w:divBdr>
        <w:top w:val="none" w:sz="0" w:space="0" w:color="auto"/>
        <w:left w:val="none" w:sz="0" w:space="0" w:color="auto"/>
        <w:bottom w:val="none" w:sz="0" w:space="0" w:color="auto"/>
        <w:right w:val="none" w:sz="0" w:space="0" w:color="auto"/>
      </w:divBdr>
    </w:div>
    <w:div w:id="410346768">
      <w:bodyDiv w:val="1"/>
      <w:marLeft w:val="0"/>
      <w:marRight w:val="0"/>
      <w:marTop w:val="0"/>
      <w:marBottom w:val="0"/>
      <w:divBdr>
        <w:top w:val="none" w:sz="0" w:space="0" w:color="auto"/>
        <w:left w:val="none" w:sz="0" w:space="0" w:color="auto"/>
        <w:bottom w:val="none" w:sz="0" w:space="0" w:color="auto"/>
        <w:right w:val="none" w:sz="0" w:space="0" w:color="auto"/>
      </w:divBdr>
    </w:div>
    <w:div w:id="410933269">
      <w:bodyDiv w:val="1"/>
      <w:marLeft w:val="0"/>
      <w:marRight w:val="0"/>
      <w:marTop w:val="0"/>
      <w:marBottom w:val="0"/>
      <w:divBdr>
        <w:top w:val="none" w:sz="0" w:space="0" w:color="auto"/>
        <w:left w:val="none" w:sz="0" w:space="0" w:color="auto"/>
        <w:bottom w:val="none" w:sz="0" w:space="0" w:color="auto"/>
        <w:right w:val="none" w:sz="0" w:space="0" w:color="auto"/>
      </w:divBdr>
    </w:div>
    <w:div w:id="418405108">
      <w:bodyDiv w:val="1"/>
      <w:marLeft w:val="0"/>
      <w:marRight w:val="0"/>
      <w:marTop w:val="0"/>
      <w:marBottom w:val="0"/>
      <w:divBdr>
        <w:top w:val="none" w:sz="0" w:space="0" w:color="auto"/>
        <w:left w:val="none" w:sz="0" w:space="0" w:color="auto"/>
        <w:bottom w:val="none" w:sz="0" w:space="0" w:color="auto"/>
        <w:right w:val="none" w:sz="0" w:space="0" w:color="auto"/>
      </w:divBdr>
    </w:div>
    <w:div w:id="431705970">
      <w:bodyDiv w:val="1"/>
      <w:marLeft w:val="0"/>
      <w:marRight w:val="0"/>
      <w:marTop w:val="0"/>
      <w:marBottom w:val="0"/>
      <w:divBdr>
        <w:top w:val="none" w:sz="0" w:space="0" w:color="auto"/>
        <w:left w:val="none" w:sz="0" w:space="0" w:color="auto"/>
        <w:bottom w:val="none" w:sz="0" w:space="0" w:color="auto"/>
        <w:right w:val="none" w:sz="0" w:space="0" w:color="auto"/>
      </w:divBdr>
    </w:div>
    <w:div w:id="438916968">
      <w:bodyDiv w:val="1"/>
      <w:marLeft w:val="0"/>
      <w:marRight w:val="0"/>
      <w:marTop w:val="0"/>
      <w:marBottom w:val="0"/>
      <w:divBdr>
        <w:top w:val="none" w:sz="0" w:space="0" w:color="auto"/>
        <w:left w:val="none" w:sz="0" w:space="0" w:color="auto"/>
        <w:bottom w:val="none" w:sz="0" w:space="0" w:color="auto"/>
        <w:right w:val="none" w:sz="0" w:space="0" w:color="auto"/>
      </w:divBdr>
    </w:div>
    <w:div w:id="452558153">
      <w:bodyDiv w:val="1"/>
      <w:marLeft w:val="0"/>
      <w:marRight w:val="0"/>
      <w:marTop w:val="0"/>
      <w:marBottom w:val="0"/>
      <w:divBdr>
        <w:top w:val="none" w:sz="0" w:space="0" w:color="auto"/>
        <w:left w:val="none" w:sz="0" w:space="0" w:color="auto"/>
        <w:bottom w:val="none" w:sz="0" w:space="0" w:color="auto"/>
        <w:right w:val="none" w:sz="0" w:space="0" w:color="auto"/>
      </w:divBdr>
    </w:div>
    <w:div w:id="458840273">
      <w:bodyDiv w:val="1"/>
      <w:marLeft w:val="0"/>
      <w:marRight w:val="0"/>
      <w:marTop w:val="0"/>
      <w:marBottom w:val="0"/>
      <w:divBdr>
        <w:top w:val="none" w:sz="0" w:space="0" w:color="auto"/>
        <w:left w:val="none" w:sz="0" w:space="0" w:color="auto"/>
        <w:bottom w:val="none" w:sz="0" w:space="0" w:color="auto"/>
        <w:right w:val="none" w:sz="0" w:space="0" w:color="auto"/>
      </w:divBdr>
    </w:div>
    <w:div w:id="461118479">
      <w:bodyDiv w:val="1"/>
      <w:marLeft w:val="0"/>
      <w:marRight w:val="0"/>
      <w:marTop w:val="0"/>
      <w:marBottom w:val="0"/>
      <w:divBdr>
        <w:top w:val="none" w:sz="0" w:space="0" w:color="auto"/>
        <w:left w:val="none" w:sz="0" w:space="0" w:color="auto"/>
        <w:bottom w:val="none" w:sz="0" w:space="0" w:color="auto"/>
        <w:right w:val="none" w:sz="0" w:space="0" w:color="auto"/>
      </w:divBdr>
    </w:div>
    <w:div w:id="463891369">
      <w:bodyDiv w:val="1"/>
      <w:marLeft w:val="0"/>
      <w:marRight w:val="0"/>
      <w:marTop w:val="0"/>
      <w:marBottom w:val="0"/>
      <w:divBdr>
        <w:top w:val="none" w:sz="0" w:space="0" w:color="auto"/>
        <w:left w:val="none" w:sz="0" w:space="0" w:color="auto"/>
        <w:bottom w:val="none" w:sz="0" w:space="0" w:color="auto"/>
        <w:right w:val="none" w:sz="0" w:space="0" w:color="auto"/>
      </w:divBdr>
    </w:div>
    <w:div w:id="472060156">
      <w:bodyDiv w:val="1"/>
      <w:marLeft w:val="0"/>
      <w:marRight w:val="0"/>
      <w:marTop w:val="0"/>
      <w:marBottom w:val="0"/>
      <w:divBdr>
        <w:top w:val="none" w:sz="0" w:space="0" w:color="auto"/>
        <w:left w:val="none" w:sz="0" w:space="0" w:color="auto"/>
        <w:bottom w:val="none" w:sz="0" w:space="0" w:color="auto"/>
        <w:right w:val="none" w:sz="0" w:space="0" w:color="auto"/>
      </w:divBdr>
    </w:div>
    <w:div w:id="477503894">
      <w:bodyDiv w:val="1"/>
      <w:marLeft w:val="0"/>
      <w:marRight w:val="0"/>
      <w:marTop w:val="0"/>
      <w:marBottom w:val="0"/>
      <w:divBdr>
        <w:top w:val="none" w:sz="0" w:space="0" w:color="auto"/>
        <w:left w:val="none" w:sz="0" w:space="0" w:color="auto"/>
        <w:bottom w:val="none" w:sz="0" w:space="0" w:color="auto"/>
        <w:right w:val="none" w:sz="0" w:space="0" w:color="auto"/>
      </w:divBdr>
    </w:div>
    <w:div w:id="488374836">
      <w:bodyDiv w:val="1"/>
      <w:marLeft w:val="0"/>
      <w:marRight w:val="0"/>
      <w:marTop w:val="0"/>
      <w:marBottom w:val="0"/>
      <w:divBdr>
        <w:top w:val="none" w:sz="0" w:space="0" w:color="auto"/>
        <w:left w:val="none" w:sz="0" w:space="0" w:color="auto"/>
        <w:bottom w:val="none" w:sz="0" w:space="0" w:color="auto"/>
        <w:right w:val="none" w:sz="0" w:space="0" w:color="auto"/>
      </w:divBdr>
    </w:div>
    <w:div w:id="493225350">
      <w:bodyDiv w:val="1"/>
      <w:marLeft w:val="0"/>
      <w:marRight w:val="0"/>
      <w:marTop w:val="0"/>
      <w:marBottom w:val="0"/>
      <w:divBdr>
        <w:top w:val="none" w:sz="0" w:space="0" w:color="auto"/>
        <w:left w:val="none" w:sz="0" w:space="0" w:color="auto"/>
        <w:bottom w:val="none" w:sz="0" w:space="0" w:color="auto"/>
        <w:right w:val="none" w:sz="0" w:space="0" w:color="auto"/>
      </w:divBdr>
    </w:div>
    <w:div w:id="493452782">
      <w:bodyDiv w:val="1"/>
      <w:marLeft w:val="0"/>
      <w:marRight w:val="0"/>
      <w:marTop w:val="0"/>
      <w:marBottom w:val="0"/>
      <w:divBdr>
        <w:top w:val="none" w:sz="0" w:space="0" w:color="auto"/>
        <w:left w:val="none" w:sz="0" w:space="0" w:color="auto"/>
        <w:bottom w:val="none" w:sz="0" w:space="0" w:color="auto"/>
        <w:right w:val="none" w:sz="0" w:space="0" w:color="auto"/>
      </w:divBdr>
    </w:div>
    <w:div w:id="515272209">
      <w:bodyDiv w:val="1"/>
      <w:marLeft w:val="0"/>
      <w:marRight w:val="0"/>
      <w:marTop w:val="0"/>
      <w:marBottom w:val="0"/>
      <w:divBdr>
        <w:top w:val="none" w:sz="0" w:space="0" w:color="auto"/>
        <w:left w:val="none" w:sz="0" w:space="0" w:color="auto"/>
        <w:bottom w:val="none" w:sz="0" w:space="0" w:color="auto"/>
        <w:right w:val="none" w:sz="0" w:space="0" w:color="auto"/>
      </w:divBdr>
    </w:div>
    <w:div w:id="523835111">
      <w:bodyDiv w:val="1"/>
      <w:marLeft w:val="0"/>
      <w:marRight w:val="0"/>
      <w:marTop w:val="0"/>
      <w:marBottom w:val="0"/>
      <w:divBdr>
        <w:top w:val="none" w:sz="0" w:space="0" w:color="auto"/>
        <w:left w:val="none" w:sz="0" w:space="0" w:color="auto"/>
        <w:bottom w:val="none" w:sz="0" w:space="0" w:color="auto"/>
        <w:right w:val="none" w:sz="0" w:space="0" w:color="auto"/>
      </w:divBdr>
    </w:div>
    <w:div w:id="526413915">
      <w:bodyDiv w:val="1"/>
      <w:marLeft w:val="0"/>
      <w:marRight w:val="0"/>
      <w:marTop w:val="0"/>
      <w:marBottom w:val="0"/>
      <w:divBdr>
        <w:top w:val="none" w:sz="0" w:space="0" w:color="auto"/>
        <w:left w:val="none" w:sz="0" w:space="0" w:color="auto"/>
        <w:bottom w:val="none" w:sz="0" w:space="0" w:color="auto"/>
        <w:right w:val="none" w:sz="0" w:space="0" w:color="auto"/>
      </w:divBdr>
    </w:div>
    <w:div w:id="529538179">
      <w:bodyDiv w:val="1"/>
      <w:marLeft w:val="0"/>
      <w:marRight w:val="0"/>
      <w:marTop w:val="0"/>
      <w:marBottom w:val="0"/>
      <w:divBdr>
        <w:top w:val="none" w:sz="0" w:space="0" w:color="auto"/>
        <w:left w:val="none" w:sz="0" w:space="0" w:color="auto"/>
        <w:bottom w:val="none" w:sz="0" w:space="0" w:color="auto"/>
        <w:right w:val="none" w:sz="0" w:space="0" w:color="auto"/>
      </w:divBdr>
    </w:div>
    <w:div w:id="535851250">
      <w:bodyDiv w:val="1"/>
      <w:marLeft w:val="0"/>
      <w:marRight w:val="0"/>
      <w:marTop w:val="0"/>
      <w:marBottom w:val="0"/>
      <w:divBdr>
        <w:top w:val="none" w:sz="0" w:space="0" w:color="auto"/>
        <w:left w:val="none" w:sz="0" w:space="0" w:color="auto"/>
        <w:bottom w:val="none" w:sz="0" w:space="0" w:color="auto"/>
        <w:right w:val="none" w:sz="0" w:space="0" w:color="auto"/>
      </w:divBdr>
    </w:div>
    <w:div w:id="549340057">
      <w:bodyDiv w:val="1"/>
      <w:marLeft w:val="0"/>
      <w:marRight w:val="0"/>
      <w:marTop w:val="0"/>
      <w:marBottom w:val="0"/>
      <w:divBdr>
        <w:top w:val="none" w:sz="0" w:space="0" w:color="auto"/>
        <w:left w:val="none" w:sz="0" w:space="0" w:color="auto"/>
        <w:bottom w:val="none" w:sz="0" w:space="0" w:color="auto"/>
        <w:right w:val="none" w:sz="0" w:space="0" w:color="auto"/>
      </w:divBdr>
    </w:div>
    <w:div w:id="550459026">
      <w:bodyDiv w:val="1"/>
      <w:marLeft w:val="0"/>
      <w:marRight w:val="0"/>
      <w:marTop w:val="0"/>
      <w:marBottom w:val="0"/>
      <w:divBdr>
        <w:top w:val="none" w:sz="0" w:space="0" w:color="auto"/>
        <w:left w:val="none" w:sz="0" w:space="0" w:color="auto"/>
        <w:bottom w:val="none" w:sz="0" w:space="0" w:color="auto"/>
        <w:right w:val="none" w:sz="0" w:space="0" w:color="auto"/>
      </w:divBdr>
    </w:div>
    <w:div w:id="557402873">
      <w:bodyDiv w:val="1"/>
      <w:marLeft w:val="0"/>
      <w:marRight w:val="0"/>
      <w:marTop w:val="0"/>
      <w:marBottom w:val="0"/>
      <w:divBdr>
        <w:top w:val="none" w:sz="0" w:space="0" w:color="auto"/>
        <w:left w:val="none" w:sz="0" w:space="0" w:color="auto"/>
        <w:bottom w:val="none" w:sz="0" w:space="0" w:color="auto"/>
        <w:right w:val="none" w:sz="0" w:space="0" w:color="auto"/>
      </w:divBdr>
    </w:div>
    <w:div w:id="560673709">
      <w:bodyDiv w:val="1"/>
      <w:marLeft w:val="0"/>
      <w:marRight w:val="0"/>
      <w:marTop w:val="0"/>
      <w:marBottom w:val="0"/>
      <w:divBdr>
        <w:top w:val="none" w:sz="0" w:space="0" w:color="auto"/>
        <w:left w:val="none" w:sz="0" w:space="0" w:color="auto"/>
        <w:bottom w:val="none" w:sz="0" w:space="0" w:color="auto"/>
        <w:right w:val="none" w:sz="0" w:space="0" w:color="auto"/>
      </w:divBdr>
    </w:div>
    <w:div w:id="564098617">
      <w:bodyDiv w:val="1"/>
      <w:marLeft w:val="0"/>
      <w:marRight w:val="0"/>
      <w:marTop w:val="0"/>
      <w:marBottom w:val="0"/>
      <w:divBdr>
        <w:top w:val="none" w:sz="0" w:space="0" w:color="auto"/>
        <w:left w:val="none" w:sz="0" w:space="0" w:color="auto"/>
        <w:bottom w:val="none" w:sz="0" w:space="0" w:color="auto"/>
        <w:right w:val="none" w:sz="0" w:space="0" w:color="auto"/>
      </w:divBdr>
    </w:div>
    <w:div w:id="578757947">
      <w:bodyDiv w:val="1"/>
      <w:marLeft w:val="0"/>
      <w:marRight w:val="0"/>
      <w:marTop w:val="0"/>
      <w:marBottom w:val="0"/>
      <w:divBdr>
        <w:top w:val="none" w:sz="0" w:space="0" w:color="auto"/>
        <w:left w:val="none" w:sz="0" w:space="0" w:color="auto"/>
        <w:bottom w:val="none" w:sz="0" w:space="0" w:color="auto"/>
        <w:right w:val="none" w:sz="0" w:space="0" w:color="auto"/>
      </w:divBdr>
    </w:div>
    <w:div w:id="588197576">
      <w:bodyDiv w:val="1"/>
      <w:marLeft w:val="0"/>
      <w:marRight w:val="0"/>
      <w:marTop w:val="0"/>
      <w:marBottom w:val="0"/>
      <w:divBdr>
        <w:top w:val="none" w:sz="0" w:space="0" w:color="auto"/>
        <w:left w:val="none" w:sz="0" w:space="0" w:color="auto"/>
        <w:bottom w:val="none" w:sz="0" w:space="0" w:color="auto"/>
        <w:right w:val="none" w:sz="0" w:space="0" w:color="auto"/>
      </w:divBdr>
    </w:div>
    <w:div w:id="592013489">
      <w:bodyDiv w:val="1"/>
      <w:marLeft w:val="0"/>
      <w:marRight w:val="0"/>
      <w:marTop w:val="0"/>
      <w:marBottom w:val="0"/>
      <w:divBdr>
        <w:top w:val="none" w:sz="0" w:space="0" w:color="auto"/>
        <w:left w:val="none" w:sz="0" w:space="0" w:color="auto"/>
        <w:bottom w:val="none" w:sz="0" w:space="0" w:color="auto"/>
        <w:right w:val="none" w:sz="0" w:space="0" w:color="auto"/>
      </w:divBdr>
    </w:div>
    <w:div w:id="602766260">
      <w:bodyDiv w:val="1"/>
      <w:marLeft w:val="0"/>
      <w:marRight w:val="0"/>
      <w:marTop w:val="0"/>
      <w:marBottom w:val="0"/>
      <w:divBdr>
        <w:top w:val="none" w:sz="0" w:space="0" w:color="auto"/>
        <w:left w:val="none" w:sz="0" w:space="0" w:color="auto"/>
        <w:bottom w:val="none" w:sz="0" w:space="0" w:color="auto"/>
        <w:right w:val="none" w:sz="0" w:space="0" w:color="auto"/>
      </w:divBdr>
    </w:div>
    <w:div w:id="606699339">
      <w:bodyDiv w:val="1"/>
      <w:marLeft w:val="0"/>
      <w:marRight w:val="0"/>
      <w:marTop w:val="0"/>
      <w:marBottom w:val="0"/>
      <w:divBdr>
        <w:top w:val="none" w:sz="0" w:space="0" w:color="auto"/>
        <w:left w:val="none" w:sz="0" w:space="0" w:color="auto"/>
        <w:bottom w:val="none" w:sz="0" w:space="0" w:color="auto"/>
        <w:right w:val="none" w:sz="0" w:space="0" w:color="auto"/>
      </w:divBdr>
    </w:div>
    <w:div w:id="607126497">
      <w:bodyDiv w:val="1"/>
      <w:marLeft w:val="0"/>
      <w:marRight w:val="0"/>
      <w:marTop w:val="0"/>
      <w:marBottom w:val="0"/>
      <w:divBdr>
        <w:top w:val="none" w:sz="0" w:space="0" w:color="auto"/>
        <w:left w:val="none" w:sz="0" w:space="0" w:color="auto"/>
        <w:bottom w:val="none" w:sz="0" w:space="0" w:color="auto"/>
        <w:right w:val="none" w:sz="0" w:space="0" w:color="auto"/>
      </w:divBdr>
    </w:div>
    <w:div w:id="616331717">
      <w:bodyDiv w:val="1"/>
      <w:marLeft w:val="0"/>
      <w:marRight w:val="0"/>
      <w:marTop w:val="0"/>
      <w:marBottom w:val="0"/>
      <w:divBdr>
        <w:top w:val="none" w:sz="0" w:space="0" w:color="auto"/>
        <w:left w:val="none" w:sz="0" w:space="0" w:color="auto"/>
        <w:bottom w:val="none" w:sz="0" w:space="0" w:color="auto"/>
        <w:right w:val="none" w:sz="0" w:space="0" w:color="auto"/>
      </w:divBdr>
    </w:div>
    <w:div w:id="626012712">
      <w:bodyDiv w:val="1"/>
      <w:marLeft w:val="0"/>
      <w:marRight w:val="0"/>
      <w:marTop w:val="0"/>
      <w:marBottom w:val="0"/>
      <w:divBdr>
        <w:top w:val="none" w:sz="0" w:space="0" w:color="auto"/>
        <w:left w:val="none" w:sz="0" w:space="0" w:color="auto"/>
        <w:bottom w:val="none" w:sz="0" w:space="0" w:color="auto"/>
        <w:right w:val="none" w:sz="0" w:space="0" w:color="auto"/>
      </w:divBdr>
    </w:div>
    <w:div w:id="628441578">
      <w:bodyDiv w:val="1"/>
      <w:marLeft w:val="0"/>
      <w:marRight w:val="0"/>
      <w:marTop w:val="0"/>
      <w:marBottom w:val="0"/>
      <w:divBdr>
        <w:top w:val="none" w:sz="0" w:space="0" w:color="auto"/>
        <w:left w:val="none" w:sz="0" w:space="0" w:color="auto"/>
        <w:bottom w:val="none" w:sz="0" w:space="0" w:color="auto"/>
        <w:right w:val="none" w:sz="0" w:space="0" w:color="auto"/>
      </w:divBdr>
    </w:div>
    <w:div w:id="630329581">
      <w:bodyDiv w:val="1"/>
      <w:marLeft w:val="0"/>
      <w:marRight w:val="0"/>
      <w:marTop w:val="0"/>
      <w:marBottom w:val="0"/>
      <w:divBdr>
        <w:top w:val="none" w:sz="0" w:space="0" w:color="auto"/>
        <w:left w:val="none" w:sz="0" w:space="0" w:color="auto"/>
        <w:bottom w:val="none" w:sz="0" w:space="0" w:color="auto"/>
        <w:right w:val="none" w:sz="0" w:space="0" w:color="auto"/>
      </w:divBdr>
    </w:div>
    <w:div w:id="638340155">
      <w:bodyDiv w:val="1"/>
      <w:marLeft w:val="0"/>
      <w:marRight w:val="0"/>
      <w:marTop w:val="0"/>
      <w:marBottom w:val="0"/>
      <w:divBdr>
        <w:top w:val="none" w:sz="0" w:space="0" w:color="auto"/>
        <w:left w:val="none" w:sz="0" w:space="0" w:color="auto"/>
        <w:bottom w:val="none" w:sz="0" w:space="0" w:color="auto"/>
        <w:right w:val="none" w:sz="0" w:space="0" w:color="auto"/>
      </w:divBdr>
    </w:div>
    <w:div w:id="639772404">
      <w:bodyDiv w:val="1"/>
      <w:marLeft w:val="0"/>
      <w:marRight w:val="0"/>
      <w:marTop w:val="0"/>
      <w:marBottom w:val="0"/>
      <w:divBdr>
        <w:top w:val="none" w:sz="0" w:space="0" w:color="auto"/>
        <w:left w:val="none" w:sz="0" w:space="0" w:color="auto"/>
        <w:bottom w:val="none" w:sz="0" w:space="0" w:color="auto"/>
        <w:right w:val="none" w:sz="0" w:space="0" w:color="auto"/>
      </w:divBdr>
    </w:div>
    <w:div w:id="643043296">
      <w:bodyDiv w:val="1"/>
      <w:marLeft w:val="0"/>
      <w:marRight w:val="0"/>
      <w:marTop w:val="0"/>
      <w:marBottom w:val="0"/>
      <w:divBdr>
        <w:top w:val="none" w:sz="0" w:space="0" w:color="auto"/>
        <w:left w:val="none" w:sz="0" w:space="0" w:color="auto"/>
        <w:bottom w:val="none" w:sz="0" w:space="0" w:color="auto"/>
        <w:right w:val="none" w:sz="0" w:space="0" w:color="auto"/>
      </w:divBdr>
    </w:div>
    <w:div w:id="659310710">
      <w:bodyDiv w:val="1"/>
      <w:marLeft w:val="0"/>
      <w:marRight w:val="0"/>
      <w:marTop w:val="0"/>
      <w:marBottom w:val="0"/>
      <w:divBdr>
        <w:top w:val="none" w:sz="0" w:space="0" w:color="auto"/>
        <w:left w:val="none" w:sz="0" w:space="0" w:color="auto"/>
        <w:bottom w:val="none" w:sz="0" w:space="0" w:color="auto"/>
        <w:right w:val="none" w:sz="0" w:space="0" w:color="auto"/>
      </w:divBdr>
    </w:div>
    <w:div w:id="659503778">
      <w:bodyDiv w:val="1"/>
      <w:marLeft w:val="0"/>
      <w:marRight w:val="0"/>
      <w:marTop w:val="0"/>
      <w:marBottom w:val="0"/>
      <w:divBdr>
        <w:top w:val="none" w:sz="0" w:space="0" w:color="auto"/>
        <w:left w:val="none" w:sz="0" w:space="0" w:color="auto"/>
        <w:bottom w:val="none" w:sz="0" w:space="0" w:color="auto"/>
        <w:right w:val="none" w:sz="0" w:space="0" w:color="auto"/>
      </w:divBdr>
    </w:div>
    <w:div w:id="680090776">
      <w:bodyDiv w:val="1"/>
      <w:marLeft w:val="0"/>
      <w:marRight w:val="0"/>
      <w:marTop w:val="0"/>
      <w:marBottom w:val="0"/>
      <w:divBdr>
        <w:top w:val="none" w:sz="0" w:space="0" w:color="auto"/>
        <w:left w:val="none" w:sz="0" w:space="0" w:color="auto"/>
        <w:bottom w:val="none" w:sz="0" w:space="0" w:color="auto"/>
        <w:right w:val="none" w:sz="0" w:space="0" w:color="auto"/>
      </w:divBdr>
    </w:div>
    <w:div w:id="684863636">
      <w:bodyDiv w:val="1"/>
      <w:marLeft w:val="0"/>
      <w:marRight w:val="0"/>
      <w:marTop w:val="0"/>
      <w:marBottom w:val="0"/>
      <w:divBdr>
        <w:top w:val="none" w:sz="0" w:space="0" w:color="auto"/>
        <w:left w:val="none" w:sz="0" w:space="0" w:color="auto"/>
        <w:bottom w:val="none" w:sz="0" w:space="0" w:color="auto"/>
        <w:right w:val="none" w:sz="0" w:space="0" w:color="auto"/>
      </w:divBdr>
    </w:div>
    <w:div w:id="705764312">
      <w:bodyDiv w:val="1"/>
      <w:marLeft w:val="0"/>
      <w:marRight w:val="0"/>
      <w:marTop w:val="0"/>
      <w:marBottom w:val="0"/>
      <w:divBdr>
        <w:top w:val="none" w:sz="0" w:space="0" w:color="auto"/>
        <w:left w:val="none" w:sz="0" w:space="0" w:color="auto"/>
        <w:bottom w:val="none" w:sz="0" w:space="0" w:color="auto"/>
        <w:right w:val="none" w:sz="0" w:space="0" w:color="auto"/>
      </w:divBdr>
    </w:div>
    <w:div w:id="706757753">
      <w:bodyDiv w:val="1"/>
      <w:marLeft w:val="0"/>
      <w:marRight w:val="0"/>
      <w:marTop w:val="0"/>
      <w:marBottom w:val="0"/>
      <w:divBdr>
        <w:top w:val="none" w:sz="0" w:space="0" w:color="auto"/>
        <w:left w:val="none" w:sz="0" w:space="0" w:color="auto"/>
        <w:bottom w:val="none" w:sz="0" w:space="0" w:color="auto"/>
        <w:right w:val="none" w:sz="0" w:space="0" w:color="auto"/>
      </w:divBdr>
    </w:div>
    <w:div w:id="726488855">
      <w:bodyDiv w:val="1"/>
      <w:marLeft w:val="0"/>
      <w:marRight w:val="0"/>
      <w:marTop w:val="0"/>
      <w:marBottom w:val="0"/>
      <w:divBdr>
        <w:top w:val="none" w:sz="0" w:space="0" w:color="auto"/>
        <w:left w:val="none" w:sz="0" w:space="0" w:color="auto"/>
        <w:bottom w:val="none" w:sz="0" w:space="0" w:color="auto"/>
        <w:right w:val="none" w:sz="0" w:space="0" w:color="auto"/>
      </w:divBdr>
    </w:div>
    <w:div w:id="733966545">
      <w:bodyDiv w:val="1"/>
      <w:marLeft w:val="0"/>
      <w:marRight w:val="0"/>
      <w:marTop w:val="0"/>
      <w:marBottom w:val="0"/>
      <w:divBdr>
        <w:top w:val="none" w:sz="0" w:space="0" w:color="auto"/>
        <w:left w:val="none" w:sz="0" w:space="0" w:color="auto"/>
        <w:bottom w:val="none" w:sz="0" w:space="0" w:color="auto"/>
        <w:right w:val="none" w:sz="0" w:space="0" w:color="auto"/>
      </w:divBdr>
    </w:div>
    <w:div w:id="739986212">
      <w:bodyDiv w:val="1"/>
      <w:marLeft w:val="0"/>
      <w:marRight w:val="0"/>
      <w:marTop w:val="0"/>
      <w:marBottom w:val="0"/>
      <w:divBdr>
        <w:top w:val="none" w:sz="0" w:space="0" w:color="auto"/>
        <w:left w:val="none" w:sz="0" w:space="0" w:color="auto"/>
        <w:bottom w:val="none" w:sz="0" w:space="0" w:color="auto"/>
        <w:right w:val="none" w:sz="0" w:space="0" w:color="auto"/>
      </w:divBdr>
    </w:div>
    <w:div w:id="740716382">
      <w:bodyDiv w:val="1"/>
      <w:marLeft w:val="0"/>
      <w:marRight w:val="0"/>
      <w:marTop w:val="0"/>
      <w:marBottom w:val="0"/>
      <w:divBdr>
        <w:top w:val="none" w:sz="0" w:space="0" w:color="auto"/>
        <w:left w:val="none" w:sz="0" w:space="0" w:color="auto"/>
        <w:bottom w:val="none" w:sz="0" w:space="0" w:color="auto"/>
        <w:right w:val="none" w:sz="0" w:space="0" w:color="auto"/>
      </w:divBdr>
    </w:div>
    <w:div w:id="743531218">
      <w:bodyDiv w:val="1"/>
      <w:marLeft w:val="0"/>
      <w:marRight w:val="0"/>
      <w:marTop w:val="0"/>
      <w:marBottom w:val="0"/>
      <w:divBdr>
        <w:top w:val="none" w:sz="0" w:space="0" w:color="auto"/>
        <w:left w:val="none" w:sz="0" w:space="0" w:color="auto"/>
        <w:bottom w:val="none" w:sz="0" w:space="0" w:color="auto"/>
        <w:right w:val="none" w:sz="0" w:space="0" w:color="auto"/>
      </w:divBdr>
    </w:div>
    <w:div w:id="743992991">
      <w:bodyDiv w:val="1"/>
      <w:marLeft w:val="0"/>
      <w:marRight w:val="0"/>
      <w:marTop w:val="0"/>
      <w:marBottom w:val="0"/>
      <w:divBdr>
        <w:top w:val="none" w:sz="0" w:space="0" w:color="auto"/>
        <w:left w:val="none" w:sz="0" w:space="0" w:color="auto"/>
        <w:bottom w:val="none" w:sz="0" w:space="0" w:color="auto"/>
        <w:right w:val="none" w:sz="0" w:space="0" w:color="auto"/>
      </w:divBdr>
    </w:div>
    <w:div w:id="748160397">
      <w:bodyDiv w:val="1"/>
      <w:marLeft w:val="0"/>
      <w:marRight w:val="0"/>
      <w:marTop w:val="0"/>
      <w:marBottom w:val="0"/>
      <w:divBdr>
        <w:top w:val="none" w:sz="0" w:space="0" w:color="auto"/>
        <w:left w:val="none" w:sz="0" w:space="0" w:color="auto"/>
        <w:bottom w:val="none" w:sz="0" w:space="0" w:color="auto"/>
        <w:right w:val="none" w:sz="0" w:space="0" w:color="auto"/>
      </w:divBdr>
    </w:div>
    <w:div w:id="752822648">
      <w:bodyDiv w:val="1"/>
      <w:marLeft w:val="0"/>
      <w:marRight w:val="0"/>
      <w:marTop w:val="0"/>
      <w:marBottom w:val="0"/>
      <w:divBdr>
        <w:top w:val="none" w:sz="0" w:space="0" w:color="auto"/>
        <w:left w:val="none" w:sz="0" w:space="0" w:color="auto"/>
        <w:bottom w:val="none" w:sz="0" w:space="0" w:color="auto"/>
        <w:right w:val="none" w:sz="0" w:space="0" w:color="auto"/>
      </w:divBdr>
    </w:div>
    <w:div w:id="764229768">
      <w:bodyDiv w:val="1"/>
      <w:marLeft w:val="0"/>
      <w:marRight w:val="0"/>
      <w:marTop w:val="0"/>
      <w:marBottom w:val="0"/>
      <w:divBdr>
        <w:top w:val="none" w:sz="0" w:space="0" w:color="auto"/>
        <w:left w:val="none" w:sz="0" w:space="0" w:color="auto"/>
        <w:bottom w:val="none" w:sz="0" w:space="0" w:color="auto"/>
        <w:right w:val="none" w:sz="0" w:space="0" w:color="auto"/>
      </w:divBdr>
    </w:div>
    <w:div w:id="770054910">
      <w:bodyDiv w:val="1"/>
      <w:marLeft w:val="0"/>
      <w:marRight w:val="0"/>
      <w:marTop w:val="0"/>
      <w:marBottom w:val="0"/>
      <w:divBdr>
        <w:top w:val="none" w:sz="0" w:space="0" w:color="auto"/>
        <w:left w:val="none" w:sz="0" w:space="0" w:color="auto"/>
        <w:bottom w:val="none" w:sz="0" w:space="0" w:color="auto"/>
        <w:right w:val="none" w:sz="0" w:space="0" w:color="auto"/>
      </w:divBdr>
    </w:div>
    <w:div w:id="774207481">
      <w:bodyDiv w:val="1"/>
      <w:marLeft w:val="0"/>
      <w:marRight w:val="0"/>
      <w:marTop w:val="0"/>
      <w:marBottom w:val="0"/>
      <w:divBdr>
        <w:top w:val="none" w:sz="0" w:space="0" w:color="auto"/>
        <w:left w:val="none" w:sz="0" w:space="0" w:color="auto"/>
        <w:bottom w:val="none" w:sz="0" w:space="0" w:color="auto"/>
        <w:right w:val="none" w:sz="0" w:space="0" w:color="auto"/>
      </w:divBdr>
    </w:div>
    <w:div w:id="786119458">
      <w:bodyDiv w:val="1"/>
      <w:marLeft w:val="0"/>
      <w:marRight w:val="0"/>
      <w:marTop w:val="0"/>
      <w:marBottom w:val="0"/>
      <w:divBdr>
        <w:top w:val="none" w:sz="0" w:space="0" w:color="auto"/>
        <w:left w:val="none" w:sz="0" w:space="0" w:color="auto"/>
        <w:bottom w:val="none" w:sz="0" w:space="0" w:color="auto"/>
        <w:right w:val="none" w:sz="0" w:space="0" w:color="auto"/>
      </w:divBdr>
    </w:div>
    <w:div w:id="816145522">
      <w:bodyDiv w:val="1"/>
      <w:marLeft w:val="0"/>
      <w:marRight w:val="0"/>
      <w:marTop w:val="0"/>
      <w:marBottom w:val="0"/>
      <w:divBdr>
        <w:top w:val="none" w:sz="0" w:space="0" w:color="auto"/>
        <w:left w:val="none" w:sz="0" w:space="0" w:color="auto"/>
        <w:bottom w:val="none" w:sz="0" w:space="0" w:color="auto"/>
        <w:right w:val="none" w:sz="0" w:space="0" w:color="auto"/>
      </w:divBdr>
    </w:div>
    <w:div w:id="816338366">
      <w:bodyDiv w:val="1"/>
      <w:marLeft w:val="0"/>
      <w:marRight w:val="0"/>
      <w:marTop w:val="0"/>
      <w:marBottom w:val="0"/>
      <w:divBdr>
        <w:top w:val="none" w:sz="0" w:space="0" w:color="auto"/>
        <w:left w:val="none" w:sz="0" w:space="0" w:color="auto"/>
        <w:bottom w:val="none" w:sz="0" w:space="0" w:color="auto"/>
        <w:right w:val="none" w:sz="0" w:space="0" w:color="auto"/>
      </w:divBdr>
    </w:div>
    <w:div w:id="820970540">
      <w:bodyDiv w:val="1"/>
      <w:marLeft w:val="0"/>
      <w:marRight w:val="0"/>
      <w:marTop w:val="0"/>
      <w:marBottom w:val="0"/>
      <w:divBdr>
        <w:top w:val="none" w:sz="0" w:space="0" w:color="auto"/>
        <w:left w:val="none" w:sz="0" w:space="0" w:color="auto"/>
        <w:bottom w:val="none" w:sz="0" w:space="0" w:color="auto"/>
        <w:right w:val="none" w:sz="0" w:space="0" w:color="auto"/>
      </w:divBdr>
    </w:div>
    <w:div w:id="821772159">
      <w:bodyDiv w:val="1"/>
      <w:marLeft w:val="0"/>
      <w:marRight w:val="0"/>
      <w:marTop w:val="0"/>
      <w:marBottom w:val="0"/>
      <w:divBdr>
        <w:top w:val="none" w:sz="0" w:space="0" w:color="auto"/>
        <w:left w:val="none" w:sz="0" w:space="0" w:color="auto"/>
        <w:bottom w:val="none" w:sz="0" w:space="0" w:color="auto"/>
        <w:right w:val="none" w:sz="0" w:space="0" w:color="auto"/>
      </w:divBdr>
    </w:div>
    <w:div w:id="824904531">
      <w:bodyDiv w:val="1"/>
      <w:marLeft w:val="0"/>
      <w:marRight w:val="0"/>
      <w:marTop w:val="0"/>
      <w:marBottom w:val="0"/>
      <w:divBdr>
        <w:top w:val="none" w:sz="0" w:space="0" w:color="auto"/>
        <w:left w:val="none" w:sz="0" w:space="0" w:color="auto"/>
        <w:bottom w:val="none" w:sz="0" w:space="0" w:color="auto"/>
        <w:right w:val="none" w:sz="0" w:space="0" w:color="auto"/>
      </w:divBdr>
    </w:div>
    <w:div w:id="850753725">
      <w:bodyDiv w:val="1"/>
      <w:marLeft w:val="0"/>
      <w:marRight w:val="0"/>
      <w:marTop w:val="0"/>
      <w:marBottom w:val="0"/>
      <w:divBdr>
        <w:top w:val="none" w:sz="0" w:space="0" w:color="auto"/>
        <w:left w:val="none" w:sz="0" w:space="0" w:color="auto"/>
        <w:bottom w:val="none" w:sz="0" w:space="0" w:color="auto"/>
        <w:right w:val="none" w:sz="0" w:space="0" w:color="auto"/>
      </w:divBdr>
    </w:div>
    <w:div w:id="859709428">
      <w:bodyDiv w:val="1"/>
      <w:marLeft w:val="0"/>
      <w:marRight w:val="0"/>
      <w:marTop w:val="0"/>
      <w:marBottom w:val="0"/>
      <w:divBdr>
        <w:top w:val="none" w:sz="0" w:space="0" w:color="auto"/>
        <w:left w:val="none" w:sz="0" w:space="0" w:color="auto"/>
        <w:bottom w:val="none" w:sz="0" w:space="0" w:color="auto"/>
        <w:right w:val="none" w:sz="0" w:space="0" w:color="auto"/>
      </w:divBdr>
    </w:div>
    <w:div w:id="867573074">
      <w:bodyDiv w:val="1"/>
      <w:marLeft w:val="0"/>
      <w:marRight w:val="0"/>
      <w:marTop w:val="0"/>
      <w:marBottom w:val="0"/>
      <w:divBdr>
        <w:top w:val="none" w:sz="0" w:space="0" w:color="auto"/>
        <w:left w:val="none" w:sz="0" w:space="0" w:color="auto"/>
        <w:bottom w:val="none" w:sz="0" w:space="0" w:color="auto"/>
        <w:right w:val="none" w:sz="0" w:space="0" w:color="auto"/>
      </w:divBdr>
    </w:div>
    <w:div w:id="868253510">
      <w:bodyDiv w:val="1"/>
      <w:marLeft w:val="0"/>
      <w:marRight w:val="0"/>
      <w:marTop w:val="0"/>
      <w:marBottom w:val="0"/>
      <w:divBdr>
        <w:top w:val="none" w:sz="0" w:space="0" w:color="auto"/>
        <w:left w:val="none" w:sz="0" w:space="0" w:color="auto"/>
        <w:bottom w:val="none" w:sz="0" w:space="0" w:color="auto"/>
        <w:right w:val="none" w:sz="0" w:space="0" w:color="auto"/>
      </w:divBdr>
    </w:div>
    <w:div w:id="872112885">
      <w:bodyDiv w:val="1"/>
      <w:marLeft w:val="0"/>
      <w:marRight w:val="0"/>
      <w:marTop w:val="0"/>
      <w:marBottom w:val="0"/>
      <w:divBdr>
        <w:top w:val="none" w:sz="0" w:space="0" w:color="auto"/>
        <w:left w:val="none" w:sz="0" w:space="0" w:color="auto"/>
        <w:bottom w:val="none" w:sz="0" w:space="0" w:color="auto"/>
        <w:right w:val="none" w:sz="0" w:space="0" w:color="auto"/>
      </w:divBdr>
    </w:div>
    <w:div w:id="893587665">
      <w:bodyDiv w:val="1"/>
      <w:marLeft w:val="0"/>
      <w:marRight w:val="0"/>
      <w:marTop w:val="0"/>
      <w:marBottom w:val="0"/>
      <w:divBdr>
        <w:top w:val="none" w:sz="0" w:space="0" w:color="auto"/>
        <w:left w:val="none" w:sz="0" w:space="0" w:color="auto"/>
        <w:bottom w:val="none" w:sz="0" w:space="0" w:color="auto"/>
        <w:right w:val="none" w:sz="0" w:space="0" w:color="auto"/>
      </w:divBdr>
    </w:div>
    <w:div w:id="899026036">
      <w:bodyDiv w:val="1"/>
      <w:marLeft w:val="0"/>
      <w:marRight w:val="0"/>
      <w:marTop w:val="0"/>
      <w:marBottom w:val="0"/>
      <w:divBdr>
        <w:top w:val="none" w:sz="0" w:space="0" w:color="auto"/>
        <w:left w:val="none" w:sz="0" w:space="0" w:color="auto"/>
        <w:bottom w:val="none" w:sz="0" w:space="0" w:color="auto"/>
        <w:right w:val="none" w:sz="0" w:space="0" w:color="auto"/>
      </w:divBdr>
    </w:div>
    <w:div w:id="902982524">
      <w:bodyDiv w:val="1"/>
      <w:marLeft w:val="0"/>
      <w:marRight w:val="0"/>
      <w:marTop w:val="0"/>
      <w:marBottom w:val="0"/>
      <w:divBdr>
        <w:top w:val="none" w:sz="0" w:space="0" w:color="auto"/>
        <w:left w:val="none" w:sz="0" w:space="0" w:color="auto"/>
        <w:bottom w:val="none" w:sz="0" w:space="0" w:color="auto"/>
        <w:right w:val="none" w:sz="0" w:space="0" w:color="auto"/>
      </w:divBdr>
    </w:div>
    <w:div w:id="903370772">
      <w:bodyDiv w:val="1"/>
      <w:marLeft w:val="0"/>
      <w:marRight w:val="0"/>
      <w:marTop w:val="0"/>
      <w:marBottom w:val="0"/>
      <w:divBdr>
        <w:top w:val="none" w:sz="0" w:space="0" w:color="auto"/>
        <w:left w:val="none" w:sz="0" w:space="0" w:color="auto"/>
        <w:bottom w:val="none" w:sz="0" w:space="0" w:color="auto"/>
        <w:right w:val="none" w:sz="0" w:space="0" w:color="auto"/>
      </w:divBdr>
    </w:div>
    <w:div w:id="908999315">
      <w:bodyDiv w:val="1"/>
      <w:marLeft w:val="0"/>
      <w:marRight w:val="0"/>
      <w:marTop w:val="0"/>
      <w:marBottom w:val="0"/>
      <w:divBdr>
        <w:top w:val="none" w:sz="0" w:space="0" w:color="auto"/>
        <w:left w:val="none" w:sz="0" w:space="0" w:color="auto"/>
        <w:bottom w:val="none" w:sz="0" w:space="0" w:color="auto"/>
        <w:right w:val="none" w:sz="0" w:space="0" w:color="auto"/>
      </w:divBdr>
    </w:div>
    <w:div w:id="912742406">
      <w:bodyDiv w:val="1"/>
      <w:marLeft w:val="0"/>
      <w:marRight w:val="0"/>
      <w:marTop w:val="0"/>
      <w:marBottom w:val="0"/>
      <w:divBdr>
        <w:top w:val="none" w:sz="0" w:space="0" w:color="auto"/>
        <w:left w:val="none" w:sz="0" w:space="0" w:color="auto"/>
        <w:bottom w:val="none" w:sz="0" w:space="0" w:color="auto"/>
        <w:right w:val="none" w:sz="0" w:space="0" w:color="auto"/>
      </w:divBdr>
    </w:div>
    <w:div w:id="913008353">
      <w:bodyDiv w:val="1"/>
      <w:marLeft w:val="0"/>
      <w:marRight w:val="0"/>
      <w:marTop w:val="0"/>
      <w:marBottom w:val="0"/>
      <w:divBdr>
        <w:top w:val="none" w:sz="0" w:space="0" w:color="auto"/>
        <w:left w:val="none" w:sz="0" w:space="0" w:color="auto"/>
        <w:bottom w:val="none" w:sz="0" w:space="0" w:color="auto"/>
        <w:right w:val="none" w:sz="0" w:space="0" w:color="auto"/>
      </w:divBdr>
    </w:div>
    <w:div w:id="923610842">
      <w:bodyDiv w:val="1"/>
      <w:marLeft w:val="0"/>
      <w:marRight w:val="0"/>
      <w:marTop w:val="0"/>
      <w:marBottom w:val="0"/>
      <w:divBdr>
        <w:top w:val="none" w:sz="0" w:space="0" w:color="auto"/>
        <w:left w:val="none" w:sz="0" w:space="0" w:color="auto"/>
        <w:bottom w:val="none" w:sz="0" w:space="0" w:color="auto"/>
        <w:right w:val="none" w:sz="0" w:space="0" w:color="auto"/>
      </w:divBdr>
    </w:div>
    <w:div w:id="924725795">
      <w:bodyDiv w:val="1"/>
      <w:marLeft w:val="0"/>
      <w:marRight w:val="0"/>
      <w:marTop w:val="0"/>
      <w:marBottom w:val="0"/>
      <w:divBdr>
        <w:top w:val="none" w:sz="0" w:space="0" w:color="auto"/>
        <w:left w:val="none" w:sz="0" w:space="0" w:color="auto"/>
        <w:bottom w:val="none" w:sz="0" w:space="0" w:color="auto"/>
        <w:right w:val="none" w:sz="0" w:space="0" w:color="auto"/>
      </w:divBdr>
    </w:div>
    <w:div w:id="924916641">
      <w:bodyDiv w:val="1"/>
      <w:marLeft w:val="0"/>
      <w:marRight w:val="0"/>
      <w:marTop w:val="0"/>
      <w:marBottom w:val="0"/>
      <w:divBdr>
        <w:top w:val="none" w:sz="0" w:space="0" w:color="auto"/>
        <w:left w:val="none" w:sz="0" w:space="0" w:color="auto"/>
        <w:bottom w:val="none" w:sz="0" w:space="0" w:color="auto"/>
        <w:right w:val="none" w:sz="0" w:space="0" w:color="auto"/>
      </w:divBdr>
    </w:div>
    <w:div w:id="927888495">
      <w:bodyDiv w:val="1"/>
      <w:marLeft w:val="0"/>
      <w:marRight w:val="0"/>
      <w:marTop w:val="0"/>
      <w:marBottom w:val="0"/>
      <w:divBdr>
        <w:top w:val="none" w:sz="0" w:space="0" w:color="auto"/>
        <w:left w:val="none" w:sz="0" w:space="0" w:color="auto"/>
        <w:bottom w:val="none" w:sz="0" w:space="0" w:color="auto"/>
        <w:right w:val="none" w:sz="0" w:space="0" w:color="auto"/>
      </w:divBdr>
    </w:div>
    <w:div w:id="943341635">
      <w:bodyDiv w:val="1"/>
      <w:marLeft w:val="0"/>
      <w:marRight w:val="0"/>
      <w:marTop w:val="0"/>
      <w:marBottom w:val="0"/>
      <w:divBdr>
        <w:top w:val="none" w:sz="0" w:space="0" w:color="auto"/>
        <w:left w:val="none" w:sz="0" w:space="0" w:color="auto"/>
        <w:bottom w:val="none" w:sz="0" w:space="0" w:color="auto"/>
        <w:right w:val="none" w:sz="0" w:space="0" w:color="auto"/>
      </w:divBdr>
    </w:div>
    <w:div w:id="970287179">
      <w:bodyDiv w:val="1"/>
      <w:marLeft w:val="0"/>
      <w:marRight w:val="0"/>
      <w:marTop w:val="0"/>
      <w:marBottom w:val="0"/>
      <w:divBdr>
        <w:top w:val="none" w:sz="0" w:space="0" w:color="auto"/>
        <w:left w:val="none" w:sz="0" w:space="0" w:color="auto"/>
        <w:bottom w:val="none" w:sz="0" w:space="0" w:color="auto"/>
        <w:right w:val="none" w:sz="0" w:space="0" w:color="auto"/>
      </w:divBdr>
    </w:div>
    <w:div w:id="977149659">
      <w:bodyDiv w:val="1"/>
      <w:marLeft w:val="0"/>
      <w:marRight w:val="0"/>
      <w:marTop w:val="0"/>
      <w:marBottom w:val="0"/>
      <w:divBdr>
        <w:top w:val="none" w:sz="0" w:space="0" w:color="auto"/>
        <w:left w:val="none" w:sz="0" w:space="0" w:color="auto"/>
        <w:bottom w:val="none" w:sz="0" w:space="0" w:color="auto"/>
        <w:right w:val="none" w:sz="0" w:space="0" w:color="auto"/>
      </w:divBdr>
    </w:div>
    <w:div w:id="986544709">
      <w:bodyDiv w:val="1"/>
      <w:marLeft w:val="0"/>
      <w:marRight w:val="0"/>
      <w:marTop w:val="0"/>
      <w:marBottom w:val="0"/>
      <w:divBdr>
        <w:top w:val="none" w:sz="0" w:space="0" w:color="auto"/>
        <w:left w:val="none" w:sz="0" w:space="0" w:color="auto"/>
        <w:bottom w:val="none" w:sz="0" w:space="0" w:color="auto"/>
        <w:right w:val="none" w:sz="0" w:space="0" w:color="auto"/>
      </w:divBdr>
    </w:div>
    <w:div w:id="988747616">
      <w:bodyDiv w:val="1"/>
      <w:marLeft w:val="0"/>
      <w:marRight w:val="0"/>
      <w:marTop w:val="0"/>
      <w:marBottom w:val="0"/>
      <w:divBdr>
        <w:top w:val="none" w:sz="0" w:space="0" w:color="auto"/>
        <w:left w:val="none" w:sz="0" w:space="0" w:color="auto"/>
        <w:bottom w:val="none" w:sz="0" w:space="0" w:color="auto"/>
        <w:right w:val="none" w:sz="0" w:space="0" w:color="auto"/>
      </w:divBdr>
    </w:div>
    <w:div w:id="992030405">
      <w:bodyDiv w:val="1"/>
      <w:marLeft w:val="0"/>
      <w:marRight w:val="0"/>
      <w:marTop w:val="0"/>
      <w:marBottom w:val="0"/>
      <w:divBdr>
        <w:top w:val="none" w:sz="0" w:space="0" w:color="auto"/>
        <w:left w:val="none" w:sz="0" w:space="0" w:color="auto"/>
        <w:bottom w:val="none" w:sz="0" w:space="0" w:color="auto"/>
        <w:right w:val="none" w:sz="0" w:space="0" w:color="auto"/>
      </w:divBdr>
    </w:div>
    <w:div w:id="1010178969">
      <w:bodyDiv w:val="1"/>
      <w:marLeft w:val="0"/>
      <w:marRight w:val="0"/>
      <w:marTop w:val="0"/>
      <w:marBottom w:val="0"/>
      <w:divBdr>
        <w:top w:val="none" w:sz="0" w:space="0" w:color="auto"/>
        <w:left w:val="none" w:sz="0" w:space="0" w:color="auto"/>
        <w:bottom w:val="none" w:sz="0" w:space="0" w:color="auto"/>
        <w:right w:val="none" w:sz="0" w:space="0" w:color="auto"/>
      </w:divBdr>
    </w:div>
    <w:div w:id="1013653567">
      <w:bodyDiv w:val="1"/>
      <w:marLeft w:val="0"/>
      <w:marRight w:val="0"/>
      <w:marTop w:val="0"/>
      <w:marBottom w:val="0"/>
      <w:divBdr>
        <w:top w:val="none" w:sz="0" w:space="0" w:color="auto"/>
        <w:left w:val="none" w:sz="0" w:space="0" w:color="auto"/>
        <w:bottom w:val="none" w:sz="0" w:space="0" w:color="auto"/>
        <w:right w:val="none" w:sz="0" w:space="0" w:color="auto"/>
      </w:divBdr>
    </w:div>
    <w:div w:id="1026176715">
      <w:bodyDiv w:val="1"/>
      <w:marLeft w:val="0"/>
      <w:marRight w:val="0"/>
      <w:marTop w:val="0"/>
      <w:marBottom w:val="0"/>
      <w:divBdr>
        <w:top w:val="none" w:sz="0" w:space="0" w:color="auto"/>
        <w:left w:val="none" w:sz="0" w:space="0" w:color="auto"/>
        <w:bottom w:val="none" w:sz="0" w:space="0" w:color="auto"/>
        <w:right w:val="none" w:sz="0" w:space="0" w:color="auto"/>
      </w:divBdr>
    </w:div>
    <w:div w:id="1030645650">
      <w:bodyDiv w:val="1"/>
      <w:marLeft w:val="0"/>
      <w:marRight w:val="0"/>
      <w:marTop w:val="0"/>
      <w:marBottom w:val="0"/>
      <w:divBdr>
        <w:top w:val="none" w:sz="0" w:space="0" w:color="auto"/>
        <w:left w:val="none" w:sz="0" w:space="0" w:color="auto"/>
        <w:bottom w:val="none" w:sz="0" w:space="0" w:color="auto"/>
        <w:right w:val="none" w:sz="0" w:space="0" w:color="auto"/>
      </w:divBdr>
    </w:div>
    <w:div w:id="1032731620">
      <w:bodyDiv w:val="1"/>
      <w:marLeft w:val="0"/>
      <w:marRight w:val="0"/>
      <w:marTop w:val="0"/>
      <w:marBottom w:val="0"/>
      <w:divBdr>
        <w:top w:val="none" w:sz="0" w:space="0" w:color="auto"/>
        <w:left w:val="none" w:sz="0" w:space="0" w:color="auto"/>
        <w:bottom w:val="none" w:sz="0" w:space="0" w:color="auto"/>
        <w:right w:val="none" w:sz="0" w:space="0" w:color="auto"/>
      </w:divBdr>
    </w:div>
    <w:div w:id="1039428325">
      <w:bodyDiv w:val="1"/>
      <w:marLeft w:val="0"/>
      <w:marRight w:val="0"/>
      <w:marTop w:val="0"/>
      <w:marBottom w:val="0"/>
      <w:divBdr>
        <w:top w:val="none" w:sz="0" w:space="0" w:color="auto"/>
        <w:left w:val="none" w:sz="0" w:space="0" w:color="auto"/>
        <w:bottom w:val="none" w:sz="0" w:space="0" w:color="auto"/>
        <w:right w:val="none" w:sz="0" w:space="0" w:color="auto"/>
      </w:divBdr>
    </w:div>
    <w:div w:id="1041709334">
      <w:bodyDiv w:val="1"/>
      <w:marLeft w:val="0"/>
      <w:marRight w:val="0"/>
      <w:marTop w:val="0"/>
      <w:marBottom w:val="0"/>
      <w:divBdr>
        <w:top w:val="none" w:sz="0" w:space="0" w:color="auto"/>
        <w:left w:val="none" w:sz="0" w:space="0" w:color="auto"/>
        <w:bottom w:val="none" w:sz="0" w:space="0" w:color="auto"/>
        <w:right w:val="none" w:sz="0" w:space="0" w:color="auto"/>
      </w:divBdr>
    </w:div>
    <w:div w:id="1044907833">
      <w:bodyDiv w:val="1"/>
      <w:marLeft w:val="0"/>
      <w:marRight w:val="0"/>
      <w:marTop w:val="0"/>
      <w:marBottom w:val="0"/>
      <w:divBdr>
        <w:top w:val="none" w:sz="0" w:space="0" w:color="auto"/>
        <w:left w:val="none" w:sz="0" w:space="0" w:color="auto"/>
        <w:bottom w:val="none" w:sz="0" w:space="0" w:color="auto"/>
        <w:right w:val="none" w:sz="0" w:space="0" w:color="auto"/>
      </w:divBdr>
    </w:div>
    <w:div w:id="1050038300">
      <w:bodyDiv w:val="1"/>
      <w:marLeft w:val="0"/>
      <w:marRight w:val="0"/>
      <w:marTop w:val="0"/>
      <w:marBottom w:val="0"/>
      <w:divBdr>
        <w:top w:val="none" w:sz="0" w:space="0" w:color="auto"/>
        <w:left w:val="none" w:sz="0" w:space="0" w:color="auto"/>
        <w:bottom w:val="none" w:sz="0" w:space="0" w:color="auto"/>
        <w:right w:val="none" w:sz="0" w:space="0" w:color="auto"/>
      </w:divBdr>
    </w:div>
    <w:div w:id="1055659725">
      <w:bodyDiv w:val="1"/>
      <w:marLeft w:val="0"/>
      <w:marRight w:val="0"/>
      <w:marTop w:val="0"/>
      <w:marBottom w:val="0"/>
      <w:divBdr>
        <w:top w:val="none" w:sz="0" w:space="0" w:color="auto"/>
        <w:left w:val="none" w:sz="0" w:space="0" w:color="auto"/>
        <w:bottom w:val="none" w:sz="0" w:space="0" w:color="auto"/>
        <w:right w:val="none" w:sz="0" w:space="0" w:color="auto"/>
      </w:divBdr>
    </w:div>
    <w:div w:id="1064789844">
      <w:bodyDiv w:val="1"/>
      <w:marLeft w:val="0"/>
      <w:marRight w:val="0"/>
      <w:marTop w:val="0"/>
      <w:marBottom w:val="0"/>
      <w:divBdr>
        <w:top w:val="none" w:sz="0" w:space="0" w:color="auto"/>
        <w:left w:val="none" w:sz="0" w:space="0" w:color="auto"/>
        <w:bottom w:val="none" w:sz="0" w:space="0" w:color="auto"/>
        <w:right w:val="none" w:sz="0" w:space="0" w:color="auto"/>
      </w:divBdr>
    </w:div>
    <w:div w:id="1066956687">
      <w:bodyDiv w:val="1"/>
      <w:marLeft w:val="0"/>
      <w:marRight w:val="0"/>
      <w:marTop w:val="0"/>
      <w:marBottom w:val="0"/>
      <w:divBdr>
        <w:top w:val="none" w:sz="0" w:space="0" w:color="auto"/>
        <w:left w:val="none" w:sz="0" w:space="0" w:color="auto"/>
        <w:bottom w:val="none" w:sz="0" w:space="0" w:color="auto"/>
        <w:right w:val="none" w:sz="0" w:space="0" w:color="auto"/>
      </w:divBdr>
    </w:div>
    <w:div w:id="1069040536">
      <w:bodyDiv w:val="1"/>
      <w:marLeft w:val="0"/>
      <w:marRight w:val="0"/>
      <w:marTop w:val="0"/>
      <w:marBottom w:val="0"/>
      <w:divBdr>
        <w:top w:val="none" w:sz="0" w:space="0" w:color="auto"/>
        <w:left w:val="none" w:sz="0" w:space="0" w:color="auto"/>
        <w:bottom w:val="none" w:sz="0" w:space="0" w:color="auto"/>
        <w:right w:val="none" w:sz="0" w:space="0" w:color="auto"/>
      </w:divBdr>
    </w:div>
    <w:div w:id="1074011518">
      <w:bodyDiv w:val="1"/>
      <w:marLeft w:val="0"/>
      <w:marRight w:val="0"/>
      <w:marTop w:val="0"/>
      <w:marBottom w:val="0"/>
      <w:divBdr>
        <w:top w:val="none" w:sz="0" w:space="0" w:color="auto"/>
        <w:left w:val="none" w:sz="0" w:space="0" w:color="auto"/>
        <w:bottom w:val="none" w:sz="0" w:space="0" w:color="auto"/>
        <w:right w:val="none" w:sz="0" w:space="0" w:color="auto"/>
      </w:divBdr>
    </w:div>
    <w:div w:id="1081562791">
      <w:bodyDiv w:val="1"/>
      <w:marLeft w:val="0"/>
      <w:marRight w:val="0"/>
      <w:marTop w:val="0"/>
      <w:marBottom w:val="0"/>
      <w:divBdr>
        <w:top w:val="none" w:sz="0" w:space="0" w:color="auto"/>
        <w:left w:val="none" w:sz="0" w:space="0" w:color="auto"/>
        <w:bottom w:val="none" w:sz="0" w:space="0" w:color="auto"/>
        <w:right w:val="none" w:sz="0" w:space="0" w:color="auto"/>
      </w:divBdr>
    </w:div>
    <w:div w:id="1098908881">
      <w:bodyDiv w:val="1"/>
      <w:marLeft w:val="0"/>
      <w:marRight w:val="0"/>
      <w:marTop w:val="0"/>
      <w:marBottom w:val="0"/>
      <w:divBdr>
        <w:top w:val="none" w:sz="0" w:space="0" w:color="auto"/>
        <w:left w:val="none" w:sz="0" w:space="0" w:color="auto"/>
        <w:bottom w:val="none" w:sz="0" w:space="0" w:color="auto"/>
        <w:right w:val="none" w:sz="0" w:space="0" w:color="auto"/>
      </w:divBdr>
    </w:div>
    <w:div w:id="1101488855">
      <w:bodyDiv w:val="1"/>
      <w:marLeft w:val="0"/>
      <w:marRight w:val="0"/>
      <w:marTop w:val="0"/>
      <w:marBottom w:val="0"/>
      <w:divBdr>
        <w:top w:val="none" w:sz="0" w:space="0" w:color="auto"/>
        <w:left w:val="none" w:sz="0" w:space="0" w:color="auto"/>
        <w:bottom w:val="none" w:sz="0" w:space="0" w:color="auto"/>
        <w:right w:val="none" w:sz="0" w:space="0" w:color="auto"/>
      </w:divBdr>
    </w:div>
    <w:div w:id="1118568749">
      <w:bodyDiv w:val="1"/>
      <w:marLeft w:val="0"/>
      <w:marRight w:val="0"/>
      <w:marTop w:val="0"/>
      <w:marBottom w:val="0"/>
      <w:divBdr>
        <w:top w:val="none" w:sz="0" w:space="0" w:color="auto"/>
        <w:left w:val="none" w:sz="0" w:space="0" w:color="auto"/>
        <w:bottom w:val="none" w:sz="0" w:space="0" w:color="auto"/>
        <w:right w:val="none" w:sz="0" w:space="0" w:color="auto"/>
      </w:divBdr>
    </w:div>
    <w:div w:id="1121999000">
      <w:bodyDiv w:val="1"/>
      <w:marLeft w:val="0"/>
      <w:marRight w:val="0"/>
      <w:marTop w:val="0"/>
      <w:marBottom w:val="0"/>
      <w:divBdr>
        <w:top w:val="none" w:sz="0" w:space="0" w:color="auto"/>
        <w:left w:val="none" w:sz="0" w:space="0" w:color="auto"/>
        <w:bottom w:val="none" w:sz="0" w:space="0" w:color="auto"/>
        <w:right w:val="none" w:sz="0" w:space="0" w:color="auto"/>
      </w:divBdr>
    </w:div>
    <w:div w:id="1124881032">
      <w:bodyDiv w:val="1"/>
      <w:marLeft w:val="0"/>
      <w:marRight w:val="0"/>
      <w:marTop w:val="0"/>
      <w:marBottom w:val="0"/>
      <w:divBdr>
        <w:top w:val="none" w:sz="0" w:space="0" w:color="auto"/>
        <w:left w:val="none" w:sz="0" w:space="0" w:color="auto"/>
        <w:bottom w:val="none" w:sz="0" w:space="0" w:color="auto"/>
        <w:right w:val="none" w:sz="0" w:space="0" w:color="auto"/>
      </w:divBdr>
    </w:div>
    <w:div w:id="1136029337">
      <w:bodyDiv w:val="1"/>
      <w:marLeft w:val="0"/>
      <w:marRight w:val="0"/>
      <w:marTop w:val="0"/>
      <w:marBottom w:val="0"/>
      <w:divBdr>
        <w:top w:val="none" w:sz="0" w:space="0" w:color="auto"/>
        <w:left w:val="none" w:sz="0" w:space="0" w:color="auto"/>
        <w:bottom w:val="none" w:sz="0" w:space="0" w:color="auto"/>
        <w:right w:val="none" w:sz="0" w:space="0" w:color="auto"/>
      </w:divBdr>
    </w:div>
    <w:div w:id="1139344901">
      <w:bodyDiv w:val="1"/>
      <w:marLeft w:val="0"/>
      <w:marRight w:val="0"/>
      <w:marTop w:val="0"/>
      <w:marBottom w:val="0"/>
      <w:divBdr>
        <w:top w:val="none" w:sz="0" w:space="0" w:color="auto"/>
        <w:left w:val="none" w:sz="0" w:space="0" w:color="auto"/>
        <w:bottom w:val="none" w:sz="0" w:space="0" w:color="auto"/>
        <w:right w:val="none" w:sz="0" w:space="0" w:color="auto"/>
      </w:divBdr>
    </w:div>
    <w:div w:id="1139540495">
      <w:bodyDiv w:val="1"/>
      <w:marLeft w:val="0"/>
      <w:marRight w:val="0"/>
      <w:marTop w:val="0"/>
      <w:marBottom w:val="0"/>
      <w:divBdr>
        <w:top w:val="none" w:sz="0" w:space="0" w:color="auto"/>
        <w:left w:val="none" w:sz="0" w:space="0" w:color="auto"/>
        <w:bottom w:val="none" w:sz="0" w:space="0" w:color="auto"/>
        <w:right w:val="none" w:sz="0" w:space="0" w:color="auto"/>
      </w:divBdr>
    </w:div>
    <w:div w:id="1143623019">
      <w:bodyDiv w:val="1"/>
      <w:marLeft w:val="0"/>
      <w:marRight w:val="0"/>
      <w:marTop w:val="0"/>
      <w:marBottom w:val="0"/>
      <w:divBdr>
        <w:top w:val="none" w:sz="0" w:space="0" w:color="auto"/>
        <w:left w:val="none" w:sz="0" w:space="0" w:color="auto"/>
        <w:bottom w:val="none" w:sz="0" w:space="0" w:color="auto"/>
        <w:right w:val="none" w:sz="0" w:space="0" w:color="auto"/>
      </w:divBdr>
    </w:div>
    <w:div w:id="1146817332">
      <w:bodyDiv w:val="1"/>
      <w:marLeft w:val="0"/>
      <w:marRight w:val="0"/>
      <w:marTop w:val="0"/>
      <w:marBottom w:val="0"/>
      <w:divBdr>
        <w:top w:val="none" w:sz="0" w:space="0" w:color="auto"/>
        <w:left w:val="none" w:sz="0" w:space="0" w:color="auto"/>
        <w:bottom w:val="none" w:sz="0" w:space="0" w:color="auto"/>
        <w:right w:val="none" w:sz="0" w:space="0" w:color="auto"/>
      </w:divBdr>
    </w:div>
    <w:div w:id="1164399067">
      <w:bodyDiv w:val="1"/>
      <w:marLeft w:val="0"/>
      <w:marRight w:val="0"/>
      <w:marTop w:val="0"/>
      <w:marBottom w:val="0"/>
      <w:divBdr>
        <w:top w:val="none" w:sz="0" w:space="0" w:color="auto"/>
        <w:left w:val="none" w:sz="0" w:space="0" w:color="auto"/>
        <w:bottom w:val="none" w:sz="0" w:space="0" w:color="auto"/>
        <w:right w:val="none" w:sz="0" w:space="0" w:color="auto"/>
      </w:divBdr>
    </w:div>
    <w:div w:id="1169100184">
      <w:bodyDiv w:val="1"/>
      <w:marLeft w:val="0"/>
      <w:marRight w:val="0"/>
      <w:marTop w:val="0"/>
      <w:marBottom w:val="0"/>
      <w:divBdr>
        <w:top w:val="none" w:sz="0" w:space="0" w:color="auto"/>
        <w:left w:val="none" w:sz="0" w:space="0" w:color="auto"/>
        <w:bottom w:val="none" w:sz="0" w:space="0" w:color="auto"/>
        <w:right w:val="none" w:sz="0" w:space="0" w:color="auto"/>
      </w:divBdr>
    </w:div>
    <w:div w:id="1178883846">
      <w:bodyDiv w:val="1"/>
      <w:marLeft w:val="0"/>
      <w:marRight w:val="0"/>
      <w:marTop w:val="0"/>
      <w:marBottom w:val="0"/>
      <w:divBdr>
        <w:top w:val="none" w:sz="0" w:space="0" w:color="auto"/>
        <w:left w:val="none" w:sz="0" w:space="0" w:color="auto"/>
        <w:bottom w:val="none" w:sz="0" w:space="0" w:color="auto"/>
        <w:right w:val="none" w:sz="0" w:space="0" w:color="auto"/>
      </w:divBdr>
    </w:div>
    <w:div w:id="1184785489">
      <w:bodyDiv w:val="1"/>
      <w:marLeft w:val="0"/>
      <w:marRight w:val="0"/>
      <w:marTop w:val="0"/>
      <w:marBottom w:val="0"/>
      <w:divBdr>
        <w:top w:val="none" w:sz="0" w:space="0" w:color="auto"/>
        <w:left w:val="none" w:sz="0" w:space="0" w:color="auto"/>
        <w:bottom w:val="none" w:sz="0" w:space="0" w:color="auto"/>
        <w:right w:val="none" w:sz="0" w:space="0" w:color="auto"/>
      </w:divBdr>
    </w:div>
    <w:div w:id="1191257739">
      <w:bodyDiv w:val="1"/>
      <w:marLeft w:val="0"/>
      <w:marRight w:val="0"/>
      <w:marTop w:val="0"/>
      <w:marBottom w:val="0"/>
      <w:divBdr>
        <w:top w:val="none" w:sz="0" w:space="0" w:color="auto"/>
        <w:left w:val="none" w:sz="0" w:space="0" w:color="auto"/>
        <w:bottom w:val="none" w:sz="0" w:space="0" w:color="auto"/>
        <w:right w:val="none" w:sz="0" w:space="0" w:color="auto"/>
      </w:divBdr>
    </w:div>
    <w:div w:id="1195967519">
      <w:bodyDiv w:val="1"/>
      <w:marLeft w:val="0"/>
      <w:marRight w:val="0"/>
      <w:marTop w:val="0"/>
      <w:marBottom w:val="0"/>
      <w:divBdr>
        <w:top w:val="none" w:sz="0" w:space="0" w:color="auto"/>
        <w:left w:val="none" w:sz="0" w:space="0" w:color="auto"/>
        <w:bottom w:val="none" w:sz="0" w:space="0" w:color="auto"/>
        <w:right w:val="none" w:sz="0" w:space="0" w:color="auto"/>
      </w:divBdr>
    </w:div>
    <w:div w:id="1202354565">
      <w:bodyDiv w:val="1"/>
      <w:marLeft w:val="0"/>
      <w:marRight w:val="0"/>
      <w:marTop w:val="0"/>
      <w:marBottom w:val="0"/>
      <w:divBdr>
        <w:top w:val="none" w:sz="0" w:space="0" w:color="auto"/>
        <w:left w:val="none" w:sz="0" w:space="0" w:color="auto"/>
        <w:bottom w:val="none" w:sz="0" w:space="0" w:color="auto"/>
        <w:right w:val="none" w:sz="0" w:space="0" w:color="auto"/>
      </w:divBdr>
    </w:div>
    <w:div w:id="1222055460">
      <w:bodyDiv w:val="1"/>
      <w:marLeft w:val="0"/>
      <w:marRight w:val="0"/>
      <w:marTop w:val="0"/>
      <w:marBottom w:val="0"/>
      <w:divBdr>
        <w:top w:val="none" w:sz="0" w:space="0" w:color="auto"/>
        <w:left w:val="none" w:sz="0" w:space="0" w:color="auto"/>
        <w:bottom w:val="none" w:sz="0" w:space="0" w:color="auto"/>
        <w:right w:val="none" w:sz="0" w:space="0" w:color="auto"/>
      </w:divBdr>
    </w:div>
    <w:div w:id="1225989942">
      <w:bodyDiv w:val="1"/>
      <w:marLeft w:val="0"/>
      <w:marRight w:val="0"/>
      <w:marTop w:val="0"/>
      <w:marBottom w:val="0"/>
      <w:divBdr>
        <w:top w:val="none" w:sz="0" w:space="0" w:color="auto"/>
        <w:left w:val="none" w:sz="0" w:space="0" w:color="auto"/>
        <w:bottom w:val="none" w:sz="0" w:space="0" w:color="auto"/>
        <w:right w:val="none" w:sz="0" w:space="0" w:color="auto"/>
      </w:divBdr>
    </w:div>
    <w:div w:id="1228611531">
      <w:bodyDiv w:val="1"/>
      <w:marLeft w:val="0"/>
      <w:marRight w:val="0"/>
      <w:marTop w:val="0"/>
      <w:marBottom w:val="0"/>
      <w:divBdr>
        <w:top w:val="none" w:sz="0" w:space="0" w:color="auto"/>
        <w:left w:val="none" w:sz="0" w:space="0" w:color="auto"/>
        <w:bottom w:val="none" w:sz="0" w:space="0" w:color="auto"/>
        <w:right w:val="none" w:sz="0" w:space="0" w:color="auto"/>
      </w:divBdr>
    </w:div>
    <w:div w:id="1240556393">
      <w:bodyDiv w:val="1"/>
      <w:marLeft w:val="0"/>
      <w:marRight w:val="0"/>
      <w:marTop w:val="0"/>
      <w:marBottom w:val="0"/>
      <w:divBdr>
        <w:top w:val="none" w:sz="0" w:space="0" w:color="auto"/>
        <w:left w:val="none" w:sz="0" w:space="0" w:color="auto"/>
        <w:bottom w:val="none" w:sz="0" w:space="0" w:color="auto"/>
        <w:right w:val="none" w:sz="0" w:space="0" w:color="auto"/>
      </w:divBdr>
    </w:div>
    <w:div w:id="1243417648">
      <w:bodyDiv w:val="1"/>
      <w:marLeft w:val="0"/>
      <w:marRight w:val="0"/>
      <w:marTop w:val="0"/>
      <w:marBottom w:val="0"/>
      <w:divBdr>
        <w:top w:val="none" w:sz="0" w:space="0" w:color="auto"/>
        <w:left w:val="none" w:sz="0" w:space="0" w:color="auto"/>
        <w:bottom w:val="none" w:sz="0" w:space="0" w:color="auto"/>
        <w:right w:val="none" w:sz="0" w:space="0" w:color="auto"/>
      </w:divBdr>
    </w:div>
    <w:div w:id="1256671471">
      <w:bodyDiv w:val="1"/>
      <w:marLeft w:val="0"/>
      <w:marRight w:val="0"/>
      <w:marTop w:val="0"/>
      <w:marBottom w:val="0"/>
      <w:divBdr>
        <w:top w:val="none" w:sz="0" w:space="0" w:color="auto"/>
        <w:left w:val="none" w:sz="0" w:space="0" w:color="auto"/>
        <w:bottom w:val="none" w:sz="0" w:space="0" w:color="auto"/>
        <w:right w:val="none" w:sz="0" w:space="0" w:color="auto"/>
      </w:divBdr>
    </w:div>
    <w:div w:id="1271208024">
      <w:bodyDiv w:val="1"/>
      <w:marLeft w:val="0"/>
      <w:marRight w:val="0"/>
      <w:marTop w:val="0"/>
      <w:marBottom w:val="0"/>
      <w:divBdr>
        <w:top w:val="none" w:sz="0" w:space="0" w:color="auto"/>
        <w:left w:val="none" w:sz="0" w:space="0" w:color="auto"/>
        <w:bottom w:val="none" w:sz="0" w:space="0" w:color="auto"/>
        <w:right w:val="none" w:sz="0" w:space="0" w:color="auto"/>
      </w:divBdr>
    </w:div>
    <w:div w:id="1278366515">
      <w:bodyDiv w:val="1"/>
      <w:marLeft w:val="0"/>
      <w:marRight w:val="0"/>
      <w:marTop w:val="0"/>
      <w:marBottom w:val="0"/>
      <w:divBdr>
        <w:top w:val="none" w:sz="0" w:space="0" w:color="auto"/>
        <w:left w:val="none" w:sz="0" w:space="0" w:color="auto"/>
        <w:bottom w:val="none" w:sz="0" w:space="0" w:color="auto"/>
        <w:right w:val="none" w:sz="0" w:space="0" w:color="auto"/>
      </w:divBdr>
    </w:div>
    <w:div w:id="1278829061">
      <w:bodyDiv w:val="1"/>
      <w:marLeft w:val="0"/>
      <w:marRight w:val="0"/>
      <w:marTop w:val="0"/>
      <w:marBottom w:val="0"/>
      <w:divBdr>
        <w:top w:val="none" w:sz="0" w:space="0" w:color="auto"/>
        <w:left w:val="none" w:sz="0" w:space="0" w:color="auto"/>
        <w:bottom w:val="none" w:sz="0" w:space="0" w:color="auto"/>
        <w:right w:val="none" w:sz="0" w:space="0" w:color="auto"/>
      </w:divBdr>
    </w:div>
    <w:div w:id="1290628483">
      <w:bodyDiv w:val="1"/>
      <w:marLeft w:val="0"/>
      <w:marRight w:val="0"/>
      <w:marTop w:val="0"/>
      <w:marBottom w:val="0"/>
      <w:divBdr>
        <w:top w:val="none" w:sz="0" w:space="0" w:color="auto"/>
        <w:left w:val="none" w:sz="0" w:space="0" w:color="auto"/>
        <w:bottom w:val="none" w:sz="0" w:space="0" w:color="auto"/>
        <w:right w:val="none" w:sz="0" w:space="0" w:color="auto"/>
      </w:divBdr>
    </w:div>
    <w:div w:id="1298026645">
      <w:bodyDiv w:val="1"/>
      <w:marLeft w:val="0"/>
      <w:marRight w:val="0"/>
      <w:marTop w:val="0"/>
      <w:marBottom w:val="0"/>
      <w:divBdr>
        <w:top w:val="none" w:sz="0" w:space="0" w:color="auto"/>
        <w:left w:val="none" w:sz="0" w:space="0" w:color="auto"/>
        <w:bottom w:val="none" w:sz="0" w:space="0" w:color="auto"/>
        <w:right w:val="none" w:sz="0" w:space="0" w:color="auto"/>
      </w:divBdr>
    </w:div>
    <w:div w:id="1302032340">
      <w:bodyDiv w:val="1"/>
      <w:marLeft w:val="0"/>
      <w:marRight w:val="0"/>
      <w:marTop w:val="0"/>
      <w:marBottom w:val="0"/>
      <w:divBdr>
        <w:top w:val="none" w:sz="0" w:space="0" w:color="auto"/>
        <w:left w:val="none" w:sz="0" w:space="0" w:color="auto"/>
        <w:bottom w:val="none" w:sz="0" w:space="0" w:color="auto"/>
        <w:right w:val="none" w:sz="0" w:space="0" w:color="auto"/>
      </w:divBdr>
    </w:div>
    <w:div w:id="1328828028">
      <w:bodyDiv w:val="1"/>
      <w:marLeft w:val="0"/>
      <w:marRight w:val="0"/>
      <w:marTop w:val="0"/>
      <w:marBottom w:val="0"/>
      <w:divBdr>
        <w:top w:val="none" w:sz="0" w:space="0" w:color="auto"/>
        <w:left w:val="none" w:sz="0" w:space="0" w:color="auto"/>
        <w:bottom w:val="none" w:sz="0" w:space="0" w:color="auto"/>
        <w:right w:val="none" w:sz="0" w:space="0" w:color="auto"/>
      </w:divBdr>
    </w:div>
    <w:div w:id="1333335578">
      <w:bodyDiv w:val="1"/>
      <w:marLeft w:val="0"/>
      <w:marRight w:val="0"/>
      <w:marTop w:val="0"/>
      <w:marBottom w:val="0"/>
      <w:divBdr>
        <w:top w:val="none" w:sz="0" w:space="0" w:color="auto"/>
        <w:left w:val="none" w:sz="0" w:space="0" w:color="auto"/>
        <w:bottom w:val="none" w:sz="0" w:space="0" w:color="auto"/>
        <w:right w:val="none" w:sz="0" w:space="0" w:color="auto"/>
      </w:divBdr>
    </w:div>
    <w:div w:id="1334457316">
      <w:bodyDiv w:val="1"/>
      <w:marLeft w:val="0"/>
      <w:marRight w:val="0"/>
      <w:marTop w:val="0"/>
      <w:marBottom w:val="0"/>
      <w:divBdr>
        <w:top w:val="none" w:sz="0" w:space="0" w:color="auto"/>
        <w:left w:val="none" w:sz="0" w:space="0" w:color="auto"/>
        <w:bottom w:val="none" w:sz="0" w:space="0" w:color="auto"/>
        <w:right w:val="none" w:sz="0" w:space="0" w:color="auto"/>
      </w:divBdr>
    </w:div>
    <w:div w:id="1339575926">
      <w:bodyDiv w:val="1"/>
      <w:marLeft w:val="0"/>
      <w:marRight w:val="0"/>
      <w:marTop w:val="0"/>
      <w:marBottom w:val="0"/>
      <w:divBdr>
        <w:top w:val="none" w:sz="0" w:space="0" w:color="auto"/>
        <w:left w:val="none" w:sz="0" w:space="0" w:color="auto"/>
        <w:bottom w:val="none" w:sz="0" w:space="0" w:color="auto"/>
        <w:right w:val="none" w:sz="0" w:space="0" w:color="auto"/>
      </w:divBdr>
    </w:div>
    <w:div w:id="1350371427">
      <w:bodyDiv w:val="1"/>
      <w:marLeft w:val="0"/>
      <w:marRight w:val="0"/>
      <w:marTop w:val="0"/>
      <w:marBottom w:val="0"/>
      <w:divBdr>
        <w:top w:val="none" w:sz="0" w:space="0" w:color="auto"/>
        <w:left w:val="none" w:sz="0" w:space="0" w:color="auto"/>
        <w:bottom w:val="none" w:sz="0" w:space="0" w:color="auto"/>
        <w:right w:val="none" w:sz="0" w:space="0" w:color="auto"/>
      </w:divBdr>
    </w:div>
    <w:div w:id="1360397804">
      <w:bodyDiv w:val="1"/>
      <w:marLeft w:val="0"/>
      <w:marRight w:val="0"/>
      <w:marTop w:val="0"/>
      <w:marBottom w:val="0"/>
      <w:divBdr>
        <w:top w:val="none" w:sz="0" w:space="0" w:color="auto"/>
        <w:left w:val="none" w:sz="0" w:space="0" w:color="auto"/>
        <w:bottom w:val="none" w:sz="0" w:space="0" w:color="auto"/>
        <w:right w:val="none" w:sz="0" w:space="0" w:color="auto"/>
      </w:divBdr>
    </w:div>
    <w:div w:id="1367945332">
      <w:bodyDiv w:val="1"/>
      <w:marLeft w:val="0"/>
      <w:marRight w:val="0"/>
      <w:marTop w:val="0"/>
      <w:marBottom w:val="0"/>
      <w:divBdr>
        <w:top w:val="none" w:sz="0" w:space="0" w:color="auto"/>
        <w:left w:val="none" w:sz="0" w:space="0" w:color="auto"/>
        <w:bottom w:val="none" w:sz="0" w:space="0" w:color="auto"/>
        <w:right w:val="none" w:sz="0" w:space="0" w:color="auto"/>
      </w:divBdr>
    </w:div>
    <w:div w:id="1370571722">
      <w:bodyDiv w:val="1"/>
      <w:marLeft w:val="0"/>
      <w:marRight w:val="0"/>
      <w:marTop w:val="0"/>
      <w:marBottom w:val="0"/>
      <w:divBdr>
        <w:top w:val="none" w:sz="0" w:space="0" w:color="auto"/>
        <w:left w:val="none" w:sz="0" w:space="0" w:color="auto"/>
        <w:bottom w:val="none" w:sz="0" w:space="0" w:color="auto"/>
        <w:right w:val="none" w:sz="0" w:space="0" w:color="auto"/>
      </w:divBdr>
    </w:div>
    <w:div w:id="1388802472">
      <w:bodyDiv w:val="1"/>
      <w:marLeft w:val="0"/>
      <w:marRight w:val="0"/>
      <w:marTop w:val="0"/>
      <w:marBottom w:val="0"/>
      <w:divBdr>
        <w:top w:val="none" w:sz="0" w:space="0" w:color="auto"/>
        <w:left w:val="none" w:sz="0" w:space="0" w:color="auto"/>
        <w:bottom w:val="none" w:sz="0" w:space="0" w:color="auto"/>
        <w:right w:val="none" w:sz="0" w:space="0" w:color="auto"/>
      </w:divBdr>
    </w:div>
    <w:div w:id="1394964610">
      <w:bodyDiv w:val="1"/>
      <w:marLeft w:val="0"/>
      <w:marRight w:val="0"/>
      <w:marTop w:val="0"/>
      <w:marBottom w:val="0"/>
      <w:divBdr>
        <w:top w:val="none" w:sz="0" w:space="0" w:color="auto"/>
        <w:left w:val="none" w:sz="0" w:space="0" w:color="auto"/>
        <w:bottom w:val="none" w:sz="0" w:space="0" w:color="auto"/>
        <w:right w:val="none" w:sz="0" w:space="0" w:color="auto"/>
      </w:divBdr>
    </w:div>
    <w:div w:id="1418404882">
      <w:bodyDiv w:val="1"/>
      <w:marLeft w:val="0"/>
      <w:marRight w:val="0"/>
      <w:marTop w:val="0"/>
      <w:marBottom w:val="0"/>
      <w:divBdr>
        <w:top w:val="none" w:sz="0" w:space="0" w:color="auto"/>
        <w:left w:val="none" w:sz="0" w:space="0" w:color="auto"/>
        <w:bottom w:val="none" w:sz="0" w:space="0" w:color="auto"/>
        <w:right w:val="none" w:sz="0" w:space="0" w:color="auto"/>
      </w:divBdr>
    </w:div>
    <w:div w:id="1424183488">
      <w:bodyDiv w:val="1"/>
      <w:marLeft w:val="0"/>
      <w:marRight w:val="0"/>
      <w:marTop w:val="0"/>
      <w:marBottom w:val="0"/>
      <w:divBdr>
        <w:top w:val="none" w:sz="0" w:space="0" w:color="auto"/>
        <w:left w:val="none" w:sz="0" w:space="0" w:color="auto"/>
        <w:bottom w:val="none" w:sz="0" w:space="0" w:color="auto"/>
        <w:right w:val="none" w:sz="0" w:space="0" w:color="auto"/>
      </w:divBdr>
    </w:div>
    <w:div w:id="1430198514">
      <w:bodyDiv w:val="1"/>
      <w:marLeft w:val="0"/>
      <w:marRight w:val="0"/>
      <w:marTop w:val="0"/>
      <w:marBottom w:val="0"/>
      <w:divBdr>
        <w:top w:val="none" w:sz="0" w:space="0" w:color="auto"/>
        <w:left w:val="none" w:sz="0" w:space="0" w:color="auto"/>
        <w:bottom w:val="none" w:sz="0" w:space="0" w:color="auto"/>
        <w:right w:val="none" w:sz="0" w:space="0" w:color="auto"/>
      </w:divBdr>
    </w:div>
    <w:div w:id="1433626180">
      <w:bodyDiv w:val="1"/>
      <w:marLeft w:val="0"/>
      <w:marRight w:val="0"/>
      <w:marTop w:val="0"/>
      <w:marBottom w:val="0"/>
      <w:divBdr>
        <w:top w:val="none" w:sz="0" w:space="0" w:color="auto"/>
        <w:left w:val="none" w:sz="0" w:space="0" w:color="auto"/>
        <w:bottom w:val="none" w:sz="0" w:space="0" w:color="auto"/>
        <w:right w:val="none" w:sz="0" w:space="0" w:color="auto"/>
      </w:divBdr>
    </w:div>
    <w:div w:id="1434203122">
      <w:bodyDiv w:val="1"/>
      <w:marLeft w:val="0"/>
      <w:marRight w:val="0"/>
      <w:marTop w:val="0"/>
      <w:marBottom w:val="0"/>
      <w:divBdr>
        <w:top w:val="none" w:sz="0" w:space="0" w:color="auto"/>
        <w:left w:val="none" w:sz="0" w:space="0" w:color="auto"/>
        <w:bottom w:val="none" w:sz="0" w:space="0" w:color="auto"/>
        <w:right w:val="none" w:sz="0" w:space="0" w:color="auto"/>
      </w:divBdr>
    </w:div>
    <w:div w:id="1441071193">
      <w:bodyDiv w:val="1"/>
      <w:marLeft w:val="0"/>
      <w:marRight w:val="0"/>
      <w:marTop w:val="0"/>
      <w:marBottom w:val="0"/>
      <w:divBdr>
        <w:top w:val="none" w:sz="0" w:space="0" w:color="auto"/>
        <w:left w:val="none" w:sz="0" w:space="0" w:color="auto"/>
        <w:bottom w:val="none" w:sz="0" w:space="0" w:color="auto"/>
        <w:right w:val="none" w:sz="0" w:space="0" w:color="auto"/>
      </w:divBdr>
    </w:div>
    <w:div w:id="1445419767">
      <w:bodyDiv w:val="1"/>
      <w:marLeft w:val="0"/>
      <w:marRight w:val="0"/>
      <w:marTop w:val="0"/>
      <w:marBottom w:val="0"/>
      <w:divBdr>
        <w:top w:val="none" w:sz="0" w:space="0" w:color="auto"/>
        <w:left w:val="none" w:sz="0" w:space="0" w:color="auto"/>
        <w:bottom w:val="none" w:sz="0" w:space="0" w:color="auto"/>
        <w:right w:val="none" w:sz="0" w:space="0" w:color="auto"/>
      </w:divBdr>
    </w:div>
    <w:div w:id="1453329727">
      <w:bodyDiv w:val="1"/>
      <w:marLeft w:val="0"/>
      <w:marRight w:val="0"/>
      <w:marTop w:val="0"/>
      <w:marBottom w:val="0"/>
      <w:divBdr>
        <w:top w:val="none" w:sz="0" w:space="0" w:color="auto"/>
        <w:left w:val="none" w:sz="0" w:space="0" w:color="auto"/>
        <w:bottom w:val="none" w:sz="0" w:space="0" w:color="auto"/>
        <w:right w:val="none" w:sz="0" w:space="0" w:color="auto"/>
      </w:divBdr>
    </w:div>
    <w:div w:id="1458719857">
      <w:bodyDiv w:val="1"/>
      <w:marLeft w:val="0"/>
      <w:marRight w:val="0"/>
      <w:marTop w:val="0"/>
      <w:marBottom w:val="0"/>
      <w:divBdr>
        <w:top w:val="none" w:sz="0" w:space="0" w:color="auto"/>
        <w:left w:val="none" w:sz="0" w:space="0" w:color="auto"/>
        <w:bottom w:val="none" w:sz="0" w:space="0" w:color="auto"/>
        <w:right w:val="none" w:sz="0" w:space="0" w:color="auto"/>
      </w:divBdr>
    </w:div>
    <w:div w:id="1462310697">
      <w:bodyDiv w:val="1"/>
      <w:marLeft w:val="0"/>
      <w:marRight w:val="0"/>
      <w:marTop w:val="0"/>
      <w:marBottom w:val="0"/>
      <w:divBdr>
        <w:top w:val="none" w:sz="0" w:space="0" w:color="auto"/>
        <w:left w:val="none" w:sz="0" w:space="0" w:color="auto"/>
        <w:bottom w:val="none" w:sz="0" w:space="0" w:color="auto"/>
        <w:right w:val="none" w:sz="0" w:space="0" w:color="auto"/>
      </w:divBdr>
    </w:div>
    <w:div w:id="1462529269">
      <w:bodyDiv w:val="1"/>
      <w:marLeft w:val="0"/>
      <w:marRight w:val="0"/>
      <w:marTop w:val="0"/>
      <w:marBottom w:val="0"/>
      <w:divBdr>
        <w:top w:val="none" w:sz="0" w:space="0" w:color="auto"/>
        <w:left w:val="none" w:sz="0" w:space="0" w:color="auto"/>
        <w:bottom w:val="none" w:sz="0" w:space="0" w:color="auto"/>
        <w:right w:val="none" w:sz="0" w:space="0" w:color="auto"/>
      </w:divBdr>
    </w:div>
    <w:div w:id="1462918374">
      <w:bodyDiv w:val="1"/>
      <w:marLeft w:val="0"/>
      <w:marRight w:val="0"/>
      <w:marTop w:val="0"/>
      <w:marBottom w:val="0"/>
      <w:divBdr>
        <w:top w:val="none" w:sz="0" w:space="0" w:color="auto"/>
        <w:left w:val="none" w:sz="0" w:space="0" w:color="auto"/>
        <w:bottom w:val="none" w:sz="0" w:space="0" w:color="auto"/>
        <w:right w:val="none" w:sz="0" w:space="0" w:color="auto"/>
      </w:divBdr>
    </w:div>
    <w:div w:id="1467161388">
      <w:bodyDiv w:val="1"/>
      <w:marLeft w:val="0"/>
      <w:marRight w:val="0"/>
      <w:marTop w:val="0"/>
      <w:marBottom w:val="0"/>
      <w:divBdr>
        <w:top w:val="none" w:sz="0" w:space="0" w:color="auto"/>
        <w:left w:val="none" w:sz="0" w:space="0" w:color="auto"/>
        <w:bottom w:val="none" w:sz="0" w:space="0" w:color="auto"/>
        <w:right w:val="none" w:sz="0" w:space="0" w:color="auto"/>
      </w:divBdr>
    </w:div>
    <w:div w:id="1469198998">
      <w:bodyDiv w:val="1"/>
      <w:marLeft w:val="0"/>
      <w:marRight w:val="0"/>
      <w:marTop w:val="0"/>
      <w:marBottom w:val="0"/>
      <w:divBdr>
        <w:top w:val="none" w:sz="0" w:space="0" w:color="auto"/>
        <w:left w:val="none" w:sz="0" w:space="0" w:color="auto"/>
        <w:bottom w:val="none" w:sz="0" w:space="0" w:color="auto"/>
        <w:right w:val="none" w:sz="0" w:space="0" w:color="auto"/>
      </w:divBdr>
    </w:div>
    <w:div w:id="1473135303">
      <w:bodyDiv w:val="1"/>
      <w:marLeft w:val="0"/>
      <w:marRight w:val="0"/>
      <w:marTop w:val="0"/>
      <w:marBottom w:val="0"/>
      <w:divBdr>
        <w:top w:val="none" w:sz="0" w:space="0" w:color="auto"/>
        <w:left w:val="none" w:sz="0" w:space="0" w:color="auto"/>
        <w:bottom w:val="none" w:sz="0" w:space="0" w:color="auto"/>
        <w:right w:val="none" w:sz="0" w:space="0" w:color="auto"/>
      </w:divBdr>
    </w:div>
    <w:div w:id="1473907353">
      <w:bodyDiv w:val="1"/>
      <w:marLeft w:val="0"/>
      <w:marRight w:val="0"/>
      <w:marTop w:val="0"/>
      <w:marBottom w:val="0"/>
      <w:divBdr>
        <w:top w:val="none" w:sz="0" w:space="0" w:color="auto"/>
        <w:left w:val="none" w:sz="0" w:space="0" w:color="auto"/>
        <w:bottom w:val="none" w:sz="0" w:space="0" w:color="auto"/>
        <w:right w:val="none" w:sz="0" w:space="0" w:color="auto"/>
      </w:divBdr>
    </w:div>
    <w:div w:id="1477212747">
      <w:bodyDiv w:val="1"/>
      <w:marLeft w:val="0"/>
      <w:marRight w:val="0"/>
      <w:marTop w:val="0"/>
      <w:marBottom w:val="0"/>
      <w:divBdr>
        <w:top w:val="none" w:sz="0" w:space="0" w:color="auto"/>
        <w:left w:val="none" w:sz="0" w:space="0" w:color="auto"/>
        <w:bottom w:val="none" w:sz="0" w:space="0" w:color="auto"/>
        <w:right w:val="none" w:sz="0" w:space="0" w:color="auto"/>
      </w:divBdr>
    </w:div>
    <w:div w:id="1490094006">
      <w:bodyDiv w:val="1"/>
      <w:marLeft w:val="0"/>
      <w:marRight w:val="0"/>
      <w:marTop w:val="0"/>
      <w:marBottom w:val="0"/>
      <w:divBdr>
        <w:top w:val="none" w:sz="0" w:space="0" w:color="auto"/>
        <w:left w:val="none" w:sz="0" w:space="0" w:color="auto"/>
        <w:bottom w:val="none" w:sz="0" w:space="0" w:color="auto"/>
        <w:right w:val="none" w:sz="0" w:space="0" w:color="auto"/>
      </w:divBdr>
    </w:div>
    <w:div w:id="1514881398">
      <w:bodyDiv w:val="1"/>
      <w:marLeft w:val="0"/>
      <w:marRight w:val="0"/>
      <w:marTop w:val="0"/>
      <w:marBottom w:val="0"/>
      <w:divBdr>
        <w:top w:val="none" w:sz="0" w:space="0" w:color="auto"/>
        <w:left w:val="none" w:sz="0" w:space="0" w:color="auto"/>
        <w:bottom w:val="none" w:sz="0" w:space="0" w:color="auto"/>
        <w:right w:val="none" w:sz="0" w:space="0" w:color="auto"/>
      </w:divBdr>
    </w:div>
    <w:div w:id="1524367916">
      <w:bodyDiv w:val="1"/>
      <w:marLeft w:val="0"/>
      <w:marRight w:val="0"/>
      <w:marTop w:val="0"/>
      <w:marBottom w:val="0"/>
      <w:divBdr>
        <w:top w:val="none" w:sz="0" w:space="0" w:color="auto"/>
        <w:left w:val="none" w:sz="0" w:space="0" w:color="auto"/>
        <w:bottom w:val="none" w:sz="0" w:space="0" w:color="auto"/>
        <w:right w:val="none" w:sz="0" w:space="0" w:color="auto"/>
      </w:divBdr>
    </w:div>
    <w:div w:id="1535344508">
      <w:bodyDiv w:val="1"/>
      <w:marLeft w:val="0"/>
      <w:marRight w:val="0"/>
      <w:marTop w:val="0"/>
      <w:marBottom w:val="0"/>
      <w:divBdr>
        <w:top w:val="none" w:sz="0" w:space="0" w:color="auto"/>
        <w:left w:val="none" w:sz="0" w:space="0" w:color="auto"/>
        <w:bottom w:val="none" w:sz="0" w:space="0" w:color="auto"/>
        <w:right w:val="none" w:sz="0" w:space="0" w:color="auto"/>
      </w:divBdr>
    </w:div>
    <w:div w:id="1535849666">
      <w:bodyDiv w:val="1"/>
      <w:marLeft w:val="0"/>
      <w:marRight w:val="0"/>
      <w:marTop w:val="0"/>
      <w:marBottom w:val="0"/>
      <w:divBdr>
        <w:top w:val="none" w:sz="0" w:space="0" w:color="auto"/>
        <w:left w:val="none" w:sz="0" w:space="0" w:color="auto"/>
        <w:bottom w:val="none" w:sz="0" w:space="0" w:color="auto"/>
        <w:right w:val="none" w:sz="0" w:space="0" w:color="auto"/>
      </w:divBdr>
    </w:div>
    <w:div w:id="1536772742">
      <w:bodyDiv w:val="1"/>
      <w:marLeft w:val="0"/>
      <w:marRight w:val="0"/>
      <w:marTop w:val="0"/>
      <w:marBottom w:val="0"/>
      <w:divBdr>
        <w:top w:val="none" w:sz="0" w:space="0" w:color="auto"/>
        <w:left w:val="none" w:sz="0" w:space="0" w:color="auto"/>
        <w:bottom w:val="none" w:sz="0" w:space="0" w:color="auto"/>
        <w:right w:val="none" w:sz="0" w:space="0" w:color="auto"/>
      </w:divBdr>
    </w:div>
    <w:div w:id="1540163110">
      <w:bodyDiv w:val="1"/>
      <w:marLeft w:val="0"/>
      <w:marRight w:val="0"/>
      <w:marTop w:val="0"/>
      <w:marBottom w:val="0"/>
      <w:divBdr>
        <w:top w:val="none" w:sz="0" w:space="0" w:color="auto"/>
        <w:left w:val="none" w:sz="0" w:space="0" w:color="auto"/>
        <w:bottom w:val="none" w:sz="0" w:space="0" w:color="auto"/>
        <w:right w:val="none" w:sz="0" w:space="0" w:color="auto"/>
      </w:divBdr>
    </w:div>
    <w:div w:id="1549948761">
      <w:bodyDiv w:val="1"/>
      <w:marLeft w:val="0"/>
      <w:marRight w:val="0"/>
      <w:marTop w:val="0"/>
      <w:marBottom w:val="0"/>
      <w:divBdr>
        <w:top w:val="none" w:sz="0" w:space="0" w:color="auto"/>
        <w:left w:val="none" w:sz="0" w:space="0" w:color="auto"/>
        <w:bottom w:val="none" w:sz="0" w:space="0" w:color="auto"/>
        <w:right w:val="none" w:sz="0" w:space="0" w:color="auto"/>
      </w:divBdr>
    </w:div>
    <w:div w:id="1552302776">
      <w:bodyDiv w:val="1"/>
      <w:marLeft w:val="0"/>
      <w:marRight w:val="0"/>
      <w:marTop w:val="0"/>
      <w:marBottom w:val="0"/>
      <w:divBdr>
        <w:top w:val="none" w:sz="0" w:space="0" w:color="auto"/>
        <w:left w:val="none" w:sz="0" w:space="0" w:color="auto"/>
        <w:bottom w:val="none" w:sz="0" w:space="0" w:color="auto"/>
        <w:right w:val="none" w:sz="0" w:space="0" w:color="auto"/>
      </w:divBdr>
    </w:div>
    <w:div w:id="1552885217">
      <w:bodyDiv w:val="1"/>
      <w:marLeft w:val="0"/>
      <w:marRight w:val="0"/>
      <w:marTop w:val="0"/>
      <w:marBottom w:val="0"/>
      <w:divBdr>
        <w:top w:val="none" w:sz="0" w:space="0" w:color="auto"/>
        <w:left w:val="none" w:sz="0" w:space="0" w:color="auto"/>
        <w:bottom w:val="none" w:sz="0" w:space="0" w:color="auto"/>
        <w:right w:val="none" w:sz="0" w:space="0" w:color="auto"/>
      </w:divBdr>
    </w:div>
    <w:div w:id="1577478577">
      <w:bodyDiv w:val="1"/>
      <w:marLeft w:val="0"/>
      <w:marRight w:val="0"/>
      <w:marTop w:val="0"/>
      <w:marBottom w:val="0"/>
      <w:divBdr>
        <w:top w:val="none" w:sz="0" w:space="0" w:color="auto"/>
        <w:left w:val="none" w:sz="0" w:space="0" w:color="auto"/>
        <w:bottom w:val="none" w:sz="0" w:space="0" w:color="auto"/>
        <w:right w:val="none" w:sz="0" w:space="0" w:color="auto"/>
      </w:divBdr>
    </w:div>
    <w:div w:id="1578514064">
      <w:bodyDiv w:val="1"/>
      <w:marLeft w:val="0"/>
      <w:marRight w:val="0"/>
      <w:marTop w:val="0"/>
      <w:marBottom w:val="0"/>
      <w:divBdr>
        <w:top w:val="none" w:sz="0" w:space="0" w:color="auto"/>
        <w:left w:val="none" w:sz="0" w:space="0" w:color="auto"/>
        <w:bottom w:val="none" w:sz="0" w:space="0" w:color="auto"/>
        <w:right w:val="none" w:sz="0" w:space="0" w:color="auto"/>
      </w:divBdr>
    </w:div>
    <w:div w:id="1606890129">
      <w:bodyDiv w:val="1"/>
      <w:marLeft w:val="0"/>
      <w:marRight w:val="0"/>
      <w:marTop w:val="0"/>
      <w:marBottom w:val="0"/>
      <w:divBdr>
        <w:top w:val="none" w:sz="0" w:space="0" w:color="auto"/>
        <w:left w:val="none" w:sz="0" w:space="0" w:color="auto"/>
        <w:bottom w:val="none" w:sz="0" w:space="0" w:color="auto"/>
        <w:right w:val="none" w:sz="0" w:space="0" w:color="auto"/>
      </w:divBdr>
    </w:div>
    <w:div w:id="1610430963">
      <w:bodyDiv w:val="1"/>
      <w:marLeft w:val="0"/>
      <w:marRight w:val="0"/>
      <w:marTop w:val="0"/>
      <w:marBottom w:val="0"/>
      <w:divBdr>
        <w:top w:val="none" w:sz="0" w:space="0" w:color="auto"/>
        <w:left w:val="none" w:sz="0" w:space="0" w:color="auto"/>
        <w:bottom w:val="none" w:sz="0" w:space="0" w:color="auto"/>
        <w:right w:val="none" w:sz="0" w:space="0" w:color="auto"/>
      </w:divBdr>
    </w:div>
    <w:div w:id="1625386076">
      <w:bodyDiv w:val="1"/>
      <w:marLeft w:val="0"/>
      <w:marRight w:val="0"/>
      <w:marTop w:val="0"/>
      <w:marBottom w:val="0"/>
      <w:divBdr>
        <w:top w:val="none" w:sz="0" w:space="0" w:color="auto"/>
        <w:left w:val="none" w:sz="0" w:space="0" w:color="auto"/>
        <w:bottom w:val="none" w:sz="0" w:space="0" w:color="auto"/>
        <w:right w:val="none" w:sz="0" w:space="0" w:color="auto"/>
      </w:divBdr>
    </w:div>
    <w:div w:id="1637107506">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1640457375">
      <w:bodyDiv w:val="1"/>
      <w:marLeft w:val="0"/>
      <w:marRight w:val="0"/>
      <w:marTop w:val="0"/>
      <w:marBottom w:val="0"/>
      <w:divBdr>
        <w:top w:val="none" w:sz="0" w:space="0" w:color="auto"/>
        <w:left w:val="none" w:sz="0" w:space="0" w:color="auto"/>
        <w:bottom w:val="none" w:sz="0" w:space="0" w:color="auto"/>
        <w:right w:val="none" w:sz="0" w:space="0" w:color="auto"/>
      </w:divBdr>
    </w:div>
    <w:div w:id="1648390499">
      <w:bodyDiv w:val="1"/>
      <w:marLeft w:val="0"/>
      <w:marRight w:val="0"/>
      <w:marTop w:val="0"/>
      <w:marBottom w:val="0"/>
      <w:divBdr>
        <w:top w:val="none" w:sz="0" w:space="0" w:color="auto"/>
        <w:left w:val="none" w:sz="0" w:space="0" w:color="auto"/>
        <w:bottom w:val="none" w:sz="0" w:space="0" w:color="auto"/>
        <w:right w:val="none" w:sz="0" w:space="0" w:color="auto"/>
      </w:divBdr>
    </w:div>
    <w:div w:id="1652254360">
      <w:bodyDiv w:val="1"/>
      <w:marLeft w:val="0"/>
      <w:marRight w:val="0"/>
      <w:marTop w:val="0"/>
      <w:marBottom w:val="0"/>
      <w:divBdr>
        <w:top w:val="none" w:sz="0" w:space="0" w:color="auto"/>
        <w:left w:val="none" w:sz="0" w:space="0" w:color="auto"/>
        <w:bottom w:val="none" w:sz="0" w:space="0" w:color="auto"/>
        <w:right w:val="none" w:sz="0" w:space="0" w:color="auto"/>
      </w:divBdr>
    </w:div>
    <w:div w:id="1653097861">
      <w:bodyDiv w:val="1"/>
      <w:marLeft w:val="0"/>
      <w:marRight w:val="0"/>
      <w:marTop w:val="0"/>
      <w:marBottom w:val="0"/>
      <w:divBdr>
        <w:top w:val="none" w:sz="0" w:space="0" w:color="auto"/>
        <w:left w:val="none" w:sz="0" w:space="0" w:color="auto"/>
        <w:bottom w:val="none" w:sz="0" w:space="0" w:color="auto"/>
        <w:right w:val="none" w:sz="0" w:space="0" w:color="auto"/>
      </w:divBdr>
    </w:div>
    <w:div w:id="1655839163">
      <w:bodyDiv w:val="1"/>
      <w:marLeft w:val="0"/>
      <w:marRight w:val="0"/>
      <w:marTop w:val="0"/>
      <w:marBottom w:val="0"/>
      <w:divBdr>
        <w:top w:val="none" w:sz="0" w:space="0" w:color="auto"/>
        <w:left w:val="none" w:sz="0" w:space="0" w:color="auto"/>
        <w:bottom w:val="none" w:sz="0" w:space="0" w:color="auto"/>
        <w:right w:val="none" w:sz="0" w:space="0" w:color="auto"/>
      </w:divBdr>
    </w:div>
    <w:div w:id="1667594339">
      <w:bodyDiv w:val="1"/>
      <w:marLeft w:val="0"/>
      <w:marRight w:val="0"/>
      <w:marTop w:val="0"/>
      <w:marBottom w:val="0"/>
      <w:divBdr>
        <w:top w:val="none" w:sz="0" w:space="0" w:color="auto"/>
        <w:left w:val="none" w:sz="0" w:space="0" w:color="auto"/>
        <w:bottom w:val="none" w:sz="0" w:space="0" w:color="auto"/>
        <w:right w:val="none" w:sz="0" w:space="0" w:color="auto"/>
      </w:divBdr>
    </w:div>
    <w:div w:id="1679382328">
      <w:bodyDiv w:val="1"/>
      <w:marLeft w:val="0"/>
      <w:marRight w:val="0"/>
      <w:marTop w:val="0"/>
      <w:marBottom w:val="0"/>
      <w:divBdr>
        <w:top w:val="none" w:sz="0" w:space="0" w:color="auto"/>
        <w:left w:val="none" w:sz="0" w:space="0" w:color="auto"/>
        <w:bottom w:val="none" w:sz="0" w:space="0" w:color="auto"/>
        <w:right w:val="none" w:sz="0" w:space="0" w:color="auto"/>
      </w:divBdr>
    </w:div>
    <w:div w:id="1720937769">
      <w:bodyDiv w:val="1"/>
      <w:marLeft w:val="0"/>
      <w:marRight w:val="0"/>
      <w:marTop w:val="0"/>
      <w:marBottom w:val="0"/>
      <w:divBdr>
        <w:top w:val="none" w:sz="0" w:space="0" w:color="auto"/>
        <w:left w:val="none" w:sz="0" w:space="0" w:color="auto"/>
        <w:bottom w:val="none" w:sz="0" w:space="0" w:color="auto"/>
        <w:right w:val="none" w:sz="0" w:space="0" w:color="auto"/>
      </w:divBdr>
    </w:div>
    <w:div w:id="1725982296">
      <w:bodyDiv w:val="1"/>
      <w:marLeft w:val="0"/>
      <w:marRight w:val="0"/>
      <w:marTop w:val="0"/>
      <w:marBottom w:val="0"/>
      <w:divBdr>
        <w:top w:val="none" w:sz="0" w:space="0" w:color="auto"/>
        <w:left w:val="none" w:sz="0" w:space="0" w:color="auto"/>
        <w:bottom w:val="none" w:sz="0" w:space="0" w:color="auto"/>
        <w:right w:val="none" w:sz="0" w:space="0" w:color="auto"/>
      </w:divBdr>
    </w:div>
    <w:div w:id="1733120124">
      <w:bodyDiv w:val="1"/>
      <w:marLeft w:val="0"/>
      <w:marRight w:val="0"/>
      <w:marTop w:val="0"/>
      <w:marBottom w:val="0"/>
      <w:divBdr>
        <w:top w:val="none" w:sz="0" w:space="0" w:color="auto"/>
        <w:left w:val="none" w:sz="0" w:space="0" w:color="auto"/>
        <w:bottom w:val="none" w:sz="0" w:space="0" w:color="auto"/>
        <w:right w:val="none" w:sz="0" w:space="0" w:color="auto"/>
      </w:divBdr>
    </w:div>
    <w:div w:id="1733187498">
      <w:bodyDiv w:val="1"/>
      <w:marLeft w:val="0"/>
      <w:marRight w:val="0"/>
      <w:marTop w:val="0"/>
      <w:marBottom w:val="0"/>
      <w:divBdr>
        <w:top w:val="none" w:sz="0" w:space="0" w:color="auto"/>
        <w:left w:val="none" w:sz="0" w:space="0" w:color="auto"/>
        <w:bottom w:val="none" w:sz="0" w:space="0" w:color="auto"/>
        <w:right w:val="none" w:sz="0" w:space="0" w:color="auto"/>
      </w:divBdr>
    </w:div>
    <w:div w:id="1735809655">
      <w:bodyDiv w:val="1"/>
      <w:marLeft w:val="0"/>
      <w:marRight w:val="0"/>
      <w:marTop w:val="0"/>
      <w:marBottom w:val="0"/>
      <w:divBdr>
        <w:top w:val="none" w:sz="0" w:space="0" w:color="auto"/>
        <w:left w:val="none" w:sz="0" w:space="0" w:color="auto"/>
        <w:bottom w:val="none" w:sz="0" w:space="0" w:color="auto"/>
        <w:right w:val="none" w:sz="0" w:space="0" w:color="auto"/>
      </w:divBdr>
    </w:div>
    <w:div w:id="1743061490">
      <w:bodyDiv w:val="1"/>
      <w:marLeft w:val="0"/>
      <w:marRight w:val="0"/>
      <w:marTop w:val="0"/>
      <w:marBottom w:val="0"/>
      <w:divBdr>
        <w:top w:val="none" w:sz="0" w:space="0" w:color="auto"/>
        <w:left w:val="none" w:sz="0" w:space="0" w:color="auto"/>
        <w:bottom w:val="none" w:sz="0" w:space="0" w:color="auto"/>
        <w:right w:val="none" w:sz="0" w:space="0" w:color="auto"/>
      </w:divBdr>
    </w:div>
    <w:div w:id="1745376399">
      <w:bodyDiv w:val="1"/>
      <w:marLeft w:val="0"/>
      <w:marRight w:val="0"/>
      <w:marTop w:val="0"/>
      <w:marBottom w:val="0"/>
      <w:divBdr>
        <w:top w:val="none" w:sz="0" w:space="0" w:color="auto"/>
        <w:left w:val="none" w:sz="0" w:space="0" w:color="auto"/>
        <w:bottom w:val="none" w:sz="0" w:space="0" w:color="auto"/>
        <w:right w:val="none" w:sz="0" w:space="0" w:color="auto"/>
      </w:divBdr>
    </w:div>
    <w:div w:id="1746224242">
      <w:bodyDiv w:val="1"/>
      <w:marLeft w:val="0"/>
      <w:marRight w:val="0"/>
      <w:marTop w:val="0"/>
      <w:marBottom w:val="0"/>
      <w:divBdr>
        <w:top w:val="none" w:sz="0" w:space="0" w:color="auto"/>
        <w:left w:val="none" w:sz="0" w:space="0" w:color="auto"/>
        <w:bottom w:val="none" w:sz="0" w:space="0" w:color="auto"/>
        <w:right w:val="none" w:sz="0" w:space="0" w:color="auto"/>
      </w:divBdr>
    </w:div>
    <w:div w:id="1751583441">
      <w:bodyDiv w:val="1"/>
      <w:marLeft w:val="0"/>
      <w:marRight w:val="0"/>
      <w:marTop w:val="0"/>
      <w:marBottom w:val="0"/>
      <w:divBdr>
        <w:top w:val="none" w:sz="0" w:space="0" w:color="auto"/>
        <w:left w:val="none" w:sz="0" w:space="0" w:color="auto"/>
        <w:bottom w:val="none" w:sz="0" w:space="0" w:color="auto"/>
        <w:right w:val="none" w:sz="0" w:space="0" w:color="auto"/>
      </w:divBdr>
    </w:div>
    <w:div w:id="1757509261">
      <w:bodyDiv w:val="1"/>
      <w:marLeft w:val="0"/>
      <w:marRight w:val="0"/>
      <w:marTop w:val="0"/>
      <w:marBottom w:val="0"/>
      <w:divBdr>
        <w:top w:val="none" w:sz="0" w:space="0" w:color="auto"/>
        <w:left w:val="none" w:sz="0" w:space="0" w:color="auto"/>
        <w:bottom w:val="none" w:sz="0" w:space="0" w:color="auto"/>
        <w:right w:val="none" w:sz="0" w:space="0" w:color="auto"/>
      </w:divBdr>
    </w:div>
    <w:div w:id="1761679713">
      <w:bodyDiv w:val="1"/>
      <w:marLeft w:val="0"/>
      <w:marRight w:val="0"/>
      <w:marTop w:val="0"/>
      <w:marBottom w:val="0"/>
      <w:divBdr>
        <w:top w:val="none" w:sz="0" w:space="0" w:color="auto"/>
        <w:left w:val="none" w:sz="0" w:space="0" w:color="auto"/>
        <w:bottom w:val="none" w:sz="0" w:space="0" w:color="auto"/>
        <w:right w:val="none" w:sz="0" w:space="0" w:color="auto"/>
      </w:divBdr>
    </w:div>
    <w:div w:id="1773471333">
      <w:bodyDiv w:val="1"/>
      <w:marLeft w:val="0"/>
      <w:marRight w:val="0"/>
      <w:marTop w:val="0"/>
      <w:marBottom w:val="0"/>
      <w:divBdr>
        <w:top w:val="none" w:sz="0" w:space="0" w:color="auto"/>
        <w:left w:val="none" w:sz="0" w:space="0" w:color="auto"/>
        <w:bottom w:val="none" w:sz="0" w:space="0" w:color="auto"/>
        <w:right w:val="none" w:sz="0" w:space="0" w:color="auto"/>
      </w:divBdr>
    </w:div>
    <w:div w:id="1773667366">
      <w:bodyDiv w:val="1"/>
      <w:marLeft w:val="0"/>
      <w:marRight w:val="0"/>
      <w:marTop w:val="0"/>
      <w:marBottom w:val="0"/>
      <w:divBdr>
        <w:top w:val="none" w:sz="0" w:space="0" w:color="auto"/>
        <w:left w:val="none" w:sz="0" w:space="0" w:color="auto"/>
        <w:bottom w:val="none" w:sz="0" w:space="0" w:color="auto"/>
        <w:right w:val="none" w:sz="0" w:space="0" w:color="auto"/>
      </w:divBdr>
    </w:div>
    <w:div w:id="1775049050">
      <w:bodyDiv w:val="1"/>
      <w:marLeft w:val="0"/>
      <w:marRight w:val="0"/>
      <w:marTop w:val="0"/>
      <w:marBottom w:val="0"/>
      <w:divBdr>
        <w:top w:val="none" w:sz="0" w:space="0" w:color="auto"/>
        <w:left w:val="none" w:sz="0" w:space="0" w:color="auto"/>
        <w:bottom w:val="none" w:sz="0" w:space="0" w:color="auto"/>
        <w:right w:val="none" w:sz="0" w:space="0" w:color="auto"/>
      </w:divBdr>
    </w:div>
    <w:div w:id="1777014604">
      <w:bodyDiv w:val="1"/>
      <w:marLeft w:val="0"/>
      <w:marRight w:val="0"/>
      <w:marTop w:val="0"/>
      <w:marBottom w:val="0"/>
      <w:divBdr>
        <w:top w:val="none" w:sz="0" w:space="0" w:color="auto"/>
        <w:left w:val="none" w:sz="0" w:space="0" w:color="auto"/>
        <w:bottom w:val="none" w:sz="0" w:space="0" w:color="auto"/>
        <w:right w:val="none" w:sz="0" w:space="0" w:color="auto"/>
      </w:divBdr>
    </w:div>
    <w:div w:id="1780445861">
      <w:bodyDiv w:val="1"/>
      <w:marLeft w:val="0"/>
      <w:marRight w:val="0"/>
      <w:marTop w:val="0"/>
      <w:marBottom w:val="0"/>
      <w:divBdr>
        <w:top w:val="none" w:sz="0" w:space="0" w:color="auto"/>
        <w:left w:val="none" w:sz="0" w:space="0" w:color="auto"/>
        <w:bottom w:val="none" w:sz="0" w:space="0" w:color="auto"/>
        <w:right w:val="none" w:sz="0" w:space="0" w:color="auto"/>
      </w:divBdr>
    </w:div>
    <w:div w:id="1789540965">
      <w:bodyDiv w:val="1"/>
      <w:marLeft w:val="0"/>
      <w:marRight w:val="0"/>
      <w:marTop w:val="0"/>
      <w:marBottom w:val="0"/>
      <w:divBdr>
        <w:top w:val="none" w:sz="0" w:space="0" w:color="auto"/>
        <w:left w:val="none" w:sz="0" w:space="0" w:color="auto"/>
        <w:bottom w:val="none" w:sz="0" w:space="0" w:color="auto"/>
        <w:right w:val="none" w:sz="0" w:space="0" w:color="auto"/>
      </w:divBdr>
    </w:div>
    <w:div w:id="1801723755">
      <w:bodyDiv w:val="1"/>
      <w:marLeft w:val="0"/>
      <w:marRight w:val="0"/>
      <w:marTop w:val="0"/>
      <w:marBottom w:val="0"/>
      <w:divBdr>
        <w:top w:val="none" w:sz="0" w:space="0" w:color="auto"/>
        <w:left w:val="none" w:sz="0" w:space="0" w:color="auto"/>
        <w:bottom w:val="none" w:sz="0" w:space="0" w:color="auto"/>
        <w:right w:val="none" w:sz="0" w:space="0" w:color="auto"/>
      </w:divBdr>
    </w:div>
    <w:div w:id="1803812937">
      <w:bodyDiv w:val="1"/>
      <w:marLeft w:val="0"/>
      <w:marRight w:val="0"/>
      <w:marTop w:val="0"/>
      <w:marBottom w:val="0"/>
      <w:divBdr>
        <w:top w:val="none" w:sz="0" w:space="0" w:color="auto"/>
        <w:left w:val="none" w:sz="0" w:space="0" w:color="auto"/>
        <w:bottom w:val="none" w:sz="0" w:space="0" w:color="auto"/>
        <w:right w:val="none" w:sz="0" w:space="0" w:color="auto"/>
      </w:divBdr>
    </w:div>
    <w:div w:id="1808694606">
      <w:bodyDiv w:val="1"/>
      <w:marLeft w:val="0"/>
      <w:marRight w:val="0"/>
      <w:marTop w:val="0"/>
      <w:marBottom w:val="0"/>
      <w:divBdr>
        <w:top w:val="none" w:sz="0" w:space="0" w:color="auto"/>
        <w:left w:val="none" w:sz="0" w:space="0" w:color="auto"/>
        <w:bottom w:val="none" w:sz="0" w:space="0" w:color="auto"/>
        <w:right w:val="none" w:sz="0" w:space="0" w:color="auto"/>
      </w:divBdr>
    </w:div>
    <w:div w:id="1814905329">
      <w:bodyDiv w:val="1"/>
      <w:marLeft w:val="0"/>
      <w:marRight w:val="0"/>
      <w:marTop w:val="0"/>
      <w:marBottom w:val="0"/>
      <w:divBdr>
        <w:top w:val="none" w:sz="0" w:space="0" w:color="auto"/>
        <w:left w:val="none" w:sz="0" w:space="0" w:color="auto"/>
        <w:bottom w:val="none" w:sz="0" w:space="0" w:color="auto"/>
        <w:right w:val="none" w:sz="0" w:space="0" w:color="auto"/>
      </w:divBdr>
    </w:div>
    <w:div w:id="1835946376">
      <w:bodyDiv w:val="1"/>
      <w:marLeft w:val="0"/>
      <w:marRight w:val="0"/>
      <w:marTop w:val="0"/>
      <w:marBottom w:val="0"/>
      <w:divBdr>
        <w:top w:val="none" w:sz="0" w:space="0" w:color="auto"/>
        <w:left w:val="none" w:sz="0" w:space="0" w:color="auto"/>
        <w:bottom w:val="none" w:sz="0" w:space="0" w:color="auto"/>
        <w:right w:val="none" w:sz="0" w:space="0" w:color="auto"/>
      </w:divBdr>
    </w:div>
    <w:div w:id="1846673827">
      <w:bodyDiv w:val="1"/>
      <w:marLeft w:val="0"/>
      <w:marRight w:val="0"/>
      <w:marTop w:val="0"/>
      <w:marBottom w:val="0"/>
      <w:divBdr>
        <w:top w:val="none" w:sz="0" w:space="0" w:color="auto"/>
        <w:left w:val="none" w:sz="0" w:space="0" w:color="auto"/>
        <w:bottom w:val="none" w:sz="0" w:space="0" w:color="auto"/>
        <w:right w:val="none" w:sz="0" w:space="0" w:color="auto"/>
      </w:divBdr>
    </w:div>
    <w:div w:id="1857229358">
      <w:bodyDiv w:val="1"/>
      <w:marLeft w:val="0"/>
      <w:marRight w:val="0"/>
      <w:marTop w:val="0"/>
      <w:marBottom w:val="0"/>
      <w:divBdr>
        <w:top w:val="none" w:sz="0" w:space="0" w:color="auto"/>
        <w:left w:val="none" w:sz="0" w:space="0" w:color="auto"/>
        <w:bottom w:val="none" w:sz="0" w:space="0" w:color="auto"/>
        <w:right w:val="none" w:sz="0" w:space="0" w:color="auto"/>
      </w:divBdr>
    </w:div>
    <w:div w:id="1860972177">
      <w:bodyDiv w:val="1"/>
      <w:marLeft w:val="0"/>
      <w:marRight w:val="0"/>
      <w:marTop w:val="0"/>
      <w:marBottom w:val="0"/>
      <w:divBdr>
        <w:top w:val="none" w:sz="0" w:space="0" w:color="auto"/>
        <w:left w:val="none" w:sz="0" w:space="0" w:color="auto"/>
        <w:bottom w:val="none" w:sz="0" w:space="0" w:color="auto"/>
        <w:right w:val="none" w:sz="0" w:space="0" w:color="auto"/>
      </w:divBdr>
    </w:div>
    <w:div w:id="1865896947">
      <w:bodyDiv w:val="1"/>
      <w:marLeft w:val="0"/>
      <w:marRight w:val="0"/>
      <w:marTop w:val="0"/>
      <w:marBottom w:val="0"/>
      <w:divBdr>
        <w:top w:val="none" w:sz="0" w:space="0" w:color="auto"/>
        <w:left w:val="none" w:sz="0" w:space="0" w:color="auto"/>
        <w:bottom w:val="none" w:sz="0" w:space="0" w:color="auto"/>
        <w:right w:val="none" w:sz="0" w:space="0" w:color="auto"/>
      </w:divBdr>
    </w:div>
    <w:div w:id="1869760588">
      <w:bodyDiv w:val="1"/>
      <w:marLeft w:val="0"/>
      <w:marRight w:val="0"/>
      <w:marTop w:val="0"/>
      <w:marBottom w:val="0"/>
      <w:divBdr>
        <w:top w:val="none" w:sz="0" w:space="0" w:color="auto"/>
        <w:left w:val="none" w:sz="0" w:space="0" w:color="auto"/>
        <w:bottom w:val="none" w:sz="0" w:space="0" w:color="auto"/>
        <w:right w:val="none" w:sz="0" w:space="0" w:color="auto"/>
      </w:divBdr>
    </w:div>
    <w:div w:id="1874343993">
      <w:bodyDiv w:val="1"/>
      <w:marLeft w:val="0"/>
      <w:marRight w:val="0"/>
      <w:marTop w:val="0"/>
      <w:marBottom w:val="0"/>
      <w:divBdr>
        <w:top w:val="none" w:sz="0" w:space="0" w:color="auto"/>
        <w:left w:val="none" w:sz="0" w:space="0" w:color="auto"/>
        <w:bottom w:val="none" w:sz="0" w:space="0" w:color="auto"/>
        <w:right w:val="none" w:sz="0" w:space="0" w:color="auto"/>
      </w:divBdr>
    </w:div>
    <w:div w:id="1875381693">
      <w:bodyDiv w:val="1"/>
      <w:marLeft w:val="0"/>
      <w:marRight w:val="0"/>
      <w:marTop w:val="0"/>
      <w:marBottom w:val="0"/>
      <w:divBdr>
        <w:top w:val="none" w:sz="0" w:space="0" w:color="auto"/>
        <w:left w:val="none" w:sz="0" w:space="0" w:color="auto"/>
        <w:bottom w:val="none" w:sz="0" w:space="0" w:color="auto"/>
        <w:right w:val="none" w:sz="0" w:space="0" w:color="auto"/>
      </w:divBdr>
    </w:div>
    <w:div w:id="1878472415">
      <w:bodyDiv w:val="1"/>
      <w:marLeft w:val="0"/>
      <w:marRight w:val="0"/>
      <w:marTop w:val="0"/>
      <w:marBottom w:val="0"/>
      <w:divBdr>
        <w:top w:val="none" w:sz="0" w:space="0" w:color="auto"/>
        <w:left w:val="none" w:sz="0" w:space="0" w:color="auto"/>
        <w:bottom w:val="none" w:sz="0" w:space="0" w:color="auto"/>
        <w:right w:val="none" w:sz="0" w:space="0" w:color="auto"/>
      </w:divBdr>
    </w:div>
    <w:div w:id="1886404637">
      <w:bodyDiv w:val="1"/>
      <w:marLeft w:val="0"/>
      <w:marRight w:val="0"/>
      <w:marTop w:val="0"/>
      <w:marBottom w:val="0"/>
      <w:divBdr>
        <w:top w:val="none" w:sz="0" w:space="0" w:color="auto"/>
        <w:left w:val="none" w:sz="0" w:space="0" w:color="auto"/>
        <w:bottom w:val="none" w:sz="0" w:space="0" w:color="auto"/>
        <w:right w:val="none" w:sz="0" w:space="0" w:color="auto"/>
      </w:divBdr>
    </w:div>
    <w:div w:id="1888568432">
      <w:bodyDiv w:val="1"/>
      <w:marLeft w:val="0"/>
      <w:marRight w:val="0"/>
      <w:marTop w:val="0"/>
      <w:marBottom w:val="0"/>
      <w:divBdr>
        <w:top w:val="none" w:sz="0" w:space="0" w:color="auto"/>
        <w:left w:val="none" w:sz="0" w:space="0" w:color="auto"/>
        <w:bottom w:val="none" w:sz="0" w:space="0" w:color="auto"/>
        <w:right w:val="none" w:sz="0" w:space="0" w:color="auto"/>
      </w:divBdr>
    </w:div>
    <w:div w:id="1888642636">
      <w:bodyDiv w:val="1"/>
      <w:marLeft w:val="0"/>
      <w:marRight w:val="0"/>
      <w:marTop w:val="0"/>
      <w:marBottom w:val="0"/>
      <w:divBdr>
        <w:top w:val="none" w:sz="0" w:space="0" w:color="auto"/>
        <w:left w:val="none" w:sz="0" w:space="0" w:color="auto"/>
        <w:bottom w:val="none" w:sz="0" w:space="0" w:color="auto"/>
        <w:right w:val="none" w:sz="0" w:space="0" w:color="auto"/>
      </w:divBdr>
    </w:div>
    <w:div w:id="1897887790">
      <w:bodyDiv w:val="1"/>
      <w:marLeft w:val="0"/>
      <w:marRight w:val="0"/>
      <w:marTop w:val="0"/>
      <w:marBottom w:val="0"/>
      <w:divBdr>
        <w:top w:val="none" w:sz="0" w:space="0" w:color="auto"/>
        <w:left w:val="none" w:sz="0" w:space="0" w:color="auto"/>
        <w:bottom w:val="none" w:sz="0" w:space="0" w:color="auto"/>
        <w:right w:val="none" w:sz="0" w:space="0" w:color="auto"/>
      </w:divBdr>
    </w:div>
    <w:div w:id="1900044940">
      <w:bodyDiv w:val="1"/>
      <w:marLeft w:val="0"/>
      <w:marRight w:val="0"/>
      <w:marTop w:val="0"/>
      <w:marBottom w:val="0"/>
      <w:divBdr>
        <w:top w:val="none" w:sz="0" w:space="0" w:color="auto"/>
        <w:left w:val="none" w:sz="0" w:space="0" w:color="auto"/>
        <w:bottom w:val="none" w:sz="0" w:space="0" w:color="auto"/>
        <w:right w:val="none" w:sz="0" w:space="0" w:color="auto"/>
      </w:divBdr>
    </w:div>
    <w:div w:id="1905216710">
      <w:bodyDiv w:val="1"/>
      <w:marLeft w:val="0"/>
      <w:marRight w:val="0"/>
      <w:marTop w:val="0"/>
      <w:marBottom w:val="0"/>
      <w:divBdr>
        <w:top w:val="none" w:sz="0" w:space="0" w:color="auto"/>
        <w:left w:val="none" w:sz="0" w:space="0" w:color="auto"/>
        <w:bottom w:val="none" w:sz="0" w:space="0" w:color="auto"/>
        <w:right w:val="none" w:sz="0" w:space="0" w:color="auto"/>
      </w:divBdr>
    </w:div>
    <w:div w:id="1915123518">
      <w:bodyDiv w:val="1"/>
      <w:marLeft w:val="0"/>
      <w:marRight w:val="0"/>
      <w:marTop w:val="0"/>
      <w:marBottom w:val="0"/>
      <w:divBdr>
        <w:top w:val="none" w:sz="0" w:space="0" w:color="auto"/>
        <w:left w:val="none" w:sz="0" w:space="0" w:color="auto"/>
        <w:bottom w:val="none" w:sz="0" w:space="0" w:color="auto"/>
        <w:right w:val="none" w:sz="0" w:space="0" w:color="auto"/>
      </w:divBdr>
    </w:div>
    <w:div w:id="1922138015">
      <w:bodyDiv w:val="1"/>
      <w:marLeft w:val="0"/>
      <w:marRight w:val="0"/>
      <w:marTop w:val="0"/>
      <w:marBottom w:val="0"/>
      <w:divBdr>
        <w:top w:val="none" w:sz="0" w:space="0" w:color="auto"/>
        <w:left w:val="none" w:sz="0" w:space="0" w:color="auto"/>
        <w:bottom w:val="none" w:sz="0" w:space="0" w:color="auto"/>
        <w:right w:val="none" w:sz="0" w:space="0" w:color="auto"/>
      </w:divBdr>
    </w:div>
    <w:div w:id="1929540912">
      <w:bodyDiv w:val="1"/>
      <w:marLeft w:val="0"/>
      <w:marRight w:val="0"/>
      <w:marTop w:val="0"/>
      <w:marBottom w:val="0"/>
      <w:divBdr>
        <w:top w:val="none" w:sz="0" w:space="0" w:color="auto"/>
        <w:left w:val="none" w:sz="0" w:space="0" w:color="auto"/>
        <w:bottom w:val="none" w:sz="0" w:space="0" w:color="auto"/>
        <w:right w:val="none" w:sz="0" w:space="0" w:color="auto"/>
      </w:divBdr>
    </w:div>
    <w:div w:id="1930387665">
      <w:bodyDiv w:val="1"/>
      <w:marLeft w:val="0"/>
      <w:marRight w:val="0"/>
      <w:marTop w:val="0"/>
      <w:marBottom w:val="0"/>
      <w:divBdr>
        <w:top w:val="none" w:sz="0" w:space="0" w:color="auto"/>
        <w:left w:val="none" w:sz="0" w:space="0" w:color="auto"/>
        <w:bottom w:val="none" w:sz="0" w:space="0" w:color="auto"/>
        <w:right w:val="none" w:sz="0" w:space="0" w:color="auto"/>
      </w:divBdr>
    </w:div>
    <w:div w:id="1972861941">
      <w:bodyDiv w:val="1"/>
      <w:marLeft w:val="0"/>
      <w:marRight w:val="0"/>
      <w:marTop w:val="0"/>
      <w:marBottom w:val="0"/>
      <w:divBdr>
        <w:top w:val="none" w:sz="0" w:space="0" w:color="auto"/>
        <w:left w:val="none" w:sz="0" w:space="0" w:color="auto"/>
        <w:bottom w:val="none" w:sz="0" w:space="0" w:color="auto"/>
        <w:right w:val="none" w:sz="0" w:space="0" w:color="auto"/>
      </w:divBdr>
    </w:div>
    <w:div w:id="1977905936">
      <w:bodyDiv w:val="1"/>
      <w:marLeft w:val="0"/>
      <w:marRight w:val="0"/>
      <w:marTop w:val="0"/>
      <w:marBottom w:val="0"/>
      <w:divBdr>
        <w:top w:val="none" w:sz="0" w:space="0" w:color="auto"/>
        <w:left w:val="none" w:sz="0" w:space="0" w:color="auto"/>
        <w:bottom w:val="none" w:sz="0" w:space="0" w:color="auto"/>
        <w:right w:val="none" w:sz="0" w:space="0" w:color="auto"/>
      </w:divBdr>
    </w:div>
    <w:div w:id="1984040040">
      <w:bodyDiv w:val="1"/>
      <w:marLeft w:val="0"/>
      <w:marRight w:val="0"/>
      <w:marTop w:val="0"/>
      <w:marBottom w:val="0"/>
      <w:divBdr>
        <w:top w:val="none" w:sz="0" w:space="0" w:color="auto"/>
        <w:left w:val="none" w:sz="0" w:space="0" w:color="auto"/>
        <w:bottom w:val="none" w:sz="0" w:space="0" w:color="auto"/>
        <w:right w:val="none" w:sz="0" w:space="0" w:color="auto"/>
      </w:divBdr>
    </w:div>
    <w:div w:id="1997755720">
      <w:bodyDiv w:val="1"/>
      <w:marLeft w:val="0"/>
      <w:marRight w:val="0"/>
      <w:marTop w:val="0"/>
      <w:marBottom w:val="0"/>
      <w:divBdr>
        <w:top w:val="none" w:sz="0" w:space="0" w:color="auto"/>
        <w:left w:val="none" w:sz="0" w:space="0" w:color="auto"/>
        <w:bottom w:val="none" w:sz="0" w:space="0" w:color="auto"/>
        <w:right w:val="none" w:sz="0" w:space="0" w:color="auto"/>
      </w:divBdr>
    </w:div>
    <w:div w:id="2004551917">
      <w:bodyDiv w:val="1"/>
      <w:marLeft w:val="0"/>
      <w:marRight w:val="0"/>
      <w:marTop w:val="0"/>
      <w:marBottom w:val="0"/>
      <w:divBdr>
        <w:top w:val="none" w:sz="0" w:space="0" w:color="auto"/>
        <w:left w:val="none" w:sz="0" w:space="0" w:color="auto"/>
        <w:bottom w:val="none" w:sz="0" w:space="0" w:color="auto"/>
        <w:right w:val="none" w:sz="0" w:space="0" w:color="auto"/>
      </w:divBdr>
    </w:div>
    <w:div w:id="2026514189">
      <w:bodyDiv w:val="1"/>
      <w:marLeft w:val="0"/>
      <w:marRight w:val="0"/>
      <w:marTop w:val="0"/>
      <w:marBottom w:val="0"/>
      <w:divBdr>
        <w:top w:val="none" w:sz="0" w:space="0" w:color="auto"/>
        <w:left w:val="none" w:sz="0" w:space="0" w:color="auto"/>
        <w:bottom w:val="none" w:sz="0" w:space="0" w:color="auto"/>
        <w:right w:val="none" w:sz="0" w:space="0" w:color="auto"/>
      </w:divBdr>
    </w:div>
    <w:div w:id="2033794947">
      <w:bodyDiv w:val="1"/>
      <w:marLeft w:val="0"/>
      <w:marRight w:val="0"/>
      <w:marTop w:val="0"/>
      <w:marBottom w:val="0"/>
      <w:divBdr>
        <w:top w:val="none" w:sz="0" w:space="0" w:color="auto"/>
        <w:left w:val="none" w:sz="0" w:space="0" w:color="auto"/>
        <w:bottom w:val="none" w:sz="0" w:space="0" w:color="auto"/>
        <w:right w:val="none" w:sz="0" w:space="0" w:color="auto"/>
      </w:divBdr>
    </w:div>
    <w:div w:id="2040937248">
      <w:bodyDiv w:val="1"/>
      <w:marLeft w:val="0"/>
      <w:marRight w:val="0"/>
      <w:marTop w:val="0"/>
      <w:marBottom w:val="0"/>
      <w:divBdr>
        <w:top w:val="none" w:sz="0" w:space="0" w:color="auto"/>
        <w:left w:val="none" w:sz="0" w:space="0" w:color="auto"/>
        <w:bottom w:val="none" w:sz="0" w:space="0" w:color="auto"/>
        <w:right w:val="none" w:sz="0" w:space="0" w:color="auto"/>
      </w:divBdr>
    </w:div>
    <w:div w:id="2044017898">
      <w:bodyDiv w:val="1"/>
      <w:marLeft w:val="0"/>
      <w:marRight w:val="0"/>
      <w:marTop w:val="0"/>
      <w:marBottom w:val="0"/>
      <w:divBdr>
        <w:top w:val="none" w:sz="0" w:space="0" w:color="auto"/>
        <w:left w:val="none" w:sz="0" w:space="0" w:color="auto"/>
        <w:bottom w:val="none" w:sz="0" w:space="0" w:color="auto"/>
        <w:right w:val="none" w:sz="0" w:space="0" w:color="auto"/>
      </w:divBdr>
    </w:div>
    <w:div w:id="2053191540">
      <w:bodyDiv w:val="1"/>
      <w:marLeft w:val="0"/>
      <w:marRight w:val="0"/>
      <w:marTop w:val="0"/>
      <w:marBottom w:val="0"/>
      <w:divBdr>
        <w:top w:val="none" w:sz="0" w:space="0" w:color="auto"/>
        <w:left w:val="none" w:sz="0" w:space="0" w:color="auto"/>
        <w:bottom w:val="none" w:sz="0" w:space="0" w:color="auto"/>
        <w:right w:val="none" w:sz="0" w:space="0" w:color="auto"/>
      </w:divBdr>
    </w:div>
    <w:div w:id="2053920888">
      <w:bodyDiv w:val="1"/>
      <w:marLeft w:val="0"/>
      <w:marRight w:val="0"/>
      <w:marTop w:val="0"/>
      <w:marBottom w:val="0"/>
      <w:divBdr>
        <w:top w:val="none" w:sz="0" w:space="0" w:color="auto"/>
        <w:left w:val="none" w:sz="0" w:space="0" w:color="auto"/>
        <w:bottom w:val="none" w:sz="0" w:space="0" w:color="auto"/>
        <w:right w:val="none" w:sz="0" w:space="0" w:color="auto"/>
      </w:divBdr>
    </w:div>
    <w:div w:id="2059427169">
      <w:bodyDiv w:val="1"/>
      <w:marLeft w:val="0"/>
      <w:marRight w:val="0"/>
      <w:marTop w:val="0"/>
      <w:marBottom w:val="0"/>
      <w:divBdr>
        <w:top w:val="none" w:sz="0" w:space="0" w:color="auto"/>
        <w:left w:val="none" w:sz="0" w:space="0" w:color="auto"/>
        <w:bottom w:val="none" w:sz="0" w:space="0" w:color="auto"/>
        <w:right w:val="none" w:sz="0" w:space="0" w:color="auto"/>
      </w:divBdr>
    </w:div>
    <w:div w:id="2059819067">
      <w:bodyDiv w:val="1"/>
      <w:marLeft w:val="0"/>
      <w:marRight w:val="0"/>
      <w:marTop w:val="0"/>
      <w:marBottom w:val="0"/>
      <w:divBdr>
        <w:top w:val="none" w:sz="0" w:space="0" w:color="auto"/>
        <w:left w:val="none" w:sz="0" w:space="0" w:color="auto"/>
        <w:bottom w:val="none" w:sz="0" w:space="0" w:color="auto"/>
        <w:right w:val="none" w:sz="0" w:space="0" w:color="auto"/>
      </w:divBdr>
    </w:div>
    <w:div w:id="2068414398">
      <w:bodyDiv w:val="1"/>
      <w:marLeft w:val="0"/>
      <w:marRight w:val="0"/>
      <w:marTop w:val="0"/>
      <w:marBottom w:val="0"/>
      <w:divBdr>
        <w:top w:val="none" w:sz="0" w:space="0" w:color="auto"/>
        <w:left w:val="none" w:sz="0" w:space="0" w:color="auto"/>
        <w:bottom w:val="none" w:sz="0" w:space="0" w:color="auto"/>
        <w:right w:val="none" w:sz="0" w:space="0" w:color="auto"/>
      </w:divBdr>
    </w:div>
    <w:div w:id="2072917794">
      <w:bodyDiv w:val="1"/>
      <w:marLeft w:val="0"/>
      <w:marRight w:val="0"/>
      <w:marTop w:val="0"/>
      <w:marBottom w:val="0"/>
      <w:divBdr>
        <w:top w:val="none" w:sz="0" w:space="0" w:color="auto"/>
        <w:left w:val="none" w:sz="0" w:space="0" w:color="auto"/>
        <w:bottom w:val="none" w:sz="0" w:space="0" w:color="auto"/>
        <w:right w:val="none" w:sz="0" w:space="0" w:color="auto"/>
      </w:divBdr>
    </w:div>
    <w:div w:id="2074348738">
      <w:bodyDiv w:val="1"/>
      <w:marLeft w:val="0"/>
      <w:marRight w:val="0"/>
      <w:marTop w:val="0"/>
      <w:marBottom w:val="0"/>
      <w:divBdr>
        <w:top w:val="none" w:sz="0" w:space="0" w:color="auto"/>
        <w:left w:val="none" w:sz="0" w:space="0" w:color="auto"/>
        <w:bottom w:val="none" w:sz="0" w:space="0" w:color="auto"/>
        <w:right w:val="none" w:sz="0" w:space="0" w:color="auto"/>
      </w:divBdr>
    </w:div>
    <w:div w:id="2079010195">
      <w:bodyDiv w:val="1"/>
      <w:marLeft w:val="0"/>
      <w:marRight w:val="0"/>
      <w:marTop w:val="0"/>
      <w:marBottom w:val="0"/>
      <w:divBdr>
        <w:top w:val="none" w:sz="0" w:space="0" w:color="auto"/>
        <w:left w:val="none" w:sz="0" w:space="0" w:color="auto"/>
        <w:bottom w:val="none" w:sz="0" w:space="0" w:color="auto"/>
        <w:right w:val="none" w:sz="0" w:space="0" w:color="auto"/>
      </w:divBdr>
    </w:div>
    <w:div w:id="2095859893">
      <w:bodyDiv w:val="1"/>
      <w:marLeft w:val="0"/>
      <w:marRight w:val="0"/>
      <w:marTop w:val="0"/>
      <w:marBottom w:val="0"/>
      <w:divBdr>
        <w:top w:val="none" w:sz="0" w:space="0" w:color="auto"/>
        <w:left w:val="none" w:sz="0" w:space="0" w:color="auto"/>
        <w:bottom w:val="none" w:sz="0" w:space="0" w:color="auto"/>
        <w:right w:val="none" w:sz="0" w:space="0" w:color="auto"/>
      </w:divBdr>
    </w:div>
    <w:div w:id="2109033627">
      <w:bodyDiv w:val="1"/>
      <w:marLeft w:val="0"/>
      <w:marRight w:val="0"/>
      <w:marTop w:val="0"/>
      <w:marBottom w:val="0"/>
      <w:divBdr>
        <w:top w:val="none" w:sz="0" w:space="0" w:color="auto"/>
        <w:left w:val="none" w:sz="0" w:space="0" w:color="auto"/>
        <w:bottom w:val="none" w:sz="0" w:space="0" w:color="auto"/>
        <w:right w:val="none" w:sz="0" w:space="0" w:color="auto"/>
      </w:divBdr>
    </w:div>
    <w:div w:id="2121217721">
      <w:bodyDiv w:val="1"/>
      <w:marLeft w:val="0"/>
      <w:marRight w:val="0"/>
      <w:marTop w:val="0"/>
      <w:marBottom w:val="0"/>
      <w:divBdr>
        <w:top w:val="none" w:sz="0" w:space="0" w:color="auto"/>
        <w:left w:val="none" w:sz="0" w:space="0" w:color="auto"/>
        <w:bottom w:val="none" w:sz="0" w:space="0" w:color="auto"/>
        <w:right w:val="none" w:sz="0" w:space="0" w:color="auto"/>
      </w:divBdr>
    </w:div>
    <w:div w:id="2131314548">
      <w:bodyDiv w:val="1"/>
      <w:marLeft w:val="0"/>
      <w:marRight w:val="0"/>
      <w:marTop w:val="0"/>
      <w:marBottom w:val="0"/>
      <w:divBdr>
        <w:top w:val="none" w:sz="0" w:space="0" w:color="auto"/>
        <w:left w:val="none" w:sz="0" w:space="0" w:color="auto"/>
        <w:bottom w:val="none" w:sz="0" w:space="0" w:color="auto"/>
        <w:right w:val="none" w:sz="0" w:space="0" w:color="auto"/>
      </w:divBdr>
    </w:div>
    <w:div w:id="21385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6789-38F9-4448-BF07-7E1F23CC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7915</Words>
  <Characters>45120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Kerwin, Courtney</cp:lastModifiedBy>
  <cp:revision>3</cp:revision>
  <dcterms:created xsi:type="dcterms:W3CDTF">2016-11-15T20:33:00Z</dcterms:created>
  <dcterms:modified xsi:type="dcterms:W3CDTF">2016-11-15T20:36:00Z</dcterms:modified>
</cp:coreProperties>
</file>