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915EC" w14:textId="77777777" w:rsidR="00EB3E6F" w:rsidRDefault="00FD66F1" w:rsidP="00FD66F1">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w:t>
      </w:r>
      <w:r w:rsidR="00A12B0C">
        <w:rPr>
          <w:rFonts w:ascii="Times New Roman" w:hAnsi="Times New Roman" w:cs="Times New Roman"/>
          <w:sz w:val="24"/>
          <w:szCs w:val="24"/>
        </w:rPr>
        <w:t xml:space="preserve"> for</w:t>
      </w:r>
    </w:p>
    <w:p w14:paraId="57BAB7D4" w14:textId="08AA2E06" w:rsidR="00FD66F1" w:rsidRDefault="00D415EC" w:rsidP="00D415EC">
      <w:pPr>
        <w:spacing w:after="0"/>
        <w:jc w:val="center"/>
        <w:rPr>
          <w:rFonts w:ascii="Times New Roman" w:hAnsi="Times New Roman" w:cs="Times New Roman"/>
          <w:b/>
          <w:sz w:val="24"/>
          <w:szCs w:val="24"/>
        </w:rPr>
      </w:pPr>
      <w:r>
        <w:rPr>
          <w:rFonts w:ascii="Times New Roman" w:hAnsi="Times New Roman" w:cs="Times New Roman"/>
          <w:b/>
          <w:sz w:val="24"/>
          <w:szCs w:val="24"/>
        </w:rPr>
        <w:t>FERC-516</w:t>
      </w:r>
      <w:r w:rsidR="007C0F08">
        <w:rPr>
          <w:rFonts w:ascii="Times New Roman" w:hAnsi="Times New Roman" w:cs="Times New Roman"/>
          <w:b/>
          <w:sz w:val="24"/>
          <w:szCs w:val="24"/>
        </w:rPr>
        <w:t>C</w:t>
      </w:r>
      <w:bookmarkStart w:id="1" w:name="_Ref442874965"/>
      <w:r w:rsidR="003B6C3D" w:rsidRPr="007C0F08">
        <w:rPr>
          <w:rStyle w:val="FootnoteReference"/>
          <w:rFonts w:ascii="Times New Roman" w:hAnsi="Times New Roman" w:cs="Times New Roman"/>
          <w:b/>
          <w:sz w:val="24"/>
          <w:szCs w:val="24"/>
          <w:vertAlign w:val="superscript"/>
        </w:rPr>
        <w:footnoteReference w:id="1"/>
      </w:r>
      <w:bookmarkEnd w:id="1"/>
      <w:r>
        <w:rPr>
          <w:rFonts w:ascii="Times New Roman" w:hAnsi="Times New Roman" w:cs="Times New Roman"/>
          <w:b/>
          <w:sz w:val="24"/>
          <w:szCs w:val="24"/>
        </w:rPr>
        <w:t xml:space="preserve">, </w:t>
      </w:r>
      <w:r w:rsidR="001920F7" w:rsidRPr="001920F7">
        <w:rPr>
          <w:rFonts w:ascii="Times New Roman" w:hAnsi="Times New Roman" w:cs="Times New Roman"/>
          <w:b/>
          <w:sz w:val="24"/>
          <w:szCs w:val="24"/>
        </w:rPr>
        <w:t>Offer Caps in Markets Operated by Regional Transmission Organizations and Independent System Operators</w:t>
      </w:r>
      <w:r w:rsidR="00A85D1D">
        <w:rPr>
          <w:rFonts w:ascii="Times New Roman" w:hAnsi="Times New Roman" w:cs="Times New Roman"/>
          <w:b/>
          <w:sz w:val="24"/>
          <w:szCs w:val="24"/>
        </w:rPr>
        <w:t>,</w:t>
      </w:r>
    </w:p>
    <w:p w14:paraId="312B2997" w14:textId="22E4F6D2" w:rsidR="00A85D1D" w:rsidRDefault="00AB4D71" w:rsidP="00D415EC">
      <w:pPr>
        <w:spacing w:after="0"/>
        <w:jc w:val="center"/>
        <w:rPr>
          <w:rFonts w:ascii="Times New Roman" w:hAnsi="Times New Roman" w:cs="Times New Roman"/>
          <w:b/>
          <w:sz w:val="24"/>
          <w:szCs w:val="24"/>
        </w:rPr>
      </w:pPr>
      <w:r>
        <w:rPr>
          <w:rFonts w:ascii="Times New Roman" w:hAnsi="Times New Roman" w:cs="Times New Roman"/>
          <w:b/>
          <w:sz w:val="24"/>
          <w:szCs w:val="24"/>
        </w:rPr>
        <w:t>in Final Rule</w:t>
      </w:r>
      <w:r w:rsidR="00A85D1D">
        <w:rPr>
          <w:rFonts w:ascii="Times New Roman" w:hAnsi="Times New Roman" w:cs="Times New Roman"/>
          <w:b/>
          <w:sz w:val="24"/>
          <w:szCs w:val="24"/>
        </w:rPr>
        <w:t xml:space="preserve"> in</w:t>
      </w:r>
      <w:r w:rsidR="00FE0032">
        <w:rPr>
          <w:rFonts w:ascii="Times New Roman" w:hAnsi="Times New Roman" w:cs="Times New Roman"/>
          <w:b/>
          <w:sz w:val="24"/>
          <w:szCs w:val="24"/>
        </w:rPr>
        <w:t xml:space="preserve"> Docket No.</w:t>
      </w:r>
      <w:r w:rsidR="00A85D1D">
        <w:rPr>
          <w:rFonts w:ascii="Times New Roman" w:hAnsi="Times New Roman" w:cs="Times New Roman"/>
          <w:b/>
          <w:sz w:val="24"/>
          <w:szCs w:val="24"/>
        </w:rPr>
        <w:t xml:space="preserve"> RM16-</w:t>
      </w:r>
      <w:r w:rsidR="00173004">
        <w:rPr>
          <w:rFonts w:ascii="Times New Roman" w:hAnsi="Times New Roman" w:cs="Times New Roman"/>
          <w:b/>
          <w:sz w:val="24"/>
          <w:szCs w:val="24"/>
        </w:rPr>
        <w:t>5</w:t>
      </w:r>
      <w:r w:rsidR="000E5327">
        <w:rPr>
          <w:rFonts w:ascii="Times New Roman" w:hAnsi="Times New Roman" w:cs="Times New Roman"/>
          <w:b/>
          <w:sz w:val="24"/>
          <w:szCs w:val="24"/>
        </w:rPr>
        <w:t>-000</w:t>
      </w:r>
    </w:p>
    <w:p w14:paraId="5FE75D12" w14:textId="77777777" w:rsidR="00FD66F1" w:rsidRDefault="00FD66F1" w:rsidP="00FD66F1">
      <w:pPr>
        <w:spacing w:after="0"/>
        <w:jc w:val="center"/>
        <w:rPr>
          <w:rFonts w:ascii="Times New Roman" w:hAnsi="Times New Roman" w:cs="Times New Roman"/>
          <w:sz w:val="24"/>
          <w:szCs w:val="24"/>
        </w:rPr>
      </w:pPr>
    </w:p>
    <w:p w14:paraId="49EA65DD" w14:textId="2140C47C" w:rsidR="00773AEB" w:rsidRDefault="00FE2317" w:rsidP="005D5D8E">
      <w:pPr>
        <w:spacing w:after="0"/>
        <w:rPr>
          <w:rFonts w:ascii="Times New Roman" w:hAnsi="Times New Roman" w:cs="Times New Roman"/>
          <w:sz w:val="24"/>
          <w:szCs w:val="24"/>
        </w:rPr>
      </w:pPr>
      <w:r>
        <w:rPr>
          <w:rFonts w:ascii="Times New Roman" w:hAnsi="Times New Roman" w:cs="Times New Roman"/>
          <w:sz w:val="24"/>
          <w:szCs w:val="24"/>
        </w:rPr>
        <w:t>The Federal Energy Regulatory Commission (FERC or Commission) request</w:t>
      </w:r>
      <w:r w:rsidR="00EC19DF">
        <w:rPr>
          <w:rFonts w:ascii="Times New Roman" w:hAnsi="Times New Roman" w:cs="Times New Roman"/>
          <w:sz w:val="24"/>
          <w:szCs w:val="24"/>
        </w:rPr>
        <w:t>s</w:t>
      </w:r>
      <w:r>
        <w:rPr>
          <w:rFonts w:ascii="Times New Roman" w:hAnsi="Times New Roman" w:cs="Times New Roman"/>
          <w:sz w:val="24"/>
          <w:szCs w:val="24"/>
        </w:rPr>
        <w:t xml:space="preserve"> that the Office of Management and Budget (OMB) review </w:t>
      </w:r>
      <w:r w:rsidR="006A0DFC">
        <w:rPr>
          <w:rFonts w:ascii="Times New Roman" w:hAnsi="Times New Roman" w:cs="Times New Roman"/>
          <w:sz w:val="24"/>
          <w:szCs w:val="24"/>
        </w:rPr>
        <w:t xml:space="preserve">the information collection requirements in </w:t>
      </w:r>
      <w:r>
        <w:rPr>
          <w:rFonts w:ascii="Times New Roman" w:hAnsi="Times New Roman" w:cs="Times New Roman"/>
          <w:sz w:val="24"/>
          <w:szCs w:val="24"/>
        </w:rPr>
        <w:t>the</w:t>
      </w:r>
      <w:r w:rsidR="00662264">
        <w:rPr>
          <w:rFonts w:ascii="Times New Roman" w:hAnsi="Times New Roman" w:cs="Times New Roman"/>
          <w:sz w:val="24"/>
          <w:szCs w:val="24"/>
        </w:rPr>
        <w:t xml:space="preserve"> </w:t>
      </w:r>
      <w:r w:rsidR="005D5D8E">
        <w:rPr>
          <w:rFonts w:ascii="Times New Roman" w:hAnsi="Times New Roman" w:cs="Times New Roman"/>
          <w:sz w:val="24"/>
          <w:szCs w:val="24"/>
        </w:rPr>
        <w:t>Final Rule</w:t>
      </w:r>
      <w:r w:rsidR="00FE0032">
        <w:rPr>
          <w:rFonts w:ascii="Times New Roman" w:hAnsi="Times New Roman" w:cs="Times New Roman"/>
          <w:sz w:val="24"/>
          <w:szCs w:val="24"/>
        </w:rPr>
        <w:t xml:space="preserve"> </w:t>
      </w:r>
      <w:r w:rsidR="00A12B0C">
        <w:rPr>
          <w:rFonts w:ascii="Times New Roman" w:hAnsi="Times New Roman" w:cs="Times New Roman"/>
          <w:sz w:val="24"/>
          <w:szCs w:val="24"/>
        </w:rPr>
        <w:t xml:space="preserve">under </w:t>
      </w:r>
      <w:r w:rsidR="00FD100F">
        <w:rPr>
          <w:rFonts w:ascii="Times New Roman" w:hAnsi="Times New Roman" w:cs="Times New Roman"/>
          <w:sz w:val="24"/>
          <w:szCs w:val="24"/>
        </w:rPr>
        <w:t>D</w:t>
      </w:r>
      <w:r w:rsidR="00FE0032">
        <w:rPr>
          <w:rFonts w:ascii="Times New Roman" w:hAnsi="Times New Roman" w:cs="Times New Roman"/>
          <w:sz w:val="24"/>
          <w:szCs w:val="24"/>
        </w:rPr>
        <w:t>ocket No.</w:t>
      </w:r>
      <w:r w:rsidR="00A12B0C">
        <w:rPr>
          <w:rFonts w:ascii="Times New Roman" w:hAnsi="Times New Roman" w:cs="Times New Roman"/>
          <w:sz w:val="24"/>
          <w:szCs w:val="24"/>
        </w:rPr>
        <w:t xml:space="preserve"> </w:t>
      </w:r>
      <w:r w:rsidR="00FE0032">
        <w:rPr>
          <w:rFonts w:ascii="Times New Roman" w:hAnsi="Times New Roman" w:cs="Times New Roman"/>
          <w:sz w:val="24"/>
          <w:szCs w:val="24"/>
        </w:rPr>
        <w:t>RM16-5</w:t>
      </w:r>
      <w:r w:rsidR="00D415EC">
        <w:rPr>
          <w:rFonts w:ascii="Times New Roman" w:hAnsi="Times New Roman" w:cs="Times New Roman"/>
          <w:sz w:val="24"/>
          <w:szCs w:val="24"/>
        </w:rPr>
        <w:t>-000</w:t>
      </w:r>
      <w:r w:rsidR="0003005B">
        <w:rPr>
          <w:rFonts w:ascii="Times New Roman" w:hAnsi="Times New Roman" w:cs="Times New Roman"/>
          <w:sz w:val="24"/>
          <w:szCs w:val="24"/>
        </w:rPr>
        <w:t xml:space="preserve"> and contained within the </w:t>
      </w:r>
      <w:r w:rsidR="00D415EC">
        <w:rPr>
          <w:rFonts w:ascii="Times New Roman" w:hAnsi="Times New Roman" w:cs="Times New Roman"/>
          <w:sz w:val="24"/>
          <w:szCs w:val="24"/>
        </w:rPr>
        <w:t>FERC-516</w:t>
      </w:r>
      <w:r w:rsidR="00162FB1">
        <w:rPr>
          <w:rFonts w:ascii="Times New Roman" w:hAnsi="Times New Roman" w:cs="Times New Roman"/>
          <w:sz w:val="24"/>
          <w:szCs w:val="24"/>
        </w:rPr>
        <w:t>C</w:t>
      </w:r>
      <w:r w:rsidR="0003005B">
        <w:rPr>
          <w:rFonts w:ascii="Times New Roman" w:hAnsi="Times New Roman" w:cs="Times New Roman"/>
          <w:sz w:val="24"/>
          <w:szCs w:val="24"/>
        </w:rPr>
        <w:t xml:space="preserve"> information collection.</w:t>
      </w:r>
    </w:p>
    <w:p w14:paraId="7879DBA8" w14:textId="77777777" w:rsidR="005F3ED7" w:rsidRDefault="005F3ED7" w:rsidP="007C3586">
      <w:pPr>
        <w:spacing w:after="0"/>
        <w:ind w:firstLine="360"/>
        <w:rPr>
          <w:rFonts w:ascii="Times New Roman" w:hAnsi="Times New Roman" w:cs="Times New Roman"/>
          <w:sz w:val="24"/>
          <w:szCs w:val="24"/>
        </w:rPr>
      </w:pPr>
    </w:p>
    <w:p w14:paraId="40529F75" w14:textId="301BCBB3" w:rsidR="0002242D" w:rsidRDefault="00A4189F" w:rsidP="00FD66F1">
      <w:pPr>
        <w:spacing w:after="0"/>
        <w:rPr>
          <w:rFonts w:ascii="Times New Roman" w:hAnsi="Times New Roman" w:cs="Times New Roman"/>
          <w:sz w:val="24"/>
          <w:szCs w:val="24"/>
        </w:rPr>
      </w:pPr>
      <w:r>
        <w:rPr>
          <w:rFonts w:ascii="Times New Roman" w:hAnsi="Times New Roman" w:cs="Times New Roman"/>
          <w:sz w:val="24"/>
          <w:szCs w:val="24"/>
        </w:rPr>
        <w:t>T</w:t>
      </w:r>
      <w:r w:rsidR="005F3ED7" w:rsidRPr="005F3ED7">
        <w:rPr>
          <w:rFonts w:ascii="Times New Roman" w:hAnsi="Times New Roman" w:cs="Times New Roman"/>
          <w:sz w:val="24"/>
          <w:szCs w:val="24"/>
        </w:rPr>
        <w:t>he burden associated with RM16-5-000 is being submitted to the FERC-516C information</w:t>
      </w:r>
      <w:r w:rsidR="001026E0">
        <w:rPr>
          <w:rFonts w:ascii="Times New Roman" w:hAnsi="Times New Roman" w:cs="Times New Roman"/>
          <w:sz w:val="24"/>
          <w:szCs w:val="24"/>
        </w:rPr>
        <w:t xml:space="preserve"> collection (OMB Control No. 1902-0287</w:t>
      </w:r>
      <w:r w:rsidR="005F3ED7" w:rsidRPr="005F3ED7">
        <w:rPr>
          <w:rFonts w:ascii="Times New Roman" w:hAnsi="Times New Roman" w:cs="Times New Roman"/>
          <w:sz w:val="24"/>
          <w:szCs w:val="24"/>
        </w:rPr>
        <w:t xml:space="preserve">) to allow timely submission to OMB. </w:t>
      </w:r>
      <w:r w:rsidR="00461B33">
        <w:rPr>
          <w:rFonts w:ascii="Times New Roman" w:hAnsi="Times New Roman" w:cs="Times New Roman"/>
          <w:sz w:val="24"/>
          <w:szCs w:val="24"/>
        </w:rPr>
        <w:t xml:space="preserve"> </w:t>
      </w:r>
      <w:r w:rsidR="005F3ED7" w:rsidRPr="005F3ED7">
        <w:rPr>
          <w:rFonts w:ascii="Times New Roman" w:hAnsi="Times New Roman" w:cs="Times New Roman"/>
          <w:sz w:val="24"/>
          <w:szCs w:val="24"/>
        </w:rPr>
        <w:t>FERC-516 is currently under</w:t>
      </w:r>
      <w:r w:rsidR="001E37D4">
        <w:rPr>
          <w:rFonts w:ascii="Times New Roman" w:hAnsi="Times New Roman" w:cs="Times New Roman"/>
          <w:sz w:val="24"/>
          <w:szCs w:val="24"/>
        </w:rPr>
        <w:t xml:space="preserve"> review by OMB</w:t>
      </w:r>
      <w:r w:rsidR="005F3ED7" w:rsidRPr="005F3ED7">
        <w:rPr>
          <w:rFonts w:ascii="Times New Roman" w:hAnsi="Times New Roman" w:cs="Times New Roman"/>
          <w:sz w:val="24"/>
          <w:szCs w:val="24"/>
        </w:rPr>
        <w:t>.  Any burden hours related to RM16-5 applied to FERC-516C is intended eventually to reside in FERC-516 (OMB Control No. 1902-0096).</w:t>
      </w:r>
    </w:p>
    <w:p w14:paraId="49E067C8" w14:textId="77777777" w:rsidR="005F3ED7" w:rsidRDefault="005F3ED7" w:rsidP="00FD66F1">
      <w:pPr>
        <w:spacing w:after="0"/>
        <w:rPr>
          <w:rFonts w:ascii="Times New Roman" w:hAnsi="Times New Roman" w:cs="Times New Roman"/>
          <w:sz w:val="24"/>
          <w:szCs w:val="24"/>
        </w:rPr>
      </w:pPr>
    </w:p>
    <w:p w14:paraId="3CBC32FB"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1AFC9B1B" w14:textId="77777777" w:rsidR="00A72E7B" w:rsidRDefault="00A72E7B" w:rsidP="00EB3E6F">
      <w:pPr>
        <w:spacing w:after="0"/>
        <w:rPr>
          <w:rFonts w:ascii="Times New Roman" w:hAnsi="Times New Roman" w:cs="Times New Roman"/>
          <w:sz w:val="24"/>
          <w:szCs w:val="24"/>
        </w:rPr>
      </w:pPr>
    </w:p>
    <w:p w14:paraId="1C468C91" w14:textId="46980B33" w:rsidR="00D81471" w:rsidRPr="003D6545" w:rsidRDefault="00296865" w:rsidP="008041F9">
      <w:pPr>
        <w:spacing w:after="0"/>
        <w:rPr>
          <w:rFonts w:ascii="Times New Roman" w:hAnsi="Times New Roman" w:cs="Times New Roman"/>
          <w:sz w:val="24"/>
          <w:szCs w:val="24"/>
        </w:rPr>
      </w:pPr>
      <w:r>
        <w:rPr>
          <w:rFonts w:ascii="Times New Roman" w:hAnsi="Times New Roman" w:cs="Times New Roman"/>
          <w:b/>
          <w:sz w:val="24"/>
          <w:szCs w:val="24"/>
        </w:rPr>
        <w:t>FERC-516</w:t>
      </w:r>
      <w:r w:rsidR="00D60A4A" w:rsidRPr="00D60A4A">
        <w:rPr>
          <w:rFonts w:ascii="Times New Roman" w:hAnsi="Times New Roman" w:cs="Times New Roman"/>
          <w:b/>
          <w:sz w:val="24"/>
          <w:szCs w:val="24"/>
          <w:vertAlign w:val="superscript"/>
        </w:rPr>
        <w:fldChar w:fldCharType="begin"/>
      </w:r>
      <w:r w:rsidR="00D60A4A" w:rsidRPr="00D60A4A">
        <w:rPr>
          <w:rFonts w:ascii="Times New Roman" w:hAnsi="Times New Roman" w:cs="Times New Roman"/>
          <w:b/>
          <w:sz w:val="24"/>
          <w:szCs w:val="24"/>
          <w:vertAlign w:val="superscript"/>
        </w:rPr>
        <w:instrText xml:space="preserve"> NOTEREF _Ref442874965 \h </w:instrText>
      </w:r>
      <w:r w:rsidR="00D60A4A">
        <w:rPr>
          <w:rFonts w:ascii="Times New Roman" w:hAnsi="Times New Roman" w:cs="Times New Roman"/>
          <w:b/>
          <w:sz w:val="24"/>
          <w:szCs w:val="24"/>
          <w:vertAlign w:val="superscript"/>
        </w:rPr>
        <w:instrText xml:space="preserve"> \* MERGEFORMAT </w:instrText>
      </w:r>
      <w:r w:rsidR="00D60A4A" w:rsidRPr="00D60A4A">
        <w:rPr>
          <w:rFonts w:ascii="Times New Roman" w:hAnsi="Times New Roman" w:cs="Times New Roman"/>
          <w:b/>
          <w:sz w:val="24"/>
          <w:szCs w:val="24"/>
          <w:vertAlign w:val="superscript"/>
        </w:rPr>
      </w:r>
      <w:r w:rsidR="00D60A4A" w:rsidRPr="00D60A4A">
        <w:rPr>
          <w:rFonts w:ascii="Times New Roman" w:hAnsi="Times New Roman" w:cs="Times New Roman"/>
          <w:b/>
          <w:sz w:val="24"/>
          <w:szCs w:val="24"/>
          <w:vertAlign w:val="superscript"/>
        </w:rPr>
        <w:fldChar w:fldCharType="separate"/>
      </w:r>
      <w:r w:rsidR="00D60A4A" w:rsidRPr="00D60A4A">
        <w:rPr>
          <w:rFonts w:ascii="Times New Roman" w:hAnsi="Times New Roman" w:cs="Times New Roman"/>
          <w:b/>
          <w:sz w:val="24"/>
          <w:szCs w:val="24"/>
          <w:vertAlign w:val="superscript"/>
        </w:rPr>
        <w:t>1</w:t>
      </w:r>
      <w:r w:rsidR="00D60A4A" w:rsidRPr="00D60A4A">
        <w:rPr>
          <w:rFonts w:ascii="Times New Roman" w:hAnsi="Times New Roman" w:cs="Times New Roman"/>
          <w:b/>
          <w:sz w:val="24"/>
          <w:szCs w:val="24"/>
          <w:vertAlign w:val="superscript"/>
        </w:rPr>
        <w:fldChar w:fldCharType="end"/>
      </w:r>
      <w:r w:rsidR="00D41EE1">
        <w:rPr>
          <w:rFonts w:ascii="Times New Roman" w:hAnsi="Times New Roman" w:cs="Times New Roman"/>
          <w:b/>
          <w:sz w:val="24"/>
          <w:szCs w:val="24"/>
        </w:rPr>
        <w:t xml:space="preserve"> (in general)</w:t>
      </w:r>
      <w:r>
        <w:rPr>
          <w:rFonts w:ascii="Times New Roman" w:hAnsi="Times New Roman" w:cs="Times New Roman"/>
          <w:b/>
          <w:sz w:val="24"/>
          <w:szCs w:val="24"/>
        </w:rPr>
        <w:t>:</w:t>
      </w:r>
      <w:r>
        <w:rPr>
          <w:rFonts w:ascii="Times New Roman" w:hAnsi="Times New Roman" w:cs="Times New Roman"/>
          <w:sz w:val="24"/>
          <w:szCs w:val="24"/>
        </w:rPr>
        <w:t xml:space="preserve"> </w:t>
      </w:r>
      <w:r w:rsidR="00BB3B97">
        <w:rPr>
          <w:rFonts w:ascii="Times New Roman" w:hAnsi="Times New Roman" w:cs="Times New Roman"/>
          <w:sz w:val="24"/>
          <w:szCs w:val="24"/>
        </w:rPr>
        <w:t xml:space="preserve"> </w:t>
      </w:r>
      <w:r w:rsidR="00D81471" w:rsidRPr="003D6545">
        <w:rPr>
          <w:rFonts w:ascii="Times New Roman" w:hAnsi="Times New Roman" w:cs="Times New Roman"/>
          <w:sz w:val="24"/>
          <w:szCs w:val="24"/>
        </w:rPr>
        <w:t>The Federal Power Act Section</w:t>
      </w:r>
      <w:r w:rsidR="00241B79">
        <w:rPr>
          <w:rFonts w:ascii="Times New Roman" w:hAnsi="Times New Roman" w:cs="Times New Roman"/>
          <w:sz w:val="24"/>
          <w:szCs w:val="24"/>
        </w:rPr>
        <w:t>s</w:t>
      </w:r>
      <w:r w:rsidR="00D81471" w:rsidRPr="003D6545">
        <w:rPr>
          <w:rFonts w:ascii="Times New Roman" w:hAnsi="Times New Roman" w:cs="Times New Roman"/>
          <w:sz w:val="24"/>
          <w:szCs w:val="24"/>
        </w:rPr>
        <w:t xml:space="preserve"> 205</w:t>
      </w:r>
      <w:r w:rsidR="00241B79">
        <w:rPr>
          <w:rFonts w:ascii="Times New Roman" w:hAnsi="Times New Roman" w:cs="Times New Roman"/>
          <w:sz w:val="24"/>
          <w:szCs w:val="24"/>
        </w:rPr>
        <w:t xml:space="preserve"> and 206</w:t>
      </w:r>
      <w:r w:rsidR="00D81471" w:rsidRPr="003D6545">
        <w:rPr>
          <w:rStyle w:val="FootnoteReference"/>
          <w:rFonts w:ascii="Times New Roman" w:hAnsi="Times New Roman" w:cs="Times New Roman"/>
          <w:sz w:val="24"/>
          <w:szCs w:val="24"/>
          <w:vertAlign w:val="superscript"/>
        </w:rPr>
        <w:footnoteReference w:id="2"/>
      </w:r>
      <w:r w:rsidR="00D81471" w:rsidRPr="003D6545">
        <w:rPr>
          <w:rFonts w:ascii="Times New Roman" w:hAnsi="Times New Roman" w:cs="Times New Roman"/>
          <w:sz w:val="24"/>
          <w:szCs w:val="24"/>
        </w:rPr>
        <w:t xml:space="preserve"> require the Federal Energy Regulatory Commission to ensure that the rates and charges for the wholesale sale of electric energy are just and reasonable.  Section</w:t>
      </w:r>
      <w:r w:rsidR="00241B79">
        <w:rPr>
          <w:rFonts w:ascii="Times New Roman" w:hAnsi="Times New Roman" w:cs="Times New Roman"/>
          <w:sz w:val="24"/>
          <w:szCs w:val="24"/>
        </w:rPr>
        <w:t>s</w:t>
      </w:r>
      <w:r w:rsidR="00D81471" w:rsidRPr="003D6545">
        <w:rPr>
          <w:rFonts w:ascii="Times New Roman" w:hAnsi="Times New Roman" w:cs="Times New Roman"/>
          <w:sz w:val="24"/>
          <w:szCs w:val="24"/>
        </w:rPr>
        <w:t xml:space="preserve"> 205 </w:t>
      </w:r>
      <w:r w:rsidR="00241B79">
        <w:rPr>
          <w:rFonts w:ascii="Times New Roman" w:hAnsi="Times New Roman" w:cs="Times New Roman"/>
          <w:sz w:val="24"/>
          <w:szCs w:val="24"/>
        </w:rPr>
        <w:t xml:space="preserve">and 206 </w:t>
      </w:r>
      <w:r w:rsidR="00D81471" w:rsidRPr="003D6545">
        <w:rPr>
          <w:rFonts w:ascii="Times New Roman" w:hAnsi="Times New Roman" w:cs="Times New Roman"/>
          <w:sz w:val="24"/>
          <w:szCs w:val="24"/>
        </w:rPr>
        <w:t xml:space="preserve">also require that the rules and regulations affecting or pertaining to the rates and charges for the wholesale sale of electric </w:t>
      </w:r>
      <w:r w:rsidR="00C928C6">
        <w:rPr>
          <w:rFonts w:ascii="Times New Roman" w:hAnsi="Times New Roman" w:cs="Times New Roman"/>
          <w:sz w:val="24"/>
          <w:szCs w:val="24"/>
        </w:rPr>
        <w:t>energy be just and reasonable.</w:t>
      </w:r>
    </w:p>
    <w:p w14:paraId="44982815" w14:textId="77777777" w:rsidR="00D81471" w:rsidRDefault="00D81471" w:rsidP="008041F9">
      <w:pPr>
        <w:spacing w:after="0"/>
        <w:rPr>
          <w:rFonts w:ascii="Times New Roman" w:hAnsi="Times New Roman" w:cs="Times New Roman"/>
          <w:sz w:val="24"/>
          <w:szCs w:val="24"/>
        </w:rPr>
      </w:pPr>
    </w:p>
    <w:p w14:paraId="03AA0A6B" w14:textId="390680E4" w:rsidR="007700CC" w:rsidRDefault="00C928C6" w:rsidP="008041F9">
      <w:pPr>
        <w:pStyle w:val="Default"/>
        <w:spacing w:line="276" w:lineRule="auto"/>
      </w:pPr>
      <w:r>
        <w:rPr>
          <w:b/>
        </w:rPr>
        <w:t>Final Rule</w:t>
      </w:r>
      <w:r w:rsidR="006B0EDD" w:rsidRPr="00EC2638">
        <w:rPr>
          <w:b/>
        </w:rPr>
        <w:t xml:space="preserve"> in RM16-</w:t>
      </w:r>
      <w:r w:rsidR="006B0EDD" w:rsidRPr="00C66E9D">
        <w:rPr>
          <w:b/>
        </w:rPr>
        <w:t>5</w:t>
      </w:r>
      <w:r w:rsidR="006B0EDD" w:rsidRPr="00241B79">
        <w:rPr>
          <w:b/>
        </w:rPr>
        <w:t>-000.</w:t>
      </w:r>
      <w:r w:rsidR="006B0EDD" w:rsidRPr="00241B79">
        <w:t xml:space="preserve">  </w:t>
      </w:r>
      <w:r w:rsidR="007700CC" w:rsidRPr="00296865">
        <w:t>In th</w:t>
      </w:r>
      <w:r>
        <w:t>is Final Rule, FERC approves</w:t>
      </w:r>
      <w:r w:rsidR="007700CC" w:rsidRPr="00296865">
        <w:t xml:space="preserve"> its regulations to require that each regional transmission organization (RTO) and independent system operator (ISO)</w:t>
      </w:r>
      <w:r w:rsidR="006E278F" w:rsidRPr="00E95609">
        <w:rPr>
          <w:rStyle w:val="FootnoteReference"/>
          <w:vertAlign w:val="superscript"/>
        </w:rPr>
        <w:footnoteReference w:id="3"/>
      </w:r>
      <w:r w:rsidR="007700CC" w:rsidRPr="00E95609">
        <w:rPr>
          <w:vertAlign w:val="superscript"/>
        </w:rPr>
        <w:t xml:space="preserve"> </w:t>
      </w:r>
      <w:r w:rsidR="00066A25">
        <w:t xml:space="preserve">(1) </w:t>
      </w:r>
      <w:r w:rsidR="007700CC" w:rsidRPr="00296865">
        <w:t>cap each resource’s incremental energy offer</w:t>
      </w:r>
      <w:r w:rsidR="007700CC" w:rsidRPr="00296865">
        <w:rPr>
          <w:b/>
          <w:bCs/>
        </w:rPr>
        <w:t xml:space="preserve"> </w:t>
      </w:r>
      <w:r w:rsidR="009F2F2F">
        <w:t>at</w:t>
      </w:r>
      <w:r w:rsidR="009F2F2F" w:rsidRPr="00296865">
        <w:t xml:space="preserve"> </w:t>
      </w:r>
      <w:r w:rsidR="007700CC" w:rsidRPr="00296865">
        <w:t>the higher of $1,000/MWh or that resource’s verified cost-based incremental en</w:t>
      </w:r>
      <w:r>
        <w:t>ergy offer</w:t>
      </w:r>
      <w:r w:rsidR="00066A25">
        <w:t xml:space="preserve">, and (2) </w:t>
      </w:r>
      <w:r w:rsidR="00066A25" w:rsidRPr="005B188F">
        <w:t xml:space="preserve">cap verified cost-based incremental energy offers at $2,000/MWh </w:t>
      </w:r>
      <w:r w:rsidR="00066A25">
        <w:t>when calculating</w:t>
      </w:r>
      <w:r w:rsidR="00066A25" w:rsidRPr="005B188F">
        <w:t xml:space="preserve"> locational marginal prices</w:t>
      </w:r>
      <w:r w:rsidR="003A155F">
        <w:t xml:space="preserve"> (LMPs)</w:t>
      </w:r>
      <w:r>
        <w:t xml:space="preserve">.  </w:t>
      </w:r>
      <w:r w:rsidR="007700CC" w:rsidRPr="00296865">
        <w:t xml:space="preserve"> </w:t>
      </w:r>
      <w:r w:rsidR="00445AE3">
        <w:t xml:space="preserve"> </w:t>
      </w:r>
    </w:p>
    <w:p w14:paraId="1EE5E202" w14:textId="77777777" w:rsidR="00EC2638" w:rsidRPr="00296865" w:rsidRDefault="00EC2638" w:rsidP="008041F9">
      <w:pPr>
        <w:pStyle w:val="Default"/>
        <w:spacing w:line="276" w:lineRule="auto"/>
      </w:pPr>
    </w:p>
    <w:p w14:paraId="1E6230AD" w14:textId="55F29A1E" w:rsidR="007700CC" w:rsidRPr="00296865" w:rsidRDefault="008041F9" w:rsidP="008041F9">
      <w:pPr>
        <w:pStyle w:val="Default"/>
        <w:spacing w:line="276" w:lineRule="auto"/>
      </w:pPr>
      <w:r>
        <w:tab/>
      </w:r>
      <w:r w:rsidR="007700CC" w:rsidRPr="00296865">
        <w:t>The Commission finds that the offer cap</w:t>
      </w:r>
      <w:r w:rsidR="007700CC" w:rsidRPr="00296865">
        <w:rPr>
          <w:b/>
          <w:bCs/>
        </w:rPr>
        <w:t xml:space="preserve"> </w:t>
      </w:r>
      <w:r w:rsidR="007700CC" w:rsidRPr="00296865">
        <w:t xml:space="preserve">on incremental energy offers (offer cap) </w:t>
      </w:r>
      <w:r w:rsidR="00927A3C">
        <w:t>is</w:t>
      </w:r>
      <w:r w:rsidR="00BA7EAD" w:rsidRPr="00296865">
        <w:t xml:space="preserve"> </w:t>
      </w:r>
      <w:r w:rsidR="007700CC" w:rsidRPr="00296865">
        <w:t xml:space="preserve">no longer just and reasonable for several reasons.  </w:t>
      </w:r>
      <w:r w:rsidR="00E94E55">
        <w:t>First, t</w:t>
      </w:r>
      <w:r w:rsidR="007700CC" w:rsidRPr="00296865">
        <w:t xml:space="preserve">he offer cap may unjustly prevent a </w:t>
      </w:r>
      <w:r w:rsidR="007700CC" w:rsidRPr="00296865">
        <w:lastRenderedPageBreak/>
        <w:t xml:space="preserve">resource from recouping its costs by not permitting that resource to include all of its short-run marginal costs within its energy offer.  </w:t>
      </w:r>
      <w:r w:rsidR="00E94E55">
        <w:t>Second, the</w:t>
      </w:r>
      <w:r w:rsidR="00E94E55" w:rsidRPr="00296865">
        <w:t xml:space="preserve"> </w:t>
      </w:r>
      <w:r w:rsidR="007700CC" w:rsidRPr="00296865">
        <w:t xml:space="preserve">offer cap may result in unjust and unreasonable rates because it can suppress </w:t>
      </w:r>
      <w:r w:rsidR="005848E7" w:rsidRPr="005848E7">
        <w:t xml:space="preserve">locational marginal prices </w:t>
      </w:r>
      <w:r w:rsidR="005848E7">
        <w:t>(</w:t>
      </w:r>
      <w:r w:rsidR="007700CC" w:rsidRPr="00296865">
        <w:t>LMPs</w:t>
      </w:r>
      <w:r w:rsidR="005848E7">
        <w:t>)</w:t>
      </w:r>
      <w:r w:rsidR="007700CC" w:rsidRPr="00296865">
        <w:t xml:space="preserve"> to a level below the marginal cost of production</w:t>
      </w:r>
      <w:r w:rsidR="00A371D6">
        <w:t xml:space="preserve"> during periods when fuel costs increase dramatically</w:t>
      </w:r>
      <w:r w:rsidR="007700CC" w:rsidRPr="00296865">
        <w:t xml:space="preserve">.  </w:t>
      </w:r>
      <w:r w:rsidR="00E94E55">
        <w:t xml:space="preserve">Third, </w:t>
      </w:r>
      <w:r w:rsidR="007700CC" w:rsidRPr="00296865">
        <w:t xml:space="preserve">when several resources have short-run marginal costs above the offer cap but are unable to reflect those costs within their incremental energy offers due to the offer cap, the RTO/ISO is not able to dispatch the most efficient set of resources because it </w:t>
      </w:r>
      <w:r w:rsidR="00643C5A">
        <w:t>cannot</w:t>
      </w:r>
      <w:r w:rsidR="0074683C" w:rsidRPr="003E7CF1">
        <w:t xml:space="preserve"> distinguish </w:t>
      </w:r>
      <w:r w:rsidR="0074683C">
        <w:t>among</w:t>
      </w:r>
      <w:r w:rsidR="0074683C" w:rsidRPr="003E7CF1">
        <w:t xml:space="preserve"> the resources’ actual costs</w:t>
      </w:r>
      <w:r w:rsidR="007700CC" w:rsidRPr="00296865">
        <w:t>.</w:t>
      </w:r>
      <w:r w:rsidR="0046158A">
        <w:t xml:space="preserve"> </w:t>
      </w:r>
      <w:r w:rsidR="007700CC" w:rsidRPr="00296865">
        <w:t xml:space="preserve"> </w:t>
      </w:r>
      <w:r w:rsidR="00E82E24">
        <w:t xml:space="preserve">Finally, </w:t>
      </w:r>
      <w:r w:rsidR="0046158A" w:rsidRPr="00296865">
        <w:t xml:space="preserve"> because of the offer cap, a resource with short-run marginal costs above </w:t>
      </w:r>
      <w:r w:rsidR="008C3B66">
        <w:t>the offer</w:t>
      </w:r>
      <w:r w:rsidR="0046158A" w:rsidRPr="00296865">
        <w:t xml:space="preserve"> cap may choose not to offer its supply to the RTO/ISO, even though the market may be willing to purchase that supply.</w:t>
      </w:r>
      <w:r w:rsidR="0046158A" w:rsidRPr="00296865">
        <w:rPr>
          <w:b/>
          <w:bCs/>
        </w:rPr>
        <w:t xml:space="preserve">  </w:t>
      </w:r>
    </w:p>
    <w:p w14:paraId="741C20B8" w14:textId="77777777" w:rsidR="00EC2638" w:rsidRDefault="00EC2638" w:rsidP="008041F9">
      <w:pPr>
        <w:pStyle w:val="Default"/>
        <w:spacing w:line="276" w:lineRule="auto"/>
      </w:pPr>
    </w:p>
    <w:p w14:paraId="0BCF8B6D" w14:textId="5FB9C931" w:rsidR="007700CC" w:rsidRPr="00296865" w:rsidRDefault="008041F9" w:rsidP="008041F9">
      <w:pPr>
        <w:pStyle w:val="Default"/>
        <w:spacing w:line="276" w:lineRule="auto"/>
      </w:pPr>
      <w:r>
        <w:tab/>
      </w:r>
      <w:r w:rsidR="007700CC" w:rsidRPr="00296865">
        <w:t xml:space="preserve">To remedy these potential problems associated with the offer cap, the Commission proposes to require that each RTO/ISO </w:t>
      </w:r>
      <w:r w:rsidR="009F2F2F">
        <w:t xml:space="preserve">(1) </w:t>
      </w:r>
      <w:r w:rsidR="007700CC" w:rsidRPr="00296865">
        <w:t xml:space="preserve">cap each resource’s incremental energy offer </w:t>
      </w:r>
      <w:r w:rsidR="009F2F2F">
        <w:t>at</w:t>
      </w:r>
      <w:r w:rsidR="009F2F2F" w:rsidRPr="00296865">
        <w:t xml:space="preserve"> </w:t>
      </w:r>
      <w:r w:rsidR="007700CC" w:rsidRPr="00296865">
        <w:t xml:space="preserve">the higher of $1,000/MWh or </w:t>
      </w:r>
      <w:r w:rsidR="009F2F2F">
        <w:t xml:space="preserve">that resource’s verified cost-based incremental energy offer, and (2) </w:t>
      </w:r>
      <w:r w:rsidR="009F2F2F" w:rsidRPr="005B188F">
        <w:t xml:space="preserve">cap verified cost-based incremental energy offers at $2,000/MWh </w:t>
      </w:r>
      <w:r w:rsidR="009F2F2F">
        <w:t>when calculating</w:t>
      </w:r>
      <w:r w:rsidR="009F2F2F" w:rsidRPr="005B188F">
        <w:t xml:space="preserve"> </w:t>
      </w:r>
      <w:r w:rsidR="00B62763">
        <w:t>LMPs</w:t>
      </w:r>
      <w:r w:rsidR="007C1388">
        <w:t>.  Under this approval</w:t>
      </w:r>
      <w:r w:rsidR="007700CC" w:rsidRPr="00296865">
        <w:t xml:space="preserve">, </w:t>
      </w:r>
      <w:r w:rsidR="00507075">
        <w:t xml:space="preserve">for </w:t>
      </w:r>
      <w:r w:rsidR="00366DA3" w:rsidRPr="003F7B81">
        <w:t xml:space="preserve">an incremental energy offer </w:t>
      </w:r>
      <w:r w:rsidR="00366DA3">
        <w:t xml:space="preserve">equal to or </w:t>
      </w:r>
      <w:r w:rsidR="00366DA3" w:rsidRPr="003F7B81">
        <w:t>above $1,000/MWh and less than or equal to $2,000/MWh</w:t>
      </w:r>
      <w:r w:rsidR="00366DA3">
        <w:t>,</w:t>
      </w:r>
      <w:r w:rsidR="00366DA3" w:rsidRPr="003F7B81">
        <w:t xml:space="preserve"> the RTO/ISO or Market Monitoring Unit must verify that the offer is cost-based before the RTO/ISO may use the offer to calculate LMPs. </w:t>
      </w:r>
      <w:r w:rsidR="00366DA3">
        <w:t xml:space="preserve"> </w:t>
      </w:r>
      <w:r w:rsidR="00366DA3" w:rsidRPr="003F7B81">
        <w:t>For an incremental energy offer above $2,000/MWh, the RTO/ISO or Market Monitoring Unit must also verify that the offer is cost-based</w:t>
      </w:r>
      <w:r w:rsidR="00507075">
        <w:t xml:space="preserve">.  However, a verified incremental energy offer above $2,000/MWh may not set LMP, though a resource with such a verified </w:t>
      </w:r>
      <w:r w:rsidR="00BF207F">
        <w:t xml:space="preserve">offer </w:t>
      </w:r>
      <w:r w:rsidR="00366DA3">
        <w:t>will be eligible to receive uplift.</w:t>
      </w:r>
      <w:r w:rsidR="00797ED4">
        <w:t xml:space="preserve">  </w:t>
      </w:r>
      <w:r w:rsidR="007C1388">
        <w:t>The approved</w:t>
      </w:r>
      <w:r w:rsidR="007700CC" w:rsidRPr="00296865">
        <w:t xml:space="preserve"> offer cap would be resource neutral, that is, any resource, regardless of fuel-type, would be eligible to submit a cost-based incremental energy offer above $1,000/MWh. </w:t>
      </w:r>
    </w:p>
    <w:p w14:paraId="7620234F" w14:textId="77777777" w:rsidR="00EC2638" w:rsidRDefault="00EC2638" w:rsidP="008041F9">
      <w:pPr>
        <w:pStyle w:val="Default"/>
        <w:spacing w:line="276" w:lineRule="auto"/>
      </w:pPr>
    </w:p>
    <w:p w14:paraId="2D5E6FE2" w14:textId="4A147BE7" w:rsidR="007700CC" w:rsidRPr="00296865" w:rsidRDefault="008041F9" w:rsidP="008041F9">
      <w:pPr>
        <w:pStyle w:val="Default"/>
        <w:spacing w:line="276" w:lineRule="auto"/>
      </w:pPr>
      <w:r>
        <w:tab/>
      </w:r>
      <w:r w:rsidR="007C1388">
        <w:t>The Commission approves</w:t>
      </w:r>
      <w:r w:rsidR="007700CC" w:rsidRPr="00296865">
        <w:t xml:space="preserve"> a generic change to the offer cap applicable to all RTOs/ISOs through a rulemaking to avoid exacerbating seams issues.  Seams issues could arise if one RTO/ISO has an offer cap that materially differed from a neighboring RTO</w:t>
      </w:r>
      <w:r w:rsidR="00A71D21">
        <w:t>’s</w:t>
      </w:r>
      <w:r w:rsidR="007700CC" w:rsidRPr="00296865">
        <w:t xml:space="preserve">/ISO’s offer cap.  Different offer caps in neighboring RTOs/ISOs could result in flows that depend on the level of the two offer caps as opposed to economics or reliability needs. </w:t>
      </w:r>
    </w:p>
    <w:p w14:paraId="364E50B3" w14:textId="77777777" w:rsidR="00FC78A0" w:rsidRDefault="00FC78A0" w:rsidP="00FC78A0">
      <w:pPr>
        <w:spacing w:after="0"/>
        <w:rPr>
          <w:rFonts w:ascii="Times New Roman" w:hAnsi="Times New Roman" w:cs="Times New Roman"/>
          <w:sz w:val="24"/>
          <w:szCs w:val="24"/>
        </w:rPr>
      </w:pPr>
    </w:p>
    <w:p w14:paraId="757AB871"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0002C9F4" w14:textId="77777777" w:rsidR="00EB3E6F" w:rsidRDefault="00EB3E6F" w:rsidP="00EB3E6F">
      <w:pPr>
        <w:spacing w:after="0"/>
        <w:rPr>
          <w:rFonts w:ascii="Times New Roman" w:hAnsi="Times New Roman" w:cs="Times New Roman"/>
          <w:sz w:val="24"/>
          <w:szCs w:val="24"/>
        </w:rPr>
      </w:pPr>
    </w:p>
    <w:p w14:paraId="060A55B5" w14:textId="167F4650" w:rsidR="00FC0A35" w:rsidRDefault="00C45B7E" w:rsidP="00FC0A35">
      <w:pPr>
        <w:spacing w:after="0"/>
        <w:ind w:firstLine="360"/>
        <w:rPr>
          <w:rFonts w:ascii="Times New Roman" w:hAnsi="Times New Roman" w:cs="Times New Roman"/>
          <w:sz w:val="24"/>
          <w:szCs w:val="24"/>
        </w:rPr>
      </w:pPr>
      <w:r>
        <w:rPr>
          <w:rFonts w:ascii="Times New Roman" w:hAnsi="Times New Roman" w:cs="Times New Roman"/>
          <w:sz w:val="24"/>
          <w:szCs w:val="24"/>
        </w:rPr>
        <w:tab/>
      </w:r>
      <w:r w:rsidR="007C1388">
        <w:rPr>
          <w:rFonts w:ascii="Times New Roman" w:hAnsi="Times New Roman" w:cs="Times New Roman"/>
          <w:sz w:val="24"/>
          <w:szCs w:val="24"/>
        </w:rPr>
        <w:t>The reforms approved in this Final Rule</w:t>
      </w:r>
      <w:r w:rsidR="00FC0A35" w:rsidRPr="00FC0A35">
        <w:rPr>
          <w:rFonts w:ascii="Times New Roman" w:hAnsi="Times New Roman" w:cs="Times New Roman"/>
          <w:sz w:val="24"/>
          <w:szCs w:val="24"/>
        </w:rPr>
        <w:t xml:space="preserve"> amend the Commission’s regulations to improve the operation of organized wholesale electric power markets operated by RTO</w:t>
      </w:r>
      <w:r w:rsidR="007C1388">
        <w:rPr>
          <w:rFonts w:ascii="Times New Roman" w:hAnsi="Times New Roman" w:cs="Times New Roman"/>
          <w:sz w:val="24"/>
          <w:szCs w:val="24"/>
        </w:rPr>
        <w:t>s/ISOs.  The Commission approves the requirement</w:t>
      </w:r>
      <w:r w:rsidR="00FC0A35" w:rsidRPr="00FC0A35">
        <w:rPr>
          <w:rFonts w:ascii="Times New Roman" w:hAnsi="Times New Roman" w:cs="Times New Roman"/>
          <w:sz w:val="24"/>
          <w:szCs w:val="24"/>
        </w:rPr>
        <w:t xml:space="preserve"> that each RTO/ISO </w:t>
      </w:r>
      <w:r w:rsidR="005443A4">
        <w:rPr>
          <w:rFonts w:ascii="Times New Roman" w:hAnsi="Times New Roman" w:cs="Times New Roman"/>
          <w:sz w:val="24"/>
          <w:szCs w:val="24"/>
        </w:rPr>
        <w:t xml:space="preserve">(1) </w:t>
      </w:r>
      <w:r w:rsidR="005443A4" w:rsidRPr="005443A4">
        <w:rPr>
          <w:rFonts w:ascii="Times New Roman" w:hAnsi="Times New Roman" w:cs="Times New Roman"/>
          <w:sz w:val="24"/>
          <w:szCs w:val="24"/>
        </w:rPr>
        <w:t>cap each resource’s incremental energy offer at the higher of $1,000/</w:t>
      </w:r>
      <w:r w:rsidR="005443A4">
        <w:rPr>
          <w:rFonts w:ascii="Times New Roman" w:hAnsi="Times New Roman" w:cs="Times New Roman"/>
          <w:sz w:val="24"/>
          <w:szCs w:val="24"/>
        </w:rPr>
        <w:t>MWh</w:t>
      </w:r>
      <w:r w:rsidR="005443A4" w:rsidRPr="005443A4">
        <w:rPr>
          <w:rFonts w:ascii="Times New Roman" w:hAnsi="Times New Roman" w:cs="Times New Roman"/>
          <w:sz w:val="24"/>
          <w:szCs w:val="24"/>
        </w:rPr>
        <w:t xml:space="preserve"> or that resource’s verified cost-based incremental energy offer; and (2) cap verified cost-based incremental energy offers at $2,000/MWh when </w:t>
      </w:r>
      <w:r w:rsidR="005443A4" w:rsidRPr="005443A4">
        <w:rPr>
          <w:rFonts w:ascii="Times New Roman" w:hAnsi="Times New Roman" w:cs="Times New Roman"/>
          <w:sz w:val="24"/>
          <w:szCs w:val="24"/>
        </w:rPr>
        <w:lastRenderedPageBreak/>
        <w:t>calculating LMPs</w:t>
      </w:r>
      <w:r w:rsidR="007C1388">
        <w:rPr>
          <w:rFonts w:ascii="Times New Roman" w:hAnsi="Times New Roman" w:cs="Times New Roman"/>
          <w:sz w:val="24"/>
          <w:szCs w:val="24"/>
        </w:rPr>
        <w:t>.  The reforms approved in this Final Rule</w:t>
      </w:r>
      <w:r w:rsidR="00FC0A35" w:rsidRPr="00FC0A35">
        <w:rPr>
          <w:rFonts w:ascii="Times New Roman" w:hAnsi="Times New Roman" w:cs="Times New Roman"/>
          <w:sz w:val="24"/>
          <w:szCs w:val="24"/>
        </w:rPr>
        <w:t xml:space="preserve"> require one-time filings of tariffs with the Commission and </w:t>
      </w:r>
      <w:r w:rsidR="00FC0A35" w:rsidRPr="005D608A">
        <w:rPr>
          <w:rFonts w:ascii="Times New Roman" w:hAnsi="Times New Roman" w:cs="Times New Roman"/>
          <w:sz w:val="24"/>
          <w:szCs w:val="24"/>
        </w:rPr>
        <w:t>potential software upgrades</w:t>
      </w:r>
      <w:r w:rsidR="00445C47" w:rsidRPr="003D600F">
        <w:rPr>
          <w:rStyle w:val="FootnoteReference"/>
          <w:rFonts w:ascii="Times New Roman" w:hAnsi="Times New Roman" w:cs="Times New Roman"/>
          <w:sz w:val="24"/>
          <w:szCs w:val="24"/>
          <w:vertAlign w:val="superscript"/>
        </w:rPr>
        <w:footnoteReference w:id="4"/>
      </w:r>
      <w:r w:rsidR="00FC0A35" w:rsidRPr="00FC0A35">
        <w:rPr>
          <w:rFonts w:ascii="Times New Roman" w:hAnsi="Times New Roman" w:cs="Times New Roman"/>
          <w:sz w:val="24"/>
          <w:szCs w:val="24"/>
        </w:rPr>
        <w:t xml:space="preserve"> t</w:t>
      </w:r>
      <w:r w:rsidR="007C1388">
        <w:rPr>
          <w:rFonts w:ascii="Times New Roman" w:hAnsi="Times New Roman" w:cs="Times New Roman"/>
          <w:sz w:val="24"/>
          <w:szCs w:val="24"/>
        </w:rPr>
        <w:t>o implement the reforms approved</w:t>
      </w:r>
      <w:r w:rsidR="00FC0A35" w:rsidRPr="00FC0A35">
        <w:rPr>
          <w:rFonts w:ascii="Times New Roman" w:hAnsi="Times New Roman" w:cs="Times New Roman"/>
          <w:sz w:val="24"/>
          <w:szCs w:val="24"/>
        </w:rPr>
        <w:t xml:space="preserve"> in this </w:t>
      </w:r>
      <w:r w:rsidR="007C1388">
        <w:rPr>
          <w:rFonts w:ascii="Times New Roman" w:hAnsi="Times New Roman" w:cs="Times New Roman"/>
          <w:sz w:val="24"/>
          <w:szCs w:val="24"/>
        </w:rPr>
        <w:t>Final Rule</w:t>
      </w:r>
      <w:r w:rsidR="00FC0A35" w:rsidRPr="00FC0A35">
        <w:rPr>
          <w:rFonts w:ascii="Times New Roman" w:hAnsi="Times New Roman" w:cs="Times New Roman"/>
          <w:sz w:val="24"/>
          <w:szCs w:val="24"/>
        </w:rPr>
        <w:t xml:space="preserve">.  The Commission </w:t>
      </w:r>
      <w:r w:rsidR="00935CC8">
        <w:rPr>
          <w:rFonts w:ascii="Times New Roman" w:hAnsi="Times New Roman" w:cs="Times New Roman"/>
          <w:sz w:val="24"/>
          <w:szCs w:val="24"/>
        </w:rPr>
        <w:t>anticipates the reforms approved in this Final Rule</w:t>
      </w:r>
      <w:r w:rsidR="00FC0A35" w:rsidRPr="00FC0A35">
        <w:rPr>
          <w:rFonts w:ascii="Times New Roman" w:hAnsi="Times New Roman" w:cs="Times New Roman"/>
          <w:sz w:val="24"/>
          <w:szCs w:val="24"/>
        </w:rPr>
        <w:t xml:space="preserve">, once implemented, would not significantly change currently existing burdens on an ongoing basis.  With regard to those RTOs/ISOs that believe that they already comply with the reforms in this </w:t>
      </w:r>
      <w:r w:rsidR="00E238FA">
        <w:rPr>
          <w:rFonts w:ascii="Times New Roman" w:hAnsi="Times New Roman" w:cs="Times New Roman"/>
          <w:sz w:val="24"/>
          <w:szCs w:val="24"/>
        </w:rPr>
        <w:t>Final Rule</w:t>
      </w:r>
      <w:r w:rsidR="00FC0A35" w:rsidRPr="00FC0A35">
        <w:rPr>
          <w:rFonts w:ascii="Times New Roman" w:hAnsi="Times New Roman" w:cs="Times New Roman"/>
          <w:sz w:val="24"/>
          <w:szCs w:val="24"/>
        </w:rPr>
        <w:t xml:space="preserve">, they could demonstrate their compliance in the compliance filing required </w:t>
      </w:r>
      <w:r w:rsidR="004F173D">
        <w:rPr>
          <w:rFonts w:ascii="Times New Roman" w:hAnsi="Times New Roman" w:cs="Times New Roman"/>
          <w:sz w:val="24"/>
          <w:szCs w:val="24"/>
        </w:rPr>
        <w:t>75 days</w:t>
      </w:r>
      <w:r w:rsidR="00FC0A35" w:rsidRPr="00FC0A35">
        <w:rPr>
          <w:rFonts w:ascii="Times New Roman" w:hAnsi="Times New Roman" w:cs="Times New Roman"/>
          <w:sz w:val="24"/>
          <w:szCs w:val="24"/>
        </w:rPr>
        <w:t xml:space="preserve"> after the effective date of </w:t>
      </w:r>
      <w:r w:rsidR="00810058">
        <w:rPr>
          <w:rFonts w:ascii="Times New Roman" w:hAnsi="Times New Roman" w:cs="Times New Roman"/>
          <w:sz w:val="24"/>
          <w:szCs w:val="24"/>
        </w:rPr>
        <w:t>this</w:t>
      </w:r>
      <w:r w:rsidR="00810058" w:rsidRPr="00FC0A35">
        <w:rPr>
          <w:rFonts w:ascii="Times New Roman" w:hAnsi="Times New Roman" w:cs="Times New Roman"/>
          <w:sz w:val="24"/>
          <w:szCs w:val="24"/>
        </w:rPr>
        <w:t xml:space="preserve"> </w:t>
      </w:r>
      <w:r w:rsidR="00810058">
        <w:rPr>
          <w:rFonts w:ascii="Times New Roman" w:hAnsi="Times New Roman" w:cs="Times New Roman"/>
          <w:sz w:val="24"/>
          <w:szCs w:val="24"/>
        </w:rPr>
        <w:t>F</w:t>
      </w:r>
      <w:r w:rsidR="00FC0A35" w:rsidRPr="00FC0A35">
        <w:rPr>
          <w:rFonts w:ascii="Times New Roman" w:hAnsi="Times New Roman" w:cs="Times New Roman"/>
          <w:sz w:val="24"/>
          <w:szCs w:val="24"/>
        </w:rPr>
        <w:t xml:space="preserve">inal </w:t>
      </w:r>
      <w:r w:rsidR="00810058">
        <w:rPr>
          <w:rFonts w:ascii="Times New Roman" w:hAnsi="Times New Roman" w:cs="Times New Roman"/>
          <w:sz w:val="24"/>
          <w:szCs w:val="24"/>
        </w:rPr>
        <w:t>R</w:t>
      </w:r>
      <w:r w:rsidR="00FC0A35" w:rsidRPr="00FC0A35">
        <w:rPr>
          <w:rFonts w:ascii="Times New Roman" w:hAnsi="Times New Roman" w:cs="Times New Roman"/>
          <w:sz w:val="24"/>
          <w:szCs w:val="24"/>
        </w:rPr>
        <w:t xml:space="preserve">ule.  </w:t>
      </w:r>
    </w:p>
    <w:p w14:paraId="5586BFD8" w14:textId="77777777" w:rsidR="00081E53" w:rsidRDefault="00081E53" w:rsidP="00FC0A35">
      <w:pPr>
        <w:spacing w:after="0"/>
        <w:ind w:firstLine="360"/>
        <w:rPr>
          <w:rFonts w:ascii="Times New Roman" w:hAnsi="Times New Roman" w:cs="Times New Roman"/>
          <w:sz w:val="24"/>
          <w:szCs w:val="24"/>
        </w:rPr>
      </w:pPr>
    </w:p>
    <w:p w14:paraId="2A15DB85" w14:textId="5F200677" w:rsidR="009F233E" w:rsidRDefault="00C45B7E" w:rsidP="00C45B7E">
      <w:pPr>
        <w:spacing w:after="0"/>
        <w:rPr>
          <w:rFonts w:ascii="Times New Roman" w:hAnsi="Times New Roman" w:cs="Times New Roman"/>
          <w:sz w:val="24"/>
          <w:szCs w:val="24"/>
        </w:rPr>
      </w:pPr>
      <w:r>
        <w:rPr>
          <w:rFonts w:ascii="Times New Roman" w:hAnsi="Times New Roman" w:cs="Times New Roman"/>
          <w:sz w:val="24"/>
          <w:szCs w:val="24"/>
        </w:rPr>
        <w:tab/>
      </w:r>
      <w:r w:rsidR="00D81471">
        <w:rPr>
          <w:rFonts w:ascii="Times New Roman" w:hAnsi="Times New Roman" w:cs="Times New Roman"/>
          <w:sz w:val="24"/>
          <w:szCs w:val="24"/>
        </w:rPr>
        <w:t xml:space="preserve">If the Commission does not </w:t>
      </w:r>
      <w:r w:rsidR="002F5B7A">
        <w:rPr>
          <w:rFonts w:ascii="Times New Roman" w:hAnsi="Times New Roman" w:cs="Times New Roman"/>
          <w:sz w:val="24"/>
          <w:szCs w:val="24"/>
        </w:rPr>
        <w:t>require</w:t>
      </w:r>
      <w:r w:rsidR="00D81471">
        <w:rPr>
          <w:rFonts w:ascii="Times New Roman" w:hAnsi="Times New Roman" w:cs="Times New Roman"/>
          <w:sz w:val="24"/>
          <w:szCs w:val="24"/>
        </w:rPr>
        <w:t xml:space="preserve"> RTOs/ISOs to submit </w:t>
      </w:r>
      <w:r w:rsidR="000E5327">
        <w:rPr>
          <w:rFonts w:ascii="Times New Roman" w:hAnsi="Times New Roman" w:cs="Times New Roman"/>
          <w:sz w:val="24"/>
          <w:szCs w:val="24"/>
        </w:rPr>
        <w:t xml:space="preserve">the </w:t>
      </w:r>
      <w:r w:rsidR="00D81471">
        <w:rPr>
          <w:rFonts w:ascii="Times New Roman" w:hAnsi="Times New Roman" w:cs="Times New Roman"/>
          <w:sz w:val="24"/>
          <w:szCs w:val="24"/>
        </w:rPr>
        <w:t xml:space="preserve">tariff filings, the Commission will not be able to </w:t>
      </w:r>
      <w:r w:rsidR="00D81471" w:rsidRPr="003D6545">
        <w:rPr>
          <w:rFonts w:ascii="Times New Roman" w:hAnsi="Times New Roman" w:cs="Times New Roman"/>
          <w:sz w:val="24"/>
          <w:szCs w:val="24"/>
        </w:rPr>
        <w:t xml:space="preserve">ensure that </w:t>
      </w:r>
      <w:r w:rsidR="009F233E">
        <w:rPr>
          <w:rFonts w:ascii="Times New Roman" w:hAnsi="Times New Roman" w:cs="Times New Roman"/>
          <w:sz w:val="24"/>
          <w:szCs w:val="24"/>
        </w:rPr>
        <w:t xml:space="preserve">(1) </w:t>
      </w:r>
      <w:r w:rsidR="00D81471" w:rsidRPr="003D6545">
        <w:rPr>
          <w:rFonts w:ascii="Times New Roman" w:hAnsi="Times New Roman" w:cs="Times New Roman"/>
          <w:sz w:val="24"/>
          <w:szCs w:val="24"/>
        </w:rPr>
        <w:t xml:space="preserve">resources </w:t>
      </w:r>
      <w:r w:rsidR="009F233E">
        <w:rPr>
          <w:rFonts w:ascii="Times New Roman" w:hAnsi="Times New Roman" w:cs="Times New Roman"/>
          <w:sz w:val="24"/>
          <w:szCs w:val="24"/>
        </w:rPr>
        <w:t xml:space="preserve">can recoup their short-run marginal costs, (2) LMPs are </w:t>
      </w:r>
      <w:r w:rsidR="007A0748" w:rsidRPr="001026E0">
        <w:rPr>
          <w:rFonts w:ascii="Times New Roman" w:hAnsi="Times New Roman" w:cs="Times New Roman"/>
          <w:sz w:val="24"/>
          <w:szCs w:val="24"/>
        </w:rPr>
        <w:t>less likely to be</w:t>
      </w:r>
      <w:r w:rsidR="009F233E">
        <w:rPr>
          <w:rFonts w:ascii="Times New Roman" w:hAnsi="Times New Roman" w:cs="Times New Roman"/>
          <w:sz w:val="24"/>
          <w:szCs w:val="24"/>
        </w:rPr>
        <w:t xml:space="preserve"> suppressed, (3) RTOs/ISO are able to dispatch the most efficient set of resources, and (4) resources are not discouraged from offering supply into the market.</w:t>
      </w:r>
    </w:p>
    <w:p w14:paraId="55616F5D" w14:textId="77777777" w:rsidR="00785CD2" w:rsidRPr="00EB3E6F" w:rsidRDefault="00785CD2" w:rsidP="00F63DF4">
      <w:pPr>
        <w:spacing w:after="0"/>
        <w:rPr>
          <w:rFonts w:ascii="Times New Roman" w:hAnsi="Times New Roman" w:cs="Times New Roman"/>
          <w:sz w:val="24"/>
          <w:szCs w:val="24"/>
        </w:rPr>
      </w:pPr>
    </w:p>
    <w:p w14:paraId="15FA2A44"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39342043" w14:textId="77777777" w:rsidR="00EB3E6F" w:rsidRDefault="00EB3E6F" w:rsidP="00EB3E6F">
      <w:pPr>
        <w:spacing w:after="0"/>
        <w:rPr>
          <w:rFonts w:ascii="Times New Roman" w:hAnsi="Times New Roman" w:cs="Times New Roman"/>
          <w:sz w:val="24"/>
          <w:szCs w:val="24"/>
        </w:rPr>
      </w:pPr>
    </w:p>
    <w:p w14:paraId="46260748" w14:textId="62F4AF8D" w:rsidR="00D81471" w:rsidRPr="003D6545" w:rsidRDefault="00C45B7E" w:rsidP="00C45B7E">
      <w:pPr>
        <w:spacing w:after="0"/>
        <w:rPr>
          <w:rFonts w:ascii="Times New Roman" w:hAnsi="Times New Roman" w:cs="Times New Roman"/>
          <w:sz w:val="24"/>
          <w:szCs w:val="24"/>
        </w:rPr>
      </w:pPr>
      <w:r>
        <w:rPr>
          <w:rFonts w:ascii="Times New Roman" w:hAnsi="Times New Roman" w:cs="Times New Roman"/>
          <w:sz w:val="24"/>
          <w:szCs w:val="24"/>
        </w:rPr>
        <w:tab/>
      </w:r>
      <w:r w:rsidR="00D81471" w:rsidRPr="003D6545">
        <w:rPr>
          <w:rFonts w:ascii="Times New Roman" w:hAnsi="Times New Roman" w:cs="Times New Roman"/>
          <w:sz w:val="24"/>
          <w:szCs w:val="24"/>
        </w:rPr>
        <w:t xml:space="preserve">FERC implemented its eTariff system (fully implemented in 2010) for the electronic filing of tariffs.  (eTariff is described more fully at </w:t>
      </w:r>
      <w:hyperlink r:id="rId12" w:history="1">
        <w:r w:rsidR="00D81471" w:rsidRPr="003D6545">
          <w:rPr>
            <w:rStyle w:val="Hyperlink"/>
            <w:rFonts w:ascii="Times New Roman" w:hAnsi="Times New Roman" w:cs="Times New Roman"/>
            <w:sz w:val="24"/>
            <w:szCs w:val="24"/>
          </w:rPr>
          <w:t>http://www.ferc.gov/docs-filing/etariff.asp</w:t>
        </w:r>
      </w:hyperlink>
      <w:r w:rsidR="00D81471" w:rsidRPr="003D6545">
        <w:rPr>
          <w:rFonts w:ascii="Times New Roman" w:hAnsi="Times New Roman" w:cs="Times New Roman"/>
          <w:sz w:val="24"/>
          <w:szCs w:val="24"/>
        </w:rPr>
        <w:t>)</w:t>
      </w:r>
      <w:r w:rsidR="009F1661">
        <w:rPr>
          <w:rFonts w:ascii="Times New Roman" w:hAnsi="Times New Roman" w:cs="Times New Roman"/>
          <w:sz w:val="24"/>
          <w:szCs w:val="24"/>
        </w:rPr>
        <w:t>.</w:t>
      </w:r>
      <w:r w:rsidR="00D81471" w:rsidRPr="003D6545">
        <w:rPr>
          <w:rFonts w:ascii="Times New Roman" w:hAnsi="Times New Roman" w:cs="Times New Roman"/>
          <w:sz w:val="24"/>
          <w:szCs w:val="24"/>
        </w:rPr>
        <w:t xml:space="preserve">  The tariff complia</w:t>
      </w:r>
      <w:r w:rsidR="00F673B6">
        <w:rPr>
          <w:rFonts w:ascii="Times New Roman" w:hAnsi="Times New Roman" w:cs="Times New Roman"/>
          <w:sz w:val="24"/>
          <w:szCs w:val="24"/>
        </w:rPr>
        <w:t>nce filing approved in this Final Rule</w:t>
      </w:r>
      <w:r w:rsidR="00D81471" w:rsidRPr="003D6545">
        <w:rPr>
          <w:rFonts w:ascii="Times New Roman" w:hAnsi="Times New Roman" w:cs="Times New Roman"/>
          <w:sz w:val="24"/>
          <w:szCs w:val="24"/>
        </w:rPr>
        <w:t xml:space="preserve"> will be eFiled.</w:t>
      </w:r>
    </w:p>
    <w:p w14:paraId="1A8DCFA2" w14:textId="77777777" w:rsidR="00A0495C" w:rsidRPr="00EB3E6F" w:rsidRDefault="00A0495C" w:rsidP="00EB3E6F">
      <w:pPr>
        <w:spacing w:after="0"/>
        <w:rPr>
          <w:rFonts w:ascii="Times New Roman" w:hAnsi="Times New Roman" w:cs="Times New Roman"/>
          <w:sz w:val="24"/>
          <w:szCs w:val="24"/>
        </w:rPr>
      </w:pPr>
    </w:p>
    <w:p w14:paraId="4D632A7B"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422D2856" w14:textId="116217A0" w:rsidR="00D81471" w:rsidRDefault="00D81471" w:rsidP="0022615A">
      <w:pPr>
        <w:spacing w:after="0"/>
        <w:rPr>
          <w:rFonts w:ascii="Times New Roman" w:hAnsi="Times New Roman" w:cs="Times New Roman"/>
          <w:sz w:val="24"/>
          <w:szCs w:val="24"/>
        </w:rPr>
      </w:pPr>
    </w:p>
    <w:p w14:paraId="5971327F" w14:textId="6C8C0FDE" w:rsidR="00D81471" w:rsidRPr="003D6545" w:rsidRDefault="00C45B7E" w:rsidP="00C45B7E">
      <w:pPr>
        <w:spacing w:after="0"/>
        <w:rPr>
          <w:rFonts w:ascii="Times New Roman" w:hAnsi="Times New Roman" w:cs="Times New Roman"/>
          <w:sz w:val="24"/>
          <w:szCs w:val="24"/>
        </w:rPr>
      </w:pPr>
      <w:r>
        <w:rPr>
          <w:rFonts w:ascii="Times New Roman" w:hAnsi="Times New Roman" w:cs="Times New Roman"/>
          <w:sz w:val="24"/>
          <w:szCs w:val="24"/>
        </w:rPr>
        <w:tab/>
      </w:r>
      <w:r w:rsidR="00D81471" w:rsidRPr="003D6545">
        <w:rPr>
          <w:rFonts w:ascii="Times New Roman" w:hAnsi="Times New Roman" w:cs="Times New Roman"/>
          <w:sz w:val="24"/>
          <w:szCs w:val="24"/>
        </w:rPr>
        <w:t xml:space="preserve">FERC rules and data requirements are periodically reviewed in conjunction with OMB clearance expiration dates.  This includes a review of FERC's regulations and data requirements to identify duplication.  The information to be submitted, generated, kept, </w:t>
      </w:r>
      <w:r w:rsidR="00F673B6">
        <w:rPr>
          <w:rFonts w:ascii="Times New Roman" w:hAnsi="Times New Roman" w:cs="Times New Roman"/>
          <w:sz w:val="24"/>
          <w:szCs w:val="24"/>
        </w:rPr>
        <w:t>or posted, pursuant to this Final Rule</w:t>
      </w:r>
      <w:r w:rsidR="00D81471" w:rsidRPr="003D6545">
        <w:rPr>
          <w:rFonts w:ascii="Times New Roman" w:hAnsi="Times New Roman" w:cs="Times New Roman"/>
          <w:sz w:val="24"/>
          <w:szCs w:val="24"/>
        </w:rPr>
        <w:t xml:space="preserve"> is not readily available from other</w:t>
      </w:r>
      <w:r w:rsidR="00D81471">
        <w:rPr>
          <w:rFonts w:ascii="Times New Roman" w:hAnsi="Times New Roman" w:cs="Times New Roman"/>
          <w:sz w:val="24"/>
          <w:szCs w:val="24"/>
        </w:rPr>
        <w:t xml:space="preserve"> sources</w:t>
      </w:r>
      <w:r w:rsidR="00D81471" w:rsidRPr="003D6545">
        <w:rPr>
          <w:rFonts w:ascii="Times New Roman" w:hAnsi="Times New Roman" w:cs="Times New Roman"/>
          <w:sz w:val="24"/>
          <w:szCs w:val="24"/>
        </w:rPr>
        <w:t>.</w:t>
      </w:r>
    </w:p>
    <w:p w14:paraId="236ED69D" w14:textId="77777777" w:rsidR="00ED32B9" w:rsidRPr="00EB3E6F" w:rsidRDefault="00ED32B9" w:rsidP="00EB3E6F">
      <w:pPr>
        <w:spacing w:after="0"/>
        <w:rPr>
          <w:rFonts w:ascii="Times New Roman" w:hAnsi="Times New Roman" w:cs="Times New Roman"/>
          <w:sz w:val="24"/>
          <w:szCs w:val="24"/>
        </w:rPr>
      </w:pPr>
    </w:p>
    <w:p w14:paraId="29A71738" w14:textId="0F914474" w:rsidR="00A0495C" w:rsidRPr="0022615A" w:rsidRDefault="00EB3E6F" w:rsidP="00296865">
      <w:pPr>
        <w:pStyle w:val="ListParagraph"/>
        <w:numPr>
          <w:ilvl w:val="0"/>
          <w:numId w:val="1"/>
        </w:numPr>
        <w:spacing w:after="0"/>
        <w:ind w:left="360"/>
        <w:rPr>
          <w:rFonts w:ascii="Times New Roman" w:hAnsi="Times New Roman" w:cs="Times New Roman"/>
          <w:sz w:val="24"/>
          <w:szCs w:val="24"/>
        </w:rPr>
      </w:pPr>
      <w:r w:rsidRPr="00EB3E6F">
        <w:rPr>
          <w:rFonts w:ascii="Times New Roman" w:hAnsi="Times New Roman" w:cs="Times New Roman"/>
          <w:b/>
          <w:sz w:val="24"/>
          <w:szCs w:val="24"/>
        </w:rPr>
        <w:t>METHODS USED TO MINIMIZE THE BURDEN IN COLLECTION OF INFORMATION INVOLVING SMALL ENTITIES</w:t>
      </w:r>
    </w:p>
    <w:p w14:paraId="6AB62D01" w14:textId="7F6234EA" w:rsidR="00D81471" w:rsidRDefault="00D81471" w:rsidP="007C3586">
      <w:pPr>
        <w:spacing w:after="0"/>
        <w:ind w:firstLine="360"/>
        <w:rPr>
          <w:rFonts w:ascii="Times New Roman" w:hAnsi="Times New Roman" w:cs="Times New Roman"/>
          <w:sz w:val="24"/>
          <w:szCs w:val="24"/>
        </w:rPr>
      </w:pPr>
    </w:p>
    <w:p w14:paraId="3A3AB89A" w14:textId="09F80278" w:rsidR="00D81471" w:rsidRPr="003D6545" w:rsidRDefault="00C45B7E" w:rsidP="00C45B7E">
      <w:pPr>
        <w:spacing w:after="0"/>
        <w:rPr>
          <w:rFonts w:ascii="Times New Roman" w:hAnsi="Times New Roman" w:cs="Times New Roman"/>
          <w:sz w:val="24"/>
          <w:szCs w:val="24"/>
        </w:rPr>
      </w:pPr>
      <w:r>
        <w:rPr>
          <w:rFonts w:ascii="Times New Roman" w:hAnsi="Times New Roman" w:cs="Times New Roman"/>
          <w:sz w:val="24"/>
          <w:szCs w:val="24"/>
        </w:rPr>
        <w:lastRenderedPageBreak/>
        <w:tab/>
      </w:r>
      <w:r w:rsidR="00D81471" w:rsidRPr="003D6545">
        <w:rPr>
          <w:rFonts w:ascii="Times New Roman" w:hAnsi="Times New Roman" w:cs="Times New Roman"/>
          <w:sz w:val="24"/>
          <w:szCs w:val="24"/>
        </w:rPr>
        <w:t>The Small Business Administration’s (SBA) Office of Size Standards develops the numerical definition of a small business.</w:t>
      </w:r>
      <w:r w:rsidR="00D81471" w:rsidRPr="003D6545">
        <w:rPr>
          <w:rStyle w:val="FootnoteReference"/>
          <w:rFonts w:ascii="Times New Roman" w:hAnsi="Times New Roman" w:cs="Times New Roman"/>
          <w:sz w:val="24"/>
          <w:szCs w:val="24"/>
          <w:vertAlign w:val="superscript"/>
        </w:rPr>
        <w:footnoteReference w:id="5"/>
      </w:r>
      <w:r w:rsidR="00D81471" w:rsidRPr="003D6545">
        <w:rPr>
          <w:rFonts w:ascii="Times New Roman" w:hAnsi="Times New Roman" w:cs="Times New Roman"/>
          <w:sz w:val="24"/>
          <w:szCs w:val="24"/>
        </w:rPr>
        <w:t xml:space="preserve">  The SBA revised its size standard for electric utilities (effective January 22, 2014) to a standard based on the number of employees, including affiliates (from a standard based on megawatt hours).</w:t>
      </w:r>
      <w:r w:rsidR="00D81471" w:rsidRPr="003D6545">
        <w:rPr>
          <w:rStyle w:val="FootnoteReference"/>
          <w:rFonts w:ascii="Times New Roman" w:hAnsi="Times New Roman" w:cs="Times New Roman"/>
          <w:sz w:val="24"/>
          <w:szCs w:val="24"/>
          <w:vertAlign w:val="superscript"/>
        </w:rPr>
        <w:footnoteReference w:id="6"/>
      </w:r>
      <w:r w:rsidR="00D81471" w:rsidRPr="003D6545">
        <w:rPr>
          <w:rFonts w:ascii="Times New Roman" w:hAnsi="Times New Roman" w:cs="Times New Roman"/>
          <w:sz w:val="24"/>
          <w:szCs w:val="24"/>
          <w:vertAlign w:val="superscript"/>
        </w:rPr>
        <w:t xml:space="preserve"> </w:t>
      </w:r>
      <w:r w:rsidR="00D81471" w:rsidRPr="003D6545">
        <w:rPr>
          <w:rFonts w:ascii="Times New Roman" w:hAnsi="Times New Roman" w:cs="Times New Roman"/>
          <w:sz w:val="24"/>
          <w:szCs w:val="24"/>
        </w:rPr>
        <w:t xml:space="preserve">  </w:t>
      </w:r>
    </w:p>
    <w:p w14:paraId="79C8CF99" w14:textId="77777777" w:rsidR="00D81471" w:rsidRPr="003D6545" w:rsidRDefault="00D81471" w:rsidP="00C45B7E">
      <w:pPr>
        <w:spacing w:after="0"/>
        <w:rPr>
          <w:rFonts w:ascii="Times New Roman" w:hAnsi="Times New Roman" w:cs="Times New Roman"/>
          <w:sz w:val="24"/>
          <w:szCs w:val="24"/>
        </w:rPr>
      </w:pPr>
    </w:p>
    <w:p w14:paraId="69E967A9" w14:textId="1D16B201" w:rsidR="00D81471" w:rsidRDefault="00C45B7E" w:rsidP="00C45B7E">
      <w:pPr>
        <w:spacing w:after="0"/>
        <w:rPr>
          <w:rFonts w:ascii="Times New Roman" w:hAnsi="Times New Roman" w:cs="Times New Roman"/>
          <w:sz w:val="24"/>
          <w:szCs w:val="24"/>
        </w:rPr>
      </w:pPr>
      <w:r>
        <w:rPr>
          <w:rFonts w:ascii="Times New Roman" w:eastAsia="Times New Roman" w:hAnsi="Times New Roman" w:cs="Times New Roman"/>
          <w:sz w:val="24"/>
          <w:szCs w:val="24"/>
        </w:rPr>
        <w:tab/>
      </w:r>
      <w:r w:rsidR="00F673B6">
        <w:rPr>
          <w:rFonts w:ascii="Times New Roman" w:eastAsia="Times New Roman" w:hAnsi="Times New Roman" w:cs="Times New Roman"/>
          <w:sz w:val="24"/>
          <w:szCs w:val="24"/>
        </w:rPr>
        <w:t>The reforms approved in this Final Rule</w:t>
      </w:r>
      <w:r w:rsidR="00D81471" w:rsidRPr="003D6545">
        <w:rPr>
          <w:rFonts w:ascii="Times New Roman" w:eastAsia="Times New Roman" w:hAnsi="Times New Roman" w:cs="Times New Roman"/>
          <w:sz w:val="24"/>
          <w:szCs w:val="24"/>
        </w:rPr>
        <w:t xml:space="preserve"> would apply to </w:t>
      </w:r>
      <w:r w:rsidR="00D81471">
        <w:rPr>
          <w:rFonts w:ascii="Times New Roman" w:eastAsia="Times New Roman" w:hAnsi="Times New Roman" w:cs="Times New Roman"/>
          <w:sz w:val="24"/>
          <w:szCs w:val="24"/>
        </w:rPr>
        <w:t>the</w:t>
      </w:r>
      <w:r w:rsidR="00D81471" w:rsidRPr="003D6545">
        <w:rPr>
          <w:rFonts w:ascii="Times New Roman" w:eastAsia="Times New Roman" w:hAnsi="Times New Roman" w:cs="Times New Roman"/>
          <w:sz w:val="24"/>
          <w:szCs w:val="24"/>
        </w:rPr>
        <w:t xml:space="preserve"> RTOs and ISOs, all of which are transmission organizations and are included in the NAICS code 221121 (for Electric Bulk Power Transmission and Control), which has a threshold for small businesses of 500 employees.  The Commission understands that each </w:t>
      </w:r>
      <w:r w:rsidR="000E5327">
        <w:rPr>
          <w:rFonts w:ascii="Times New Roman" w:eastAsia="Times New Roman" w:hAnsi="Times New Roman" w:cs="Times New Roman"/>
          <w:sz w:val="24"/>
          <w:szCs w:val="24"/>
        </w:rPr>
        <w:t xml:space="preserve">affected </w:t>
      </w:r>
      <w:r w:rsidR="00D81471" w:rsidRPr="003D6545">
        <w:rPr>
          <w:rFonts w:ascii="Times New Roman" w:eastAsia="Times New Roman" w:hAnsi="Times New Roman" w:cs="Times New Roman"/>
          <w:sz w:val="24"/>
          <w:szCs w:val="24"/>
        </w:rPr>
        <w:t xml:space="preserve">RTO and ISO has more than 500 employees, so the RTOs and ISO are not small entities.  </w:t>
      </w:r>
    </w:p>
    <w:p w14:paraId="4E5FDD75" w14:textId="77777777" w:rsidR="003C0C1E" w:rsidRPr="00EB3E6F" w:rsidRDefault="003C0C1E" w:rsidP="000620A5">
      <w:pPr>
        <w:spacing w:after="0"/>
        <w:ind w:firstLine="360"/>
        <w:rPr>
          <w:rFonts w:ascii="Times New Roman" w:hAnsi="Times New Roman" w:cs="Times New Roman"/>
          <w:sz w:val="24"/>
          <w:szCs w:val="24"/>
        </w:rPr>
      </w:pPr>
    </w:p>
    <w:p w14:paraId="4EBFB6BB"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2BD20CFC" w14:textId="77777777" w:rsidR="00EB3E6F" w:rsidRDefault="00EB3E6F" w:rsidP="00EB3E6F">
      <w:pPr>
        <w:spacing w:after="0"/>
        <w:rPr>
          <w:rFonts w:ascii="Times New Roman" w:hAnsi="Times New Roman" w:cs="Times New Roman"/>
          <w:sz w:val="24"/>
          <w:szCs w:val="24"/>
        </w:rPr>
      </w:pPr>
    </w:p>
    <w:p w14:paraId="3E6415C8" w14:textId="0A37390B" w:rsidR="00D81471" w:rsidRDefault="00C45B7E" w:rsidP="00C45B7E">
      <w:pPr>
        <w:spacing w:after="0"/>
        <w:rPr>
          <w:rFonts w:ascii="Times New Roman" w:hAnsi="Times New Roman" w:cs="Times New Roman"/>
          <w:sz w:val="24"/>
          <w:szCs w:val="24"/>
        </w:rPr>
      </w:pPr>
      <w:r>
        <w:rPr>
          <w:rFonts w:ascii="Times New Roman" w:hAnsi="Times New Roman" w:cs="Times New Roman"/>
          <w:sz w:val="24"/>
          <w:szCs w:val="24"/>
        </w:rPr>
        <w:tab/>
      </w:r>
      <w:r w:rsidR="00A95FD8" w:rsidRPr="001F7B41">
        <w:rPr>
          <w:rFonts w:ascii="Times New Roman" w:hAnsi="Times New Roman" w:cs="Times New Roman"/>
          <w:sz w:val="24"/>
          <w:szCs w:val="24"/>
        </w:rPr>
        <w:t xml:space="preserve">This collection cannot occur less </w:t>
      </w:r>
      <w:r w:rsidR="00B06C6E">
        <w:rPr>
          <w:rFonts w:ascii="Times New Roman" w:hAnsi="Times New Roman" w:cs="Times New Roman"/>
          <w:sz w:val="24"/>
          <w:szCs w:val="24"/>
        </w:rPr>
        <w:t>frequently since these are one-time filings.  For them to be conduct</w:t>
      </w:r>
      <w:r w:rsidR="00876517">
        <w:rPr>
          <w:rFonts w:ascii="Times New Roman" w:hAnsi="Times New Roman" w:cs="Times New Roman"/>
          <w:sz w:val="24"/>
          <w:szCs w:val="24"/>
        </w:rPr>
        <w:t xml:space="preserve">ed less frequently than once, the filings would not occur at all.  </w:t>
      </w:r>
      <w:r w:rsidR="00D81471" w:rsidRPr="003D6545">
        <w:rPr>
          <w:rFonts w:ascii="Times New Roman" w:hAnsi="Times New Roman" w:cs="Times New Roman"/>
          <w:sz w:val="24"/>
          <w:szCs w:val="24"/>
        </w:rPr>
        <w:t>Without this information, the Commission would be unable to meet its statutory responsibility under Section 20</w:t>
      </w:r>
      <w:r w:rsidR="00EC2638">
        <w:rPr>
          <w:rFonts w:ascii="Times New Roman" w:hAnsi="Times New Roman" w:cs="Times New Roman"/>
          <w:sz w:val="24"/>
          <w:szCs w:val="24"/>
        </w:rPr>
        <w:t>6</w:t>
      </w:r>
      <w:r w:rsidR="00D81471" w:rsidRPr="003D6545">
        <w:rPr>
          <w:rFonts w:ascii="Times New Roman" w:hAnsi="Times New Roman" w:cs="Times New Roman"/>
          <w:sz w:val="24"/>
          <w:szCs w:val="24"/>
        </w:rPr>
        <w:t xml:space="preserve"> of the FPA to ensure electric utility rates are just and reasonable.  Failing to meet this responsibility could result in public utilities charging rates that are not just and reasonable.</w:t>
      </w:r>
      <w:r w:rsidR="00D81471">
        <w:rPr>
          <w:rFonts w:ascii="Times New Roman" w:hAnsi="Times New Roman" w:cs="Times New Roman"/>
          <w:sz w:val="24"/>
          <w:szCs w:val="24"/>
        </w:rPr>
        <w:t xml:space="preserve"> </w:t>
      </w:r>
      <w:r w:rsidR="00D81471" w:rsidDel="00D81471">
        <w:rPr>
          <w:rFonts w:ascii="Times New Roman" w:hAnsi="Times New Roman" w:cs="Times New Roman"/>
          <w:sz w:val="24"/>
          <w:szCs w:val="24"/>
        </w:rPr>
        <w:t xml:space="preserve"> </w:t>
      </w:r>
    </w:p>
    <w:p w14:paraId="6C9FF323" w14:textId="77777777" w:rsidR="003C0C1E" w:rsidRPr="00EB3E6F" w:rsidRDefault="003C0C1E" w:rsidP="00EB3E6F">
      <w:pPr>
        <w:spacing w:after="0"/>
        <w:rPr>
          <w:rFonts w:ascii="Times New Roman" w:hAnsi="Times New Roman" w:cs="Times New Roman"/>
          <w:sz w:val="24"/>
          <w:szCs w:val="24"/>
        </w:rPr>
      </w:pPr>
    </w:p>
    <w:p w14:paraId="4F3F79A1"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5129EF54" w14:textId="77777777" w:rsidR="00EB3E6F" w:rsidRDefault="00EB3E6F" w:rsidP="00EB3E6F">
      <w:pPr>
        <w:spacing w:after="0"/>
        <w:rPr>
          <w:rFonts w:ascii="Times New Roman" w:hAnsi="Times New Roman" w:cs="Times New Roman"/>
          <w:sz w:val="24"/>
          <w:szCs w:val="24"/>
        </w:rPr>
      </w:pPr>
    </w:p>
    <w:p w14:paraId="50CF3B30" w14:textId="3D8EC188" w:rsidR="00491207" w:rsidRDefault="00C45B7E" w:rsidP="00D22ED9">
      <w:pPr>
        <w:spacing w:after="0"/>
        <w:ind w:firstLine="360"/>
        <w:rPr>
          <w:rFonts w:ascii="Times New Roman" w:hAnsi="Times New Roman" w:cs="Times New Roman"/>
          <w:sz w:val="24"/>
          <w:szCs w:val="24"/>
        </w:rPr>
      </w:pPr>
      <w:r>
        <w:rPr>
          <w:rFonts w:ascii="Times New Roman" w:hAnsi="Times New Roman"/>
          <w:sz w:val="24"/>
          <w:szCs w:val="24"/>
        </w:rPr>
        <w:tab/>
      </w:r>
      <w:r w:rsidR="00D22ED9">
        <w:rPr>
          <w:rFonts w:ascii="Times New Roman" w:hAnsi="Times New Roman"/>
          <w:sz w:val="24"/>
          <w:szCs w:val="24"/>
        </w:rPr>
        <w:t>The FERC-516</w:t>
      </w:r>
      <w:r w:rsidR="00162FB1">
        <w:rPr>
          <w:rFonts w:ascii="Times New Roman" w:hAnsi="Times New Roman"/>
          <w:sz w:val="24"/>
          <w:szCs w:val="24"/>
        </w:rPr>
        <w:t>C</w:t>
      </w:r>
      <w:r w:rsidR="00D22ED9">
        <w:rPr>
          <w:rFonts w:ascii="Times New Roman" w:hAnsi="Times New Roman"/>
          <w:sz w:val="24"/>
          <w:szCs w:val="24"/>
        </w:rPr>
        <w:t xml:space="preserve"> presents no special circumstances. </w:t>
      </w:r>
    </w:p>
    <w:p w14:paraId="391E79D4" w14:textId="77777777" w:rsidR="00616930" w:rsidRDefault="00616930" w:rsidP="00616930">
      <w:pPr>
        <w:pStyle w:val="ListParagraph"/>
        <w:spacing w:after="0"/>
        <w:ind w:left="1440"/>
        <w:rPr>
          <w:rFonts w:ascii="Times New Roman" w:hAnsi="Times New Roman" w:cs="Times New Roman"/>
          <w:sz w:val="24"/>
          <w:szCs w:val="24"/>
        </w:rPr>
      </w:pPr>
    </w:p>
    <w:p w14:paraId="6134883D"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375B7E47" w14:textId="77777777" w:rsidR="00216CE8" w:rsidRDefault="00216CE8" w:rsidP="00D22ED9">
      <w:pPr>
        <w:spacing w:after="0"/>
        <w:rPr>
          <w:rFonts w:ascii="Times New Roman" w:hAnsi="Times New Roman" w:cs="Times New Roman"/>
          <w:sz w:val="24"/>
          <w:szCs w:val="24"/>
        </w:rPr>
      </w:pPr>
    </w:p>
    <w:p w14:paraId="2B0E0B63" w14:textId="503A5880" w:rsidR="00D81471" w:rsidRDefault="00C45B7E" w:rsidP="00173004">
      <w:pPr>
        <w:spacing w:after="0"/>
        <w:ind w:firstLine="360"/>
        <w:rPr>
          <w:rFonts w:ascii="Times New Roman" w:hAnsi="Times New Roman" w:cs="Times New Roman"/>
          <w:sz w:val="24"/>
          <w:szCs w:val="24"/>
        </w:rPr>
      </w:pPr>
      <w:r>
        <w:rPr>
          <w:rFonts w:ascii="Times New Roman" w:hAnsi="Times New Roman" w:cs="Times New Roman"/>
          <w:sz w:val="24"/>
          <w:szCs w:val="24"/>
        </w:rPr>
        <w:tab/>
      </w:r>
      <w:r w:rsidR="00D22ED9">
        <w:rPr>
          <w:rFonts w:ascii="Times New Roman" w:hAnsi="Times New Roman" w:cs="Times New Roman"/>
          <w:sz w:val="24"/>
          <w:szCs w:val="24"/>
        </w:rPr>
        <w:t>Each FERC activity that results in the revision of an information collection</w:t>
      </w:r>
      <w:r w:rsidR="00491207" w:rsidRPr="002C1BFB">
        <w:rPr>
          <w:rFonts w:ascii="Times New Roman" w:hAnsi="Times New Roman" w:cs="Times New Roman"/>
          <w:sz w:val="24"/>
          <w:szCs w:val="24"/>
        </w:rPr>
        <w:t xml:space="preserve"> is pu</w:t>
      </w:r>
      <w:r w:rsidR="00491207">
        <w:rPr>
          <w:rFonts w:ascii="Times New Roman" w:hAnsi="Times New Roman" w:cs="Times New Roman"/>
          <w:sz w:val="24"/>
          <w:szCs w:val="24"/>
        </w:rPr>
        <w:t>blished in the Federal Register</w:t>
      </w:r>
      <w:r w:rsidR="00491207" w:rsidRPr="002C1BFB">
        <w:rPr>
          <w:rFonts w:ascii="Times New Roman" w:hAnsi="Times New Roman" w:cs="Times New Roman"/>
          <w:sz w:val="24"/>
          <w:szCs w:val="24"/>
        </w:rPr>
        <w:t xml:space="preserve"> thereby providing public utilities and licensees, state commissions, Federal agencies, and other interested parties an opportunity to submit data, views, comments or suggestions concerning the </w:t>
      </w:r>
      <w:r w:rsidR="00C36924">
        <w:rPr>
          <w:rFonts w:ascii="Times New Roman" w:hAnsi="Times New Roman" w:cs="Times New Roman"/>
          <w:sz w:val="24"/>
          <w:szCs w:val="24"/>
        </w:rPr>
        <w:t>approved</w:t>
      </w:r>
      <w:r w:rsidR="00491207" w:rsidRPr="002C1BFB">
        <w:rPr>
          <w:rFonts w:ascii="Times New Roman" w:hAnsi="Times New Roman" w:cs="Times New Roman"/>
          <w:sz w:val="24"/>
          <w:szCs w:val="24"/>
        </w:rPr>
        <w:t xml:space="preserve"> collection</w:t>
      </w:r>
      <w:r w:rsidR="00D84ED8">
        <w:rPr>
          <w:rFonts w:ascii="Times New Roman" w:hAnsi="Times New Roman" w:cs="Times New Roman"/>
          <w:sz w:val="24"/>
          <w:szCs w:val="24"/>
        </w:rPr>
        <w:t>s</w:t>
      </w:r>
      <w:r w:rsidR="006969DA">
        <w:rPr>
          <w:rFonts w:ascii="Times New Roman" w:hAnsi="Times New Roman" w:cs="Times New Roman"/>
          <w:sz w:val="24"/>
          <w:szCs w:val="24"/>
        </w:rPr>
        <w:t xml:space="preserve"> of data.  The </w:t>
      </w:r>
      <w:r w:rsidR="0021079B">
        <w:rPr>
          <w:rFonts w:ascii="Times New Roman" w:hAnsi="Times New Roman" w:cs="Times New Roman"/>
          <w:sz w:val="24"/>
          <w:szCs w:val="24"/>
        </w:rPr>
        <w:t>proposed</w:t>
      </w:r>
      <w:r w:rsidR="0021079B" w:rsidRPr="002C1BFB">
        <w:rPr>
          <w:rFonts w:ascii="Times New Roman" w:hAnsi="Times New Roman" w:cs="Times New Roman"/>
          <w:sz w:val="24"/>
          <w:szCs w:val="24"/>
        </w:rPr>
        <w:t xml:space="preserve"> </w:t>
      </w:r>
      <w:r w:rsidR="00491207" w:rsidRPr="002C1BFB">
        <w:rPr>
          <w:rFonts w:ascii="Times New Roman" w:hAnsi="Times New Roman" w:cs="Times New Roman"/>
          <w:sz w:val="24"/>
          <w:szCs w:val="24"/>
        </w:rPr>
        <w:t>rule was published</w:t>
      </w:r>
      <w:r w:rsidR="00491207">
        <w:rPr>
          <w:rFonts w:ascii="Times New Roman" w:hAnsi="Times New Roman" w:cs="Times New Roman"/>
          <w:sz w:val="24"/>
          <w:szCs w:val="24"/>
        </w:rPr>
        <w:t xml:space="preserve"> in the Federal </w:t>
      </w:r>
      <w:r w:rsidR="00491207" w:rsidRPr="00296865">
        <w:rPr>
          <w:rFonts w:ascii="Times New Roman" w:hAnsi="Times New Roman" w:cs="Times New Roman"/>
          <w:sz w:val="24"/>
          <w:szCs w:val="24"/>
        </w:rPr>
        <w:t xml:space="preserve">Register on </w:t>
      </w:r>
      <w:r w:rsidR="00296865" w:rsidRPr="00296865">
        <w:rPr>
          <w:rFonts w:ascii="Times New Roman" w:hAnsi="Times New Roman" w:cs="Times New Roman"/>
          <w:sz w:val="24"/>
          <w:szCs w:val="24"/>
        </w:rPr>
        <w:t>2/4</w:t>
      </w:r>
      <w:r w:rsidR="00876517" w:rsidRPr="00296865">
        <w:rPr>
          <w:rFonts w:ascii="Times New Roman" w:hAnsi="Times New Roman" w:cs="Times New Roman"/>
          <w:sz w:val="24"/>
          <w:szCs w:val="24"/>
        </w:rPr>
        <w:t>/2016 (81</w:t>
      </w:r>
      <w:r w:rsidR="00491207" w:rsidRPr="00296865">
        <w:rPr>
          <w:rFonts w:ascii="Times New Roman" w:hAnsi="Times New Roman" w:cs="Times New Roman"/>
          <w:sz w:val="24"/>
          <w:szCs w:val="24"/>
        </w:rPr>
        <w:t xml:space="preserve"> FR </w:t>
      </w:r>
      <w:r w:rsidR="00445C47">
        <w:rPr>
          <w:rFonts w:ascii="Times New Roman" w:hAnsi="Times New Roman" w:cs="Times New Roman"/>
          <w:sz w:val="24"/>
          <w:szCs w:val="24"/>
        </w:rPr>
        <w:t>5951</w:t>
      </w:r>
      <w:r w:rsidR="00491207" w:rsidRPr="00296865">
        <w:rPr>
          <w:rFonts w:ascii="Times New Roman" w:hAnsi="Times New Roman" w:cs="Times New Roman"/>
          <w:sz w:val="24"/>
          <w:szCs w:val="24"/>
        </w:rPr>
        <w:t>).</w:t>
      </w:r>
      <w:r w:rsidR="00491207">
        <w:rPr>
          <w:rFonts w:ascii="Times New Roman" w:hAnsi="Times New Roman" w:cs="Times New Roman"/>
          <w:sz w:val="24"/>
          <w:szCs w:val="24"/>
        </w:rPr>
        <w:t xml:space="preserve">  </w:t>
      </w:r>
    </w:p>
    <w:p w14:paraId="0AB79BAB" w14:textId="77777777" w:rsidR="00F673B6" w:rsidRDefault="00F673B6" w:rsidP="00173004">
      <w:pPr>
        <w:spacing w:after="0"/>
        <w:ind w:firstLine="360"/>
        <w:rPr>
          <w:rFonts w:ascii="Times New Roman" w:hAnsi="Times New Roman" w:cs="Times New Roman"/>
          <w:sz w:val="24"/>
          <w:szCs w:val="24"/>
        </w:rPr>
      </w:pPr>
    </w:p>
    <w:p w14:paraId="5F22A41D" w14:textId="57FD61A2" w:rsidR="001E37D4" w:rsidRDefault="00375FA9" w:rsidP="00173004">
      <w:pPr>
        <w:spacing w:after="0"/>
        <w:ind w:firstLine="360"/>
        <w:rPr>
          <w:rFonts w:ascii="Times New Roman" w:hAnsi="Times New Roman" w:cs="Times New Roman"/>
          <w:sz w:val="24"/>
          <w:szCs w:val="24"/>
        </w:rPr>
      </w:pPr>
      <w:r>
        <w:rPr>
          <w:rFonts w:ascii="Times New Roman" w:hAnsi="Times New Roman" w:cs="Times New Roman"/>
          <w:sz w:val="24"/>
          <w:szCs w:val="24"/>
        </w:rPr>
        <w:t>The Commission received many comments in this proceeding on a variety of issues</w:t>
      </w:r>
      <w:r w:rsidR="00A1625A">
        <w:rPr>
          <w:rFonts w:ascii="Times New Roman" w:hAnsi="Times New Roman" w:cs="Times New Roman"/>
          <w:sz w:val="24"/>
          <w:szCs w:val="24"/>
        </w:rPr>
        <w:t xml:space="preserve"> including, but not limited to,</w:t>
      </w:r>
      <w:r>
        <w:rPr>
          <w:rFonts w:ascii="Times New Roman" w:hAnsi="Times New Roman" w:cs="Times New Roman"/>
          <w:sz w:val="24"/>
          <w:szCs w:val="24"/>
        </w:rPr>
        <w:t xml:space="preserve"> (1) the need to reform the offer caps, (2) the verification </w:t>
      </w:r>
      <w:r>
        <w:rPr>
          <w:rFonts w:ascii="Times New Roman" w:hAnsi="Times New Roman" w:cs="Times New Roman"/>
          <w:sz w:val="24"/>
          <w:szCs w:val="24"/>
        </w:rPr>
        <w:lastRenderedPageBreak/>
        <w:t xml:space="preserve">requirement, (3) the need for a hard cap, (4) </w:t>
      </w:r>
      <w:r w:rsidR="005D7229">
        <w:rPr>
          <w:rFonts w:ascii="Times New Roman" w:hAnsi="Times New Roman" w:cs="Times New Roman"/>
          <w:sz w:val="24"/>
          <w:szCs w:val="24"/>
        </w:rPr>
        <w:t>the ability of the Market Monitoring Unit to timely verify cost-based incremental energy offers, (5) the application of the proposed rule to imports and virtual transactions, and (6) the impact of the proposed rule on seams between RTOs/ISOs.</w:t>
      </w:r>
      <w:r w:rsidR="00FA502E">
        <w:rPr>
          <w:rFonts w:ascii="Times New Roman" w:hAnsi="Times New Roman" w:cs="Times New Roman"/>
          <w:sz w:val="24"/>
          <w:szCs w:val="24"/>
        </w:rPr>
        <w:t xml:space="preserve">  </w:t>
      </w:r>
      <w:r w:rsidR="001E37D4">
        <w:rPr>
          <w:rFonts w:ascii="Times New Roman" w:hAnsi="Times New Roman" w:cs="Times New Roman"/>
          <w:sz w:val="24"/>
          <w:szCs w:val="24"/>
        </w:rPr>
        <w:t>None of the comments received regarded paperwork burden.</w:t>
      </w:r>
    </w:p>
    <w:p w14:paraId="7203A772" w14:textId="77777777" w:rsidR="00EB3E6F" w:rsidRPr="00EB3E6F" w:rsidRDefault="00EB3E6F" w:rsidP="00EB3E6F">
      <w:pPr>
        <w:spacing w:after="0"/>
        <w:rPr>
          <w:rFonts w:ascii="Times New Roman" w:hAnsi="Times New Roman" w:cs="Times New Roman"/>
          <w:sz w:val="24"/>
          <w:szCs w:val="24"/>
        </w:rPr>
      </w:pPr>
    </w:p>
    <w:p w14:paraId="113BBB4D"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3B8D2841" w14:textId="77777777" w:rsidR="00D80FBD" w:rsidRDefault="00D80FBD" w:rsidP="00D80FBD">
      <w:pPr>
        <w:spacing w:after="0"/>
        <w:rPr>
          <w:rFonts w:ascii="Times New Roman" w:hAnsi="Times New Roman" w:cs="Times New Roman"/>
          <w:sz w:val="24"/>
          <w:szCs w:val="24"/>
        </w:rPr>
      </w:pPr>
    </w:p>
    <w:p w14:paraId="314E10B1" w14:textId="2DD5DD83" w:rsidR="00D80FBD" w:rsidRDefault="00C45B7E" w:rsidP="007C3586">
      <w:pPr>
        <w:spacing w:after="0"/>
        <w:ind w:firstLine="360"/>
        <w:rPr>
          <w:rFonts w:ascii="Times New Roman" w:hAnsi="Times New Roman" w:cs="Times New Roman"/>
          <w:sz w:val="24"/>
          <w:szCs w:val="24"/>
        </w:rPr>
      </w:pPr>
      <w:r>
        <w:rPr>
          <w:rFonts w:ascii="Times New Roman" w:hAnsi="Times New Roman" w:cs="Times New Roman"/>
          <w:sz w:val="24"/>
          <w:szCs w:val="24"/>
        </w:rPr>
        <w:tab/>
      </w:r>
      <w:r w:rsidR="00867AF1">
        <w:rPr>
          <w:rFonts w:ascii="Times New Roman" w:hAnsi="Times New Roman" w:cs="Times New Roman"/>
          <w:sz w:val="24"/>
          <w:szCs w:val="24"/>
        </w:rPr>
        <w:t>There are no gifts or payments given to the respondents.</w:t>
      </w:r>
    </w:p>
    <w:p w14:paraId="1AE3304B" w14:textId="77777777" w:rsidR="00867AF1" w:rsidRPr="00D80FBD" w:rsidRDefault="00867AF1" w:rsidP="00D80FBD">
      <w:pPr>
        <w:spacing w:after="0"/>
        <w:rPr>
          <w:rFonts w:ascii="Times New Roman" w:hAnsi="Times New Roman" w:cs="Times New Roman"/>
          <w:sz w:val="24"/>
          <w:szCs w:val="24"/>
        </w:rPr>
      </w:pPr>
    </w:p>
    <w:p w14:paraId="18C0667E"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2828C0EC" w14:textId="77777777" w:rsidR="00D80FBD" w:rsidRDefault="00D80FBD" w:rsidP="00D80FBD">
      <w:pPr>
        <w:spacing w:after="0"/>
        <w:rPr>
          <w:rFonts w:ascii="Times New Roman" w:hAnsi="Times New Roman" w:cs="Times New Roman"/>
          <w:sz w:val="24"/>
          <w:szCs w:val="24"/>
        </w:rPr>
      </w:pPr>
    </w:p>
    <w:p w14:paraId="3E7DECB6" w14:textId="2A7A910C" w:rsidR="00867AF1" w:rsidRDefault="00C45B7E" w:rsidP="00D22ED9">
      <w:pPr>
        <w:spacing w:after="0"/>
        <w:ind w:firstLine="360"/>
        <w:rPr>
          <w:rFonts w:ascii="Times New Roman" w:hAnsi="Times New Roman" w:cs="Times New Roman"/>
          <w:sz w:val="24"/>
          <w:szCs w:val="24"/>
        </w:rPr>
      </w:pPr>
      <w:r>
        <w:rPr>
          <w:rFonts w:ascii="Times New Roman" w:hAnsi="Times New Roman" w:cs="Times New Roman"/>
          <w:sz w:val="24"/>
          <w:szCs w:val="24"/>
        </w:rPr>
        <w:tab/>
      </w:r>
      <w:r w:rsidR="00F9489B" w:rsidRPr="00F9489B">
        <w:rPr>
          <w:rFonts w:ascii="Times New Roman" w:hAnsi="Times New Roman" w:cs="Times New Roman"/>
          <w:sz w:val="24"/>
          <w:szCs w:val="24"/>
        </w:rPr>
        <w:t>Data filed are public information and, therefore, not confidential.  However, a company may request confidential treatment of some or all parts of the information requirement under the FERC regulations at 18 CFR 388.112.  The Commission will review each request for confidential treatment on a case-by-case basis.</w:t>
      </w:r>
    </w:p>
    <w:p w14:paraId="7FEEC6D3" w14:textId="77777777" w:rsidR="00D80FBD" w:rsidRPr="00D80FBD" w:rsidRDefault="00D80FBD" w:rsidP="00D80FBD">
      <w:pPr>
        <w:spacing w:after="0"/>
        <w:rPr>
          <w:rFonts w:ascii="Times New Roman" w:hAnsi="Times New Roman" w:cs="Times New Roman"/>
          <w:sz w:val="24"/>
          <w:szCs w:val="24"/>
        </w:rPr>
      </w:pPr>
    </w:p>
    <w:p w14:paraId="064E7C26" w14:textId="77777777" w:rsidR="005406D1" w:rsidRDefault="005406D1" w:rsidP="007C3586">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w:t>
      </w:r>
    </w:p>
    <w:p w14:paraId="0BFD7C13" w14:textId="77777777" w:rsidR="00D80FBD" w:rsidRDefault="00D80FBD" w:rsidP="00D80FBD">
      <w:pPr>
        <w:spacing w:after="0"/>
        <w:rPr>
          <w:rFonts w:ascii="Times New Roman" w:hAnsi="Times New Roman" w:cs="Times New Roman"/>
          <w:sz w:val="24"/>
          <w:szCs w:val="24"/>
        </w:rPr>
      </w:pPr>
    </w:p>
    <w:p w14:paraId="168D9635" w14:textId="66E4D6D9" w:rsidR="00D80FBD" w:rsidRDefault="00C45B7E" w:rsidP="007C3586">
      <w:pPr>
        <w:spacing w:after="0"/>
        <w:ind w:firstLine="360"/>
        <w:rPr>
          <w:rFonts w:ascii="Times New Roman" w:hAnsi="Times New Roman" w:cs="Times New Roman"/>
          <w:sz w:val="24"/>
          <w:szCs w:val="24"/>
        </w:rPr>
      </w:pPr>
      <w:r>
        <w:rPr>
          <w:rFonts w:ascii="Times New Roman" w:hAnsi="Times New Roman" w:cs="Times New Roman"/>
          <w:sz w:val="24"/>
          <w:szCs w:val="24"/>
        </w:rPr>
        <w:tab/>
      </w:r>
      <w:r w:rsidR="00867AF1">
        <w:rPr>
          <w:rFonts w:ascii="Times New Roman" w:hAnsi="Times New Roman" w:cs="Times New Roman"/>
          <w:sz w:val="24"/>
          <w:szCs w:val="24"/>
        </w:rPr>
        <w:t>This collection does not include any questions of a sensitive nature.</w:t>
      </w:r>
    </w:p>
    <w:p w14:paraId="50C836A9" w14:textId="77777777" w:rsidR="00867AF1" w:rsidRPr="00D80FBD" w:rsidRDefault="00867AF1" w:rsidP="00D80FBD">
      <w:pPr>
        <w:spacing w:after="0"/>
        <w:rPr>
          <w:rFonts w:ascii="Times New Roman" w:hAnsi="Times New Roman" w:cs="Times New Roman"/>
          <w:sz w:val="24"/>
          <w:szCs w:val="24"/>
        </w:rPr>
      </w:pPr>
    </w:p>
    <w:p w14:paraId="2BE5CF35"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2A4AE79E" w14:textId="77777777" w:rsidR="00D80FBD" w:rsidRDefault="00D80FBD" w:rsidP="00D80FBD">
      <w:pPr>
        <w:spacing w:after="0"/>
        <w:rPr>
          <w:rFonts w:ascii="Times New Roman" w:hAnsi="Times New Roman" w:cs="Times New Roman"/>
          <w:sz w:val="24"/>
          <w:szCs w:val="24"/>
        </w:rPr>
      </w:pPr>
    </w:p>
    <w:p w14:paraId="16A45731" w14:textId="0D5D2486" w:rsidR="00216CE8" w:rsidRDefault="00C45B7E" w:rsidP="007C3586">
      <w:pPr>
        <w:spacing w:after="0"/>
        <w:ind w:firstLine="360"/>
        <w:rPr>
          <w:rFonts w:ascii="Times New Roman" w:hAnsi="Times New Roman" w:cs="Times New Roman"/>
          <w:sz w:val="24"/>
          <w:szCs w:val="24"/>
        </w:rPr>
      </w:pPr>
      <w:r>
        <w:rPr>
          <w:rFonts w:ascii="Times New Roman" w:hAnsi="Times New Roman" w:cs="Times New Roman"/>
          <w:sz w:val="24"/>
          <w:szCs w:val="24"/>
        </w:rPr>
        <w:tab/>
      </w:r>
      <w:r w:rsidR="00806297">
        <w:rPr>
          <w:rFonts w:ascii="Times New Roman" w:hAnsi="Times New Roman" w:cs="Times New Roman"/>
          <w:sz w:val="24"/>
          <w:szCs w:val="24"/>
        </w:rPr>
        <w:t>The estimated public r</w:t>
      </w:r>
      <w:r w:rsidR="006969DA">
        <w:rPr>
          <w:rFonts w:ascii="Times New Roman" w:hAnsi="Times New Roman" w:cs="Times New Roman"/>
          <w:sz w:val="24"/>
          <w:szCs w:val="24"/>
        </w:rPr>
        <w:t>eporti</w:t>
      </w:r>
      <w:r w:rsidR="00860E36">
        <w:rPr>
          <w:rFonts w:ascii="Times New Roman" w:hAnsi="Times New Roman" w:cs="Times New Roman"/>
          <w:sz w:val="24"/>
          <w:szCs w:val="24"/>
        </w:rPr>
        <w:t>ng burd</w:t>
      </w:r>
      <w:r w:rsidR="009B7FD3">
        <w:rPr>
          <w:rFonts w:ascii="Times New Roman" w:hAnsi="Times New Roman" w:cs="Times New Roman"/>
          <w:sz w:val="24"/>
          <w:szCs w:val="24"/>
        </w:rPr>
        <w:t>en due to th</w:t>
      </w:r>
      <w:r w:rsidR="001E37D4">
        <w:rPr>
          <w:rFonts w:ascii="Times New Roman" w:hAnsi="Times New Roman" w:cs="Times New Roman"/>
          <w:sz w:val="24"/>
          <w:szCs w:val="24"/>
        </w:rPr>
        <w:t>ese approved</w:t>
      </w:r>
      <w:r w:rsidR="007A4977">
        <w:rPr>
          <w:rFonts w:ascii="Times New Roman" w:hAnsi="Times New Roman" w:cs="Times New Roman"/>
          <w:sz w:val="24"/>
          <w:szCs w:val="24"/>
        </w:rPr>
        <w:t xml:space="preserve"> revisions</w:t>
      </w:r>
      <w:r w:rsidR="00876517">
        <w:rPr>
          <w:rFonts w:ascii="Times New Roman" w:hAnsi="Times New Roman" w:cs="Times New Roman"/>
          <w:sz w:val="24"/>
          <w:szCs w:val="24"/>
        </w:rPr>
        <w:t xml:space="preserve"> in Docket RM16-5</w:t>
      </w:r>
      <w:r w:rsidR="00860E36">
        <w:rPr>
          <w:rFonts w:ascii="Times New Roman" w:hAnsi="Times New Roman" w:cs="Times New Roman"/>
          <w:sz w:val="24"/>
          <w:szCs w:val="24"/>
        </w:rPr>
        <w:t>-000</w:t>
      </w:r>
      <w:r w:rsidR="00806297">
        <w:rPr>
          <w:rFonts w:ascii="Times New Roman" w:hAnsi="Times New Roman" w:cs="Times New Roman"/>
          <w:sz w:val="24"/>
          <w:szCs w:val="24"/>
        </w:rPr>
        <w:t xml:space="preserve"> follows</w:t>
      </w:r>
      <w:r w:rsidR="00860E36">
        <w:rPr>
          <w:rFonts w:ascii="Times New Roman" w:hAnsi="Times New Roman" w:cs="Times New Roman"/>
          <w:sz w:val="24"/>
          <w:szCs w:val="24"/>
        </w:rPr>
        <w:t>.</w:t>
      </w:r>
    </w:p>
    <w:p w14:paraId="39B1AE85" w14:textId="77777777" w:rsidR="00806297" w:rsidRPr="00296865" w:rsidRDefault="00806297" w:rsidP="00C66E9D">
      <w:pPr>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7"/>
        <w:gridCol w:w="1356"/>
        <w:gridCol w:w="1242"/>
        <w:gridCol w:w="1472"/>
        <w:gridCol w:w="1401"/>
        <w:gridCol w:w="1316"/>
        <w:gridCol w:w="1266"/>
      </w:tblGrid>
      <w:tr w:rsidR="00876517" w:rsidRPr="00C66E9D" w14:paraId="1E4D0598" w14:textId="77777777" w:rsidTr="007D3526">
        <w:trPr>
          <w:cantSplit/>
        </w:trPr>
        <w:tc>
          <w:tcPr>
            <w:tcW w:w="5000" w:type="pct"/>
            <w:gridSpan w:val="7"/>
            <w:tcBorders>
              <w:bottom w:val="single" w:sz="4" w:space="0" w:color="auto"/>
            </w:tcBorders>
            <w:shd w:val="clear" w:color="auto" w:fill="D9D9D9"/>
          </w:tcPr>
          <w:p w14:paraId="7080F53C" w14:textId="04C671B1" w:rsidR="00876517" w:rsidRPr="00C66E9D" w:rsidRDefault="00876517" w:rsidP="00B11505">
            <w:pPr>
              <w:pStyle w:val="Default"/>
              <w:jc w:val="center"/>
              <w:rPr>
                <w:rFonts w:eastAsia="Calibri"/>
                <w:b/>
                <w:sz w:val="20"/>
                <w:szCs w:val="20"/>
              </w:rPr>
            </w:pPr>
            <w:r w:rsidRPr="00C66E9D">
              <w:rPr>
                <w:rFonts w:eastAsia="Calibri"/>
                <w:b/>
                <w:sz w:val="20"/>
                <w:szCs w:val="20"/>
              </w:rPr>
              <w:t>FERC-516</w:t>
            </w:r>
            <w:r w:rsidR="00C707A1">
              <w:rPr>
                <w:rFonts w:eastAsia="Calibri"/>
                <w:b/>
                <w:sz w:val="20"/>
                <w:szCs w:val="20"/>
              </w:rPr>
              <w:t>C</w:t>
            </w:r>
            <w:r w:rsidRPr="00C66E9D">
              <w:rPr>
                <w:rFonts w:eastAsia="Calibri"/>
                <w:b/>
                <w:sz w:val="20"/>
                <w:szCs w:val="20"/>
              </w:rPr>
              <w:t xml:space="preserve">, as </w:t>
            </w:r>
            <w:r w:rsidR="001E37D4">
              <w:rPr>
                <w:rFonts w:eastAsia="Calibri"/>
                <w:b/>
                <w:sz w:val="20"/>
                <w:szCs w:val="20"/>
              </w:rPr>
              <w:t>approved</w:t>
            </w:r>
            <w:r w:rsidR="00B11505" w:rsidRPr="00C66E9D">
              <w:rPr>
                <w:rFonts w:eastAsia="Calibri"/>
                <w:b/>
                <w:sz w:val="20"/>
                <w:szCs w:val="20"/>
              </w:rPr>
              <w:t xml:space="preserve"> </w:t>
            </w:r>
            <w:r w:rsidR="001E37D4">
              <w:rPr>
                <w:rFonts w:eastAsia="Calibri"/>
                <w:b/>
                <w:sz w:val="20"/>
                <w:szCs w:val="20"/>
              </w:rPr>
              <w:t>by Final Rule</w:t>
            </w:r>
            <w:r w:rsidRPr="00C66E9D">
              <w:rPr>
                <w:rFonts w:eastAsia="Calibri"/>
                <w:b/>
                <w:sz w:val="20"/>
                <w:szCs w:val="20"/>
              </w:rPr>
              <w:t xml:space="preserve"> in Docket RM16-5-000</w:t>
            </w:r>
          </w:p>
        </w:tc>
      </w:tr>
      <w:tr w:rsidR="00876517" w:rsidRPr="00876517" w14:paraId="73DBD878" w14:textId="77777777" w:rsidTr="007D3526">
        <w:trPr>
          <w:cantSplit/>
        </w:trPr>
        <w:tc>
          <w:tcPr>
            <w:tcW w:w="694" w:type="pct"/>
            <w:shd w:val="clear" w:color="auto" w:fill="D9D9D9"/>
          </w:tcPr>
          <w:p w14:paraId="0BDC695F" w14:textId="77777777" w:rsidR="00876517" w:rsidRPr="00876517" w:rsidRDefault="00876517" w:rsidP="00876517">
            <w:pPr>
              <w:keepNext/>
              <w:keepLines/>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p>
        </w:tc>
        <w:tc>
          <w:tcPr>
            <w:tcW w:w="725" w:type="pct"/>
            <w:shd w:val="clear" w:color="auto" w:fill="D9D9D9"/>
            <w:vAlign w:val="bottom"/>
          </w:tcPr>
          <w:p w14:paraId="21C30A20" w14:textId="77777777" w:rsidR="00876517" w:rsidRPr="00876517" w:rsidRDefault="00876517" w:rsidP="00876517">
            <w:pPr>
              <w:keepNext/>
              <w:keepLines/>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Number of Respondents</w:t>
            </w:r>
          </w:p>
          <w:p w14:paraId="52683255" w14:textId="77777777" w:rsidR="00876517" w:rsidRPr="00876517" w:rsidRDefault="00876517" w:rsidP="00876517">
            <w:pPr>
              <w:keepNext/>
              <w:keepLines/>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(1)</w:t>
            </w:r>
          </w:p>
        </w:tc>
        <w:tc>
          <w:tcPr>
            <w:tcW w:w="664" w:type="pct"/>
            <w:shd w:val="clear" w:color="auto" w:fill="D9D9D9"/>
            <w:vAlign w:val="bottom"/>
          </w:tcPr>
          <w:p w14:paraId="025FD660" w14:textId="77777777" w:rsidR="00876517" w:rsidRPr="00876517" w:rsidRDefault="00876517" w:rsidP="00876517">
            <w:pPr>
              <w:keepNext/>
              <w:keepLines/>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Annual Number of Responses per Respondent</w:t>
            </w:r>
          </w:p>
          <w:p w14:paraId="31AFDF24" w14:textId="77777777" w:rsidR="00876517" w:rsidRPr="00876517" w:rsidRDefault="00876517" w:rsidP="00876517">
            <w:pPr>
              <w:keepNext/>
              <w:keepLines/>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(2)</w:t>
            </w:r>
          </w:p>
        </w:tc>
        <w:tc>
          <w:tcPr>
            <w:tcW w:w="787" w:type="pct"/>
            <w:shd w:val="clear" w:color="auto" w:fill="D9D9D9"/>
            <w:vAlign w:val="bottom"/>
          </w:tcPr>
          <w:p w14:paraId="43103FBF" w14:textId="77777777" w:rsidR="00876517" w:rsidRPr="00876517" w:rsidRDefault="00876517" w:rsidP="00876517">
            <w:pPr>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Total Number of Responses (1)×(2)=(3)</w:t>
            </w:r>
          </w:p>
        </w:tc>
        <w:tc>
          <w:tcPr>
            <w:tcW w:w="749" w:type="pct"/>
            <w:shd w:val="clear" w:color="auto" w:fill="D9D9D9"/>
            <w:vAlign w:val="bottom"/>
          </w:tcPr>
          <w:p w14:paraId="616A60CB" w14:textId="77777777" w:rsidR="00876517" w:rsidRPr="00876517" w:rsidRDefault="00876517" w:rsidP="00876517">
            <w:pPr>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Average Burden (Hours) &amp; Cost Per Response</w:t>
            </w:r>
          </w:p>
          <w:p w14:paraId="491046DA" w14:textId="77777777" w:rsidR="00876517" w:rsidRPr="00876517" w:rsidRDefault="00876517" w:rsidP="00876517">
            <w:pPr>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(4)</w:t>
            </w:r>
          </w:p>
        </w:tc>
        <w:tc>
          <w:tcPr>
            <w:tcW w:w="704" w:type="pct"/>
            <w:shd w:val="clear" w:color="auto" w:fill="D9D9D9"/>
            <w:vAlign w:val="bottom"/>
          </w:tcPr>
          <w:p w14:paraId="107B03BF" w14:textId="77777777" w:rsidR="00876517" w:rsidRPr="00876517" w:rsidRDefault="00876517" w:rsidP="00876517">
            <w:pPr>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Total Annual Burden Hours &amp; Total Annual Cost</w:t>
            </w:r>
          </w:p>
          <w:p w14:paraId="5A4B751A" w14:textId="77777777" w:rsidR="00876517" w:rsidRPr="00876517" w:rsidRDefault="00876517" w:rsidP="00876517">
            <w:pPr>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(3)×(4)=(5)</w:t>
            </w:r>
          </w:p>
        </w:tc>
        <w:tc>
          <w:tcPr>
            <w:tcW w:w="677" w:type="pct"/>
            <w:shd w:val="clear" w:color="auto" w:fill="D9D9D9"/>
            <w:vAlign w:val="bottom"/>
          </w:tcPr>
          <w:p w14:paraId="1BD84190" w14:textId="77777777" w:rsidR="00876517" w:rsidRPr="00876517" w:rsidRDefault="00876517" w:rsidP="00876517">
            <w:pPr>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Cost per Respondent</w:t>
            </w:r>
          </w:p>
          <w:p w14:paraId="5257DFFE" w14:textId="77777777" w:rsidR="00876517" w:rsidRPr="00876517" w:rsidRDefault="00876517" w:rsidP="00876517">
            <w:pPr>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 xml:space="preserve"> ($)</w:t>
            </w:r>
          </w:p>
          <w:p w14:paraId="1038F356" w14:textId="77777777" w:rsidR="00876517" w:rsidRPr="00876517" w:rsidRDefault="00876517" w:rsidP="00876517">
            <w:pPr>
              <w:widowControl w:val="0"/>
              <w:tabs>
                <w:tab w:val="num" w:pos="720"/>
              </w:tabs>
              <w:autoSpaceDE w:val="0"/>
              <w:autoSpaceDN w:val="0"/>
              <w:adjustRightInd w:val="0"/>
              <w:spacing w:after="0" w:line="240" w:lineRule="auto"/>
              <w:jc w:val="center"/>
              <w:rPr>
                <w:rFonts w:ascii="Times New Roman" w:eastAsia="Calibri" w:hAnsi="Times New Roman" w:cs="Times New Roman"/>
                <w:b/>
                <w:sz w:val="20"/>
                <w:szCs w:val="20"/>
              </w:rPr>
            </w:pPr>
            <w:r w:rsidRPr="00876517">
              <w:rPr>
                <w:rFonts w:ascii="Times New Roman" w:eastAsia="Calibri" w:hAnsi="Times New Roman" w:cs="Times New Roman"/>
                <w:b/>
                <w:sz w:val="20"/>
                <w:szCs w:val="20"/>
              </w:rPr>
              <w:t>(5)÷(1)</w:t>
            </w:r>
          </w:p>
        </w:tc>
      </w:tr>
      <w:tr w:rsidR="00876517" w:rsidRPr="00876517" w14:paraId="7D54A494" w14:textId="77777777" w:rsidTr="007D3526">
        <w:trPr>
          <w:cantSplit/>
          <w:trHeight w:val="872"/>
        </w:trPr>
        <w:tc>
          <w:tcPr>
            <w:tcW w:w="694" w:type="pct"/>
          </w:tcPr>
          <w:p w14:paraId="540C7691" w14:textId="77777777" w:rsidR="00876517" w:rsidRPr="00876517" w:rsidRDefault="00876517" w:rsidP="00876517">
            <w:pPr>
              <w:widowControl w:val="0"/>
              <w:tabs>
                <w:tab w:val="num" w:pos="720"/>
              </w:tabs>
              <w:autoSpaceDE w:val="0"/>
              <w:autoSpaceDN w:val="0"/>
              <w:adjustRightInd w:val="0"/>
              <w:spacing w:after="0" w:line="240" w:lineRule="auto"/>
              <w:rPr>
                <w:rFonts w:ascii="Times New Roman" w:eastAsia="Calibri" w:hAnsi="Times New Roman" w:cs="Times New Roman"/>
                <w:sz w:val="20"/>
                <w:szCs w:val="20"/>
              </w:rPr>
            </w:pPr>
            <w:r w:rsidRPr="00876517">
              <w:rPr>
                <w:rFonts w:ascii="Times New Roman" w:eastAsia="Calibri" w:hAnsi="Times New Roman" w:cs="Times New Roman"/>
                <w:sz w:val="20"/>
                <w:szCs w:val="20"/>
              </w:rPr>
              <w:t>One-Time</w:t>
            </w:r>
          </w:p>
          <w:p w14:paraId="7D2D85FE" w14:textId="77777777" w:rsidR="00876517" w:rsidRPr="00876517" w:rsidRDefault="00876517" w:rsidP="00876517">
            <w:pPr>
              <w:widowControl w:val="0"/>
              <w:tabs>
                <w:tab w:val="num" w:pos="720"/>
              </w:tabs>
              <w:autoSpaceDE w:val="0"/>
              <w:autoSpaceDN w:val="0"/>
              <w:adjustRightInd w:val="0"/>
              <w:spacing w:after="0" w:line="240" w:lineRule="auto"/>
              <w:rPr>
                <w:rFonts w:ascii="Times New Roman" w:eastAsia="Calibri" w:hAnsi="Times New Roman" w:cs="Times New Roman"/>
                <w:sz w:val="20"/>
                <w:szCs w:val="20"/>
              </w:rPr>
            </w:pPr>
            <w:r w:rsidRPr="00876517">
              <w:rPr>
                <w:rFonts w:ascii="Times New Roman" w:eastAsia="Calibri" w:hAnsi="Times New Roman" w:cs="Times New Roman"/>
                <w:sz w:val="20"/>
                <w:szCs w:val="20"/>
              </w:rPr>
              <w:t>Tariff Filings (Year 1)</w:t>
            </w:r>
          </w:p>
        </w:tc>
        <w:tc>
          <w:tcPr>
            <w:tcW w:w="725" w:type="pct"/>
            <w:vAlign w:val="bottom"/>
          </w:tcPr>
          <w:p w14:paraId="567A6200" w14:textId="77777777" w:rsidR="00876517" w:rsidRPr="00876517" w:rsidRDefault="00876517" w:rsidP="00876517">
            <w:pPr>
              <w:widowControl w:val="0"/>
              <w:tabs>
                <w:tab w:val="num" w:pos="720"/>
              </w:tabs>
              <w:autoSpaceDE w:val="0"/>
              <w:autoSpaceDN w:val="0"/>
              <w:adjustRightInd w:val="0"/>
              <w:spacing w:after="0" w:line="240" w:lineRule="auto"/>
              <w:jc w:val="right"/>
              <w:rPr>
                <w:rFonts w:ascii="Times New Roman" w:eastAsia="Calibri" w:hAnsi="Times New Roman" w:cs="Times New Roman"/>
                <w:sz w:val="20"/>
                <w:szCs w:val="20"/>
              </w:rPr>
            </w:pPr>
            <w:r w:rsidRPr="00876517">
              <w:rPr>
                <w:rFonts w:ascii="Times New Roman" w:eastAsia="Calibri" w:hAnsi="Times New Roman" w:cs="Times New Roman"/>
                <w:sz w:val="20"/>
                <w:szCs w:val="20"/>
              </w:rPr>
              <w:t>6</w:t>
            </w:r>
          </w:p>
        </w:tc>
        <w:tc>
          <w:tcPr>
            <w:tcW w:w="664" w:type="pct"/>
            <w:vAlign w:val="bottom"/>
          </w:tcPr>
          <w:p w14:paraId="300E763D" w14:textId="77777777" w:rsidR="00876517" w:rsidRPr="00876517" w:rsidRDefault="00876517" w:rsidP="00876517">
            <w:pPr>
              <w:widowControl w:val="0"/>
              <w:tabs>
                <w:tab w:val="num" w:pos="720"/>
              </w:tabs>
              <w:autoSpaceDE w:val="0"/>
              <w:autoSpaceDN w:val="0"/>
              <w:adjustRightInd w:val="0"/>
              <w:spacing w:after="0" w:line="240" w:lineRule="auto"/>
              <w:jc w:val="right"/>
              <w:rPr>
                <w:rFonts w:ascii="Times New Roman" w:eastAsia="Calibri" w:hAnsi="Times New Roman" w:cs="Times New Roman"/>
                <w:sz w:val="20"/>
                <w:szCs w:val="20"/>
              </w:rPr>
            </w:pPr>
            <w:r w:rsidRPr="00876517">
              <w:rPr>
                <w:rFonts w:ascii="Times New Roman" w:eastAsia="Calibri" w:hAnsi="Times New Roman" w:cs="Times New Roman"/>
                <w:sz w:val="20"/>
                <w:szCs w:val="20"/>
              </w:rPr>
              <w:t>1</w:t>
            </w:r>
          </w:p>
        </w:tc>
        <w:tc>
          <w:tcPr>
            <w:tcW w:w="787" w:type="pct"/>
            <w:vAlign w:val="bottom"/>
          </w:tcPr>
          <w:p w14:paraId="35DACCA4" w14:textId="77777777" w:rsidR="00876517" w:rsidRPr="00876517" w:rsidRDefault="00876517" w:rsidP="00876517">
            <w:pPr>
              <w:widowControl w:val="0"/>
              <w:tabs>
                <w:tab w:val="num" w:pos="720"/>
              </w:tabs>
              <w:autoSpaceDE w:val="0"/>
              <w:autoSpaceDN w:val="0"/>
              <w:adjustRightInd w:val="0"/>
              <w:spacing w:after="0" w:line="240" w:lineRule="auto"/>
              <w:jc w:val="right"/>
              <w:rPr>
                <w:rFonts w:ascii="Times New Roman" w:eastAsia="Calibri" w:hAnsi="Times New Roman" w:cs="Times New Roman"/>
                <w:sz w:val="20"/>
                <w:szCs w:val="20"/>
              </w:rPr>
            </w:pPr>
            <w:r w:rsidRPr="00876517">
              <w:rPr>
                <w:rFonts w:ascii="Times New Roman" w:eastAsia="Calibri" w:hAnsi="Times New Roman" w:cs="Times New Roman"/>
                <w:sz w:val="20"/>
                <w:szCs w:val="20"/>
              </w:rPr>
              <w:t>6</w:t>
            </w:r>
          </w:p>
        </w:tc>
        <w:tc>
          <w:tcPr>
            <w:tcW w:w="749" w:type="pct"/>
            <w:vAlign w:val="bottom"/>
          </w:tcPr>
          <w:p w14:paraId="25E97830" w14:textId="77777777" w:rsidR="00876517" w:rsidRPr="00876517" w:rsidRDefault="00876517" w:rsidP="00876517">
            <w:pPr>
              <w:widowControl w:val="0"/>
              <w:tabs>
                <w:tab w:val="num" w:pos="720"/>
              </w:tabs>
              <w:autoSpaceDE w:val="0"/>
              <w:autoSpaceDN w:val="0"/>
              <w:adjustRightInd w:val="0"/>
              <w:spacing w:after="0" w:line="240" w:lineRule="auto"/>
              <w:jc w:val="right"/>
              <w:rPr>
                <w:rFonts w:ascii="Times New Roman" w:eastAsia="Calibri" w:hAnsi="Times New Roman" w:cs="Times New Roman"/>
                <w:sz w:val="20"/>
                <w:szCs w:val="20"/>
              </w:rPr>
            </w:pPr>
            <w:r w:rsidRPr="00876517">
              <w:rPr>
                <w:rFonts w:ascii="Times New Roman" w:eastAsia="Calibri" w:hAnsi="Times New Roman" w:cs="Times New Roman"/>
                <w:sz w:val="20"/>
                <w:szCs w:val="20"/>
              </w:rPr>
              <w:t xml:space="preserve">500 hrs.; </w:t>
            </w:r>
          </w:p>
          <w:p w14:paraId="08B47D4B" w14:textId="3B1B3082" w:rsidR="00876517" w:rsidRPr="00876517" w:rsidRDefault="00876517" w:rsidP="006552B3">
            <w:pPr>
              <w:widowControl w:val="0"/>
              <w:tabs>
                <w:tab w:val="num" w:pos="720"/>
              </w:tabs>
              <w:autoSpaceDE w:val="0"/>
              <w:autoSpaceDN w:val="0"/>
              <w:adjustRightInd w:val="0"/>
              <w:spacing w:after="0" w:line="240" w:lineRule="auto"/>
              <w:jc w:val="right"/>
              <w:rPr>
                <w:rFonts w:ascii="Times New Roman" w:eastAsia="Calibri" w:hAnsi="Times New Roman" w:cs="Times New Roman"/>
                <w:sz w:val="20"/>
                <w:szCs w:val="20"/>
              </w:rPr>
            </w:pPr>
            <w:r w:rsidRPr="00876517">
              <w:rPr>
                <w:rFonts w:ascii="Times New Roman" w:eastAsia="Calibri" w:hAnsi="Times New Roman" w:cs="Times New Roman"/>
                <w:sz w:val="20"/>
                <w:szCs w:val="20"/>
              </w:rPr>
              <w:t>$3</w:t>
            </w:r>
            <w:r w:rsidR="006552B3">
              <w:rPr>
                <w:rFonts w:ascii="Times New Roman" w:eastAsia="Calibri" w:hAnsi="Times New Roman" w:cs="Times New Roman"/>
                <w:sz w:val="20"/>
                <w:szCs w:val="20"/>
              </w:rPr>
              <w:t>7</w:t>
            </w:r>
            <w:r w:rsidRPr="00876517">
              <w:rPr>
                <w:rFonts w:ascii="Times New Roman" w:eastAsia="Calibri" w:hAnsi="Times New Roman" w:cs="Times New Roman"/>
                <w:sz w:val="20"/>
                <w:szCs w:val="20"/>
              </w:rPr>
              <w:t>,000</w:t>
            </w:r>
            <w:r w:rsidRPr="00876517">
              <w:rPr>
                <w:rFonts w:ascii="Times New Roman" w:eastAsia="Times New Roman" w:hAnsi="Times New Roman" w:cs="Times New Roman"/>
                <w:b/>
                <w:sz w:val="26"/>
                <w:szCs w:val="26"/>
                <w:vertAlign w:val="superscript"/>
              </w:rPr>
              <w:footnoteReference w:id="7"/>
            </w:r>
          </w:p>
        </w:tc>
        <w:tc>
          <w:tcPr>
            <w:tcW w:w="704" w:type="pct"/>
            <w:vAlign w:val="bottom"/>
          </w:tcPr>
          <w:p w14:paraId="0F374E09" w14:textId="77777777" w:rsidR="00876517" w:rsidRPr="00876517" w:rsidRDefault="00876517" w:rsidP="00876517">
            <w:pPr>
              <w:keepNext/>
              <w:keepLines/>
              <w:widowControl w:val="0"/>
              <w:tabs>
                <w:tab w:val="num" w:pos="720"/>
              </w:tabs>
              <w:autoSpaceDE w:val="0"/>
              <w:autoSpaceDN w:val="0"/>
              <w:adjustRightInd w:val="0"/>
              <w:spacing w:after="0" w:line="240" w:lineRule="auto"/>
              <w:jc w:val="right"/>
              <w:outlineLvl w:val="3"/>
              <w:rPr>
                <w:rFonts w:ascii="Times New Roman" w:eastAsia="Calibri" w:hAnsi="Times New Roman" w:cs="Times New Roman"/>
                <w:sz w:val="20"/>
                <w:szCs w:val="20"/>
              </w:rPr>
            </w:pPr>
            <w:r w:rsidRPr="00876517">
              <w:rPr>
                <w:rFonts w:ascii="Times New Roman" w:eastAsia="Calibri" w:hAnsi="Times New Roman" w:cs="Times New Roman"/>
                <w:sz w:val="20"/>
                <w:szCs w:val="20"/>
              </w:rPr>
              <w:t xml:space="preserve">3,000 hrs.; </w:t>
            </w:r>
          </w:p>
          <w:p w14:paraId="57B9740D" w14:textId="1D20B914" w:rsidR="00876517" w:rsidRPr="00876517" w:rsidRDefault="00876517" w:rsidP="00876517">
            <w:pPr>
              <w:keepNext/>
              <w:keepLines/>
              <w:widowControl w:val="0"/>
              <w:tabs>
                <w:tab w:val="num" w:pos="720"/>
              </w:tabs>
              <w:autoSpaceDE w:val="0"/>
              <w:autoSpaceDN w:val="0"/>
              <w:adjustRightInd w:val="0"/>
              <w:spacing w:after="0" w:line="240" w:lineRule="auto"/>
              <w:jc w:val="right"/>
              <w:outlineLvl w:val="3"/>
              <w:rPr>
                <w:rFonts w:ascii="Times New Roman" w:eastAsia="Calibri" w:hAnsi="Times New Roman" w:cs="Times New Roman"/>
                <w:sz w:val="20"/>
                <w:szCs w:val="20"/>
              </w:rPr>
            </w:pPr>
            <w:r w:rsidRPr="00876517">
              <w:rPr>
                <w:rFonts w:ascii="Times New Roman" w:eastAsia="Calibri" w:hAnsi="Times New Roman" w:cs="Times New Roman"/>
                <w:sz w:val="20"/>
                <w:szCs w:val="20"/>
              </w:rPr>
              <w:t>$2</w:t>
            </w:r>
            <w:r w:rsidR="006552B3">
              <w:rPr>
                <w:rFonts w:ascii="Times New Roman" w:eastAsia="Calibri" w:hAnsi="Times New Roman" w:cs="Times New Roman"/>
                <w:sz w:val="20"/>
                <w:szCs w:val="20"/>
              </w:rPr>
              <w:t>22</w:t>
            </w:r>
            <w:r w:rsidRPr="00876517">
              <w:rPr>
                <w:rFonts w:ascii="Times New Roman" w:eastAsia="Calibri" w:hAnsi="Times New Roman" w:cs="Times New Roman"/>
                <w:sz w:val="20"/>
                <w:szCs w:val="20"/>
              </w:rPr>
              <w:t>,000</w:t>
            </w:r>
          </w:p>
        </w:tc>
        <w:tc>
          <w:tcPr>
            <w:tcW w:w="677" w:type="pct"/>
            <w:vAlign w:val="bottom"/>
          </w:tcPr>
          <w:p w14:paraId="00A60D30" w14:textId="0B69038B" w:rsidR="00876517" w:rsidRPr="00876517" w:rsidRDefault="00876517" w:rsidP="006552B3">
            <w:pPr>
              <w:widowControl w:val="0"/>
              <w:tabs>
                <w:tab w:val="num" w:pos="720"/>
              </w:tabs>
              <w:autoSpaceDE w:val="0"/>
              <w:autoSpaceDN w:val="0"/>
              <w:adjustRightInd w:val="0"/>
              <w:spacing w:after="0" w:line="240" w:lineRule="auto"/>
              <w:jc w:val="right"/>
              <w:rPr>
                <w:rFonts w:ascii="Times New Roman" w:eastAsia="Calibri" w:hAnsi="Times New Roman" w:cs="Times New Roman"/>
                <w:sz w:val="20"/>
                <w:szCs w:val="20"/>
              </w:rPr>
            </w:pPr>
            <w:r w:rsidRPr="00876517">
              <w:rPr>
                <w:rFonts w:ascii="Times New Roman" w:eastAsia="Calibri" w:hAnsi="Times New Roman" w:cs="Times New Roman"/>
                <w:sz w:val="20"/>
                <w:szCs w:val="20"/>
              </w:rPr>
              <w:t>$3</w:t>
            </w:r>
            <w:r w:rsidR="006552B3">
              <w:rPr>
                <w:rFonts w:ascii="Times New Roman" w:eastAsia="Calibri" w:hAnsi="Times New Roman" w:cs="Times New Roman"/>
                <w:sz w:val="20"/>
                <w:szCs w:val="20"/>
              </w:rPr>
              <w:t>7</w:t>
            </w:r>
            <w:r w:rsidRPr="00876517">
              <w:rPr>
                <w:rFonts w:ascii="Times New Roman" w:eastAsia="Calibri" w:hAnsi="Times New Roman" w:cs="Times New Roman"/>
                <w:sz w:val="20"/>
                <w:szCs w:val="20"/>
              </w:rPr>
              <w:t>,000</w:t>
            </w:r>
          </w:p>
        </w:tc>
      </w:tr>
    </w:tbl>
    <w:p w14:paraId="333AC02C" w14:textId="77777777" w:rsidR="00806297" w:rsidRDefault="00806297" w:rsidP="00806297">
      <w:pPr>
        <w:spacing w:after="0"/>
        <w:rPr>
          <w:rFonts w:ascii="Times New Roman" w:hAnsi="Times New Roman" w:cs="Times New Roman"/>
          <w:sz w:val="24"/>
          <w:szCs w:val="24"/>
        </w:rPr>
      </w:pPr>
    </w:p>
    <w:p w14:paraId="6FEB277B" w14:textId="22CA50FE" w:rsidR="00806297" w:rsidRDefault="00C45B7E" w:rsidP="00806297">
      <w:pPr>
        <w:spacing w:after="0"/>
        <w:rPr>
          <w:rFonts w:ascii="Times New Roman" w:hAnsi="Times New Roman" w:cs="Times New Roman"/>
          <w:sz w:val="24"/>
          <w:szCs w:val="24"/>
        </w:rPr>
      </w:pPr>
      <w:r>
        <w:rPr>
          <w:rFonts w:ascii="Times New Roman" w:hAnsi="Times New Roman" w:cs="Times New Roman"/>
          <w:sz w:val="24"/>
          <w:szCs w:val="24"/>
        </w:rPr>
        <w:tab/>
      </w:r>
      <w:r w:rsidR="00296865" w:rsidRPr="00296865">
        <w:rPr>
          <w:rFonts w:ascii="Times New Roman" w:hAnsi="Times New Roman" w:cs="Times New Roman"/>
          <w:sz w:val="24"/>
          <w:szCs w:val="24"/>
        </w:rPr>
        <w:t>The Commission notes that these cost estimates below do not include costs for software or hardware or for increased time spent validating cost-based incremental energy offers above $1,000/MWh.</w:t>
      </w:r>
      <w:r w:rsidR="00296865" w:rsidRPr="00296865">
        <w:rPr>
          <w:rFonts w:ascii="Times New Roman" w:hAnsi="Times New Roman" w:cs="Times New Roman"/>
          <w:b/>
          <w:bCs/>
          <w:sz w:val="24"/>
          <w:szCs w:val="24"/>
        </w:rPr>
        <w:t xml:space="preserve">  </w:t>
      </w:r>
      <w:r w:rsidR="00296865" w:rsidRPr="00296865">
        <w:rPr>
          <w:rFonts w:ascii="Times New Roman" w:hAnsi="Times New Roman" w:cs="Times New Roman"/>
          <w:sz w:val="24"/>
          <w:szCs w:val="24"/>
        </w:rPr>
        <w:t>Software or hardware upgrades may not be required</w:t>
      </w:r>
      <w:r w:rsidR="00296865">
        <w:rPr>
          <w:rFonts w:ascii="Times New Roman" w:hAnsi="Times New Roman" w:cs="Times New Roman"/>
          <w:sz w:val="24"/>
          <w:szCs w:val="24"/>
        </w:rPr>
        <w:t>.</w:t>
      </w:r>
    </w:p>
    <w:p w14:paraId="1E29E819" w14:textId="77777777" w:rsidR="00D61882" w:rsidRDefault="00D61882" w:rsidP="00806297">
      <w:pPr>
        <w:spacing w:after="0"/>
        <w:rPr>
          <w:rFonts w:ascii="Times New Roman" w:hAnsi="Times New Roman" w:cs="Times New Roman"/>
          <w:sz w:val="24"/>
          <w:szCs w:val="24"/>
        </w:rPr>
      </w:pPr>
    </w:p>
    <w:p w14:paraId="18760EC7" w14:textId="2BB93432" w:rsidR="00D61882" w:rsidRDefault="00D61882" w:rsidP="00D61882">
      <w:pPr>
        <w:spacing w:after="0"/>
        <w:ind w:firstLine="360"/>
        <w:rPr>
          <w:rFonts w:ascii="Times New Roman" w:hAnsi="Times New Roman" w:cs="Times New Roman"/>
          <w:sz w:val="24"/>
          <w:szCs w:val="24"/>
        </w:rPr>
      </w:pPr>
      <w:r>
        <w:rPr>
          <w:rFonts w:ascii="Times New Roman" w:hAnsi="Times New Roman" w:cs="Times New Roman"/>
          <w:sz w:val="24"/>
          <w:szCs w:val="24"/>
        </w:rPr>
        <w:t xml:space="preserve">Please note that the burden associated with RM16-5-000 is </w:t>
      </w:r>
      <w:r w:rsidR="00162FB1">
        <w:rPr>
          <w:rFonts w:ascii="Times New Roman" w:hAnsi="Times New Roman" w:cs="Times New Roman"/>
          <w:sz w:val="24"/>
          <w:szCs w:val="24"/>
        </w:rPr>
        <w:t>being submitted to the FERC-516C</w:t>
      </w:r>
      <w:r>
        <w:rPr>
          <w:rFonts w:ascii="Times New Roman" w:hAnsi="Times New Roman" w:cs="Times New Roman"/>
          <w:sz w:val="24"/>
          <w:szCs w:val="24"/>
        </w:rPr>
        <w:t xml:space="preserve"> </w:t>
      </w:r>
      <w:r w:rsidR="00AB0FA6">
        <w:rPr>
          <w:rFonts w:ascii="Times New Roman" w:hAnsi="Times New Roman" w:cs="Times New Roman"/>
          <w:sz w:val="24"/>
          <w:szCs w:val="24"/>
        </w:rPr>
        <w:t xml:space="preserve">temporary </w:t>
      </w:r>
      <w:r>
        <w:rPr>
          <w:rFonts w:ascii="Times New Roman" w:hAnsi="Times New Roman" w:cs="Times New Roman"/>
          <w:sz w:val="24"/>
          <w:szCs w:val="24"/>
        </w:rPr>
        <w:t>infor</w:t>
      </w:r>
      <w:r w:rsidR="00162FB1">
        <w:rPr>
          <w:rFonts w:ascii="Times New Roman" w:hAnsi="Times New Roman" w:cs="Times New Roman"/>
          <w:sz w:val="24"/>
          <w:szCs w:val="24"/>
        </w:rPr>
        <w:t xml:space="preserve">mation collection </w:t>
      </w:r>
      <w:r w:rsidR="00AB0FA6">
        <w:rPr>
          <w:rFonts w:ascii="Times New Roman" w:hAnsi="Times New Roman" w:cs="Times New Roman"/>
          <w:sz w:val="24"/>
          <w:szCs w:val="24"/>
        </w:rPr>
        <w:t xml:space="preserve">number </w:t>
      </w:r>
      <w:r w:rsidR="00162FB1">
        <w:rPr>
          <w:rFonts w:ascii="Times New Roman" w:hAnsi="Times New Roman" w:cs="Times New Roman"/>
          <w:sz w:val="24"/>
          <w:szCs w:val="24"/>
        </w:rPr>
        <w:t xml:space="preserve">(OMB Control No. </w:t>
      </w:r>
      <w:r w:rsidR="00A93EB9">
        <w:rPr>
          <w:rFonts w:ascii="Times New Roman" w:hAnsi="Times New Roman" w:cs="Times New Roman"/>
          <w:sz w:val="24"/>
          <w:szCs w:val="24"/>
        </w:rPr>
        <w:t>1902-0287</w:t>
      </w:r>
      <w:r>
        <w:rPr>
          <w:rFonts w:ascii="Times New Roman" w:hAnsi="Times New Roman" w:cs="Times New Roman"/>
          <w:sz w:val="24"/>
          <w:szCs w:val="24"/>
        </w:rPr>
        <w:t xml:space="preserve">) to allow timely submission to OMB. </w:t>
      </w:r>
      <w:r w:rsidR="00567EB2">
        <w:rPr>
          <w:rFonts w:ascii="Times New Roman" w:hAnsi="Times New Roman" w:cs="Times New Roman"/>
          <w:sz w:val="24"/>
          <w:szCs w:val="24"/>
        </w:rPr>
        <w:t xml:space="preserve"> </w:t>
      </w:r>
      <w:r>
        <w:rPr>
          <w:rFonts w:ascii="Times New Roman" w:hAnsi="Times New Roman" w:cs="Times New Roman"/>
          <w:sz w:val="24"/>
          <w:szCs w:val="24"/>
        </w:rPr>
        <w:t xml:space="preserve">FERC-516 is currently under review </w:t>
      </w:r>
      <w:r w:rsidR="004C37B8">
        <w:rPr>
          <w:rFonts w:ascii="Times New Roman" w:hAnsi="Times New Roman" w:cs="Times New Roman"/>
          <w:sz w:val="24"/>
          <w:szCs w:val="24"/>
        </w:rPr>
        <w:t xml:space="preserve">by </w:t>
      </w:r>
      <w:r w:rsidR="001E37D4">
        <w:rPr>
          <w:rFonts w:ascii="Times New Roman" w:hAnsi="Times New Roman" w:cs="Times New Roman"/>
          <w:sz w:val="24"/>
          <w:szCs w:val="24"/>
        </w:rPr>
        <w:t>OMB</w:t>
      </w:r>
      <w:r w:rsidR="00184B66">
        <w:rPr>
          <w:rFonts w:ascii="Times New Roman" w:hAnsi="Times New Roman" w:cs="Times New Roman"/>
          <w:sz w:val="24"/>
          <w:szCs w:val="24"/>
        </w:rPr>
        <w:t xml:space="preserve"> in an unrelated item</w:t>
      </w:r>
      <w:r w:rsidR="001E37D4">
        <w:rPr>
          <w:rFonts w:ascii="Times New Roman" w:hAnsi="Times New Roman" w:cs="Times New Roman"/>
          <w:sz w:val="24"/>
          <w:szCs w:val="24"/>
        </w:rPr>
        <w:t xml:space="preserve">.  </w:t>
      </w:r>
      <w:r w:rsidR="004C37B8">
        <w:rPr>
          <w:rFonts w:ascii="Times New Roman" w:hAnsi="Times New Roman" w:cs="Times New Roman"/>
          <w:sz w:val="24"/>
          <w:szCs w:val="24"/>
        </w:rPr>
        <w:t>Only one item per OMB Control No. can be pending review at a time.</w:t>
      </w:r>
      <w:r>
        <w:rPr>
          <w:rFonts w:ascii="Times New Roman" w:hAnsi="Times New Roman" w:cs="Times New Roman"/>
          <w:sz w:val="24"/>
          <w:szCs w:val="24"/>
        </w:rPr>
        <w:t xml:space="preserve">  </w:t>
      </w:r>
      <w:r w:rsidRPr="00A44AE9">
        <w:rPr>
          <w:rFonts w:ascii="Times New Roman" w:hAnsi="Times New Roman" w:cs="Times New Roman"/>
          <w:sz w:val="24"/>
          <w:szCs w:val="24"/>
        </w:rPr>
        <w:t>Any burden hour</w:t>
      </w:r>
      <w:r>
        <w:rPr>
          <w:rFonts w:ascii="Times New Roman" w:hAnsi="Times New Roman" w:cs="Times New Roman"/>
          <w:sz w:val="24"/>
          <w:szCs w:val="24"/>
        </w:rPr>
        <w:t xml:space="preserve">s </w:t>
      </w:r>
      <w:r w:rsidR="004C37B8">
        <w:rPr>
          <w:rFonts w:ascii="Times New Roman" w:hAnsi="Times New Roman" w:cs="Times New Roman"/>
          <w:sz w:val="24"/>
          <w:szCs w:val="24"/>
        </w:rPr>
        <w:t xml:space="preserve">added </w:t>
      </w:r>
      <w:r w:rsidR="00C707A1">
        <w:rPr>
          <w:rFonts w:ascii="Times New Roman" w:hAnsi="Times New Roman" w:cs="Times New Roman"/>
          <w:sz w:val="24"/>
          <w:szCs w:val="24"/>
        </w:rPr>
        <w:t>to FERC-516C</w:t>
      </w:r>
      <w:r w:rsidRPr="00A44AE9">
        <w:rPr>
          <w:rFonts w:ascii="Times New Roman" w:hAnsi="Times New Roman" w:cs="Times New Roman"/>
          <w:sz w:val="24"/>
          <w:szCs w:val="24"/>
        </w:rPr>
        <w:t xml:space="preserve"> </w:t>
      </w:r>
      <w:r w:rsidR="004C37B8">
        <w:rPr>
          <w:rFonts w:ascii="Times New Roman" w:hAnsi="Times New Roman" w:cs="Times New Roman"/>
          <w:sz w:val="24"/>
          <w:szCs w:val="24"/>
        </w:rPr>
        <w:t xml:space="preserve">by Docket RM16-5 </w:t>
      </w:r>
      <w:r w:rsidRPr="00A44AE9">
        <w:rPr>
          <w:rFonts w:ascii="Times New Roman" w:hAnsi="Times New Roman" w:cs="Times New Roman"/>
          <w:sz w:val="24"/>
          <w:szCs w:val="24"/>
        </w:rPr>
        <w:t>is intended e</w:t>
      </w:r>
      <w:r>
        <w:rPr>
          <w:rFonts w:ascii="Times New Roman" w:hAnsi="Times New Roman" w:cs="Times New Roman"/>
          <w:sz w:val="24"/>
          <w:szCs w:val="24"/>
        </w:rPr>
        <w:t>ventually to reside in FERC-516 (OMB Control No. 1902-0096</w:t>
      </w:r>
      <w:r w:rsidRPr="00A44AE9">
        <w:rPr>
          <w:rFonts w:ascii="Times New Roman" w:hAnsi="Times New Roman" w:cs="Times New Roman"/>
          <w:sz w:val="24"/>
          <w:szCs w:val="24"/>
        </w:rPr>
        <w:t>).</w:t>
      </w:r>
    </w:p>
    <w:p w14:paraId="175ADD01" w14:textId="77777777" w:rsidR="0065415D" w:rsidRDefault="0065415D" w:rsidP="00D61882">
      <w:pPr>
        <w:spacing w:after="0"/>
        <w:ind w:firstLine="360"/>
        <w:rPr>
          <w:rFonts w:ascii="Times New Roman" w:hAnsi="Times New Roman" w:cs="Times New Roman"/>
          <w:sz w:val="24"/>
          <w:szCs w:val="24"/>
        </w:rPr>
      </w:pPr>
    </w:p>
    <w:p w14:paraId="13DD326D" w14:textId="27E448E1" w:rsidR="0065415D" w:rsidRDefault="0065415D" w:rsidP="00D61882">
      <w:pPr>
        <w:spacing w:after="0"/>
        <w:ind w:firstLine="360"/>
        <w:rPr>
          <w:rFonts w:ascii="Times New Roman" w:hAnsi="Times New Roman" w:cs="Times New Roman"/>
          <w:sz w:val="24"/>
          <w:szCs w:val="24"/>
        </w:rPr>
      </w:pPr>
      <w:r>
        <w:rPr>
          <w:rFonts w:ascii="Times New Roman" w:hAnsi="Times New Roman" w:cs="Times New Roman"/>
          <w:sz w:val="24"/>
          <w:szCs w:val="24"/>
        </w:rPr>
        <w:t>As discussed in #15, the one-time burden is being averaged overs Years 1-3.</w:t>
      </w:r>
    </w:p>
    <w:p w14:paraId="79BEE634" w14:textId="77777777" w:rsidR="00296865" w:rsidRDefault="00296865" w:rsidP="00806297">
      <w:pPr>
        <w:spacing w:after="0"/>
        <w:rPr>
          <w:rFonts w:ascii="Times New Roman" w:hAnsi="Times New Roman" w:cs="Times New Roman"/>
          <w:sz w:val="24"/>
          <w:szCs w:val="24"/>
        </w:rPr>
      </w:pPr>
    </w:p>
    <w:p w14:paraId="2B568F2C"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32BF5DA2" w14:textId="77777777" w:rsidR="00E636D7" w:rsidRDefault="00E636D7" w:rsidP="00E636D7">
      <w:pPr>
        <w:spacing w:after="0"/>
        <w:rPr>
          <w:rFonts w:ascii="Times New Roman" w:hAnsi="Times New Roman" w:cs="Times New Roman"/>
          <w:sz w:val="24"/>
          <w:szCs w:val="24"/>
        </w:rPr>
      </w:pPr>
    </w:p>
    <w:p w14:paraId="7277D0BD" w14:textId="039268C7" w:rsidR="00E636D7" w:rsidRDefault="00C45B7E" w:rsidP="007C3586">
      <w:pPr>
        <w:spacing w:after="0"/>
        <w:ind w:firstLine="360"/>
        <w:rPr>
          <w:rFonts w:ascii="Times New Roman" w:hAnsi="Times New Roman" w:cs="Times New Roman"/>
          <w:sz w:val="24"/>
          <w:szCs w:val="24"/>
        </w:rPr>
      </w:pPr>
      <w:r>
        <w:rPr>
          <w:rFonts w:ascii="Times New Roman" w:hAnsi="Times New Roman" w:cs="Times New Roman"/>
          <w:sz w:val="24"/>
          <w:szCs w:val="24"/>
        </w:rPr>
        <w:tab/>
      </w:r>
      <w:r w:rsidR="00C62B86">
        <w:rPr>
          <w:rFonts w:ascii="Times New Roman" w:hAnsi="Times New Roman" w:cs="Times New Roman"/>
          <w:sz w:val="24"/>
          <w:szCs w:val="24"/>
        </w:rPr>
        <w:t>There are no start-up or</w:t>
      </w:r>
      <w:r w:rsidR="006039B3">
        <w:rPr>
          <w:rFonts w:ascii="Times New Roman" w:hAnsi="Times New Roman" w:cs="Times New Roman"/>
          <w:sz w:val="24"/>
          <w:szCs w:val="24"/>
        </w:rPr>
        <w:t xml:space="preserve"> other non</w:t>
      </w:r>
      <w:r w:rsidR="00FD486A">
        <w:rPr>
          <w:rFonts w:ascii="Times New Roman" w:hAnsi="Times New Roman" w:cs="Times New Roman"/>
          <w:sz w:val="24"/>
          <w:szCs w:val="24"/>
        </w:rPr>
        <w:t>-labor costs</w:t>
      </w:r>
      <w:r w:rsidR="006039B3">
        <w:rPr>
          <w:rFonts w:ascii="Times New Roman" w:hAnsi="Times New Roman" w:cs="Times New Roman"/>
          <w:sz w:val="24"/>
          <w:szCs w:val="24"/>
        </w:rPr>
        <w:t>.</w:t>
      </w:r>
    </w:p>
    <w:p w14:paraId="798FC809" w14:textId="77777777" w:rsidR="006039B3" w:rsidRDefault="006039B3" w:rsidP="00E636D7">
      <w:pPr>
        <w:spacing w:after="0"/>
        <w:rPr>
          <w:rFonts w:ascii="Times New Roman" w:hAnsi="Times New Roman" w:cs="Times New Roman"/>
          <w:sz w:val="24"/>
          <w:szCs w:val="24"/>
        </w:rPr>
      </w:pPr>
    </w:p>
    <w:p w14:paraId="1BF9F855" w14:textId="77777777" w:rsidR="006039B3" w:rsidRDefault="006039B3" w:rsidP="007C3586">
      <w:pPr>
        <w:spacing w:after="0"/>
        <w:ind w:left="720"/>
        <w:rPr>
          <w:rFonts w:ascii="Times New Roman" w:hAnsi="Times New Roman" w:cs="Times New Roman"/>
          <w:sz w:val="24"/>
          <w:szCs w:val="24"/>
        </w:rPr>
      </w:pPr>
      <w:r>
        <w:rPr>
          <w:rFonts w:ascii="Times New Roman" w:hAnsi="Times New Roman" w:cs="Times New Roman"/>
          <w:sz w:val="24"/>
          <w:szCs w:val="24"/>
        </w:rPr>
        <w:t>Total Capital and Start-up cost: $0</w:t>
      </w:r>
    </w:p>
    <w:p w14:paraId="5FB8A07B" w14:textId="77777777" w:rsidR="00AC3997" w:rsidRDefault="006039B3" w:rsidP="007C3586">
      <w:pPr>
        <w:spacing w:after="0"/>
        <w:ind w:left="720"/>
        <w:rPr>
          <w:rFonts w:ascii="Times New Roman" w:hAnsi="Times New Roman" w:cs="Times New Roman"/>
          <w:sz w:val="24"/>
          <w:szCs w:val="24"/>
        </w:rPr>
      </w:pPr>
      <w:r>
        <w:rPr>
          <w:rFonts w:ascii="Times New Roman" w:hAnsi="Times New Roman" w:cs="Times New Roman"/>
          <w:sz w:val="24"/>
          <w:szCs w:val="24"/>
        </w:rPr>
        <w:t>Total Operation, Maintenan</w:t>
      </w:r>
      <w:r w:rsidR="00F15EDB">
        <w:rPr>
          <w:rFonts w:ascii="Times New Roman" w:hAnsi="Times New Roman" w:cs="Times New Roman"/>
          <w:sz w:val="24"/>
          <w:szCs w:val="24"/>
        </w:rPr>
        <w:t>ce, and Purchase of Services</w:t>
      </w:r>
      <w:r w:rsidR="004C7EEA">
        <w:rPr>
          <w:rFonts w:ascii="Times New Roman" w:hAnsi="Times New Roman" w:cs="Times New Roman"/>
          <w:sz w:val="24"/>
          <w:szCs w:val="24"/>
        </w:rPr>
        <w:t>: $0</w:t>
      </w:r>
    </w:p>
    <w:p w14:paraId="48F17316" w14:textId="77777777" w:rsidR="00F15EDB" w:rsidRDefault="00F15EDB" w:rsidP="00AC3997">
      <w:pPr>
        <w:spacing w:after="0"/>
        <w:rPr>
          <w:rFonts w:ascii="Times New Roman" w:hAnsi="Times New Roman" w:cs="Times New Roman"/>
          <w:sz w:val="24"/>
          <w:szCs w:val="24"/>
        </w:rPr>
      </w:pPr>
    </w:p>
    <w:p w14:paraId="71D8FC1D" w14:textId="4E2CF3A0" w:rsidR="00F15EDB" w:rsidRDefault="00C45B7E" w:rsidP="007C3586">
      <w:pPr>
        <w:spacing w:after="0"/>
        <w:ind w:firstLine="360"/>
        <w:rPr>
          <w:rFonts w:ascii="Times New Roman" w:hAnsi="Times New Roman" w:cs="Times New Roman"/>
          <w:sz w:val="24"/>
          <w:szCs w:val="24"/>
        </w:rPr>
      </w:pPr>
      <w:r>
        <w:rPr>
          <w:rFonts w:ascii="Times New Roman" w:hAnsi="Times New Roman" w:cs="Times New Roman"/>
          <w:sz w:val="24"/>
          <w:szCs w:val="24"/>
        </w:rPr>
        <w:tab/>
      </w:r>
      <w:r w:rsidR="00AC7F5B">
        <w:rPr>
          <w:rFonts w:ascii="Times New Roman" w:hAnsi="Times New Roman" w:cs="Times New Roman"/>
          <w:sz w:val="24"/>
          <w:szCs w:val="24"/>
        </w:rPr>
        <w:t xml:space="preserve">All of the costs in the </w:t>
      </w:r>
      <w:r w:rsidR="00F16AAE">
        <w:rPr>
          <w:rFonts w:ascii="Times New Roman" w:hAnsi="Times New Roman" w:cs="Times New Roman"/>
          <w:sz w:val="24"/>
          <w:szCs w:val="24"/>
        </w:rPr>
        <w:t xml:space="preserve">final </w:t>
      </w:r>
      <w:r w:rsidR="00F15EDB">
        <w:rPr>
          <w:rFonts w:ascii="Times New Roman" w:hAnsi="Times New Roman" w:cs="Times New Roman"/>
          <w:sz w:val="24"/>
          <w:szCs w:val="24"/>
        </w:rPr>
        <w:t>rule are associated with burden hours (labor) and described in Questions #12 and #15 in this supportin</w:t>
      </w:r>
      <w:r w:rsidR="006969DA">
        <w:rPr>
          <w:rFonts w:ascii="Times New Roman" w:hAnsi="Times New Roman" w:cs="Times New Roman"/>
          <w:sz w:val="24"/>
          <w:szCs w:val="24"/>
        </w:rPr>
        <w:t>g statement.</w:t>
      </w:r>
    </w:p>
    <w:p w14:paraId="2C4CDEAB" w14:textId="77777777" w:rsidR="00AC3997" w:rsidRDefault="00AC3997" w:rsidP="00AC3997">
      <w:pPr>
        <w:spacing w:after="0"/>
        <w:rPr>
          <w:rFonts w:ascii="Times New Roman" w:hAnsi="Times New Roman" w:cs="Times New Roman"/>
          <w:sz w:val="24"/>
          <w:szCs w:val="24"/>
        </w:rPr>
      </w:pPr>
    </w:p>
    <w:p w14:paraId="1C0722F6" w14:textId="77777777" w:rsidR="00E636D7" w:rsidRPr="00A72FBE" w:rsidRDefault="00A276F5" w:rsidP="00A72FBE">
      <w:pPr>
        <w:pStyle w:val="ListParagraph"/>
        <w:numPr>
          <w:ilvl w:val="0"/>
          <w:numId w:val="1"/>
        </w:numPr>
        <w:spacing w:after="0"/>
        <w:ind w:left="360"/>
        <w:rPr>
          <w:rFonts w:ascii="Times New Roman" w:hAnsi="Times New Roman" w:cs="Times New Roman"/>
          <w:b/>
          <w:sz w:val="24"/>
          <w:szCs w:val="24"/>
        </w:rPr>
      </w:pPr>
      <w:r w:rsidRPr="00A72FBE">
        <w:rPr>
          <w:rFonts w:ascii="Times New Roman" w:hAnsi="Times New Roman" w:cs="Times New Roman"/>
          <w:b/>
          <w:sz w:val="24"/>
          <w:szCs w:val="24"/>
        </w:rPr>
        <w:t>ESTIMATED ANNUALIZED COST TO FEDERAL GOVERNMENT</w:t>
      </w:r>
    </w:p>
    <w:p w14:paraId="58D4ECDD" w14:textId="77777777" w:rsidR="00225876" w:rsidRDefault="00225876" w:rsidP="009B1BB4">
      <w:pPr>
        <w:spacing w:after="0"/>
        <w:rPr>
          <w:rFonts w:ascii="Times New Roman" w:hAnsi="Times New Roman" w:cs="Times New Roman"/>
          <w:sz w:val="24"/>
          <w:szCs w:val="24"/>
        </w:rPr>
      </w:pPr>
    </w:p>
    <w:p w14:paraId="7B8FCEA5" w14:textId="61103C30" w:rsidR="00106E70" w:rsidRDefault="00F15EDB" w:rsidP="007C3586">
      <w:pPr>
        <w:spacing w:after="0"/>
        <w:ind w:firstLine="36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Pr>
          <w:rFonts w:ascii="Times New Roman" w:hAnsi="Times New Roman" w:cs="Times New Roman"/>
          <w:sz w:val="24"/>
          <w:szCs w:val="24"/>
        </w:rPr>
        <w:t>ment for FERC-</w:t>
      </w:r>
      <w:r w:rsidR="009B1BB4">
        <w:rPr>
          <w:rFonts w:ascii="Times New Roman" w:hAnsi="Times New Roman" w:cs="Times New Roman"/>
          <w:sz w:val="24"/>
          <w:szCs w:val="24"/>
        </w:rPr>
        <w:t>516</w:t>
      </w:r>
      <w:r w:rsidR="00C707A1">
        <w:rPr>
          <w:rFonts w:ascii="Times New Roman" w:hAnsi="Times New Roman" w:cs="Times New Roman"/>
          <w:sz w:val="24"/>
          <w:szCs w:val="24"/>
        </w:rPr>
        <w:t>C</w:t>
      </w:r>
      <w:r w:rsidRPr="00630A34">
        <w:rPr>
          <w:rFonts w:ascii="Times New Roman" w:hAnsi="Times New Roman" w:cs="Times New Roman"/>
          <w:sz w:val="24"/>
          <w:szCs w:val="24"/>
        </w:rPr>
        <w:t xml:space="preserve"> as related</w:t>
      </w:r>
      <w:r w:rsidR="006969DA">
        <w:rPr>
          <w:rFonts w:ascii="Times New Roman" w:hAnsi="Times New Roman" w:cs="Times New Roman"/>
          <w:sz w:val="24"/>
          <w:szCs w:val="24"/>
        </w:rPr>
        <w:t xml:space="preserve"> to the requirements in the</w:t>
      </w:r>
      <w:r w:rsidR="00E94F67">
        <w:rPr>
          <w:rFonts w:ascii="Times New Roman" w:hAnsi="Times New Roman" w:cs="Times New Roman"/>
          <w:sz w:val="24"/>
          <w:szCs w:val="24"/>
        </w:rPr>
        <w:t xml:space="preserve"> proposed revisions</w:t>
      </w:r>
      <w:r w:rsidRPr="00630A34">
        <w:rPr>
          <w:rFonts w:ascii="Times New Roman" w:hAnsi="Times New Roman" w:cs="Times New Roman"/>
          <w:sz w:val="24"/>
          <w:szCs w:val="24"/>
        </w:rPr>
        <w:t xml:space="preserve"> in </w:t>
      </w:r>
      <w:r w:rsidR="003A5AC7">
        <w:rPr>
          <w:rFonts w:ascii="Times New Roman" w:hAnsi="Times New Roman" w:cs="Times New Roman"/>
          <w:sz w:val="24"/>
          <w:szCs w:val="24"/>
        </w:rPr>
        <w:t>RM16-5</w:t>
      </w:r>
      <w:r>
        <w:rPr>
          <w:rFonts w:ascii="Times New Roman" w:hAnsi="Times New Roman" w:cs="Times New Roman"/>
          <w:sz w:val="24"/>
          <w:szCs w:val="24"/>
        </w:rPr>
        <w:t>-000</w:t>
      </w:r>
      <w:r w:rsidR="009B1BB4">
        <w:rPr>
          <w:rFonts w:ascii="Times New Roman" w:hAnsi="Times New Roman" w:cs="Times New Roman"/>
          <w:sz w:val="24"/>
          <w:szCs w:val="24"/>
        </w:rPr>
        <w:t>.</w:t>
      </w:r>
    </w:p>
    <w:p w14:paraId="56F79384" w14:textId="77777777" w:rsidR="00106E70" w:rsidRDefault="00106E70"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039B3" w:rsidRPr="00A276F5" w14:paraId="74DB7B40" w14:textId="77777777" w:rsidTr="007C150D">
        <w:tc>
          <w:tcPr>
            <w:tcW w:w="3182" w:type="dxa"/>
            <w:shd w:val="clear" w:color="auto" w:fill="CCCCCC"/>
          </w:tcPr>
          <w:p w14:paraId="72E3074A" w14:textId="0A892D87" w:rsidR="006039B3" w:rsidRPr="00355D34" w:rsidRDefault="009B1BB4" w:rsidP="007C150D">
            <w:pPr>
              <w:spacing w:after="0" w:line="240" w:lineRule="auto"/>
              <w:rPr>
                <w:rFonts w:ascii="Times New Roman" w:hAnsi="Times New Roman" w:cs="Times New Roman"/>
                <w:b/>
                <w:sz w:val="24"/>
                <w:szCs w:val="24"/>
              </w:rPr>
            </w:pPr>
            <w:r>
              <w:rPr>
                <w:rFonts w:ascii="Times New Roman" w:hAnsi="Times New Roman" w:cs="Times New Roman"/>
                <w:b/>
                <w:sz w:val="24"/>
                <w:szCs w:val="24"/>
              </w:rPr>
              <w:t>FERC-516</w:t>
            </w:r>
            <w:r w:rsidR="00D60A4A">
              <w:rPr>
                <w:rFonts w:ascii="Times New Roman" w:hAnsi="Times New Roman" w:cs="Times New Roman"/>
                <w:b/>
                <w:sz w:val="24"/>
                <w:szCs w:val="24"/>
              </w:rPr>
              <w:t>C</w:t>
            </w:r>
          </w:p>
        </w:tc>
        <w:tc>
          <w:tcPr>
            <w:tcW w:w="3201" w:type="dxa"/>
            <w:shd w:val="clear" w:color="auto" w:fill="CCCCCC"/>
          </w:tcPr>
          <w:p w14:paraId="0A9BA802" w14:textId="77777777" w:rsidR="006039B3" w:rsidRPr="00A276F5" w:rsidRDefault="006039B3" w:rsidP="007C150D">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p>
        </w:tc>
        <w:tc>
          <w:tcPr>
            <w:tcW w:w="2995" w:type="dxa"/>
            <w:shd w:val="clear" w:color="auto" w:fill="CCCCCC"/>
          </w:tcPr>
          <w:p w14:paraId="10890D9A" w14:textId="77777777" w:rsidR="006039B3" w:rsidRPr="00A276F5" w:rsidRDefault="006039B3" w:rsidP="007C150D">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6039B3" w:rsidRPr="00A276F5" w14:paraId="609FF84C" w14:textId="77777777" w:rsidTr="007C150D">
        <w:tc>
          <w:tcPr>
            <w:tcW w:w="3182" w:type="dxa"/>
            <w:shd w:val="clear" w:color="auto" w:fill="auto"/>
          </w:tcPr>
          <w:p w14:paraId="231429D5" w14:textId="3A2193BD" w:rsidR="006039B3" w:rsidRPr="00A276F5" w:rsidRDefault="006039B3" w:rsidP="007C150D">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r w:rsidR="00445C47" w:rsidRPr="003D600F">
              <w:rPr>
                <w:rStyle w:val="FootnoteReference"/>
                <w:rFonts w:ascii="Times New Roman" w:hAnsi="Times New Roman" w:cs="Times New Roman"/>
                <w:sz w:val="24"/>
                <w:szCs w:val="24"/>
                <w:vertAlign w:val="superscript"/>
              </w:rPr>
              <w:footnoteReference w:id="8"/>
            </w:r>
          </w:p>
        </w:tc>
        <w:tc>
          <w:tcPr>
            <w:tcW w:w="3201" w:type="dxa"/>
            <w:tcBorders>
              <w:bottom w:val="single" w:sz="4" w:space="0" w:color="auto"/>
            </w:tcBorders>
            <w:shd w:val="clear" w:color="auto" w:fill="auto"/>
            <w:vAlign w:val="center"/>
          </w:tcPr>
          <w:p w14:paraId="5795934A" w14:textId="77777777" w:rsidR="006039B3" w:rsidRPr="00A276F5" w:rsidRDefault="003A5AC7"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w:t>
            </w:r>
          </w:p>
        </w:tc>
        <w:tc>
          <w:tcPr>
            <w:tcW w:w="2995" w:type="dxa"/>
            <w:shd w:val="clear" w:color="auto" w:fill="auto"/>
            <w:vAlign w:val="center"/>
          </w:tcPr>
          <w:p w14:paraId="20405F97" w14:textId="04E15A9A" w:rsidR="006039B3" w:rsidRPr="00A276F5" w:rsidRDefault="003A5AC7" w:rsidP="000C750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r w:rsidR="0026333F">
              <w:rPr>
                <w:rFonts w:ascii="Times New Roman" w:hAnsi="Times New Roman" w:cs="Times New Roman"/>
                <w:sz w:val="24"/>
                <w:szCs w:val="24"/>
              </w:rPr>
              <w:t>86,618</w:t>
            </w:r>
          </w:p>
        </w:tc>
      </w:tr>
      <w:tr w:rsidR="006039B3" w:rsidRPr="00A276F5" w14:paraId="440B5852" w14:textId="77777777" w:rsidTr="007C150D">
        <w:tc>
          <w:tcPr>
            <w:tcW w:w="3182" w:type="dxa"/>
            <w:shd w:val="clear" w:color="auto" w:fill="auto"/>
          </w:tcPr>
          <w:p w14:paraId="740570A5" w14:textId="77777777" w:rsidR="006039B3" w:rsidRPr="00A276F5" w:rsidRDefault="006039B3"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bookmarkStart w:id="2" w:name="_Ref389748397"/>
            <w:r w:rsidRPr="00AE5B29">
              <w:rPr>
                <w:rFonts w:ascii="Times New Roman" w:eastAsia="Times New Roman" w:hAnsi="Times New Roman" w:cs="Times New Roman"/>
                <w:sz w:val="24"/>
                <w:szCs w:val="24"/>
                <w:vertAlign w:val="superscript"/>
              </w:rPr>
              <w:footnoteReference w:id="9"/>
            </w:r>
            <w:bookmarkEnd w:id="2"/>
          </w:p>
        </w:tc>
        <w:tc>
          <w:tcPr>
            <w:tcW w:w="3201" w:type="dxa"/>
            <w:shd w:val="clear" w:color="auto" w:fill="D9D9D9" w:themeFill="background1" w:themeFillShade="D9"/>
            <w:vAlign w:val="center"/>
          </w:tcPr>
          <w:p w14:paraId="0FBF5F82" w14:textId="77777777" w:rsidR="006039B3" w:rsidRPr="00A276F5" w:rsidRDefault="006039B3"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3BBFB18E" w14:textId="3B66B395" w:rsidR="006039B3" w:rsidRPr="00A276F5" w:rsidRDefault="006039B3"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F15EDB">
              <w:rPr>
                <w:rFonts w:ascii="Times New Roman" w:hAnsi="Times New Roman" w:cs="Times New Roman"/>
                <w:sz w:val="24"/>
                <w:szCs w:val="24"/>
              </w:rPr>
              <w:t>5,</w:t>
            </w:r>
            <w:r w:rsidR="0026333F">
              <w:rPr>
                <w:rFonts w:ascii="Times New Roman" w:hAnsi="Times New Roman" w:cs="Times New Roman"/>
                <w:sz w:val="24"/>
                <w:szCs w:val="24"/>
              </w:rPr>
              <w:t>481</w:t>
            </w:r>
          </w:p>
        </w:tc>
      </w:tr>
      <w:tr w:rsidR="00F03087" w:rsidRPr="00A276F5" w14:paraId="5FDF39D5" w14:textId="77777777" w:rsidTr="007C150D">
        <w:tc>
          <w:tcPr>
            <w:tcW w:w="3182" w:type="dxa"/>
            <w:shd w:val="clear" w:color="auto" w:fill="auto"/>
          </w:tcPr>
          <w:p w14:paraId="0248236D" w14:textId="77777777" w:rsidR="00F03087" w:rsidRDefault="00F03087"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201" w:type="dxa"/>
            <w:shd w:val="clear" w:color="auto" w:fill="D9D9D9" w:themeFill="background1" w:themeFillShade="D9"/>
            <w:vAlign w:val="center"/>
          </w:tcPr>
          <w:p w14:paraId="2483B3B6" w14:textId="77777777" w:rsidR="00F03087" w:rsidRPr="00A276F5" w:rsidRDefault="00F03087"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6B921FEA" w14:textId="4B3371A6" w:rsidR="00F03087" w:rsidRDefault="003A5AC7" w:rsidP="000C750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r w:rsidR="0026333F">
              <w:rPr>
                <w:rFonts w:ascii="Times New Roman" w:hAnsi="Times New Roman" w:cs="Times New Roman"/>
                <w:sz w:val="24"/>
                <w:szCs w:val="24"/>
              </w:rPr>
              <w:t>92,099</w:t>
            </w:r>
          </w:p>
        </w:tc>
      </w:tr>
    </w:tbl>
    <w:p w14:paraId="11BA9AE4" w14:textId="77777777" w:rsidR="00A276F5" w:rsidRDefault="00A276F5" w:rsidP="00A276F5">
      <w:pPr>
        <w:spacing w:after="0"/>
        <w:rPr>
          <w:rFonts w:ascii="Times New Roman" w:hAnsi="Times New Roman" w:cs="Times New Roman"/>
          <w:sz w:val="24"/>
          <w:szCs w:val="24"/>
        </w:rPr>
      </w:pPr>
    </w:p>
    <w:p w14:paraId="3ED4CFA1" w14:textId="77777777" w:rsidR="00426496" w:rsidRDefault="00426496" w:rsidP="00A276F5">
      <w:pPr>
        <w:spacing w:after="0"/>
        <w:rPr>
          <w:rFonts w:ascii="Times New Roman" w:hAnsi="Times New Roman" w:cs="Times New Roman"/>
          <w:sz w:val="24"/>
          <w:szCs w:val="24"/>
        </w:rPr>
      </w:pPr>
    </w:p>
    <w:p w14:paraId="052E332D"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50FA2E0E" w14:textId="77777777" w:rsidR="008D36D0" w:rsidRDefault="008D36D0" w:rsidP="00173004">
      <w:pPr>
        <w:spacing w:after="0"/>
        <w:rPr>
          <w:rFonts w:ascii="Times New Roman" w:hAnsi="Times New Roman" w:cs="Times New Roman"/>
          <w:sz w:val="24"/>
          <w:szCs w:val="24"/>
        </w:rPr>
      </w:pPr>
    </w:p>
    <w:p w14:paraId="0BAC91A0" w14:textId="48399C0B" w:rsidR="00EC2543" w:rsidRDefault="00C45B7E" w:rsidP="00E94F67">
      <w:pPr>
        <w:spacing w:after="0"/>
        <w:ind w:firstLine="360"/>
        <w:rPr>
          <w:rFonts w:ascii="Times New Roman" w:hAnsi="Times New Roman" w:cs="Times New Roman"/>
          <w:sz w:val="24"/>
          <w:szCs w:val="24"/>
        </w:rPr>
      </w:pPr>
      <w:r>
        <w:rPr>
          <w:rFonts w:ascii="Times New Roman" w:hAnsi="Times New Roman" w:cs="Times New Roman"/>
          <w:sz w:val="24"/>
          <w:szCs w:val="24"/>
        </w:rPr>
        <w:tab/>
      </w:r>
      <w:r w:rsidR="00173004" w:rsidRPr="003D6545">
        <w:rPr>
          <w:rFonts w:ascii="Times New Roman" w:hAnsi="Times New Roman" w:cs="Times New Roman"/>
          <w:sz w:val="24"/>
          <w:szCs w:val="24"/>
        </w:rPr>
        <w:t xml:space="preserve">The existing tariff filings </w:t>
      </w:r>
      <w:r w:rsidR="00745601">
        <w:rPr>
          <w:rFonts w:ascii="Times New Roman" w:hAnsi="Times New Roman" w:cs="Times New Roman"/>
          <w:sz w:val="24"/>
          <w:szCs w:val="24"/>
        </w:rPr>
        <w:t xml:space="preserve">(covered by FERC-516) </w:t>
      </w:r>
      <w:r w:rsidR="00173004" w:rsidRPr="003D6545">
        <w:rPr>
          <w:rFonts w:ascii="Times New Roman" w:hAnsi="Times New Roman" w:cs="Times New Roman"/>
          <w:sz w:val="24"/>
          <w:szCs w:val="24"/>
        </w:rPr>
        <w:t>related to the electric utility indust</w:t>
      </w:r>
      <w:r w:rsidR="00BE7074">
        <w:rPr>
          <w:rFonts w:ascii="Times New Roman" w:hAnsi="Times New Roman" w:cs="Times New Roman"/>
          <w:sz w:val="24"/>
          <w:szCs w:val="24"/>
        </w:rPr>
        <w:t>ry are not affected by this Final Rule</w:t>
      </w:r>
      <w:r w:rsidR="00173004" w:rsidRPr="003D6545">
        <w:rPr>
          <w:rFonts w:ascii="Times New Roman" w:hAnsi="Times New Roman" w:cs="Times New Roman"/>
          <w:sz w:val="24"/>
          <w:szCs w:val="24"/>
        </w:rPr>
        <w:t xml:space="preserve"> in RM1</w:t>
      </w:r>
      <w:r w:rsidR="00173004">
        <w:rPr>
          <w:rFonts w:ascii="Times New Roman" w:hAnsi="Times New Roman" w:cs="Times New Roman"/>
          <w:sz w:val="24"/>
          <w:szCs w:val="24"/>
        </w:rPr>
        <w:t>6</w:t>
      </w:r>
      <w:r w:rsidR="00173004" w:rsidRPr="003D6545">
        <w:rPr>
          <w:rFonts w:ascii="Times New Roman" w:hAnsi="Times New Roman" w:cs="Times New Roman"/>
          <w:sz w:val="24"/>
          <w:szCs w:val="24"/>
        </w:rPr>
        <w:t>-</w:t>
      </w:r>
      <w:r w:rsidR="00173004">
        <w:rPr>
          <w:rFonts w:ascii="Times New Roman" w:hAnsi="Times New Roman" w:cs="Times New Roman"/>
          <w:sz w:val="24"/>
          <w:szCs w:val="24"/>
        </w:rPr>
        <w:t>5</w:t>
      </w:r>
      <w:r w:rsidR="000E5327">
        <w:rPr>
          <w:rFonts w:ascii="Times New Roman" w:hAnsi="Times New Roman" w:cs="Times New Roman"/>
          <w:sz w:val="24"/>
          <w:szCs w:val="24"/>
        </w:rPr>
        <w:t>-000</w:t>
      </w:r>
      <w:r w:rsidR="00173004" w:rsidRPr="003D6545">
        <w:rPr>
          <w:rFonts w:ascii="Times New Roman" w:hAnsi="Times New Roman" w:cs="Times New Roman"/>
          <w:sz w:val="24"/>
          <w:szCs w:val="24"/>
        </w:rPr>
        <w:t xml:space="preserve">.  FERC requires this </w:t>
      </w:r>
      <w:r w:rsidR="00173004">
        <w:rPr>
          <w:rFonts w:ascii="Times New Roman" w:hAnsi="Times New Roman" w:cs="Times New Roman"/>
          <w:sz w:val="24"/>
          <w:szCs w:val="24"/>
        </w:rPr>
        <w:t xml:space="preserve">new </w:t>
      </w:r>
      <w:r w:rsidR="00173004" w:rsidRPr="003D6545">
        <w:rPr>
          <w:rFonts w:ascii="Times New Roman" w:hAnsi="Times New Roman" w:cs="Times New Roman"/>
          <w:sz w:val="24"/>
          <w:szCs w:val="24"/>
        </w:rPr>
        <w:t>information in order to perform its mandated oversight and review responsibilities with respect to electric market-based rates being just and reasonable.  Without this information, the Commission would be unable to meet its statutory responsibility under Section 20</w:t>
      </w:r>
      <w:r w:rsidR="00241B79">
        <w:rPr>
          <w:rFonts w:ascii="Times New Roman" w:hAnsi="Times New Roman" w:cs="Times New Roman"/>
          <w:sz w:val="24"/>
          <w:szCs w:val="24"/>
        </w:rPr>
        <w:t>6</w:t>
      </w:r>
      <w:r w:rsidR="00173004" w:rsidRPr="003D6545">
        <w:rPr>
          <w:rFonts w:ascii="Times New Roman" w:hAnsi="Times New Roman" w:cs="Times New Roman"/>
          <w:sz w:val="24"/>
          <w:szCs w:val="24"/>
        </w:rPr>
        <w:t xml:space="preserve"> of the FPA to ensure public utility rates and tariffs are just and reasonable.  Failing to meet this responsibility could result in public utilities charging rates that are not just and reasonable.</w:t>
      </w:r>
    </w:p>
    <w:p w14:paraId="67EFE325" w14:textId="77777777" w:rsidR="0008537F" w:rsidRDefault="0008537F" w:rsidP="001026E0">
      <w:pPr>
        <w:spacing w:after="0"/>
        <w:rPr>
          <w:rFonts w:ascii="Times New Roman" w:hAnsi="Times New Roman" w:cs="Times New Roman"/>
          <w:sz w:val="24"/>
          <w:szCs w:val="24"/>
        </w:rPr>
      </w:pPr>
    </w:p>
    <w:p w14:paraId="28C5BB0F" w14:textId="3916F261" w:rsidR="003C7A26" w:rsidRPr="003C7A26" w:rsidRDefault="00C45B7E" w:rsidP="00E94F67">
      <w:pPr>
        <w:spacing w:after="0"/>
        <w:ind w:firstLine="360"/>
        <w:rPr>
          <w:rFonts w:ascii="Times New Roman" w:hAnsi="Times New Roman" w:cs="Times New Roman"/>
          <w:sz w:val="24"/>
          <w:szCs w:val="24"/>
        </w:rPr>
      </w:pPr>
      <w:r>
        <w:rPr>
          <w:rFonts w:ascii="Times New Roman" w:hAnsi="Times New Roman" w:cs="Times New Roman"/>
          <w:sz w:val="24"/>
          <w:szCs w:val="24"/>
        </w:rPr>
        <w:tab/>
      </w:r>
      <w:r w:rsidR="003C7A26">
        <w:rPr>
          <w:rFonts w:ascii="Times New Roman" w:hAnsi="Times New Roman" w:cs="Times New Roman"/>
          <w:sz w:val="24"/>
          <w:szCs w:val="24"/>
        </w:rPr>
        <w:t>The table below represents the addition</w:t>
      </w:r>
      <w:r w:rsidR="0027214A">
        <w:rPr>
          <w:rFonts w:ascii="Times New Roman" w:hAnsi="Times New Roman" w:cs="Times New Roman"/>
          <w:sz w:val="24"/>
          <w:szCs w:val="24"/>
        </w:rPr>
        <w:t>al</w:t>
      </w:r>
      <w:r w:rsidR="003C7A26">
        <w:rPr>
          <w:rFonts w:ascii="Times New Roman" w:hAnsi="Times New Roman" w:cs="Times New Roman"/>
          <w:sz w:val="24"/>
          <w:szCs w:val="24"/>
        </w:rPr>
        <w:t>, one-time burden being added due to</w:t>
      </w:r>
      <w:r w:rsidR="00BE7074">
        <w:rPr>
          <w:rFonts w:ascii="Times New Roman" w:hAnsi="Times New Roman" w:cs="Times New Roman"/>
          <w:sz w:val="24"/>
          <w:szCs w:val="24"/>
        </w:rPr>
        <w:t xml:space="preserve"> the approved</w:t>
      </w:r>
      <w:r w:rsidR="006E22EF">
        <w:rPr>
          <w:rFonts w:ascii="Times New Roman" w:hAnsi="Times New Roman" w:cs="Times New Roman"/>
          <w:sz w:val="24"/>
          <w:szCs w:val="24"/>
        </w:rPr>
        <w:t xml:space="preserve"> revisions</w:t>
      </w:r>
      <w:r w:rsidR="003A5AC7">
        <w:rPr>
          <w:rFonts w:ascii="Times New Roman" w:hAnsi="Times New Roman" w:cs="Times New Roman"/>
          <w:sz w:val="24"/>
          <w:szCs w:val="24"/>
        </w:rPr>
        <w:t xml:space="preserve"> RM16-5-000 within the FERC-516</w:t>
      </w:r>
      <w:r w:rsidR="00C707A1">
        <w:rPr>
          <w:rFonts w:ascii="Times New Roman" w:hAnsi="Times New Roman" w:cs="Times New Roman"/>
          <w:sz w:val="24"/>
          <w:szCs w:val="24"/>
        </w:rPr>
        <w:t>C</w:t>
      </w:r>
      <w:r w:rsidR="003C7A26">
        <w:rPr>
          <w:rFonts w:ascii="Times New Roman" w:hAnsi="Times New Roman" w:cs="Times New Roman"/>
          <w:sz w:val="24"/>
          <w:szCs w:val="24"/>
        </w:rPr>
        <w:t xml:space="preserve"> information collection</w:t>
      </w:r>
      <w:r w:rsidR="0027214A">
        <w:rPr>
          <w:rFonts w:ascii="Times New Roman" w:hAnsi="Times New Roman" w:cs="Times New Roman"/>
          <w:sz w:val="24"/>
          <w:szCs w:val="24"/>
        </w:rPr>
        <w:t xml:space="preserve"> number</w:t>
      </w:r>
      <w:r w:rsidR="003C7A26">
        <w:rPr>
          <w:rFonts w:ascii="Times New Roman" w:hAnsi="Times New Roman" w:cs="Times New Roman"/>
          <w:sz w:val="24"/>
          <w:szCs w:val="24"/>
        </w:rPr>
        <w:t>:</w:t>
      </w:r>
    </w:p>
    <w:p w14:paraId="44A5FE79" w14:textId="77777777" w:rsidR="00AE13B7" w:rsidRDefault="00AE13B7" w:rsidP="00AE13B7">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AE13B7" w:rsidRPr="00D80FBD" w14:paraId="1199AEBE" w14:textId="77777777" w:rsidTr="000079E2">
        <w:trPr>
          <w:trHeight w:val="870"/>
        </w:trPr>
        <w:tc>
          <w:tcPr>
            <w:tcW w:w="2679" w:type="dxa"/>
            <w:shd w:val="clear" w:color="auto" w:fill="D9D9D9"/>
            <w:vAlign w:val="bottom"/>
          </w:tcPr>
          <w:p w14:paraId="2F20417F" w14:textId="1E0E9D08"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D947A2">
              <w:rPr>
                <w:rFonts w:ascii="Times New Roman" w:hAnsi="Times New Roman" w:cs="Times New Roman"/>
                <w:b/>
                <w:sz w:val="24"/>
                <w:szCs w:val="24"/>
              </w:rPr>
              <w:t>516</w:t>
            </w:r>
            <w:r w:rsidR="00162FB1">
              <w:rPr>
                <w:rFonts w:ascii="Times New Roman" w:hAnsi="Times New Roman" w:cs="Times New Roman"/>
                <w:b/>
                <w:sz w:val="24"/>
                <w:szCs w:val="24"/>
              </w:rPr>
              <w:t>C</w:t>
            </w:r>
          </w:p>
        </w:tc>
        <w:tc>
          <w:tcPr>
            <w:tcW w:w="1461" w:type="dxa"/>
            <w:shd w:val="clear" w:color="auto" w:fill="D9D9D9"/>
            <w:vAlign w:val="bottom"/>
          </w:tcPr>
          <w:p w14:paraId="037D814D"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00D62A7D"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3328A3C6"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391FBCC5"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AE13B7" w:rsidRPr="00D80FBD" w14:paraId="6D0C6AB1" w14:textId="77777777" w:rsidTr="000079E2">
        <w:trPr>
          <w:trHeight w:val="591"/>
        </w:trPr>
        <w:tc>
          <w:tcPr>
            <w:tcW w:w="2679" w:type="dxa"/>
            <w:shd w:val="clear" w:color="auto" w:fill="auto"/>
          </w:tcPr>
          <w:p w14:paraId="4FD170A9" w14:textId="77777777" w:rsidR="00AE13B7" w:rsidRPr="00D80FBD" w:rsidRDefault="00AE13B7" w:rsidP="000079E2">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30DBE1BB" w14:textId="6177B9AF" w:rsidR="00AE13B7" w:rsidRPr="00FC440E" w:rsidRDefault="007F7CA9"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p>
        </w:tc>
        <w:tc>
          <w:tcPr>
            <w:tcW w:w="1620" w:type="dxa"/>
            <w:shd w:val="clear" w:color="auto" w:fill="auto"/>
            <w:vAlign w:val="center"/>
          </w:tcPr>
          <w:p w14:paraId="7E6F90B5" w14:textId="77777777" w:rsidR="00AE13B7" w:rsidRPr="00D80FBD" w:rsidRDefault="00160151"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190F5E6D" w14:textId="77777777" w:rsidR="00AE13B7" w:rsidRPr="00D80FBD"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7DA63A02" w14:textId="491B565A" w:rsidR="00AE13B7" w:rsidRPr="00D80FBD" w:rsidRDefault="007F7CA9"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p>
        </w:tc>
      </w:tr>
      <w:tr w:rsidR="00AE13B7" w:rsidRPr="00D80FBD" w14:paraId="5B2A5D1B" w14:textId="77777777" w:rsidTr="000079E2">
        <w:trPr>
          <w:trHeight w:val="575"/>
        </w:trPr>
        <w:tc>
          <w:tcPr>
            <w:tcW w:w="2679" w:type="dxa"/>
            <w:shd w:val="clear" w:color="auto" w:fill="auto"/>
          </w:tcPr>
          <w:p w14:paraId="1065EDD5" w14:textId="5FCCF396" w:rsidR="00AE13B7" w:rsidRPr="00D80FBD" w:rsidRDefault="00AE13B7" w:rsidP="000079E2">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(Hr</w:t>
            </w:r>
            <w:r w:rsidR="00A16813">
              <w:rPr>
                <w:rFonts w:ascii="Times New Roman" w:hAnsi="Times New Roman" w:cs="Times New Roman"/>
                <w:sz w:val="24"/>
                <w:szCs w:val="24"/>
              </w:rPr>
              <w:t>.</w:t>
            </w:r>
            <w:r w:rsidRPr="00D80FBD">
              <w:rPr>
                <w:rFonts w:ascii="Times New Roman" w:hAnsi="Times New Roman" w:cs="Times New Roman"/>
                <w:sz w:val="24"/>
                <w:szCs w:val="24"/>
              </w:rPr>
              <w:t>)</w:t>
            </w:r>
          </w:p>
        </w:tc>
        <w:tc>
          <w:tcPr>
            <w:tcW w:w="1461" w:type="dxa"/>
            <w:shd w:val="clear" w:color="auto" w:fill="auto"/>
            <w:vAlign w:val="center"/>
          </w:tcPr>
          <w:p w14:paraId="3161BCA7" w14:textId="0F9BCF64" w:rsidR="00AE13B7" w:rsidRPr="00FC440E" w:rsidRDefault="00701CD4" w:rsidP="00701CD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p>
        </w:tc>
        <w:tc>
          <w:tcPr>
            <w:tcW w:w="1620" w:type="dxa"/>
            <w:shd w:val="clear" w:color="auto" w:fill="auto"/>
            <w:vAlign w:val="center"/>
          </w:tcPr>
          <w:p w14:paraId="0D8F15F5" w14:textId="77777777" w:rsidR="00AE13B7" w:rsidRPr="00D80FBD" w:rsidRDefault="00160151"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454A0FD3" w14:textId="77777777" w:rsidR="00AE13B7" w:rsidRPr="00D80FBD"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454DF7DB" w14:textId="12E93DF8" w:rsidR="00AE13B7" w:rsidRPr="00D80FBD" w:rsidRDefault="00701CD4"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1,000</w:t>
            </w:r>
            <w:r w:rsidRPr="00F03EE2">
              <w:rPr>
                <w:rStyle w:val="FootnoteReference"/>
                <w:rFonts w:ascii="Times New Roman" w:hAnsi="Times New Roman" w:cs="Times New Roman"/>
                <w:sz w:val="24"/>
                <w:szCs w:val="24"/>
                <w:vertAlign w:val="superscript"/>
              </w:rPr>
              <w:footnoteReference w:id="10"/>
            </w:r>
          </w:p>
        </w:tc>
      </w:tr>
      <w:tr w:rsidR="00AE13B7" w:rsidRPr="00D80FBD" w14:paraId="218BD191" w14:textId="77777777" w:rsidTr="000079E2">
        <w:trPr>
          <w:trHeight w:val="295"/>
        </w:trPr>
        <w:tc>
          <w:tcPr>
            <w:tcW w:w="2679" w:type="dxa"/>
            <w:tcBorders>
              <w:bottom w:val="single" w:sz="4" w:space="0" w:color="auto"/>
            </w:tcBorders>
            <w:shd w:val="clear" w:color="auto" w:fill="auto"/>
          </w:tcPr>
          <w:p w14:paraId="0342B8C4" w14:textId="77777777" w:rsidR="00AE13B7" w:rsidRPr="00D80FBD" w:rsidRDefault="00AE13B7" w:rsidP="000079E2">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31B6F685" w14:textId="77777777" w:rsidR="00AE13B7" w:rsidRPr="00427D79"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531C1273" w14:textId="77777777" w:rsidR="00AE13B7" w:rsidRPr="00427D79"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76FCB737" w14:textId="77777777" w:rsidR="00AE13B7" w:rsidRPr="00427D79" w:rsidRDefault="00AE13B7" w:rsidP="000079E2">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580DB955" w14:textId="77777777" w:rsidR="00AE13B7" w:rsidRPr="00D80FBD"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14:paraId="0BF3596F" w14:textId="77777777" w:rsidR="00AE13B7" w:rsidRDefault="00AE13B7" w:rsidP="00AE13B7">
      <w:pPr>
        <w:spacing w:after="0"/>
        <w:rPr>
          <w:rFonts w:ascii="Times New Roman" w:hAnsi="Times New Roman" w:cs="Times New Roman"/>
          <w:sz w:val="24"/>
          <w:szCs w:val="24"/>
        </w:rPr>
      </w:pPr>
    </w:p>
    <w:p w14:paraId="11BA9BD1" w14:textId="77777777" w:rsidR="00AE13B7" w:rsidRDefault="00AE13B7" w:rsidP="0038492E">
      <w:pPr>
        <w:spacing w:after="0"/>
        <w:rPr>
          <w:rFonts w:ascii="Times New Roman" w:hAnsi="Times New Roman" w:cs="Times New Roman"/>
          <w:sz w:val="24"/>
          <w:szCs w:val="24"/>
        </w:rPr>
      </w:pPr>
    </w:p>
    <w:p w14:paraId="3EF86603"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5A6E46B2" w14:textId="77777777" w:rsidR="00414F32" w:rsidRDefault="00414F32" w:rsidP="00414F32">
      <w:pPr>
        <w:spacing w:after="0"/>
        <w:rPr>
          <w:rFonts w:ascii="Times New Roman" w:hAnsi="Times New Roman" w:cs="Times New Roman"/>
          <w:sz w:val="24"/>
          <w:szCs w:val="24"/>
        </w:rPr>
      </w:pPr>
    </w:p>
    <w:p w14:paraId="539B110D" w14:textId="2AE159E9" w:rsidR="006039B3" w:rsidRPr="005F6467" w:rsidRDefault="00C45B7E" w:rsidP="00225876">
      <w:pPr>
        <w:spacing w:after="0"/>
        <w:ind w:firstLine="360"/>
        <w:rPr>
          <w:rFonts w:ascii="Times New Roman" w:hAnsi="Times New Roman" w:cs="Times New Roman"/>
          <w:sz w:val="24"/>
          <w:szCs w:val="24"/>
        </w:rPr>
      </w:pPr>
      <w:r>
        <w:rPr>
          <w:rFonts w:ascii="Times New Roman" w:hAnsi="Times New Roman" w:cs="Times New Roman"/>
          <w:sz w:val="24"/>
          <w:szCs w:val="24"/>
        </w:rPr>
        <w:tab/>
      </w:r>
      <w:r w:rsidR="006039B3" w:rsidRPr="005F6467">
        <w:rPr>
          <w:rFonts w:ascii="Times New Roman" w:hAnsi="Times New Roman" w:cs="Times New Roman"/>
          <w:sz w:val="24"/>
          <w:szCs w:val="24"/>
        </w:rPr>
        <w:t xml:space="preserve">There are no tabulating, statistical or tabulating analysis or publication plans for the collection of information.  </w:t>
      </w:r>
    </w:p>
    <w:p w14:paraId="7EE9F942" w14:textId="77777777" w:rsidR="00414F32" w:rsidRPr="00414F32" w:rsidRDefault="00414F32" w:rsidP="00414F32">
      <w:pPr>
        <w:spacing w:after="0"/>
        <w:rPr>
          <w:rFonts w:ascii="Times New Roman" w:hAnsi="Times New Roman" w:cs="Times New Roman"/>
          <w:sz w:val="24"/>
          <w:szCs w:val="24"/>
        </w:rPr>
      </w:pPr>
    </w:p>
    <w:p w14:paraId="710C5B80"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021F2787" w14:textId="77777777" w:rsidR="0051258E" w:rsidRDefault="0051258E" w:rsidP="009C0BA0">
      <w:pPr>
        <w:spacing w:after="0"/>
        <w:rPr>
          <w:rFonts w:ascii="Times New Roman" w:hAnsi="Times New Roman" w:cs="Times New Roman"/>
          <w:sz w:val="24"/>
          <w:szCs w:val="24"/>
        </w:rPr>
      </w:pPr>
    </w:p>
    <w:p w14:paraId="003C1A6C" w14:textId="2242FB11" w:rsidR="009C0BA0" w:rsidRDefault="00C45B7E" w:rsidP="00225876">
      <w:pPr>
        <w:spacing w:after="0"/>
        <w:ind w:firstLine="360"/>
        <w:rPr>
          <w:rFonts w:ascii="Times New Roman" w:hAnsi="Times New Roman" w:cs="Times New Roman"/>
          <w:sz w:val="24"/>
          <w:szCs w:val="24"/>
        </w:rPr>
      </w:pPr>
      <w:r>
        <w:rPr>
          <w:rFonts w:ascii="Times New Roman" w:hAnsi="Times New Roman" w:cs="Times New Roman"/>
          <w:sz w:val="24"/>
          <w:szCs w:val="24"/>
        </w:rPr>
        <w:tab/>
      </w:r>
      <w:r w:rsidR="009C0BA0">
        <w:rPr>
          <w:rFonts w:ascii="Times New Roman" w:hAnsi="Times New Roman" w:cs="Times New Roman"/>
          <w:sz w:val="24"/>
          <w:szCs w:val="24"/>
        </w:rPr>
        <w:t>The expiration date</w:t>
      </w:r>
      <w:r w:rsidR="00A57031">
        <w:rPr>
          <w:rFonts w:ascii="Times New Roman" w:hAnsi="Times New Roman" w:cs="Times New Roman"/>
          <w:sz w:val="24"/>
          <w:szCs w:val="24"/>
        </w:rPr>
        <w:t>s</w:t>
      </w:r>
      <w:r w:rsidR="009C0BA0" w:rsidRPr="00E84A39">
        <w:rPr>
          <w:rFonts w:ascii="Times New Roman" w:hAnsi="Times New Roman" w:cs="Times New Roman"/>
          <w:sz w:val="24"/>
          <w:szCs w:val="24"/>
        </w:rPr>
        <w:t xml:space="preserve"> </w:t>
      </w:r>
      <w:r w:rsidR="00A57031">
        <w:rPr>
          <w:rFonts w:ascii="Times New Roman" w:hAnsi="Times New Roman" w:cs="Times New Roman"/>
          <w:sz w:val="24"/>
          <w:szCs w:val="24"/>
        </w:rPr>
        <w:t>are</w:t>
      </w:r>
      <w:r w:rsidR="009C0BA0" w:rsidRPr="00E84A39">
        <w:rPr>
          <w:rFonts w:ascii="Times New Roman" w:hAnsi="Times New Roman" w:cs="Times New Roman"/>
          <w:sz w:val="24"/>
          <w:szCs w:val="24"/>
        </w:rPr>
        <w:t xml:space="preserve"> displayed </w:t>
      </w:r>
      <w:r w:rsidR="009C0BA0">
        <w:rPr>
          <w:rFonts w:ascii="Times New Roman" w:hAnsi="Times New Roman" w:cs="Times New Roman"/>
          <w:sz w:val="24"/>
          <w:szCs w:val="24"/>
        </w:rPr>
        <w:t xml:space="preserve">in a table posted </w:t>
      </w:r>
      <w:r w:rsidR="009C0BA0" w:rsidRPr="00E84A39">
        <w:rPr>
          <w:rFonts w:ascii="Times New Roman" w:hAnsi="Times New Roman" w:cs="Times New Roman"/>
          <w:sz w:val="24"/>
          <w:szCs w:val="24"/>
        </w:rPr>
        <w:t xml:space="preserve">on ferc.gov </w:t>
      </w:r>
      <w:r w:rsidR="009C0BA0">
        <w:rPr>
          <w:rFonts w:ascii="Times New Roman" w:hAnsi="Times New Roman" w:cs="Times New Roman"/>
          <w:sz w:val="24"/>
          <w:szCs w:val="24"/>
        </w:rPr>
        <w:t>at</w:t>
      </w:r>
      <w:r w:rsidR="009C0BA0" w:rsidRPr="00E84A39">
        <w:rPr>
          <w:rFonts w:ascii="Times New Roman" w:hAnsi="Times New Roman" w:cs="Times New Roman"/>
          <w:sz w:val="24"/>
          <w:szCs w:val="24"/>
        </w:rPr>
        <w:t xml:space="preserve"> </w:t>
      </w:r>
      <w:hyperlink r:id="rId13" w:history="1">
        <w:r w:rsidR="009C0BA0" w:rsidRPr="00E84A39">
          <w:rPr>
            <w:rStyle w:val="Hyperlink"/>
            <w:rFonts w:ascii="Times New Roman" w:hAnsi="Times New Roman" w:cs="Times New Roman"/>
            <w:sz w:val="24"/>
            <w:szCs w:val="24"/>
          </w:rPr>
          <w:t>http://www.ferc.gov/docs-filing/info-collections.asp</w:t>
        </w:r>
      </w:hyperlink>
      <w:r w:rsidR="009C0BA0" w:rsidRPr="00E84A39">
        <w:rPr>
          <w:rFonts w:ascii="Times New Roman" w:hAnsi="Times New Roman" w:cs="Times New Roman"/>
          <w:sz w:val="24"/>
          <w:szCs w:val="24"/>
        </w:rPr>
        <w:t>.</w:t>
      </w:r>
    </w:p>
    <w:p w14:paraId="1CCE5371" w14:textId="77777777" w:rsidR="009C0BA0" w:rsidRPr="00414F32" w:rsidRDefault="009C0BA0" w:rsidP="00414F32">
      <w:pPr>
        <w:spacing w:after="0"/>
        <w:rPr>
          <w:rFonts w:ascii="Times New Roman" w:hAnsi="Times New Roman" w:cs="Times New Roman"/>
          <w:sz w:val="24"/>
          <w:szCs w:val="24"/>
        </w:rPr>
      </w:pPr>
    </w:p>
    <w:p w14:paraId="3263D4FC"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3AEEA74E" w14:textId="77777777" w:rsidR="0057700F" w:rsidRDefault="0057700F" w:rsidP="0057700F">
      <w:pPr>
        <w:spacing w:after="0"/>
        <w:rPr>
          <w:rFonts w:ascii="Times New Roman" w:hAnsi="Times New Roman" w:cs="Times New Roman"/>
          <w:b/>
          <w:sz w:val="24"/>
          <w:szCs w:val="24"/>
        </w:rPr>
      </w:pPr>
    </w:p>
    <w:p w14:paraId="70953A6B" w14:textId="1EC47A84" w:rsidR="006039B3" w:rsidRPr="005F6467" w:rsidRDefault="00C45B7E" w:rsidP="00225876">
      <w:pPr>
        <w:spacing w:after="0"/>
        <w:ind w:firstLine="360"/>
        <w:rPr>
          <w:rFonts w:ascii="Times New Roman" w:hAnsi="Times New Roman" w:cs="Times New Roman"/>
          <w:sz w:val="24"/>
          <w:szCs w:val="24"/>
        </w:rPr>
      </w:pPr>
      <w:r>
        <w:rPr>
          <w:rFonts w:ascii="Times New Roman" w:hAnsi="Times New Roman" w:cs="Times New Roman"/>
          <w:sz w:val="24"/>
          <w:szCs w:val="24"/>
        </w:rPr>
        <w:tab/>
      </w:r>
      <w:r w:rsidR="006039B3" w:rsidRPr="005F6467">
        <w:rPr>
          <w:rFonts w:ascii="Times New Roman" w:hAnsi="Times New Roman" w:cs="Times New Roman"/>
          <w:sz w:val="24"/>
          <w:szCs w:val="24"/>
        </w:rPr>
        <w:t>The</w:t>
      </w:r>
      <w:r w:rsidR="00997C10">
        <w:rPr>
          <w:rFonts w:ascii="Times New Roman" w:hAnsi="Times New Roman" w:cs="Times New Roman"/>
          <w:sz w:val="24"/>
          <w:szCs w:val="24"/>
        </w:rPr>
        <w:t>re are no ex</w:t>
      </w:r>
      <w:r w:rsidR="00FD7814">
        <w:rPr>
          <w:rFonts w:ascii="Times New Roman" w:hAnsi="Times New Roman" w:cs="Times New Roman"/>
          <w:sz w:val="24"/>
          <w:szCs w:val="24"/>
        </w:rPr>
        <w:t>ceptions.</w:t>
      </w:r>
    </w:p>
    <w:p w14:paraId="27EF07F8" w14:textId="77777777" w:rsidR="00414F32" w:rsidRPr="007A2F92" w:rsidRDefault="00414F32" w:rsidP="006039B3">
      <w:pPr>
        <w:tabs>
          <w:tab w:val="left" w:pos="915"/>
        </w:tabs>
        <w:spacing w:after="0"/>
        <w:rPr>
          <w:rFonts w:ascii="Times New Roman" w:hAnsi="Times New Roman" w:cs="Times New Roman"/>
          <w:sz w:val="24"/>
          <w:szCs w:val="24"/>
        </w:rPr>
      </w:pPr>
    </w:p>
    <w:sectPr w:rsidR="00414F32" w:rsidRPr="007A2F92" w:rsidSect="0078771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FC9F1" w14:textId="77777777" w:rsidR="00A27A29" w:rsidRDefault="00A27A29" w:rsidP="00FD66F1">
      <w:pPr>
        <w:spacing w:after="0" w:line="240" w:lineRule="auto"/>
      </w:pPr>
      <w:r>
        <w:separator/>
      </w:r>
    </w:p>
  </w:endnote>
  <w:endnote w:type="continuationSeparator" w:id="0">
    <w:p w14:paraId="6E921051" w14:textId="77777777" w:rsidR="00A27A29" w:rsidRDefault="00A27A29"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14:paraId="377B51A9" w14:textId="77777777" w:rsidR="000079E2" w:rsidRPr="001C6553" w:rsidRDefault="000079E2">
        <w:pPr>
          <w:pStyle w:val="Footer"/>
          <w:jc w:val="right"/>
          <w:rPr>
            <w:rFonts w:ascii="Times New Roman" w:hAnsi="Times New Roman" w:cs="Times New Roman"/>
          </w:rPr>
        </w:pPr>
        <w:r w:rsidRPr="001C6553">
          <w:rPr>
            <w:rFonts w:ascii="Times New Roman" w:hAnsi="Times New Roman" w:cs="Times New Roman"/>
          </w:rPr>
          <w:fldChar w:fldCharType="begin"/>
        </w:r>
        <w:r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4B05D0">
          <w:rPr>
            <w:rFonts w:ascii="Times New Roman" w:hAnsi="Times New Roman" w:cs="Times New Roman"/>
            <w:noProof/>
          </w:rPr>
          <w:t>1</w:t>
        </w:r>
        <w:r w:rsidRPr="001C6553">
          <w:rPr>
            <w:rFonts w:ascii="Times New Roman" w:hAnsi="Times New Roman" w:cs="Times New Roman"/>
            <w:noProof/>
          </w:rPr>
          <w:fldChar w:fldCharType="end"/>
        </w:r>
      </w:p>
    </w:sdtContent>
  </w:sdt>
  <w:p w14:paraId="10F896DD" w14:textId="77777777" w:rsidR="000079E2" w:rsidRDefault="00007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42F1A" w14:textId="77777777" w:rsidR="00A27A29" w:rsidRDefault="00A27A29" w:rsidP="00FD66F1">
      <w:pPr>
        <w:spacing w:after="0" w:line="240" w:lineRule="auto"/>
      </w:pPr>
      <w:r>
        <w:separator/>
      </w:r>
    </w:p>
  </w:footnote>
  <w:footnote w:type="continuationSeparator" w:id="0">
    <w:p w14:paraId="32E819A4" w14:textId="77777777" w:rsidR="00A27A29" w:rsidRDefault="00A27A29" w:rsidP="00FD66F1">
      <w:pPr>
        <w:spacing w:after="0" w:line="240" w:lineRule="auto"/>
      </w:pPr>
      <w:r>
        <w:continuationSeparator/>
      </w:r>
    </w:p>
  </w:footnote>
  <w:footnote w:id="1">
    <w:p w14:paraId="28DA5F1B" w14:textId="18FB1BDA" w:rsidR="003B6C3D" w:rsidRDefault="003B6C3D">
      <w:pPr>
        <w:pStyle w:val="FootnoteText"/>
      </w:pPr>
      <w:r>
        <w:rPr>
          <w:rStyle w:val="FootnoteReference"/>
        </w:rPr>
        <w:footnoteRef/>
      </w:r>
      <w:r>
        <w:t xml:space="preserve"> FERC-516 </w:t>
      </w:r>
      <w:r w:rsidR="00A93EB9">
        <w:t xml:space="preserve">(OMB Control No. 1902-0096) </w:t>
      </w:r>
      <w:r>
        <w:t xml:space="preserve">is the data collection cited in RM16-5-000 </w:t>
      </w:r>
      <w:r w:rsidR="009E2DDF">
        <w:t>Final Rule</w:t>
      </w:r>
      <w:r>
        <w:t xml:space="preserve">. </w:t>
      </w:r>
      <w:r w:rsidR="00E273DF">
        <w:t xml:space="preserve"> </w:t>
      </w:r>
      <w:r>
        <w:t xml:space="preserve">It is where the burden for this </w:t>
      </w:r>
      <w:r w:rsidR="00B44CDE">
        <w:t xml:space="preserve">Final Rule </w:t>
      </w:r>
      <w:r>
        <w:t xml:space="preserve">should reside. </w:t>
      </w:r>
      <w:r w:rsidR="00275872">
        <w:t xml:space="preserve"> </w:t>
      </w:r>
      <w:r>
        <w:t>However, FERC-516 is currently under OMB’s review f</w:t>
      </w:r>
      <w:r w:rsidR="007C0F08">
        <w:t xml:space="preserve">or other </w:t>
      </w:r>
      <w:r w:rsidR="00B72FA8">
        <w:t xml:space="preserve">unrelated </w:t>
      </w:r>
      <w:r w:rsidR="007C0F08">
        <w:t xml:space="preserve">Commission activities (ICR No. 201511-1902-005).  Instead, RM16-5-000 </w:t>
      </w:r>
      <w:r w:rsidR="001B74D8">
        <w:t xml:space="preserve">Final Rule </w:t>
      </w:r>
      <w:r w:rsidR="007C0F08">
        <w:t>is being submitted under a temporary collection</w:t>
      </w:r>
      <w:r w:rsidR="00B72FA8">
        <w:t xml:space="preserve"> number</w:t>
      </w:r>
      <w:r w:rsidR="007C0F08">
        <w:t xml:space="preserve"> (FERC-516C, OMB Control No. </w:t>
      </w:r>
      <w:r w:rsidR="0029517A">
        <w:t>1902-0287</w:t>
      </w:r>
      <w:r w:rsidR="007C0F08">
        <w:t>) to ensure timely submission.</w:t>
      </w:r>
    </w:p>
  </w:footnote>
  <w:footnote w:id="2">
    <w:p w14:paraId="0625842D" w14:textId="1EF6D09E" w:rsidR="00FE4F92" w:rsidRPr="00296865" w:rsidRDefault="00D81471" w:rsidP="003E07D7">
      <w:pPr>
        <w:pStyle w:val="FootnoteText"/>
      </w:pPr>
      <w:r w:rsidRPr="00296865">
        <w:rPr>
          <w:rStyle w:val="FootnoteReference"/>
          <w:vertAlign w:val="superscript"/>
        </w:rPr>
        <w:footnoteRef/>
      </w:r>
      <w:r w:rsidRPr="00296865">
        <w:t xml:space="preserve"> 16 U.S.C. 824d</w:t>
      </w:r>
      <w:r w:rsidR="00241B79" w:rsidRPr="00296865">
        <w:t>, 824e</w:t>
      </w:r>
      <w:r w:rsidRPr="00296865">
        <w:t>.</w:t>
      </w:r>
    </w:p>
  </w:footnote>
  <w:footnote w:id="3">
    <w:p w14:paraId="498B84F7" w14:textId="4F966928" w:rsidR="006E278F" w:rsidRDefault="006E278F">
      <w:pPr>
        <w:pStyle w:val="FootnoteText"/>
      </w:pPr>
      <w:r w:rsidRPr="001F2AED">
        <w:rPr>
          <w:rStyle w:val="FootnoteReference"/>
          <w:vertAlign w:val="superscript"/>
        </w:rPr>
        <w:footnoteRef/>
      </w:r>
      <w:r>
        <w:t xml:space="preserve"> There are </w:t>
      </w:r>
      <w:r w:rsidR="001C557C">
        <w:t>six</w:t>
      </w:r>
      <w:r>
        <w:t xml:space="preserve"> ISOs</w:t>
      </w:r>
      <w:r w:rsidR="001C557C">
        <w:t xml:space="preserve"> and RTOs (California ISO, New York ISO, the Midcontinent ISO,  ISO New England, PJM Interconnection, and Southwest Power Pool)</w:t>
      </w:r>
      <w:r w:rsidR="007423E9">
        <w:t xml:space="preserve"> </w:t>
      </w:r>
      <w:r w:rsidR="001C557C">
        <w:t xml:space="preserve">affected by this final rule. More information on ISOs and RTOs is posted at </w:t>
      </w:r>
      <w:hyperlink r:id="rId1" w:history="1">
        <w:r w:rsidR="001C557C" w:rsidRPr="00DD7D80">
          <w:rPr>
            <w:rStyle w:val="Hyperlink"/>
          </w:rPr>
          <w:t>http://www.ferc.gov/industries/electric/indus-act/rto.asp</w:t>
        </w:r>
      </w:hyperlink>
      <w:r w:rsidR="001C557C">
        <w:t xml:space="preserve"> .</w:t>
      </w:r>
      <w:r>
        <w:t>.</w:t>
      </w:r>
    </w:p>
  </w:footnote>
  <w:footnote w:id="4">
    <w:p w14:paraId="13D06AC9" w14:textId="369F425D" w:rsidR="00445C47" w:rsidRDefault="00445C47">
      <w:pPr>
        <w:pStyle w:val="FootnoteText"/>
      </w:pPr>
      <w:r>
        <w:rPr>
          <w:rStyle w:val="FootnoteReference"/>
        </w:rPr>
        <w:footnoteRef/>
      </w:r>
      <w:r>
        <w:t xml:space="preserve"> Commission staff did not include the cost of potential software upgrades within this information collection request because they believe most entities will not have to conduct software upgrades.  Commission staff requested comment about these costs in the NOPR </w:t>
      </w:r>
      <w:r w:rsidR="00096CCD">
        <w:t>but did not receive any comments on this issue</w:t>
      </w:r>
      <w:r>
        <w:t>.</w:t>
      </w:r>
    </w:p>
  </w:footnote>
  <w:footnote w:id="5">
    <w:p w14:paraId="23978066" w14:textId="16C1CCEB" w:rsidR="00FE4F92" w:rsidRPr="00296865" w:rsidRDefault="00D81471" w:rsidP="003E07D7">
      <w:pPr>
        <w:pStyle w:val="FootnoteText"/>
      </w:pPr>
      <w:r w:rsidRPr="00296865">
        <w:rPr>
          <w:rStyle w:val="FootnoteReference"/>
          <w:vertAlign w:val="superscript"/>
        </w:rPr>
        <w:footnoteRef/>
      </w:r>
      <w:r w:rsidRPr="00296865">
        <w:t xml:space="preserve"> 13 CFR 121.101 (201</w:t>
      </w:r>
      <w:r w:rsidR="00E048ED">
        <w:t>6</w:t>
      </w:r>
      <w:r w:rsidRPr="00296865">
        <w:t>).</w:t>
      </w:r>
    </w:p>
  </w:footnote>
  <w:footnote w:id="6">
    <w:p w14:paraId="32590AF6" w14:textId="77777777" w:rsidR="00D81471" w:rsidRPr="00296865" w:rsidRDefault="00D81471" w:rsidP="003E07D7">
      <w:pPr>
        <w:pStyle w:val="FootnoteText"/>
      </w:pPr>
      <w:r w:rsidRPr="00296865">
        <w:rPr>
          <w:rStyle w:val="FootnoteReference"/>
          <w:vertAlign w:val="superscript"/>
        </w:rPr>
        <w:footnoteRef/>
      </w:r>
      <w:r w:rsidRPr="00296865">
        <w:t xml:space="preserve"> SBA Final Rule on “Small Business Size Standards:  Utilities,” 78 FR 77,343 (Dec. 23, 2013).</w:t>
      </w:r>
    </w:p>
  </w:footnote>
  <w:footnote w:id="7">
    <w:p w14:paraId="3E344E22" w14:textId="23DBD9AF" w:rsidR="00365D3F" w:rsidRPr="00365D3F" w:rsidRDefault="00876517" w:rsidP="00365D3F">
      <w:pPr>
        <w:pStyle w:val="FootnoteText"/>
      </w:pPr>
      <w:r w:rsidRPr="00296865">
        <w:rPr>
          <w:rStyle w:val="FootnoteReference"/>
          <w:vertAlign w:val="superscript"/>
        </w:rPr>
        <w:footnoteRef/>
      </w:r>
      <w:r w:rsidRPr="00296865">
        <w:rPr>
          <w:vertAlign w:val="superscript"/>
        </w:rPr>
        <w:t xml:space="preserve"> </w:t>
      </w:r>
      <w:r w:rsidR="00365D3F" w:rsidRPr="00365D3F">
        <w:t>The estimated hourly cost (salary plus benefits) provided in this section is based on the salary figures for May 2015 posted by the Bureau of Labor Statistics for the Utilities sector (</w:t>
      </w:r>
      <w:r w:rsidR="00365D3F" w:rsidRPr="00365D3F">
        <w:rPr>
          <w:i/>
        </w:rPr>
        <w:t>available at</w:t>
      </w:r>
      <w:r w:rsidR="00365D3F" w:rsidRPr="00365D3F">
        <w:t xml:space="preserve"> http://www.bls.gov/oes/current/naics2_22.htm#13-0000) and scaled to reflect benefits using the relative importance of employer costs in employee compensation from June 2016 (</w:t>
      </w:r>
      <w:r w:rsidR="00365D3F" w:rsidRPr="00365D3F">
        <w:rPr>
          <w:i/>
        </w:rPr>
        <w:t xml:space="preserve">available at </w:t>
      </w:r>
      <w:r w:rsidR="00365D3F" w:rsidRPr="00365D3F">
        <w:t>http://www.bls.gov/news.release/ecec.nr0.htm).  The hourly estimates for salary plus benefits are:</w:t>
      </w:r>
    </w:p>
    <w:p w14:paraId="77A6529A" w14:textId="77777777" w:rsidR="00365D3F" w:rsidRPr="00365D3F" w:rsidRDefault="00365D3F" w:rsidP="00365D3F">
      <w:pPr>
        <w:pStyle w:val="FootnoteText"/>
        <w:numPr>
          <w:ilvl w:val="0"/>
          <w:numId w:val="18"/>
        </w:numPr>
      </w:pPr>
      <w:r w:rsidRPr="00365D3F">
        <w:t>Legal (code 23-0000), $128.94</w:t>
      </w:r>
    </w:p>
    <w:p w14:paraId="42BBDF7F" w14:textId="77777777" w:rsidR="00365D3F" w:rsidRPr="00365D3F" w:rsidRDefault="00365D3F" w:rsidP="00365D3F">
      <w:pPr>
        <w:pStyle w:val="FootnoteText"/>
        <w:numPr>
          <w:ilvl w:val="0"/>
          <w:numId w:val="18"/>
        </w:numPr>
      </w:pPr>
      <w:r w:rsidRPr="00365D3F">
        <w:t>Computer and mathematical (code 15-0000), $60.54</w:t>
      </w:r>
    </w:p>
    <w:p w14:paraId="3C79E739" w14:textId="77777777" w:rsidR="00365D3F" w:rsidRPr="00365D3F" w:rsidRDefault="00365D3F" w:rsidP="00365D3F">
      <w:pPr>
        <w:pStyle w:val="FootnoteText"/>
        <w:numPr>
          <w:ilvl w:val="0"/>
          <w:numId w:val="18"/>
        </w:numPr>
      </w:pPr>
      <w:r w:rsidRPr="00365D3F">
        <w:t>Information systems manager (code 11-3021), $91.63</w:t>
      </w:r>
    </w:p>
    <w:p w14:paraId="2BA8589D" w14:textId="77777777" w:rsidR="00365D3F" w:rsidRPr="00365D3F" w:rsidRDefault="00365D3F" w:rsidP="00365D3F">
      <w:pPr>
        <w:pStyle w:val="FootnoteText"/>
        <w:numPr>
          <w:ilvl w:val="0"/>
          <w:numId w:val="18"/>
        </w:numPr>
      </w:pPr>
      <w:r w:rsidRPr="00365D3F">
        <w:t>IT security analyst (code 15-1122), $63.55</w:t>
      </w:r>
    </w:p>
    <w:p w14:paraId="745C4FE1" w14:textId="77777777" w:rsidR="00365D3F" w:rsidRPr="00365D3F" w:rsidRDefault="00365D3F" w:rsidP="00365D3F">
      <w:pPr>
        <w:pStyle w:val="FootnoteText"/>
        <w:numPr>
          <w:ilvl w:val="0"/>
          <w:numId w:val="18"/>
        </w:numPr>
      </w:pPr>
      <w:r w:rsidRPr="00365D3F">
        <w:t>Auditing and accounting (code 13-2011), $53.78</w:t>
      </w:r>
    </w:p>
    <w:p w14:paraId="14716A92" w14:textId="77777777" w:rsidR="00365D3F" w:rsidRPr="00365D3F" w:rsidRDefault="00365D3F" w:rsidP="00365D3F">
      <w:pPr>
        <w:pStyle w:val="FootnoteText"/>
        <w:numPr>
          <w:ilvl w:val="0"/>
          <w:numId w:val="18"/>
        </w:numPr>
      </w:pPr>
      <w:r w:rsidRPr="00365D3F">
        <w:t>Information and record clerk (code 43-4199), $37.69</w:t>
      </w:r>
    </w:p>
    <w:p w14:paraId="5E121205" w14:textId="77777777" w:rsidR="00365D3F" w:rsidRPr="00365D3F" w:rsidRDefault="00365D3F" w:rsidP="00365D3F">
      <w:pPr>
        <w:pStyle w:val="FootnoteText"/>
        <w:numPr>
          <w:ilvl w:val="0"/>
          <w:numId w:val="18"/>
        </w:numPr>
      </w:pPr>
      <w:r w:rsidRPr="00365D3F">
        <w:t>Electrical Engineer  (code 17-2071), $64.20</w:t>
      </w:r>
    </w:p>
    <w:p w14:paraId="764A1F62" w14:textId="0B151828" w:rsidR="00365D3F" w:rsidRPr="00365D3F" w:rsidRDefault="00365D3F" w:rsidP="00365D3F">
      <w:pPr>
        <w:pStyle w:val="FootnoteText"/>
        <w:numPr>
          <w:ilvl w:val="0"/>
          <w:numId w:val="18"/>
        </w:numPr>
      </w:pPr>
      <w:r w:rsidRPr="00365D3F">
        <w:t>Economist (code 19-3011),</w:t>
      </w:r>
      <w:r w:rsidR="002952BB">
        <w:t xml:space="preserve"> </w:t>
      </w:r>
      <w:r w:rsidRPr="00365D3F">
        <w:t>$74.43</w:t>
      </w:r>
    </w:p>
    <w:p w14:paraId="14A2DD14" w14:textId="77777777" w:rsidR="00365D3F" w:rsidRPr="00365D3F" w:rsidRDefault="00365D3F" w:rsidP="00365D3F">
      <w:pPr>
        <w:pStyle w:val="FootnoteText"/>
        <w:numPr>
          <w:ilvl w:val="0"/>
          <w:numId w:val="18"/>
        </w:numPr>
      </w:pPr>
      <w:r w:rsidRPr="00365D3F">
        <w:t>Management (code 11-0000), $88.94</w:t>
      </w:r>
    </w:p>
    <w:p w14:paraId="26526C68" w14:textId="4F0EA661" w:rsidR="00876517" w:rsidRPr="00296865" w:rsidRDefault="00365D3F" w:rsidP="00365D3F">
      <w:pPr>
        <w:pStyle w:val="FootnoteText"/>
      </w:pPr>
      <w:r w:rsidRPr="00365D3F">
        <w:t>The average hourly cost (salary plus benefits), weighting all of these skill sets evenly, is $73.74.  The Commission rounds it to $74 per hour.</w:t>
      </w:r>
      <w:r w:rsidR="00876517" w:rsidRPr="00296865">
        <w:t xml:space="preserve"> </w:t>
      </w:r>
    </w:p>
  </w:footnote>
  <w:footnote w:id="8">
    <w:p w14:paraId="64CBFFC6" w14:textId="5B35661C" w:rsidR="00445C47" w:rsidRDefault="00445C47">
      <w:pPr>
        <w:pStyle w:val="FootnoteText"/>
      </w:pPr>
      <w:r>
        <w:rPr>
          <w:rStyle w:val="FootnoteReference"/>
        </w:rPr>
        <w:footnoteRef/>
      </w:r>
      <w:r>
        <w:t xml:space="preserve"> </w:t>
      </w:r>
      <w:r w:rsidR="00121964" w:rsidRPr="00FB2BC3">
        <w:t>Based upon 2016 FTE average annual salary plus benefits ($154,647)</w:t>
      </w:r>
      <w:r w:rsidR="0026333F">
        <w:t>. $386,618 = $154,647 (FERC average annual salary at $74.50) * 2.5 FTEs.</w:t>
      </w:r>
      <w:r w:rsidR="00121964" w:rsidRPr="00FB2BC3">
        <w:t>.</w:t>
      </w:r>
    </w:p>
  </w:footnote>
  <w:footnote w:id="9">
    <w:p w14:paraId="43159C8F" w14:textId="4CD98DDF" w:rsidR="000079E2" w:rsidRPr="00296865" w:rsidRDefault="000079E2" w:rsidP="003E07D7">
      <w:pPr>
        <w:pStyle w:val="FootnoteText"/>
      </w:pPr>
      <w:r w:rsidRPr="00296865">
        <w:rPr>
          <w:rStyle w:val="FootnoteReference"/>
          <w:vertAlign w:val="superscript"/>
        </w:rPr>
        <w:footnoteRef/>
      </w:r>
      <w:r w:rsidRPr="00296865">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w:t>
      </w:r>
      <w:r w:rsidR="006969DA" w:rsidRPr="00296865">
        <w:t xml:space="preserve"> </w:t>
      </w:r>
      <w:r w:rsidR="00AC7F5B" w:rsidRPr="00296865">
        <w:t xml:space="preserve">rulemakings (not just </w:t>
      </w:r>
      <w:r w:rsidR="00163B9D">
        <w:t>this rulemaking</w:t>
      </w:r>
      <w:r w:rsidRPr="00296865">
        <w:t>), and other changes to the collection.</w:t>
      </w:r>
    </w:p>
  </w:footnote>
  <w:footnote w:id="10">
    <w:p w14:paraId="38786358" w14:textId="5E05F47E" w:rsidR="00701CD4" w:rsidRDefault="00701CD4">
      <w:pPr>
        <w:pStyle w:val="FootnoteText"/>
      </w:pPr>
      <w:r>
        <w:rPr>
          <w:rStyle w:val="FootnoteReference"/>
        </w:rPr>
        <w:footnoteRef/>
      </w:r>
      <w:r>
        <w:t xml:space="preserve"> The one-time burden associated with RM16-5 is 3,000 hours. In this submission, the one-time burden is being averaged over Years 1, 2, and 3 (3,000 hours ÷ 3 years = 1,000 hours/year)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0CE8A" w14:textId="313A864B" w:rsidR="000079E2" w:rsidRPr="00BD68B2" w:rsidRDefault="000079E2" w:rsidP="00D415EC">
    <w:pPr>
      <w:pStyle w:val="Header"/>
      <w:rPr>
        <w:rFonts w:ascii="Times New Roman" w:hAnsi="Times New Roman" w:cs="Times New Roman"/>
        <w:sz w:val="24"/>
        <w:szCs w:val="24"/>
      </w:rPr>
    </w:pPr>
    <w:r w:rsidRPr="00BD68B2">
      <w:rPr>
        <w:rFonts w:ascii="Times New Roman" w:hAnsi="Times New Roman" w:cs="Times New Roman"/>
        <w:sz w:val="24"/>
        <w:szCs w:val="24"/>
      </w:rPr>
      <w:t>FERC-</w:t>
    </w:r>
    <w:r w:rsidR="00664D96">
      <w:rPr>
        <w:rFonts w:ascii="Times New Roman" w:hAnsi="Times New Roman" w:cs="Times New Roman"/>
        <w:sz w:val="24"/>
        <w:szCs w:val="24"/>
      </w:rPr>
      <w:t>516</w:t>
    </w:r>
    <w:r w:rsidR="007C0F08">
      <w:rPr>
        <w:rFonts w:ascii="Times New Roman" w:hAnsi="Times New Roman" w:cs="Times New Roman"/>
        <w:sz w:val="24"/>
        <w:szCs w:val="24"/>
      </w:rPr>
      <w:t xml:space="preserve">C (OMB Control No.: </w:t>
    </w:r>
    <w:r w:rsidR="00A76304">
      <w:rPr>
        <w:rFonts w:ascii="Times New Roman" w:hAnsi="Times New Roman" w:cs="Times New Roman"/>
        <w:sz w:val="24"/>
        <w:szCs w:val="24"/>
      </w:rPr>
      <w:t>1902-0287</w:t>
    </w:r>
    <w:r w:rsidR="00D415EC">
      <w:rPr>
        <w:rFonts w:ascii="Times New Roman" w:hAnsi="Times New Roman" w:cs="Times New Roman"/>
        <w:sz w:val="24"/>
        <w:szCs w:val="24"/>
      </w:rPr>
      <w:t>)</w:t>
    </w:r>
    <w:r w:rsidRPr="00BD68B2">
      <w:rPr>
        <w:rFonts w:ascii="Times New Roman" w:hAnsi="Times New Roman" w:cs="Times New Roman"/>
        <w:sz w:val="24"/>
        <w:szCs w:val="24"/>
      </w:rPr>
      <w:t xml:space="preserve"> </w:t>
    </w:r>
  </w:p>
  <w:p w14:paraId="1B904F4A" w14:textId="5214D205" w:rsidR="000079E2" w:rsidRPr="00BD68B2" w:rsidRDefault="00432A89">
    <w:pPr>
      <w:pStyle w:val="Header"/>
      <w:rPr>
        <w:rFonts w:ascii="Times New Roman" w:hAnsi="Times New Roman" w:cs="Times New Roman"/>
        <w:sz w:val="24"/>
        <w:szCs w:val="24"/>
      </w:rPr>
    </w:pPr>
    <w:r>
      <w:rPr>
        <w:rFonts w:ascii="Times New Roman" w:hAnsi="Times New Roman" w:cs="Times New Roman"/>
        <w:sz w:val="24"/>
        <w:szCs w:val="24"/>
      </w:rPr>
      <w:t xml:space="preserve">as </w:t>
    </w:r>
    <w:r w:rsidR="00AB4D71">
      <w:rPr>
        <w:rFonts w:ascii="Times New Roman" w:hAnsi="Times New Roman" w:cs="Times New Roman"/>
        <w:sz w:val="24"/>
        <w:szCs w:val="24"/>
      </w:rPr>
      <w:t>approved</w:t>
    </w:r>
    <w:r w:rsidR="001133B5">
      <w:rPr>
        <w:rFonts w:ascii="Times New Roman" w:hAnsi="Times New Roman" w:cs="Times New Roman"/>
        <w:sz w:val="24"/>
        <w:szCs w:val="24"/>
      </w:rPr>
      <w:t xml:space="preserve"> </w:t>
    </w:r>
    <w:r>
      <w:rPr>
        <w:rFonts w:ascii="Times New Roman" w:hAnsi="Times New Roman" w:cs="Times New Roman"/>
        <w:sz w:val="24"/>
        <w:szCs w:val="24"/>
      </w:rPr>
      <w:t xml:space="preserve">by the </w:t>
    </w:r>
    <w:r w:rsidR="00AB4D71">
      <w:rPr>
        <w:rFonts w:ascii="Times New Roman" w:hAnsi="Times New Roman" w:cs="Times New Roman"/>
        <w:sz w:val="24"/>
        <w:szCs w:val="24"/>
      </w:rPr>
      <w:t>Final Rule</w:t>
    </w:r>
    <w:r w:rsidR="001920F7">
      <w:rPr>
        <w:rFonts w:ascii="Times New Roman" w:hAnsi="Times New Roman" w:cs="Times New Roman"/>
        <w:sz w:val="24"/>
        <w:szCs w:val="24"/>
      </w:rPr>
      <w:t xml:space="preserve"> </w:t>
    </w:r>
    <w:r w:rsidR="005848E7">
      <w:rPr>
        <w:rFonts w:ascii="Times New Roman" w:hAnsi="Times New Roman" w:cs="Times New Roman"/>
        <w:sz w:val="24"/>
        <w:szCs w:val="24"/>
      </w:rPr>
      <w:t xml:space="preserve">(issued 11/17/2016) </w:t>
    </w:r>
    <w:r w:rsidR="001920F7">
      <w:rPr>
        <w:rFonts w:ascii="Times New Roman" w:hAnsi="Times New Roman" w:cs="Times New Roman"/>
        <w:sz w:val="24"/>
        <w:szCs w:val="24"/>
      </w:rPr>
      <w:t>in Docket No. RM16-5</w:t>
    </w:r>
    <w:r w:rsidR="00D415EC">
      <w:rPr>
        <w:rFonts w:ascii="Times New Roman" w:hAnsi="Times New Roman" w:cs="Times New Roman"/>
        <w:sz w:val="24"/>
        <w:szCs w:val="24"/>
      </w:rPr>
      <w:t>-000</w:t>
    </w:r>
  </w:p>
  <w:p w14:paraId="3F043B50" w14:textId="116163E4" w:rsidR="008A4B61" w:rsidRDefault="006C4A84">
    <w:pPr>
      <w:pStyle w:val="Header"/>
      <w:rPr>
        <w:rFonts w:ascii="Times New Roman" w:hAnsi="Times New Roman" w:cs="Times New Roman"/>
        <w:sz w:val="24"/>
        <w:szCs w:val="24"/>
      </w:rPr>
    </w:pPr>
    <w:r>
      <w:rPr>
        <w:rFonts w:ascii="Times New Roman" w:hAnsi="Times New Roman" w:cs="Times New Roman"/>
        <w:sz w:val="24"/>
        <w:szCs w:val="24"/>
      </w:rPr>
      <w:t>RIN: 1902-AF18</w:t>
    </w:r>
  </w:p>
  <w:p w14:paraId="29682378" w14:textId="219FEBCC" w:rsidR="00065073" w:rsidRDefault="00065073">
    <w:pPr>
      <w:pStyle w:val="Header"/>
      <w:rPr>
        <w:rFonts w:ascii="Times New Roman" w:hAnsi="Times New Roman" w:cs="Times New Roman"/>
        <w:sz w:val="24"/>
        <w:szCs w:val="24"/>
      </w:rPr>
    </w:pPr>
    <w:r>
      <w:rPr>
        <w:rFonts w:ascii="Times New Roman" w:hAnsi="Times New Roman" w:cs="Times New Roman"/>
        <w:sz w:val="24"/>
        <w:szCs w:val="24"/>
      </w:rPr>
      <w:t>(Updated on 1/19/2017)</w:t>
    </w:r>
  </w:p>
  <w:p w14:paraId="1B6D17CF" w14:textId="77777777" w:rsidR="000079E2" w:rsidRPr="00CB1A09" w:rsidRDefault="000079E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44E29"/>
    <w:multiLevelType w:val="hybridMultilevel"/>
    <w:tmpl w:val="6ED4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5025E"/>
    <w:multiLevelType w:val="hybridMultilevel"/>
    <w:tmpl w:val="FFF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61C73"/>
    <w:multiLevelType w:val="hybridMultilevel"/>
    <w:tmpl w:val="22628C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A565407"/>
    <w:multiLevelType w:val="hybridMultilevel"/>
    <w:tmpl w:val="CD34E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20194A"/>
    <w:multiLevelType w:val="hybridMultilevel"/>
    <w:tmpl w:val="9E92B7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15:restartNumberingAfterBreak="0">
    <w:nsid w:val="33440187"/>
    <w:multiLevelType w:val="hybridMultilevel"/>
    <w:tmpl w:val="675A5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7173D36"/>
    <w:multiLevelType w:val="hybridMultilevel"/>
    <w:tmpl w:val="07A48F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8F842BA"/>
    <w:multiLevelType w:val="hybridMultilevel"/>
    <w:tmpl w:val="31AE2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410E28"/>
    <w:multiLevelType w:val="hybridMultilevel"/>
    <w:tmpl w:val="9692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CC1895"/>
    <w:multiLevelType w:val="hybridMultilevel"/>
    <w:tmpl w:val="224C1E4C"/>
    <w:lvl w:ilvl="0" w:tplc="89064A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0E2BFA"/>
    <w:multiLevelType w:val="hybridMultilevel"/>
    <w:tmpl w:val="BF1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E04CE2"/>
    <w:multiLevelType w:val="hybridMultilevel"/>
    <w:tmpl w:val="375C2302"/>
    <w:lvl w:ilvl="0" w:tplc="845424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FC2BDD"/>
    <w:multiLevelType w:val="hybridMultilevel"/>
    <w:tmpl w:val="08D4E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E4E4DD3"/>
    <w:multiLevelType w:val="hybridMultilevel"/>
    <w:tmpl w:val="7A5A3B30"/>
    <w:lvl w:ilvl="0" w:tplc="FFFFFFFF">
      <w:start w:val="1"/>
      <w:numFmt w:val="decimal"/>
      <w:pStyle w:val="FERCparanumber"/>
      <w:lvlText w:val="%1."/>
      <w:lvlJc w:val="left"/>
      <w:pPr>
        <w:tabs>
          <w:tab w:val="num" w:pos="1440"/>
        </w:tabs>
        <w:ind w:left="720" w:firstLine="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13"/>
  </w:num>
  <w:num w:numId="4">
    <w:abstractNumId w:val="15"/>
  </w:num>
  <w:num w:numId="5">
    <w:abstractNumId w:val="1"/>
  </w:num>
  <w:num w:numId="6">
    <w:abstractNumId w:val="14"/>
  </w:num>
  <w:num w:numId="7">
    <w:abstractNumId w:val="10"/>
  </w:num>
  <w:num w:numId="8">
    <w:abstractNumId w:val="9"/>
  </w:num>
  <w:num w:numId="9">
    <w:abstractNumId w:val="17"/>
  </w:num>
  <w:num w:numId="10">
    <w:abstractNumId w:val="16"/>
  </w:num>
  <w:num w:numId="11">
    <w:abstractNumId w:val="8"/>
  </w:num>
  <w:num w:numId="12">
    <w:abstractNumId w:val="4"/>
  </w:num>
  <w:num w:numId="13">
    <w:abstractNumId w:val="6"/>
  </w:num>
  <w:num w:numId="14">
    <w:abstractNumId w:val="7"/>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079E2"/>
    <w:rsid w:val="00011B32"/>
    <w:rsid w:val="000132AA"/>
    <w:rsid w:val="00017B48"/>
    <w:rsid w:val="00021DFC"/>
    <w:rsid w:val="0002242D"/>
    <w:rsid w:val="0002379E"/>
    <w:rsid w:val="0003005B"/>
    <w:rsid w:val="00032BCA"/>
    <w:rsid w:val="00035845"/>
    <w:rsid w:val="000465DF"/>
    <w:rsid w:val="000620A5"/>
    <w:rsid w:val="000628EE"/>
    <w:rsid w:val="00065073"/>
    <w:rsid w:val="00066A25"/>
    <w:rsid w:val="00067DBD"/>
    <w:rsid w:val="00073B4C"/>
    <w:rsid w:val="00074DC8"/>
    <w:rsid w:val="00081E53"/>
    <w:rsid w:val="00083529"/>
    <w:rsid w:val="0008537F"/>
    <w:rsid w:val="00085FB6"/>
    <w:rsid w:val="00090444"/>
    <w:rsid w:val="0009285C"/>
    <w:rsid w:val="00096894"/>
    <w:rsid w:val="00096CCD"/>
    <w:rsid w:val="000974F6"/>
    <w:rsid w:val="000A727B"/>
    <w:rsid w:val="000B0C37"/>
    <w:rsid w:val="000B509C"/>
    <w:rsid w:val="000C3658"/>
    <w:rsid w:val="000C7505"/>
    <w:rsid w:val="000E4568"/>
    <w:rsid w:val="000E5327"/>
    <w:rsid w:val="000F287D"/>
    <w:rsid w:val="000F2C1E"/>
    <w:rsid w:val="000F32F6"/>
    <w:rsid w:val="001026E0"/>
    <w:rsid w:val="00106E70"/>
    <w:rsid w:val="00111FB8"/>
    <w:rsid w:val="001133B5"/>
    <w:rsid w:val="00120AA4"/>
    <w:rsid w:val="00121964"/>
    <w:rsid w:val="00137FA4"/>
    <w:rsid w:val="00140877"/>
    <w:rsid w:val="00143103"/>
    <w:rsid w:val="00151D86"/>
    <w:rsid w:val="00152AAB"/>
    <w:rsid w:val="00154BF9"/>
    <w:rsid w:val="00156AFC"/>
    <w:rsid w:val="00160151"/>
    <w:rsid w:val="00162FB1"/>
    <w:rsid w:val="00163B9D"/>
    <w:rsid w:val="00163BD2"/>
    <w:rsid w:val="00166C01"/>
    <w:rsid w:val="00171755"/>
    <w:rsid w:val="00171EC1"/>
    <w:rsid w:val="00173004"/>
    <w:rsid w:val="00174598"/>
    <w:rsid w:val="00181727"/>
    <w:rsid w:val="00181E08"/>
    <w:rsid w:val="00183963"/>
    <w:rsid w:val="00183F28"/>
    <w:rsid w:val="00184B66"/>
    <w:rsid w:val="00185601"/>
    <w:rsid w:val="00185730"/>
    <w:rsid w:val="00187CCB"/>
    <w:rsid w:val="001920F7"/>
    <w:rsid w:val="001A19AB"/>
    <w:rsid w:val="001A2BDD"/>
    <w:rsid w:val="001B5B15"/>
    <w:rsid w:val="001B74D8"/>
    <w:rsid w:val="001C0782"/>
    <w:rsid w:val="001C557C"/>
    <w:rsid w:val="001C6553"/>
    <w:rsid w:val="001C7724"/>
    <w:rsid w:val="001D2EBB"/>
    <w:rsid w:val="001D34AB"/>
    <w:rsid w:val="001D5C01"/>
    <w:rsid w:val="001E06E8"/>
    <w:rsid w:val="001E37D4"/>
    <w:rsid w:val="001E3D20"/>
    <w:rsid w:val="001E6342"/>
    <w:rsid w:val="001F1A9E"/>
    <w:rsid w:val="001F2AED"/>
    <w:rsid w:val="001F7B41"/>
    <w:rsid w:val="0021079B"/>
    <w:rsid w:val="00216CE8"/>
    <w:rsid w:val="0022118F"/>
    <w:rsid w:val="0022459D"/>
    <w:rsid w:val="00225876"/>
    <w:rsid w:val="0022615A"/>
    <w:rsid w:val="0023529D"/>
    <w:rsid w:val="0023645D"/>
    <w:rsid w:val="00241B79"/>
    <w:rsid w:val="002428B3"/>
    <w:rsid w:val="00242C12"/>
    <w:rsid w:val="00247D5A"/>
    <w:rsid w:val="0026333F"/>
    <w:rsid w:val="00265562"/>
    <w:rsid w:val="0026674D"/>
    <w:rsid w:val="00270322"/>
    <w:rsid w:val="0027214A"/>
    <w:rsid w:val="00275872"/>
    <w:rsid w:val="00284FF9"/>
    <w:rsid w:val="00291382"/>
    <w:rsid w:val="00294751"/>
    <w:rsid w:val="0029517A"/>
    <w:rsid w:val="002952BB"/>
    <w:rsid w:val="00296865"/>
    <w:rsid w:val="002B13E2"/>
    <w:rsid w:val="002B7559"/>
    <w:rsid w:val="002C400E"/>
    <w:rsid w:val="002C4D0A"/>
    <w:rsid w:val="002D0BE1"/>
    <w:rsid w:val="002D3DE4"/>
    <w:rsid w:val="002D47D9"/>
    <w:rsid w:val="002D6225"/>
    <w:rsid w:val="002E0267"/>
    <w:rsid w:val="002F138F"/>
    <w:rsid w:val="002F25FF"/>
    <w:rsid w:val="002F5B7A"/>
    <w:rsid w:val="002F7253"/>
    <w:rsid w:val="00300BAD"/>
    <w:rsid w:val="0030485A"/>
    <w:rsid w:val="00306A6F"/>
    <w:rsid w:val="003072E2"/>
    <w:rsid w:val="0031325C"/>
    <w:rsid w:val="00327DFF"/>
    <w:rsid w:val="00331598"/>
    <w:rsid w:val="00335C0B"/>
    <w:rsid w:val="003374C1"/>
    <w:rsid w:val="00340E76"/>
    <w:rsid w:val="00344005"/>
    <w:rsid w:val="003538E4"/>
    <w:rsid w:val="003559FE"/>
    <w:rsid w:val="003573A1"/>
    <w:rsid w:val="00363551"/>
    <w:rsid w:val="00365D3F"/>
    <w:rsid w:val="00366CB8"/>
    <w:rsid w:val="00366DA3"/>
    <w:rsid w:val="0037047E"/>
    <w:rsid w:val="00375FA9"/>
    <w:rsid w:val="0038492E"/>
    <w:rsid w:val="00393D67"/>
    <w:rsid w:val="003A0FC2"/>
    <w:rsid w:val="003A155F"/>
    <w:rsid w:val="003A5AC7"/>
    <w:rsid w:val="003A6877"/>
    <w:rsid w:val="003A6DBE"/>
    <w:rsid w:val="003B24BA"/>
    <w:rsid w:val="003B5D69"/>
    <w:rsid w:val="003B6C3D"/>
    <w:rsid w:val="003C031A"/>
    <w:rsid w:val="003C0C1E"/>
    <w:rsid w:val="003C7A26"/>
    <w:rsid w:val="003D29C7"/>
    <w:rsid w:val="003D600F"/>
    <w:rsid w:val="003E07D7"/>
    <w:rsid w:val="003F75FF"/>
    <w:rsid w:val="003F7F3F"/>
    <w:rsid w:val="0041251C"/>
    <w:rsid w:val="00414F32"/>
    <w:rsid w:val="00415D76"/>
    <w:rsid w:val="00415ED5"/>
    <w:rsid w:val="004237AB"/>
    <w:rsid w:val="00426496"/>
    <w:rsid w:val="00427709"/>
    <w:rsid w:val="00427D79"/>
    <w:rsid w:val="00432A89"/>
    <w:rsid w:val="00437F37"/>
    <w:rsid w:val="00440920"/>
    <w:rsid w:val="00445AE3"/>
    <w:rsid w:val="00445C47"/>
    <w:rsid w:val="004611BD"/>
    <w:rsid w:val="0046158A"/>
    <w:rsid w:val="00461B33"/>
    <w:rsid w:val="00466BC1"/>
    <w:rsid w:val="00467326"/>
    <w:rsid w:val="0047331E"/>
    <w:rsid w:val="004744CC"/>
    <w:rsid w:val="00475B1A"/>
    <w:rsid w:val="00476396"/>
    <w:rsid w:val="00476526"/>
    <w:rsid w:val="004817EC"/>
    <w:rsid w:val="00484838"/>
    <w:rsid w:val="004866C0"/>
    <w:rsid w:val="00487D59"/>
    <w:rsid w:val="00491207"/>
    <w:rsid w:val="00491966"/>
    <w:rsid w:val="004A7DE8"/>
    <w:rsid w:val="004B05D0"/>
    <w:rsid w:val="004B0AD7"/>
    <w:rsid w:val="004B2BD2"/>
    <w:rsid w:val="004C37B8"/>
    <w:rsid w:val="004C4C89"/>
    <w:rsid w:val="004C6C34"/>
    <w:rsid w:val="004C7D7E"/>
    <w:rsid w:val="004C7EEA"/>
    <w:rsid w:val="004D3526"/>
    <w:rsid w:val="004E3B1B"/>
    <w:rsid w:val="004F173D"/>
    <w:rsid w:val="004F2F9A"/>
    <w:rsid w:val="004F35C8"/>
    <w:rsid w:val="004F6977"/>
    <w:rsid w:val="00507075"/>
    <w:rsid w:val="005073EB"/>
    <w:rsid w:val="0051258E"/>
    <w:rsid w:val="0051793E"/>
    <w:rsid w:val="00522F69"/>
    <w:rsid w:val="00523FD6"/>
    <w:rsid w:val="00524FE0"/>
    <w:rsid w:val="005269E0"/>
    <w:rsid w:val="0053150C"/>
    <w:rsid w:val="0053235A"/>
    <w:rsid w:val="0053287C"/>
    <w:rsid w:val="005406D1"/>
    <w:rsid w:val="005443A4"/>
    <w:rsid w:val="00554389"/>
    <w:rsid w:val="00557B7A"/>
    <w:rsid w:val="00562E6A"/>
    <w:rsid w:val="00562F1B"/>
    <w:rsid w:val="005656AF"/>
    <w:rsid w:val="00567EB2"/>
    <w:rsid w:val="00571C5E"/>
    <w:rsid w:val="00576390"/>
    <w:rsid w:val="00576C6E"/>
    <w:rsid w:val="0057700F"/>
    <w:rsid w:val="005848E7"/>
    <w:rsid w:val="00584DD5"/>
    <w:rsid w:val="00590498"/>
    <w:rsid w:val="00596FD0"/>
    <w:rsid w:val="005A219A"/>
    <w:rsid w:val="005A2792"/>
    <w:rsid w:val="005A2C6F"/>
    <w:rsid w:val="005B3AC8"/>
    <w:rsid w:val="005B6C12"/>
    <w:rsid w:val="005B77CE"/>
    <w:rsid w:val="005C081C"/>
    <w:rsid w:val="005D5D8E"/>
    <w:rsid w:val="005D608A"/>
    <w:rsid w:val="005D7229"/>
    <w:rsid w:val="005F1C3C"/>
    <w:rsid w:val="005F3ED7"/>
    <w:rsid w:val="00602AD1"/>
    <w:rsid w:val="006039B3"/>
    <w:rsid w:val="00605E3A"/>
    <w:rsid w:val="00607E32"/>
    <w:rsid w:val="00615BC7"/>
    <w:rsid w:val="00616084"/>
    <w:rsid w:val="006166FA"/>
    <w:rsid w:val="00616930"/>
    <w:rsid w:val="00620BA9"/>
    <w:rsid w:val="006244A6"/>
    <w:rsid w:val="00625578"/>
    <w:rsid w:val="0063302E"/>
    <w:rsid w:val="006434EE"/>
    <w:rsid w:val="00643C5A"/>
    <w:rsid w:val="006471BE"/>
    <w:rsid w:val="00650BED"/>
    <w:rsid w:val="00650C35"/>
    <w:rsid w:val="00652B0E"/>
    <w:rsid w:val="0065415D"/>
    <w:rsid w:val="006552B3"/>
    <w:rsid w:val="00660945"/>
    <w:rsid w:val="00662264"/>
    <w:rsid w:val="00664BC0"/>
    <w:rsid w:val="00664D96"/>
    <w:rsid w:val="006653E6"/>
    <w:rsid w:val="0067247B"/>
    <w:rsid w:val="00677629"/>
    <w:rsid w:val="00684C69"/>
    <w:rsid w:val="00685D44"/>
    <w:rsid w:val="00686150"/>
    <w:rsid w:val="00690136"/>
    <w:rsid w:val="006967A8"/>
    <w:rsid w:val="006969DA"/>
    <w:rsid w:val="006A0DFC"/>
    <w:rsid w:val="006A5D19"/>
    <w:rsid w:val="006B0EDD"/>
    <w:rsid w:val="006C454E"/>
    <w:rsid w:val="006C4A84"/>
    <w:rsid w:val="006C5490"/>
    <w:rsid w:val="006C7A01"/>
    <w:rsid w:val="006D36BD"/>
    <w:rsid w:val="006E22EF"/>
    <w:rsid w:val="006E278F"/>
    <w:rsid w:val="006E2DF4"/>
    <w:rsid w:val="006E60C9"/>
    <w:rsid w:val="00701CD4"/>
    <w:rsid w:val="00702D51"/>
    <w:rsid w:val="007034A7"/>
    <w:rsid w:val="00703660"/>
    <w:rsid w:val="00713351"/>
    <w:rsid w:val="00721668"/>
    <w:rsid w:val="00724F61"/>
    <w:rsid w:val="0072606E"/>
    <w:rsid w:val="00731BF3"/>
    <w:rsid w:val="007340BD"/>
    <w:rsid w:val="007364E4"/>
    <w:rsid w:val="007423E9"/>
    <w:rsid w:val="00742E9E"/>
    <w:rsid w:val="00745601"/>
    <w:rsid w:val="0074683C"/>
    <w:rsid w:val="0075784D"/>
    <w:rsid w:val="0076593E"/>
    <w:rsid w:val="00767AC7"/>
    <w:rsid w:val="007700CC"/>
    <w:rsid w:val="00773AEB"/>
    <w:rsid w:val="007744DD"/>
    <w:rsid w:val="007801DB"/>
    <w:rsid w:val="00785CD2"/>
    <w:rsid w:val="00787670"/>
    <w:rsid w:val="00787716"/>
    <w:rsid w:val="007903C2"/>
    <w:rsid w:val="007920D2"/>
    <w:rsid w:val="007929E3"/>
    <w:rsid w:val="00797ED4"/>
    <w:rsid w:val="007A0748"/>
    <w:rsid w:val="007A2F92"/>
    <w:rsid w:val="007A4977"/>
    <w:rsid w:val="007B701A"/>
    <w:rsid w:val="007C0F08"/>
    <w:rsid w:val="007C1388"/>
    <w:rsid w:val="007C150D"/>
    <w:rsid w:val="007C3586"/>
    <w:rsid w:val="007C4186"/>
    <w:rsid w:val="007C73AA"/>
    <w:rsid w:val="007D3526"/>
    <w:rsid w:val="007E1621"/>
    <w:rsid w:val="007E7C0F"/>
    <w:rsid w:val="007F09AE"/>
    <w:rsid w:val="007F1015"/>
    <w:rsid w:val="007F1DE4"/>
    <w:rsid w:val="007F1F0F"/>
    <w:rsid w:val="007F261A"/>
    <w:rsid w:val="007F57C9"/>
    <w:rsid w:val="007F7CA9"/>
    <w:rsid w:val="00801FA8"/>
    <w:rsid w:val="008038EF"/>
    <w:rsid w:val="008041F9"/>
    <w:rsid w:val="00806297"/>
    <w:rsid w:val="00810058"/>
    <w:rsid w:val="0081080D"/>
    <w:rsid w:val="00816F15"/>
    <w:rsid w:val="0082369C"/>
    <w:rsid w:val="008443F3"/>
    <w:rsid w:val="0085568F"/>
    <w:rsid w:val="00855942"/>
    <w:rsid w:val="00860A8C"/>
    <w:rsid w:val="00860E36"/>
    <w:rsid w:val="008619E1"/>
    <w:rsid w:val="00867AF1"/>
    <w:rsid w:val="00867B15"/>
    <w:rsid w:val="0087357E"/>
    <w:rsid w:val="008737C7"/>
    <w:rsid w:val="00876517"/>
    <w:rsid w:val="00876F75"/>
    <w:rsid w:val="00884874"/>
    <w:rsid w:val="008936AE"/>
    <w:rsid w:val="00894644"/>
    <w:rsid w:val="008A21A4"/>
    <w:rsid w:val="008A4B61"/>
    <w:rsid w:val="008B1F00"/>
    <w:rsid w:val="008B59AF"/>
    <w:rsid w:val="008B703B"/>
    <w:rsid w:val="008B79D8"/>
    <w:rsid w:val="008C0B89"/>
    <w:rsid w:val="008C17EA"/>
    <w:rsid w:val="008C288D"/>
    <w:rsid w:val="008C2B52"/>
    <w:rsid w:val="008C2D58"/>
    <w:rsid w:val="008C3B66"/>
    <w:rsid w:val="008C5283"/>
    <w:rsid w:val="008D04D3"/>
    <w:rsid w:val="008D2B5E"/>
    <w:rsid w:val="008D36D0"/>
    <w:rsid w:val="008E70CD"/>
    <w:rsid w:val="008F4A0D"/>
    <w:rsid w:val="00900526"/>
    <w:rsid w:val="0090438A"/>
    <w:rsid w:val="00905C9A"/>
    <w:rsid w:val="00913A8B"/>
    <w:rsid w:val="00921394"/>
    <w:rsid w:val="00922B34"/>
    <w:rsid w:val="009254D1"/>
    <w:rsid w:val="0092617B"/>
    <w:rsid w:val="00927A3C"/>
    <w:rsid w:val="0093427F"/>
    <w:rsid w:val="00934B37"/>
    <w:rsid w:val="00935CC8"/>
    <w:rsid w:val="00945E69"/>
    <w:rsid w:val="009513E9"/>
    <w:rsid w:val="00955E4E"/>
    <w:rsid w:val="009647B1"/>
    <w:rsid w:val="00967013"/>
    <w:rsid w:val="00967634"/>
    <w:rsid w:val="00970FE4"/>
    <w:rsid w:val="00976FC9"/>
    <w:rsid w:val="00985B16"/>
    <w:rsid w:val="00996108"/>
    <w:rsid w:val="00997C10"/>
    <w:rsid w:val="009A0A26"/>
    <w:rsid w:val="009B0EBE"/>
    <w:rsid w:val="009B1BB4"/>
    <w:rsid w:val="009B2C56"/>
    <w:rsid w:val="009B4D01"/>
    <w:rsid w:val="009B7FD3"/>
    <w:rsid w:val="009C0BA0"/>
    <w:rsid w:val="009D0FB7"/>
    <w:rsid w:val="009D20E5"/>
    <w:rsid w:val="009D3DC0"/>
    <w:rsid w:val="009D3EFA"/>
    <w:rsid w:val="009D4FE9"/>
    <w:rsid w:val="009D60DF"/>
    <w:rsid w:val="009D65D0"/>
    <w:rsid w:val="009E1190"/>
    <w:rsid w:val="009E2DDF"/>
    <w:rsid w:val="009E4570"/>
    <w:rsid w:val="009F1661"/>
    <w:rsid w:val="009F18A7"/>
    <w:rsid w:val="009F233E"/>
    <w:rsid w:val="009F2946"/>
    <w:rsid w:val="009F2F2F"/>
    <w:rsid w:val="00A01C08"/>
    <w:rsid w:val="00A03090"/>
    <w:rsid w:val="00A0495C"/>
    <w:rsid w:val="00A11AA9"/>
    <w:rsid w:val="00A12B0C"/>
    <w:rsid w:val="00A14830"/>
    <w:rsid w:val="00A1625A"/>
    <w:rsid w:val="00A16813"/>
    <w:rsid w:val="00A16E5C"/>
    <w:rsid w:val="00A16F40"/>
    <w:rsid w:val="00A26F9A"/>
    <w:rsid w:val="00A276F5"/>
    <w:rsid w:val="00A27A29"/>
    <w:rsid w:val="00A371D6"/>
    <w:rsid w:val="00A414C8"/>
    <w:rsid w:val="00A4189F"/>
    <w:rsid w:val="00A47294"/>
    <w:rsid w:val="00A52089"/>
    <w:rsid w:val="00A57031"/>
    <w:rsid w:val="00A628FB"/>
    <w:rsid w:val="00A6372C"/>
    <w:rsid w:val="00A65F32"/>
    <w:rsid w:val="00A71D21"/>
    <w:rsid w:val="00A72E7B"/>
    <w:rsid w:val="00A72FBE"/>
    <w:rsid w:val="00A76304"/>
    <w:rsid w:val="00A83FC2"/>
    <w:rsid w:val="00A85D1D"/>
    <w:rsid w:val="00A93EB9"/>
    <w:rsid w:val="00A94D22"/>
    <w:rsid w:val="00A95FD8"/>
    <w:rsid w:val="00A96B65"/>
    <w:rsid w:val="00A9704D"/>
    <w:rsid w:val="00AB0FA6"/>
    <w:rsid w:val="00AB4D71"/>
    <w:rsid w:val="00AC17C5"/>
    <w:rsid w:val="00AC3997"/>
    <w:rsid w:val="00AC7F5B"/>
    <w:rsid w:val="00AD3DE5"/>
    <w:rsid w:val="00AE13B7"/>
    <w:rsid w:val="00AE5CB7"/>
    <w:rsid w:val="00AE78F5"/>
    <w:rsid w:val="00AF3B33"/>
    <w:rsid w:val="00AF496D"/>
    <w:rsid w:val="00AF6C31"/>
    <w:rsid w:val="00B001D0"/>
    <w:rsid w:val="00B03585"/>
    <w:rsid w:val="00B0473A"/>
    <w:rsid w:val="00B06C05"/>
    <w:rsid w:val="00B06C6E"/>
    <w:rsid w:val="00B11505"/>
    <w:rsid w:val="00B13770"/>
    <w:rsid w:val="00B21F5F"/>
    <w:rsid w:val="00B22B6B"/>
    <w:rsid w:val="00B25796"/>
    <w:rsid w:val="00B4148B"/>
    <w:rsid w:val="00B44CDE"/>
    <w:rsid w:val="00B453B8"/>
    <w:rsid w:val="00B50450"/>
    <w:rsid w:val="00B57790"/>
    <w:rsid w:val="00B62763"/>
    <w:rsid w:val="00B72FA8"/>
    <w:rsid w:val="00B81C6C"/>
    <w:rsid w:val="00B96C02"/>
    <w:rsid w:val="00B97CFB"/>
    <w:rsid w:val="00BA1C7D"/>
    <w:rsid w:val="00BA3D2F"/>
    <w:rsid w:val="00BA5598"/>
    <w:rsid w:val="00BA70F6"/>
    <w:rsid w:val="00BA7C56"/>
    <w:rsid w:val="00BA7EAD"/>
    <w:rsid w:val="00BB3B97"/>
    <w:rsid w:val="00BB7B75"/>
    <w:rsid w:val="00BC1ACF"/>
    <w:rsid w:val="00BC2D53"/>
    <w:rsid w:val="00BC5914"/>
    <w:rsid w:val="00BD3FCB"/>
    <w:rsid w:val="00BD49E7"/>
    <w:rsid w:val="00BD4A05"/>
    <w:rsid w:val="00BD68B2"/>
    <w:rsid w:val="00BD73E2"/>
    <w:rsid w:val="00BE5048"/>
    <w:rsid w:val="00BE7074"/>
    <w:rsid w:val="00BF12D7"/>
    <w:rsid w:val="00BF207F"/>
    <w:rsid w:val="00BF30E3"/>
    <w:rsid w:val="00C01698"/>
    <w:rsid w:val="00C04CCC"/>
    <w:rsid w:val="00C106E2"/>
    <w:rsid w:val="00C11DE6"/>
    <w:rsid w:val="00C20553"/>
    <w:rsid w:val="00C2250C"/>
    <w:rsid w:val="00C2558A"/>
    <w:rsid w:val="00C303E3"/>
    <w:rsid w:val="00C31181"/>
    <w:rsid w:val="00C32B18"/>
    <w:rsid w:val="00C3607B"/>
    <w:rsid w:val="00C36187"/>
    <w:rsid w:val="00C36924"/>
    <w:rsid w:val="00C45B7E"/>
    <w:rsid w:val="00C46A5F"/>
    <w:rsid w:val="00C510DD"/>
    <w:rsid w:val="00C626FC"/>
    <w:rsid w:val="00C62B86"/>
    <w:rsid w:val="00C65617"/>
    <w:rsid w:val="00C66E9D"/>
    <w:rsid w:val="00C707A1"/>
    <w:rsid w:val="00C70921"/>
    <w:rsid w:val="00C8575E"/>
    <w:rsid w:val="00C85AF9"/>
    <w:rsid w:val="00C909D1"/>
    <w:rsid w:val="00C928C6"/>
    <w:rsid w:val="00CA1F17"/>
    <w:rsid w:val="00CA2DC1"/>
    <w:rsid w:val="00CA495F"/>
    <w:rsid w:val="00CA59C3"/>
    <w:rsid w:val="00CB1A09"/>
    <w:rsid w:val="00CB7F1C"/>
    <w:rsid w:val="00CC5C1B"/>
    <w:rsid w:val="00CD3816"/>
    <w:rsid w:val="00CD687D"/>
    <w:rsid w:val="00CD7608"/>
    <w:rsid w:val="00CE0ACF"/>
    <w:rsid w:val="00CF1EFD"/>
    <w:rsid w:val="00CF5F7C"/>
    <w:rsid w:val="00CF7005"/>
    <w:rsid w:val="00D044B3"/>
    <w:rsid w:val="00D04F85"/>
    <w:rsid w:val="00D200A9"/>
    <w:rsid w:val="00D22039"/>
    <w:rsid w:val="00D22ED9"/>
    <w:rsid w:val="00D2798B"/>
    <w:rsid w:val="00D3758B"/>
    <w:rsid w:val="00D415EC"/>
    <w:rsid w:val="00D41EE1"/>
    <w:rsid w:val="00D45440"/>
    <w:rsid w:val="00D45637"/>
    <w:rsid w:val="00D53CCE"/>
    <w:rsid w:val="00D567C1"/>
    <w:rsid w:val="00D60A4A"/>
    <w:rsid w:val="00D61882"/>
    <w:rsid w:val="00D63FD9"/>
    <w:rsid w:val="00D72B5E"/>
    <w:rsid w:val="00D75F15"/>
    <w:rsid w:val="00D80FBD"/>
    <w:rsid w:val="00D81471"/>
    <w:rsid w:val="00D84ED8"/>
    <w:rsid w:val="00D86FFB"/>
    <w:rsid w:val="00D922BD"/>
    <w:rsid w:val="00D947A2"/>
    <w:rsid w:val="00DA0B78"/>
    <w:rsid w:val="00DA14A7"/>
    <w:rsid w:val="00DA408C"/>
    <w:rsid w:val="00DA6552"/>
    <w:rsid w:val="00DA711F"/>
    <w:rsid w:val="00DB2F90"/>
    <w:rsid w:val="00DB300A"/>
    <w:rsid w:val="00DB596C"/>
    <w:rsid w:val="00DC4E36"/>
    <w:rsid w:val="00DD0231"/>
    <w:rsid w:val="00DF5061"/>
    <w:rsid w:val="00E048ED"/>
    <w:rsid w:val="00E11CA6"/>
    <w:rsid w:val="00E14565"/>
    <w:rsid w:val="00E14C03"/>
    <w:rsid w:val="00E15721"/>
    <w:rsid w:val="00E20612"/>
    <w:rsid w:val="00E238FA"/>
    <w:rsid w:val="00E273DF"/>
    <w:rsid w:val="00E35735"/>
    <w:rsid w:val="00E441A0"/>
    <w:rsid w:val="00E46CD9"/>
    <w:rsid w:val="00E531F6"/>
    <w:rsid w:val="00E608B6"/>
    <w:rsid w:val="00E636D7"/>
    <w:rsid w:val="00E65686"/>
    <w:rsid w:val="00E75286"/>
    <w:rsid w:val="00E7648C"/>
    <w:rsid w:val="00E82E24"/>
    <w:rsid w:val="00E849EA"/>
    <w:rsid w:val="00E86C7F"/>
    <w:rsid w:val="00E87A4F"/>
    <w:rsid w:val="00E926F7"/>
    <w:rsid w:val="00E94E55"/>
    <w:rsid w:val="00E94F67"/>
    <w:rsid w:val="00E95609"/>
    <w:rsid w:val="00E97801"/>
    <w:rsid w:val="00E97EA9"/>
    <w:rsid w:val="00EA53E8"/>
    <w:rsid w:val="00EA7DFD"/>
    <w:rsid w:val="00EB3E6F"/>
    <w:rsid w:val="00EB55CF"/>
    <w:rsid w:val="00EC19DF"/>
    <w:rsid w:val="00EC2543"/>
    <w:rsid w:val="00EC2638"/>
    <w:rsid w:val="00ED32B9"/>
    <w:rsid w:val="00ED5560"/>
    <w:rsid w:val="00ED61F3"/>
    <w:rsid w:val="00ED6759"/>
    <w:rsid w:val="00ED6E78"/>
    <w:rsid w:val="00EE4533"/>
    <w:rsid w:val="00EF0629"/>
    <w:rsid w:val="00F002FB"/>
    <w:rsid w:val="00F03087"/>
    <w:rsid w:val="00F03EE2"/>
    <w:rsid w:val="00F12DC2"/>
    <w:rsid w:val="00F152DF"/>
    <w:rsid w:val="00F15EDB"/>
    <w:rsid w:val="00F16AAE"/>
    <w:rsid w:val="00F21998"/>
    <w:rsid w:val="00F30071"/>
    <w:rsid w:val="00F336C7"/>
    <w:rsid w:val="00F438A9"/>
    <w:rsid w:val="00F571E6"/>
    <w:rsid w:val="00F60BFF"/>
    <w:rsid w:val="00F63DF4"/>
    <w:rsid w:val="00F642AE"/>
    <w:rsid w:val="00F66736"/>
    <w:rsid w:val="00F673B6"/>
    <w:rsid w:val="00F779ED"/>
    <w:rsid w:val="00F8245D"/>
    <w:rsid w:val="00F82F0B"/>
    <w:rsid w:val="00F9489B"/>
    <w:rsid w:val="00FA0395"/>
    <w:rsid w:val="00FA502E"/>
    <w:rsid w:val="00FB1166"/>
    <w:rsid w:val="00FB2D1C"/>
    <w:rsid w:val="00FC0A35"/>
    <w:rsid w:val="00FC7332"/>
    <w:rsid w:val="00FC78A0"/>
    <w:rsid w:val="00FD100F"/>
    <w:rsid w:val="00FD486A"/>
    <w:rsid w:val="00FD66F1"/>
    <w:rsid w:val="00FD779B"/>
    <w:rsid w:val="00FD7814"/>
    <w:rsid w:val="00FE0032"/>
    <w:rsid w:val="00FE2317"/>
    <w:rsid w:val="00FE345A"/>
    <w:rsid w:val="00FE4F92"/>
    <w:rsid w:val="00FE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CE466"/>
  <w15:docId w15:val="{5AC9E5B2-F6A8-4660-8619-5FBD3648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qFormat/>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 Char,Footnote Text Char Char Char Char,Footnote Text Char1 Char1,Footnote Text Char Char Char1,Footnote Text MRP Char,Footnote Text Char3 Char,ft Char Char,ft Char1,f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lang w:val="x-none" w:eastAsia="x-none"/>
    </w:rPr>
  </w:style>
  <w:style w:type="character" w:customStyle="1" w:styleId="FERCparanumberChar">
    <w:name w:val="FERC paranumber Char"/>
    <w:link w:val="FERCparanumber"/>
    <w:rsid w:val="0053150C"/>
    <w:rPr>
      <w:rFonts w:ascii="Times New Roman" w:eastAsia="Times New Roman" w:hAnsi="Times New Roman" w:cs="Times New Roman"/>
      <w:sz w:val="26"/>
      <w:szCs w:val="24"/>
      <w:lang w:val="x-none" w:eastAsia="x-none"/>
    </w:rPr>
  </w:style>
  <w:style w:type="paragraph" w:customStyle="1" w:styleId="Default">
    <w:name w:val="Default"/>
    <w:rsid w:val="007700CC"/>
    <w:pPr>
      <w:autoSpaceDE w:val="0"/>
      <w:autoSpaceDN w:val="0"/>
      <w:adjustRightInd w:val="0"/>
      <w:spacing w:after="0" w:line="240" w:lineRule="auto"/>
    </w:pPr>
    <w:rPr>
      <w:rFonts w:ascii="Times New Roman" w:hAnsi="Times New Roman" w:cs="Times New Roman"/>
      <w:color w:val="000000"/>
      <w:sz w:val="24"/>
      <w:szCs w:val="24"/>
    </w:rPr>
  </w:style>
  <w:style w:type="paragraph" w:styleId="BlockText">
    <w:name w:val="Block Text"/>
    <w:basedOn w:val="Normal"/>
    <w:uiPriority w:val="99"/>
    <w:semiHidden/>
    <w:unhideWhenUsed/>
    <w:rsid w:val="00365D3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92620">
      <w:bodyDiv w:val="1"/>
      <w:marLeft w:val="0"/>
      <w:marRight w:val="0"/>
      <w:marTop w:val="0"/>
      <w:marBottom w:val="0"/>
      <w:divBdr>
        <w:top w:val="none" w:sz="0" w:space="0" w:color="auto"/>
        <w:left w:val="none" w:sz="0" w:space="0" w:color="auto"/>
        <w:bottom w:val="none" w:sz="0" w:space="0" w:color="auto"/>
        <w:right w:val="none" w:sz="0" w:space="0" w:color="auto"/>
      </w:divBdr>
    </w:div>
    <w:div w:id="148219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etariff.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erc.gov/industries/electric/indus-act/rto.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ate xmlns="d6eefc7d-9817-4fa6-84d5-3bc009be21b8">2016-12-13T00:00:00-05:00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516C</_x0031__x002e__x0020_Collection_x0020_Number>
    <Status xmlns="d6eefc7d-9817-4fa6-84d5-3bc009be21b8">Final</Status>
    <_x0032__x002e__x0020_Docket_x0020_Number xmlns="d6eefc7d-9817-4fa6-84d5-3bc009be21b8" xsi:nil="true"/>
    <_x0032__x002e__x0020_Collection_x0020_Number xmlns="d6eefc7d-9817-4fa6-84d5-3bc009be21b8">516</_x0032__x002e__x0020_Collection_x0020_Number>
    <_x0031__x002e__x0020_Docket_x0020_Number xmlns="d6eefc7d-9817-4fa6-84d5-3bc009be21b8">RM16-5</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2.xml><?xml version="1.0" encoding="utf-8"?>
<ds:datastoreItem xmlns:ds="http://schemas.openxmlformats.org/officeDocument/2006/customXml" ds:itemID="{DC3A4479-0543-455B-A152-110FB41B2830}">
  <ds:schemaRefs>
    <ds:schemaRef ds:uri="http://schemas.microsoft.com/office/2006/metadata/properties"/>
    <ds:schemaRef ds:uri="d6eefc7d-9817-4fa6-84d5-3bc009be21b8"/>
  </ds:schemaRefs>
</ds:datastoreItem>
</file>

<file path=customXml/itemProps3.xml><?xml version="1.0" encoding="utf-8"?>
<ds:datastoreItem xmlns:ds="http://schemas.openxmlformats.org/officeDocument/2006/customXml" ds:itemID="{DF5F5CA2-8B9B-41E9-AD41-624B51E55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9B07C7-6D3F-4A77-A949-138C41294BD8}">
  <ds:schemaRefs>
    <ds:schemaRef ds:uri="http://schemas.microsoft.com/office/2006/metadata/customXsn"/>
  </ds:schemaRefs>
</ds:datastoreItem>
</file>

<file path=customXml/itemProps5.xml><?xml version="1.0" encoding="utf-8"?>
<ds:datastoreItem xmlns:ds="http://schemas.openxmlformats.org/officeDocument/2006/customXml" ds:itemID="{60EA1EDA-3E9D-4340-9B4B-11C00A9F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2061</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RM16-5 Supporting Statement (revised)</vt:lpstr>
    </vt:vector>
  </TitlesOfParts>
  <Company>FERC</Company>
  <LinksUpToDate>false</LinksUpToDate>
  <CharactersWithSpaces>13786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RM16-5 Supporting Statement (revised)</dc:title>
  <dc:creator>ferc</dc:creator>
  <cp:lastModifiedBy>Ellen Brown</cp:lastModifiedBy>
  <cp:revision>2</cp:revision>
  <dcterms:created xsi:type="dcterms:W3CDTF">2017-01-19T21:23:00Z</dcterms:created>
  <dcterms:modified xsi:type="dcterms:W3CDTF">2017-01-19T21:23:00Z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y fmtid="{D5CDD505-2E9C-101B-9397-08002B2CF9AE}" pid="4" name="_AdHocReviewCycleID">
    <vt:i4>1965741509</vt:i4>
  </property>
  <property fmtid="{D5CDD505-2E9C-101B-9397-08002B2CF9AE}" pid="5" name="_EmailSubject">
    <vt:lpwstr>FERC-516C, Final rule in RM16-5</vt:lpwstr>
  </property>
  <property fmtid="{D5CDD505-2E9C-101B-9397-08002B2CF9AE}" pid="6" name="_AuthorEmail">
    <vt:lpwstr>Anthony.May@ferc.gov</vt:lpwstr>
  </property>
  <property fmtid="{D5CDD505-2E9C-101B-9397-08002B2CF9AE}" pid="7" name="_AuthorEmailDisplayName">
    <vt:lpwstr>Anthony May</vt:lpwstr>
  </property>
  <property fmtid="{D5CDD505-2E9C-101B-9397-08002B2CF9AE}" pid="8" name="_ReviewingToolsShownOnce">
    <vt:lpwstr/>
  </property>
</Properties>
</file>