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1D2EC1" w:rsidRDefault="001D2EC1" w:rsidP="001D2EC1">
      <w:pPr>
        <w:widowControl/>
        <w:tabs>
          <w:tab w:val="center" w:pos="5040"/>
        </w:tabs>
        <w:jc w:val="center"/>
      </w:pPr>
      <w:r w:rsidRPr="001D2EC1">
        <w:t>Supporting Statement for</w:t>
      </w:r>
    </w:p>
    <w:p w14:paraId="1AABC5F9" w14:textId="1CCE1B27" w:rsidR="002B2810" w:rsidRDefault="00CF7943" w:rsidP="001D2EC1">
      <w:pPr>
        <w:widowControl/>
        <w:tabs>
          <w:tab w:val="center" w:pos="5040"/>
        </w:tabs>
        <w:jc w:val="center"/>
        <w:rPr>
          <w:b/>
          <w:bCs/>
        </w:rPr>
      </w:pPr>
      <w:r>
        <w:rPr>
          <w:b/>
          <w:bCs/>
        </w:rPr>
        <w:t>FERC Form 547</w:t>
      </w:r>
      <w:r w:rsidR="002B2810">
        <w:rPr>
          <w:b/>
          <w:bCs/>
        </w:rPr>
        <w:t xml:space="preserve"> (</w:t>
      </w:r>
      <w:r>
        <w:rPr>
          <w:b/>
          <w:bCs/>
        </w:rPr>
        <w:t>Gas Pipeline Rates: Refund Report Requirements</w:t>
      </w:r>
      <w:r w:rsidR="002B2810">
        <w:rPr>
          <w:b/>
          <w:bCs/>
        </w:rPr>
        <w:t>)</w:t>
      </w:r>
    </w:p>
    <w:p w14:paraId="13D26165" w14:textId="77777777" w:rsidR="009D6B6D" w:rsidRPr="001D2EC1" w:rsidRDefault="009D6B6D" w:rsidP="001D2EC1">
      <w:pPr>
        <w:widowControl/>
        <w:tabs>
          <w:tab w:val="center" w:pos="5040"/>
        </w:tabs>
        <w:jc w:val="center"/>
      </w:pPr>
    </w:p>
    <w:p w14:paraId="08EF0C81" w14:textId="7583EB3B" w:rsidR="009D6B6D" w:rsidRPr="00CC615D" w:rsidRDefault="009D6B6D" w:rsidP="001F3ADE">
      <w:pPr>
        <w:widowControl/>
        <w:tabs>
          <w:tab w:val="center" w:pos="5040"/>
        </w:tabs>
        <w:rPr>
          <w:b/>
        </w:rPr>
      </w:pPr>
      <w:r w:rsidRPr="001D2EC1">
        <w:rPr>
          <w:bCs/>
        </w:rPr>
        <w:t>The Federal Energy Regulatory Commission (</w:t>
      </w:r>
      <w:r w:rsidRPr="002B2810">
        <w:rPr>
          <w:bCs/>
        </w:rPr>
        <w:t xml:space="preserve">Commission or FERC) requests that the Office of Management and Budget (OMB) review and approve </w:t>
      </w:r>
      <w:r w:rsidR="002B2810" w:rsidRPr="002B2810">
        <w:rPr>
          <w:bCs/>
        </w:rPr>
        <w:t>FERC-</w:t>
      </w:r>
      <w:r w:rsidR="007F788C" w:rsidRPr="002B2810">
        <w:rPr>
          <w:bCs/>
        </w:rPr>
        <w:t xml:space="preserve"> </w:t>
      </w:r>
      <w:r w:rsidR="00CF7943">
        <w:rPr>
          <w:bCs/>
        </w:rPr>
        <w:t>547 (Gas Pipeline Rates: Refund Report Requirements; OMB Control No. 1902-0084</w:t>
      </w:r>
      <w:r w:rsidR="00E32773" w:rsidRPr="002B2810">
        <w:rPr>
          <w:bCs/>
        </w:rPr>
        <w:t>)</w:t>
      </w:r>
      <w:r w:rsidR="002B2810" w:rsidRPr="002B2810">
        <w:rPr>
          <w:bCs/>
        </w:rPr>
        <w:t xml:space="preserve"> </w:t>
      </w:r>
      <w:r w:rsidR="00E32773" w:rsidRPr="002B2810">
        <w:rPr>
          <w:bCs/>
        </w:rPr>
        <w:t>for a three-</w:t>
      </w:r>
      <w:r w:rsidRPr="002B2810">
        <w:rPr>
          <w:bCs/>
        </w:rPr>
        <w:t xml:space="preserve">year period.  </w:t>
      </w:r>
      <w:r w:rsidR="0021208A" w:rsidRPr="002B2810">
        <w:rPr>
          <w:bCs/>
        </w:rPr>
        <w:t>FERC-</w:t>
      </w:r>
      <w:r w:rsidR="00CF7943">
        <w:rPr>
          <w:bCs/>
        </w:rPr>
        <w:t>547</w:t>
      </w:r>
      <w:r w:rsidR="007D3EF2" w:rsidRPr="002B2810">
        <w:t xml:space="preserve"> </w:t>
      </w:r>
      <w:r w:rsidR="00CC615D" w:rsidRPr="002B2810">
        <w:t xml:space="preserve">is an existing data collection with </w:t>
      </w:r>
      <w:r w:rsidRPr="002B2810">
        <w:t xml:space="preserve">reporting requirement in 18 Code of Federal Regulations (CFR) </w:t>
      </w:r>
      <w:r w:rsidR="00A57E47" w:rsidRPr="002B2810">
        <w:t>Parts</w:t>
      </w:r>
      <w:r w:rsidR="00CF7943">
        <w:t xml:space="preserve"> 154.501 and 154.502</w:t>
      </w:r>
      <w:r w:rsidR="0021208A">
        <w:t>.</w:t>
      </w:r>
    </w:p>
    <w:p w14:paraId="55BF55CD" w14:textId="77777777" w:rsidR="009D6B6D" w:rsidRPr="001D2EC1" w:rsidRDefault="009D6B6D" w:rsidP="001D2EC1">
      <w:pPr>
        <w:widowControl/>
      </w:pPr>
    </w:p>
    <w:p w14:paraId="284B885E" w14:textId="77777777" w:rsidR="009D6B6D" w:rsidRPr="001D2EC1" w:rsidRDefault="009D6B6D" w:rsidP="001D2EC1">
      <w:pPr>
        <w:widowControl/>
        <w:rPr>
          <w:b/>
        </w:rPr>
      </w:pPr>
      <w:r w:rsidRPr="001D2EC1">
        <w:rPr>
          <w:b/>
        </w:rPr>
        <w:t>1.</w:t>
      </w:r>
      <w:r w:rsidRPr="001D2EC1">
        <w:rPr>
          <w:b/>
        </w:rPr>
        <w:tab/>
        <w:t xml:space="preserve">CIRCUMSTANCES THAT MAKE THE COLLECTION OF INFORMATION </w:t>
      </w:r>
      <w:r w:rsidR="001D2EC1">
        <w:rPr>
          <w:b/>
        </w:rPr>
        <w:tab/>
      </w:r>
      <w:r w:rsidRPr="001D2EC1">
        <w:rPr>
          <w:b/>
        </w:rPr>
        <w:t>NECESSARY</w:t>
      </w:r>
    </w:p>
    <w:p w14:paraId="74BB5164" w14:textId="77777777" w:rsidR="009D6B6D" w:rsidRPr="001D2EC1" w:rsidRDefault="009D6B6D" w:rsidP="001D2EC1">
      <w:pPr>
        <w:widowControl/>
        <w:ind w:left="1440"/>
        <w:rPr>
          <w:b/>
        </w:rPr>
      </w:pPr>
    </w:p>
    <w:p w14:paraId="64C12141" w14:textId="3FA6232B" w:rsidR="000541E0" w:rsidRPr="002B2810" w:rsidRDefault="00CF7943" w:rsidP="004D4C7B">
      <w:pPr>
        <w:rPr>
          <w:i/>
        </w:rPr>
      </w:pPr>
      <w:r w:rsidRPr="00451584">
        <w:t>FERC-547 is required to implement the statutory refund provisions governed by sections 4, 5, and 16 of the Natural Gas Act</w:t>
      </w:r>
      <w:r>
        <w:t xml:space="preserve"> (NGA) (15 U</w:t>
      </w:r>
      <w:r w:rsidRPr="00451584">
        <w:t>SC 717-717w).  Sections 4 and 5 authorize the Commission to order a refund, with interest, for any portion of a natural gas company’s increased rate or charge found to be unjust or unreasonable.  Refunds may also be instituted by a natural gas company as a stipulation to a Commission-approved settlement agreement or a provision under the company’s tariff.  Section 16 authorizes the Commission to prescribe the rules and regulations necessary to administer its refund mandates.  The Commission’s refund reporting requirements are set forth in 18 CFR 154.501</w:t>
      </w:r>
      <w:r w:rsidR="00C96343">
        <w:t xml:space="preserve"> </w:t>
      </w:r>
      <w:r w:rsidRPr="00451584">
        <w:t>and 154.502</w:t>
      </w:r>
      <w:r w:rsidR="004D4C7B">
        <w:t>.</w:t>
      </w:r>
    </w:p>
    <w:p w14:paraId="095CE0E8" w14:textId="77777777" w:rsidR="001F3ADE" w:rsidRDefault="001F3ADE" w:rsidP="001F3ADE">
      <w:pPr>
        <w:pStyle w:val="FERCparanumber"/>
        <w:numPr>
          <w:ilvl w:val="0"/>
          <w:numId w:val="0"/>
        </w:numPr>
        <w:tabs>
          <w:tab w:val="left" w:pos="720"/>
          <w:tab w:val="left" w:pos="4860"/>
        </w:tabs>
        <w:rPr>
          <w:sz w:val="24"/>
        </w:rPr>
      </w:pPr>
    </w:p>
    <w:p w14:paraId="31D7969C" w14:textId="77777777" w:rsidR="009D6B6D" w:rsidRPr="00980E8E" w:rsidRDefault="009D6B6D" w:rsidP="001D2EC1">
      <w:pPr>
        <w:pStyle w:val="FERCparanumber"/>
        <w:numPr>
          <w:ilvl w:val="0"/>
          <w:numId w:val="7"/>
        </w:numPr>
        <w:tabs>
          <w:tab w:val="left" w:pos="720"/>
          <w:tab w:val="left" w:pos="4860"/>
        </w:tabs>
        <w:rPr>
          <w:sz w:val="24"/>
        </w:rPr>
      </w:pPr>
      <w:r w:rsidRPr="001D2EC1">
        <w:rPr>
          <w:b/>
          <w:sz w:val="24"/>
        </w:rPr>
        <w:t>HOW, BY WHOM AND FOR WHAT P</w:t>
      </w:r>
      <w:r w:rsidR="00980E8E">
        <w:rPr>
          <w:b/>
          <w:sz w:val="24"/>
        </w:rPr>
        <w:t xml:space="preserve">URPOSE IS THE INFORMATION </w:t>
      </w:r>
      <w:r w:rsidR="00980E8E" w:rsidRPr="00980E8E">
        <w:rPr>
          <w:b/>
          <w:sz w:val="24"/>
        </w:rPr>
        <w:t>USED AND THE CONSEQUENCES OF NOT COLLECTING THE INFORMATION</w:t>
      </w:r>
    </w:p>
    <w:p w14:paraId="36B9A4E1" w14:textId="77777777" w:rsidR="00980E8E" w:rsidRDefault="00980E8E" w:rsidP="00980E8E">
      <w:pPr>
        <w:pStyle w:val="FERCparanumber"/>
        <w:numPr>
          <w:ilvl w:val="0"/>
          <w:numId w:val="0"/>
        </w:numPr>
        <w:tabs>
          <w:tab w:val="left" w:pos="720"/>
          <w:tab w:val="left" w:pos="4860"/>
        </w:tabs>
        <w:rPr>
          <w:b/>
          <w:sz w:val="24"/>
        </w:rPr>
      </w:pPr>
    </w:p>
    <w:p w14:paraId="6842111F" w14:textId="77777777" w:rsidR="00CF7943" w:rsidRDefault="00CF7943" w:rsidP="00CF7943">
      <w:r w:rsidRPr="00451584">
        <w:t>The impetus for establishing refund reporting requirements came as a result of a judicial decision.</w:t>
      </w:r>
      <w:r w:rsidRPr="00451584">
        <w:rPr>
          <w:rStyle w:val="FootnoteReference"/>
          <w:vertAlign w:val="superscript"/>
        </w:rPr>
        <w:footnoteReference w:id="1"/>
      </w:r>
      <w:r w:rsidRPr="00451584">
        <w:t xml:space="preserve"> </w:t>
      </w:r>
      <w:r>
        <w:t xml:space="preserve"> </w:t>
      </w:r>
      <w:r w:rsidRPr="00451584">
        <w:t>The Commission, in response, established refund procedures for overcharges resulting from adjustments to the calculation of the energy content of natural gas sold in accordance with the Natural Gas Policy Act of 1978 (NGPA).  The NGPA was repealed by P. L. 101-60, however, provisions under the NGA remained.  These procedures and refund requirements were announced in Commission Order Nos. 399, 399-A and 399-B (1984).</w:t>
      </w:r>
    </w:p>
    <w:p w14:paraId="4997C833" w14:textId="77777777" w:rsidR="00CF7943" w:rsidRDefault="00CF7943" w:rsidP="00CF7943"/>
    <w:p w14:paraId="5EE8229E" w14:textId="77777777" w:rsidR="00CF7943" w:rsidRPr="00815F41" w:rsidRDefault="00CF7943" w:rsidP="00CF7943">
      <w:r w:rsidRPr="00815F41">
        <w:t>A refund report generally includes the following:</w:t>
      </w:r>
    </w:p>
    <w:p w14:paraId="0A84FC4A" w14:textId="40C8BF0F" w:rsidR="00CF7943" w:rsidRDefault="00CF7943" w:rsidP="00CF7943">
      <w:pPr>
        <w:pStyle w:val="ListParagraph"/>
        <w:numPr>
          <w:ilvl w:val="0"/>
          <w:numId w:val="11"/>
        </w:numPr>
        <w:spacing w:after="0"/>
        <w:rPr>
          <w:rFonts w:ascii="Times New Roman" w:hAnsi="Times New Roman"/>
          <w:sz w:val="24"/>
          <w:szCs w:val="24"/>
        </w:rPr>
      </w:pPr>
      <w:r>
        <w:rPr>
          <w:rFonts w:ascii="Times New Roman" w:hAnsi="Times New Roman"/>
          <w:sz w:val="24"/>
          <w:szCs w:val="24"/>
        </w:rPr>
        <w:t>Work</w:t>
      </w:r>
      <w:r w:rsidR="00C96343">
        <w:rPr>
          <w:rFonts w:ascii="Times New Roman" w:hAnsi="Times New Roman"/>
          <w:sz w:val="24"/>
          <w:szCs w:val="24"/>
        </w:rPr>
        <w:t>-</w:t>
      </w:r>
      <w:r>
        <w:rPr>
          <w:rFonts w:ascii="Times New Roman" w:hAnsi="Times New Roman"/>
          <w:sz w:val="24"/>
          <w:szCs w:val="24"/>
        </w:rPr>
        <w:t>papers and a narrative that is sufficient in:</w:t>
      </w:r>
    </w:p>
    <w:p w14:paraId="2ACF6426" w14:textId="77777777" w:rsidR="00CF7943" w:rsidRDefault="00CF7943" w:rsidP="00CF7943">
      <w:pPr>
        <w:pStyle w:val="ListParagraph"/>
        <w:numPr>
          <w:ilvl w:val="1"/>
          <w:numId w:val="11"/>
        </w:numPr>
        <w:spacing w:after="0"/>
        <w:rPr>
          <w:rFonts w:ascii="Times New Roman" w:hAnsi="Times New Roman"/>
          <w:sz w:val="24"/>
          <w:szCs w:val="24"/>
        </w:rPr>
      </w:pPr>
      <w:r>
        <w:rPr>
          <w:rFonts w:ascii="Times New Roman" w:hAnsi="Times New Roman"/>
          <w:sz w:val="24"/>
          <w:szCs w:val="24"/>
        </w:rPr>
        <w:t>Showing how the refunds for jurisdictional services were calculated,</w:t>
      </w:r>
    </w:p>
    <w:p w14:paraId="7141C14C" w14:textId="77777777" w:rsidR="00CF7943" w:rsidRDefault="00CF7943" w:rsidP="00CF7943">
      <w:pPr>
        <w:pStyle w:val="ListParagraph"/>
        <w:numPr>
          <w:ilvl w:val="1"/>
          <w:numId w:val="11"/>
        </w:numPr>
        <w:spacing w:after="0"/>
        <w:rPr>
          <w:rFonts w:ascii="Times New Roman" w:hAnsi="Times New Roman"/>
          <w:sz w:val="24"/>
          <w:szCs w:val="24"/>
        </w:rPr>
      </w:pPr>
      <w:r>
        <w:rPr>
          <w:rFonts w:ascii="Times New Roman" w:hAnsi="Times New Roman"/>
          <w:sz w:val="24"/>
          <w:szCs w:val="24"/>
        </w:rPr>
        <w:t>Details for determining the origin of the refund, and.</w:t>
      </w:r>
    </w:p>
    <w:p w14:paraId="02A162FF" w14:textId="77777777" w:rsidR="00CF7943" w:rsidRPr="00815F41" w:rsidRDefault="00CF7943" w:rsidP="00CF7943">
      <w:pPr>
        <w:pStyle w:val="ListParagraph"/>
        <w:numPr>
          <w:ilvl w:val="1"/>
          <w:numId w:val="11"/>
        </w:numPr>
        <w:spacing w:after="0"/>
        <w:rPr>
          <w:rFonts w:ascii="Times New Roman" w:hAnsi="Times New Roman"/>
          <w:sz w:val="24"/>
          <w:szCs w:val="24"/>
        </w:rPr>
      </w:pPr>
      <w:r>
        <w:rPr>
          <w:rFonts w:ascii="Times New Roman" w:hAnsi="Times New Roman"/>
          <w:sz w:val="24"/>
          <w:szCs w:val="24"/>
        </w:rPr>
        <w:t>Explaining how the refund was allocated to each jurisdictional customer.</w:t>
      </w:r>
    </w:p>
    <w:p w14:paraId="045F70C9" w14:textId="77777777" w:rsidR="00CF7943" w:rsidRDefault="00CF7943" w:rsidP="00CF7943">
      <w:pPr>
        <w:pStyle w:val="ListParagraph"/>
        <w:numPr>
          <w:ilvl w:val="0"/>
          <w:numId w:val="11"/>
        </w:numPr>
        <w:spacing w:after="0"/>
        <w:rPr>
          <w:rFonts w:ascii="Times New Roman" w:hAnsi="Times New Roman"/>
          <w:sz w:val="24"/>
          <w:szCs w:val="24"/>
        </w:rPr>
      </w:pPr>
      <w:r>
        <w:rPr>
          <w:rFonts w:ascii="Times New Roman" w:hAnsi="Times New Roman"/>
          <w:sz w:val="24"/>
          <w:szCs w:val="24"/>
        </w:rPr>
        <w:t xml:space="preserve">References to any publicly available sources which confirm the rates, quantities, or costs, which are used to calculate the refund balance or which confirm the refund amount itself. </w:t>
      </w:r>
    </w:p>
    <w:p w14:paraId="5C767F93" w14:textId="705673D2" w:rsidR="00CF7943" w:rsidRDefault="00CF7943" w:rsidP="00CF7943">
      <w:pPr>
        <w:pStyle w:val="ListParagraph"/>
        <w:numPr>
          <w:ilvl w:val="0"/>
          <w:numId w:val="11"/>
        </w:numPr>
        <w:spacing w:after="0"/>
        <w:rPr>
          <w:rFonts w:ascii="Times New Roman" w:hAnsi="Times New Roman"/>
          <w:sz w:val="24"/>
          <w:szCs w:val="24"/>
        </w:rPr>
      </w:pPr>
      <w:r>
        <w:rPr>
          <w:rFonts w:ascii="Times New Roman" w:hAnsi="Times New Roman"/>
          <w:sz w:val="24"/>
          <w:szCs w:val="24"/>
        </w:rPr>
        <w:t>Work</w:t>
      </w:r>
      <w:r w:rsidR="00C96343">
        <w:rPr>
          <w:rFonts w:ascii="Times New Roman" w:hAnsi="Times New Roman"/>
          <w:sz w:val="24"/>
          <w:szCs w:val="24"/>
        </w:rPr>
        <w:t>-</w:t>
      </w:r>
      <w:r>
        <w:rPr>
          <w:rFonts w:ascii="Times New Roman" w:hAnsi="Times New Roman"/>
          <w:sz w:val="24"/>
          <w:szCs w:val="24"/>
        </w:rPr>
        <w:t>papers showing the calculation of interest on a monthly basis.</w:t>
      </w:r>
    </w:p>
    <w:p w14:paraId="49090FD8" w14:textId="77777777" w:rsidR="00CF7943" w:rsidRDefault="00CF7943" w:rsidP="00CF7943">
      <w:pPr>
        <w:pStyle w:val="ListParagraph"/>
        <w:numPr>
          <w:ilvl w:val="0"/>
          <w:numId w:val="11"/>
        </w:numPr>
        <w:spacing w:after="0"/>
        <w:rPr>
          <w:rFonts w:ascii="Times New Roman" w:hAnsi="Times New Roman"/>
          <w:sz w:val="24"/>
          <w:szCs w:val="24"/>
        </w:rPr>
      </w:pPr>
      <w:r>
        <w:rPr>
          <w:rFonts w:ascii="Times New Roman" w:hAnsi="Times New Roman"/>
          <w:sz w:val="24"/>
          <w:szCs w:val="24"/>
        </w:rPr>
        <w:t>A letter of transmittal.</w:t>
      </w:r>
    </w:p>
    <w:p w14:paraId="7BB1C022" w14:textId="77777777" w:rsidR="00CF7943" w:rsidRPr="00815F41" w:rsidRDefault="00CF7943" w:rsidP="00CF7943">
      <w:pPr>
        <w:pStyle w:val="ListParagraph"/>
        <w:numPr>
          <w:ilvl w:val="0"/>
          <w:numId w:val="11"/>
        </w:numPr>
        <w:spacing w:after="0"/>
        <w:rPr>
          <w:rFonts w:ascii="Times New Roman" w:hAnsi="Times New Roman"/>
          <w:sz w:val="24"/>
          <w:szCs w:val="24"/>
        </w:rPr>
      </w:pPr>
      <w:r>
        <w:rPr>
          <w:rFonts w:ascii="Times New Roman" w:hAnsi="Times New Roman"/>
          <w:sz w:val="24"/>
          <w:szCs w:val="24"/>
        </w:rPr>
        <w:t>A certification of service to all affected customers and interested state commissions</w:t>
      </w:r>
    </w:p>
    <w:p w14:paraId="6D24E36B" w14:textId="77777777" w:rsidR="00CF7943" w:rsidRDefault="00CF7943" w:rsidP="00CF7943"/>
    <w:p w14:paraId="3B355E82" w14:textId="77777777" w:rsidR="00CF7943" w:rsidRDefault="00CF7943" w:rsidP="00CF7943">
      <w:r>
        <w:lastRenderedPageBreak/>
        <w:t>For a more detailed list of the requirements, please see 18 CFR 154.501(e).</w:t>
      </w:r>
    </w:p>
    <w:p w14:paraId="09776497" w14:textId="77777777" w:rsidR="00CF7943" w:rsidRDefault="00CF7943" w:rsidP="00CF7943"/>
    <w:p w14:paraId="445AB3A5" w14:textId="77777777" w:rsidR="00CF7943" w:rsidRPr="00451584" w:rsidRDefault="00CF7943" w:rsidP="00CF7943">
      <w:r w:rsidRPr="00451584">
        <w:t>The Commission uses the data to monitor refunds owed by natural gas companies</w:t>
      </w:r>
      <w:r>
        <w:t>,</w:t>
      </w:r>
      <w:r w:rsidRPr="00451584">
        <w:t xml:space="preserve">  to ensure the flow-through of refunds that are owed by pipelines are made as expeditiously as possible</w:t>
      </w:r>
      <w:r>
        <w:t xml:space="preserve">, </w:t>
      </w:r>
      <w:r w:rsidRPr="00451584">
        <w:t xml:space="preserve">  and to assure that refunds are made in compliance with the directive.  Failure to report this information may result in enforcement action.</w:t>
      </w:r>
    </w:p>
    <w:p w14:paraId="66AAA305" w14:textId="77777777" w:rsidR="00CF7943" w:rsidRDefault="00CF7943" w:rsidP="00CF7943"/>
    <w:p w14:paraId="32B2D492" w14:textId="3B3CEE1A" w:rsidR="00980E8E" w:rsidRPr="00371943" w:rsidRDefault="00CF7943" w:rsidP="00CF7943">
      <w:pPr>
        <w:pStyle w:val="FERCparanumber"/>
        <w:numPr>
          <w:ilvl w:val="0"/>
          <w:numId w:val="0"/>
        </w:numPr>
        <w:tabs>
          <w:tab w:val="left" w:pos="720"/>
          <w:tab w:val="left" w:pos="4860"/>
        </w:tabs>
        <w:rPr>
          <w:sz w:val="24"/>
        </w:rPr>
      </w:pPr>
      <w:r w:rsidRPr="00451584">
        <w:rPr>
          <w:sz w:val="24"/>
        </w:rPr>
        <w:t>The Commission’s Office of Energy Market Regulation is responsible for evaluating and processing information related to refund report obligations</w:t>
      </w:r>
      <w:r w:rsidR="002B2810" w:rsidRPr="00371943">
        <w:rPr>
          <w:sz w:val="24"/>
        </w:rPr>
        <w:t>.</w:t>
      </w:r>
    </w:p>
    <w:p w14:paraId="55FA5FFC" w14:textId="77777777" w:rsidR="00371943" w:rsidRPr="00980E8E" w:rsidRDefault="00371943" w:rsidP="002B2810">
      <w:pPr>
        <w:pStyle w:val="FERCparanumber"/>
        <w:numPr>
          <w:ilvl w:val="0"/>
          <w:numId w:val="0"/>
        </w:numPr>
        <w:tabs>
          <w:tab w:val="left" w:pos="720"/>
          <w:tab w:val="left" w:pos="4860"/>
        </w:tabs>
        <w:rPr>
          <w:sz w:val="24"/>
        </w:rPr>
      </w:pPr>
    </w:p>
    <w:p w14:paraId="1191C360" w14:textId="77777777" w:rsidR="00980E8E" w:rsidRPr="00980E8E" w:rsidRDefault="00980E8E" w:rsidP="005240A1">
      <w:pPr>
        <w:widowControl/>
        <w:numPr>
          <w:ilvl w:val="0"/>
          <w:numId w:val="7"/>
        </w:numPr>
      </w:pPr>
      <w:r w:rsidRPr="001D2EC1">
        <w:rPr>
          <w:b/>
        </w:rPr>
        <w:t>DESCRIBE ANY CONSIDERATION OF THE USE OF IMPROVED INFORMATION TECHNOLOGY TO REDUCE BURDEN AND THE TECHNICAL OR LE</w:t>
      </w:r>
      <w:r>
        <w:rPr>
          <w:b/>
        </w:rPr>
        <w:t>GAL OBSTACLES TO REDUCING BURDEN</w:t>
      </w:r>
    </w:p>
    <w:p w14:paraId="200107A7" w14:textId="77777777" w:rsidR="00980E8E" w:rsidRPr="00980E8E" w:rsidRDefault="00980E8E" w:rsidP="00980E8E"/>
    <w:p w14:paraId="1133AECD" w14:textId="499EF025" w:rsidR="00042ECE" w:rsidRDefault="004D4C7B" w:rsidP="00042ECE">
      <w:pPr>
        <w:rPr>
          <w:szCs w:val="26"/>
        </w:rPr>
      </w:pPr>
      <w:r w:rsidRPr="004D4C7B">
        <w:rPr>
          <w:szCs w:val="26"/>
        </w:rPr>
        <w:t>There is an ongoing effort to determine the potential and value of improved information technology to reduce the burde</w:t>
      </w:r>
      <w:r w:rsidR="00FC192E">
        <w:rPr>
          <w:szCs w:val="26"/>
        </w:rPr>
        <w:t>n.  The refund reports can</w:t>
      </w:r>
      <w:r w:rsidRPr="004D4C7B">
        <w:rPr>
          <w:szCs w:val="26"/>
        </w:rPr>
        <w:t xml:space="preserve"> be eFiled through FERC’s eFiling system.  (See </w:t>
      </w:r>
      <w:hyperlink r:id="rId12" w:history="1">
        <w:r w:rsidRPr="004D4C7B">
          <w:rPr>
            <w:rStyle w:val="Hyperlink"/>
            <w:szCs w:val="26"/>
          </w:rPr>
          <w:t>http://www.ferc.gov/docs-filing/efiling.asp</w:t>
        </w:r>
      </w:hyperlink>
      <w:r w:rsidRPr="004D4C7B">
        <w:rPr>
          <w:szCs w:val="26"/>
        </w:rPr>
        <w:t xml:space="preserve"> for more information.)</w:t>
      </w:r>
    </w:p>
    <w:p w14:paraId="317BE605" w14:textId="77777777" w:rsidR="004D4C7B" w:rsidRDefault="004D4C7B" w:rsidP="00042ECE"/>
    <w:p w14:paraId="0E702588" w14:textId="77777777" w:rsidR="009D6B6D" w:rsidRPr="00BD4039" w:rsidRDefault="009D6B6D" w:rsidP="005240A1">
      <w:pPr>
        <w:pStyle w:val="FERCparanumber"/>
        <w:numPr>
          <w:ilvl w:val="0"/>
          <w:numId w:val="7"/>
        </w:numPr>
        <w:rPr>
          <w:sz w:val="24"/>
        </w:rPr>
      </w:pPr>
      <w:r w:rsidRPr="001D2EC1">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Default="00BD4039" w:rsidP="00BD4039">
      <w:pPr>
        <w:pStyle w:val="FERCparanumber"/>
        <w:numPr>
          <w:ilvl w:val="0"/>
          <w:numId w:val="0"/>
        </w:numPr>
        <w:rPr>
          <w:b/>
          <w:sz w:val="24"/>
        </w:rPr>
      </w:pPr>
    </w:p>
    <w:p w14:paraId="44C363AB" w14:textId="6346C0BC" w:rsidR="00BD4039" w:rsidRDefault="004D4C7B" w:rsidP="000541E0">
      <w:r>
        <w:rPr>
          <w:bCs/>
        </w:rPr>
        <w:t>The Commission periodically reviews f</w:t>
      </w:r>
      <w:r w:rsidRPr="00763057">
        <w:rPr>
          <w:bCs/>
        </w:rPr>
        <w:t>iling requirements as OMB review dates arise or as the Commission may deem necessary in carrying out its regulatory responsibilities under the Act in an effort alleviate duplication.  This includes a review of the Commission’s reporting requirements to identify duplication of data requirements.  To date, no duplication of application data has been found.  The information is specific to each applicant</w:t>
      </w:r>
      <w:r w:rsidR="008060D2">
        <w:t xml:space="preserve">. </w:t>
      </w:r>
    </w:p>
    <w:p w14:paraId="01E02908" w14:textId="77777777" w:rsidR="008060D2" w:rsidRPr="00BD4039" w:rsidRDefault="008060D2" w:rsidP="00BD4039">
      <w:pPr>
        <w:pStyle w:val="FERCparanumber"/>
        <w:numPr>
          <w:ilvl w:val="0"/>
          <w:numId w:val="0"/>
        </w:numPr>
        <w:rPr>
          <w:sz w:val="24"/>
        </w:rPr>
      </w:pPr>
    </w:p>
    <w:p w14:paraId="16D376F5" w14:textId="77777777" w:rsidR="009D6B6D" w:rsidRPr="001D2EC1" w:rsidRDefault="009D6B6D" w:rsidP="005240A1">
      <w:pPr>
        <w:pStyle w:val="FERCparanumber"/>
        <w:numPr>
          <w:ilvl w:val="0"/>
          <w:numId w:val="7"/>
        </w:numPr>
        <w:rPr>
          <w:sz w:val="24"/>
        </w:rPr>
      </w:pPr>
      <w:r w:rsidRPr="00BD4039">
        <w:rPr>
          <w:b/>
          <w:sz w:val="24"/>
        </w:rPr>
        <w:t>METHODS USED TO MINIMIZE BURDEN IN COLLECTION OF INFORMATION INVOLVING SMALL ENTITIES</w:t>
      </w:r>
      <w:r w:rsidRPr="001D2EC1">
        <w:rPr>
          <w:sz w:val="24"/>
        </w:rPr>
        <w:t xml:space="preserve"> </w:t>
      </w:r>
    </w:p>
    <w:p w14:paraId="498754B1" w14:textId="77777777" w:rsidR="009D6B6D" w:rsidRPr="001D2EC1" w:rsidRDefault="009D6B6D" w:rsidP="001D2EC1">
      <w:pPr>
        <w:widowControl/>
        <w:ind w:left="1440"/>
      </w:pPr>
    </w:p>
    <w:p w14:paraId="7C99BEF4" w14:textId="51B9940D" w:rsidR="00FC192E" w:rsidRPr="00225564" w:rsidRDefault="00FC192E" w:rsidP="00FC192E">
      <w:r w:rsidRPr="00225564">
        <w:t>This filing collects data from both large and small respondent companies.  Specific efforts have been made to minimize the burden imposed on those small</w:t>
      </w:r>
      <w:r>
        <w:t xml:space="preserve"> companies who file the report (</w:t>
      </w:r>
      <w:r w:rsidRPr="00225564">
        <w:t>i.e. there is no required format, allowing respondents to file the required information in a format readily available from their own computer systems</w:t>
      </w:r>
      <w:r>
        <w:t>)</w:t>
      </w:r>
      <w:r w:rsidRPr="00225564">
        <w:t xml:space="preserve">.  </w:t>
      </w:r>
    </w:p>
    <w:p w14:paraId="313FA1C9" w14:textId="77777777" w:rsidR="00FC192E" w:rsidRDefault="00FC192E" w:rsidP="00FC192E"/>
    <w:p w14:paraId="6A972740" w14:textId="712E5B55" w:rsidR="008060D2" w:rsidRPr="00AE5B29" w:rsidRDefault="00FC192E" w:rsidP="00FC192E">
      <w:r w:rsidRPr="00225564">
        <w:t>The data required imposes the least possible burden for companies while collecting the information that is required to process refund reports</w:t>
      </w:r>
      <w:r w:rsidR="00042ECE">
        <w:t>.</w:t>
      </w:r>
    </w:p>
    <w:p w14:paraId="2329B0A1" w14:textId="77777777" w:rsidR="005240A1" w:rsidRDefault="005240A1" w:rsidP="000541E0">
      <w:pPr>
        <w:pStyle w:val="FERCparanumber"/>
        <w:numPr>
          <w:ilvl w:val="0"/>
          <w:numId w:val="0"/>
        </w:numPr>
        <w:tabs>
          <w:tab w:val="num" w:pos="0"/>
        </w:tabs>
        <w:jc w:val="center"/>
        <w:rPr>
          <w:sz w:val="24"/>
        </w:rPr>
      </w:pPr>
    </w:p>
    <w:p w14:paraId="1169CF0E" w14:textId="77777777" w:rsidR="009D6B6D" w:rsidRPr="00BB6095" w:rsidRDefault="009D6B6D" w:rsidP="005240A1">
      <w:pPr>
        <w:pStyle w:val="FERCparanumber"/>
        <w:numPr>
          <w:ilvl w:val="0"/>
          <w:numId w:val="7"/>
        </w:numPr>
        <w:rPr>
          <w:sz w:val="24"/>
        </w:rPr>
      </w:pPr>
      <w:r w:rsidRPr="001D2EC1">
        <w:rPr>
          <w:b/>
          <w:sz w:val="24"/>
        </w:rPr>
        <w:t>CONSEQUENCE TO FEDERAL PROGRAM IF COLLECTION WERE CONDUCTED LESS FREQUENTLY</w:t>
      </w:r>
    </w:p>
    <w:p w14:paraId="23391944" w14:textId="77777777" w:rsidR="00BB6095" w:rsidRDefault="00BB6095" w:rsidP="00BB6095">
      <w:pPr>
        <w:pStyle w:val="FERCparanumber"/>
        <w:numPr>
          <w:ilvl w:val="0"/>
          <w:numId w:val="0"/>
        </w:numPr>
        <w:rPr>
          <w:b/>
          <w:sz w:val="24"/>
        </w:rPr>
      </w:pPr>
    </w:p>
    <w:p w14:paraId="621621A2" w14:textId="6C3061E5" w:rsidR="00042ECE" w:rsidRPr="00E77B24" w:rsidRDefault="00FC192E" w:rsidP="00042ECE">
      <w:r w:rsidRPr="00BD73E3">
        <w:t xml:space="preserve">It is not possible to collect the data less frequently.  The information is only required upon the distribution of a refund by a pipeline company and does not have a set </w:t>
      </w:r>
      <w:r>
        <w:t xml:space="preserve">reporting </w:t>
      </w:r>
      <w:r w:rsidRPr="00BD73E3">
        <w:t xml:space="preserve">frequency.  If the collection were discontinued, the Commission would not have the necessary information for </w:t>
      </w:r>
      <w:r w:rsidRPr="00BD73E3">
        <w:lastRenderedPageBreak/>
        <w:t>monitoring refund obligations</w:t>
      </w:r>
      <w:r w:rsidR="00042ECE">
        <w:t>.</w:t>
      </w:r>
      <w:r w:rsidR="00042ECE" w:rsidRPr="00E77B24">
        <w:t xml:space="preserve">  </w:t>
      </w:r>
    </w:p>
    <w:p w14:paraId="4F0A656F" w14:textId="77777777" w:rsidR="00BB6095" w:rsidRPr="00BB6095" w:rsidRDefault="00BB6095" w:rsidP="00BB6095">
      <w:pPr>
        <w:pStyle w:val="FERCparanumber"/>
        <w:numPr>
          <w:ilvl w:val="0"/>
          <w:numId w:val="0"/>
        </w:numPr>
        <w:rPr>
          <w:sz w:val="24"/>
        </w:rPr>
      </w:pPr>
    </w:p>
    <w:p w14:paraId="5CE22EF6" w14:textId="77777777" w:rsidR="00BB6095" w:rsidRPr="00BB6095" w:rsidRDefault="00BB6095" w:rsidP="005240A1">
      <w:pPr>
        <w:pStyle w:val="FERCparanumber"/>
        <w:numPr>
          <w:ilvl w:val="0"/>
          <w:numId w:val="7"/>
        </w:numPr>
        <w:rPr>
          <w:sz w:val="24"/>
        </w:rPr>
      </w:pPr>
      <w:r w:rsidRPr="001D2EC1">
        <w:rPr>
          <w:b/>
          <w:sz w:val="24"/>
        </w:rPr>
        <w:t>EXPLAIN ANY SPECIAL CIRCUMSTANCES RELATING TO THE INFORMATION</w:t>
      </w:r>
    </w:p>
    <w:p w14:paraId="6C3072D3" w14:textId="77777777" w:rsidR="00BB6095" w:rsidRDefault="00BB6095" w:rsidP="00BB6095">
      <w:pPr>
        <w:pStyle w:val="FERCparanumber"/>
        <w:numPr>
          <w:ilvl w:val="0"/>
          <w:numId w:val="0"/>
        </w:numPr>
        <w:rPr>
          <w:b/>
          <w:sz w:val="24"/>
        </w:rPr>
      </w:pPr>
    </w:p>
    <w:p w14:paraId="19B1F23B" w14:textId="79644114" w:rsidR="00BB6095" w:rsidRPr="001D2EC1" w:rsidRDefault="00FC192E" w:rsidP="004D4C7B">
      <w:r>
        <w:t>There are no special circumstances relating to this information collection</w:t>
      </w:r>
      <w:r w:rsidR="000541E0">
        <w:t>.</w:t>
      </w:r>
      <w:r w:rsidR="00BB6095" w:rsidRPr="001D2EC1">
        <w:t xml:space="preserve"> </w:t>
      </w:r>
    </w:p>
    <w:p w14:paraId="5AA6725C" w14:textId="77777777" w:rsidR="00BB6095" w:rsidRPr="00BB6095" w:rsidRDefault="00BB6095" w:rsidP="00BB6095">
      <w:pPr>
        <w:pStyle w:val="FERCparanumber"/>
        <w:numPr>
          <w:ilvl w:val="0"/>
          <w:numId w:val="0"/>
        </w:numPr>
        <w:rPr>
          <w:sz w:val="24"/>
        </w:rPr>
      </w:pPr>
    </w:p>
    <w:p w14:paraId="3E7E24B7" w14:textId="77777777" w:rsidR="009D6B6D" w:rsidRPr="00BB6095" w:rsidRDefault="00BB6095" w:rsidP="001D2EC1">
      <w:pPr>
        <w:pStyle w:val="FERCparanumber"/>
        <w:numPr>
          <w:ilvl w:val="0"/>
          <w:numId w:val="7"/>
        </w:numPr>
        <w:rPr>
          <w:sz w:val="24"/>
        </w:rPr>
      </w:pPr>
      <w:r w:rsidRPr="001D2EC1">
        <w:rPr>
          <w:b/>
          <w:sz w:val="24"/>
        </w:rPr>
        <w:t>DESCRIBE EFFORTS TO CONSULT OUTSIDE THE AGENCY: SUMMARIZE PUBLIC COMMENTS AND THE AGENCY’S RESPONSE TO THESE COMMENTS</w:t>
      </w:r>
    </w:p>
    <w:p w14:paraId="08534C89" w14:textId="77777777" w:rsidR="00BB6095" w:rsidRDefault="00BB6095" w:rsidP="00BB6095">
      <w:pPr>
        <w:pStyle w:val="FERCparanumber"/>
        <w:numPr>
          <w:ilvl w:val="0"/>
          <w:numId w:val="0"/>
        </w:numPr>
        <w:rPr>
          <w:b/>
          <w:sz w:val="24"/>
        </w:rPr>
      </w:pPr>
    </w:p>
    <w:p w14:paraId="7EABE541" w14:textId="4BB140CD" w:rsidR="00BB6095" w:rsidRPr="001D2EC1" w:rsidRDefault="00BB6095" w:rsidP="00BB6095">
      <w:r w:rsidRPr="00E138E1">
        <w:t xml:space="preserve">In accordance with OMB requirements, the Commission </w:t>
      </w:r>
      <w:r w:rsidRPr="006E2AB8">
        <w:t>published a 60-day notice</w:t>
      </w:r>
      <w:bookmarkStart w:id="0" w:name="_Ref332712251"/>
      <w:r w:rsidRPr="006E2AB8">
        <w:rPr>
          <w:rStyle w:val="FootnoteReference"/>
          <w:vertAlign w:val="superscript"/>
        </w:rPr>
        <w:footnoteReference w:id="2"/>
      </w:r>
      <w:bookmarkEnd w:id="0"/>
      <w:r w:rsidRPr="006E2AB8">
        <w:t xml:space="preserve"> and a 30-day notice</w:t>
      </w:r>
      <w:r w:rsidRPr="006E2AB8">
        <w:rPr>
          <w:rStyle w:val="FootnoteReference"/>
          <w:vertAlign w:val="superscript"/>
        </w:rPr>
        <w:footnoteReference w:id="3"/>
      </w:r>
      <w:r w:rsidRPr="006E2AB8">
        <w:t xml:space="preserve"> to the public regarding this information collection on </w:t>
      </w:r>
      <w:r w:rsidR="00FC192E" w:rsidRPr="006E2AB8">
        <w:t>7/29</w:t>
      </w:r>
      <w:r w:rsidR="00CB3EA0" w:rsidRPr="006E2AB8">
        <w:t>/2016</w:t>
      </w:r>
      <w:r w:rsidRPr="006E2AB8">
        <w:t xml:space="preserve"> and </w:t>
      </w:r>
      <w:r w:rsidR="006E2AB8" w:rsidRPr="006E2AB8">
        <w:t>11/18</w:t>
      </w:r>
      <w:r w:rsidR="006C1E96" w:rsidRPr="006E2AB8">
        <w:t>/2016</w:t>
      </w:r>
      <w:r w:rsidRPr="006E2AB8">
        <w:t>,</w:t>
      </w:r>
      <w:r w:rsidRPr="00E138E1">
        <w:t xml:space="preserve"> respectively. Within the public notice, the Commission noted that it would be requesting a three-year extension of the public reporting burden with no change to the existing requirements concerning the collection of data.  The Commission received no comments.</w:t>
      </w:r>
      <w:r w:rsidRPr="001D2EC1">
        <w:t xml:space="preserve">  </w:t>
      </w:r>
    </w:p>
    <w:p w14:paraId="2386E560" w14:textId="77777777" w:rsidR="00BB6095" w:rsidRPr="00BB6095" w:rsidRDefault="00BB6095" w:rsidP="00BB6095">
      <w:pPr>
        <w:pStyle w:val="FERCparanumber"/>
        <w:numPr>
          <w:ilvl w:val="0"/>
          <w:numId w:val="0"/>
        </w:numPr>
        <w:rPr>
          <w:sz w:val="24"/>
        </w:rPr>
      </w:pPr>
    </w:p>
    <w:p w14:paraId="091A69F9" w14:textId="77777777" w:rsidR="009D6B6D" w:rsidRPr="00BB6095" w:rsidRDefault="00BB6095" w:rsidP="001D2EC1">
      <w:pPr>
        <w:pStyle w:val="FERCparanumber"/>
        <w:numPr>
          <w:ilvl w:val="0"/>
          <w:numId w:val="7"/>
        </w:numPr>
        <w:rPr>
          <w:sz w:val="24"/>
        </w:rPr>
      </w:pPr>
      <w:r w:rsidRPr="001D2EC1">
        <w:rPr>
          <w:b/>
          <w:sz w:val="24"/>
        </w:rPr>
        <w:t>EXPLAIN ANY PAYMENT OR GIFTS TO RESPONDENTS</w:t>
      </w:r>
    </w:p>
    <w:p w14:paraId="55601D9E" w14:textId="77777777" w:rsidR="00BB6095" w:rsidRDefault="00BB6095" w:rsidP="00BB6095">
      <w:pPr>
        <w:pStyle w:val="FERCparanumber"/>
        <w:numPr>
          <w:ilvl w:val="0"/>
          <w:numId w:val="0"/>
        </w:numPr>
        <w:rPr>
          <w:b/>
          <w:sz w:val="24"/>
        </w:rPr>
      </w:pPr>
    </w:p>
    <w:p w14:paraId="635D1E06" w14:textId="520716E5" w:rsidR="00BB6095" w:rsidRPr="001D2EC1" w:rsidRDefault="00BB6095" w:rsidP="00BB6095">
      <w:pPr>
        <w:widowControl/>
      </w:pPr>
      <w:r w:rsidRPr="001D2EC1">
        <w:t xml:space="preserve">There are no payments or gifts to respondents </w:t>
      </w:r>
      <w:r w:rsidR="007B025D">
        <w:t>of</w:t>
      </w:r>
      <w:r w:rsidRPr="001D2EC1">
        <w:t xml:space="preserve"> this collection.</w:t>
      </w:r>
    </w:p>
    <w:p w14:paraId="0655AE0A" w14:textId="77777777" w:rsidR="00BB6095" w:rsidRDefault="00BB6095" w:rsidP="00BB6095">
      <w:pPr>
        <w:pStyle w:val="FERCparanumber"/>
        <w:numPr>
          <w:ilvl w:val="0"/>
          <w:numId w:val="0"/>
        </w:numPr>
        <w:rPr>
          <w:b/>
          <w:sz w:val="24"/>
        </w:rPr>
      </w:pPr>
    </w:p>
    <w:p w14:paraId="200271A7" w14:textId="77777777" w:rsidR="00BB6095" w:rsidRPr="00BB6095" w:rsidRDefault="00BB6095" w:rsidP="00BB6095">
      <w:pPr>
        <w:pStyle w:val="FERCparanumber"/>
        <w:numPr>
          <w:ilvl w:val="0"/>
          <w:numId w:val="0"/>
        </w:numPr>
        <w:rPr>
          <w:sz w:val="24"/>
        </w:rPr>
      </w:pPr>
    </w:p>
    <w:p w14:paraId="18CEDA1A" w14:textId="77777777" w:rsidR="009D6B6D" w:rsidRPr="00BB6095" w:rsidRDefault="00BB6095" w:rsidP="001D2EC1">
      <w:pPr>
        <w:pStyle w:val="FERCparanumber"/>
        <w:numPr>
          <w:ilvl w:val="0"/>
          <w:numId w:val="7"/>
        </w:numPr>
        <w:rPr>
          <w:sz w:val="24"/>
        </w:rPr>
      </w:pPr>
      <w:r w:rsidRPr="001D2EC1">
        <w:rPr>
          <w:b/>
          <w:sz w:val="24"/>
        </w:rPr>
        <w:t>DESCRIBE ANY ASSURANCE OF CONFIDENTIALITY PROVIDED TO RESPONDENTS</w:t>
      </w:r>
    </w:p>
    <w:p w14:paraId="5291E765" w14:textId="77777777" w:rsidR="00BB6095" w:rsidRDefault="00BB6095" w:rsidP="00BB6095">
      <w:pPr>
        <w:pStyle w:val="FERCparanumber"/>
        <w:numPr>
          <w:ilvl w:val="0"/>
          <w:numId w:val="0"/>
        </w:numPr>
        <w:rPr>
          <w:b/>
          <w:sz w:val="24"/>
        </w:rPr>
      </w:pPr>
    </w:p>
    <w:p w14:paraId="748CD524" w14:textId="049E894F" w:rsidR="000541E0" w:rsidRPr="00367F9A" w:rsidRDefault="004D4C7B" w:rsidP="000541E0">
      <w:r w:rsidRPr="004065DF">
        <w:t xml:space="preserve">The </w:t>
      </w:r>
      <w:r>
        <w:t>Commission does not consider the information collecte</w:t>
      </w:r>
      <w:r w:rsidR="003D7DE6">
        <w:t>d in FERC-547</w:t>
      </w:r>
      <w:r>
        <w:t xml:space="preserve"> filings to be confidential</w:t>
      </w:r>
      <w:r w:rsidR="00371943">
        <w:t>.</w:t>
      </w:r>
    </w:p>
    <w:p w14:paraId="7FB64A9E" w14:textId="77777777" w:rsidR="00BB6095" w:rsidRPr="00BB6095" w:rsidRDefault="00BB6095" w:rsidP="00BB6095">
      <w:pPr>
        <w:pStyle w:val="FERCparanumber"/>
        <w:numPr>
          <w:ilvl w:val="0"/>
          <w:numId w:val="0"/>
        </w:numPr>
        <w:rPr>
          <w:sz w:val="24"/>
        </w:rPr>
      </w:pPr>
    </w:p>
    <w:p w14:paraId="0F599F44" w14:textId="6387DEE9" w:rsidR="009D6B6D" w:rsidRPr="00BB6095" w:rsidRDefault="00BB6095" w:rsidP="001D2EC1">
      <w:pPr>
        <w:pStyle w:val="FERCparanumber"/>
        <w:numPr>
          <w:ilvl w:val="0"/>
          <w:numId w:val="7"/>
        </w:numPr>
        <w:rPr>
          <w:sz w:val="24"/>
        </w:rPr>
      </w:pPr>
      <w:r w:rsidRPr="001D2EC1">
        <w:rPr>
          <w:b/>
          <w:sz w:val="24"/>
        </w:rPr>
        <w:t>PROVIDE ADDITIONAL JUSTIFICATION FOR ANY QUESTIONS OF A SENSITIVE NATURE</w:t>
      </w:r>
      <w:r w:rsidR="00860C58">
        <w:rPr>
          <w:b/>
          <w:sz w:val="24"/>
        </w:rPr>
        <w:t xml:space="preserve">, </w:t>
      </w:r>
      <w:r w:rsidR="00860C58" w:rsidRPr="00C62F55">
        <w:rPr>
          <w:b/>
          <w:sz w:val="24"/>
        </w:rPr>
        <w:t>SUCH AS SEXUAL BEHAVIOR AND ATTITUDES, RELIGIOUS BELIEFS, AND OTHER MATTERS THAT ARE COMMONLY CONSIDERED PRIVATE</w:t>
      </w:r>
    </w:p>
    <w:p w14:paraId="7C3F9D96" w14:textId="77777777" w:rsidR="00BB6095" w:rsidRDefault="00BB6095" w:rsidP="00BB6095">
      <w:pPr>
        <w:pStyle w:val="FERCparanumber"/>
        <w:numPr>
          <w:ilvl w:val="0"/>
          <w:numId w:val="0"/>
        </w:numPr>
        <w:rPr>
          <w:b/>
          <w:sz w:val="24"/>
        </w:rPr>
      </w:pPr>
    </w:p>
    <w:p w14:paraId="2F8D71F0" w14:textId="77777777" w:rsidR="00BB6095" w:rsidRPr="001D2EC1" w:rsidRDefault="00BB6095" w:rsidP="00BB6095">
      <w:pPr>
        <w:widowControl/>
        <w:rPr>
          <w:b/>
        </w:rPr>
      </w:pPr>
      <w:r w:rsidRPr="001D2EC1">
        <w:t xml:space="preserve">There are no questions of a sensitive nature associated with the reporting requirements.  </w:t>
      </w:r>
    </w:p>
    <w:p w14:paraId="6058D422" w14:textId="77777777" w:rsidR="00BB6095" w:rsidRPr="00BB6095" w:rsidRDefault="00BB6095" w:rsidP="00BB6095">
      <w:pPr>
        <w:pStyle w:val="FERCparanumber"/>
        <w:numPr>
          <w:ilvl w:val="0"/>
          <w:numId w:val="0"/>
        </w:numPr>
        <w:rPr>
          <w:sz w:val="24"/>
        </w:rPr>
      </w:pPr>
    </w:p>
    <w:p w14:paraId="4ACF1549" w14:textId="77777777" w:rsidR="00BB6095" w:rsidRPr="00BB6095" w:rsidRDefault="00BB6095" w:rsidP="001D2EC1">
      <w:pPr>
        <w:pStyle w:val="FERCparanumber"/>
        <w:numPr>
          <w:ilvl w:val="0"/>
          <w:numId w:val="7"/>
        </w:numPr>
        <w:rPr>
          <w:sz w:val="24"/>
        </w:rPr>
      </w:pPr>
      <w:r w:rsidRPr="001D2EC1">
        <w:rPr>
          <w:b/>
          <w:sz w:val="24"/>
        </w:rPr>
        <w:t>ESTIMATED BURDEN COLLECTION OF INFORMATION</w:t>
      </w:r>
    </w:p>
    <w:p w14:paraId="057071CE" w14:textId="77777777" w:rsidR="00BB6095"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3D7DE6" w:rsidRPr="00D77538" w14:paraId="08B70041" w14:textId="77777777" w:rsidTr="00E32E27">
        <w:trPr>
          <w:cantSplit/>
        </w:trPr>
        <w:tc>
          <w:tcPr>
            <w:tcW w:w="5000" w:type="pct"/>
            <w:gridSpan w:val="7"/>
            <w:tcBorders>
              <w:bottom w:val="single" w:sz="4" w:space="0" w:color="auto"/>
            </w:tcBorders>
            <w:shd w:val="clear" w:color="auto" w:fill="D9D9D9"/>
          </w:tcPr>
          <w:p w14:paraId="3AE1EFBD" w14:textId="77777777" w:rsidR="003D7DE6" w:rsidRPr="006A60CF" w:rsidRDefault="003D7DE6" w:rsidP="00E32E27">
            <w:pPr>
              <w:jc w:val="center"/>
              <w:rPr>
                <w:rFonts w:eastAsia="Calibri"/>
                <w:b/>
                <w:sz w:val="20"/>
                <w:szCs w:val="20"/>
              </w:rPr>
            </w:pPr>
            <w:r w:rsidRPr="0002369F">
              <w:rPr>
                <w:rFonts w:eastAsia="Calibri"/>
                <w:b/>
                <w:sz w:val="20"/>
                <w:szCs w:val="20"/>
              </w:rPr>
              <w:t>FERC-547: Gas Pipeline Rates: Refund Report Requirements</w:t>
            </w:r>
          </w:p>
        </w:tc>
      </w:tr>
      <w:tr w:rsidR="003D7DE6" w:rsidRPr="00D77538" w14:paraId="7B7EC9C9" w14:textId="77777777" w:rsidTr="00E32E27">
        <w:trPr>
          <w:cantSplit/>
        </w:trPr>
        <w:tc>
          <w:tcPr>
            <w:tcW w:w="878" w:type="pct"/>
            <w:shd w:val="clear" w:color="auto" w:fill="D9D9D9"/>
          </w:tcPr>
          <w:p w14:paraId="6F9161E0" w14:textId="77777777" w:rsidR="003D7DE6" w:rsidRPr="006A60CF" w:rsidRDefault="003D7DE6" w:rsidP="00E32E27">
            <w:pPr>
              <w:jc w:val="center"/>
              <w:rPr>
                <w:rFonts w:eastAsia="Calibri"/>
                <w:b/>
                <w:sz w:val="20"/>
                <w:szCs w:val="20"/>
              </w:rPr>
            </w:pPr>
          </w:p>
        </w:tc>
        <w:tc>
          <w:tcPr>
            <w:tcW w:w="746" w:type="pct"/>
            <w:shd w:val="clear" w:color="auto" w:fill="D9D9D9"/>
            <w:vAlign w:val="bottom"/>
          </w:tcPr>
          <w:p w14:paraId="3764CB48" w14:textId="77777777" w:rsidR="003D7DE6" w:rsidRPr="006A60CF" w:rsidRDefault="003D7DE6" w:rsidP="00E32E27">
            <w:pPr>
              <w:jc w:val="center"/>
              <w:rPr>
                <w:rFonts w:eastAsia="Calibri"/>
                <w:b/>
                <w:sz w:val="20"/>
                <w:szCs w:val="20"/>
              </w:rPr>
            </w:pPr>
            <w:r w:rsidRPr="006A60CF">
              <w:rPr>
                <w:rFonts w:eastAsia="Calibri"/>
                <w:b/>
                <w:sz w:val="20"/>
                <w:szCs w:val="20"/>
              </w:rPr>
              <w:t>Number of Respondents</w:t>
            </w:r>
            <w:r w:rsidRPr="006A60CF">
              <w:rPr>
                <w:rFonts w:eastAsia="Calibri"/>
                <w:b/>
                <w:sz w:val="20"/>
                <w:szCs w:val="20"/>
              </w:rPr>
              <w:br/>
              <w:t>(1)</w:t>
            </w:r>
          </w:p>
        </w:tc>
        <w:tc>
          <w:tcPr>
            <w:tcW w:w="746" w:type="pct"/>
            <w:shd w:val="clear" w:color="auto" w:fill="D9D9D9"/>
            <w:vAlign w:val="bottom"/>
          </w:tcPr>
          <w:p w14:paraId="30D75B34" w14:textId="77777777" w:rsidR="003D7DE6" w:rsidRPr="006A60CF" w:rsidRDefault="003D7DE6" w:rsidP="00E32E27">
            <w:pPr>
              <w:jc w:val="center"/>
              <w:rPr>
                <w:rFonts w:eastAsia="Calibri"/>
                <w:b/>
                <w:sz w:val="20"/>
                <w:szCs w:val="20"/>
              </w:rPr>
            </w:pPr>
            <w:r w:rsidRPr="006A60CF">
              <w:rPr>
                <w:rFonts w:eastAsia="Calibri"/>
                <w:b/>
                <w:sz w:val="20"/>
                <w:szCs w:val="20"/>
              </w:rPr>
              <w:t>Annual Number of Responses per Respondent</w:t>
            </w:r>
          </w:p>
          <w:p w14:paraId="50D2AFC2" w14:textId="77777777" w:rsidR="003D7DE6" w:rsidRPr="006A60CF" w:rsidRDefault="003D7DE6" w:rsidP="00E32E27">
            <w:pPr>
              <w:jc w:val="center"/>
              <w:rPr>
                <w:rFonts w:eastAsia="Calibri"/>
                <w:b/>
                <w:sz w:val="20"/>
                <w:szCs w:val="20"/>
              </w:rPr>
            </w:pPr>
            <w:r w:rsidRPr="006A60CF">
              <w:rPr>
                <w:rFonts w:eastAsia="Calibri"/>
                <w:b/>
                <w:sz w:val="20"/>
                <w:szCs w:val="20"/>
              </w:rPr>
              <w:t>(2)</w:t>
            </w:r>
          </w:p>
        </w:tc>
        <w:tc>
          <w:tcPr>
            <w:tcW w:w="703" w:type="pct"/>
            <w:shd w:val="clear" w:color="auto" w:fill="D9D9D9"/>
            <w:vAlign w:val="bottom"/>
          </w:tcPr>
          <w:p w14:paraId="3DAD8576" w14:textId="77777777" w:rsidR="003D7DE6" w:rsidRPr="006A60CF" w:rsidRDefault="003D7DE6" w:rsidP="00E32E27">
            <w:pPr>
              <w:jc w:val="center"/>
              <w:rPr>
                <w:rFonts w:eastAsia="Calibri"/>
                <w:b/>
                <w:sz w:val="20"/>
                <w:szCs w:val="20"/>
              </w:rPr>
            </w:pPr>
            <w:r w:rsidRPr="006A60CF">
              <w:rPr>
                <w:rFonts w:eastAsia="Calibri"/>
                <w:b/>
                <w:sz w:val="20"/>
                <w:szCs w:val="20"/>
              </w:rPr>
              <w:t>Total Number of Responses (1)*(2)=(3)</w:t>
            </w:r>
          </w:p>
        </w:tc>
        <w:tc>
          <w:tcPr>
            <w:tcW w:w="654" w:type="pct"/>
            <w:shd w:val="clear" w:color="auto" w:fill="D9D9D9"/>
            <w:vAlign w:val="bottom"/>
          </w:tcPr>
          <w:p w14:paraId="44E5CD7E" w14:textId="77777777" w:rsidR="003D7DE6" w:rsidRPr="006A60CF" w:rsidRDefault="003D7DE6" w:rsidP="00E32E27">
            <w:pPr>
              <w:jc w:val="center"/>
              <w:rPr>
                <w:rFonts w:eastAsia="Calibri"/>
                <w:b/>
                <w:sz w:val="20"/>
                <w:szCs w:val="20"/>
              </w:rPr>
            </w:pPr>
            <w:r w:rsidRPr="006A60CF">
              <w:rPr>
                <w:rFonts w:eastAsia="Calibri"/>
                <w:b/>
                <w:sz w:val="20"/>
                <w:szCs w:val="20"/>
              </w:rPr>
              <w:t>Average Burden</w:t>
            </w:r>
            <w:r>
              <w:rPr>
                <w:rFonts w:eastAsia="Calibri"/>
                <w:b/>
                <w:sz w:val="20"/>
                <w:szCs w:val="20"/>
              </w:rPr>
              <w:t xml:space="preserve"> &amp; </w:t>
            </w:r>
            <w:r w:rsidRPr="006A60CF">
              <w:rPr>
                <w:rFonts w:eastAsia="Calibri"/>
                <w:b/>
                <w:sz w:val="20"/>
                <w:szCs w:val="20"/>
              </w:rPr>
              <w:t>Cost Per Response</w:t>
            </w:r>
            <w:r w:rsidRPr="006A60CF">
              <w:rPr>
                <w:rFonts w:eastAsia="Calibri"/>
                <w:b/>
                <w:sz w:val="20"/>
                <w:szCs w:val="20"/>
                <w:vertAlign w:val="superscript"/>
              </w:rPr>
              <w:footnoteReference w:id="4"/>
            </w:r>
          </w:p>
          <w:p w14:paraId="3F093B82" w14:textId="77777777" w:rsidR="003D7DE6" w:rsidRPr="006A60CF" w:rsidRDefault="003D7DE6" w:rsidP="00E32E27">
            <w:pPr>
              <w:jc w:val="center"/>
              <w:rPr>
                <w:rFonts w:eastAsia="Calibri"/>
                <w:b/>
                <w:sz w:val="20"/>
                <w:szCs w:val="20"/>
              </w:rPr>
            </w:pPr>
            <w:r w:rsidRPr="006A60CF">
              <w:rPr>
                <w:rFonts w:eastAsia="Calibri"/>
                <w:b/>
                <w:sz w:val="20"/>
                <w:szCs w:val="20"/>
              </w:rPr>
              <w:t>(4)</w:t>
            </w:r>
          </w:p>
        </w:tc>
        <w:tc>
          <w:tcPr>
            <w:tcW w:w="657" w:type="pct"/>
            <w:shd w:val="clear" w:color="auto" w:fill="D9D9D9"/>
            <w:vAlign w:val="bottom"/>
          </w:tcPr>
          <w:p w14:paraId="603CB0CF" w14:textId="77777777" w:rsidR="003D7DE6" w:rsidRPr="006A60CF" w:rsidRDefault="003D7DE6" w:rsidP="00E32E27">
            <w:pPr>
              <w:jc w:val="center"/>
              <w:rPr>
                <w:rFonts w:eastAsia="Calibri"/>
                <w:b/>
                <w:sz w:val="20"/>
                <w:szCs w:val="20"/>
              </w:rPr>
            </w:pPr>
            <w:r w:rsidRPr="006A60CF">
              <w:rPr>
                <w:rFonts w:eastAsia="Calibri"/>
                <w:b/>
                <w:sz w:val="20"/>
                <w:szCs w:val="20"/>
              </w:rPr>
              <w:t>Total Annual B</w:t>
            </w:r>
            <w:r>
              <w:rPr>
                <w:rFonts w:eastAsia="Calibri"/>
                <w:b/>
                <w:sz w:val="20"/>
                <w:szCs w:val="20"/>
              </w:rPr>
              <w:t xml:space="preserve">urden Hours &amp; </w:t>
            </w:r>
            <w:r w:rsidRPr="006A60CF">
              <w:rPr>
                <w:rFonts w:eastAsia="Calibri"/>
                <w:b/>
                <w:sz w:val="20"/>
                <w:szCs w:val="20"/>
              </w:rPr>
              <w:t>Total Annual Cost</w:t>
            </w:r>
          </w:p>
          <w:p w14:paraId="1357D316" w14:textId="77777777" w:rsidR="003D7DE6" w:rsidRPr="006A60CF" w:rsidRDefault="003D7DE6" w:rsidP="00E32E27">
            <w:pPr>
              <w:jc w:val="center"/>
              <w:rPr>
                <w:rFonts w:eastAsia="Calibri"/>
                <w:b/>
                <w:sz w:val="20"/>
                <w:szCs w:val="20"/>
              </w:rPr>
            </w:pPr>
            <w:r w:rsidRPr="006A60CF">
              <w:rPr>
                <w:rFonts w:eastAsia="Calibri"/>
                <w:b/>
                <w:sz w:val="20"/>
                <w:szCs w:val="20"/>
              </w:rPr>
              <w:t>(3)*(4)=(5)</w:t>
            </w:r>
          </w:p>
        </w:tc>
        <w:tc>
          <w:tcPr>
            <w:tcW w:w="616" w:type="pct"/>
            <w:shd w:val="clear" w:color="auto" w:fill="D9D9D9"/>
            <w:vAlign w:val="bottom"/>
          </w:tcPr>
          <w:p w14:paraId="2B49BD53" w14:textId="77777777" w:rsidR="003D7DE6" w:rsidRPr="006A60CF" w:rsidRDefault="003D7DE6" w:rsidP="00E32E27">
            <w:pPr>
              <w:jc w:val="center"/>
              <w:rPr>
                <w:rFonts w:eastAsia="Calibri"/>
                <w:b/>
                <w:sz w:val="20"/>
                <w:szCs w:val="20"/>
              </w:rPr>
            </w:pPr>
            <w:r w:rsidRPr="006A60CF">
              <w:rPr>
                <w:rFonts w:eastAsia="Calibri"/>
                <w:b/>
                <w:sz w:val="20"/>
                <w:szCs w:val="20"/>
              </w:rPr>
              <w:t>Cost per Respondent</w:t>
            </w:r>
          </w:p>
          <w:p w14:paraId="46F0D3D2" w14:textId="77777777" w:rsidR="003D7DE6" w:rsidRPr="006A60CF" w:rsidRDefault="003D7DE6" w:rsidP="00E32E27">
            <w:pPr>
              <w:jc w:val="center"/>
              <w:rPr>
                <w:rFonts w:eastAsia="Calibri"/>
                <w:b/>
                <w:sz w:val="20"/>
                <w:szCs w:val="20"/>
              </w:rPr>
            </w:pPr>
            <w:r w:rsidRPr="006A60CF">
              <w:rPr>
                <w:rFonts w:eastAsia="Calibri"/>
                <w:b/>
                <w:sz w:val="20"/>
                <w:szCs w:val="20"/>
              </w:rPr>
              <w:t xml:space="preserve"> ($)</w:t>
            </w:r>
          </w:p>
          <w:p w14:paraId="1FFB01BF" w14:textId="77777777" w:rsidR="003D7DE6" w:rsidRPr="006A60CF" w:rsidRDefault="003D7DE6" w:rsidP="00E32E27">
            <w:pPr>
              <w:jc w:val="center"/>
              <w:rPr>
                <w:rFonts w:eastAsia="Calibri"/>
                <w:b/>
                <w:sz w:val="20"/>
                <w:szCs w:val="20"/>
              </w:rPr>
            </w:pPr>
            <w:r w:rsidRPr="006A60CF">
              <w:rPr>
                <w:rFonts w:eastAsia="Calibri"/>
                <w:b/>
                <w:sz w:val="20"/>
                <w:szCs w:val="20"/>
              </w:rPr>
              <w:t>(5)÷(1)</w:t>
            </w:r>
          </w:p>
        </w:tc>
        <w:bookmarkStart w:id="1" w:name="_GoBack"/>
        <w:bookmarkEnd w:id="1"/>
      </w:tr>
      <w:tr w:rsidR="003D7DE6" w:rsidRPr="00D77538" w14:paraId="1EF92C33" w14:textId="77777777" w:rsidTr="00E32E27">
        <w:trPr>
          <w:cantSplit/>
        </w:trPr>
        <w:tc>
          <w:tcPr>
            <w:tcW w:w="878" w:type="pct"/>
          </w:tcPr>
          <w:p w14:paraId="4A101636" w14:textId="77777777" w:rsidR="003D7DE6" w:rsidRPr="006A60CF" w:rsidRDefault="003D7DE6" w:rsidP="00E32E27">
            <w:pPr>
              <w:rPr>
                <w:rFonts w:eastAsia="Calibri"/>
                <w:sz w:val="20"/>
                <w:szCs w:val="20"/>
              </w:rPr>
            </w:pPr>
            <w:r>
              <w:rPr>
                <w:rFonts w:eastAsia="Calibri"/>
                <w:sz w:val="20"/>
                <w:szCs w:val="20"/>
              </w:rPr>
              <w:t>Natural Gas Pipelines</w:t>
            </w:r>
          </w:p>
        </w:tc>
        <w:tc>
          <w:tcPr>
            <w:tcW w:w="746" w:type="pct"/>
          </w:tcPr>
          <w:p w14:paraId="6630E890" w14:textId="77777777" w:rsidR="003D7DE6" w:rsidRPr="006A60CF" w:rsidRDefault="003D7DE6" w:rsidP="00E32E27">
            <w:pPr>
              <w:jc w:val="right"/>
              <w:rPr>
                <w:rFonts w:eastAsia="Calibri"/>
                <w:sz w:val="20"/>
                <w:szCs w:val="20"/>
              </w:rPr>
            </w:pPr>
            <w:r>
              <w:rPr>
                <w:rFonts w:eastAsia="Calibri"/>
                <w:sz w:val="20"/>
                <w:szCs w:val="20"/>
              </w:rPr>
              <w:t>11</w:t>
            </w:r>
          </w:p>
          <w:p w14:paraId="7D56B912" w14:textId="77777777" w:rsidR="003D7DE6" w:rsidRPr="006A60CF" w:rsidRDefault="003D7DE6" w:rsidP="00E32E27">
            <w:pPr>
              <w:jc w:val="right"/>
              <w:rPr>
                <w:rFonts w:eastAsia="Calibri"/>
                <w:sz w:val="20"/>
                <w:szCs w:val="20"/>
              </w:rPr>
            </w:pPr>
          </w:p>
        </w:tc>
        <w:tc>
          <w:tcPr>
            <w:tcW w:w="746" w:type="pct"/>
          </w:tcPr>
          <w:p w14:paraId="0306E2CD" w14:textId="77777777" w:rsidR="003D7DE6" w:rsidRPr="006A60CF" w:rsidRDefault="003D7DE6" w:rsidP="00E32E27">
            <w:pPr>
              <w:jc w:val="right"/>
              <w:rPr>
                <w:rFonts w:eastAsia="Calibri"/>
                <w:sz w:val="20"/>
                <w:szCs w:val="20"/>
              </w:rPr>
            </w:pPr>
            <w:r>
              <w:rPr>
                <w:rFonts w:eastAsia="Calibri"/>
                <w:sz w:val="20"/>
                <w:szCs w:val="20"/>
              </w:rPr>
              <w:t>1</w:t>
            </w:r>
          </w:p>
        </w:tc>
        <w:tc>
          <w:tcPr>
            <w:tcW w:w="703" w:type="pct"/>
          </w:tcPr>
          <w:p w14:paraId="3A377E4E" w14:textId="77777777" w:rsidR="003D7DE6" w:rsidRPr="006A60CF" w:rsidRDefault="003D7DE6" w:rsidP="00E32E27">
            <w:pPr>
              <w:jc w:val="right"/>
              <w:rPr>
                <w:rFonts w:eastAsia="Calibri"/>
                <w:sz w:val="20"/>
                <w:szCs w:val="20"/>
              </w:rPr>
            </w:pPr>
            <w:r>
              <w:rPr>
                <w:rFonts w:eastAsia="Calibri"/>
                <w:sz w:val="20"/>
                <w:szCs w:val="20"/>
              </w:rPr>
              <w:t>11</w:t>
            </w:r>
          </w:p>
        </w:tc>
        <w:tc>
          <w:tcPr>
            <w:tcW w:w="654" w:type="pct"/>
          </w:tcPr>
          <w:p w14:paraId="7DF55A24" w14:textId="77777777" w:rsidR="003D7DE6" w:rsidRPr="006A60CF" w:rsidRDefault="003D7DE6" w:rsidP="00E32E27">
            <w:pPr>
              <w:jc w:val="right"/>
              <w:rPr>
                <w:rFonts w:eastAsia="Calibri"/>
                <w:sz w:val="20"/>
                <w:szCs w:val="20"/>
              </w:rPr>
            </w:pPr>
            <w:r>
              <w:rPr>
                <w:rFonts w:eastAsia="Calibri"/>
                <w:sz w:val="20"/>
                <w:szCs w:val="20"/>
              </w:rPr>
              <w:t>75 hrs.;</w:t>
            </w:r>
          </w:p>
          <w:p w14:paraId="489005D2" w14:textId="77777777" w:rsidR="003D7DE6" w:rsidRPr="006A60CF" w:rsidRDefault="003D7DE6" w:rsidP="00E32E27">
            <w:pPr>
              <w:jc w:val="right"/>
              <w:rPr>
                <w:rFonts w:eastAsia="Calibri"/>
                <w:sz w:val="20"/>
                <w:szCs w:val="20"/>
              </w:rPr>
            </w:pPr>
            <w:r>
              <w:rPr>
                <w:rFonts w:eastAsia="Calibri"/>
                <w:sz w:val="20"/>
                <w:szCs w:val="20"/>
              </w:rPr>
              <w:t>$5,587.50</w:t>
            </w:r>
          </w:p>
        </w:tc>
        <w:tc>
          <w:tcPr>
            <w:tcW w:w="657" w:type="pct"/>
          </w:tcPr>
          <w:p w14:paraId="583C351C" w14:textId="77777777" w:rsidR="003D7DE6" w:rsidRPr="006A60CF" w:rsidRDefault="003D7DE6" w:rsidP="00E32E27">
            <w:pPr>
              <w:jc w:val="right"/>
              <w:rPr>
                <w:rFonts w:eastAsia="Calibri"/>
                <w:sz w:val="20"/>
                <w:szCs w:val="20"/>
              </w:rPr>
            </w:pPr>
            <w:r>
              <w:rPr>
                <w:rFonts w:eastAsia="Calibri"/>
                <w:sz w:val="20"/>
                <w:szCs w:val="20"/>
              </w:rPr>
              <w:t xml:space="preserve"> 825 hrs.;</w:t>
            </w:r>
          </w:p>
          <w:p w14:paraId="18CE5BA0" w14:textId="77777777" w:rsidR="003D7DE6" w:rsidRPr="006A60CF" w:rsidRDefault="003D7DE6" w:rsidP="00E32E27">
            <w:pPr>
              <w:jc w:val="right"/>
              <w:rPr>
                <w:rFonts w:eastAsia="Calibri"/>
                <w:sz w:val="20"/>
                <w:szCs w:val="20"/>
              </w:rPr>
            </w:pPr>
            <w:r>
              <w:rPr>
                <w:rFonts w:eastAsia="Calibri"/>
                <w:sz w:val="20"/>
                <w:szCs w:val="20"/>
              </w:rPr>
              <w:t>$61,462.50</w:t>
            </w:r>
            <w:r w:rsidRPr="006A60CF">
              <w:rPr>
                <w:rFonts w:eastAsia="Calibri"/>
                <w:sz w:val="20"/>
                <w:szCs w:val="20"/>
              </w:rPr>
              <w:t xml:space="preserve"> </w:t>
            </w:r>
          </w:p>
        </w:tc>
        <w:tc>
          <w:tcPr>
            <w:tcW w:w="616" w:type="pct"/>
          </w:tcPr>
          <w:p w14:paraId="3F9DC48B" w14:textId="77777777" w:rsidR="003D7DE6" w:rsidRPr="006A60CF" w:rsidRDefault="003D7DE6" w:rsidP="00E32E27">
            <w:pPr>
              <w:jc w:val="right"/>
              <w:rPr>
                <w:rFonts w:eastAsia="Calibri"/>
                <w:sz w:val="20"/>
                <w:szCs w:val="20"/>
              </w:rPr>
            </w:pPr>
            <w:r>
              <w:rPr>
                <w:rFonts w:eastAsia="Calibri"/>
                <w:sz w:val="20"/>
                <w:szCs w:val="20"/>
              </w:rPr>
              <w:t>$5,587.50</w:t>
            </w:r>
            <w:r w:rsidRPr="006A60CF">
              <w:rPr>
                <w:rFonts w:eastAsia="Calibri"/>
                <w:sz w:val="20"/>
                <w:szCs w:val="20"/>
              </w:rPr>
              <w:t xml:space="preserve"> </w:t>
            </w:r>
          </w:p>
          <w:p w14:paraId="2289E3E9" w14:textId="77777777" w:rsidR="003D7DE6" w:rsidRPr="006A60CF" w:rsidRDefault="003D7DE6" w:rsidP="00E32E27">
            <w:pPr>
              <w:jc w:val="right"/>
              <w:rPr>
                <w:rFonts w:eastAsia="Calibri"/>
                <w:sz w:val="20"/>
                <w:szCs w:val="20"/>
              </w:rPr>
            </w:pPr>
          </w:p>
        </w:tc>
      </w:tr>
    </w:tbl>
    <w:p w14:paraId="1C3AB85B" w14:textId="3F269ABA" w:rsidR="00BB6095" w:rsidRPr="00BB6095" w:rsidRDefault="00BB6095" w:rsidP="00BB6095">
      <w:pPr>
        <w:pStyle w:val="FERCparanumber"/>
        <w:numPr>
          <w:ilvl w:val="0"/>
          <w:numId w:val="0"/>
        </w:numPr>
        <w:rPr>
          <w:sz w:val="24"/>
        </w:rPr>
      </w:pPr>
    </w:p>
    <w:p w14:paraId="13BF2A57" w14:textId="77777777" w:rsidR="009D6B6D" w:rsidRPr="00EF40FF" w:rsidRDefault="00BB6095" w:rsidP="001D2EC1">
      <w:pPr>
        <w:pStyle w:val="FERCparanumber"/>
        <w:numPr>
          <w:ilvl w:val="0"/>
          <w:numId w:val="7"/>
        </w:numPr>
        <w:rPr>
          <w:sz w:val="24"/>
        </w:rPr>
      </w:pPr>
      <w:r w:rsidRPr="001D2EC1">
        <w:rPr>
          <w:b/>
          <w:sz w:val="24"/>
        </w:rPr>
        <w:t>ESTIMATE OF THE TOTAL ANNUAL COST BURDEN TO RESPONDENTS</w:t>
      </w:r>
    </w:p>
    <w:p w14:paraId="27C816AF" w14:textId="77777777" w:rsidR="00EF40FF" w:rsidRDefault="00EF40FF" w:rsidP="00EF40FF">
      <w:pPr>
        <w:pStyle w:val="FERCparanumber"/>
        <w:numPr>
          <w:ilvl w:val="0"/>
          <w:numId w:val="0"/>
        </w:numPr>
        <w:rPr>
          <w:b/>
          <w:sz w:val="24"/>
        </w:rPr>
      </w:pPr>
    </w:p>
    <w:p w14:paraId="421B1190" w14:textId="77777777" w:rsidR="00432DA3" w:rsidRDefault="00432DA3" w:rsidP="00432DA3">
      <w:pPr>
        <w:widowControl/>
      </w:pPr>
      <w:r>
        <w:t>There are no non-labor start-up costs. All costs are related to burden hours and are addressed in Questions #12 and #15.</w:t>
      </w:r>
    </w:p>
    <w:p w14:paraId="237DA0EC" w14:textId="77777777" w:rsidR="00EF40FF" w:rsidRPr="00EF40FF" w:rsidRDefault="00EF40FF" w:rsidP="00EF40FF">
      <w:pPr>
        <w:pStyle w:val="FERCparanumber"/>
        <w:numPr>
          <w:ilvl w:val="0"/>
          <w:numId w:val="0"/>
        </w:numPr>
        <w:rPr>
          <w:sz w:val="24"/>
        </w:rPr>
      </w:pPr>
    </w:p>
    <w:p w14:paraId="25934EE2" w14:textId="77777777" w:rsidR="00EF40FF" w:rsidRDefault="00EF40FF" w:rsidP="001D2EC1">
      <w:pPr>
        <w:pStyle w:val="FERCparanumber"/>
        <w:numPr>
          <w:ilvl w:val="0"/>
          <w:numId w:val="7"/>
        </w:numPr>
        <w:rPr>
          <w:b/>
          <w:sz w:val="24"/>
        </w:rPr>
      </w:pPr>
      <w:r w:rsidRPr="00EF40FF">
        <w:rPr>
          <w:b/>
          <w:sz w:val="24"/>
        </w:rPr>
        <w:t>ESTIMATED ANNUALIZED COST TO FEDERAL GOVERNMENT</w:t>
      </w:r>
    </w:p>
    <w:p w14:paraId="1F460314" w14:textId="77777777" w:rsidR="00EF40FF" w:rsidRDefault="00EF40FF" w:rsidP="00EF40FF">
      <w:pPr>
        <w:pStyle w:val="FERCparanumber"/>
        <w:numPr>
          <w:ilvl w:val="0"/>
          <w:numId w:val="0"/>
        </w:numPr>
        <w:rPr>
          <w:b/>
          <w:sz w:val="24"/>
        </w:rPr>
      </w:pPr>
    </w:p>
    <w:p w14:paraId="5BF0DAF9" w14:textId="77777777" w:rsidR="00EF40FF" w:rsidRPr="001D2EC1"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1D2EC1" w14:paraId="6C55F3AE" w14:textId="77777777" w:rsidTr="00D97B44">
        <w:tc>
          <w:tcPr>
            <w:tcW w:w="1756" w:type="pct"/>
            <w:shd w:val="clear" w:color="auto" w:fill="D9D9D9"/>
            <w:vAlign w:val="center"/>
          </w:tcPr>
          <w:p w14:paraId="420D71F3" w14:textId="30637547" w:rsidR="00EF40FF" w:rsidRPr="001D2EC1" w:rsidRDefault="003D7DE6" w:rsidP="00D97B44">
            <w:pPr>
              <w:pStyle w:val="ListParagraph"/>
              <w:spacing w:after="0" w:line="240" w:lineRule="auto"/>
              <w:ind w:left="0"/>
              <w:rPr>
                <w:rFonts w:ascii="Times New Roman" w:hAnsi="Times New Roman"/>
                <w:b/>
                <w:sz w:val="24"/>
                <w:szCs w:val="24"/>
              </w:rPr>
            </w:pPr>
            <w:r>
              <w:rPr>
                <w:rFonts w:ascii="Times New Roman" w:hAnsi="Times New Roman"/>
                <w:b/>
                <w:sz w:val="24"/>
                <w:szCs w:val="24"/>
              </w:rPr>
              <w:t>FERC-547</w:t>
            </w:r>
          </w:p>
        </w:tc>
        <w:tc>
          <w:tcPr>
            <w:tcW w:w="1627" w:type="pct"/>
            <w:shd w:val="clear" w:color="auto" w:fill="D9D9D9"/>
            <w:vAlign w:val="center"/>
          </w:tcPr>
          <w:p w14:paraId="18D95BE9"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1D2EC1" w:rsidRDefault="00EF40FF" w:rsidP="00D97B44">
            <w:pPr>
              <w:pStyle w:val="ListParagraph"/>
              <w:spacing w:after="0" w:line="240" w:lineRule="auto"/>
              <w:ind w:left="0"/>
              <w:jc w:val="center"/>
              <w:rPr>
                <w:rFonts w:ascii="Times New Roman" w:hAnsi="Times New Roman"/>
                <w:b/>
                <w:sz w:val="24"/>
                <w:szCs w:val="24"/>
              </w:rPr>
            </w:pPr>
            <w:r w:rsidRPr="001D2EC1">
              <w:rPr>
                <w:rFonts w:ascii="Times New Roman" w:hAnsi="Times New Roman"/>
                <w:b/>
                <w:sz w:val="24"/>
                <w:szCs w:val="24"/>
              </w:rPr>
              <w:t>Estimated Annual Federal Cost</w:t>
            </w:r>
          </w:p>
        </w:tc>
      </w:tr>
      <w:tr w:rsidR="00EF40FF" w:rsidRPr="001D2EC1" w14:paraId="73366A6A" w14:textId="77777777" w:rsidTr="00D97B44">
        <w:tc>
          <w:tcPr>
            <w:tcW w:w="1756" w:type="pct"/>
            <w:shd w:val="clear" w:color="auto" w:fill="auto"/>
            <w:vAlign w:val="center"/>
          </w:tcPr>
          <w:p w14:paraId="38725E63"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Analysis and Processing of Filings</w:t>
            </w:r>
            <w:r w:rsidRPr="001D2EC1">
              <w:rPr>
                <w:rStyle w:val="FootnoteReference"/>
                <w:rFonts w:ascii="Times New Roman" w:hAnsi="Times New Roman"/>
                <w:sz w:val="24"/>
                <w:szCs w:val="24"/>
                <w:vertAlign w:val="superscript"/>
              </w:rPr>
              <w:footnoteReference w:id="5"/>
            </w:r>
          </w:p>
        </w:tc>
        <w:tc>
          <w:tcPr>
            <w:tcW w:w="1627" w:type="pct"/>
            <w:shd w:val="clear" w:color="auto" w:fill="auto"/>
            <w:vAlign w:val="center"/>
          </w:tcPr>
          <w:p w14:paraId="169BBF54" w14:textId="5DE85BA8" w:rsidR="00EF40FF" w:rsidRPr="001D2EC1" w:rsidRDefault="003D7DE6"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0.5</w:t>
            </w:r>
          </w:p>
        </w:tc>
        <w:tc>
          <w:tcPr>
            <w:tcW w:w="1617" w:type="pct"/>
            <w:shd w:val="clear" w:color="auto" w:fill="auto"/>
            <w:vAlign w:val="center"/>
          </w:tcPr>
          <w:p w14:paraId="7007B84E" w14:textId="4A91C5E3" w:rsidR="00EF40FF" w:rsidRPr="001D2EC1" w:rsidRDefault="006B0369"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3D7DE6">
              <w:rPr>
                <w:rFonts w:ascii="Times New Roman" w:hAnsi="Times New Roman"/>
                <w:sz w:val="24"/>
                <w:szCs w:val="24"/>
              </w:rPr>
              <w:t>77,324</w:t>
            </w:r>
          </w:p>
        </w:tc>
      </w:tr>
      <w:tr w:rsidR="00EF40FF" w:rsidRPr="001D2EC1" w14:paraId="7009D51E" w14:textId="77777777" w:rsidTr="00D97B44">
        <w:tc>
          <w:tcPr>
            <w:tcW w:w="1756" w:type="pct"/>
            <w:shd w:val="clear" w:color="auto" w:fill="auto"/>
            <w:vAlign w:val="center"/>
          </w:tcPr>
          <w:p w14:paraId="099D5BDF"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PRA</w:t>
            </w:r>
            <w:r w:rsidRPr="001D2EC1">
              <w:rPr>
                <w:rStyle w:val="FootnoteReference"/>
                <w:rFonts w:ascii="Times New Roman" w:hAnsi="Times New Roman"/>
                <w:sz w:val="24"/>
                <w:szCs w:val="24"/>
                <w:vertAlign w:val="superscript"/>
              </w:rPr>
              <w:footnoteReference w:id="6"/>
            </w:r>
            <w:r w:rsidRPr="001D2EC1">
              <w:rPr>
                <w:rFonts w:ascii="Times New Roman" w:hAnsi="Times New Roman"/>
                <w:sz w:val="24"/>
                <w:szCs w:val="24"/>
              </w:rPr>
              <w:t xml:space="preserve"> Administrative Cost</w:t>
            </w:r>
            <w:r w:rsidRPr="001D2EC1">
              <w:rPr>
                <w:rStyle w:val="FootnoteReference"/>
                <w:rFonts w:ascii="Times New Roman" w:hAnsi="Times New Roman"/>
                <w:sz w:val="24"/>
                <w:szCs w:val="24"/>
                <w:vertAlign w:val="superscript"/>
              </w:rPr>
              <w:footnoteReference w:id="7"/>
            </w:r>
          </w:p>
        </w:tc>
        <w:tc>
          <w:tcPr>
            <w:tcW w:w="1627" w:type="pct"/>
            <w:shd w:val="clear" w:color="auto" w:fill="D9D9D9"/>
            <w:vAlign w:val="center"/>
          </w:tcPr>
          <w:p w14:paraId="74DA3B1F"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1D2EC1" w:rsidRDefault="006441AD"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$5,481</w:t>
            </w:r>
          </w:p>
        </w:tc>
      </w:tr>
      <w:tr w:rsidR="00EF40FF" w:rsidRPr="001D2EC1" w14:paraId="0A5B5FA9" w14:textId="77777777" w:rsidTr="00D97B44">
        <w:tc>
          <w:tcPr>
            <w:tcW w:w="1756" w:type="pct"/>
            <w:shd w:val="clear" w:color="auto" w:fill="auto"/>
            <w:vAlign w:val="center"/>
          </w:tcPr>
          <w:p w14:paraId="4441CC05" w14:textId="77777777" w:rsidR="00EF40FF" w:rsidRPr="001D2EC1" w:rsidRDefault="00EF40FF" w:rsidP="00D97B44">
            <w:pPr>
              <w:pStyle w:val="ListParagraph"/>
              <w:spacing w:after="0" w:line="240" w:lineRule="auto"/>
              <w:ind w:left="0"/>
              <w:rPr>
                <w:rFonts w:ascii="Times New Roman" w:hAnsi="Times New Roman"/>
                <w:sz w:val="24"/>
                <w:szCs w:val="24"/>
              </w:rPr>
            </w:pPr>
            <w:r w:rsidRPr="001D2EC1">
              <w:rPr>
                <w:rFonts w:ascii="Times New Roman" w:hAnsi="Times New Roman"/>
                <w:sz w:val="24"/>
                <w:szCs w:val="24"/>
              </w:rPr>
              <w:t>FERC Total</w:t>
            </w:r>
          </w:p>
        </w:tc>
        <w:tc>
          <w:tcPr>
            <w:tcW w:w="1627" w:type="pct"/>
            <w:shd w:val="clear" w:color="auto" w:fill="D9D9D9"/>
            <w:vAlign w:val="center"/>
          </w:tcPr>
          <w:p w14:paraId="2B3CB9DA" w14:textId="77777777" w:rsidR="00EF40FF" w:rsidRPr="001D2EC1"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173F8644" w:rsidR="00EF40FF" w:rsidRPr="001D2EC1" w:rsidRDefault="00714117" w:rsidP="00D97B44">
            <w:pPr>
              <w:pStyle w:val="ListParagraph"/>
              <w:spacing w:after="0" w:line="240" w:lineRule="auto"/>
              <w:ind w:left="0"/>
              <w:jc w:val="right"/>
              <w:rPr>
                <w:rFonts w:ascii="Times New Roman" w:hAnsi="Times New Roman"/>
                <w:sz w:val="24"/>
                <w:szCs w:val="24"/>
              </w:rPr>
            </w:pPr>
            <w:r>
              <w:rPr>
                <w:rFonts w:ascii="Times New Roman" w:hAnsi="Times New Roman"/>
                <w:sz w:val="24"/>
                <w:szCs w:val="24"/>
              </w:rPr>
              <w:t>$</w:t>
            </w:r>
            <w:r w:rsidR="003D7DE6">
              <w:rPr>
                <w:rFonts w:ascii="Times New Roman" w:hAnsi="Times New Roman"/>
                <w:sz w:val="24"/>
                <w:szCs w:val="24"/>
              </w:rPr>
              <w:t>82,805</w:t>
            </w:r>
          </w:p>
        </w:tc>
      </w:tr>
    </w:tbl>
    <w:p w14:paraId="49B9BB07" w14:textId="77777777" w:rsidR="003866AD" w:rsidRPr="001D2EC1" w:rsidRDefault="003866AD" w:rsidP="00EF40FF">
      <w:pPr>
        <w:pStyle w:val="ListParagraph"/>
        <w:spacing w:after="0" w:line="240" w:lineRule="auto"/>
        <w:rPr>
          <w:rFonts w:ascii="Times New Roman" w:hAnsi="Times New Roman"/>
          <w:b/>
          <w:sz w:val="24"/>
          <w:szCs w:val="24"/>
        </w:rPr>
      </w:pPr>
    </w:p>
    <w:p w14:paraId="162A5185" w14:textId="77777777" w:rsidR="00EF40FF" w:rsidRPr="00EF40FF" w:rsidRDefault="00EF40FF" w:rsidP="00EF40FF">
      <w:r w:rsidRPr="001D2EC1">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Default="00EF40FF" w:rsidP="00EF40FF">
      <w:pPr>
        <w:pStyle w:val="FERCparanumber"/>
        <w:numPr>
          <w:ilvl w:val="0"/>
          <w:numId w:val="0"/>
        </w:numPr>
        <w:rPr>
          <w:b/>
          <w:sz w:val="24"/>
        </w:rPr>
      </w:pPr>
    </w:p>
    <w:p w14:paraId="652E2E2C" w14:textId="77777777" w:rsidR="00EF40FF" w:rsidRDefault="00EF40FF" w:rsidP="001D2EC1">
      <w:pPr>
        <w:pStyle w:val="FERCparanumber"/>
        <w:numPr>
          <w:ilvl w:val="0"/>
          <w:numId w:val="7"/>
        </w:numPr>
        <w:rPr>
          <w:b/>
          <w:sz w:val="24"/>
        </w:rPr>
      </w:pPr>
      <w:r w:rsidRPr="001D2EC1">
        <w:rPr>
          <w:b/>
          <w:sz w:val="24"/>
        </w:rPr>
        <w:t>REASONS FOR CHANGES IN BURDEN INCLUDING THE NEED FOR ANY INCREASE</w:t>
      </w:r>
    </w:p>
    <w:p w14:paraId="37AE29EC" w14:textId="77777777" w:rsidR="00EF40FF" w:rsidRDefault="00EF40FF" w:rsidP="00EF40FF">
      <w:pPr>
        <w:pStyle w:val="FERCparanumber"/>
        <w:numPr>
          <w:ilvl w:val="0"/>
          <w:numId w:val="0"/>
        </w:numPr>
        <w:rPr>
          <w:b/>
          <w:sz w:val="24"/>
        </w:rPr>
      </w:pPr>
    </w:p>
    <w:p w14:paraId="06192D7C" w14:textId="3AD03E2B" w:rsidR="00545B62" w:rsidRDefault="000541E0" w:rsidP="001D1355">
      <w:r>
        <w:t>The Commission is making no changes to reporting requirements or the resultant burden estimate.</w:t>
      </w:r>
    </w:p>
    <w:p w14:paraId="37F0AF8F" w14:textId="77777777" w:rsidR="00F9384F" w:rsidRDefault="00F9384F" w:rsidP="00EF40FF">
      <w:pPr>
        <w:widowControl/>
      </w:pPr>
    </w:p>
    <w:p w14:paraId="0EF2A067" w14:textId="48B6D972" w:rsidR="00545B62" w:rsidRPr="00545B62" w:rsidRDefault="00545B62" w:rsidP="00545B62">
      <w:pPr>
        <w:rPr>
          <w:szCs w:val="26"/>
        </w:rPr>
      </w:pPr>
      <w:r>
        <w:rPr>
          <w:szCs w:val="26"/>
        </w:rPr>
        <w:t xml:space="preserve">The following table shows the </w:t>
      </w:r>
      <w:r w:rsidR="00607DF1">
        <w:rPr>
          <w:szCs w:val="26"/>
        </w:rPr>
        <w:t xml:space="preserve">annual </w:t>
      </w:r>
      <w:r>
        <w:rPr>
          <w:szCs w:val="26"/>
        </w:rPr>
        <w:t>total burden of the collection of information.  The format, labels, and definitions of the table follow the ROCIS submission system’s “Information Collection Request Summary of Burden” for the metadata.</w:t>
      </w:r>
    </w:p>
    <w:p w14:paraId="0D00454B" w14:textId="77777777" w:rsidR="00EF40FF" w:rsidRPr="001D2EC1" w:rsidRDefault="00EF40FF" w:rsidP="00EF40FF">
      <w:pPr>
        <w:widowControl/>
        <w:tabs>
          <w:tab w:val="left" w:pos="2394"/>
        </w:tabs>
      </w:pPr>
      <w:r w:rsidRPr="001D2EC1">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1D2EC1" w14:paraId="46C4A5B4" w14:textId="77777777" w:rsidTr="00D97B44">
        <w:trPr>
          <w:trHeight w:val="870"/>
        </w:trPr>
        <w:tc>
          <w:tcPr>
            <w:tcW w:w="1442" w:type="pct"/>
            <w:shd w:val="clear" w:color="auto" w:fill="D9D9D9"/>
            <w:vAlign w:val="bottom"/>
          </w:tcPr>
          <w:p w14:paraId="5E6F18B9" w14:textId="2540B150" w:rsidR="00EF40FF" w:rsidRPr="001D2EC1" w:rsidRDefault="001D1355" w:rsidP="00D97B44">
            <w:pPr>
              <w:jc w:val="center"/>
              <w:rPr>
                <w:b/>
              </w:rPr>
            </w:pPr>
            <w:r>
              <w:rPr>
                <w:b/>
              </w:rPr>
              <w:lastRenderedPageBreak/>
              <w:t>F</w:t>
            </w:r>
            <w:r w:rsidR="003D7DE6">
              <w:rPr>
                <w:b/>
              </w:rPr>
              <w:t>ERC-547</w:t>
            </w:r>
          </w:p>
        </w:tc>
        <w:tc>
          <w:tcPr>
            <w:tcW w:w="829" w:type="pct"/>
            <w:shd w:val="clear" w:color="auto" w:fill="D9D9D9"/>
            <w:vAlign w:val="bottom"/>
          </w:tcPr>
          <w:p w14:paraId="6714602C" w14:textId="77777777" w:rsidR="00EF40FF" w:rsidRPr="001D2EC1" w:rsidRDefault="00EF40FF" w:rsidP="00D97B44">
            <w:pPr>
              <w:jc w:val="center"/>
              <w:rPr>
                <w:b/>
              </w:rPr>
            </w:pPr>
            <w:r w:rsidRPr="001D2EC1">
              <w:rPr>
                <w:b/>
              </w:rPr>
              <w:t>Total Request</w:t>
            </w:r>
          </w:p>
        </w:tc>
        <w:tc>
          <w:tcPr>
            <w:tcW w:w="854" w:type="pct"/>
            <w:shd w:val="clear" w:color="auto" w:fill="D9D9D9"/>
            <w:vAlign w:val="bottom"/>
          </w:tcPr>
          <w:p w14:paraId="13BA7890" w14:textId="77777777" w:rsidR="00EF40FF" w:rsidRPr="001D2EC1" w:rsidRDefault="00EF40FF" w:rsidP="00D97B44">
            <w:pPr>
              <w:jc w:val="center"/>
              <w:rPr>
                <w:b/>
              </w:rPr>
            </w:pPr>
            <w:r w:rsidRPr="001D2EC1">
              <w:rPr>
                <w:b/>
              </w:rPr>
              <w:t>Previously Approved</w:t>
            </w:r>
          </w:p>
        </w:tc>
        <w:tc>
          <w:tcPr>
            <w:tcW w:w="1010" w:type="pct"/>
            <w:shd w:val="clear" w:color="auto" w:fill="D9D9D9"/>
            <w:vAlign w:val="bottom"/>
          </w:tcPr>
          <w:p w14:paraId="73AFFA76" w14:textId="77777777" w:rsidR="00EF40FF" w:rsidRPr="001D2EC1" w:rsidRDefault="00EF40FF" w:rsidP="00D97B44">
            <w:pPr>
              <w:jc w:val="center"/>
              <w:rPr>
                <w:b/>
              </w:rPr>
            </w:pPr>
            <w:r w:rsidRPr="001D2EC1">
              <w:rPr>
                <w:b/>
              </w:rPr>
              <w:t>Change due to Adjustment in Estimate</w:t>
            </w:r>
          </w:p>
        </w:tc>
        <w:tc>
          <w:tcPr>
            <w:tcW w:w="865" w:type="pct"/>
            <w:shd w:val="clear" w:color="auto" w:fill="D9D9D9"/>
            <w:vAlign w:val="bottom"/>
          </w:tcPr>
          <w:p w14:paraId="41286C04" w14:textId="77777777" w:rsidR="00EF40FF" w:rsidRPr="001D2EC1" w:rsidRDefault="00EF40FF" w:rsidP="00D97B44">
            <w:pPr>
              <w:jc w:val="center"/>
              <w:rPr>
                <w:b/>
              </w:rPr>
            </w:pPr>
            <w:r w:rsidRPr="001D2EC1">
              <w:rPr>
                <w:b/>
              </w:rPr>
              <w:t>Change Due to Agency Discretion</w:t>
            </w:r>
          </w:p>
        </w:tc>
      </w:tr>
      <w:tr w:rsidR="00EF40FF" w:rsidRPr="001D2EC1" w14:paraId="17214C13" w14:textId="77777777" w:rsidTr="00D97B44">
        <w:trPr>
          <w:trHeight w:val="591"/>
        </w:trPr>
        <w:tc>
          <w:tcPr>
            <w:tcW w:w="1442" w:type="pct"/>
            <w:shd w:val="clear" w:color="auto" w:fill="auto"/>
          </w:tcPr>
          <w:p w14:paraId="0115B27A" w14:textId="77777777" w:rsidR="00EF40FF" w:rsidRPr="001D2EC1" w:rsidRDefault="00EF40FF" w:rsidP="00D97B44">
            <w:pPr>
              <w:jc w:val="center"/>
            </w:pPr>
            <w:r w:rsidRPr="001D2EC1">
              <w:t>Annual Number of Responses</w:t>
            </w:r>
          </w:p>
        </w:tc>
        <w:tc>
          <w:tcPr>
            <w:tcW w:w="829" w:type="pct"/>
            <w:shd w:val="clear" w:color="auto" w:fill="auto"/>
            <w:vAlign w:val="center"/>
          </w:tcPr>
          <w:p w14:paraId="386C9BC2" w14:textId="7B0EAEA6" w:rsidR="00EF40FF" w:rsidRPr="001D2EC1" w:rsidRDefault="004D4C7B" w:rsidP="00D97B44">
            <w:pPr>
              <w:jc w:val="right"/>
            </w:pPr>
            <w:r>
              <w:t>1</w:t>
            </w:r>
            <w:r w:rsidR="003D7DE6">
              <w:t>1</w:t>
            </w:r>
          </w:p>
        </w:tc>
        <w:tc>
          <w:tcPr>
            <w:tcW w:w="854" w:type="pct"/>
            <w:shd w:val="clear" w:color="auto" w:fill="auto"/>
            <w:vAlign w:val="center"/>
          </w:tcPr>
          <w:p w14:paraId="39A0261D" w14:textId="28E0D35E" w:rsidR="00EF40FF" w:rsidRPr="001D2EC1" w:rsidRDefault="003D7DE6" w:rsidP="00D97B44">
            <w:pPr>
              <w:jc w:val="right"/>
            </w:pPr>
            <w:r>
              <w:t>11</w:t>
            </w:r>
          </w:p>
        </w:tc>
        <w:tc>
          <w:tcPr>
            <w:tcW w:w="1010" w:type="pct"/>
            <w:shd w:val="clear" w:color="auto" w:fill="auto"/>
            <w:vAlign w:val="center"/>
          </w:tcPr>
          <w:p w14:paraId="4FE2F429" w14:textId="70E74634" w:rsidR="00EF40FF" w:rsidRPr="001D2EC1" w:rsidRDefault="004D4C7B" w:rsidP="00D97B44">
            <w:pPr>
              <w:jc w:val="right"/>
            </w:pPr>
            <w:r>
              <w:t>0</w:t>
            </w:r>
          </w:p>
        </w:tc>
        <w:tc>
          <w:tcPr>
            <w:tcW w:w="865" w:type="pct"/>
            <w:shd w:val="clear" w:color="auto" w:fill="auto"/>
            <w:vAlign w:val="center"/>
          </w:tcPr>
          <w:p w14:paraId="50BDA9A0" w14:textId="77777777" w:rsidR="00EF40FF" w:rsidRPr="001D2EC1" w:rsidRDefault="00EF40FF" w:rsidP="00D97B44">
            <w:pPr>
              <w:jc w:val="right"/>
            </w:pPr>
            <w:r w:rsidRPr="001D2EC1">
              <w:t>0</w:t>
            </w:r>
          </w:p>
        </w:tc>
      </w:tr>
      <w:tr w:rsidR="00EF40FF" w:rsidRPr="001D2EC1" w14:paraId="7258AFC0" w14:textId="77777777" w:rsidTr="00D97B44">
        <w:trPr>
          <w:trHeight w:val="575"/>
        </w:trPr>
        <w:tc>
          <w:tcPr>
            <w:tcW w:w="1442" w:type="pct"/>
            <w:shd w:val="clear" w:color="auto" w:fill="auto"/>
          </w:tcPr>
          <w:p w14:paraId="73702C6C" w14:textId="77777777" w:rsidR="00EF40FF" w:rsidRPr="001D2EC1" w:rsidRDefault="00EF40FF" w:rsidP="00D97B44">
            <w:pPr>
              <w:jc w:val="center"/>
            </w:pPr>
            <w:r w:rsidRPr="001D2EC1">
              <w:t>Annual Time Burden (Hours)</w:t>
            </w:r>
          </w:p>
        </w:tc>
        <w:tc>
          <w:tcPr>
            <w:tcW w:w="829" w:type="pct"/>
            <w:shd w:val="clear" w:color="auto" w:fill="auto"/>
            <w:vAlign w:val="center"/>
          </w:tcPr>
          <w:p w14:paraId="31651BEE" w14:textId="6445E85F" w:rsidR="00EF40FF" w:rsidRPr="001D2EC1" w:rsidRDefault="003D7DE6" w:rsidP="00D97B44">
            <w:pPr>
              <w:jc w:val="right"/>
            </w:pPr>
            <w:r>
              <w:t>825</w:t>
            </w:r>
          </w:p>
        </w:tc>
        <w:tc>
          <w:tcPr>
            <w:tcW w:w="854" w:type="pct"/>
            <w:shd w:val="clear" w:color="auto" w:fill="auto"/>
            <w:vAlign w:val="center"/>
          </w:tcPr>
          <w:p w14:paraId="0EED3422" w14:textId="5EF8A3CB" w:rsidR="00EF40FF" w:rsidRPr="001D2EC1" w:rsidRDefault="003D7DE6" w:rsidP="00D97B44">
            <w:pPr>
              <w:jc w:val="right"/>
            </w:pPr>
            <w:r>
              <w:t>825</w:t>
            </w:r>
          </w:p>
        </w:tc>
        <w:tc>
          <w:tcPr>
            <w:tcW w:w="1010" w:type="pct"/>
            <w:shd w:val="clear" w:color="auto" w:fill="auto"/>
            <w:vAlign w:val="center"/>
          </w:tcPr>
          <w:p w14:paraId="3CF5B872" w14:textId="0AE6400C" w:rsidR="00EF40FF" w:rsidRPr="001D2EC1" w:rsidRDefault="004D4C7B" w:rsidP="00D97B44">
            <w:pPr>
              <w:jc w:val="right"/>
            </w:pPr>
            <w:r>
              <w:t>0</w:t>
            </w:r>
          </w:p>
        </w:tc>
        <w:tc>
          <w:tcPr>
            <w:tcW w:w="865" w:type="pct"/>
            <w:shd w:val="clear" w:color="auto" w:fill="auto"/>
            <w:vAlign w:val="center"/>
          </w:tcPr>
          <w:p w14:paraId="39B1BAD1" w14:textId="77777777" w:rsidR="00EF40FF" w:rsidRPr="001D2EC1" w:rsidRDefault="00EF40FF" w:rsidP="00D97B44">
            <w:pPr>
              <w:jc w:val="right"/>
            </w:pPr>
            <w:r w:rsidRPr="001D2EC1">
              <w:t>0</w:t>
            </w:r>
          </w:p>
        </w:tc>
      </w:tr>
      <w:tr w:rsidR="00EF40FF" w:rsidRPr="001D2EC1"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1D2EC1" w:rsidRDefault="00EF40FF" w:rsidP="00D97B44">
            <w:pPr>
              <w:jc w:val="center"/>
            </w:pPr>
            <w:r w:rsidRPr="001D2EC1">
              <w:t>Annual Cost Burden ($)</w:t>
            </w:r>
          </w:p>
        </w:tc>
        <w:tc>
          <w:tcPr>
            <w:tcW w:w="829" w:type="pct"/>
            <w:tcBorders>
              <w:bottom w:val="single" w:sz="4" w:space="0" w:color="auto"/>
            </w:tcBorders>
            <w:shd w:val="clear" w:color="auto" w:fill="auto"/>
            <w:vAlign w:val="center"/>
          </w:tcPr>
          <w:p w14:paraId="7D67E648" w14:textId="77777777" w:rsidR="00EF40FF" w:rsidRPr="001D2EC1" w:rsidRDefault="00EF40FF" w:rsidP="00D97B44">
            <w:pPr>
              <w:jc w:val="right"/>
            </w:pPr>
            <w:r w:rsidRPr="001D2EC1">
              <w:t>$0</w:t>
            </w:r>
          </w:p>
        </w:tc>
        <w:tc>
          <w:tcPr>
            <w:tcW w:w="854" w:type="pct"/>
            <w:tcBorders>
              <w:bottom w:val="single" w:sz="4" w:space="0" w:color="auto"/>
            </w:tcBorders>
            <w:shd w:val="clear" w:color="auto" w:fill="auto"/>
            <w:vAlign w:val="center"/>
          </w:tcPr>
          <w:p w14:paraId="15FA5A62" w14:textId="77777777" w:rsidR="00EF40FF" w:rsidRPr="001D2EC1" w:rsidRDefault="00EF40FF" w:rsidP="00D97B44">
            <w:pPr>
              <w:jc w:val="right"/>
            </w:pPr>
            <w:r w:rsidRPr="001D2EC1">
              <w:t>$0</w:t>
            </w:r>
          </w:p>
        </w:tc>
        <w:tc>
          <w:tcPr>
            <w:tcW w:w="1010" w:type="pct"/>
            <w:tcBorders>
              <w:bottom w:val="single" w:sz="4" w:space="0" w:color="auto"/>
            </w:tcBorders>
            <w:shd w:val="clear" w:color="auto" w:fill="auto"/>
            <w:vAlign w:val="center"/>
          </w:tcPr>
          <w:p w14:paraId="406A2FC1" w14:textId="77777777" w:rsidR="00EF40FF" w:rsidRPr="001D2EC1" w:rsidRDefault="00EF40FF" w:rsidP="00D97B44">
            <w:pPr>
              <w:jc w:val="right"/>
            </w:pPr>
            <w:r w:rsidRPr="001D2EC1">
              <w:t>$0</w:t>
            </w:r>
          </w:p>
        </w:tc>
        <w:tc>
          <w:tcPr>
            <w:tcW w:w="865" w:type="pct"/>
            <w:tcBorders>
              <w:bottom w:val="single" w:sz="4" w:space="0" w:color="auto"/>
            </w:tcBorders>
            <w:shd w:val="clear" w:color="auto" w:fill="auto"/>
            <w:vAlign w:val="center"/>
          </w:tcPr>
          <w:p w14:paraId="44B6C3E6" w14:textId="77777777" w:rsidR="00EF40FF" w:rsidRPr="001D2EC1" w:rsidRDefault="00545B62" w:rsidP="00D97B44">
            <w:pPr>
              <w:jc w:val="right"/>
            </w:pPr>
            <w:r>
              <w:t>$</w:t>
            </w:r>
            <w:r w:rsidR="00EF40FF" w:rsidRPr="001D2EC1">
              <w:t>0</w:t>
            </w:r>
          </w:p>
        </w:tc>
      </w:tr>
    </w:tbl>
    <w:p w14:paraId="5E52CD2D" w14:textId="77777777" w:rsidR="00EF40FF" w:rsidRPr="001D2EC1" w:rsidRDefault="00EF40FF" w:rsidP="00EF40FF">
      <w:pPr>
        <w:widowControl/>
        <w:rPr>
          <w:b/>
        </w:rPr>
      </w:pPr>
    </w:p>
    <w:p w14:paraId="1C9DDF85" w14:textId="77777777" w:rsidR="003866AD" w:rsidRDefault="003866AD" w:rsidP="00EF40FF">
      <w:pPr>
        <w:pStyle w:val="FERCparanumber"/>
        <w:numPr>
          <w:ilvl w:val="0"/>
          <w:numId w:val="0"/>
        </w:numPr>
        <w:rPr>
          <w:b/>
          <w:sz w:val="24"/>
        </w:rPr>
      </w:pPr>
    </w:p>
    <w:p w14:paraId="7CD93336" w14:textId="77777777" w:rsidR="009D6B6D" w:rsidRDefault="00EF40FF" w:rsidP="00EF40FF">
      <w:pPr>
        <w:pStyle w:val="FERCparanumber"/>
        <w:numPr>
          <w:ilvl w:val="0"/>
          <w:numId w:val="7"/>
        </w:numPr>
        <w:rPr>
          <w:b/>
          <w:sz w:val="24"/>
        </w:rPr>
      </w:pPr>
      <w:r w:rsidRPr="001D2EC1">
        <w:rPr>
          <w:b/>
          <w:sz w:val="24"/>
        </w:rPr>
        <w:t>TIME SCHEDULE FOR PUBLICATION OF DATA</w:t>
      </w:r>
    </w:p>
    <w:p w14:paraId="338E8E30" w14:textId="77777777" w:rsidR="00EF40FF" w:rsidRDefault="00EF40FF" w:rsidP="00EF40FF">
      <w:pPr>
        <w:pStyle w:val="FERCparanumber"/>
        <w:numPr>
          <w:ilvl w:val="0"/>
          <w:numId w:val="0"/>
        </w:numPr>
        <w:rPr>
          <w:b/>
          <w:sz w:val="24"/>
        </w:rPr>
      </w:pPr>
    </w:p>
    <w:p w14:paraId="7EF18CBE" w14:textId="77777777" w:rsidR="00545B62" w:rsidRPr="008449DF" w:rsidRDefault="00545B62" w:rsidP="00545B62">
      <w:pPr>
        <w:widowControl/>
      </w:pPr>
      <w:r w:rsidRPr="008449DF">
        <w:t>There are no tabulating, statistical or tabulating analysis or publication plans for the collection of information.  The data are used for regulatory purposes only.</w:t>
      </w:r>
    </w:p>
    <w:p w14:paraId="13B155E7" w14:textId="77777777" w:rsidR="00EF40FF" w:rsidRDefault="00EF40FF" w:rsidP="00EF40FF">
      <w:pPr>
        <w:pStyle w:val="FERCparanumber"/>
        <w:numPr>
          <w:ilvl w:val="0"/>
          <w:numId w:val="0"/>
        </w:numPr>
        <w:rPr>
          <w:b/>
          <w:sz w:val="24"/>
        </w:rPr>
      </w:pPr>
    </w:p>
    <w:p w14:paraId="15394295" w14:textId="77777777" w:rsidR="009D6B6D" w:rsidRDefault="00EF40FF" w:rsidP="001D2EC1">
      <w:pPr>
        <w:pStyle w:val="FERCparanumber"/>
        <w:numPr>
          <w:ilvl w:val="0"/>
          <w:numId w:val="7"/>
        </w:numPr>
        <w:rPr>
          <w:b/>
          <w:sz w:val="24"/>
        </w:rPr>
      </w:pPr>
      <w:r>
        <w:rPr>
          <w:b/>
          <w:sz w:val="24"/>
        </w:rPr>
        <w:t>DISPLAY OF EXPIRATION DATE</w:t>
      </w:r>
    </w:p>
    <w:p w14:paraId="50BC026E" w14:textId="77777777" w:rsidR="00EF40FF" w:rsidRDefault="00EF40FF" w:rsidP="00EF40FF">
      <w:pPr>
        <w:pStyle w:val="FERCparanumber"/>
        <w:numPr>
          <w:ilvl w:val="0"/>
          <w:numId w:val="0"/>
        </w:numPr>
        <w:rPr>
          <w:b/>
          <w:sz w:val="24"/>
        </w:rPr>
      </w:pPr>
    </w:p>
    <w:p w14:paraId="587C08CA" w14:textId="18CF467A" w:rsidR="006441AD" w:rsidRDefault="006441AD" w:rsidP="006441AD">
      <w:r>
        <w:t xml:space="preserve">The expiration date is displayed in a table posted on ferc.gov at </w:t>
      </w:r>
      <w:hyperlink r:id="rId13" w:history="1">
        <w:r w:rsidRPr="00C90564">
          <w:rPr>
            <w:rStyle w:val="Hyperlink"/>
          </w:rPr>
          <w:t>http://www.ferc.gov/docs-filing/info-collections.asp</w:t>
        </w:r>
      </w:hyperlink>
      <w:r>
        <w:t>.</w:t>
      </w:r>
    </w:p>
    <w:p w14:paraId="00403C61" w14:textId="77777777" w:rsidR="00EF40FF" w:rsidRDefault="00EF40FF" w:rsidP="00EF40FF">
      <w:pPr>
        <w:pStyle w:val="FERCparanumber"/>
        <w:numPr>
          <w:ilvl w:val="0"/>
          <w:numId w:val="0"/>
        </w:numPr>
        <w:rPr>
          <w:b/>
          <w:sz w:val="24"/>
        </w:rPr>
      </w:pPr>
    </w:p>
    <w:p w14:paraId="3B590558" w14:textId="77777777" w:rsidR="00EF40FF" w:rsidRPr="00EF40FF" w:rsidRDefault="00EF40FF" w:rsidP="00E138E1">
      <w:pPr>
        <w:widowControl/>
        <w:numPr>
          <w:ilvl w:val="0"/>
          <w:numId w:val="7"/>
        </w:numPr>
        <w:ind w:hanging="720"/>
        <w:rPr>
          <w:b/>
        </w:rPr>
      </w:pPr>
      <w:r w:rsidRPr="001D2EC1">
        <w:rPr>
          <w:b/>
        </w:rPr>
        <w:t>EXCEPTIONS TO THE CERTIFICATION STATEMENT</w:t>
      </w:r>
    </w:p>
    <w:p w14:paraId="612ECBF9" w14:textId="77777777" w:rsidR="009D6B6D" w:rsidRPr="001D2EC1" w:rsidRDefault="009D6B6D" w:rsidP="001D2EC1">
      <w:pPr>
        <w:widowControl/>
        <w:ind w:left="720"/>
        <w:rPr>
          <w:b/>
        </w:rPr>
      </w:pPr>
    </w:p>
    <w:p w14:paraId="5B53F0DD" w14:textId="77777777" w:rsidR="00000F54" w:rsidRPr="001D2EC1" w:rsidRDefault="00545B62" w:rsidP="001D2EC1">
      <w:pPr>
        <w:widowControl/>
      </w:pPr>
      <w:r>
        <w:t>There are no exceptions.</w:t>
      </w:r>
    </w:p>
    <w:sectPr w:rsidR="00000F54" w:rsidRPr="001D2EC1" w:rsidSect="00703122">
      <w:headerReference w:type="default" r:id="rId14"/>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6ECE2F" w14:textId="77777777" w:rsidR="000335E8" w:rsidRDefault="000335E8" w:rsidP="009D6B6D">
      <w:r>
        <w:separator/>
      </w:r>
    </w:p>
  </w:endnote>
  <w:endnote w:type="continuationSeparator" w:id="0">
    <w:p w14:paraId="0E0F97EB" w14:textId="77777777" w:rsidR="000335E8" w:rsidRDefault="000335E8"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B1E3E">
          <w:rPr>
            <w:noProof/>
          </w:rPr>
          <w:t>2</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DAC1B" w14:textId="77777777" w:rsidR="000335E8" w:rsidRDefault="000335E8" w:rsidP="009D6B6D">
      <w:r>
        <w:separator/>
      </w:r>
    </w:p>
  </w:footnote>
  <w:footnote w:type="continuationSeparator" w:id="0">
    <w:p w14:paraId="76B18861" w14:textId="77777777" w:rsidR="000335E8" w:rsidRDefault="000335E8" w:rsidP="009D6B6D">
      <w:r>
        <w:continuationSeparator/>
      </w:r>
    </w:p>
  </w:footnote>
  <w:footnote w:id="1">
    <w:p w14:paraId="2B873BE1" w14:textId="77777777" w:rsidR="00CF7943" w:rsidRDefault="00CF7943" w:rsidP="00CF7943">
      <w:pPr>
        <w:pStyle w:val="FootnoteText"/>
      </w:pPr>
      <w:r w:rsidRPr="00F750AC">
        <w:rPr>
          <w:rStyle w:val="FootnoteReference"/>
          <w:vertAlign w:val="superscript"/>
        </w:rPr>
        <w:footnoteRef/>
      </w:r>
      <w:r w:rsidRPr="00F750AC">
        <w:rPr>
          <w:vertAlign w:val="superscript"/>
        </w:rPr>
        <w:t xml:space="preserve"> </w:t>
      </w:r>
      <w:r w:rsidRPr="00451584">
        <w:rPr>
          <w:sz w:val="24"/>
          <w:szCs w:val="24"/>
        </w:rPr>
        <w:t>See Interstate Natural Gas Association v.  Federal Energy Regulatory Commission, 716 F.2d 1 (D.C. Cir. 1983</w:t>
      </w:r>
      <w:r>
        <w:rPr>
          <w:sz w:val="24"/>
          <w:szCs w:val="24"/>
        </w:rPr>
        <w:t>).</w:t>
      </w:r>
    </w:p>
  </w:footnote>
  <w:footnote w:id="2">
    <w:p w14:paraId="18216F1D" w14:textId="4E757F73" w:rsidR="00BB6095" w:rsidRPr="006E2AB8" w:rsidRDefault="00BB6095" w:rsidP="00F1670E">
      <w:pPr>
        <w:pStyle w:val="FootnoteText"/>
      </w:pPr>
      <w:r w:rsidRPr="00F1670E">
        <w:rPr>
          <w:rStyle w:val="FootnoteReference"/>
          <w:b/>
          <w:vertAlign w:val="superscript"/>
        </w:rPr>
        <w:footnoteRef/>
      </w:r>
      <w:r w:rsidRPr="00E138E1">
        <w:rPr>
          <w:vertAlign w:val="superscript"/>
        </w:rPr>
        <w:t xml:space="preserve"> </w:t>
      </w:r>
      <w:r w:rsidR="00CB3EA0">
        <w:t>81</w:t>
      </w:r>
      <w:r w:rsidRPr="00E138E1">
        <w:t xml:space="preserve"> </w:t>
      </w:r>
      <w:r w:rsidRPr="006E2AB8">
        <w:t xml:space="preserve">FR </w:t>
      </w:r>
      <w:r w:rsidR="003D7DE6" w:rsidRPr="006E2AB8">
        <w:t>49970</w:t>
      </w:r>
    </w:p>
  </w:footnote>
  <w:footnote w:id="3">
    <w:p w14:paraId="55B071AB" w14:textId="463656B8" w:rsidR="00BB6095" w:rsidRPr="00E138E1" w:rsidRDefault="00BB6095" w:rsidP="00F1670E">
      <w:pPr>
        <w:pStyle w:val="FootnoteText"/>
      </w:pPr>
      <w:r w:rsidRPr="006E2AB8">
        <w:rPr>
          <w:rStyle w:val="FootnoteReference"/>
          <w:b/>
          <w:vertAlign w:val="superscript"/>
        </w:rPr>
        <w:footnoteRef/>
      </w:r>
      <w:r w:rsidRPr="006E2AB8">
        <w:rPr>
          <w:vertAlign w:val="superscript"/>
        </w:rPr>
        <w:t xml:space="preserve"> </w:t>
      </w:r>
      <w:r w:rsidR="00CB3EA0" w:rsidRPr="006E2AB8">
        <w:t xml:space="preserve">81 FR </w:t>
      </w:r>
      <w:r w:rsidR="006E2AB8" w:rsidRPr="006E2AB8">
        <w:t>81755</w:t>
      </w:r>
    </w:p>
  </w:footnote>
  <w:footnote w:id="4">
    <w:p w14:paraId="5821701A" w14:textId="77777777" w:rsidR="003D7DE6" w:rsidRPr="00F56BED" w:rsidRDefault="003D7DE6" w:rsidP="003D7DE6">
      <w:pPr>
        <w:pStyle w:val="FootnoteText"/>
      </w:pPr>
      <w:r w:rsidRPr="00F56BED">
        <w:rPr>
          <w:rStyle w:val="FootnoteReference"/>
        </w:rPr>
        <w:footnoteRef/>
      </w:r>
      <w:r w:rsidRPr="00F56BED">
        <w:t xml:space="preserve"> </w:t>
      </w:r>
      <w:r w:rsidRPr="00CD0621">
        <w:t>The cost is based on FERC’s 2016 average cost (salary plus benefits) of $74.50/hour.  The Commission staff believes that the industry’s level and skill set is comparable to FERC.</w:t>
      </w:r>
    </w:p>
  </w:footnote>
  <w:footnote w:id="5">
    <w:p w14:paraId="758C714B" w14:textId="1C0A2463" w:rsidR="00EF40FF" w:rsidRPr="00E138E1" w:rsidRDefault="00EF40FF" w:rsidP="00F1670E">
      <w:pPr>
        <w:rPr>
          <w:sz w:val="20"/>
          <w:szCs w:val="20"/>
        </w:rPr>
      </w:pPr>
      <w:r w:rsidRPr="00F1670E">
        <w:rPr>
          <w:rStyle w:val="FootnoteReference"/>
          <w:b/>
          <w:sz w:val="20"/>
          <w:szCs w:val="20"/>
          <w:vertAlign w:val="superscript"/>
        </w:rPr>
        <w:footnoteRef/>
      </w:r>
      <w:r w:rsidR="006441AD" w:rsidRPr="00F1670E">
        <w:rPr>
          <w:b/>
          <w:sz w:val="20"/>
          <w:szCs w:val="20"/>
        </w:rPr>
        <w:t xml:space="preserve"> </w:t>
      </w:r>
      <w:r w:rsidR="006441AD">
        <w:rPr>
          <w:sz w:val="20"/>
          <w:szCs w:val="20"/>
        </w:rPr>
        <w:t>Based upon 2016</w:t>
      </w:r>
      <w:r w:rsidRPr="00E138E1">
        <w:rPr>
          <w:sz w:val="20"/>
          <w:szCs w:val="20"/>
        </w:rPr>
        <w:t xml:space="preserve"> FTE average </w:t>
      </w:r>
      <w:r w:rsidR="00ED3A92">
        <w:rPr>
          <w:sz w:val="20"/>
          <w:szCs w:val="20"/>
        </w:rPr>
        <w:t xml:space="preserve">annual </w:t>
      </w:r>
      <w:r w:rsidRPr="00E138E1">
        <w:rPr>
          <w:sz w:val="20"/>
          <w:szCs w:val="20"/>
        </w:rPr>
        <w:t>s</w:t>
      </w:r>
      <w:r w:rsidR="006441AD">
        <w:rPr>
          <w:sz w:val="20"/>
          <w:szCs w:val="20"/>
        </w:rPr>
        <w:t>alary plus benefits ($154,647</w:t>
      </w:r>
      <w:r w:rsidRPr="00E138E1">
        <w:rPr>
          <w:sz w:val="20"/>
          <w:szCs w:val="20"/>
        </w:rPr>
        <w:t>).</w:t>
      </w:r>
    </w:p>
  </w:footnote>
  <w:footnote w:id="6">
    <w:p w14:paraId="27E34FC5" w14:textId="77777777" w:rsidR="00EF40FF" w:rsidRPr="00E138E1" w:rsidRDefault="00EF40FF" w:rsidP="00F1670E">
      <w:pPr>
        <w:pStyle w:val="FootnoteText"/>
      </w:pPr>
      <w:r w:rsidRPr="00F1670E">
        <w:rPr>
          <w:rStyle w:val="FootnoteReference"/>
          <w:b/>
          <w:vertAlign w:val="superscript"/>
        </w:rPr>
        <w:footnoteRef/>
      </w:r>
      <w:r w:rsidRPr="00E138E1">
        <w:rPr>
          <w:vertAlign w:val="superscript"/>
        </w:rPr>
        <w:t xml:space="preserve"> </w:t>
      </w:r>
      <w:r w:rsidRPr="00E138E1">
        <w:t>Paperwork Reduction Act of 1995 (PRA).</w:t>
      </w:r>
    </w:p>
  </w:footnote>
  <w:footnote w:id="7">
    <w:p w14:paraId="5678066A" w14:textId="0C79C1DC" w:rsidR="00EF40FF" w:rsidRPr="00E138E1" w:rsidRDefault="00EF40FF" w:rsidP="00F1670E">
      <w:pPr>
        <w:pStyle w:val="FootnoteText"/>
      </w:pPr>
      <w:r w:rsidRPr="00F1670E">
        <w:rPr>
          <w:rStyle w:val="FootnoteReference"/>
          <w:b/>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1021F0CB" w:rsidR="003A5BA7" w:rsidRDefault="00CF7943">
    <w:pPr>
      <w:pStyle w:val="Header"/>
    </w:pPr>
    <w:r>
      <w:t>FERC-547</w:t>
    </w:r>
    <w:r w:rsidR="00703122">
      <w:t xml:space="preserve"> (OMB </w:t>
    </w:r>
    <w:r>
      <w:t>Control No. 1902-0084</w:t>
    </w:r>
    <w:r w:rsidR="004D4C7B">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293499"/>
    <w:multiLevelType w:val="hybridMultilevel"/>
    <w:tmpl w:val="FD0EB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10"/>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1084"/>
    <w:rsid w:val="000218B7"/>
    <w:rsid w:val="000335E8"/>
    <w:rsid w:val="00042ECE"/>
    <w:rsid w:val="000541E0"/>
    <w:rsid w:val="000806CF"/>
    <w:rsid w:val="0009152C"/>
    <w:rsid w:val="000969B5"/>
    <w:rsid w:val="000C21B6"/>
    <w:rsid w:val="000C5C56"/>
    <w:rsid w:val="000D0EEE"/>
    <w:rsid w:val="000F53A6"/>
    <w:rsid w:val="0011793D"/>
    <w:rsid w:val="001352B5"/>
    <w:rsid w:val="00147917"/>
    <w:rsid w:val="00181B4A"/>
    <w:rsid w:val="00183D26"/>
    <w:rsid w:val="00184AC4"/>
    <w:rsid w:val="001922FC"/>
    <w:rsid w:val="00192A85"/>
    <w:rsid w:val="001A07E0"/>
    <w:rsid w:val="001B1350"/>
    <w:rsid w:val="001B6647"/>
    <w:rsid w:val="001C042A"/>
    <w:rsid w:val="001D1355"/>
    <w:rsid w:val="001D2EC1"/>
    <w:rsid w:val="001E6D2B"/>
    <w:rsid w:val="001F3ADE"/>
    <w:rsid w:val="001F42E7"/>
    <w:rsid w:val="001F60CC"/>
    <w:rsid w:val="001F703D"/>
    <w:rsid w:val="002000AA"/>
    <w:rsid w:val="0021208A"/>
    <w:rsid w:val="002142A2"/>
    <w:rsid w:val="002324B6"/>
    <w:rsid w:val="0024137A"/>
    <w:rsid w:val="00250B5D"/>
    <w:rsid w:val="002565F8"/>
    <w:rsid w:val="002643FB"/>
    <w:rsid w:val="00267F92"/>
    <w:rsid w:val="002766FC"/>
    <w:rsid w:val="00295C38"/>
    <w:rsid w:val="002A2B8E"/>
    <w:rsid w:val="002B0890"/>
    <w:rsid w:val="002B2810"/>
    <w:rsid w:val="002B4900"/>
    <w:rsid w:val="002D5138"/>
    <w:rsid w:val="002F353A"/>
    <w:rsid w:val="00307F28"/>
    <w:rsid w:val="0032225E"/>
    <w:rsid w:val="00342459"/>
    <w:rsid w:val="003431A7"/>
    <w:rsid w:val="00353DC5"/>
    <w:rsid w:val="0035481D"/>
    <w:rsid w:val="00371943"/>
    <w:rsid w:val="003866AD"/>
    <w:rsid w:val="003A4AD2"/>
    <w:rsid w:val="003A6A4F"/>
    <w:rsid w:val="003B7DB9"/>
    <w:rsid w:val="003C429A"/>
    <w:rsid w:val="003D3487"/>
    <w:rsid w:val="003D7DE6"/>
    <w:rsid w:val="003E5B70"/>
    <w:rsid w:val="00426B6E"/>
    <w:rsid w:val="00432DA3"/>
    <w:rsid w:val="004445CE"/>
    <w:rsid w:val="004472EB"/>
    <w:rsid w:val="00454D32"/>
    <w:rsid w:val="004970F6"/>
    <w:rsid w:val="004B0930"/>
    <w:rsid w:val="004C13D3"/>
    <w:rsid w:val="004D4C7B"/>
    <w:rsid w:val="004D6DEB"/>
    <w:rsid w:val="004F7BFA"/>
    <w:rsid w:val="00506697"/>
    <w:rsid w:val="005240A1"/>
    <w:rsid w:val="00541938"/>
    <w:rsid w:val="00545B62"/>
    <w:rsid w:val="00560503"/>
    <w:rsid w:val="00592E82"/>
    <w:rsid w:val="00593CC7"/>
    <w:rsid w:val="005C5DE2"/>
    <w:rsid w:val="005C6866"/>
    <w:rsid w:val="005C6964"/>
    <w:rsid w:val="005D6791"/>
    <w:rsid w:val="005F62ED"/>
    <w:rsid w:val="00607DF1"/>
    <w:rsid w:val="00614D21"/>
    <w:rsid w:val="006441AD"/>
    <w:rsid w:val="0064706B"/>
    <w:rsid w:val="006A1A2E"/>
    <w:rsid w:val="006A6928"/>
    <w:rsid w:val="006B0369"/>
    <w:rsid w:val="006C0F70"/>
    <w:rsid w:val="006C1E96"/>
    <w:rsid w:val="006E2AB8"/>
    <w:rsid w:val="006E61A4"/>
    <w:rsid w:val="00703122"/>
    <w:rsid w:val="00714117"/>
    <w:rsid w:val="00730509"/>
    <w:rsid w:val="0075420C"/>
    <w:rsid w:val="007544A8"/>
    <w:rsid w:val="007625CD"/>
    <w:rsid w:val="007722E7"/>
    <w:rsid w:val="00785BAA"/>
    <w:rsid w:val="00790DB8"/>
    <w:rsid w:val="007A699F"/>
    <w:rsid w:val="007B025D"/>
    <w:rsid w:val="007B1E3E"/>
    <w:rsid w:val="007D3EF2"/>
    <w:rsid w:val="007E19EB"/>
    <w:rsid w:val="007F788C"/>
    <w:rsid w:val="00803D8D"/>
    <w:rsid w:val="008060D2"/>
    <w:rsid w:val="0081220C"/>
    <w:rsid w:val="00851D29"/>
    <w:rsid w:val="00860C58"/>
    <w:rsid w:val="00865702"/>
    <w:rsid w:val="00867774"/>
    <w:rsid w:val="00870A54"/>
    <w:rsid w:val="00891C89"/>
    <w:rsid w:val="00893289"/>
    <w:rsid w:val="0089369D"/>
    <w:rsid w:val="008A38B5"/>
    <w:rsid w:val="008B1A17"/>
    <w:rsid w:val="008E2C0D"/>
    <w:rsid w:val="00907A71"/>
    <w:rsid w:val="0091154B"/>
    <w:rsid w:val="00933292"/>
    <w:rsid w:val="00957DA2"/>
    <w:rsid w:val="00980E8E"/>
    <w:rsid w:val="009B263A"/>
    <w:rsid w:val="009D6B6D"/>
    <w:rsid w:val="00A37A1E"/>
    <w:rsid w:val="00A57E47"/>
    <w:rsid w:val="00A61BDB"/>
    <w:rsid w:val="00A75D13"/>
    <w:rsid w:val="00A94615"/>
    <w:rsid w:val="00AA3F59"/>
    <w:rsid w:val="00AC0958"/>
    <w:rsid w:val="00AF3118"/>
    <w:rsid w:val="00AF66E0"/>
    <w:rsid w:val="00B11515"/>
    <w:rsid w:val="00B13159"/>
    <w:rsid w:val="00B4017A"/>
    <w:rsid w:val="00B445C5"/>
    <w:rsid w:val="00B61F02"/>
    <w:rsid w:val="00BA2EE0"/>
    <w:rsid w:val="00BB6095"/>
    <w:rsid w:val="00BC5BC5"/>
    <w:rsid w:val="00BD2A12"/>
    <w:rsid w:val="00BD4039"/>
    <w:rsid w:val="00BD5BFC"/>
    <w:rsid w:val="00BF493B"/>
    <w:rsid w:val="00C07FC8"/>
    <w:rsid w:val="00C12DC0"/>
    <w:rsid w:val="00C13C94"/>
    <w:rsid w:val="00C3086A"/>
    <w:rsid w:val="00C33FDE"/>
    <w:rsid w:val="00C604C0"/>
    <w:rsid w:val="00C651D2"/>
    <w:rsid w:val="00C7666C"/>
    <w:rsid w:val="00C909A2"/>
    <w:rsid w:val="00C96343"/>
    <w:rsid w:val="00C97FEE"/>
    <w:rsid w:val="00CA5AF7"/>
    <w:rsid w:val="00CB3EA0"/>
    <w:rsid w:val="00CC615D"/>
    <w:rsid w:val="00CF6603"/>
    <w:rsid w:val="00CF7943"/>
    <w:rsid w:val="00D00D07"/>
    <w:rsid w:val="00D05C1E"/>
    <w:rsid w:val="00D14D54"/>
    <w:rsid w:val="00D26BE1"/>
    <w:rsid w:val="00D85B47"/>
    <w:rsid w:val="00D9097D"/>
    <w:rsid w:val="00D93813"/>
    <w:rsid w:val="00DA4553"/>
    <w:rsid w:val="00DE0C3A"/>
    <w:rsid w:val="00DE5423"/>
    <w:rsid w:val="00DE6B6F"/>
    <w:rsid w:val="00DF6A49"/>
    <w:rsid w:val="00E138E1"/>
    <w:rsid w:val="00E16543"/>
    <w:rsid w:val="00E32773"/>
    <w:rsid w:val="00E355FA"/>
    <w:rsid w:val="00E40D6E"/>
    <w:rsid w:val="00E46B67"/>
    <w:rsid w:val="00E56439"/>
    <w:rsid w:val="00E76211"/>
    <w:rsid w:val="00E82BDC"/>
    <w:rsid w:val="00EA026E"/>
    <w:rsid w:val="00EB052D"/>
    <w:rsid w:val="00ED3A92"/>
    <w:rsid w:val="00EF40FF"/>
    <w:rsid w:val="00F14D3D"/>
    <w:rsid w:val="00F1670E"/>
    <w:rsid w:val="00F205D2"/>
    <w:rsid w:val="00F3663C"/>
    <w:rsid w:val="00F528CE"/>
    <w:rsid w:val="00F620F6"/>
    <w:rsid w:val="00F9384F"/>
    <w:rsid w:val="00FA33AC"/>
    <w:rsid w:val="00FA5F94"/>
    <w:rsid w:val="00FC192E"/>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uiPriority w:val="34"/>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docs-filing/info-collections.as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574</_x0031__x002e__x0020_Collection_x0020_Number>
    <Date xmlns="d6eefc7d-9817-4fa6-84d5-3bc009be21b8">2016-11-07T00:00:00-05:00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IC16-12</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678A-27A8-4A1F-8D0C-B3A31E55376D}">
  <ds:schemaRefs>
    <ds:schemaRef ds:uri="http://schemas.microsoft.com/office/2006/metadata/properties"/>
    <ds:schemaRef ds:uri="http://schemas.microsoft.com/office/infopath/2007/PartnerControls"/>
    <ds:schemaRef ds:uri="d6eefc7d-9817-4fa6-84d5-3bc009be21b8"/>
  </ds:schemaRefs>
</ds:datastoreItem>
</file>

<file path=customXml/itemProps2.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4.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5.xml><?xml version="1.0" encoding="utf-8"?>
<ds:datastoreItem xmlns:ds="http://schemas.openxmlformats.org/officeDocument/2006/customXml" ds:itemID="{473E917A-269B-4472-AE98-8B53F289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1302</Words>
  <Characters>7423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FERC-574 supporting statement</vt:lpstr>
    </vt:vector>
  </TitlesOfParts>
  <Company>Federal Energy Regulatory Commission</Company>
  <LinksUpToDate>false</LinksUpToDate>
  <CharactersWithSpaces>8708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FERC-574 supporting statement</dc:title>
  <dc:creator>Nishi Parekh</dc:creator>
  <cp:lastModifiedBy>Anthony May</cp:lastModifiedBy>
  <cp:revision>2</cp:revision>
  <cp:lastPrinted>2015-11-12T19:39:00Z</cp:lastPrinted>
  <dcterms:created xsi:type="dcterms:W3CDTF">2016-11-22T18:51:00Z</dcterms:created>
  <dcterms:modified xsi:type="dcterms:W3CDTF">2016-11-22T18:51:00Z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