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r w:rsidRPr="001D2EC1">
        <w:t>Supporting Statement for</w:t>
      </w:r>
    </w:p>
    <w:p w14:paraId="1AABC5F9" w14:textId="713FC5FA" w:rsidR="002B2810" w:rsidRDefault="002B2810" w:rsidP="001D2EC1">
      <w:pPr>
        <w:widowControl/>
        <w:tabs>
          <w:tab w:val="center" w:pos="5040"/>
        </w:tabs>
        <w:jc w:val="center"/>
        <w:rPr>
          <w:b/>
          <w:bCs/>
        </w:rPr>
      </w:pPr>
      <w:r>
        <w:rPr>
          <w:b/>
          <w:bCs/>
        </w:rPr>
        <w:t>FERC-511 (Application for Transfer of Hydropower License)</w:t>
      </w:r>
    </w:p>
    <w:p w14:paraId="369AFF1B" w14:textId="77777777" w:rsidR="002B2810" w:rsidRDefault="002B2810" w:rsidP="001D2EC1">
      <w:pPr>
        <w:widowControl/>
        <w:tabs>
          <w:tab w:val="center" w:pos="5040"/>
        </w:tabs>
        <w:jc w:val="center"/>
        <w:rPr>
          <w:b/>
          <w:bCs/>
        </w:rPr>
      </w:pPr>
      <w:r>
        <w:rPr>
          <w:b/>
          <w:bCs/>
        </w:rPr>
        <w:t xml:space="preserve">and </w:t>
      </w:r>
    </w:p>
    <w:p w14:paraId="3443459D" w14:textId="73398F3D" w:rsidR="009D6B6D" w:rsidRPr="001D2EC1" w:rsidRDefault="002B2810" w:rsidP="001D2EC1">
      <w:pPr>
        <w:widowControl/>
        <w:tabs>
          <w:tab w:val="center" w:pos="5040"/>
        </w:tabs>
        <w:jc w:val="center"/>
        <w:rPr>
          <w:b/>
        </w:rPr>
      </w:pPr>
      <w:r>
        <w:rPr>
          <w:b/>
          <w:bCs/>
        </w:rPr>
        <w:t>FERC-515 (Declaration of Intention)</w:t>
      </w:r>
      <w:bookmarkStart w:id="0" w:name="_GoBack"/>
      <w:bookmarkEnd w:id="0"/>
    </w:p>
    <w:p w14:paraId="13D26165" w14:textId="77777777" w:rsidR="009D6B6D" w:rsidRPr="001D2EC1" w:rsidRDefault="009D6B6D" w:rsidP="001D2EC1">
      <w:pPr>
        <w:widowControl/>
        <w:tabs>
          <w:tab w:val="center" w:pos="5040"/>
        </w:tabs>
        <w:jc w:val="center"/>
      </w:pPr>
    </w:p>
    <w:p w14:paraId="08EF0C81" w14:textId="327C54C8" w:rsidR="009D6B6D" w:rsidRPr="00CC615D" w:rsidRDefault="009D6B6D" w:rsidP="001F3ADE">
      <w:pPr>
        <w:widowControl/>
        <w:tabs>
          <w:tab w:val="center" w:pos="5040"/>
        </w:tabs>
        <w:rPr>
          <w:b/>
        </w:rPr>
      </w:pPr>
      <w:r w:rsidRPr="001D2EC1">
        <w:rPr>
          <w:bCs/>
        </w:rPr>
        <w:t>The Federal Energy Regulatory Commission (</w:t>
      </w:r>
      <w:r w:rsidRPr="002B2810">
        <w:rPr>
          <w:bCs/>
        </w:rPr>
        <w:t xml:space="preserve">Commission or FERC) requests that the Office of Management and Budget (OMB) review and approve </w:t>
      </w:r>
      <w:r w:rsidR="002B2810" w:rsidRPr="002B2810">
        <w:rPr>
          <w:bCs/>
        </w:rPr>
        <w:t>FERC-</w:t>
      </w:r>
      <w:r w:rsidR="007F788C" w:rsidRPr="002B2810">
        <w:rPr>
          <w:bCs/>
        </w:rPr>
        <w:t xml:space="preserve"> </w:t>
      </w:r>
      <w:r w:rsidR="002B2810" w:rsidRPr="002B2810">
        <w:rPr>
          <w:bCs/>
        </w:rPr>
        <w:t>511 (Application for Transfer of Hydropower License; OMB Control No. 1902-0069</w:t>
      </w:r>
      <w:r w:rsidR="00E32773" w:rsidRPr="002B2810">
        <w:rPr>
          <w:bCs/>
        </w:rPr>
        <w:t>)</w:t>
      </w:r>
      <w:r w:rsidR="002B2810" w:rsidRPr="002B2810">
        <w:rPr>
          <w:bCs/>
        </w:rPr>
        <w:t xml:space="preserve"> and FERC-515 (Declaration of Intent</w:t>
      </w:r>
      <w:r w:rsidR="00925C33">
        <w:rPr>
          <w:bCs/>
        </w:rPr>
        <w:t>ion</w:t>
      </w:r>
      <w:r w:rsidR="002B2810" w:rsidRPr="002B2810">
        <w:rPr>
          <w:bCs/>
        </w:rPr>
        <w:t>; OMB Control No. 1902-0079)</w:t>
      </w:r>
      <w:r w:rsidR="005D6791" w:rsidRPr="002B2810">
        <w:rPr>
          <w:bCs/>
        </w:rPr>
        <w:t>,</w:t>
      </w:r>
      <w:r w:rsidR="00E32773" w:rsidRPr="002B2810">
        <w:rPr>
          <w:bCs/>
        </w:rPr>
        <w:t xml:space="preserve"> for a three-</w:t>
      </w:r>
      <w:r w:rsidRPr="002B2810">
        <w:rPr>
          <w:bCs/>
        </w:rPr>
        <w:t xml:space="preserve">year period.  </w:t>
      </w:r>
      <w:r w:rsidR="0021208A" w:rsidRPr="002B2810">
        <w:rPr>
          <w:bCs/>
        </w:rPr>
        <w:t>FERC-</w:t>
      </w:r>
      <w:r w:rsidR="002B2810">
        <w:rPr>
          <w:bCs/>
        </w:rPr>
        <w:t>511</w:t>
      </w:r>
      <w:r w:rsidR="007D3EF2" w:rsidRPr="002B2810">
        <w:t xml:space="preserve"> </w:t>
      </w:r>
      <w:r w:rsidR="00CC615D" w:rsidRPr="002B2810">
        <w:t xml:space="preserve">is an existing data collection with </w:t>
      </w:r>
      <w:r w:rsidRPr="002B2810">
        <w:t xml:space="preserve">reporting requirement in 18 Code of Federal Regulations (CFR) </w:t>
      </w:r>
      <w:r w:rsidR="00A57E47" w:rsidRPr="002B2810">
        <w:t>Parts</w:t>
      </w:r>
      <w:r w:rsidR="002B2810">
        <w:t xml:space="preserve"> 4(e), 8, and 9</w:t>
      </w:r>
      <w:r w:rsidR="0021208A">
        <w:t>.</w:t>
      </w:r>
      <w:r w:rsidR="002B2810">
        <w:t xml:space="preserve">  The FERC-515 is an existing data collection whose filing requirements are contained in 18 CFR Parts </w:t>
      </w:r>
      <w:r w:rsidR="004B6E35">
        <w:t>9</w:t>
      </w:r>
      <w:r w:rsidR="00967F7C">
        <w:t xml:space="preserve"> </w:t>
      </w:r>
      <w:r w:rsidR="002B2810">
        <w:t>and 24.1.</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1A23CCB3" w14:textId="77777777" w:rsidR="002B2810" w:rsidRPr="002B2810" w:rsidRDefault="002B2810" w:rsidP="002B2810">
      <w:r w:rsidRPr="002B2810">
        <w:t>Part 1 of the Federal Power Act</w:t>
      </w:r>
      <w:r w:rsidRPr="002B2810">
        <w:rPr>
          <w:b/>
          <w:vertAlign w:val="superscript"/>
        </w:rPr>
        <w:footnoteReference w:id="1"/>
      </w:r>
      <w:r w:rsidRPr="002B2810">
        <w:t xml:space="preserve"> (FPA) gives the Commission authority to issue licenses for hydroelectric projects on the waters over which Congress has jurisdiction.</w:t>
      </w:r>
    </w:p>
    <w:p w14:paraId="6A70A7E5" w14:textId="77777777" w:rsidR="002B2810" w:rsidRPr="002B2810" w:rsidRDefault="002B2810" w:rsidP="002B2810"/>
    <w:p w14:paraId="7EE5F738" w14:textId="77777777" w:rsidR="002B2810" w:rsidRPr="002B2810" w:rsidRDefault="002B2810" w:rsidP="002B2810">
      <w:pPr>
        <w:rPr>
          <w:u w:val="single"/>
        </w:rPr>
      </w:pPr>
      <w:r w:rsidRPr="002B2810">
        <w:rPr>
          <w:u w:val="single"/>
        </w:rPr>
        <w:t>FERC-511</w:t>
      </w:r>
    </w:p>
    <w:p w14:paraId="574A2949" w14:textId="77777777" w:rsidR="002B2810" w:rsidRPr="002B2810" w:rsidRDefault="002B2810" w:rsidP="002B2810">
      <w:r w:rsidRPr="002B2810">
        <w:t>Section 4(e)</w:t>
      </w:r>
      <w:r w:rsidRPr="002B2810">
        <w:rPr>
          <w:b/>
          <w:vertAlign w:val="superscript"/>
        </w:rPr>
        <w:footnoteReference w:id="2"/>
      </w:r>
      <w:r w:rsidRPr="002B2810">
        <w:t>of the FPA authorizes the Commission to issue licenses for the construction, operation and maintenance of dams, water conduits, reservoirs, power houses and transmission lines or other facilities necessary for development and improvement of navigation and for the development, transmission, and utilization of power from bodies of water over which Congress has jurisdiction.</w:t>
      </w:r>
    </w:p>
    <w:p w14:paraId="531EBECB" w14:textId="77777777" w:rsidR="002B2810" w:rsidRPr="002B2810" w:rsidRDefault="002B2810" w:rsidP="002B2810">
      <w:pPr>
        <w:rPr>
          <w:b/>
        </w:rPr>
      </w:pPr>
    </w:p>
    <w:p w14:paraId="5D8A5373" w14:textId="77777777" w:rsidR="002B2810" w:rsidRPr="002B2810" w:rsidRDefault="002B2810" w:rsidP="002B2810">
      <w:r w:rsidRPr="002B2810">
        <w:t>Section 8 of the Federal Power Act (16 U.S.C. 801) provides that the voluntary transfer of any license can only be made with the written approval of the Commission.  Any successor to the licensee may assign the rights of the original licensee but is subject to all the conditions of the license.</w:t>
      </w:r>
    </w:p>
    <w:p w14:paraId="1EB05D96" w14:textId="77777777" w:rsidR="002B2810" w:rsidRPr="002B2810" w:rsidRDefault="002B2810" w:rsidP="002B2810"/>
    <w:p w14:paraId="6F03122A" w14:textId="77777777" w:rsidR="002B2810" w:rsidRPr="002B2810" w:rsidRDefault="002B2810" w:rsidP="002B2810">
      <w:r w:rsidRPr="002B2810">
        <w:t>The FPA requires FERC approval of the transfer of a hydroelectric license.  Among other things, the Commission ensures that the transferee qualifies under the FPA to be a licensee, e.g., foreign citizens or corporations cannot hold a license.  Licenses may be issued to citizens of the United States, or to any association of such citizens, or to any corporation organized under the laws of the United States or any individual state, or to any state or municipality.</w:t>
      </w:r>
    </w:p>
    <w:p w14:paraId="63DCCAD2" w14:textId="77777777" w:rsidR="002B2810" w:rsidRPr="002B2810" w:rsidRDefault="002B2810" w:rsidP="002B2810">
      <w:pPr>
        <w:rPr>
          <w:u w:val="single"/>
        </w:rPr>
      </w:pPr>
    </w:p>
    <w:p w14:paraId="285DB3FB" w14:textId="77777777" w:rsidR="002B2810" w:rsidRPr="002B2810" w:rsidRDefault="002B2810" w:rsidP="002B2810">
      <w:pPr>
        <w:rPr>
          <w:u w:val="single"/>
        </w:rPr>
      </w:pPr>
      <w:r w:rsidRPr="002B2810">
        <w:rPr>
          <w:u w:val="single"/>
        </w:rPr>
        <w:t>FERC-515</w:t>
      </w:r>
    </w:p>
    <w:p w14:paraId="2DCE67EC" w14:textId="77777777" w:rsidR="002B2810" w:rsidRPr="002B2810" w:rsidRDefault="002B2810" w:rsidP="002B2810">
      <w:r w:rsidRPr="002B2810">
        <w:t>Section 23(b)</w:t>
      </w:r>
      <w:r w:rsidRPr="002B2810">
        <w:rPr>
          <w:b/>
          <w:vertAlign w:val="superscript"/>
        </w:rPr>
        <w:footnoteReference w:id="3"/>
      </w:r>
      <w:r w:rsidRPr="002B2810">
        <w:t xml:space="preserve">of the FPA provides that any person intending to construct project works on a non-navigable commerce clause water must file a declaration of their intention to do so with the Commission.  Section 23(b) further provides that upon the filing of a Declaration of Intent, the Commission will investigate the proposed project, and, if it finds that the “interests of interstate or foreign commerce would be affected” by the proposed project, then the person intending to </w:t>
      </w:r>
      <w:r w:rsidRPr="002B2810">
        <w:lastRenderedPageBreak/>
        <w:t>construct the project must obtain a Commission license before starting construction.  Submission of the data is necessary for the Commission to make a required determination as to jurisdiction over the proposed project.</w:t>
      </w:r>
    </w:p>
    <w:p w14:paraId="62758400" w14:textId="77777777" w:rsidR="002B2810" w:rsidRPr="002B2810" w:rsidRDefault="002B2810" w:rsidP="002B2810"/>
    <w:p w14:paraId="5155E7D7" w14:textId="77777777" w:rsidR="002B2810" w:rsidRPr="002B2810" w:rsidRDefault="002B2810" w:rsidP="002B2810">
      <w:r w:rsidRPr="002B2810">
        <w:t>The respondent universe that would submit a declaration of intention can be defined and is limited to potential developers of hydropower projects at sites where the Commission’s jurisdiction may be in question.  Such sites are generally on streams other than those defined as U.S. navigable waters (for which Congress has jurisdiction under its authority to regulate foreign and interstate commerce).</w:t>
      </w:r>
    </w:p>
    <w:p w14:paraId="67ABF5E6" w14:textId="77777777" w:rsidR="002B2810" w:rsidRPr="002B2810" w:rsidRDefault="002B2810" w:rsidP="002B2810"/>
    <w:p w14:paraId="4B056DBE" w14:textId="77777777" w:rsidR="002B2810" w:rsidRPr="002B2810" w:rsidRDefault="002B2810" w:rsidP="002B2810">
      <w:pPr>
        <w:rPr>
          <w:i/>
        </w:rPr>
      </w:pPr>
      <w:r w:rsidRPr="002B2810">
        <w:t>The owner of a project constructed before 1935 that is not subject to the Commission’s mandatory licensing jurisdiction need not file a declaration of intent to repair, maintain, or rehabilitate the project as long as there has been no post-1935 abandonment.</w:t>
      </w:r>
      <w:r w:rsidRPr="002B2810">
        <w:rPr>
          <w:b/>
          <w:vertAlign w:val="superscript"/>
        </w:rPr>
        <w:footnoteReference w:id="4"/>
      </w:r>
      <w:r w:rsidRPr="002B2810">
        <w:t xml:space="preserve">  </w:t>
      </w:r>
    </w:p>
    <w:p w14:paraId="2A4FEF29" w14:textId="77777777" w:rsidR="002B2810" w:rsidRPr="002B2810" w:rsidRDefault="002B2810" w:rsidP="002B2810">
      <w:pPr>
        <w:rPr>
          <w:i/>
        </w:rPr>
      </w:pPr>
    </w:p>
    <w:p w14:paraId="64C12141" w14:textId="060F7623" w:rsidR="000541E0" w:rsidRPr="002B2810" w:rsidRDefault="002B2810" w:rsidP="000541E0">
      <w:pPr>
        <w:rPr>
          <w:i/>
        </w:rPr>
      </w:pPr>
      <w:r w:rsidRPr="002B2810">
        <w:t>A proposed project does not require licensing merely because of the possibility that, after issuance of an order finding licensing not required, the developer may alter the project’s design or operation from that described in its declaration of intention.  Should the project be constructed or operated differently than described, interested parties may petition the Commission to assess de novo whether the project requires a license.</w:t>
      </w:r>
      <w:r w:rsidRPr="002B2810">
        <w:rPr>
          <w:b/>
          <w:vertAlign w:val="superscript"/>
        </w:rPr>
        <w:footnoteReference w:id="5"/>
      </w:r>
    </w:p>
    <w:p w14:paraId="095CE0E8" w14:textId="77777777" w:rsidR="001F3ADE"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4F066E12" w14:textId="77777777" w:rsidR="002B2810" w:rsidRPr="00371943" w:rsidRDefault="002B2810" w:rsidP="002B2810">
      <w:pPr>
        <w:rPr>
          <w:u w:val="single"/>
        </w:rPr>
      </w:pPr>
      <w:r w:rsidRPr="00371943">
        <w:rPr>
          <w:u w:val="single"/>
        </w:rPr>
        <w:t>FERC-511</w:t>
      </w:r>
    </w:p>
    <w:p w14:paraId="44B98394" w14:textId="77777777" w:rsidR="002B2810" w:rsidRPr="00371943" w:rsidRDefault="002B2810" w:rsidP="002B2810">
      <w:r w:rsidRPr="00371943">
        <w:t xml:space="preserve">The information collected by FERC is in the format of a written application for transfer of a license, executed jointly by the parties to the proposed transfer.  The transfer of a license may be occasioned by the sale or merger of a licensed hydropower electric project.  It is used by FERC staff to determine the qualifications of the proposed transferee to hold the license, and to prepare the transfer of the license order.  </w:t>
      </w:r>
    </w:p>
    <w:p w14:paraId="1BF992D8" w14:textId="77777777" w:rsidR="002B2810" w:rsidRPr="00371943" w:rsidRDefault="002B2810" w:rsidP="002B2810"/>
    <w:p w14:paraId="50832649" w14:textId="77777777" w:rsidR="002B2810" w:rsidRPr="00371943" w:rsidRDefault="002B2810" w:rsidP="002B2810">
      <w:r w:rsidRPr="00371943">
        <w:t>Commission staff conducts a systematic review of the prepared application with supplemental documentation provided in the filing.  The research includes examining maps and land ownership records of the lands and waters affected by the project.  Such sites are generally on streams other than those defined as U.S. navigable waters</w:t>
      </w:r>
      <w:r w:rsidRPr="00371943">
        <w:rPr>
          <w:u w:val="single"/>
        </w:rPr>
        <w:t>,</w:t>
      </w:r>
      <w:r w:rsidRPr="00371943">
        <w:t xml:space="preserve"> and over which Congress has jurisdiction under its authority to regulate foreign and interstate commerce.  Before approving a transfer, the Commission reviews the proposed transferee’s compliance history and scrutinizes marginal projects for potential compliance problems.  In particular Commission staff review the license document for any significant anticipated expenses to ensure that the purpose of the transfer is not to shift the financial burden of compliance to an entity that is unlikely to satisfy these obligations.   Commission staff consults in-house with the Office of General Counsel and the Office of Energy Projects dam safety inspectors for their review and comment.</w:t>
      </w:r>
    </w:p>
    <w:p w14:paraId="526092BD" w14:textId="77777777" w:rsidR="002B2810" w:rsidRPr="00371943" w:rsidRDefault="002B2810" w:rsidP="002B2810">
      <w:pPr>
        <w:ind w:firstLine="720"/>
      </w:pPr>
    </w:p>
    <w:p w14:paraId="5DEA3CCB" w14:textId="77777777" w:rsidR="002B2810" w:rsidRPr="00371943" w:rsidRDefault="002B2810" w:rsidP="002B2810">
      <w:r w:rsidRPr="00371943">
        <w:t xml:space="preserve">Notice of transfer applications are published in the Federal Register and in a local newspaper </w:t>
      </w:r>
      <w:r w:rsidRPr="00371943">
        <w:lastRenderedPageBreak/>
        <w:t>near the project site.  FERC seeks to ensure that states, other federal agencies, local communities, and other interested groups are provided the opportunity to address any issues related to the project transfer.</w:t>
      </w:r>
    </w:p>
    <w:p w14:paraId="7E2B134E" w14:textId="77777777" w:rsidR="002B2810" w:rsidRPr="00371943" w:rsidRDefault="002B2810" w:rsidP="002B2810">
      <w:pPr>
        <w:ind w:firstLine="720"/>
      </w:pPr>
    </w:p>
    <w:p w14:paraId="55909630" w14:textId="77777777" w:rsidR="002B2810" w:rsidRPr="00371943" w:rsidRDefault="002B2810" w:rsidP="002B2810">
      <w:r w:rsidRPr="00371943">
        <w:t>The review process requires the Commission to determine whether the transfer is in the public interest.  Commission approval is made contingent on transfer of the title to properties under the license.  If the information contained in FERC-511 were not collected, the Commission would be unable to establish facts and pertinent information as to why a licensee desires to transfer the license and if the proposed transferee can operate and maintain the project under the terms and conditions of the license.  Without the establishment of these facts, there would be no basis for accepting the application for a transfer of a license.</w:t>
      </w:r>
    </w:p>
    <w:p w14:paraId="26DE9D36" w14:textId="77777777" w:rsidR="002B2810" w:rsidRPr="00371943" w:rsidRDefault="002B2810" w:rsidP="002B2810">
      <w:pPr>
        <w:rPr>
          <w:u w:val="single"/>
        </w:rPr>
      </w:pPr>
    </w:p>
    <w:p w14:paraId="4541D810" w14:textId="77777777" w:rsidR="002B2810" w:rsidRPr="00371943" w:rsidRDefault="002B2810" w:rsidP="002B2810">
      <w:pPr>
        <w:rPr>
          <w:u w:val="single"/>
        </w:rPr>
      </w:pPr>
      <w:r w:rsidRPr="00371943">
        <w:rPr>
          <w:u w:val="single"/>
        </w:rPr>
        <w:t>FERC-515</w:t>
      </w:r>
    </w:p>
    <w:p w14:paraId="32B2D492" w14:textId="0A0AC78A" w:rsidR="00980E8E" w:rsidRPr="00371943" w:rsidRDefault="002B2810" w:rsidP="002B2810">
      <w:pPr>
        <w:pStyle w:val="FERCparanumber"/>
        <w:numPr>
          <w:ilvl w:val="0"/>
          <w:numId w:val="0"/>
        </w:numPr>
        <w:tabs>
          <w:tab w:val="left" w:pos="720"/>
          <w:tab w:val="left" w:pos="4860"/>
        </w:tabs>
        <w:rPr>
          <w:sz w:val="24"/>
        </w:rPr>
      </w:pPr>
      <w:r w:rsidRPr="00371943">
        <w:rPr>
          <w:sz w:val="24"/>
        </w:rPr>
        <w:t>The information collected by FERC is in the format of a declaration of the applicant’s intent filed with the Commission.  It is used by the Commission’s staff to research the jurisdictional aspects of the proposed project.  Commission staff conducts a systematic review of the declaration with supplemental documentation provided in the filing.  The research includes examining maps and land ownership records to establish whether or not there is Federal jurisdiction over the lands and waters affected by the project.  The submitted documents allow for a full and complete analysis of a proposed project, and provide sufficient data to make a jurisdictional decision.  A finding of non-jurisdiction by the Commission can result in the elimination of a substantial paperwork burden for an applicant who might otherwise have to file a license or exemption application.</w:t>
      </w:r>
    </w:p>
    <w:p w14:paraId="55FA5FFC" w14:textId="77777777" w:rsidR="00371943" w:rsidRPr="00980E8E" w:rsidRDefault="00371943" w:rsidP="002B2810">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271C6B0A" w14:textId="77777777" w:rsidR="00371943" w:rsidRPr="00DA036B" w:rsidRDefault="00371943" w:rsidP="00371943">
      <w:pPr>
        <w:rPr>
          <w:szCs w:val="26"/>
        </w:rPr>
      </w:pPr>
      <w:r w:rsidRPr="00DA036B">
        <w:rPr>
          <w:szCs w:val="26"/>
        </w:rPr>
        <w:t xml:space="preserve">There is an ongoing effort to determine the potential and value of improved information technology to reduce the burden.  The FERC-511 and FERC-515 application may be eFiled through FERC’s eFiling system.  [See </w:t>
      </w:r>
      <w:hyperlink r:id="rId12" w:history="1">
        <w:r w:rsidRPr="004057F6">
          <w:rPr>
            <w:rStyle w:val="Hyperlink"/>
            <w:szCs w:val="26"/>
          </w:rPr>
          <w:t>http://www.ferc.gov/docs-filing/efiling.asp</w:t>
        </w:r>
      </w:hyperlink>
      <w:r>
        <w:rPr>
          <w:szCs w:val="26"/>
        </w:rPr>
        <w:t xml:space="preserve"> </w:t>
      </w:r>
      <w:r w:rsidRPr="00DA036B">
        <w:rPr>
          <w:szCs w:val="26"/>
        </w:rPr>
        <w:t>for more information.]</w:t>
      </w:r>
    </w:p>
    <w:p w14:paraId="1133AECD" w14:textId="77777777" w:rsidR="00042ECE" w:rsidRDefault="00042ECE" w:rsidP="00042ECE"/>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1BBBD5A8" w14:textId="77777777" w:rsidR="00371943" w:rsidRDefault="00371943" w:rsidP="00371943">
      <w:r>
        <w:t>Filings are periodically reviewed in conjunction with OMB clearance expiration dates.  This includes a review of the Commission’s reporting requirements to identify duplication of data requirements.  To date, no duplication of the data has been found.  The information is case specific to the applicant.</w:t>
      </w:r>
    </w:p>
    <w:p w14:paraId="10005391" w14:textId="77777777" w:rsidR="00371943" w:rsidRDefault="00371943" w:rsidP="00371943"/>
    <w:p w14:paraId="44C363AB" w14:textId="6AE1E296" w:rsidR="00BD4039" w:rsidRDefault="00371943" w:rsidP="000541E0">
      <w:r>
        <w:t>There are no similar sources of information available that can be used or modified for use as the information collected is unique to the applicant and the site for which the filing is made</w:t>
      </w:r>
      <w:r w:rsidR="008060D2">
        <w:t xml:space="preserve">. </w:t>
      </w:r>
    </w:p>
    <w:p w14:paraId="01E02908" w14:textId="77777777" w:rsidR="008060D2" w:rsidRPr="00BD4039" w:rsidRDefault="008060D2"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lastRenderedPageBreak/>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6A972740" w14:textId="39EC8259" w:rsidR="008060D2" w:rsidRPr="00AE5B29" w:rsidRDefault="00371943" w:rsidP="008060D2">
      <w:r>
        <w:t>The data required impose the least possible burden on applicants, while collecting the information required in processing the application for transfer and Declaration of Intent.  The minimization of impact on small business would not be applicable.  The burden will vary among applicants, since the application should be specific to each applicant</w:t>
      </w:r>
      <w:r w:rsidR="00042ECE">
        <w:t>.</w:t>
      </w:r>
    </w:p>
    <w:p w14:paraId="2329B0A1" w14:textId="77777777" w:rsidR="005240A1" w:rsidRDefault="005240A1" w:rsidP="000541E0">
      <w:pPr>
        <w:pStyle w:val="FERCparanumber"/>
        <w:numPr>
          <w:ilvl w:val="0"/>
          <w:numId w:val="0"/>
        </w:numPr>
        <w:tabs>
          <w:tab w:val="num" w:pos="0"/>
        </w:tabs>
        <w:jc w:val="center"/>
        <w:rPr>
          <w:sz w:val="24"/>
        </w:rPr>
      </w:pPr>
    </w:p>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621621A2" w14:textId="1F6469F9" w:rsidR="00042ECE" w:rsidRPr="00E77B24" w:rsidRDefault="00371943" w:rsidP="00042ECE">
      <w:r>
        <w:t>The data required are necessary to process the application for transfer and Declaration of Intent and are collected only when an application for transfer or Declaration of Intent is needed.  The information cannot be collected less frequently</w:t>
      </w:r>
      <w:r w:rsidR="00042ECE">
        <w:t>.</w:t>
      </w:r>
      <w:r w:rsidR="00042ECE" w:rsidRPr="00E77B24">
        <w:t xml:space="preserve">  </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102E4B6B" w:rsidR="00BB6095" w:rsidRPr="001D2EC1" w:rsidRDefault="00371943" w:rsidP="00042ECE">
      <w:r>
        <w:t>There are no special circumstances related to these information collections</w:t>
      </w:r>
      <w:r w:rsidR="000541E0">
        <w:t>.</w:t>
      </w:r>
      <w:r w:rsidR="00BB6095" w:rsidRPr="001D2EC1">
        <w:t xml:space="preserve"> </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40CFD325" w:rsidR="00BB6095" w:rsidRPr="001D2EC1" w:rsidRDefault="00BB6095" w:rsidP="00BB6095">
      <w:r w:rsidRPr="00E138E1">
        <w:t>In accordance with OMB requirements, the Commission published a 60-day notice</w:t>
      </w:r>
      <w:bookmarkStart w:id="1" w:name="_Ref332712251"/>
      <w:r w:rsidRPr="00E138E1">
        <w:rPr>
          <w:rStyle w:val="FootnoteReference"/>
          <w:vertAlign w:val="superscript"/>
        </w:rPr>
        <w:footnoteReference w:id="6"/>
      </w:r>
      <w:bookmarkEnd w:id="1"/>
      <w:r w:rsidRPr="00E138E1">
        <w:t xml:space="preserve"> and a 30-day notice</w:t>
      </w:r>
      <w:r w:rsidRPr="00E138E1">
        <w:rPr>
          <w:rStyle w:val="FootnoteReference"/>
          <w:vertAlign w:val="superscript"/>
        </w:rPr>
        <w:footnoteReference w:id="7"/>
      </w:r>
      <w:r w:rsidRPr="00E138E1">
        <w:t xml:space="preserve"> to the public regarding this information collection on </w:t>
      </w:r>
      <w:r w:rsidR="00371943">
        <w:t>7/12</w:t>
      </w:r>
      <w:r w:rsidR="00CB3EA0">
        <w:t>/2016</w:t>
      </w:r>
      <w:r w:rsidRPr="006C1E96">
        <w:t xml:space="preserve"> </w:t>
      </w:r>
      <w:r w:rsidRPr="00BD33C9">
        <w:t xml:space="preserve">and </w:t>
      </w:r>
      <w:r w:rsidR="00BD33C9" w:rsidRPr="00BD33C9">
        <w:t>11/18</w:t>
      </w:r>
      <w:r w:rsidR="006C1E96" w:rsidRPr="00BD33C9">
        <w:t>/2016</w:t>
      </w:r>
      <w:r w:rsidRPr="00BD33C9">
        <w:t>,</w:t>
      </w:r>
      <w:r w:rsidRPr="00E138E1">
        <w:t xml:space="preserve"> respectively. Within the public notice, the Commission noted that it would be requesting a three-year extension of the public reporting burden with no change to the existing requirements concerning the collection</w:t>
      </w:r>
      <w:r w:rsidR="002735A3">
        <w:t>s</w:t>
      </w:r>
      <w:r w:rsidRPr="00E138E1">
        <w:t xml:space="preserve"> of data.  The Commission received no comments.</w:t>
      </w:r>
      <w:r w:rsidRPr="001D2EC1">
        <w:t xml:space="preserve">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169463AE" w:rsidR="00BB6095" w:rsidRPr="001D2EC1" w:rsidRDefault="00BB6095" w:rsidP="00BB6095">
      <w:pPr>
        <w:widowControl/>
      </w:pPr>
      <w:r w:rsidRPr="001D2EC1">
        <w:t xml:space="preserve">There are no payments or gifts to respondents </w:t>
      </w:r>
      <w:r w:rsidR="007B025D">
        <w:t>of</w:t>
      </w:r>
      <w:r w:rsidRPr="001D2EC1">
        <w:t xml:space="preserve"> th</w:t>
      </w:r>
      <w:r w:rsidR="002735A3">
        <w:t>e</w:t>
      </w:r>
      <w:r w:rsidRPr="001D2EC1">
        <w:t xml:space="preserve"> collection</w:t>
      </w:r>
      <w:r w:rsidR="002735A3">
        <w:t>s</w:t>
      </w:r>
      <w:r w:rsidRPr="001D2EC1">
        <w:t>.</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748CD524" w14:textId="4DC19ABD" w:rsidR="000541E0" w:rsidRPr="00367F9A" w:rsidRDefault="00371943" w:rsidP="000541E0">
      <w:r>
        <w:t>The information submitted to the Commission is public information and therefore is not considered confidential.  Specific requests for confidential treatment may be made pursuant to 18 C.F.R. Section 388.112.</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 xml:space="preserve">SUCH AS SEXUAL BEHAVIOR AND ATTITUDES, </w:t>
      </w:r>
      <w:r w:rsidR="00860C58" w:rsidRPr="00C62F55">
        <w:rPr>
          <w:b/>
          <w:sz w:val="24"/>
        </w:rPr>
        <w:lastRenderedPageBreak/>
        <w:t>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1420"/>
        <w:gridCol w:w="1568"/>
        <w:gridCol w:w="1410"/>
        <w:gridCol w:w="1368"/>
        <w:gridCol w:w="1519"/>
        <w:gridCol w:w="1318"/>
      </w:tblGrid>
      <w:tr w:rsidR="007A699F" w:rsidRPr="00D77538" w14:paraId="43816FBD" w14:textId="77777777" w:rsidTr="007A699F">
        <w:trPr>
          <w:cantSplit/>
        </w:trPr>
        <w:tc>
          <w:tcPr>
            <w:tcW w:w="0" w:type="auto"/>
            <w:gridSpan w:val="7"/>
            <w:tcBorders>
              <w:bottom w:val="single" w:sz="4" w:space="0" w:color="auto"/>
            </w:tcBorders>
            <w:shd w:val="clear" w:color="auto" w:fill="D9D9D9"/>
          </w:tcPr>
          <w:p w14:paraId="30A84C3C" w14:textId="5F6BE585" w:rsidR="007A699F" w:rsidRPr="006A60CF" w:rsidRDefault="007A699F" w:rsidP="00FA530B">
            <w:pPr>
              <w:tabs>
                <w:tab w:val="left" w:pos="720"/>
              </w:tabs>
              <w:jc w:val="center"/>
              <w:rPr>
                <w:rFonts w:eastAsia="Calibri"/>
                <w:b/>
                <w:sz w:val="20"/>
                <w:szCs w:val="20"/>
              </w:rPr>
            </w:pPr>
            <w:r>
              <w:rPr>
                <w:b/>
                <w:sz w:val="20"/>
                <w:szCs w:val="20"/>
              </w:rPr>
              <w:t>FERC-511 (Application for Transfer of Hydropower License) &amp; FERC-515 (Declaration of Intention)</w:t>
            </w:r>
          </w:p>
        </w:tc>
      </w:tr>
      <w:tr w:rsidR="00371943" w:rsidRPr="00D77538" w14:paraId="46CA175F" w14:textId="77777777" w:rsidTr="007A699F">
        <w:trPr>
          <w:cantSplit/>
        </w:trPr>
        <w:tc>
          <w:tcPr>
            <w:tcW w:w="0" w:type="auto"/>
            <w:shd w:val="clear" w:color="auto" w:fill="D9D9D9"/>
          </w:tcPr>
          <w:p w14:paraId="7281DA79" w14:textId="77777777" w:rsidR="00371943" w:rsidRPr="006A60CF" w:rsidRDefault="00371943" w:rsidP="00FA530B">
            <w:pPr>
              <w:jc w:val="center"/>
              <w:rPr>
                <w:rFonts w:eastAsia="Calibri"/>
                <w:b/>
                <w:sz w:val="20"/>
                <w:szCs w:val="20"/>
              </w:rPr>
            </w:pPr>
          </w:p>
        </w:tc>
        <w:tc>
          <w:tcPr>
            <w:tcW w:w="0" w:type="auto"/>
            <w:shd w:val="clear" w:color="auto" w:fill="D9D9D9"/>
            <w:vAlign w:val="bottom"/>
          </w:tcPr>
          <w:p w14:paraId="57A88C9C" w14:textId="4461AEF6" w:rsidR="00371943" w:rsidRPr="006A60CF" w:rsidRDefault="00371943" w:rsidP="00FA530B">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0" w:type="auto"/>
            <w:shd w:val="clear" w:color="auto" w:fill="D9D9D9"/>
            <w:vAlign w:val="bottom"/>
          </w:tcPr>
          <w:p w14:paraId="78272C89" w14:textId="77777777" w:rsidR="00371943" w:rsidRPr="006A60CF" w:rsidRDefault="00371943" w:rsidP="00FA530B">
            <w:pPr>
              <w:jc w:val="center"/>
              <w:rPr>
                <w:rFonts w:eastAsia="Calibri"/>
                <w:b/>
                <w:sz w:val="20"/>
                <w:szCs w:val="20"/>
              </w:rPr>
            </w:pPr>
            <w:r w:rsidRPr="006A60CF">
              <w:rPr>
                <w:rFonts w:eastAsia="Calibri"/>
                <w:b/>
                <w:sz w:val="20"/>
                <w:szCs w:val="20"/>
              </w:rPr>
              <w:t>Annual Number of Responses per Respondent</w:t>
            </w:r>
          </w:p>
          <w:p w14:paraId="11E48B3E" w14:textId="77777777" w:rsidR="00371943" w:rsidRPr="006A60CF" w:rsidRDefault="00371943" w:rsidP="00FA530B">
            <w:pPr>
              <w:jc w:val="center"/>
              <w:rPr>
                <w:rFonts w:eastAsia="Calibri"/>
                <w:b/>
                <w:sz w:val="20"/>
                <w:szCs w:val="20"/>
              </w:rPr>
            </w:pPr>
            <w:r w:rsidRPr="006A60CF">
              <w:rPr>
                <w:rFonts w:eastAsia="Calibri"/>
                <w:b/>
                <w:sz w:val="20"/>
                <w:szCs w:val="20"/>
              </w:rPr>
              <w:t>(2)</w:t>
            </w:r>
          </w:p>
        </w:tc>
        <w:tc>
          <w:tcPr>
            <w:tcW w:w="0" w:type="auto"/>
            <w:shd w:val="clear" w:color="auto" w:fill="D9D9D9"/>
            <w:vAlign w:val="bottom"/>
          </w:tcPr>
          <w:p w14:paraId="07BE8C97" w14:textId="77777777" w:rsidR="00371943" w:rsidRPr="006A60CF" w:rsidRDefault="00371943" w:rsidP="00FA530B">
            <w:pPr>
              <w:jc w:val="center"/>
              <w:rPr>
                <w:rFonts w:eastAsia="Calibri"/>
                <w:b/>
                <w:sz w:val="20"/>
                <w:szCs w:val="20"/>
              </w:rPr>
            </w:pPr>
            <w:r w:rsidRPr="006A60CF">
              <w:rPr>
                <w:rFonts w:eastAsia="Calibri"/>
                <w:b/>
                <w:sz w:val="20"/>
                <w:szCs w:val="20"/>
              </w:rPr>
              <w:t>Total Number of Responses (1)*(2)=(3)</w:t>
            </w:r>
          </w:p>
        </w:tc>
        <w:tc>
          <w:tcPr>
            <w:tcW w:w="0" w:type="auto"/>
            <w:shd w:val="clear" w:color="auto" w:fill="D9D9D9"/>
            <w:vAlign w:val="bottom"/>
          </w:tcPr>
          <w:p w14:paraId="34241FC6" w14:textId="77777777" w:rsidR="00371943" w:rsidRPr="006A60CF" w:rsidRDefault="00371943" w:rsidP="00FA530B">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8"/>
            </w:r>
          </w:p>
          <w:p w14:paraId="68E3BB21" w14:textId="77777777" w:rsidR="00371943" w:rsidRPr="006A60CF" w:rsidRDefault="00371943" w:rsidP="00FA530B">
            <w:pPr>
              <w:jc w:val="center"/>
              <w:rPr>
                <w:rFonts w:eastAsia="Calibri"/>
                <w:b/>
                <w:sz w:val="20"/>
                <w:szCs w:val="20"/>
              </w:rPr>
            </w:pPr>
            <w:r w:rsidRPr="006A60CF">
              <w:rPr>
                <w:rFonts w:eastAsia="Calibri"/>
                <w:b/>
                <w:sz w:val="20"/>
                <w:szCs w:val="20"/>
              </w:rPr>
              <w:t>(4)</w:t>
            </w:r>
          </w:p>
        </w:tc>
        <w:tc>
          <w:tcPr>
            <w:tcW w:w="0" w:type="auto"/>
            <w:shd w:val="clear" w:color="auto" w:fill="D9D9D9"/>
            <w:vAlign w:val="bottom"/>
          </w:tcPr>
          <w:p w14:paraId="038ED6C8" w14:textId="77777777" w:rsidR="00371943" w:rsidRPr="006A60CF" w:rsidRDefault="00371943" w:rsidP="00FA530B">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19D25874" w14:textId="77777777" w:rsidR="00371943" w:rsidRPr="006A60CF" w:rsidRDefault="00371943" w:rsidP="00FA530B">
            <w:pPr>
              <w:jc w:val="center"/>
              <w:rPr>
                <w:rFonts w:eastAsia="Calibri"/>
                <w:b/>
                <w:sz w:val="20"/>
                <w:szCs w:val="20"/>
              </w:rPr>
            </w:pPr>
            <w:r w:rsidRPr="006A60CF">
              <w:rPr>
                <w:rFonts w:eastAsia="Calibri"/>
                <w:b/>
                <w:sz w:val="20"/>
                <w:szCs w:val="20"/>
              </w:rPr>
              <w:t>(3)*(4)=(5)</w:t>
            </w:r>
          </w:p>
        </w:tc>
        <w:tc>
          <w:tcPr>
            <w:tcW w:w="0" w:type="auto"/>
            <w:shd w:val="clear" w:color="auto" w:fill="D9D9D9"/>
            <w:vAlign w:val="bottom"/>
          </w:tcPr>
          <w:p w14:paraId="35980A8C" w14:textId="77777777" w:rsidR="00371943" w:rsidRPr="006A60CF" w:rsidRDefault="00371943" w:rsidP="00FA530B">
            <w:pPr>
              <w:jc w:val="center"/>
              <w:rPr>
                <w:rFonts w:eastAsia="Calibri"/>
                <w:b/>
                <w:sz w:val="20"/>
                <w:szCs w:val="20"/>
              </w:rPr>
            </w:pPr>
            <w:r w:rsidRPr="006A60CF">
              <w:rPr>
                <w:rFonts w:eastAsia="Calibri"/>
                <w:b/>
                <w:sz w:val="20"/>
                <w:szCs w:val="20"/>
              </w:rPr>
              <w:t>Cost per Respondent</w:t>
            </w:r>
          </w:p>
          <w:p w14:paraId="24D95D60" w14:textId="77777777" w:rsidR="00371943" w:rsidRPr="006A60CF" w:rsidRDefault="00371943" w:rsidP="00FA530B">
            <w:pPr>
              <w:jc w:val="center"/>
              <w:rPr>
                <w:rFonts w:eastAsia="Calibri"/>
                <w:b/>
                <w:sz w:val="20"/>
                <w:szCs w:val="20"/>
              </w:rPr>
            </w:pPr>
            <w:r w:rsidRPr="006A60CF">
              <w:rPr>
                <w:rFonts w:eastAsia="Calibri"/>
                <w:b/>
                <w:sz w:val="20"/>
                <w:szCs w:val="20"/>
              </w:rPr>
              <w:t xml:space="preserve"> ($)</w:t>
            </w:r>
          </w:p>
          <w:p w14:paraId="41DFEE69" w14:textId="77777777" w:rsidR="00371943" w:rsidRPr="006A60CF" w:rsidRDefault="00371943" w:rsidP="00FA530B">
            <w:pPr>
              <w:jc w:val="center"/>
              <w:rPr>
                <w:rFonts w:eastAsia="Calibri"/>
                <w:b/>
                <w:sz w:val="20"/>
                <w:szCs w:val="20"/>
              </w:rPr>
            </w:pPr>
            <w:r w:rsidRPr="006A60CF">
              <w:rPr>
                <w:rFonts w:eastAsia="Calibri"/>
                <w:b/>
                <w:sz w:val="20"/>
                <w:szCs w:val="20"/>
              </w:rPr>
              <w:t>(5)÷(1)</w:t>
            </w:r>
          </w:p>
        </w:tc>
      </w:tr>
      <w:tr w:rsidR="00371943" w:rsidRPr="00D77538" w14:paraId="67DF34E3" w14:textId="77777777" w:rsidTr="007A699F">
        <w:trPr>
          <w:cantSplit/>
        </w:trPr>
        <w:tc>
          <w:tcPr>
            <w:tcW w:w="0" w:type="auto"/>
          </w:tcPr>
          <w:p w14:paraId="7CBF83D1" w14:textId="33496E39" w:rsidR="00371943" w:rsidRDefault="00371943" w:rsidP="00FA530B">
            <w:pPr>
              <w:jc w:val="right"/>
              <w:rPr>
                <w:rFonts w:eastAsia="Calibri"/>
                <w:sz w:val="20"/>
                <w:szCs w:val="20"/>
              </w:rPr>
            </w:pPr>
            <w:r>
              <w:rPr>
                <w:rFonts w:eastAsia="Calibri"/>
                <w:sz w:val="20"/>
                <w:szCs w:val="20"/>
              </w:rPr>
              <w:t>FERC-511</w:t>
            </w:r>
          </w:p>
        </w:tc>
        <w:tc>
          <w:tcPr>
            <w:tcW w:w="0" w:type="auto"/>
          </w:tcPr>
          <w:p w14:paraId="51EF808F" w14:textId="608E6644" w:rsidR="00371943" w:rsidRPr="006A60CF" w:rsidRDefault="00371943" w:rsidP="00FA530B">
            <w:pPr>
              <w:jc w:val="right"/>
              <w:rPr>
                <w:rFonts w:eastAsia="Calibri"/>
                <w:sz w:val="20"/>
                <w:szCs w:val="20"/>
              </w:rPr>
            </w:pPr>
            <w:r>
              <w:rPr>
                <w:rFonts w:eastAsia="Calibri"/>
                <w:sz w:val="20"/>
                <w:szCs w:val="20"/>
              </w:rPr>
              <w:t>46</w:t>
            </w:r>
          </w:p>
          <w:p w14:paraId="6C23E11D" w14:textId="77777777" w:rsidR="00371943" w:rsidRPr="006A60CF" w:rsidRDefault="00371943" w:rsidP="00FA530B">
            <w:pPr>
              <w:jc w:val="right"/>
              <w:rPr>
                <w:rFonts w:eastAsia="Calibri"/>
                <w:sz w:val="20"/>
                <w:szCs w:val="20"/>
              </w:rPr>
            </w:pPr>
          </w:p>
        </w:tc>
        <w:tc>
          <w:tcPr>
            <w:tcW w:w="0" w:type="auto"/>
          </w:tcPr>
          <w:p w14:paraId="377FF658" w14:textId="77777777" w:rsidR="00371943" w:rsidRPr="006A60CF" w:rsidRDefault="00371943" w:rsidP="00FA530B">
            <w:pPr>
              <w:jc w:val="right"/>
              <w:rPr>
                <w:rFonts w:eastAsia="Calibri"/>
                <w:sz w:val="20"/>
                <w:szCs w:val="20"/>
              </w:rPr>
            </w:pPr>
            <w:r>
              <w:rPr>
                <w:rFonts w:eastAsia="Calibri"/>
                <w:sz w:val="20"/>
                <w:szCs w:val="20"/>
              </w:rPr>
              <w:t>1</w:t>
            </w:r>
          </w:p>
        </w:tc>
        <w:tc>
          <w:tcPr>
            <w:tcW w:w="0" w:type="auto"/>
          </w:tcPr>
          <w:p w14:paraId="431A5B85" w14:textId="6AD5EA1F" w:rsidR="00371943" w:rsidRPr="006A60CF" w:rsidRDefault="00371943" w:rsidP="00FA530B">
            <w:pPr>
              <w:jc w:val="right"/>
              <w:rPr>
                <w:rFonts w:eastAsia="Calibri"/>
                <w:sz w:val="20"/>
                <w:szCs w:val="20"/>
              </w:rPr>
            </w:pPr>
            <w:r>
              <w:rPr>
                <w:rFonts w:eastAsia="Calibri"/>
                <w:sz w:val="20"/>
                <w:szCs w:val="20"/>
              </w:rPr>
              <w:t>46</w:t>
            </w:r>
          </w:p>
        </w:tc>
        <w:tc>
          <w:tcPr>
            <w:tcW w:w="0" w:type="auto"/>
          </w:tcPr>
          <w:p w14:paraId="6535D714" w14:textId="70EDDDBE" w:rsidR="00371943" w:rsidRPr="006A60CF" w:rsidRDefault="00371943" w:rsidP="00FA530B">
            <w:pPr>
              <w:jc w:val="right"/>
              <w:rPr>
                <w:rFonts w:eastAsia="Calibri"/>
                <w:sz w:val="20"/>
                <w:szCs w:val="20"/>
              </w:rPr>
            </w:pPr>
            <w:r>
              <w:rPr>
                <w:rFonts w:eastAsia="Calibri"/>
                <w:sz w:val="20"/>
                <w:szCs w:val="20"/>
              </w:rPr>
              <w:t>40 hrs.;</w:t>
            </w:r>
          </w:p>
          <w:p w14:paraId="5D890B55" w14:textId="6A6A3747" w:rsidR="00371943" w:rsidRPr="006A60CF" w:rsidRDefault="003866AD" w:rsidP="00FA530B">
            <w:pPr>
              <w:jc w:val="right"/>
              <w:rPr>
                <w:rFonts w:eastAsia="Calibri"/>
                <w:sz w:val="20"/>
                <w:szCs w:val="20"/>
              </w:rPr>
            </w:pPr>
            <w:r>
              <w:rPr>
                <w:rFonts w:eastAsia="Calibri"/>
                <w:sz w:val="20"/>
                <w:szCs w:val="20"/>
              </w:rPr>
              <w:t>$2,980</w:t>
            </w:r>
          </w:p>
        </w:tc>
        <w:tc>
          <w:tcPr>
            <w:tcW w:w="0" w:type="auto"/>
          </w:tcPr>
          <w:p w14:paraId="6D849963" w14:textId="76CC2D27" w:rsidR="00371943" w:rsidRPr="006A60CF" w:rsidRDefault="007A699F" w:rsidP="00FA530B">
            <w:pPr>
              <w:jc w:val="right"/>
              <w:rPr>
                <w:rFonts w:eastAsia="Calibri"/>
                <w:sz w:val="20"/>
                <w:szCs w:val="20"/>
              </w:rPr>
            </w:pPr>
            <w:r>
              <w:rPr>
                <w:rFonts w:eastAsia="Calibri"/>
                <w:sz w:val="20"/>
                <w:szCs w:val="20"/>
              </w:rPr>
              <w:t xml:space="preserve"> 1,840</w:t>
            </w:r>
            <w:r w:rsidR="00371943">
              <w:rPr>
                <w:rFonts w:eastAsia="Calibri"/>
                <w:sz w:val="20"/>
                <w:szCs w:val="20"/>
              </w:rPr>
              <w:t xml:space="preserve"> hrs.;</w:t>
            </w:r>
          </w:p>
          <w:p w14:paraId="12FD5F2F" w14:textId="5A31E9AB" w:rsidR="00371943" w:rsidRPr="006A60CF" w:rsidRDefault="003866AD" w:rsidP="00FA530B">
            <w:pPr>
              <w:jc w:val="right"/>
              <w:rPr>
                <w:rFonts w:eastAsia="Calibri"/>
                <w:sz w:val="20"/>
                <w:szCs w:val="20"/>
              </w:rPr>
            </w:pPr>
            <w:r>
              <w:rPr>
                <w:rFonts w:eastAsia="Calibri"/>
                <w:sz w:val="20"/>
                <w:szCs w:val="20"/>
              </w:rPr>
              <w:t>$137,080</w:t>
            </w:r>
          </w:p>
        </w:tc>
        <w:tc>
          <w:tcPr>
            <w:tcW w:w="0" w:type="auto"/>
          </w:tcPr>
          <w:p w14:paraId="1D393710" w14:textId="30480A2D" w:rsidR="00371943" w:rsidRPr="006A60CF" w:rsidRDefault="003866AD" w:rsidP="00FA530B">
            <w:pPr>
              <w:jc w:val="right"/>
              <w:rPr>
                <w:rFonts w:eastAsia="Calibri"/>
                <w:sz w:val="20"/>
                <w:szCs w:val="20"/>
              </w:rPr>
            </w:pPr>
            <w:r>
              <w:rPr>
                <w:rFonts w:eastAsia="Calibri"/>
                <w:sz w:val="20"/>
                <w:szCs w:val="20"/>
              </w:rPr>
              <w:t>$2,980</w:t>
            </w:r>
            <w:r w:rsidR="00371943" w:rsidRPr="006A60CF">
              <w:rPr>
                <w:rFonts w:eastAsia="Calibri"/>
                <w:sz w:val="20"/>
                <w:szCs w:val="20"/>
              </w:rPr>
              <w:t xml:space="preserve"> </w:t>
            </w:r>
          </w:p>
          <w:p w14:paraId="37022200" w14:textId="77777777" w:rsidR="00371943" w:rsidRPr="006A60CF" w:rsidRDefault="00371943" w:rsidP="00FA530B">
            <w:pPr>
              <w:jc w:val="right"/>
              <w:rPr>
                <w:rFonts w:eastAsia="Calibri"/>
                <w:sz w:val="20"/>
                <w:szCs w:val="20"/>
              </w:rPr>
            </w:pPr>
          </w:p>
        </w:tc>
      </w:tr>
      <w:tr w:rsidR="00371943" w:rsidRPr="00D77538" w14:paraId="429F34CF" w14:textId="77777777" w:rsidTr="007A699F">
        <w:trPr>
          <w:cantSplit/>
        </w:trPr>
        <w:tc>
          <w:tcPr>
            <w:tcW w:w="0" w:type="auto"/>
          </w:tcPr>
          <w:p w14:paraId="22E7D7AB" w14:textId="231655E7" w:rsidR="00371943" w:rsidRDefault="00371943" w:rsidP="00FA530B">
            <w:pPr>
              <w:jc w:val="right"/>
              <w:rPr>
                <w:rFonts w:eastAsia="Calibri"/>
                <w:sz w:val="20"/>
                <w:szCs w:val="20"/>
              </w:rPr>
            </w:pPr>
            <w:r>
              <w:rPr>
                <w:rFonts w:eastAsia="Calibri"/>
                <w:sz w:val="20"/>
                <w:szCs w:val="20"/>
              </w:rPr>
              <w:t>FERC-515</w:t>
            </w:r>
          </w:p>
        </w:tc>
        <w:tc>
          <w:tcPr>
            <w:tcW w:w="0" w:type="auto"/>
          </w:tcPr>
          <w:p w14:paraId="5EC29D42" w14:textId="56BB38D6" w:rsidR="00371943" w:rsidRDefault="003866AD" w:rsidP="00FA530B">
            <w:pPr>
              <w:jc w:val="right"/>
              <w:rPr>
                <w:rFonts w:eastAsia="Calibri"/>
                <w:sz w:val="20"/>
                <w:szCs w:val="20"/>
              </w:rPr>
            </w:pPr>
            <w:r>
              <w:rPr>
                <w:rFonts w:eastAsia="Calibri"/>
                <w:sz w:val="20"/>
                <w:szCs w:val="20"/>
              </w:rPr>
              <w:t>6</w:t>
            </w:r>
          </w:p>
        </w:tc>
        <w:tc>
          <w:tcPr>
            <w:tcW w:w="0" w:type="auto"/>
          </w:tcPr>
          <w:p w14:paraId="6B17C829" w14:textId="6780576F" w:rsidR="00371943" w:rsidRDefault="003866AD" w:rsidP="00FA530B">
            <w:pPr>
              <w:jc w:val="right"/>
              <w:rPr>
                <w:rFonts w:eastAsia="Calibri"/>
                <w:sz w:val="20"/>
                <w:szCs w:val="20"/>
              </w:rPr>
            </w:pPr>
            <w:r>
              <w:rPr>
                <w:rFonts w:eastAsia="Calibri"/>
                <w:sz w:val="20"/>
                <w:szCs w:val="20"/>
              </w:rPr>
              <w:t>1</w:t>
            </w:r>
          </w:p>
        </w:tc>
        <w:tc>
          <w:tcPr>
            <w:tcW w:w="0" w:type="auto"/>
          </w:tcPr>
          <w:p w14:paraId="0A66CF46" w14:textId="41A73A88" w:rsidR="00371943" w:rsidRDefault="003866AD" w:rsidP="00FA530B">
            <w:pPr>
              <w:jc w:val="right"/>
              <w:rPr>
                <w:rFonts w:eastAsia="Calibri"/>
                <w:sz w:val="20"/>
                <w:szCs w:val="20"/>
              </w:rPr>
            </w:pPr>
            <w:r>
              <w:rPr>
                <w:rFonts w:eastAsia="Calibri"/>
                <w:sz w:val="20"/>
                <w:szCs w:val="20"/>
              </w:rPr>
              <w:t>6</w:t>
            </w:r>
          </w:p>
        </w:tc>
        <w:tc>
          <w:tcPr>
            <w:tcW w:w="0" w:type="auto"/>
          </w:tcPr>
          <w:p w14:paraId="477D3AE3" w14:textId="77777777" w:rsidR="00371943" w:rsidRDefault="003866AD" w:rsidP="00FA530B">
            <w:pPr>
              <w:jc w:val="right"/>
              <w:rPr>
                <w:rFonts w:eastAsia="Calibri"/>
                <w:sz w:val="20"/>
                <w:szCs w:val="20"/>
              </w:rPr>
            </w:pPr>
            <w:r>
              <w:rPr>
                <w:rFonts w:eastAsia="Calibri"/>
                <w:sz w:val="20"/>
                <w:szCs w:val="20"/>
              </w:rPr>
              <w:t>80 hrs.;</w:t>
            </w:r>
          </w:p>
          <w:p w14:paraId="252A6601" w14:textId="4CDB5F20" w:rsidR="003866AD" w:rsidRDefault="003866AD" w:rsidP="00FA530B">
            <w:pPr>
              <w:jc w:val="right"/>
              <w:rPr>
                <w:rFonts w:eastAsia="Calibri"/>
                <w:sz w:val="20"/>
                <w:szCs w:val="20"/>
              </w:rPr>
            </w:pPr>
            <w:r>
              <w:rPr>
                <w:rFonts w:eastAsia="Calibri"/>
                <w:sz w:val="20"/>
                <w:szCs w:val="20"/>
              </w:rPr>
              <w:t>$5,960</w:t>
            </w:r>
          </w:p>
        </w:tc>
        <w:tc>
          <w:tcPr>
            <w:tcW w:w="0" w:type="auto"/>
          </w:tcPr>
          <w:p w14:paraId="16DD3428" w14:textId="77777777" w:rsidR="00371943" w:rsidRDefault="003866AD" w:rsidP="00FA530B">
            <w:pPr>
              <w:jc w:val="right"/>
              <w:rPr>
                <w:rFonts w:eastAsia="Calibri"/>
                <w:sz w:val="20"/>
                <w:szCs w:val="20"/>
              </w:rPr>
            </w:pPr>
            <w:r>
              <w:rPr>
                <w:rFonts w:eastAsia="Calibri"/>
                <w:sz w:val="20"/>
                <w:szCs w:val="20"/>
              </w:rPr>
              <w:t>480 hrs.;</w:t>
            </w:r>
          </w:p>
          <w:p w14:paraId="66980954" w14:textId="470AB440" w:rsidR="003866AD" w:rsidRDefault="003866AD" w:rsidP="00FA530B">
            <w:pPr>
              <w:jc w:val="right"/>
              <w:rPr>
                <w:rFonts w:eastAsia="Calibri"/>
                <w:sz w:val="20"/>
                <w:szCs w:val="20"/>
              </w:rPr>
            </w:pPr>
            <w:r>
              <w:rPr>
                <w:rFonts w:eastAsia="Calibri"/>
                <w:sz w:val="20"/>
                <w:szCs w:val="20"/>
              </w:rPr>
              <w:t>$35,760</w:t>
            </w:r>
          </w:p>
        </w:tc>
        <w:tc>
          <w:tcPr>
            <w:tcW w:w="0" w:type="auto"/>
          </w:tcPr>
          <w:p w14:paraId="71AADAF7" w14:textId="00B1DD8F" w:rsidR="00371943" w:rsidRDefault="003866AD" w:rsidP="00FA530B">
            <w:pPr>
              <w:jc w:val="right"/>
              <w:rPr>
                <w:rFonts w:eastAsia="Calibri"/>
                <w:sz w:val="20"/>
                <w:szCs w:val="20"/>
              </w:rPr>
            </w:pPr>
            <w:r>
              <w:rPr>
                <w:rFonts w:eastAsia="Calibri"/>
                <w:sz w:val="20"/>
                <w:szCs w:val="20"/>
              </w:rPr>
              <w:t>$5,960</w:t>
            </w:r>
          </w:p>
        </w:tc>
      </w:tr>
    </w:tbl>
    <w:p w14:paraId="1C3AB85B" w14:textId="3F269ABA" w:rsidR="00BB6095" w:rsidRPr="00BB6095" w:rsidRDefault="00BB6095"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428D766A" w:rsidR="00EF40FF" w:rsidRPr="001D2EC1" w:rsidRDefault="003866AD" w:rsidP="00D97B44">
            <w:pPr>
              <w:pStyle w:val="ListParagraph"/>
              <w:spacing w:after="0" w:line="240" w:lineRule="auto"/>
              <w:ind w:left="0"/>
              <w:rPr>
                <w:rFonts w:ascii="Times New Roman" w:hAnsi="Times New Roman"/>
                <w:b/>
                <w:sz w:val="24"/>
                <w:szCs w:val="24"/>
              </w:rPr>
            </w:pPr>
            <w:r>
              <w:rPr>
                <w:rFonts w:ascii="Times New Roman" w:hAnsi="Times New Roman"/>
                <w:b/>
                <w:sz w:val="24"/>
                <w:szCs w:val="24"/>
              </w:rPr>
              <w:t>FERC-511</w:t>
            </w: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9"/>
            </w:r>
          </w:p>
        </w:tc>
        <w:tc>
          <w:tcPr>
            <w:tcW w:w="1627" w:type="pct"/>
            <w:shd w:val="clear" w:color="auto" w:fill="auto"/>
            <w:vAlign w:val="center"/>
          </w:tcPr>
          <w:p w14:paraId="169BBF54" w14:textId="5263CC6B" w:rsidR="00EF40FF" w:rsidRPr="001D2EC1" w:rsidRDefault="003866AD"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1.5</w:t>
            </w:r>
          </w:p>
        </w:tc>
        <w:tc>
          <w:tcPr>
            <w:tcW w:w="1617" w:type="pct"/>
            <w:shd w:val="clear" w:color="auto" w:fill="auto"/>
            <w:vAlign w:val="center"/>
          </w:tcPr>
          <w:p w14:paraId="7007B84E" w14:textId="269CF515" w:rsidR="00EF40FF" w:rsidRPr="001D2EC1" w:rsidRDefault="006B036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3866AD">
              <w:rPr>
                <w:rFonts w:ascii="Times New Roman" w:hAnsi="Times New Roman"/>
                <w:sz w:val="24"/>
                <w:szCs w:val="24"/>
              </w:rPr>
              <w:t>231,971</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10"/>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11"/>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675225F8" w:rsidR="00EF40FF" w:rsidRPr="001D2EC1" w:rsidRDefault="006441AD"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3AF0D4D6" w:rsidR="00EF40FF" w:rsidRPr="001D2EC1" w:rsidRDefault="00714117"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3866AD">
              <w:rPr>
                <w:rFonts w:ascii="Times New Roman" w:hAnsi="Times New Roman"/>
                <w:sz w:val="24"/>
                <w:szCs w:val="24"/>
              </w:rPr>
              <w:t>237,452</w:t>
            </w:r>
          </w:p>
        </w:tc>
      </w:tr>
    </w:tbl>
    <w:p w14:paraId="6E71933C" w14:textId="77777777" w:rsidR="00EF40FF"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3866AD" w:rsidRPr="001D2EC1" w14:paraId="39A90977" w14:textId="77777777" w:rsidTr="001301B5">
        <w:tc>
          <w:tcPr>
            <w:tcW w:w="1756" w:type="pct"/>
            <w:shd w:val="clear" w:color="auto" w:fill="D9D9D9"/>
            <w:vAlign w:val="center"/>
          </w:tcPr>
          <w:p w14:paraId="7548E257" w14:textId="25308660" w:rsidR="003866AD" w:rsidRPr="001D2EC1" w:rsidRDefault="003866AD" w:rsidP="001301B5">
            <w:pPr>
              <w:pStyle w:val="ListParagraph"/>
              <w:spacing w:after="0" w:line="240" w:lineRule="auto"/>
              <w:ind w:left="0"/>
              <w:rPr>
                <w:rFonts w:ascii="Times New Roman" w:hAnsi="Times New Roman"/>
                <w:b/>
                <w:sz w:val="24"/>
                <w:szCs w:val="24"/>
              </w:rPr>
            </w:pPr>
            <w:r>
              <w:rPr>
                <w:rFonts w:ascii="Times New Roman" w:hAnsi="Times New Roman"/>
                <w:b/>
                <w:sz w:val="24"/>
                <w:szCs w:val="24"/>
              </w:rPr>
              <w:t>FERC-515</w:t>
            </w:r>
          </w:p>
        </w:tc>
        <w:tc>
          <w:tcPr>
            <w:tcW w:w="1627" w:type="pct"/>
            <w:shd w:val="clear" w:color="auto" w:fill="D9D9D9"/>
            <w:vAlign w:val="center"/>
          </w:tcPr>
          <w:p w14:paraId="08202BE7" w14:textId="77777777" w:rsidR="003866AD" w:rsidRPr="001D2EC1" w:rsidRDefault="003866AD" w:rsidP="001301B5">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5540FFFA" w14:textId="77777777" w:rsidR="003866AD" w:rsidRPr="001D2EC1" w:rsidRDefault="003866AD" w:rsidP="001301B5">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3866AD" w:rsidRPr="001D2EC1" w14:paraId="57C10B0C" w14:textId="77777777" w:rsidTr="001301B5">
        <w:tc>
          <w:tcPr>
            <w:tcW w:w="1756" w:type="pct"/>
            <w:shd w:val="clear" w:color="auto" w:fill="auto"/>
            <w:vAlign w:val="center"/>
          </w:tcPr>
          <w:p w14:paraId="24DCE66F" w14:textId="77777777" w:rsidR="003866AD" w:rsidRPr="001D2EC1" w:rsidRDefault="003866AD" w:rsidP="001301B5">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12"/>
            </w:r>
          </w:p>
        </w:tc>
        <w:tc>
          <w:tcPr>
            <w:tcW w:w="1627" w:type="pct"/>
            <w:shd w:val="clear" w:color="auto" w:fill="auto"/>
            <w:vAlign w:val="center"/>
          </w:tcPr>
          <w:p w14:paraId="4980FFBF" w14:textId="6FD89AFC" w:rsidR="003866AD" w:rsidRPr="001D2EC1" w:rsidRDefault="003866AD" w:rsidP="001301B5">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1.5</w:t>
            </w:r>
          </w:p>
        </w:tc>
        <w:tc>
          <w:tcPr>
            <w:tcW w:w="1617" w:type="pct"/>
            <w:shd w:val="clear" w:color="auto" w:fill="auto"/>
            <w:vAlign w:val="center"/>
          </w:tcPr>
          <w:p w14:paraId="74E030E7" w14:textId="49BE119B" w:rsidR="003866AD" w:rsidRPr="001D2EC1" w:rsidRDefault="003866AD" w:rsidP="001301B5">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$231,971</w:t>
            </w:r>
          </w:p>
        </w:tc>
      </w:tr>
      <w:tr w:rsidR="003866AD" w:rsidRPr="001D2EC1" w14:paraId="23D57149" w14:textId="77777777" w:rsidTr="001301B5">
        <w:tc>
          <w:tcPr>
            <w:tcW w:w="1756" w:type="pct"/>
            <w:shd w:val="clear" w:color="auto" w:fill="auto"/>
            <w:vAlign w:val="center"/>
          </w:tcPr>
          <w:p w14:paraId="23D1B263" w14:textId="77777777" w:rsidR="003866AD" w:rsidRPr="001D2EC1" w:rsidRDefault="003866AD" w:rsidP="001301B5">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lastRenderedPageBreak/>
              <w:t>PRA</w:t>
            </w:r>
            <w:r w:rsidRPr="001D2EC1">
              <w:rPr>
                <w:rStyle w:val="FootnoteReference"/>
                <w:rFonts w:ascii="Times New Roman" w:hAnsi="Times New Roman"/>
                <w:sz w:val="24"/>
                <w:szCs w:val="24"/>
                <w:vertAlign w:val="superscript"/>
              </w:rPr>
              <w:footnoteReference w:id="13"/>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14"/>
            </w:r>
          </w:p>
        </w:tc>
        <w:tc>
          <w:tcPr>
            <w:tcW w:w="1627" w:type="pct"/>
            <w:shd w:val="clear" w:color="auto" w:fill="D9D9D9"/>
            <w:vAlign w:val="center"/>
          </w:tcPr>
          <w:p w14:paraId="3EB55070" w14:textId="77777777" w:rsidR="003866AD" w:rsidRPr="001D2EC1" w:rsidRDefault="003866AD" w:rsidP="001301B5">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4CDBB5AC" w14:textId="77777777" w:rsidR="003866AD" w:rsidRPr="001D2EC1" w:rsidRDefault="003866AD" w:rsidP="001301B5">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3866AD" w:rsidRPr="001D2EC1" w14:paraId="5B645A21" w14:textId="77777777" w:rsidTr="001301B5">
        <w:tc>
          <w:tcPr>
            <w:tcW w:w="1756" w:type="pct"/>
            <w:shd w:val="clear" w:color="auto" w:fill="auto"/>
            <w:vAlign w:val="center"/>
          </w:tcPr>
          <w:p w14:paraId="4E67C347" w14:textId="77777777" w:rsidR="003866AD" w:rsidRPr="001D2EC1" w:rsidRDefault="003866AD" w:rsidP="001301B5">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7DBB58C0" w14:textId="77777777" w:rsidR="003866AD" w:rsidRPr="001D2EC1" w:rsidRDefault="003866AD" w:rsidP="001301B5">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1748B56A" w14:textId="66C86397" w:rsidR="003866AD" w:rsidRPr="001D2EC1" w:rsidRDefault="003866AD" w:rsidP="001301B5">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$237,452</w:t>
            </w:r>
          </w:p>
        </w:tc>
      </w:tr>
    </w:tbl>
    <w:p w14:paraId="213D5A31" w14:textId="77777777" w:rsidR="003866AD" w:rsidRDefault="003866AD" w:rsidP="00EF40FF">
      <w:pPr>
        <w:pStyle w:val="ListParagraph"/>
        <w:spacing w:after="0" w:line="240" w:lineRule="auto"/>
        <w:rPr>
          <w:rFonts w:ascii="Times New Roman" w:hAnsi="Times New Roman"/>
          <w:b/>
          <w:sz w:val="24"/>
          <w:szCs w:val="24"/>
        </w:rPr>
      </w:pPr>
    </w:p>
    <w:p w14:paraId="49B9BB07" w14:textId="77777777" w:rsidR="003866AD" w:rsidRPr="001D2EC1" w:rsidRDefault="003866AD"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33D9AD21" w14:textId="32DA6475" w:rsidR="008D423C" w:rsidRDefault="008D423C" w:rsidP="001D1355">
      <w:r w:rsidRPr="00BD33C9">
        <w:rPr>
          <w:u w:val="single"/>
        </w:rPr>
        <w:t>FERC-511</w:t>
      </w:r>
      <w:r>
        <w:t>:</w:t>
      </w:r>
    </w:p>
    <w:p w14:paraId="06192D7C" w14:textId="1E52048F" w:rsidR="00545B62" w:rsidRDefault="000541E0" w:rsidP="001D1355">
      <w:r>
        <w:t>The Commission is making no changes to reporting requirements or the resultant burden estimate.</w:t>
      </w:r>
      <w:r w:rsidR="008D423C">
        <w:t xml:space="preserve">  However, there has been an increase in </w:t>
      </w:r>
      <w:r w:rsidR="003E3B25">
        <w:t>applications submitted due to increase activity in hydroelectric projects.</w:t>
      </w:r>
    </w:p>
    <w:p w14:paraId="5C6B6016" w14:textId="77777777" w:rsidR="003E3B25" w:rsidRDefault="003E3B25" w:rsidP="001D1355"/>
    <w:p w14:paraId="0E157753" w14:textId="46DFF518" w:rsidR="003E3B25" w:rsidRDefault="003E3B25" w:rsidP="001D1355">
      <w:r w:rsidRPr="00BD33C9">
        <w:rPr>
          <w:u w:val="single"/>
        </w:rPr>
        <w:t>FERC-515</w:t>
      </w:r>
      <w:r>
        <w:t>:</w:t>
      </w:r>
    </w:p>
    <w:p w14:paraId="0B30E727" w14:textId="6C6781C7" w:rsidR="003E3B25" w:rsidRDefault="003E3B25" w:rsidP="001D1355">
      <w:r>
        <w:t>There are no changes to reporting requirements. The change in burden is due entirely to normal fluctuation in the number of respondents (</w:t>
      </w:r>
      <w:r w:rsidR="00BD33C9">
        <w:t>i.e. potential developers of hydroelectric projects).</w:t>
      </w:r>
    </w:p>
    <w:p w14:paraId="37F0AF8F" w14:textId="77777777" w:rsidR="00F9384F" w:rsidRDefault="00F9384F" w:rsidP="00EF40FF">
      <w:pPr>
        <w:widowControl/>
      </w:pPr>
    </w:p>
    <w:p w14:paraId="0EF2A067" w14:textId="730A5FBE" w:rsidR="00545B62" w:rsidRPr="00545B62" w:rsidRDefault="00545B62" w:rsidP="00545B62">
      <w:pPr>
        <w:rPr>
          <w:szCs w:val="26"/>
        </w:rPr>
      </w:pPr>
      <w:r>
        <w:rPr>
          <w:szCs w:val="26"/>
        </w:rPr>
        <w:t xml:space="preserve">The following table shows the </w:t>
      </w:r>
      <w:r w:rsidR="00607DF1">
        <w:rPr>
          <w:szCs w:val="26"/>
        </w:rPr>
        <w:t xml:space="preserve">annual </w:t>
      </w:r>
      <w:r>
        <w:rPr>
          <w:szCs w:val="26"/>
        </w:rPr>
        <w:t>total burden of the collection</w:t>
      </w:r>
      <w:r w:rsidR="004B6E35">
        <w:rPr>
          <w:szCs w:val="26"/>
        </w:rPr>
        <w:t>s</w:t>
      </w:r>
      <w:r>
        <w:rPr>
          <w:szCs w:val="26"/>
        </w:rPr>
        <w:t xml:space="preserve">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11209B4D" w:rsidR="00EF40FF" w:rsidRPr="001D2EC1" w:rsidRDefault="001D1355" w:rsidP="00D97B44">
            <w:pPr>
              <w:jc w:val="center"/>
              <w:rPr>
                <w:b/>
              </w:rPr>
            </w:pPr>
            <w:r>
              <w:rPr>
                <w:b/>
              </w:rPr>
              <w:t>F</w:t>
            </w:r>
            <w:r w:rsidR="003866AD">
              <w:rPr>
                <w:b/>
              </w:rPr>
              <w:t>ERC-511</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17204055" w:rsidR="00EF40FF" w:rsidRPr="001D2EC1" w:rsidRDefault="00353DC5" w:rsidP="00D97B44">
            <w:pPr>
              <w:jc w:val="right"/>
            </w:pPr>
            <w:r>
              <w:t>46</w:t>
            </w:r>
          </w:p>
        </w:tc>
        <w:tc>
          <w:tcPr>
            <w:tcW w:w="854" w:type="pct"/>
            <w:shd w:val="clear" w:color="auto" w:fill="auto"/>
            <w:vAlign w:val="center"/>
          </w:tcPr>
          <w:p w14:paraId="39A0261D" w14:textId="43DA0846" w:rsidR="00EF40FF" w:rsidRPr="001D2EC1" w:rsidRDefault="00353DC5" w:rsidP="00D97B44">
            <w:pPr>
              <w:jc w:val="right"/>
            </w:pPr>
            <w:r>
              <w:t>23</w:t>
            </w:r>
          </w:p>
        </w:tc>
        <w:tc>
          <w:tcPr>
            <w:tcW w:w="1010" w:type="pct"/>
            <w:shd w:val="clear" w:color="auto" w:fill="auto"/>
            <w:vAlign w:val="center"/>
          </w:tcPr>
          <w:p w14:paraId="4FE2F429" w14:textId="0B2FD290" w:rsidR="00EF40FF" w:rsidRPr="001D2EC1" w:rsidRDefault="00353DC5" w:rsidP="00D97B44">
            <w:pPr>
              <w:jc w:val="right"/>
            </w:pPr>
            <w:r>
              <w:t>23</w:t>
            </w:r>
          </w:p>
        </w:tc>
        <w:tc>
          <w:tcPr>
            <w:tcW w:w="865" w:type="pct"/>
            <w:shd w:val="clear" w:color="auto" w:fill="auto"/>
            <w:vAlign w:val="center"/>
          </w:tcPr>
          <w:p w14:paraId="50BDA9A0" w14:textId="77777777" w:rsidR="00EF40FF" w:rsidRPr="001D2EC1" w:rsidRDefault="00EF40FF" w:rsidP="00D97B44">
            <w:pPr>
              <w:jc w:val="right"/>
            </w:pPr>
            <w:r w:rsidRPr="001D2EC1">
              <w:t>0</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3439BEED" w:rsidR="00EF40FF" w:rsidRPr="001D2EC1" w:rsidRDefault="00353DC5" w:rsidP="00D97B44">
            <w:pPr>
              <w:jc w:val="right"/>
            </w:pPr>
            <w:r>
              <w:t>1,840</w:t>
            </w:r>
          </w:p>
        </w:tc>
        <w:tc>
          <w:tcPr>
            <w:tcW w:w="854" w:type="pct"/>
            <w:shd w:val="clear" w:color="auto" w:fill="auto"/>
            <w:vAlign w:val="center"/>
          </w:tcPr>
          <w:p w14:paraId="0EED3422" w14:textId="1AD6D989" w:rsidR="00EF40FF" w:rsidRPr="001D2EC1" w:rsidRDefault="00353DC5" w:rsidP="00D97B44">
            <w:pPr>
              <w:jc w:val="right"/>
            </w:pPr>
            <w:r>
              <w:t>920</w:t>
            </w:r>
          </w:p>
        </w:tc>
        <w:tc>
          <w:tcPr>
            <w:tcW w:w="1010" w:type="pct"/>
            <w:shd w:val="clear" w:color="auto" w:fill="auto"/>
            <w:vAlign w:val="center"/>
          </w:tcPr>
          <w:p w14:paraId="3CF5B872" w14:textId="7E8D9E82" w:rsidR="00EF40FF" w:rsidRPr="001D2EC1" w:rsidRDefault="00353DC5" w:rsidP="00D97B44">
            <w:pPr>
              <w:jc w:val="right"/>
            </w:pPr>
            <w:r>
              <w:t>920</w:t>
            </w:r>
          </w:p>
        </w:tc>
        <w:tc>
          <w:tcPr>
            <w:tcW w:w="865" w:type="pct"/>
            <w:shd w:val="clear" w:color="auto" w:fill="auto"/>
            <w:vAlign w:val="center"/>
          </w:tcPr>
          <w:p w14:paraId="39B1BAD1" w14:textId="77777777" w:rsidR="00EF40FF" w:rsidRPr="001D2EC1" w:rsidRDefault="00EF40FF" w:rsidP="00D97B44">
            <w:pPr>
              <w:jc w:val="right"/>
            </w:pPr>
            <w:r w:rsidRPr="001D2EC1">
              <w:t>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3866AD" w:rsidRPr="001D2EC1" w14:paraId="187DA08B" w14:textId="77777777" w:rsidTr="001301B5">
        <w:trPr>
          <w:trHeight w:val="870"/>
        </w:trPr>
        <w:tc>
          <w:tcPr>
            <w:tcW w:w="1442" w:type="pct"/>
            <w:shd w:val="clear" w:color="auto" w:fill="D9D9D9"/>
            <w:vAlign w:val="bottom"/>
          </w:tcPr>
          <w:p w14:paraId="6F94A145" w14:textId="35567136" w:rsidR="003866AD" w:rsidRPr="001D2EC1" w:rsidRDefault="003866AD" w:rsidP="001301B5">
            <w:pPr>
              <w:jc w:val="center"/>
              <w:rPr>
                <w:b/>
              </w:rPr>
            </w:pPr>
            <w:r>
              <w:rPr>
                <w:b/>
              </w:rPr>
              <w:t>FERC-515</w:t>
            </w:r>
          </w:p>
        </w:tc>
        <w:tc>
          <w:tcPr>
            <w:tcW w:w="829" w:type="pct"/>
            <w:shd w:val="clear" w:color="auto" w:fill="D9D9D9"/>
            <w:vAlign w:val="bottom"/>
          </w:tcPr>
          <w:p w14:paraId="33FBB77F" w14:textId="77777777" w:rsidR="003866AD" w:rsidRPr="001D2EC1" w:rsidRDefault="003866AD" w:rsidP="001301B5">
            <w:pPr>
              <w:jc w:val="center"/>
              <w:rPr>
                <w:b/>
              </w:rPr>
            </w:pPr>
            <w:r w:rsidRPr="001D2EC1">
              <w:rPr>
                <w:b/>
              </w:rPr>
              <w:t>Total Request</w:t>
            </w:r>
          </w:p>
        </w:tc>
        <w:tc>
          <w:tcPr>
            <w:tcW w:w="854" w:type="pct"/>
            <w:shd w:val="clear" w:color="auto" w:fill="D9D9D9"/>
            <w:vAlign w:val="bottom"/>
          </w:tcPr>
          <w:p w14:paraId="5ABB5E79" w14:textId="77777777" w:rsidR="003866AD" w:rsidRPr="001D2EC1" w:rsidRDefault="003866AD" w:rsidP="001301B5">
            <w:pPr>
              <w:jc w:val="center"/>
              <w:rPr>
                <w:b/>
              </w:rPr>
            </w:pPr>
            <w:r w:rsidRPr="001D2EC1">
              <w:rPr>
                <w:b/>
              </w:rPr>
              <w:t>Previously Approved</w:t>
            </w:r>
          </w:p>
        </w:tc>
        <w:tc>
          <w:tcPr>
            <w:tcW w:w="1010" w:type="pct"/>
            <w:shd w:val="clear" w:color="auto" w:fill="D9D9D9"/>
            <w:vAlign w:val="bottom"/>
          </w:tcPr>
          <w:p w14:paraId="612431E7" w14:textId="77777777" w:rsidR="003866AD" w:rsidRPr="001D2EC1" w:rsidRDefault="003866AD" w:rsidP="001301B5">
            <w:pPr>
              <w:jc w:val="center"/>
              <w:rPr>
                <w:b/>
              </w:rPr>
            </w:pPr>
            <w:r w:rsidRPr="001D2EC1">
              <w:rPr>
                <w:b/>
              </w:rPr>
              <w:t>Change due to Adjustment in Estimate</w:t>
            </w:r>
          </w:p>
        </w:tc>
        <w:tc>
          <w:tcPr>
            <w:tcW w:w="865" w:type="pct"/>
            <w:shd w:val="clear" w:color="auto" w:fill="D9D9D9"/>
            <w:vAlign w:val="bottom"/>
          </w:tcPr>
          <w:p w14:paraId="449B64FA" w14:textId="77777777" w:rsidR="003866AD" w:rsidRPr="001D2EC1" w:rsidRDefault="003866AD" w:rsidP="001301B5">
            <w:pPr>
              <w:jc w:val="center"/>
              <w:rPr>
                <w:b/>
              </w:rPr>
            </w:pPr>
            <w:r w:rsidRPr="001D2EC1">
              <w:rPr>
                <w:b/>
              </w:rPr>
              <w:t>Change Due to Agency Discretion</w:t>
            </w:r>
          </w:p>
        </w:tc>
      </w:tr>
      <w:tr w:rsidR="003866AD" w:rsidRPr="001D2EC1" w14:paraId="6C392441" w14:textId="77777777" w:rsidTr="001301B5">
        <w:trPr>
          <w:trHeight w:val="591"/>
        </w:trPr>
        <w:tc>
          <w:tcPr>
            <w:tcW w:w="1442" w:type="pct"/>
            <w:shd w:val="clear" w:color="auto" w:fill="auto"/>
          </w:tcPr>
          <w:p w14:paraId="2684A02E" w14:textId="77777777" w:rsidR="003866AD" w:rsidRPr="001D2EC1" w:rsidRDefault="003866AD" w:rsidP="001301B5">
            <w:pPr>
              <w:jc w:val="center"/>
            </w:pPr>
            <w:r w:rsidRPr="001D2EC1">
              <w:t>Annual Number of Responses</w:t>
            </w:r>
          </w:p>
        </w:tc>
        <w:tc>
          <w:tcPr>
            <w:tcW w:w="829" w:type="pct"/>
            <w:shd w:val="clear" w:color="auto" w:fill="auto"/>
            <w:vAlign w:val="center"/>
          </w:tcPr>
          <w:p w14:paraId="4901DA94" w14:textId="16F45443" w:rsidR="003866AD" w:rsidRPr="001D2EC1" w:rsidRDefault="00353DC5" w:rsidP="001301B5">
            <w:pPr>
              <w:jc w:val="right"/>
            </w:pPr>
            <w:r>
              <w:t>6</w:t>
            </w:r>
          </w:p>
        </w:tc>
        <w:tc>
          <w:tcPr>
            <w:tcW w:w="854" w:type="pct"/>
            <w:shd w:val="clear" w:color="auto" w:fill="auto"/>
            <w:vAlign w:val="center"/>
          </w:tcPr>
          <w:p w14:paraId="672B3FBF" w14:textId="7D4657AF" w:rsidR="003866AD" w:rsidRPr="001D2EC1" w:rsidRDefault="00183D26" w:rsidP="001301B5">
            <w:pPr>
              <w:jc w:val="right"/>
            </w:pPr>
            <w:r>
              <w:t>10</w:t>
            </w:r>
          </w:p>
        </w:tc>
        <w:tc>
          <w:tcPr>
            <w:tcW w:w="1010" w:type="pct"/>
            <w:shd w:val="clear" w:color="auto" w:fill="auto"/>
            <w:vAlign w:val="center"/>
          </w:tcPr>
          <w:p w14:paraId="01397661" w14:textId="334E9FDD" w:rsidR="003866AD" w:rsidRPr="001D2EC1" w:rsidRDefault="00183D26" w:rsidP="001301B5">
            <w:pPr>
              <w:jc w:val="right"/>
            </w:pPr>
            <w:r>
              <w:t>-4</w:t>
            </w:r>
          </w:p>
        </w:tc>
        <w:tc>
          <w:tcPr>
            <w:tcW w:w="865" w:type="pct"/>
            <w:shd w:val="clear" w:color="auto" w:fill="auto"/>
            <w:vAlign w:val="center"/>
          </w:tcPr>
          <w:p w14:paraId="147F219C" w14:textId="77777777" w:rsidR="003866AD" w:rsidRPr="001D2EC1" w:rsidRDefault="003866AD" w:rsidP="001301B5">
            <w:pPr>
              <w:jc w:val="right"/>
            </w:pPr>
            <w:r w:rsidRPr="001D2EC1">
              <w:t>0</w:t>
            </w:r>
          </w:p>
        </w:tc>
      </w:tr>
      <w:tr w:rsidR="003866AD" w:rsidRPr="001D2EC1" w14:paraId="59005D89" w14:textId="77777777" w:rsidTr="001301B5">
        <w:trPr>
          <w:trHeight w:val="575"/>
        </w:trPr>
        <w:tc>
          <w:tcPr>
            <w:tcW w:w="1442" w:type="pct"/>
            <w:shd w:val="clear" w:color="auto" w:fill="auto"/>
          </w:tcPr>
          <w:p w14:paraId="6730BAFF" w14:textId="77777777" w:rsidR="003866AD" w:rsidRPr="001D2EC1" w:rsidRDefault="003866AD" w:rsidP="001301B5">
            <w:pPr>
              <w:jc w:val="center"/>
            </w:pPr>
            <w:r w:rsidRPr="001D2EC1">
              <w:lastRenderedPageBreak/>
              <w:t>Annual Time Burden (Hours)</w:t>
            </w:r>
          </w:p>
        </w:tc>
        <w:tc>
          <w:tcPr>
            <w:tcW w:w="829" w:type="pct"/>
            <w:shd w:val="clear" w:color="auto" w:fill="auto"/>
            <w:vAlign w:val="center"/>
          </w:tcPr>
          <w:p w14:paraId="5382C817" w14:textId="3755EF1F" w:rsidR="003866AD" w:rsidRPr="001D2EC1" w:rsidRDefault="00183D26" w:rsidP="001301B5">
            <w:pPr>
              <w:jc w:val="right"/>
            </w:pPr>
            <w:r>
              <w:t>480</w:t>
            </w:r>
          </w:p>
        </w:tc>
        <w:tc>
          <w:tcPr>
            <w:tcW w:w="854" w:type="pct"/>
            <w:shd w:val="clear" w:color="auto" w:fill="auto"/>
            <w:vAlign w:val="center"/>
          </w:tcPr>
          <w:p w14:paraId="5B42F312" w14:textId="37610EF2" w:rsidR="003866AD" w:rsidRPr="001D2EC1" w:rsidRDefault="00183D26" w:rsidP="001301B5">
            <w:pPr>
              <w:jc w:val="right"/>
            </w:pPr>
            <w:r>
              <w:t>800</w:t>
            </w:r>
          </w:p>
        </w:tc>
        <w:tc>
          <w:tcPr>
            <w:tcW w:w="1010" w:type="pct"/>
            <w:shd w:val="clear" w:color="auto" w:fill="auto"/>
            <w:vAlign w:val="center"/>
          </w:tcPr>
          <w:p w14:paraId="3273D5C7" w14:textId="72347F12" w:rsidR="003866AD" w:rsidRPr="001D2EC1" w:rsidRDefault="00183D26" w:rsidP="001301B5">
            <w:pPr>
              <w:jc w:val="right"/>
            </w:pPr>
            <w:r>
              <w:t>-320</w:t>
            </w:r>
          </w:p>
        </w:tc>
        <w:tc>
          <w:tcPr>
            <w:tcW w:w="865" w:type="pct"/>
            <w:shd w:val="clear" w:color="auto" w:fill="auto"/>
            <w:vAlign w:val="center"/>
          </w:tcPr>
          <w:p w14:paraId="20DCFDC6" w14:textId="77777777" w:rsidR="003866AD" w:rsidRPr="001D2EC1" w:rsidRDefault="003866AD" w:rsidP="001301B5">
            <w:pPr>
              <w:jc w:val="right"/>
            </w:pPr>
            <w:r w:rsidRPr="001D2EC1">
              <w:t>0</w:t>
            </w:r>
          </w:p>
        </w:tc>
      </w:tr>
      <w:tr w:rsidR="003866AD" w:rsidRPr="001D2EC1" w14:paraId="1C27DFED" w14:textId="77777777" w:rsidTr="001301B5">
        <w:trPr>
          <w:trHeight w:val="295"/>
        </w:trPr>
        <w:tc>
          <w:tcPr>
            <w:tcW w:w="1442" w:type="pct"/>
            <w:tcBorders>
              <w:bottom w:val="single" w:sz="4" w:space="0" w:color="auto"/>
            </w:tcBorders>
            <w:shd w:val="clear" w:color="auto" w:fill="auto"/>
          </w:tcPr>
          <w:p w14:paraId="7E112AFB" w14:textId="77777777" w:rsidR="003866AD" w:rsidRPr="001D2EC1" w:rsidRDefault="003866AD" w:rsidP="001301B5">
            <w:pPr>
              <w:jc w:val="center"/>
            </w:pPr>
            <w:r w:rsidRPr="001D2EC1">
              <w:t>Annual Cost Burden ($)</w:t>
            </w:r>
          </w:p>
        </w:tc>
        <w:tc>
          <w:tcPr>
            <w:tcW w:w="829" w:type="pct"/>
            <w:tcBorders>
              <w:bottom w:val="single" w:sz="4" w:space="0" w:color="auto"/>
            </w:tcBorders>
            <w:shd w:val="clear" w:color="auto" w:fill="auto"/>
            <w:vAlign w:val="center"/>
          </w:tcPr>
          <w:p w14:paraId="73AAD3B2" w14:textId="77777777" w:rsidR="003866AD" w:rsidRPr="001D2EC1" w:rsidRDefault="003866AD" w:rsidP="001301B5">
            <w:pPr>
              <w:jc w:val="right"/>
            </w:pPr>
            <w:r w:rsidRPr="001D2EC1">
              <w:t>$0</w:t>
            </w:r>
          </w:p>
        </w:tc>
        <w:tc>
          <w:tcPr>
            <w:tcW w:w="854" w:type="pct"/>
            <w:tcBorders>
              <w:bottom w:val="single" w:sz="4" w:space="0" w:color="auto"/>
            </w:tcBorders>
            <w:shd w:val="clear" w:color="auto" w:fill="auto"/>
            <w:vAlign w:val="center"/>
          </w:tcPr>
          <w:p w14:paraId="7B883EE2" w14:textId="77777777" w:rsidR="003866AD" w:rsidRPr="001D2EC1" w:rsidRDefault="003866AD" w:rsidP="001301B5">
            <w:pPr>
              <w:jc w:val="right"/>
            </w:pPr>
            <w:r w:rsidRPr="001D2EC1">
              <w:t>$0</w:t>
            </w:r>
          </w:p>
        </w:tc>
        <w:tc>
          <w:tcPr>
            <w:tcW w:w="1010" w:type="pct"/>
            <w:tcBorders>
              <w:bottom w:val="single" w:sz="4" w:space="0" w:color="auto"/>
            </w:tcBorders>
            <w:shd w:val="clear" w:color="auto" w:fill="auto"/>
            <w:vAlign w:val="center"/>
          </w:tcPr>
          <w:p w14:paraId="34E1619C" w14:textId="77777777" w:rsidR="003866AD" w:rsidRPr="001D2EC1" w:rsidRDefault="003866AD" w:rsidP="001301B5">
            <w:pPr>
              <w:jc w:val="right"/>
            </w:pPr>
            <w:r w:rsidRPr="001D2EC1">
              <w:t>$0</w:t>
            </w:r>
          </w:p>
        </w:tc>
        <w:tc>
          <w:tcPr>
            <w:tcW w:w="865" w:type="pct"/>
            <w:tcBorders>
              <w:bottom w:val="single" w:sz="4" w:space="0" w:color="auto"/>
            </w:tcBorders>
            <w:shd w:val="clear" w:color="auto" w:fill="auto"/>
            <w:vAlign w:val="center"/>
          </w:tcPr>
          <w:p w14:paraId="456A5ABD" w14:textId="77777777" w:rsidR="003866AD" w:rsidRPr="001D2EC1" w:rsidRDefault="003866AD" w:rsidP="001301B5">
            <w:pPr>
              <w:jc w:val="right"/>
            </w:pPr>
            <w:r>
              <w:t>$</w:t>
            </w:r>
            <w:r w:rsidRPr="001D2EC1">
              <w:t>0</w:t>
            </w:r>
          </w:p>
        </w:tc>
      </w:tr>
    </w:tbl>
    <w:p w14:paraId="29960F64" w14:textId="77777777" w:rsidR="00EF40FF" w:rsidRDefault="00EF40FF" w:rsidP="00EF40FF">
      <w:pPr>
        <w:pStyle w:val="FERCparanumber"/>
        <w:numPr>
          <w:ilvl w:val="0"/>
          <w:numId w:val="0"/>
        </w:numPr>
        <w:rPr>
          <w:b/>
          <w:sz w:val="24"/>
        </w:rPr>
      </w:pPr>
    </w:p>
    <w:p w14:paraId="1C9DDF85" w14:textId="77777777" w:rsidR="003866AD" w:rsidRDefault="003866AD"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587C08CA" w14:textId="18CF467A" w:rsidR="006441AD" w:rsidRDefault="006441AD" w:rsidP="006441AD">
      <w:r>
        <w:t xml:space="preserve">The expiration date is displayed in a table posted on ferc.gov at </w:t>
      </w:r>
      <w:hyperlink r:id="rId13" w:history="1">
        <w:r w:rsidRPr="00C90564">
          <w:rPr>
            <w:rStyle w:val="Hyperlink"/>
          </w:rPr>
          <w:t>http://www.ferc.gov/docs-filing/info-collections.asp</w:t>
        </w:r>
      </w:hyperlink>
      <w:r>
        <w:t>.</w:t>
      </w:r>
    </w:p>
    <w:p w14:paraId="00403C61" w14:textId="77777777" w:rsidR="00EF40FF" w:rsidRDefault="00EF40FF"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2C9C6" w14:textId="77777777" w:rsidR="003E5B70" w:rsidRDefault="003E5B70" w:rsidP="009D6B6D">
      <w:r>
        <w:separator/>
      </w:r>
    </w:p>
  </w:endnote>
  <w:endnote w:type="continuationSeparator" w:id="0">
    <w:p w14:paraId="19F035EF" w14:textId="77777777" w:rsidR="003E5B70" w:rsidRDefault="003E5B70"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0620">
          <w:rPr>
            <w:noProof/>
          </w:rPr>
          <w:t>1</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78944" w14:textId="77777777" w:rsidR="003E5B70" w:rsidRDefault="003E5B70" w:rsidP="009D6B6D">
      <w:r>
        <w:separator/>
      </w:r>
    </w:p>
  </w:footnote>
  <w:footnote w:type="continuationSeparator" w:id="0">
    <w:p w14:paraId="22BB5263" w14:textId="77777777" w:rsidR="003E5B70" w:rsidRDefault="003E5B70" w:rsidP="009D6B6D">
      <w:r>
        <w:continuationSeparator/>
      </w:r>
    </w:p>
  </w:footnote>
  <w:footnote w:id="1">
    <w:p w14:paraId="4EB41995" w14:textId="77777777" w:rsidR="002B2810" w:rsidRPr="00B306E0" w:rsidRDefault="002B2810" w:rsidP="002B2810">
      <w:pPr>
        <w:pStyle w:val="FootnoteText"/>
        <w:rPr>
          <w:szCs w:val="26"/>
          <w:lang w:val="fr-FR"/>
        </w:rPr>
      </w:pPr>
      <w:r w:rsidRPr="00BD33C9">
        <w:rPr>
          <w:rStyle w:val="FootnoteReference"/>
          <w:b/>
          <w:vertAlign w:val="superscript"/>
        </w:rPr>
        <w:footnoteRef/>
      </w:r>
      <w:r w:rsidRPr="00BD33C9">
        <w:rPr>
          <w:b/>
          <w:szCs w:val="26"/>
          <w:lang w:val="fr-FR"/>
        </w:rPr>
        <w:t xml:space="preserve"> </w:t>
      </w:r>
      <w:r w:rsidRPr="00B306E0">
        <w:rPr>
          <w:szCs w:val="26"/>
          <w:lang w:val="fr-FR"/>
        </w:rPr>
        <w:t>16 U.S.C. Sections 791a et seq. (2000)</w:t>
      </w:r>
    </w:p>
  </w:footnote>
  <w:footnote w:id="2">
    <w:p w14:paraId="6E4647D6" w14:textId="77777777" w:rsidR="002B2810" w:rsidRDefault="002B2810" w:rsidP="002B2810">
      <w:pPr>
        <w:pStyle w:val="FootnoteText"/>
      </w:pPr>
      <w:r w:rsidRPr="00BD33C9">
        <w:rPr>
          <w:rStyle w:val="FootnoteReference"/>
          <w:b/>
          <w:vertAlign w:val="superscript"/>
        </w:rPr>
        <w:footnoteRef/>
      </w:r>
      <w:r w:rsidRPr="00BD33C9">
        <w:rPr>
          <w:szCs w:val="26"/>
          <w:vertAlign w:val="superscript"/>
        </w:rPr>
        <w:t xml:space="preserve"> </w:t>
      </w:r>
      <w:r w:rsidRPr="00B306E0">
        <w:rPr>
          <w:szCs w:val="26"/>
        </w:rPr>
        <w:t>16 U.S.C. 797. (2000)</w:t>
      </w:r>
    </w:p>
  </w:footnote>
  <w:footnote w:id="3">
    <w:p w14:paraId="193ECD5D" w14:textId="77777777" w:rsidR="002B2810" w:rsidRPr="00B306E0" w:rsidRDefault="002B2810" w:rsidP="002B2810">
      <w:pPr>
        <w:pStyle w:val="FootnoteText"/>
        <w:rPr>
          <w:szCs w:val="26"/>
        </w:rPr>
      </w:pPr>
      <w:r w:rsidRPr="00BD33C9">
        <w:rPr>
          <w:rStyle w:val="FootnoteReference"/>
          <w:b/>
          <w:vertAlign w:val="superscript"/>
        </w:rPr>
        <w:footnoteRef/>
      </w:r>
      <w:r w:rsidRPr="00BD33C9">
        <w:rPr>
          <w:b/>
          <w:szCs w:val="26"/>
        </w:rPr>
        <w:t xml:space="preserve"> </w:t>
      </w:r>
      <w:r w:rsidRPr="00447722">
        <w:rPr>
          <w:szCs w:val="26"/>
        </w:rPr>
        <w:t>16 U.S.C. Section 817. (2000)</w:t>
      </w:r>
    </w:p>
  </w:footnote>
  <w:footnote w:id="4">
    <w:p w14:paraId="19591C90" w14:textId="77777777" w:rsidR="002B2810" w:rsidRDefault="002B2810" w:rsidP="002B2810">
      <w:pPr>
        <w:pStyle w:val="FootnoteText"/>
      </w:pPr>
      <w:r w:rsidRPr="00BD33C9">
        <w:rPr>
          <w:rStyle w:val="FootnoteReference"/>
          <w:b/>
          <w:vertAlign w:val="superscript"/>
        </w:rPr>
        <w:footnoteRef/>
      </w:r>
      <w:r>
        <w:t xml:space="preserve"> See </w:t>
      </w:r>
      <w:r w:rsidRPr="00DA036B">
        <w:rPr>
          <w:i/>
          <w:szCs w:val="26"/>
        </w:rPr>
        <w:t>Puget Sound Hydro LLC, 109 FERC 61,039 at P 56 (2004)(JR02, Noosack Falls</w:t>
      </w:r>
      <w:r>
        <w:rPr>
          <w:i/>
          <w:szCs w:val="26"/>
        </w:rPr>
        <w:t>.</w:t>
      </w:r>
      <w:r w:rsidRPr="00DA036B">
        <w:rPr>
          <w:i/>
          <w:szCs w:val="26"/>
        </w:rPr>
        <w:t>)</w:t>
      </w:r>
    </w:p>
  </w:footnote>
  <w:footnote w:id="5">
    <w:p w14:paraId="0AA9877F" w14:textId="77777777" w:rsidR="002B2810" w:rsidRDefault="002B2810" w:rsidP="002B2810">
      <w:pPr>
        <w:pStyle w:val="FootnoteText"/>
      </w:pPr>
      <w:r w:rsidRPr="00BD33C9">
        <w:rPr>
          <w:rStyle w:val="FootnoteReference"/>
          <w:b/>
          <w:vertAlign w:val="superscript"/>
        </w:rPr>
        <w:footnoteRef/>
      </w:r>
      <w:r>
        <w:t xml:space="preserve"> See </w:t>
      </w:r>
      <w:r w:rsidRPr="00DA036B">
        <w:rPr>
          <w:i/>
          <w:szCs w:val="26"/>
        </w:rPr>
        <w:t>Alaska Power Co., 82 FERC 61,331 (1998) (change in underlying facts ca</w:t>
      </w:r>
      <w:r>
        <w:rPr>
          <w:i/>
          <w:szCs w:val="26"/>
        </w:rPr>
        <w:t>n</w:t>
      </w:r>
      <w:r w:rsidRPr="00DA036B">
        <w:rPr>
          <w:i/>
          <w:szCs w:val="26"/>
        </w:rPr>
        <w:t xml:space="preserve"> mean that project affects commerce and so requires a license)</w:t>
      </w:r>
      <w:r>
        <w:rPr>
          <w:i/>
          <w:szCs w:val="26"/>
        </w:rPr>
        <w:t>.</w:t>
      </w:r>
    </w:p>
  </w:footnote>
  <w:footnote w:id="6">
    <w:p w14:paraId="18216F1D" w14:textId="39479FA5" w:rsidR="00BB6095" w:rsidRPr="00E138E1" w:rsidRDefault="00BB6095" w:rsidP="00F1670E">
      <w:pPr>
        <w:pStyle w:val="FootnoteText"/>
      </w:pPr>
      <w:r w:rsidRPr="00F1670E">
        <w:rPr>
          <w:rStyle w:val="FootnoteReference"/>
          <w:b/>
          <w:vertAlign w:val="superscript"/>
        </w:rPr>
        <w:footnoteRef/>
      </w:r>
      <w:r w:rsidRPr="00E138E1">
        <w:rPr>
          <w:vertAlign w:val="superscript"/>
        </w:rPr>
        <w:t xml:space="preserve"> </w:t>
      </w:r>
      <w:r w:rsidR="00CB3EA0">
        <w:t>81</w:t>
      </w:r>
      <w:r w:rsidRPr="00E138E1">
        <w:t xml:space="preserve"> FR </w:t>
      </w:r>
      <w:r w:rsidR="00371943">
        <w:t>45145</w:t>
      </w:r>
    </w:p>
  </w:footnote>
  <w:footnote w:id="7">
    <w:p w14:paraId="55B071AB" w14:textId="4C4C8DA1" w:rsidR="00BB6095" w:rsidRPr="00E138E1" w:rsidRDefault="00BB6095" w:rsidP="00F1670E">
      <w:pPr>
        <w:pStyle w:val="FootnoteText"/>
      </w:pPr>
      <w:r w:rsidRPr="00F1670E">
        <w:rPr>
          <w:rStyle w:val="FootnoteReference"/>
          <w:b/>
          <w:vertAlign w:val="superscript"/>
        </w:rPr>
        <w:footnoteRef/>
      </w:r>
      <w:r w:rsidRPr="00E138E1">
        <w:rPr>
          <w:vertAlign w:val="superscript"/>
        </w:rPr>
        <w:t xml:space="preserve"> </w:t>
      </w:r>
      <w:r w:rsidR="00CB3EA0">
        <w:t xml:space="preserve">81 </w:t>
      </w:r>
      <w:r w:rsidR="00CB3EA0" w:rsidRPr="00BD33C9">
        <w:t xml:space="preserve">FR </w:t>
      </w:r>
      <w:r w:rsidR="00BD33C9" w:rsidRPr="00BD33C9">
        <w:t>81759</w:t>
      </w:r>
    </w:p>
  </w:footnote>
  <w:footnote w:id="8">
    <w:p w14:paraId="78FCCEF7" w14:textId="77777777" w:rsidR="00371943" w:rsidRPr="00964732" w:rsidRDefault="00371943" w:rsidP="00F1670E">
      <w:pPr>
        <w:pStyle w:val="FootnoteText"/>
      </w:pPr>
      <w:r w:rsidRPr="00F1670E">
        <w:rPr>
          <w:rStyle w:val="FootnoteReference"/>
          <w:b/>
          <w:vertAlign w:val="superscript"/>
        </w:rPr>
        <w:footnoteRef/>
      </w:r>
      <w:r w:rsidRPr="00F1670E">
        <w:rPr>
          <w:b/>
          <w:vertAlign w:val="superscript"/>
        </w:rPr>
        <w:t xml:space="preserve"> </w:t>
      </w:r>
      <w:r w:rsidRPr="00964732">
        <w:t xml:space="preserve">The estimates for cost per response are derived using the following formula: Average Burden Hours per Response * </w:t>
      </w:r>
      <w:r>
        <w:t>$</w:t>
      </w:r>
      <w:r w:rsidRPr="00964732">
        <w:t>74.50 per Hour = Average Cost per Response.</w:t>
      </w:r>
      <w:r>
        <w:t xml:space="preserve"> </w:t>
      </w:r>
      <w:r w:rsidRPr="008F4977">
        <w:t>The Commission staff believes that the industry’s level and skill set is comparable to FERC</w:t>
      </w:r>
      <w:r>
        <w:t>’s with an average hourly cost (wages plus benefits) of $74.50</w:t>
      </w:r>
      <w:r w:rsidRPr="008F4977">
        <w:t>.</w:t>
      </w:r>
    </w:p>
  </w:footnote>
  <w:footnote w:id="9">
    <w:p w14:paraId="758C714B" w14:textId="1C0A2463" w:rsidR="00EF40FF" w:rsidRPr="00E138E1" w:rsidRDefault="00EF40FF" w:rsidP="00F1670E">
      <w:pPr>
        <w:rPr>
          <w:sz w:val="20"/>
          <w:szCs w:val="20"/>
        </w:rPr>
      </w:pPr>
      <w:r w:rsidRPr="00F1670E">
        <w:rPr>
          <w:rStyle w:val="FootnoteReference"/>
          <w:b/>
          <w:sz w:val="20"/>
          <w:szCs w:val="20"/>
          <w:vertAlign w:val="superscript"/>
        </w:rPr>
        <w:footnoteRef/>
      </w:r>
      <w:r w:rsidR="006441AD" w:rsidRPr="00F1670E">
        <w:rPr>
          <w:b/>
          <w:sz w:val="20"/>
          <w:szCs w:val="20"/>
        </w:rPr>
        <w:t xml:space="preserve"> </w:t>
      </w:r>
      <w:r w:rsidR="006441AD">
        <w:rPr>
          <w:sz w:val="20"/>
          <w:szCs w:val="20"/>
        </w:rPr>
        <w:t>Based upon 2016</w:t>
      </w:r>
      <w:r w:rsidRPr="00E138E1">
        <w:rPr>
          <w:sz w:val="20"/>
          <w:szCs w:val="20"/>
        </w:rPr>
        <w:t xml:space="preserve"> FTE average </w:t>
      </w:r>
      <w:r w:rsidR="00ED3A92">
        <w:rPr>
          <w:sz w:val="20"/>
          <w:szCs w:val="20"/>
        </w:rPr>
        <w:t xml:space="preserve">annual </w:t>
      </w:r>
      <w:r w:rsidRPr="00E138E1">
        <w:rPr>
          <w:sz w:val="20"/>
          <w:szCs w:val="20"/>
        </w:rPr>
        <w:t>s</w:t>
      </w:r>
      <w:r w:rsidR="006441AD">
        <w:rPr>
          <w:sz w:val="20"/>
          <w:szCs w:val="20"/>
        </w:rPr>
        <w:t>alary plus benefits ($154,647</w:t>
      </w:r>
      <w:r w:rsidRPr="00E138E1">
        <w:rPr>
          <w:sz w:val="20"/>
          <w:szCs w:val="20"/>
        </w:rPr>
        <w:t>).</w:t>
      </w:r>
    </w:p>
  </w:footnote>
  <w:footnote w:id="10">
    <w:p w14:paraId="27E34FC5" w14:textId="77777777" w:rsidR="00EF40FF" w:rsidRPr="00E138E1" w:rsidRDefault="00EF40FF" w:rsidP="00F1670E">
      <w:pPr>
        <w:pStyle w:val="FootnoteText"/>
      </w:pPr>
      <w:r w:rsidRPr="00F1670E">
        <w:rPr>
          <w:rStyle w:val="FootnoteReference"/>
          <w:b/>
          <w:vertAlign w:val="superscript"/>
        </w:rPr>
        <w:footnoteRef/>
      </w:r>
      <w:r w:rsidRPr="00E138E1">
        <w:rPr>
          <w:vertAlign w:val="superscript"/>
        </w:rPr>
        <w:t xml:space="preserve"> </w:t>
      </w:r>
      <w:r w:rsidRPr="00E138E1">
        <w:t>Paperwork Reduction Act of 1995 (PRA).</w:t>
      </w:r>
    </w:p>
  </w:footnote>
  <w:footnote w:id="11">
    <w:p w14:paraId="5678066A" w14:textId="0C79C1DC" w:rsidR="00EF40FF" w:rsidRPr="00E138E1" w:rsidRDefault="00EF40FF" w:rsidP="00F1670E">
      <w:pPr>
        <w:pStyle w:val="FootnoteText"/>
      </w:pPr>
      <w:r w:rsidRPr="00F1670E">
        <w:rPr>
          <w:rStyle w:val="FootnoteReference"/>
          <w:b/>
          <w:vertAlign w:val="superscript"/>
        </w:rPr>
        <w:footnoteRef/>
      </w:r>
      <w:r w:rsidRPr="00E138E1">
        <w:rPr>
          <w:vertAlign w:val="superscript"/>
        </w:rPr>
        <w:t xml:space="preserve"> </w:t>
      </w:r>
      <w:r w:rsidR="00860C58"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 w:id="12">
    <w:p w14:paraId="33E28DCA" w14:textId="77777777" w:rsidR="003866AD" w:rsidRPr="00E138E1" w:rsidRDefault="003866AD" w:rsidP="003866AD">
      <w:pPr>
        <w:rPr>
          <w:sz w:val="20"/>
          <w:szCs w:val="20"/>
        </w:rPr>
      </w:pPr>
      <w:r w:rsidRPr="00F1670E">
        <w:rPr>
          <w:rStyle w:val="FootnoteReference"/>
          <w:b/>
          <w:sz w:val="20"/>
          <w:szCs w:val="20"/>
          <w:vertAlign w:val="superscript"/>
        </w:rPr>
        <w:footnoteRef/>
      </w:r>
      <w:r w:rsidRPr="00F1670E">
        <w:rPr>
          <w:b/>
          <w:sz w:val="20"/>
          <w:szCs w:val="20"/>
        </w:rPr>
        <w:t xml:space="preserve"> </w:t>
      </w:r>
      <w:r>
        <w:rPr>
          <w:sz w:val="20"/>
          <w:szCs w:val="20"/>
        </w:rPr>
        <w:t>Based upon 2016</w:t>
      </w:r>
      <w:r w:rsidRPr="00E138E1">
        <w:rPr>
          <w:sz w:val="20"/>
          <w:szCs w:val="20"/>
        </w:rPr>
        <w:t xml:space="preserve"> FTE average </w:t>
      </w:r>
      <w:r>
        <w:rPr>
          <w:sz w:val="20"/>
          <w:szCs w:val="20"/>
        </w:rPr>
        <w:t xml:space="preserve">annual </w:t>
      </w:r>
      <w:r w:rsidRPr="00E138E1">
        <w:rPr>
          <w:sz w:val="20"/>
          <w:szCs w:val="20"/>
        </w:rPr>
        <w:t>s</w:t>
      </w:r>
      <w:r>
        <w:rPr>
          <w:sz w:val="20"/>
          <w:szCs w:val="20"/>
        </w:rPr>
        <w:t>alary plus benefits ($154,647</w:t>
      </w:r>
      <w:r w:rsidRPr="00E138E1">
        <w:rPr>
          <w:sz w:val="20"/>
          <w:szCs w:val="20"/>
        </w:rPr>
        <w:t>).</w:t>
      </w:r>
    </w:p>
  </w:footnote>
  <w:footnote w:id="13">
    <w:p w14:paraId="15664425" w14:textId="77777777" w:rsidR="003866AD" w:rsidRPr="00E138E1" w:rsidRDefault="003866AD" w:rsidP="003866AD">
      <w:pPr>
        <w:pStyle w:val="FootnoteText"/>
      </w:pPr>
      <w:r w:rsidRPr="00F1670E">
        <w:rPr>
          <w:rStyle w:val="FootnoteReference"/>
          <w:b/>
          <w:vertAlign w:val="superscript"/>
        </w:rPr>
        <w:footnoteRef/>
      </w:r>
      <w:r w:rsidRPr="00E138E1">
        <w:rPr>
          <w:vertAlign w:val="superscript"/>
        </w:rPr>
        <w:t xml:space="preserve"> </w:t>
      </w:r>
      <w:r w:rsidRPr="00E138E1">
        <w:t>Paperwork Reduction Act of 1995 (PRA).</w:t>
      </w:r>
    </w:p>
  </w:footnote>
  <w:footnote w:id="14">
    <w:p w14:paraId="0F50F70B" w14:textId="77777777" w:rsidR="003866AD" w:rsidRPr="00E138E1" w:rsidRDefault="003866AD" w:rsidP="003866AD">
      <w:pPr>
        <w:pStyle w:val="FootnoteText"/>
      </w:pPr>
      <w:r w:rsidRPr="00F1670E">
        <w:rPr>
          <w:rStyle w:val="FootnoteReference"/>
          <w:b/>
          <w:vertAlign w:val="superscript"/>
        </w:rPr>
        <w:footnoteRef/>
      </w:r>
      <w:r w:rsidRPr="00E138E1">
        <w:rPr>
          <w:vertAlign w:val="superscript"/>
        </w:rPr>
        <w:t xml:space="preserve"> </w:t>
      </w:r>
      <w:r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39680A67" w:rsidR="003A5BA7" w:rsidRDefault="002B2810">
    <w:pPr>
      <w:pStyle w:val="Header"/>
    </w:pPr>
    <w:r>
      <w:t>FERC-511</w:t>
    </w:r>
    <w:r w:rsidR="00703122">
      <w:t xml:space="preserve"> (OMB </w:t>
    </w:r>
    <w:r>
      <w:t>Control No. 1902-0069</w:t>
    </w:r>
    <w:r w:rsidR="00703122">
      <w:t>)</w:t>
    </w:r>
    <w:r>
      <w:t xml:space="preserve"> &amp; FERC-515 (OMB Control No. 1902-0079)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084"/>
    <w:rsid w:val="000218B7"/>
    <w:rsid w:val="00042ECE"/>
    <w:rsid w:val="000541E0"/>
    <w:rsid w:val="000806CF"/>
    <w:rsid w:val="0009152C"/>
    <w:rsid w:val="000969B5"/>
    <w:rsid w:val="000C21B6"/>
    <w:rsid w:val="000C5C56"/>
    <w:rsid w:val="000D0EEE"/>
    <w:rsid w:val="000F53A6"/>
    <w:rsid w:val="0011793D"/>
    <w:rsid w:val="001352B5"/>
    <w:rsid w:val="00147917"/>
    <w:rsid w:val="00181B4A"/>
    <w:rsid w:val="00183D26"/>
    <w:rsid w:val="00184AC4"/>
    <w:rsid w:val="001922FC"/>
    <w:rsid w:val="00192A85"/>
    <w:rsid w:val="001A07E0"/>
    <w:rsid w:val="001B1350"/>
    <w:rsid w:val="001B6647"/>
    <w:rsid w:val="001C042A"/>
    <w:rsid w:val="001D1355"/>
    <w:rsid w:val="001D2EC1"/>
    <w:rsid w:val="001E6D2B"/>
    <w:rsid w:val="001F3ADE"/>
    <w:rsid w:val="001F42E7"/>
    <w:rsid w:val="001F60CC"/>
    <w:rsid w:val="001F703D"/>
    <w:rsid w:val="002000AA"/>
    <w:rsid w:val="0021208A"/>
    <w:rsid w:val="002142A2"/>
    <w:rsid w:val="0024137A"/>
    <w:rsid w:val="00250B5D"/>
    <w:rsid w:val="002565F8"/>
    <w:rsid w:val="002643FB"/>
    <w:rsid w:val="00267F92"/>
    <w:rsid w:val="002735A3"/>
    <w:rsid w:val="002766FC"/>
    <w:rsid w:val="00295C38"/>
    <w:rsid w:val="002A2B8E"/>
    <w:rsid w:val="002B0890"/>
    <w:rsid w:val="002B2810"/>
    <w:rsid w:val="002B4900"/>
    <w:rsid w:val="002D5138"/>
    <w:rsid w:val="002F353A"/>
    <w:rsid w:val="00307F28"/>
    <w:rsid w:val="0032225E"/>
    <w:rsid w:val="00342459"/>
    <w:rsid w:val="003431A7"/>
    <w:rsid w:val="00353DC5"/>
    <w:rsid w:val="0035481D"/>
    <w:rsid w:val="00371943"/>
    <w:rsid w:val="003866AD"/>
    <w:rsid w:val="003A4AD2"/>
    <w:rsid w:val="003A6A4F"/>
    <w:rsid w:val="003B7DB9"/>
    <w:rsid w:val="003C429A"/>
    <w:rsid w:val="003D3487"/>
    <w:rsid w:val="003E3B25"/>
    <w:rsid w:val="003E5B70"/>
    <w:rsid w:val="003F5AD0"/>
    <w:rsid w:val="00426B6E"/>
    <w:rsid w:val="00430620"/>
    <w:rsid w:val="00432DA3"/>
    <w:rsid w:val="004445CE"/>
    <w:rsid w:val="004472EB"/>
    <w:rsid w:val="00454D32"/>
    <w:rsid w:val="004970F6"/>
    <w:rsid w:val="004B0930"/>
    <w:rsid w:val="004B6E35"/>
    <w:rsid w:val="004D6DEB"/>
    <w:rsid w:val="004F7BFA"/>
    <w:rsid w:val="00506697"/>
    <w:rsid w:val="005240A1"/>
    <w:rsid w:val="00541938"/>
    <w:rsid w:val="00545B62"/>
    <w:rsid w:val="00560503"/>
    <w:rsid w:val="00592E82"/>
    <w:rsid w:val="00593CC7"/>
    <w:rsid w:val="005C5DE2"/>
    <w:rsid w:val="005C6866"/>
    <w:rsid w:val="005C6964"/>
    <w:rsid w:val="005D6791"/>
    <w:rsid w:val="005E75F9"/>
    <w:rsid w:val="005F62ED"/>
    <w:rsid w:val="00607DF1"/>
    <w:rsid w:val="00614D21"/>
    <w:rsid w:val="006441AD"/>
    <w:rsid w:val="0064706B"/>
    <w:rsid w:val="006A1A2E"/>
    <w:rsid w:val="006A6928"/>
    <w:rsid w:val="006B0369"/>
    <w:rsid w:val="006C0F70"/>
    <w:rsid w:val="006C1E96"/>
    <w:rsid w:val="006E61A4"/>
    <w:rsid w:val="00703122"/>
    <w:rsid w:val="00714117"/>
    <w:rsid w:val="00730509"/>
    <w:rsid w:val="0075420C"/>
    <w:rsid w:val="007544A8"/>
    <w:rsid w:val="007625CD"/>
    <w:rsid w:val="007722E7"/>
    <w:rsid w:val="00785BAA"/>
    <w:rsid w:val="00790DB8"/>
    <w:rsid w:val="007A699F"/>
    <w:rsid w:val="007B025D"/>
    <w:rsid w:val="007D3EF2"/>
    <w:rsid w:val="007E19EB"/>
    <w:rsid w:val="007F788C"/>
    <w:rsid w:val="00803D8D"/>
    <w:rsid w:val="008060D2"/>
    <w:rsid w:val="0081220C"/>
    <w:rsid w:val="00851D29"/>
    <w:rsid w:val="00860C58"/>
    <w:rsid w:val="00865702"/>
    <w:rsid w:val="00867774"/>
    <w:rsid w:val="00870A54"/>
    <w:rsid w:val="00891C89"/>
    <w:rsid w:val="00893289"/>
    <w:rsid w:val="0089369D"/>
    <w:rsid w:val="008A38B5"/>
    <w:rsid w:val="008B1A17"/>
    <w:rsid w:val="008D423C"/>
    <w:rsid w:val="008E2C0D"/>
    <w:rsid w:val="00907A71"/>
    <w:rsid w:val="0091154B"/>
    <w:rsid w:val="00925C33"/>
    <w:rsid w:val="00933292"/>
    <w:rsid w:val="00957DA2"/>
    <w:rsid w:val="00967F7C"/>
    <w:rsid w:val="00980E8E"/>
    <w:rsid w:val="009B263A"/>
    <w:rsid w:val="009D6B6D"/>
    <w:rsid w:val="00A37A1E"/>
    <w:rsid w:val="00A57E47"/>
    <w:rsid w:val="00A61BDB"/>
    <w:rsid w:val="00A75D13"/>
    <w:rsid w:val="00A94615"/>
    <w:rsid w:val="00AA3F59"/>
    <w:rsid w:val="00AC0958"/>
    <w:rsid w:val="00AF3118"/>
    <w:rsid w:val="00AF66E0"/>
    <w:rsid w:val="00B11515"/>
    <w:rsid w:val="00B13159"/>
    <w:rsid w:val="00B4017A"/>
    <w:rsid w:val="00B61F02"/>
    <w:rsid w:val="00BA2EE0"/>
    <w:rsid w:val="00BB6095"/>
    <w:rsid w:val="00BC5BC5"/>
    <w:rsid w:val="00BD2A12"/>
    <w:rsid w:val="00BD33C9"/>
    <w:rsid w:val="00BD4039"/>
    <w:rsid w:val="00BD5BFC"/>
    <w:rsid w:val="00BF493B"/>
    <w:rsid w:val="00C07FC8"/>
    <w:rsid w:val="00C12DC0"/>
    <w:rsid w:val="00C13C94"/>
    <w:rsid w:val="00C3086A"/>
    <w:rsid w:val="00C33FDE"/>
    <w:rsid w:val="00C604C0"/>
    <w:rsid w:val="00C651D2"/>
    <w:rsid w:val="00C7666C"/>
    <w:rsid w:val="00C909A2"/>
    <w:rsid w:val="00C97FEE"/>
    <w:rsid w:val="00CA5AF7"/>
    <w:rsid w:val="00CB3EA0"/>
    <w:rsid w:val="00CC615D"/>
    <w:rsid w:val="00D00D07"/>
    <w:rsid w:val="00D05C1E"/>
    <w:rsid w:val="00D14D54"/>
    <w:rsid w:val="00D26BE1"/>
    <w:rsid w:val="00D9097D"/>
    <w:rsid w:val="00D93813"/>
    <w:rsid w:val="00DA4553"/>
    <w:rsid w:val="00DE0C3A"/>
    <w:rsid w:val="00DE5423"/>
    <w:rsid w:val="00DE6B6F"/>
    <w:rsid w:val="00DF6A49"/>
    <w:rsid w:val="00E138E1"/>
    <w:rsid w:val="00E16543"/>
    <w:rsid w:val="00E32773"/>
    <w:rsid w:val="00E355FA"/>
    <w:rsid w:val="00E40D6E"/>
    <w:rsid w:val="00E46B67"/>
    <w:rsid w:val="00E56439"/>
    <w:rsid w:val="00E76211"/>
    <w:rsid w:val="00E82BDC"/>
    <w:rsid w:val="00EA026E"/>
    <w:rsid w:val="00EB052D"/>
    <w:rsid w:val="00ED3A92"/>
    <w:rsid w:val="00EF40FF"/>
    <w:rsid w:val="00F14D3D"/>
    <w:rsid w:val="00F1670E"/>
    <w:rsid w:val="00F205D2"/>
    <w:rsid w:val="00F3663C"/>
    <w:rsid w:val="00F528CE"/>
    <w:rsid w:val="00F620F6"/>
    <w:rsid w:val="00F9384F"/>
    <w:rsid w:val="00FA33AC"/>
    <w:rsid w:val="00FA5F94"/>
    <w:rsid w:val="00FC7C5C"/>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5F0AE0"/>
  <w15:docId w15:val="{D6EC3B21-BBB4-49FE-A6D9-D41BE7DF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info-collections.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511</_x0031__x002e__x0020_Collection_x0020_Number>
    <Date xmlns="d6eefc7d-9817-4fa6-84d5-3bc009be21b8">2016-11-21T00:00:00-05:00</Date>
    <Status xmlns="d6eefc7d-9817-4fa6-84d5-3bc009be21b8">Draft</Status>
    <_x0032__x002e__x0020_Docket_x0020_Number xmlns="d6eefc7d-9817-4fa6-84d5-3bc009be21b8" xsi:nil="true"/>
    <_x0032__x002e__x0020_Collection_x0020_Number xmlns="d6eefc7d-9817-4fa6-84d5-3bc009be21b8">515</_x0032__x002e__x0020_Collection_x0020_Number>
    <_x0031__x002e__x0020_Docket_x0020_Number xmlns="d6eefc7d-9817-4fa6-84d5-3bc009be21b8">IC16-12</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C678A-27A8-4A1F-8D0C-B3A31E55376D}">
  <ds:schemaRef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purl.org/dc/terms/"/>
    <ds:schemaRef ds:uri="d6eefc7d-9817-4fa6-84d5-3bc009be21b8"/>
  </ds:schemaRefs>
</ds:datastoreItem>
</file>

<file path=customXml/itemProps3.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4.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5.xml><?xml version="1.0" encoding="utf-8"?>
<ds:datastoreItem xmlns:ds="http://schemas.openxmlformats.org/officeDocument/2006/customXml" ds:itemID="{B54CEE51-1AAA-4E43-BEF8-AE443AE0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2218</Words>
  <Characters>11491</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FERC-511 &amp; 515 supporting statement</vt:lpstr>
    </vt:vector>
  </TitlesOfParts>
  <Company>Federal Energy Regulatory Commission</Company>
  <LinksUpToDate>false</LinksUpToDate>
  <CharactersWithSpaces>13653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FERC-511 &amp; 515 supporting statement</dc:title>
  <dc:creator>Nishi Parekh</dc:creator>
  <cp:lastModifiedBy>Ellen Brown</cp:lastModifiedBy>
  <cp:revision>5</cp:revision>
  <cp:lastPrinted>2015-11-12T19:39:00Z</cp:lastPrinted>
  <dcterms:created xsi:type="dcterms:W3CDTF">2016-11-21T19:58:00Z</dcterms:created>
  <dcterms:modified xsi:type="dcterms:W3CDTF">2016-11-21T19:59:00Z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