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F3E" w:rsidRDefault="00FC2F3E">
      <w:pPr>
        <w:widowControl/>
      </w:pPr>
      <w:r>
        <w:t>SUPPORTING STATEMENT FOR PAPERWORK REDUCTION ACT SUBMISSIONS</w:t>
      </w:r>
    </w:p>
    <w:p w:rsidR="00FC2F3E" w:rsidRDefault="00FC2F3E">
      <w:pPr>
        <w:widowControl/>
      </w:pPr>
    </w:p>
    <w:p w:rsidR="00FC2F3E" w:rsidRDefault="00FC2F3E">
      <w:pPr>
        <w:pStyle w:val="Quick1"/>
        <w:widowControl/>
        <w:numPr>
          <w:ilvl w:val="0"/>
          <w:numId w:val="1"/>
        </w:numPr>
        <w:tabs>
          <w:tab w:val="left" w:pos="-1440"/>
          <w:tab w:val="num" w:pos="720"/>
        </w:tabs>
        <w:rPr>
          <w:sz w:val="20"/>
        </w:rPr>
      </w:pPr>
      <w:r>
        <w:rPr>
          <w:i/>
          <w:iCs/>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C2F3E" w:rsidRDefault="00FC2F3E">
      <w:pPr>
        <w:widowControl/>
      </w:pPr>
    </w:p>
    <w:p w:rsidR="00FC2F3E" w:rsidRDefault="00FC2F3E">
      <w:pPr>
        <w:widowControl/>
        <w:ind w:firstLine="720"/>
      </w:pPr>
      <w:r>
        <w:t>Section 503 (“</w:t>
      </w:r>
      <w:r w:rsidR="000D7B34">
        <w:t xml:space="preserve">the </w:t>
      </w:r>
      <w:r>
        <w:t xml:space="preserve">Claims Procedure”) of ERISA states, in its entirety: </w:t>
      </w:r>
    </w:p>
    <w:p w:rsidR="00FC2F3E" w:rsidRDefault="00FC2F3E">
      <w:pPr>
        <w:widowControl/>
      </w:pPr>
      <w:r>
        <w:t xml:space="preserve"> </w:t>
      </w:r>
    </w:p>
    <w:p w:rsidR="00FC2F3E" w:rsidRDefault="00FC2F3E">
      <w:pPr>
        <w:widowControl/>
        <w:ind w:left="720"/>
      </w:pPr>
      <w:r>
        <w:t>In accordance with regulations of the Secretary, every employee benefit plan shall --</w:t>
      </w:r>
    </w:p>
    <w:p w:rsidR="00FC2F3E" w:rsidRDefault="00FC2F3E">
      <w:pPr>
        <w:widowControl/>
      </w:pPr>
    </w:p>
    <w:p w:rsidR="00FC2F3E" w:rsidRDefault="00FC2F3E">
      <w:pPr>
        <w:widowControl/>
        <w:tabs>
          <w:tab w:val="left" w:pos="-1440"/>
        </w:tabs>
        <w:ind w:left="1440" w:hanging="720"/>
      </w:pPr>
      <w:r>
        <w:t>(1)</w:t>
      </w:r>
      <w:r>
        <w:tab/>
        <w:t>provide adequate notice in writing to any participant or beneficiary whose claim for benefits under the plan has been denied, setting forth the specific reasons for the denial, written in a manner calculated to be understood by the participant, and</w:t>
      </w:r>
    </w:p>
    <w:p w:rsidR="00FC2F3E" w:rsidRDefault="00FC2F3E">
      <w:pPr>
        <w:widowControl/>
      </w:pPr>
    </w:p>
    <w:p w:rsidR="00FC2F3E" w:rsidRDefault="00FC2F3E">
      <w:pPr>
        <w:widowControl/>
        <w:tabs>
          <w:tab w:val="left" w:pos="-1440"/>
        </w:tabs>
        <w:ind w:left="1440" w:hanging="720"/>
      </w:pPr>
      <w:r>
        <w:t>(2)</w:t>
      </w:r>
      <w:r>
        <w:tab/>
      </w:r>
      <w:proofErr w:type="gramStart"/>
      <w:r>
        <w:t>afford</w:t>
      </w:r>
      <w:proofErr w:type="gramEnd"/>
      <w:r>
        <w:t xml:space="preserve"> a reasonable opportunity to any participant whose claim for benefits has been denied for a full and fair review by the appropriate named fiduciary of the decision denying the claims.</w:t>
      </w:r>
    </w:p>
    <w:p w:rsidR="00FC2F3E" w:rsidRDefault="00FC2F3E">
      <w:pPr>
        <w:widowControl/>
      </w:pPr>
    </w:p>
    <w:p w:rsidR="002F4CD3" w:rsidRDefault="00C70894" w:rsidP="002F4CD3">
      <w:pPr>
        <w:widowControl/>
        <w:ind w:firstLine="720"/>
      </w:pPr>
      <w:r>
        <w:t>In November, 2000, t</w:t>
      </w:r>
      <w:r w:rsidR="00BE47A7">
        <w:t xml:space="preserve">he Department </w:t>
      </w:r>
      <w:r w:rsidR="00A4464B">
        <w:t>issued a final</w:t>
      </w:r>
      <w:r w:rsidR="00BE47A7">
        <w:t xml:space="preserve"> </w:t>
      </w:r>
      <w:r w:rsidR="00A4464B">
        <w:t>regulation</w:t>
      </w:r>
      <w:r>
        <w:t xml:space="preserve"> </w:t>
      </w:r>
      <w:r w:rsidR="00FC2F3E">
        <w:t>establish</w:t>
      </w:r>
      <w:r w:rsidR="00BE47A7">
        <w:t>ing mi</w:t>
      </w:r>
      <w:r w:rsidR="00FC2F3E">
        <w:t xml:space="preserve">nimum </w:t>
      </w:r>
      <w:r>
        <w:t xml:space="preserve">claims procedure </w:t>
      </w:r>
      <w:r w:rsidR="00FC2F3E">
        <w:t xml:space="preserve">requirements </w:t>
      </w:r>
      <w:r>
        <w:t>that all employee benefit plans under ERISA must meet in order to satisfy the requirements of section 503.</w:t>
      </w:r>
      <w:r w:rsidR="00A4464B" w:rsidRPr="00A4464B">
        <w:rPr>
          <w:rStyle w:val="FootnoteReference"/>
          <w:vertAlign w:val="superscript"/>
        </w:rPr>
        <w:footnoteReference w:id="1"/>
      </w:r>
      <w:r w:rsidRPr="00A4464B">
        <w:rPr>
          <w:vertAlign w:val="superscript"/>
        </w:rPr>
        <w:t xml:space="preserve"> </w:t>
      </w:r>
      <w:r>
        <w:t xml:space="preserve"> The claims procedure regulation is </w:t>
      </w:r>
      <w:r w:rsidR="00FC2F3E">
        <w:t xml:space="preserve">codified at 29 CFR 2560.503-1.  Section 505 of ERISA authorizes the Secretary to prescribe regulations as appropriate or necessary to carry out the provisions of Title I of ERISA.  </w:t>
      </w:r>
      <w:r w:rsidR="002F4CD3">
        <w:t>The regulation requires plans to provide every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regulation also requires that any adverse decision upon review be in writing (including electronic means) and include specific reasons for the decision, as well as references to relevant plan provisions.</w:t>
      </w:r>
    </w:p>
    <w:p w:rsidR="00BE47A7" w:rsidRDefault="00BE47A7">
      <w:pPr>
        <w:widowControl/>
        <w:ind w:firstLine="720"/>
      </w:pPr>
    </w:p>
    <w:p w:rsidR="00BE47A7" w:rsidRDefault="00BE47A7">
      <w:pPr>
        <w:widowControl/>
        <w:ind w:firstLine="720"/>
      </w:pPr>
      <w:r>
        <w:t>The claims procedure regulation imposes information collection requirements as part of the reasonable procedures that an employee benefit plan must establish regarding the handling of a benefit claim.  These requirements include third-party notice and disclosure requirements that the plan must satisfy by providing information to participants and beneficiaries of the plan.</w:t>
      </w:r>
    </w:p>
    <w:p w:rsidR="0087432A" w:rsidRDefault="0087432A">
      <w:pPr>
        <w:widowControl/>
        <w:ind w:firstLine="720"/>
      </w:pPr>
    </w:p>
    <w:p w:rsidR="0087432A" w:rsidRDefault="008F2E87" w:rsidP="007D56A8">
      <w:pPr>
        <w:widowControl/>
        <w:rPr>
          <w:u w:val="single"/>
        </w:rPr>
      </w:pPr>
      <w:r>
        <w:rPr>
          <w:u w:val="single"/>
        </w:rPr>
        <w:t xml:space="preserve">2016 </w:t>
      </w:r>
      <w:proofErr w:type="gramStart"/>
      <w:r w:rsidR="0087432A" w:rsidRPr="007D56A8">
        <w:rPr>
          <w:u w:val="single"/>
        </w:rPr>
        <w:t>A</w:t>
      </w:r>
      <w:r w:rsidR="00715B24">
        <w:rPr>
          <w:u w:val="single"/>
        </w:rPr>
        <w:t xml:space="preserve">mendments </w:t>
      </w:r>
      <w:r w:rsidR="0087432A" w:rsidRPr="007D56A8">
        <w:rPr>
          <w:u w:val="single"/>
        </w:rPr>
        <w:t xml:space="preserve"> to</w:t>
      </w:r>
      <w:proofErr w:type="gramEnd"/>
      <w:r w:rsidR="0087432A" w:rsidRPr="007D56A8">
        <w:rPr>
          <w:u w:val="single"/>
        </w:rPr>
        <w:t xml:space="preserve"> Disability Claims Procedure</w:t>
      </w:r>
      <w:r w:rsidR="00715B24">
        <w:rPr>
          <w:u w:val="single"/>
        </w:rPr>
        <w:t xml:space="preserve"> Rules</w:t>
      </w:r>
    </w:p>
    <w:p w:rsidR="0087432A" w:rsidRDefault="0087432A" w:rsidP="007D56A8">
      <w:pPr>
        <w:widowControl/>
        <w:rPr>
          <w:u w:val="single"/>
        </w:rPr>
      </w:pPr>
    </w:p>
    <w:p w:rsidR="00715B24" w:rsidRDefault="00715B24" w:rsidP="006C4E0B">
      <w:pPr>
        <w:ind w:firstLine="720"/>
      </w:pPr>
      <w:r>
        <w:rPr>
          <w:bCs/>
        </w:rPr>
        <w:t>The Department is amend</w:t>
      </w:r>
      <w:r w:rsidR="008F2E87">
        <w:rPr>
          <w:bCs/>
        </w:rPr>
        <w:t>ing</w:t>
      </w:r>
      <w:r>
        <w:rPr>
          <w:bCs/>
        </w:rPr>
        <w:t xml:space="preserve"> the current procedural protections for workers who become disabled and make claims for disability benefits from an employee benefit plan.  ERISA requires </w:t>
      </w:r>
      <w:r>
        <w:rPr>
          <w:bCs/>
        </w:rPr>
        <w:lastRenderedPageBreak/>
        <w:t xml:space="preserve">that plans provide claimants with written notice of benefit denials and an opportunity for a full and fair review of the denial by an appropriate plan fiduciary.  The current regulations governing the processing of claims and appeals were published 15 years ago.  Because of the volume and constancy of litigation in this area, and in light of advancements in claims processing technology, the Department recognizes a need to revisit, reexamine, and revise the current regulations in order to ensure that disability benefit claimants receive a fair review of denied claims as provided by law.  To this end, the Department has determined to uplift the current standards applicable to the processing of claims and appeals for disability benefits so that they </w:t>
      </w:r>
      <w:r w:rsidRPr="00C369F0">
        <w:t>better align with the requirements regarding internal claims and appeals for group health plans under the regulations implementing the requirements of the Affordable Care Act.</w:t>
      </w:r>
      <w:r w:rsidRPr="00715B24">
        <w:rPr>
          <w:rStyle w:val="FootnoteReference"/>
          <w:vertAlign w:val="superscript"/>
        </w:rPr>
        <w:footnoteReference w:id="2"/>
      </w:r>
      <w:r w:rsidRPr="00C369F0">
        <w:t xml:space="preserve">  </w:t>
      </w:r>
      <w:r>
        <w:t xml:space="preserve">Inasmuch as disability and lost earnings can be sources of severe hardship for many individuals, the Department </w:t>
      </w:r>
      <w:r w:rsidR="00C5730D">
        <w:t xml:space="preserve">believes </w:t>
      </w:r>
      <w:r>
        <w:t>that disability benefit claimants deserve protections equally as stringent as those that Congress and the President have put into place for health care claimants under the Affordable Care Act.</w:t>
      </w:r>
    </w:p>
    <w:p w:rsidR="006C4E0B" w:rsidRDefault="006C4E0B" w:rsidP="006C4E0B">
      <w:pPr>
        <w:ind w:firstLine="720"/>
      </w:pPr>
    </w:p>
    <w:p w:rsidR="00715B24" w:rsidRPr="00C369F0" w:rsidRDefault="00715B24" w:rsidP="006C4E0B">
      <w:pPr>
        <w:ind w:firstLine="720"/>
        <w:rPr>
          <w:bCs/>
        </w:rPr>
      </w:pPr>
      <w:r>
        <w:rPr>
          <w:bCs/>
        </w:rPr>
        <w:t>T</w:t>
      </w:r>
      <w:r w:rsidRPr="00C369F0">
        <w:rPr>
          <w:bCs/>
        </w:rPr>
        <w:t xml:space="preserve">he </w:t>
      </w:r>
      <w:r>
        <w:rPr>
          <w:bCs/>
        </w:rPr>
        <w:t xml:space="preserve">major provisions largely adapt the procedural protections for </w:t>
      </w:r>
      <w:r>
        <w:t>health care claimants</w:t>
      </w:r>
      <w:r w:rsidRPr="00C149F2">
        <w:rPr>
          <w:bCs/>
        </w:rPr>
        <w:t xml:space="preserve"> </w:t>
      </w:r>
      <w:r>
        <w:rPr>
          <w:bCs/>
        </w:rPr>
        <w:t xml:space="preserve">in the </w:t>
      </w:r>
      <w:r w:rsidRPr="00C369F0">
        <w:t>Affordable Care Act</w:t>
      </w:r>
      <w:r>
        <w:t xml:space="preserve">, including provisions that seek to ensure that: (1) claims and appeals are adjudicated in manner designed to ensure independence and impartiality of the persons involved in making the decision; (2) benefit denial notices contain a full discussion of why the plan denied the claim and the standards behind the decision; (3) claimants have access to their entire claim file and are allowed to present evidence and testimony during the review process; (4) claimants are notified of and have an opportunity to respond to any new evidence reasonably in advance of an appeal decision; (5) final denials at the appeals stage are not based on new or additional rationales unless claimants first are given notice and a fair opportunity to respond; (6) if plans do not </w:t>
      </w:r>
      <w:r w:rsidRPr="00C369F0">
        <w:t xml:space="preserve">strictly adhere to all </w:t>
      </w:r>
      <w:r>
        <w:t>claims processing rules</w:t>
      </w:r>
      <w:r w:rsidRPr="00C369F0">
        <w:t xml:space="preserve">, the claimant is deemed to have exhausted the administrative remedies available under the plan, unless the violation was the result of a minor error </w:t>
      </w:r>
      <w:r>
        <w:t>and ot</w:t>
      </w:r>
      <w:r w:rsidRPr="00C369F0">
        <w:t>her specified conditions</w:t>
      </w:r>
      <w:r>
        <w:t xml:space="preserve"> are met</w:t>
      </w:r>
      <w:r w:rsidRPr="00C369F0">
        <w:t>; (</w:t>
      </w:r>
      <w:r>
        <w:t>7</w:t>
      </w:r>
      <w:r w:rsidRPr="00C369F0">
        <w:t xml:space="preserve">) certain rescissions of coverage </w:t>
      </w:r>
      <w:r>
        <w:t xml:space="preserve">are treated </w:t>
      </w:r>
      <w:r w:rsidRPr="00C369F0">
        <w:t>as adverse benefit determinations</w:t>
      </w:r>
      <w:r>
        <w:t>, thereby triggering the plan’s appeals procedures</w:t>
      </w:r>
      <w:r w:rsidRPr="00C369F0">
        <w:t>; and (</w:t>
      </w:r>
      <w:r>
        <w:t>8</w:t>
      </w:r>
      <w:r w:rsidRPr="00C369F0">
        <w:t xml:space="preserve">) notices </w:t>
      </w:r>
      <w:r>
        <w:t xml:space="preserve">are written </w:t>
      </w:r>
      <w:r w:rsidRPr="00C369F0">
        <w:t>in a culturally and linguistically appropriate manner.</w:t>
      </w:r>
    </w:p>
    <w:p w:rsidR="00715B24" w:rsidRDefault="00715B24" w:rsidP="007D56A8">
      <w:pPr>
        <w:widowControl/>
      </w:pPr>
    </w:p>
    <w:p w:rsidR="00715B24" w:rsidRDefault="00715B24" w:rsidP="007D56A8">
      <w:pPr>
        <w:widowControl/>
      </w:pPr>
    </w:p>
    <w:p w:rsidR="00FC2F3E" w:rsidRDefault="00FC2F3E">
      <w:pPr>
        <w:widowControl/>
        <w:ind w:firstLine="720"/>
      </w:pPr>
    </w:p>
    <w:p w:rsidR="00FC2F3E" w:rsidRDefault="00FC2F3E">
      <w:pPr>
        <w:widowControl/>
        <w:tabs>
          <w:tab w:val="left" w:pos="-1440"/>
        </w:tabs>
        <w:ind w:left="720" w:hanging="720"/>
        <w:rPr>
          <w:sz w:val="20"/>
        </w:rPr>
      </w:pPr>
      <w:r>
        <w:t>2.</w:t>
      </w:r>
      <w:r>
        <w:tab/>
      </w:r>
      <w:r>
        <w:rPr>
          <w:i/>
          <w:iCs/>
          <w:sz w:val="20"/>
        </w:rPr>
        <w:t>Indicate how, by whom, and for what purpose the information is to be used.  Except for a new collection, indicate the actual use the agency has made of the information received from the current collection.</w:t>
      </w:r>
    </w:p>
    <w:p w:rsidR="00FC2F3E" w:rsidRDefault="00FC2F3E">
      <w:pPr>
        <w:widowControl/>
      </w:pPr>
    </w:p>
    <w:p w:rsidR="00FC2F3E" w:rsidRDefault="00FC2F3E">
      <w:pPr>
        <w:widowControl/>
        <w:sectPr w:rsidR="00FC2F3E">
          <w:headerReference w:type="default" r:id="rId8"/>
          <w:footerReference w:type="default" r:id="rId9"/>
          <w:endnotePr>
            <w:numFmt w:val="decimal"/>
          </w:endnotePr>
          <w:pgSz w:w="12240" w:h="15840"/>
          <w:pgMar w:top="1440" w:right="1440" w:bottom="1440" w:left="1440" w:header="1440" w:footer="1440" w:gutter="0"/>
          <w:cols w:space="720"/>
          <w:noEndnote/>
        </w:sectPr>
      </w:pPr>
    </w:p>
    <w:p w:rsidR="00FC2F3E" w:rsidRDefault="001E12BC">
      <w:pPr>
        <w:widowControl/>
        <w:ind w:firstLine="720"/>
      </w:pPr>
      <w:r>
        <w:lastRenderedPageBreak/>
        <w:t>The</w:t>
      </w:r>
      <w:r w:rsidR="00BE47A7">
        <w:t xml:space="preserve"> information collection</w:t>
      </w:r>
      <w:r w:rsidR="00FC2F3E">
        <w:t xml:space="preserve"> requirement</w:t>
      </w:r>
      <w:r w:rsidR="00BE47A7">
        <w:t>s</w:t>
      </w:r>
      <w:r w:rsidR="00FC2F3E">
        <w:t xml:space="preserve"> </w:t>
      </w:r>
      <w:r>
        <w:t xml:space="preserve">included in the claims procedure regulation </w:t>
      </w:r>
      <w:r w:rsidR="002F4CD3">
        <w:t>e</w:t>
      </w:r>
      <w:r w:rsidR="00FC2F3E">
        <w:t>nsure</w:t>
      </w:r>
      <w:r>
        <w:t xml:space="preserve"> that participants</w:t>
      </w:r>
      <w:r w:rsidR="00FC2F3E">
        <w:t xml:space="preserve"> </w:t>
      </w:r>
      <w:r>
        <w:t>and beneficiaries</w:t>
      </w:r>
      <w:r w:rsidR="00BE47A7">
        <w:t xml:space="preserve"> (claimants) </w:t>
      </w:r>
      <w:r>
        <w:t>receive adequate</w:t>
      </w:r>
      <w:r w:rsidR="00FC2F3E">
        <w:t xml:space="preserve"> information </w:t>
      </w:r>
      <w:r>
        <w:t xml:space="preserve">regarding the plan’s claims procedures and </w:t>
      </w:r>
      <w:r w:rsidR="002F4CD3">
        <w:t xml:space="preserve">the plan’s </w:t>
      </w:r>
      <w:r>
        <w:t>handling of specific benefit claims</w:t>
      </w:r>
      <w:r w:rsidR="002F4CD3">
        <w:t xml:space="preserve">.  Participants and beneficiaries need </w:t>
      </w:r>
      <w:r w:rsidR="00FC2F3E">
        <w:t xml:space="preserve">to understand </w:t>
      </w:r>
      <w:r w:rsidR="002F4CD3">
        <w:t xml:space="preserve">plan procedures and </w:t>
      </w:r>
      <w:r w:rsidR="00BE47A7">
        <w:t xml:space="preserve">plan decisions </w:t>
      </w:r>
      <w:r w:rsidR="002F4CD3">
        <w:t xml:space="preserve">in order to </w:t>
      </w:r>
      <w:r w:rsidR="00BE47A7">
        <w:t xml:space="preserve">appropriately request </w:t>
      </w:r>
      <w:r w:rsidR="002F4CD3">
        <w:t>benefits and/or appeal</w:t>
      </w:r>
      <w:r w:rsidR="00FC2F3E">
        <w:t xml:space="preserve"> </w:t>
      </w:r>
      <w:r>
        <w:t>benefit denials</w:t>
      </w:r>
      <w:r w:rsidR="00FC2F3E">
        <w:t xml:space="preserve">.  </w:t>
      </w:r>
    </w:p>
    <w:p w:rsidR="00FC2F3E" w:rsidRDefault="00FC2F3E">
      <w:pPr>
        <w:widowControl/>
        <w:ind w:firstLine="1440"/>
      </w:pPr>
    </w:p>
    <w:p w:rsidR="00FC2F3E" w:rsidRDefault="00FC2F3E">
      <w:pPr>
        <w:widowControl/>
        <w:tabs>
          <w:tab w:val="left" w:pos="-1440"/>
        </w:tabs>
        <w:ind w:left="720" w:hanging="720"/>
        <w:rPr>
          <w:i/>
          <w:iCs/>
          <w:sz w:val="20"/>
        </w:rPr>
      </w:pPr>
      <w:r>
        <w:t>3.</w:t>
      </w:r>
      <w:r>
        <w:tab/>
      </w:r>
      <w:r>
        <w:rPr>
          <w:i/>
          <w:iCs/>
          <w:sz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D83B51" w:rsidRDefault="00D83B51">
      <w:pPr>
        <w:widowControl/>
        <w:ind w:firstLine="720"/>
      </w:pPr>
    </w:p>
    <w:p w:rsidR="00FC2F3E" w:rsidRDefault="002F4CD3" w:rsidP="00D83B51">
      <w:pPr>
        <w:widowControl/>
        <w:ind w:firstLine="720"/>
      </w:pPr>
      <w:r>
        <w:t>The claims</w:t>
      </w:r>
      <w:r w:rsidR="00FC2F3E">
        <w:t xml:space="preserve"> regulation </w:t>
      </w:r>
      <w:r>
        <w:t>does not restrict</w:t>
      </w:r>
      <w:r w:rsidR="00FC2F3E">
        <w:t xml:space="preserve"> </w:t>
      </w:r>
      <w:r>
        <w:t>plans’</w:t>
      </w:r>
      <w:r w:rsidR="00FC2F3E">
        <w:t xml:space="preserve"> use of electronic technology to process and pay claims, to maintain information as to the basis for claim determination, and to generate correspondence related to claims processing decisions.  </w:t>
      </w:r>
      <w:r w:rsidR="000B7A90">
        <w:t xml:space="preserve">This regulation incorporates by reference </w:t>
      </w:r>
      <w:r w:rsidR="000D7B34">
        <w:t xml:space="preserve">the </w:t>
      </w:r>
      <w:r w:rsidR="000B7A90">
        <w:t xml:space="preserve">pertinent provisions of </w:t>
      </w:r>
      <w:r>
        <w:t xml:space="preserve">the Department’s </w:t>
      </w:r>
      <w:r w:rsidR="000B7A90">
        <w:t xml:space="preserve">separate </w:t>
      </w:r>
      <w:r>
        <w:t>r</w:t>
      </w:r>
      <w:r w:rsidR="000B7A90">
        <w:t>egulation</w:t>
      </w:r>
      <w:r>
        <w:t>, 29 CFR 2520.104b</w:t>
      </w:r>
      <w:r>
        <w:noBreakHyphen/>
        <w:t>1,</w:t>
      </w:r>
      <w:r w:rsidR="000B7A90">
        <w:t xml:space="preserve"> </w:t>
      </w:r>
      <w:r w:rsidR="000D7B34">
        <w:t xml:space="preserve">which </w:t>
      </w:r>
      <w:r>
        <w:t>facilitat</w:t>
      </w:r>
      <w:r w:rsidR="000D7B34">
        <w:t>es</w:t>
      </w:r>
      <w:r>
        <w:t xml:space="preserve"> and encourag</w:t>
      </w:r>
      <w:r w:rsidR="000D7B34">
        <w:t xml:space="preserve">es </w:t>
      </w:r>
      <w:r w:rsidR="000B7A90">
        <w:t>the use of electronic information technology.</w:t>
      </w:r>
      <w:r w:rsidR="00D83B51">
        <w:t xml:space="preserve">  </w:t>
      </w:r>
      <w:r>
        <w:t>This burden estimate incorporates the Department’s assumptions, described in the response to item 12, below, concerning the rate of use by plans of electronic means of communication.</w:t>
      </w:r>
    </w:p>
    <w:p w:rsidR="00FC2F3E" w:rsidRDefault="00FC2F3E">
      <w:pPr>
        <w:widowControl/>
      </w:pPr>
    </w:p>
    <w:p w:rsidR="00FC2F3E" w:rsidRDefault="00FC2F3E">
      <w:pPr>
        <w:widowControl/>
        <w:tabs>
          <w:tab w:val="left" w:pos="-1440"/>
        </w:tabs>
        <w:ind w:left="720" w:hanging="720"/>
        <w:rPr>
          <w:sz w:val="20"/>
        </w:rPr>
      </w:pPr>
      <w:r>
        <w:t>4.</w:t>
      </w:r>
      <w:r>
        <w:tab/>
      </w:r>
      <w:r>
        <w:rPr>
          <w:i/>
          <w:iCs/>
          <w:sz w:val="20"/>
        </w:rPr>
        <w:t xml:space="preserve">Describe efforts to identify duplication.  Show specifically why any similar information already available cannot be used or modified for use for the purposes described in Item 2 above.  </w:t>
      </w:r>
    </w:p>
    <w:p w:rsidR="00FC2F3E" w:rsidRDefault="00FC2F3E">
      <w:pPr>
        <w:widowControl/>
      </w:pPr>
    </w:p>
    <w:p w:rsidR="00FC2F3E" w:rsidRDefault="00FC2F3E">
      <w:pPr>
        <w:widowControl/>
        <w:ind w:firstLine="720"/>
      </w:pPr>
      <w:r>
        <w:t xml:space="preserve">No duplication with other Federal statutes exists.  In some circumstances, states </w:t>
      </w:r>
      <w:r w:rsidR="007A1B61">
        <w:t>may</w:t>
      </w:r>
      <w:r>
        <w:t xml:space="preserve"> require substantially similar information to be provided to insured persons.  However, no duplication occurs because the same information disclosure </w:t>
      </w:r>
      <w:r w:rsidR="00BE47A7">
        <w:t>may be</w:t>
      </w:r>
      <w:r>
        <w:t xml:space="preserve"> used to satisfy </w:t>
      </w:r>
      <w:r w:rsidR="00BE47A7">
        <w:t>duplicative or overlapping</w:t>
      </w:r>
      <w:r>
        <w:t xml:space="preserve"> requirements.</w:t>
      </w:r>
    </w:p>
    <w:p w:rsidR="00FC2F3E" w:rsidRDefault="00FC2F3E">
      <w:pPr>
        <w:widowControl/>
        <w:ind w:firstLine="720"/>
      </w:pPr>
    </w:p>
    <w:p w:rsidR="00FC2F3E" w:rsidRDefault="00FC2F3E">
      <w:pPr>
        <w:widowControl/>
        <w:tabs>
          <w:tab w:val="left" w:pos="-1440"/>
        </w:tabs>
        <w:ind w:left="720" w:hanging="720"/>
        <w:rPr>
          <w:sz w:val="20"/>
        </w:rPr>
      </w:pPr>
      <w:r>
        <w:t>5.</w:t>
      </w:r>
      <w:r>
        <w:tab/>
      </w:r>
      <w:r>
        <w:rPr>
          <w:i/>
          <w:iCs/>
          <w:sz w:val="20"/>
        </w:rPr>
        <w:t>If the collection of information impacts small businesses or other small entities (Item 5 of OMB Form 83-I), describe any methods used to minimize burden.</w:t>
      </w:r>
    </w:p>
    <w:p w:rsidR="00FC2F3E" w:rsidRDefault="00FC2F3E">
      <w:pPr>
        <w:widowControl/>
      </w:pPr>
    </w:p>
    <w:p w:rsidR="00FC2F3E" w:rsidRDefault="00BE47A7" w:rsidP="00343035">
      <w:pPr>
        <w:widowControl/>
        <w:ind w:firstLine="720"/>
      </w:pPr>
      <w:r>
        <w:t xml:space="preserve">The regulation applies to all employee benefit plans and therefore is likely to affect small entities (small business, small plans) that provide benefits.  The Department took into account the potential burden on small entities in structuring the regulation by </w:t>
      </w:r>
      <w:r w:rsidR="00343035">
        <w:t xml:space="preserve">permitting </w:t>
      </w:r>
      <w:r>
        <w:t xml:space="preserve">plan sponsors the </w:t>
      </w:r>
      <w:r w:rsidR="00343035">
        <w:t xml:space="preserve">maximum </w:t>
      </w:r>
      <w:r>
        <w:t xml:space="preserve">possible </w:t>
      </w:r>
      <w:r w:rsidR="00343035">
        <w:t xml:space="preserve">flexibility in </w:t>
      </w:r>
      <w:r>
        <w:t xml:space="preserve">designing their plans, including the possibility of </w:t>
      </w:r>
      <w:r w:rsidR="007A1B61">
        <w:t xml:space="preserve">hiring third-party service providers to carry out these </w:t>
      </w:r>
      <w:r w:rsidR="00343035">
        <w:t>a</w:t>
      </w:r>
      <w:r w:rsidR="000F20D7">
        <w:t xml:space="preserve">dministration responsibilities in order to </w:t>
      </w:r>
      <w:r w:rsidR="007A1B61">
        <w:t xml:space="preserve">make use of the </w:t>
      </w:r>
      <w:r w:rsidR="00343035">
        <w:t>lowest cost method of compliance</w:t>
      </w:r>
      <w:r w:rsidR="007A1B61">
        <w:t xml:space="preserve"> available</w:t>
      </w:r>
      <w:r w:rsidR="00343035">
        <w:t xml:space="preserve">.  </w:t>
      </w:r>
      <w:r w:rsidR="007A1B61">
        <w:t>A</w:t>
      </w:r>
      <w:r w:rsidR="00343035">
        <w:t xml:space="preserve"> large majority of small plans purchase claims administration services from insurers, HMOs, and other service providers</w:t>
      </w:r>
      <w:r w:rsidR="007A1B61">
        <w:t>, and the Department has taken this fact into account in deriving its burden estimates</w:t>
      </w:r>
      <w:r w:rsidR="00343035">
        <w:t xml:space="preserve">.  </w:t>
      </w:r>
      <w:r w:rsidR="007A1B61">
        <w:t>T</w:t>
      </w:r>
      <w:r w:rsidR="00343035">
        <w:t xml:space="preserve">hese service providers typically </w:t>
      </w:r>
      <w:r w:rsidR="007A1B61">
        <w:t>develop</w:t>
      </w:r>
      <w:r w:rsidR="00343035">
        <w:t xml:space="preserve"> a single claims processing system to service a large number of customers, including small entities.  Thus, the cost of revising and implementing the procedures is spread thinly over a large number of small plans.  Moreover, small plans and their respective </w:t>
      </w:r>
      <w:r w:rsidR="00343035">
        <w:lastRenderedPageBreak/>
        <w:t xml:space="preserve">enrollees benefit equally from </w:t>
      </w:r>
      <w:r w:rsidR="0023492D">
        <w:t xml:space="preserve">the service provider’s expertise and ability to provide </w:t>
      </w:r>
      <w:r w:rsidR="00343035">
        <w:t>improved accuracy and timeliness in clai</w:t>
      </w:r>
      <w:r w:rsidR="000F20D7">
        <w:t>ms and appeals determinations.</w:t>
      </w:r>
    </w:p>
    <w:p w:rsidR="00343035" w:rsidRDefault="00343035" w:rsidP="00343035">
      <w:pPr>
        <w:widowControl/>
        <w:ind w:firstLine="720"/>
      </w:pPr>
    </w:p>
    <w:p w:rsidR="00FC2F3E" w:rsidRDefault="00FC2F3E">
      <w:pPr>
        <w:widowControl/>
        <w:sectPr w:rsidR="00FC2F3E">
          <w:endnotePr>
            <w:numFmt w:val="decimal"/>
          </w:endnotePr>
          <w:type w:val="continuous"/>
          <w:pgSz w:w="12240" w:h="15840"/>
          <w:pgMar w:top="1440" w:right="1440" w:bottom="1440" w:left="1440" w:header="1440" w:footer="1440" w:gutter="0"/>
          <w:cols w:space="720"/>
          <w:noEndnote/>
        </w:sectPr>
      </w:pPr>
    </w:p>
    <w:p w:rsidR="00FC2F3E" w:rsidRDefault="00FC2F3E">
      <w:pPr>
        <w:widowControl/>
        <w:tabs>
          <w:tab w:val="left" w:pos="-1440"/>
        </w:tabs>
        <w:ind w:left="720" w:hanging="720"/>
        <w:rPr>
          <w:sz w:val="20"/>
        </w:rPr>
      </w:pPr>
      <w:r>
        <w:lastRenderedPageBreak/>
        <w:t>6.</w:t>
      </w:r>
      <w:r>
        <w:tab/>
      </w:r>
      <w:r>
        <w:rPr>
          <w:i/>
          <w:iCs/>
          <w:sz w:val="20"/>
        </w:rPr>
        <w:t>Describe the consequence to Federal program or policy activities if the collection is not conducted or is conducted less frequently, as well as any technical or legal obstacles to reducing burden.</w:t>
      </w:r>
    </w:p>
    <w:p w:rsidR="00FC2F3E" w:rsidRDefault="00FC2F3E">
      <w:pPr>
        <w:widowControl/>
      </w:pPr>
    </w:p>
    <w:p w:rsidR="00FC2F3E" w:rsidRDefault="00FC2F3E">
      <w:pPr>
        <w:widowControl/>
        <w:ind w:firstLine="720"/>
      </w:pPr>
      <w:r>
        <w:t>Th</w:t>
      </w:r>
      <w:r w:rsidR="000F20D7">
        <w:t xml:space="preserve">e information collection requirements arise in connection with </w:t>
      </w:r>
      <w:r>
        <w:t>the occurrence of individual claims for benefits</w:t>
      </w:r>
      <w:r w:rsidR="000F20D7">
        <w:t xml:space="preserve"> and consist of third-party notices and disclosures</w:t>
      </w:r>
      <w:r>
        <w:t xml:space="preserve">.  No information is reported to the Federal government.  Every claim event is normally of importance to </w:t>
      </w:r>
      <w:r w:rsidR="0023492D">
        <w:t>the specific participant who relies</w:t>
      </w:r>
      <w:r>
        <w:t xml:space="preserve"> on </w:t>
      </w:r>
      <w:r w:rsidR="0023492D">
        <w:t>an employee benefit plan to provide the promised benefit</w:t>
      </w:r>
      <w:r>
        <w:t>.  The information collection provisions of</w:t>
      </w:r>
      <w:r w:rsidR="0023492D">
        <w:t xml:space="preserve"> the regulation </w:t>
      </w:r>
      <w:r w:rsidR="000F20D7">
        <w:t>ensure that</w:t>
      </w:r>
      <w:r>
        <w:t xml:space="preserve"> sufficient information </w:t>
      </w:r>
      <w:r w:rsidR="000F20D7">
        <w:t>is</w:t>
      </w:r>
      <w:r>
        <w:t xml:space="preserve"> provided to: a) participants and beneficiaries so that they may fully exercise their rights under their employee benefit plans, and b) to fiduciaries responsible for operating plans in accordance with their terms. </w:t>
      </w:r>
    </w:p>
    <w:p w:rsidR="00FC2F3E" w:rsidRDefault="00FC2F3E">
      <w:pPr>
        <w:pStyle w:val="Header"/>
        <w:widowControl/>
        <w:tabs>
          <w:tab w:val="clear" w:pos="4320"/>
          <w:tab w:val="clear" w:pos="8640"/>
        </w:tabs>
      </w:pPr>
    </w:p>
    <w:p w:rsidR="00FC2F3E" w:rsidRDefault="00FC2F3E">
      <w:pPr>
        <w:widowControl/>
        <w:tabs>
          <w:tab w:val="left" w:pos="-1440"/>
        </w:tabs>
        <w:ind w:left="720" w:hanging="720"/>
        <w:rPr>
          <w:i/>
          <w:iCs/>
          <w:sz w:val="20"/>
        </w:rPr>
      </w:pPr>
      <w:r>
        <w:t>7.</w:t>
      </w:r>
      <w:r>
        <w:tab/>
      </w:r>
      <w:r>
        <w:rPr>
          <w:i/>
          <w:iCs/>
          <w:sz w:val="20"/>
        </w:rPr>
        <w:t>Explain any special circumstances that would cause an information collection to be conducted in a manner:</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r>
      <w:proofErr w:type="gramStart"/>
      <w:r>
        <w:rPr>
          <w:i/>
          <w:iCs/>
          <w:sz w:val="20"/>
        </w:rPr>
        <w:t>requiring</w:t>
      </w:r>
      <w:proofErr w:type="gramEnd"/>
      <w:r>
        <w:rPr>
          <w:i/>
          <w:iCs/>
          <w:sz w:val="20"/>
        </w:rPr>
        <w:t xml:space="preserve"> respondents to report information to the agency more often than quarterly;</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requiring respondents to prepare a written response to a collection of information in fewer than 30 days after receipt of it;</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requiring respondents to submit more than an original and two copies of any document;</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requiring respondents to retain records, other than health, medical, government contract, grant-in-aid, or tax records for more than three years;</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r>
      <w:proofErr w:type="gramStart"/>
      <w:r>
        <w:rPr>
          <w:i/>
          <w:iCs/>
          <w:sz w:val="20"/>
        </w:rPr>
        <w:t>in</w:t>
      </w:r>
      <w:proofErr w:type="gramEnd"/>
      <w:r>
        <w:rPr>
          <w:i/>
          <w:iCs/>
          <w:sz w:val="20"/>
        </w:rPr>
        <w:t xml:space="preserve"> connection with a statistical survey, that is not designed to produce valid and reliable results that can be generalized to the universe of study;</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requiring the use of a statistical data classification that has not been reviewed and approved by OMB;</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C2F3E" w:rsidRDefault="00FC2F3E">
      <w:pPr>
        <w:widowControl/>
        <w:rPr>
          <w:i/>
          <w:iCs/>
          <w:sz w:val="20"/>
        </w:rPr>
      </w:pPr>
    </w:p>
    <w:p w:rsidR="00FC2F3E" w:rsidRDefault="00FC2F3E">
      <w:pPr>
        <w:widowControl/>
        <w:rPr>
          <w:i/>
          <w:iCs/>
          <w:sz w:val="20"/>
        </w:rPr>
        <w:sectPr w:rsidR="00FC2F3E">
          <w:endnotePr>
            <w:numFmt w:val="decimal"/>
          </w:endnotePr>
          <w:type w:val="continuous"/>
          <w:pgSz w:w="12240" w:h="15840"/>
          <w:pgMar w:top="1440" w:right="1440" w:bottom="1440" w:left="1440" w:header="1440" w:footer="1440" w:gutter="0"/>
          <w:cols w:space="720"/>
          <w:noEndnote/>
        </w:sectPr>
      </w:pPr>
    </w:p>
    <w:p w:rsidR="00FC2F3E" w:rsidRDefault="00FC2F3E">
      <w:pPr>
        <w:widowControl/>
        <w:tabs>
          <w:tab w:val="left" w:pos="-1440"/>
        </w:tabs>
        <w:ind w:left="1440" w:hanging="720"/>
        <w:rPr>
          <w:i/>
          <w:iCs/>
          <w:sz w:val="20"/>
        </w:rPr>
      </w:pPr>
      <w:r>
        <w:rPr>
          <w:i/>
          <w:iCs/>
          <w:sz w:val="20"/>
        </w:rPr>
        <w:lastRenderedPageBreak/>
        <w:t>•</w:t>
      </w:r>
      <w:r>
        <w:rPr>
          <w:i/>
          <w:iCs/>
          <w:sz w:val="20"/>
        </w:rPr>
        <w:tab/>
        <w:t>requiring respondents to submit proprietary trade secret, or other confidential information unless the agency can demonstrate that it has instituted procedures to protect the information's confidentiality to the extent permitted by law.</w:t>
      </w:r>
    </w:p>
    <w:p w:rsidR="00FC2F3E" w:rsidRDefault="00FC2F3E">
      <w:pPr>
        <w:widowControl/>
      </w:pPr>
    </w:p>
    <w:p w:rsidR="00B67E43" w:rsidRDefault="000F20D7">
      <w:pPr>
        <w:widowControl/>
        <w:ind w:firstLine="720"/>
      </w:pPr>
      <w:r>
        <w:t xml:space="preserve">The regulation imposes special timing requirements </w:t>
      </w:r>
      <w:r w:rsidR="007E3107">
        <w:t>for</w:t>
      </w:r>
      <w:r>
        <w:t xml:space="preserve"> the handling of claims under group health plans.  Depending on </w:t>
      </w:r>
      <w:r w:rsidR="007E3107">
        <w:t xml:space="preserve">circumstances indicating </w:t>
      </w:r>
      <w:r>
        <w:t xml:space="preserve">the urgency of the need for a claims </w:t>
      </w:r>
      <w:r>
        <w:lastRenderedPageBreak/>
        <w:t>decision, g</w:t>
      </w:r>
      <w:r w:rsidR="00D83B51">
        <w:t xml:space="preserve">roup health plans </w:t>
      </w:r>
      <w:r w:rsidR="007E3107">
        <w:t>may be required to</w:t>
      </w:r>
      <w:r w:rsidR="00D83B51">
        <w:t xml:space="preserve"> notify claimants about health benefit </w:t>
      </w:r>
      <w:r>
        <w:t xml:space="preserve">claim </w:t>
      </w:r>
      <w:r w:rsidR="00D83B51">
        <w:t xml:space="preserve">determinations in fewer than 30 days.  </w:t>
      </w:r>
    </w:p>
    <w:p w:rsidR="00B67E43" w:rsidRDefault="00B67E43">
      <w:pPr>
        <w:widowControl/>
        <w:ind w:firstLine="720"/>
      </w:pPr>
    </w:p>
    <w:p w:rsidR="00B67E43" w:rsidRDefault="00D83B51">
      <w:pPr>
        <w:widowControl/>
        <w:ind w:firstLine="720"/>
      </w:pPr>
      <w:r>
        <w:t xml:space="preserve">First, for claims involving “urgent care,” the regulation requires, in general, that claimants be notified of health benefit determinations “as soon as possible, but not later than 72 hours after receipt of the claim by the plan. . . .”  </w:t>
      </w:r>
      <w:r w:rsidR="00B67E43">
        <w:t>29 CFR 2560.503</w:t>
      </w:r>
      <w:r w:rsidR="00B67E43">
        <w:noBreakHyphen/>
      </w:r>
      <w:proofErr w:type="gramStart"/>
      <w:r w:rsidR="00B67E43">
        <w:t>1(</w:t>
      </w:r>
      <w:proofErr w:type="gramEnd"/>
      <w:r w:rsidR="00B67E43">
        <w:t>f)(2)(ii).  In cases involving urgent care where the health claim is a request to extend the time period or number of treatments of ongoing medical care, this period is 24 hours.  29 CFR 2560.503</w:t>
      </w:r>
      <w:r w:rsidR="00B67E43">
        <w:noBreakHyphen/>
      </w:r>
      <w:proofErr w:type="gramStart"/>
      <w:r w:rsidR="00B67E43">
        <w:t>1(</w:t>
      </w:r>
      <w:proofErr w:type="gramEnd"/>
      <w:r w:rsidR="00B67E43">
        <w:t xml:space="preserve">f)(2)(ii)(B).  </w:t>
      </w:r>
    </w:p>
    <w:p w:rsidR="00B67E43" w:rsidRDefault="00B67E43">
      <w:pPr>
        <w:widowControl/>
        <w:ind w:firstLine="720"/>
      </w:pPr>
    </w:p>
    <w:p w:rsidR="00FC2F3E" w:rsidRDefault="00D83B51">
      <w:pPr>
        <w:widowControl/>
        <w:ind w:firstLine="720"/>
      </w:pPr>
      <w:r>
        <w:t>Second, for “pre-service” claims, the regulation requires that claimants be notified of health benefit determinations “within a reasonable period of time appropriate to the medi</w:t>
      </w:r>
      <w:r w:rsidR="0009069B">
        <w:t>c</w:t>
      </w:r>
      <w:r>
        <w:t>al circumstances,</w:t>
      </w:r>
      <w:r w:rsidR="00B67E43">
        <w:t xml:space="preserve"> but</w:t>
      </w:r>
      <w:r>
        <w:t xml:space="preserve"> not later than 15 days after receipt of the claim by the plan</w:t>
      </w:r>
      <w:r w:rsidR="00B67E43">
        <w:t>.”  29 CFR 2560.503</w:t>
      </w:r>
      <w:r w:rsidR="00B67E43">
        <w:noBreakHyphen/>
      </w:r>
      <w:proofErr w:type="gramStart"/>
      <w:r w:rsidR="00B67E43">
        <w:t>1(</w:t>
      </w:r>
      <w:proofErr w:type="gramEnd"/>
      <w:r w:rsidR="00B67E43">
        <w:t xml:space="preserve">f)(2)(iii)(A).  </w:t>
      </w:r>
      <w:r w:rsidR="000F20D7">
        <w:t>Pre-service claims involve plan requirements that a claimant obtain approval from the plan prior to receiving health care services or products in order to maintain eligibility for benefits.</w:t>
      </w:r>
    </w:p>
    <w:p w:rsidR="0009069B" w:rsidRDefault="0009069B">
      <w:pPr>
        <w:widowControl/>
        <w:ind w:firstLine="720"/>
      </w:pPr>
    </w:p>
    <w:p w:rsidR="0009069B" w:rsidRDefault="0009069B" w:rsidP="006C4E0B">
      <w:pPr>
        <w:widowControl/>
        <w:ind w:firstLine="720"/>
      </w:pPr>
      <w:r>
        <w:t xml:space="preserve">Third, for “post-service” health benefit claims, the regulation requires notification of an adverse benefit determination “within a reasonable period of time, but not later than 30 days after receipt of the claim.”  Even though 30 days is the </w:t>
      </w:r>
      <w:r w:rsidR="004B3B02">
        <w:t>maximum response time</w:t>
      </w:r>
      <w:r>
        <w:t xml:space="preserve"> for these claims, a plan </w:t>
      </w:r>
      <w:r w:rsidR="000F20D7">
        <w:t>must</w:t>
      </w:r>
      <w:r>
        <w:t xml:space="preserve"> provide </w:t>
      </w:r>
      <w:r w:rsidR="000F20D7">
        <w:t>a</w:t>
      </w:r>
      <w:r>
        <w:t xml:space="preserve"> determination sooner if it is reasonable to do so.  Disability benefit claims </w:t>
      </w:r>
      <w:r w:rsidR="004B3B02">
        <w:t>are subject to a</w:t>
      </w:r>
      <w:r>
        <w:t xml:space="preserve"> similar construct, except that the maximum response time is 45 days. </w:t>
      </w:r>
      <w:r w:rsidR="006D6FAC">
        <w:t>Appeals of denied claims must be decided within similar</w:t>
      </w:r>
      <w:r w:rsidR="007E3107">
        <w:t>, short</w:t>
      </w:r>
      <w:r w:rsidR="006D6FAC">
        <w:t xml:space="preserve"> time limits.  </w:t>
      </w:r>
      <w:r>
        <w:t xml:space="preserve"> </w:t>
      </w:r>
    </w:p>
    <w:p w:rsidR="00382728" w:rsidRDefault="00382728">
      <w:pPr>
        <w:widowControl/>
        <w:ind w:firstLine="720"/>
      </w:pPr>
    </w:p>
    <w:p w:rsidR="009938EB" w:rsidRDefault="009938EB" w:rsidP="009938EB">
      <w:pPr>
        <w:widowControl/>
        <w:ind w:firstLine="720"/>
      </w:pPr>
      <w:r>
        <w:t xml:space="preserve">These </w:t>
      </w:r>
      <w:r w:rsidR="006D6FAC">
        <w:t>timing requirements</w:t>
      </w:r>
      <w:r>
        <w:t xml:space="preserve"> are reasonably related to important policy objectives</w:t>
      </w:r>
      <w:r w:rsidR="006D6FAC">
        <w:t xml:space="preserve"> in an area of important public concern</w:t>
      </w:r>
      <w:r>
        <w:t xml:space="preserve">.  For example, the shortest time frame for “urgent care” claims applies only under circumstances in which delay could seriously jeopardize the life or health of the claimant or the ability of the claimant to regain maximum function, or </w:t>
      </w:r>
      <w:r w:rsidR="006D6FAC">
        <w:t xml:space="preserve">where delay </w:t>
      </w:r>
      <w:r>
        <w:t xml:space="preserve">would subject the claimant to severe pain.   </w:t>
      </w:r>
      <w:r w:rsidR="006D6FAC">
        <w:t>The next shortest time frame applies under circumstances in which medical care, while not urgent, has not been provided to a claimant who needs treatment for a medical problem and where the plan itself requires pre-approval of the medical care before providing coverage.  Post-service health claims and disability claims also involve important concerns relating to the sick and disabled, but under these circumstances</w:t>
      </w:r>
      <w:r w:rsidR="0028109D">
        <w:t xml:space="preserve"> plans may take at least 30 days to respond if it is reasonably necessary to do so.  </w:t>
      </w:r>
    </w:p>
    <w:p w:rsidR="009938EB" w:rsidRDefault="009938EB">
      <w:pPr>
        <w:widowControl/>
        <w:ind w:firstLine="720"/>
      </w:pPr>
    </w:p>
    <w:p w:rsidR="00382728" w:rsidRDefault="0028109D">
      <w:pPr>
        <w:widowControl/>
        <w:ind w:firstLine="720"/>
      </w:pPr>
      <w:r>
        <w:t xml:space="preserve">Another reason why these time frames are important is that these notices relate to the payment of money by a plan to claimants to whom fiduciary responsibilities are owed.  Without enforcement of reasonable deadlines, </w:t>
      </w:r>
      <w:proofErr w:type="spellStart"/>
      <w:r>
        <w:t>payors</w:t>
      </w:r>
      <w:proofErr w:type="spellEnd"/>
      <w:r>
        <w:t xml:space="preserve"> could be given a financial incentive to delay the payments, and this would likely be inconsistent with appropriate fiduciary standards.  Finally, t</w:t>
      </w:r>
      <w:r w:rsidR="009938EB">
        <w:t xml:space="preserve">hese time frames for health and disability claims are generally consistent with industry standards and with the requirements of other regulators such as state insurance departments. </w:t>
      </w:r>
    </w:p>
    <w:p w:rsidR="00FC2F3E" w:rsidRDefault="00FC2F3E">
      <w:pPr>
        <w:pStyle w:val="Header"/>
        <w:widowControl/>
        <w:tabs>
          <w:tab w:val="clear" w:pos="4320"/>
          <w:tab w:val="clear" w:pos="8640"/>
        </w:tabs>
      </w:pPr>
    </w:p>
    <w:p w:rsidR="00FC2F3E" w:rsidRDefault="00FC2F3E">
      <w:pPr>
        <w:widowControl/>
        <w:tabs>
          <w:tab w:val="left" w:pos="-1440"/>
        </w:tabs>
        <w:ind w:left="720" w:hanging="720"/>
        <w:rPr>
          <w:i/>
          <w:iCs/>
          <w:sz w:val="20"/>
        </w:rPr>
      </w:pPr>
      <w:r>
        <w:lastRenderedPageBreak/>
        <w:t>8.</w:t>
      </w:r>
      <w:r>
        <w:tab/>
      </w:r>
      <w:r>
        <w:rPr>
          <w:i/>
          <w:iCs/>
          <w:sz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C2F3E" w:rsidRDefault="00FC2F3E">
      <w:pPr>
        <w:widowControl/>
        <w:rPr>
          <w:i/>
          <w:iCs/>
          <w:sz w:val="20"/>
        </w:rPr>
      </w:pPr>
    </w:p>
    <w:p w:rsidR="00FC2F3E" w:rsidRDefault="00FC2F3E">
      <w:pPr>
        <w:widowControl/>
        <w:ind w:left="720"/>
        <w:rPr>
          <w:i/>
          <w:iCs/>
          <w:sz w:val="20"/>
        </w:rPr>
      </w:pPr>
      <w:r>
        <w:rPr>
          <w:i/>
          <w:iCs/>
          <w:sz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C2F3E" w:rsidRDefault="00FC2F3E">
      <w:pPr>
        <w:widowControl/>
        <w:rPr>
          <w:i/>
          <w:iCs/>
          <w:sz w:val="20"/>
        </w:rPr>
      </w:pPr>
    </w:p>
    <w:p w:rsidR="00FC2F3E" w:rsidRDefault="00FC2F3E">
      <w:pPr>
        <w:widowControl/>
        <w:ind w:left="720"/>
        <w:rPr>
          <w:i/>
          <w:iCs/>
          <w:sz w:val="20"/>
        </w:rPr>
      </w:pPr>
      <w:r>
        <w:rPr>
          <w:i/>
          <w:iCs/>
          <w:sz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C2F3E" w:rsidRDefault="00FC2F3E">
      <w:pPr>
        <w:widowControl/>
      </w:pPr>
    </w:p>
    <w:p w:rsidR="00FC2F3E" w:rsidRDefault="00FC2F3E">
      <w:pPr>
        <w:widowControl/>
        <w:sectPr w:rsidR="00FC2F3E">
          <w:endnotePr>
            <w:numFmt w:val="decimal"/>
          </w:endnotePr>
          <w:type w:val="continuous"/>
          <w:pgSz w:w="12240" w:h="15840"/>
          <w:pgMar w:top="1440" w:right="1440" w:bottom="1440" w:left="1440" w:header="1440" w:footer="1440" w:gutter="0"/>
          <w:cols w:space="720"/>
          <w:noEndnote/>
        </w:sectPr>
      </w:pPr>
    </w:p>
    <w:p w:rsidR="00533943" w:rsidRDefault="00533943" w:rsidP="006F73FB">
      <w:pPr>
        <w:pStyle w:val="BodyTextIndent"/>
        <w:rPr>
          <w:bCs/>
        </w:rPr>
      </w:pPr>
    </w:p>
    <w:p w:rsidR="00116257" w:rsidRDefault="00116257" w:rsidP="006F73FB">
      <w:pPr>
        <w:pStyle w:val="BodyTextIndent"/>
        <w:rPr>
          <w:iCs/>
        </w:rPr>
      </w:pPr>
      <w:r w:rsidRPr="00116257">
        <w:rPr>
          <w:bCs/>
        </w:rPr>
        <w:t xml:space="preserve">The Department published the </w:t>
      </w:r>
      <w:r>
        <w:rPr>
          <w:bCs/>
        </w:rPr>
        <w:t xml:space="preserve">required </w:t>
      </w:r>
      <w:r w:rsidR="00594947">
        <w:rPr>
          <w:bCs/>
        </w:rPr>
        <w:t xml:space="preserve">60-day </w:t>
      </w:r>
      <w:r w:rsidRPr="00116257">
        <w:rPr>
          <w:bCs/>
        </w:rPr>
        <w:t xml:space="preserve">notice </w:t>
      </w:r>
      <w:r w:rsidRPr="006C4E0B">
        <w:rPr>
          <w:iCs/>
        </w:rPr>
        <w:t>soliciting comments on the information collection</w:t>
      </w:r>
      <w:r>
        <w:rPr>
          <w:iCs/>
        </w:rPr>
        <w:t xml:space="preserve"> on</w:t>
      </w:r>
      <w:r w:rsidR="00594947">
        <w:rPr>
          <w:iCs/>
        </w:rPr>
        <w:t xml:space="preserve"> the Notice of Proposed Rulemaking published in the Federal Register on </w:t>
      </w:r>
      <w:r>
        <w:rPr>
          <w:iCs/>
        </w:rPr>
        <w:t xml:space="preserve">November 18, 2015 </w:t>
      </w:r>
      <w:r w:rsidR="00594947">
        <w:rPr>
          <w:iCs/>
        </w:rPr>
        <w:t xml:space="preserve">(80 </w:t>
      </w:r>
      <w:r>
        <w:rPr>
          <w:iCs/>
        </w:rPr>
        <w:t xml:space="preserve">FR  </w:t>
      </w:r>
      <w:r w:rsidR="00594947">
        <w:rPr>
          <w:iCs/>
        </w:rPr>
        <w:t>7</w:t>
      </w:r>
      <w:r>
        <w:rPr>
          <w:iCs/>
        </w:rPr>
        <w:t>2014</w:t>
      </w:r>
      <w:r w:rsidR="00594947">
        <w:rPr>
          <w:iCs/>
        </w:rPr>
        <w:t>,</w:t>
      </w:r>
      <w:r>
        <w:rPr>
          <w:iCs/>
        </w:rPr>
        <w:t xml:space="preserve"> </w:t>
      </w:r>
      <w:r w:rsidR="00594947">
        <w:rPr>
          <w:iCs/>
        </w:rPr>
        <w:t>7</w:t>
      </w:r>
      <w:r>
        <w:rPr>
          <w:iCs/>
        </w:rPr>
        <w:t>202</w:t>
      </w:r>
      <w:r w:rsidR="00594947">
        <w:rPr>
          <w:iCs/>
        </w:rPr>
        <w:t>5).</w:t>
      </w:r>
      <w:r>
        <w:rPr>
          <w:iCs/>
        </w:rPr>
        <w:t>.  In response</w:t>
      </w:r>
      <w:r w:rsidR="00594947">
        <w:rPr>
          <w:iCs/>
        </w:rPr>
        <w:t xml:space="preserve">, </w:t>
      </w:r>
      <w:r>
        <w:rPr>
          <w:iCs/>
        </w:rPr>
        <w:t>the Department received 145 comments.</w:t>
      </w:r>
      <w:r w:rsidR="00BB2E40">
        <w:rPr>
          <w:iCs/>
        </w:rPr>
        <w:t xml:space="preserve">  </w:t>
      </w:r>
      <w:r w:rsidR="00BB2E40" w:rsidRPr="00366869">
        <w:rPr>
          <w:iCs/>
        </w:rPr>
        <w:t xml:space="preserve">Responses to all comments are </w:t>
      </w:r>
      <w:r w:rsidR="00594947">
        <w:rPr>
          <w:iCs/>
        </w:rPr>
        <w:t xml:space="preserve">discussed in </w:t>
      </w:r>
      <w:r w:rsidR="00BB2E40" w:rsidRPr="00366869">
        <w:rPr>
          <w:iCs/>
        </w:rPr>
        <w:t>the preamble of the final rule</w:t>
      </w:r>
      <w:r w:rsidR="00594947">
        <w:rPr>
          <w:iCs/>
        </w:rPr>
        <w:t>.</w:t>
      </w:r>
      <w:r w:rsidR="00BB2E40">
        <w:rPr>
          <w:iCs/>
        </w:rPr>
        <w:t xml:space="preserve">  </w:t>
      </w:r>
      <w:r w:rsidR="00366869">
        <w:rPr>
          <w:iCs/>
        </w:rPr>
        <w:t>Eight</w:t>
      </w:r>
      <w:r w:rsidR="00BB2E40">
        <w:rPr>
          <w:iCs/>
        </w:rPr>
        <w:t xml:space="preserve"> commenters </w:t>
      </w:r>
      <w:r w:rsidR="00594947">
        <w:rPr>
          <w:iCs/>
        </w:rPr>
        <w:t>submitted</w:t>
      </w:r>
      <w:r w:rsidR="00BB2E40">
        <w:rPr>
          <w:iCs/>
        </w:rPr>
        <w:t xml:space="preserve"> comments directed specifically at the </w:t>
      </w:r>
      <w:r w:rsidR="00594947">
        <w:rPr>
          <w:iCs/>
        </w:rPr>
        <w:t xml:space="preserve">Department's </w:t>
      </w:r>
      <w:r w:rsidR="00BB2E40">
        <w:rPr>
          <w:iCs/>
        </w:rPr>
        <w:t>cost estimates</w:t>
      </w:r>
      <w:r w:rsidR="00366869">
        <w:rPr>
          <w:iCs/>
        </w:rPr>
        <w:t xml:space="preserve"> </w:t>
      </w:r>
      <w:r w:rsidR="00594947">
        <w:rPr>
          <w:iCs/>
        </w:rPr>
        <w:t xml:space="preserve">for the proposed rule. These comments are addressed below. </w:t>
      </w:r>
    </w:p>
    <w:p w:rsidR="00366869" w:rsidRDefault="00366869" w:rsidP="006F73FB">
      <w:pPr>
        <w:pStyle w:val="BodyTextIndent"/>
        <w:rPr>
          <w:iCs/>
        </w:rPr>
      </w:pPr>
    </w:p>
    <w:p w:rsidR="00366869" w:rsidRDefault="00366869" w:rsidP="006C4E0B">
      <w:pPr>
        <w:ind w:firstLine="720"/>
      </w:pPr>
      <w:r>
        <w:t>Based on c</w:t>
      </w:r>
      <w:r w:rsidRPr="003B1D63">
        <w:t>omments and discussion</w:t>
      </w:r>
      <w:r>
        <w:t xml:space="preserve">s with the </w:t>
      </w:r>
      <w:r w:rsidRPr="003B1D63">
        <w:t>regulated community</w:t>
      </w:r>
      <w:r>
        <w:t xml:space="preserve">, the Department </w:t>
      </w:r>
      <w:r w:rsidRPr="003B1D63">
        <w:t>understand</w:t>
      </w:r>
      <w:r>
        <w:t>s</w:t>
      </w:r>
      <w:r w:rsidRPr="003B1D63">
        <w:t xml:space="preserve"> that few </w:t>
      </w:r>
      <w:r>
        <w:t xml:space="preserve">appeals based adverse benefit determinations on </w:t>
      </w:r>
      <w:r w:rsidRPr="003B1D63">
        <w:t xml:space="preserve">new </w:t>
      </w:r>
      <w:r>
        <w:t>evidence or rationale</w:t>
      </w:r>
      <w:r w:rsidRPr="003B1D63">
        <w:t xml:space="preserve">.  </w:t>
      </w:r>
      <w:r>
        <w:t xml:space="preserve">The Department also understands that the most critical new information relied on by plans when issuing adverse benefit determinations on review are new independent medical reports, and that </w:t>
      </w:r>
      <w:r w:rsidRPr="003B1D63">
        <w:t xml:space="preserve">at least some plans and insurers have a practice of </w:t>
      </w:r>
      <w:r>
        <w:t xml:space="preserve">providing </w:t>
      </w:r>
      <w:r w:rsidRPr="003B1D63">
        <w:t xml:space="preserve">claimants </w:t>
      </w:r>
      <w:r>
        <w:t xml:space="preserve">with rights to </w:t>
      </w:r>
      <w:r w:rsidRPr="003B1D63">
        <w:t>a second appeal</w:t>
      </w:r>
      <w:r>
        <w:t xml:space="preserve"> to respond to the new </w:t>
      </w:r>
      <w:r w:rsidRPr="003B1D63">
        <w:t>independent medical report</w:t>
      </w:r>
      <w:r>
        <w:t xml:space="preserve"> if they disagree with </w:t>
      </w:r>
      <w:r w:rsidRPr="003B1D63">
        <w:t xml:space="preserve">its findings.  </w:t>
      </w:r>
    </w:p>
    <w:p w:rsidR="00366869" w:rsidRPr="00C82AC6" w:rsidRDefault="00366869" w:rsidP="006C4E0B">
      <w:pPr>
        <w:ind w:firstLine="720"/>
      </w:pPr>
    </w:p>
    <w:p w:rsidR="00366869" w:rsidRDefault="00366869" w:rsidP="006C4E0B">
      <w:pPr>
        <w:ind w:firstLine="720"/>
      </w:pPr>
      <w:r w:rsidRPr="003B1D63">
        <w:t>One commenter questioned the</w:t>
      </w:r>
      <w:r>
        <w:t xml:space="preserve"> Department’s assumption</w:t>
      </w:r>
      <w:r w:rsidRPr="003B1D63">
        <w:t xml:space="preserve"> </w:t>
      </w:r>
      <w:r>
        <w:t xml:space="preserve">asserting that it </w:t>
      </w:r>
      <w:r w:rsidRPr="003B1D63">
        <w:t xml:space="preserve">does not account for time to identify the additional or new information or rationale </w:t>
      </w:r>
      <w:r>
        <w:t>and f</w:t>
      </w:r>
      <w:r w:rsidRPr="003B1D63">
        <w:t>or staff to respond.   Commenters also assert</w:t>
      </w:r>
      <w:r>
        <w:t>ed</w:t>
      </w:r>
      <w:r w:rsidRPr="003B1D63">
        <w:t xml:space="preserve"> that providing the information will trigger a response by the claimant to which they will have to respond.   </w:t>
      </w:r>
      <w:r>
        <w:t>T</w:t>
      </w:r>
      <w:r w:rsidRPr="003B1D63">
        <w:t xml:space="preserve">he commenter provided no </w:t>
      </w:r>
      <w:r>
        <w:t xml:space="preserve">alternative </w:t>
      </w:r>
      <w:r w:rsidRPr="003B1D63">
        <w:t xml:space="preserve">estimates or data </w:t>
      </w:r>
      <w:r>
        <w:t xml:space="preserve">supporting </w:t>
      </w:r>
      <w:r w:rsidRPr="003B1D63">
        <w:t xml:space="preserve">their </w:t>
      </w:r>
      <w:r>
        <w:t xml:space="preserve">assertions that the Department could use to revise its cost </w:t>
      </w:r>
      <w:r w:rsidRPr="003B1D63">
        <w:t>estimat</w:t>
      </w:r>
      <w:r>
        <w:t>e</w:t>
      </w:r>
      <w:r w:rsidRPr="003B1D63">
        <w:t>.</w:t>
      </w:r>
    </w:p>
    <w:p w:rsidR="00366869" w:rsidRDefault="00366869" w:rsidP="006C4E0B">
      <w:pPr>
        <w:ind w:firstLine="720"/>
      </w:pPr>
      <w:r w:rsidRPr="003B1D63">
        <w:t xml:space="preserve">  </w:t>
      </w:r>
    </w:p>
    <w:p w:rsidR="00366869" w:rsidRDefault="00366869" w:rsidP="006C4E0B">
      <w:pPr>
        <w:ind w:firstLine="720"/>
      </w:pPr>
      <w:r>
        <w:t xml:space="preserve">In the absence of such data, the Department disagrees with </w:t>
      </w:r>
      <w:r w:rsidRPr="003B1D63">
        <w:t>the comment.  While some effort is required to provide claimant</w:t>
      </w:r>
      <w:r>
        <w:t>s</w:t>
      </w:r>
      <w:r w:rsidRPr="003B1D63">
        <w:t xml:space="preserve"> with the new information or rationale, the </w:t>
      </w:r>
      <w:r>
        <w:t xml:space="preserve">Department does not find the commenter’s </w:t>
      </w:r>
      <w:r w:rsidRPr="003B1D63">
        <w:t xml:space="preserve">assertion of significant burden </w:t>
      </w:r>
      <w:r>
        <w:t xml:space="preserve">to be </w:t>
      </w:r>
      <w:r w:rsidRPr="003B1D63">
        <w:t>credible</w:t>
      </w:r>
      <w:r>
        <w:t>. As part of its customary and usual business practices, th</w:t>
      </w:r>
      <w:r w:rsidRPr="003B1D63">
        <w:t xml:space="preserve">e insurer or TPA </w:t>
      </w:r>
      <w:r>
        <w:t xml:space="preserve">should establish a </w:t>
      </w:r>
      <w:r w:rsidRPr="003B1D63">
        <w:t xml:space="preserve">system to track </w:t>
      </w:r>
      <w:r>
        <w:t>new information or a rationale that it relies on in making an adverse benefit determination in order to identify, document, and evaluate the information during its review of the claim.</w:t>
      </w:r>
      <w:r w:rsidRPr="003B1D63">
        <w:t xml:space="preserve">  </w:t>
      </w:r>
      <w:r>
        <w:t xml:space="preserve">The Department acknowledges, however, </w:t>
      </w:r>
      <w:r w:rsidRPr="003B1D63">
        <w:t xml:space="preserve">that </w:t>
      </w:r>
      <w:r>
        <w:t xml:space="preserve">an average of </w:t>
      </w:r>
      <w:r w:rsidRPr="003B1D63">
        <w:t xml:space="preserve">five minutes may be inadequate </w:t>
      </w:r>
      <w:r>
        <w:t xml:space="preserve">time </w:t>
      </w:r>
      <w:r w:rsidRPr="003B1D63">
        <w:t xml:space="preserve">to </w:t>
      </w:r>
      <w:r w:rsidRPr="003B1D63">
        <w:lastRenderedPageBreak/>
        <w:t>collect the information and provide it to the claimants</w:t>
      </w:r>
      <w:r>
        <w:t xml:space="preserve">; therefore, it has increased the estimate to an average of </w:t>
      </w:r>
      <w:r w:rsidRPr="003B1D63">
        <w:t>30 minutes</w:t>
      </w:r>
      <w:r>
        <w:t xml:space="preserve">, which should provide </w:t>
      </w:r>
      <w:r w:rsidRPr="003B1D63">
        <w:t xml:space="preserve">a reasonable </w:t>
      </w:r>
      <w:r>
        <w:t xml:space="preserve">amount of time </w:t>
      </w:r>
      <w:r w:rsidRPr="003B1D63">
        <w:t>to perform this task.</w:t>
      </w:r>
    </w:p>
    <w:p w:rsidR="00366869" w:rsidRPr="003B1D63" w:rsidRDefault="00366869" w:rsidP="006C4E0B">
      <w:pPr>
        <w:ind w:firstLine="720"/>
      </w:pPr>
    </w:p>
    <w:p w:rsidR="00366869" w:rsidRDefault="00366869" w:rsidP="006C4E0B">
      <w:pPr>
        <w:ind w:firstLine="720"/>
      </w:pPr>
      <w:r>
        <w:t xml:space="preserve">The Department also </w:t>
      </w:r>
      <w:r w:rsidRPr="003B1D63">
        <w:t>agree</w:t>
      </w:r>
      <w:r>
        <w:t>s</w:t>
      </w:r>
      <w:r w:rsidRPr="003B1D63">
        <w:t xml:space="preserve"> that making the new or additional information or rationale </w:t>
      </w:r>
      <w:r>
        <w:t xml:space="preserve">available to the claimant </w:t>
      </w:r>
      <w:r w:rsidRPr="003B1D63">
        <w:t>may trigger a response</w:t>
      </w:r>
      <w:r>
        <w:t xml:space="preserve"> from the claimant</w:t>
      </w:r>
      <w:r w:rsidRPr="003B1D63">
        <w:t xml:space="preserve">.  </w:t>
      </w:r>
      <w:r>
        <w:t xml:space="preserve">However, the Department does not have sufficient data to estimate </w:t>
      </w:r>
      <w:r w:rsidRPr="003B1D63">
        <w:t xml:space="preserve">the number of claimants </w:t>
      </w:r>
      <w:r>
        <w:t xml:space="preserve">that </w:t>
      </w:r>
      <w:r w:rsidRPr="003B1D63">
        <w:t xml:space="preserve">will respond with information that the insurer or TPA will need to evaluate </w:t>
      </w:r>
      <w:r>
        <w:t>or how much time will be required to evaluate the information.</w:t>
      </w:r>
      <w:r w:rsidRPr="003B1D63">
        <w:t xml:space="preserve">  </w:t>
      </w:r>
      <w:r>
        <w:t>Moreover, the</w:t>
      </w:r>
      <w:r w:rsidRPr="003B1D63">
        <w:t xml:space="preserve"> Department</w:t>
      </w:r>
      <w:r>
        <w:t xml:space="preserve">’s consultations with EBSA field </w:t>
      </w:r>
      <w:r w:rsidRPr="003B1D63">
        <w:t xml:space="preserve">investigators </w:t>
      </w:r>
      <w:r>
        <w:t>that investigate disability plan issues indicate that many disability plans already allow claimants to respond to the new information or rationale in a back-and-forth process</w:t>
      </w:r>
      <w:r w:rsidRPr="003B1D63">
        <w:t xml:space="preserve">.  </w:t>
      </w:r>
      <w:r>
        <w:t xml:space="preserve">The requirement imposes no new costs on these </w:t>
      </w:r>
      <w:r w:rsidRPr="003B1D63">
        <w:t xml:space="preserve">plans, insurers, and TPAs.  </w:t>
      </w:r>
      <w:r>
        <w:t>The requirement does impose an additional burden on plans that do not allow claimants to respond to the new information or rationale, but the Department does not have sufficient data to estimate the increased costs.</w:t>
      </w:r>
      <w:r w:rsidRPr="003B1D63">
        <w:t xml:space="preserve"> One industry commenter agreed that </w:t>
      </w:r>
      <w:r>
        <w:t xml:space="preserve">that </w:t>
      </w:r>
      <w:r w:rsidRPr="003B1D63">
        <w:t>it would be difficult to estimate</w:t>
      </w:r>
      <w:r>
        <w:t xml:space="preserve"> the burden associated with responding to claimants.</w:t>
      </w:r>
    </w:p>
    <w:p w:rsidR="00AB585F" w:rsidRDefault="00AB585F" w:rsidP="006C4E0B">
      <w:pPr>
        <w:ind w:firstLine="720"/>
      </w:pPr>
    </w:p>
    <w:p w:rsidR="00366869" w:rsidRPr="003B1D63" w:rsidRDefault="00366869" w:rsidP="006C4E0B">
      <w:pPr>
        <w:ind w:firstLine="720"/>
      </w:pPr>
      <w:r w:rsidRPr="003B1D63">
        <w:t xml:space="preserve">Commenters also raised concern </w:t>
      </w:r>
      <w:r>
        <w:t xml:space="preserve">regarding </w:t>
      </w:r>
      <w:r w:rsidRPr="003B1D63">
        <w:t>a potentially endless cycle of appeals, responses, and reconsiderations</w:t>
      </w:r>
      <w:r>
        <w:t xml:space="preserve"> that </w:t>
      </w:r>
      <w:r w:rsidRPr="003B1D63">
        <w:t xml:space="preserve">would extend the claim determination process </w:t>
      </w:r>
      <w:r>
        <w:t xml:space="preserve">and </w:t>
      </w:r>
      <w:r w:rsidRPr="003B1D63">
        <w:t>substantially increas</w:t>
      </w:r>
      <w:r>
        <w:t>e</w:t>
      </w:r>
      <w:r w:rsidRPr="003B1D63">
        <w:t xml:space="preserve"> costs.  </w:t>
      </w:r>
      <w:r>
        <w:t xml:space="preserve">As discussed in the preamble, the Department also does not find this claim to be credible. </w:t>
      </w:r>
      <w:r w:rsidRPr="003B1D63">
        <w:t xml:space="preserve"> The requirement only requires action if the insurer or TPA produces new or additional information or rationale, not if it just evaluates the information submitted by the claimant</w:t>
      </w:r>
      <w:r>
        <w:t>, and the Department’s consultations with its investigators indicated that this rarely occurs</w:t>
      </w:r>
      <w:r w:rsidRPr="003B1D63">
        <w:t>.</w:t>
      </w:r>
      <w:r>
        <w:t xml:space="preserve"> </w:t>
      </w:r>
      <w:r w:rsidRPr="009D5C48">
        <w:t xml:space="preserve"> </w:t>
      </w:r>
      <w:r>
        <w:t xml:space="preserve">Furthermore, </w:t>
      </w:r>
      <w:r w:rsidRPr="00C77C59">
        <w:t xml:space="preserve">the Department has interpreted ERISA section 503 and the current </w:t>
      </w:r>
      <w:r>
        <w:t>Section 503</w:t>
      </w:r>
      <w:r w:rsidRPr="00C77C59">
        <w:t xml:space="preserve"> </w:t>
      </w:r>
      <w:r>
        <w:t>R</w:t>
      </w:r>
      <w:r w:rsidRPr="00C77C59">
        <w:t xml:space="preserve">egulation as already requiring that plans provide claimants with new or additional evidence or rationales upon request and an opportunity to respond in certain circumstances.  See Brief of amicus curiae Secretary of the United States Department of Labor, </w:t>
      </w:r>
      <w:proofErr w:type="spellStart"/>
      <w:r w:rsidRPr="00C77C59">
        <w:t>Midgett</w:t>
      </w:r>
      <w:proofErr w:type="spellEnd"/>
      <w:r w:rsidRPr="00C77C59">
        <w:t xml:space="preserve"> v. Washington Group International Long Term Disability Plan, 561 F.3d 887 (8th Cir. 2009) (expressing disagreement with cases holding that there is no such requirement).  </w:t>
      </w:r>
      <w:r>
        <w:t>The supposed “</w:t>
      </w:r>
      <w:r w:rsidRPr="002D11B8">
        <w:t>endless loop</w:t>
      </w:r>
      <w:r>
        <w:t>”</w:t>
      </w:r>
      <w:r w:rsidRPr="002D11B8">
        <w:t xml:space="preserve"> is </w:t>
      </w:r>
      <w:r>
        <w:t xml:space="preserve">necessarily </w:t>
      </w:r>
      <w:r w:rsidRPr="002D11B8">
        <w:t xml:space="preserve">limited by claimants’ ability to generate new evidence requiring further review by the plan. </w:t>
      </w:r>
      <w:r>
        <w:t>S</w:t>
      </w:r>
      <w:r w:rsidRPr="00C77C59">
        <w:t>uch submissions ordinarily become repetitive in short order, and are further circumscribed by the limited financial resources of most claimants.</w:t>
      </w:r>
    </w:p>
    <w:p w:rsidR="00366869" w:rsidRPr="003B1D63" w:rsidRDefault="00366869" w:rsidP="006C4E0B">
      <w:pPr>
        <w:spacing w:after="200"/>
        <w:contextualSpacing/>
      </w:pPr>
    </w:p>
    <w:p w:rsidR="00366869" w:rsidRDefault="00366869" w:rsidP="006C4E0B">
      <w:pPr>
        <w:spacing w:after="200"/>
        <w:ind w:firstLine="720"/>
        <w:contextualSpacing/>
      </w:pPr>
      <w:r w:rsidRPr="002B368C">
        <w:rPr>
          <w:i/>
        </w:rPr>
        <w:t xml:space="preserve">Adverse benefit determinations on disability benefit claims would have to contain a discussion of the decision, including the basis for disagreeing with SSA </w:t>
      </w:r>
      <w:r>
        <w:rPr>
          <w:i/>
        </w:rPr>
        <w:t xml:space="preserve">Disability Determination </w:t>
      </w:r>
      <w:r w:rsidRPr="002B368C">
        <w:rPr>
          <w:i/>
        </w:rPr>
        <w:t xml:space="preserve">and </w:t>
      </w:r>
      <w:r>
        <w:rPr>
          <w:i/>
        </w:rPr>
        <w:t xml:space="preserve">Views of </w:t>
      </w:r>
      <w:r w:rsidRPr="002B368C">
        <w:rPr>
          <w:i/>
        </w:rPr>
        <w:t>Treating Physician</w:t>
      </w:r>
      <w:r>
        <w:rPr>
          <w:i/>
        </w:rPr>
        <w:t>:</w:t>
      </w:r>
      <w:r>
        <w:t xml:space="preserve"> </w:t>
      </w:r>
      <w:r w:rsidRPr="003B1D63">
        <w:t xml:space="preserve">Commenters </w:t>
      </w:r>
      <w:r w:rsidRPr="00C82AC6">
        <w:t xml:space="preserve">on the proposal </w:t>
      </w:r>
      <w:r w:rsidRPr="003B1D63">
        <w:t>noted that costs where not quantified for the added burden of including in the benefit determination a discussion of why the plan did not follow the determination of the Socia</w:t>
      </w:r>
      <w:r w:rsidRPr="00C82AC6">
        <w:t>l Security Administration (SSA)</w:t>
      </w:r>
      <w:r>
        <w:t xml:space="preserve"> or views of health care professionals that treated the claimant</w:t>
      </w:r>
      <w:r w:rsidRPr="003B1D63">
        <w:t>.</w:t>
      </w:r>
      <w:r w:rsidRPr="00C82AC6">
        <w:t xml:space="preserve"> Commenters did not provide data or informati</w:t>
      </w:r>
      <w:r w:rsidRPr="003B1D63">
        <w:t xml:space="preserve">on </w:t>
      </w:r>
      <w:r>
        <w:t xml:space="preserve">that would provide the Department with sufficient data </w:t>
      </w:r>
      <w:r w:rsidRPr="003B1D63">
        <w:t xml:space="preserve">to quantify </w:t>
      </w:r>
      <w:r>
        <w:t>such</w:t>
      </w:r>
      <w:r w:rsidRPr="003B1D63">
        <w:t xml:space="preserve"> cost</w:t>
      </w:r>
      <w:r>
        <w:t>s</w:t>
      </w:r>
      <w:r w:rsidRPr="003B1D63">
        <w:t xml:space="preserve">.  </w:t>
      </w:r>
      <w:r>
        <w:t>Thus, w</w:t>
      </w:r>
      <w:r w:rsidRPr="003B1D63">
        <w:t xml:space="preserve">hile </w:t>
      </w:r>
      <w:r>
        <w:t>the</w:t>
      </w:r>
      <w:r w:rsidRPr="003B1D63">
        <w:t xml:space="preserve"> </w:t>
      </w:r>
      <w:r>
        <w:t xml:space="preserve">Department </w:t>
      </w:r>
      <w:r w:rsidRPr="003B1D63">
        <w:t>agree</w:t>
      </w:r>
      <w:r>
        <w:t>s</w:t>
      </w:r>
      <w:r w:rsidRPr="003B1D63">
        <w:t xml:space="preserve"> </w:t>
      </w:r>
      <w:r>
        <w:t xml:space="preserve">that </w:t>
      </w:r>
      <w:r w:rsidRPr="003B1D63">
        <w:t xml:space="preserve">there could be added burden </w:t>
      </w:r>
      <w:r>
        <w:t xml:space="preserve">imposed on plans </w:t>
      </w:r>
      <w:r w:rsidRPr="003B1D63">
        <w:t xml:space="preserve">to provide this </w:t>
      </w:r>
      <w:r w:rsidRPr="003B1D63">
        <w:lastRenderedPageBreak/>
        <w:t xml:space="preserve">discussion </w:t>
      </w:r>
      <w:r>
        <w:t>in adverse benefit determinations, the Department is</w:t>
      </w:r>
      <w:r w:rsidRPr="003B1D63">
        <w:t xml:space="preserve"> unable to estimate the burden</w:t>
      </w:r>
      <w:r>
        <w:t xml:space="preserve"> due to data limitations</w:t>
      </w:r>
      <w:r w:rsidRPr="00C82AC6">
        <w:t>.</w:t>
      </w:r>
    </w:p>
    <w:p w:rsidR="00366869" w:rsidRDefault="00366869" w:rsidP="006C4E0B">
      <w:pPr>
        <w:spacing w:after="200"/>
        <w:ind w:firstLine="720"/>
        <w:contextualSpacing/>
      </w:pPr>
    </w:p>
    <w:p w:rsidR="00366869" w:rsidRDefault="00366869" w:rsidP="006C4E0B">
      <w:pPr>
        <w:spacing w:after="200"/>
        <w:ind w:firstLine="720"/>
        <w:contextualSpacing/>
      </w:pPr>
      <w:r w:rsidRPr="002B368C">
        <w:rPr>
          <w:i/>
        </w:rPr>
        <w:t>Adverse benefit determination would have to contain the internal rules, guidelines, protocols, standards, or other similar criteria of the plan used in denying the claim</w:t>
      </w:r>
      <w:r>
        <w:rPr>
          <w:i/>
        </w:rPr>
        <w:t xml:space="preserve">.  </w:t>
      </w:r>
      <w:r>
        <w:t xml:space="preserve">The Department </w:t>
      </w:r>
      <w:r w:rsidRPr="003B1D63">
        <w:t>believe</w:t>
      </w:r>
      <w:r>
        <w:t>s</w:t>
      </w:r>
      <w:r w:rsidRPr="003B1D63">
        <w:t xml:space="preserve"> </w:t>
      </w:r>
      <w:r>
        <w:t xml:space="preserve">that </w:t>
      </w:r>
      <w:r w:rsidRPr="003B1D63">
        <w:t xml:space="preserve">this requirement will have minimal costs.  In the process of determining a claim, plans will know, or should know, </w:t>
      </w:r>
      <w:r>
        <w:t xml:space="preserve">the internal rules, guidelines or protocols that were </w:t>
      </w:r>
      <w:r w:rsidRPr="003B1D63">
        <w:t xml:space="preserve">used to </w:t>
      </w:r>
      <w:r>
        <w:t xml:space="preserve">make a benefit </w:t>
      </w:r>
      <w:r w:rsidRPr="003B1D63">
        <w:t>determin</w:t>
      </w:r>
      <w:r>
        <w:t xml:space="preserve">ation. </w:t>
      </w:r>
      <w:r w:rsidRPr="003B1D63">
        <w:t xml:space="preserve"> A commenter was concerned about the time and costs </w:t>
      </w:r>
      <w:r>
        <w:t xml:space="preserve">that would be required </w:t>
      </w:r>
      <w:r w:rsidRPr="003B1D63">
        <w:t xml:space="preserve">to comb through hundreds of pages of a claim manual to determine that no provision has any conceivable application </w:t>
      </w:r>
      <w:r>
        <w:t xml:space="preserve">to a particular claim </w:t>
      </w:r>
      <w:r w:rsidRPr="003B1D63">
        <w:t xml:space="preserve">in order to </w:t>
      </w:r>
      <w:r>
        <w:t xml:space="preserve">substantiate </w:t>
      </w:r>
      <w:r w:rsidRPr="003B1D63">
        <w:t xml:space="preserve">this </w:t>
      </w:r>
      <w:r>
        <w:t>require</w:t>
      </w:r>
      <w:r w:rsidRPr="003B1D63">
        <w:t xml:space="preserve">ment.  </w:t>
      </w:r>
      <w:r>
        <w:t>The Department believes that n</w:t>
      </w:r>
      <w:r w:rsidRPr="003B1D63">
        <w:t xml:space="preserve">either the proposal </w:t>
      </w:r>
      <w:r>
        <w:t>n</w:t>
      </w:r>
      <w:r w:rsidRPr="003B1D63">
        <w:t>or the final rule require</w:t>
      </w:r>
      <w:r>
        <w:t>s</w:t>
      </w:r>
      <w:r w:rsidRPr="003B1D63">
        <w:t xml:space="preserve"> this type of costly and time consuming </w:t>
      </w:r>
      <w:r>
        <w:t>process</w:t>
      </w:r>
      <w:r w:rsidRPr="003B1D63">
        <w:t>. The rule requires only the inclusion of those items that were relied upon and that should already be documented in the claim file at the time it was used to make a determination.</w:t>
      </w:r>
    </w:p>
    <w:p w:rsidR="00366869" w:rsidRPr="003B1D63" w:rsidRDefault="00366869" w:rsidP="006C4E0B">
      <w:pPr>
        <w:spacing w:after="200"/>
        <w:ind w:firstLine="720"/>
        <w:contextualSpacing/>
      </w:pPr>
    </w:p>
    <w:p w:rsidR="00366869" w:rsidRDefault="00366869" w:rsidP="006C4E0B">
      <w:pPr>
        <w:spacing w:after="200"/>
        <w:ind w:firstLine="360"/>
        <w:contextualSpacing/>
        <w:rPr>
          <w:color w:val="000000"/>
        </w:rPr>
      </w:pPr>
      <w:r w:rsidRPr="00FD7488">
        <w:rPr>
          <w:i/>
        </w:rPr>
        <w:t>Culturally and Linguistically Appropriate Notices</w:t>
      </w:r>
      <w:r>
        <w:rPr>
          <w:i/>
        </w:rPr>
        <w:t xml:space="preserve">: </w:t>
      </w:r>
    </w:p>
    <w:p w:rsidR="00366869" w:rsidRDefault="00366869" w:rsidP="006C4E0B">
      <w:pPr>
        <w:autoSpaceDE/>
        <w:autoSpaceDN/>
        <w:adjustRightInd/>
        <w:ind w:firstLine="720"/>
        <w:rPr>
          <w:color w:val="000000"/>
        </w:rPr>
      </w:pPr>
      <w:r>
        <w:rPr>
          <w:color w:val="000000"/>
        </w:rPr>
        <w:t>Although,</w:t>
      </w:r>
      <w:r w:rsidRPr="003B1D63">
        <w:rPr>
          <w:color w:val="000000"/>
        </w:rPr>
        <w:t xml:space="preserve"> one commenter reported that oral translation services are not provided</w:t>
      </w:r>
      <w:r>
        <w:rPr>
          <w:color w:val="000000"/>
        </w:rPr>
        <w:t xml:space="preserve"> by plans</w:t>
      </w:r>
      <w:r w:rsidRPr="003B1D63">
        <w:rPr>
          <w:color w:val="000000"/>
        </w:rPr>
        <w:t>,</w:t>
      </w:r>
      <w:r>
        <w:rPr>
          <w:color w:val="000000"/>
        </w:rPr>
        <w:t xml:space="preserve"> the Department’s </w:t>
      </w:r>
      <w:r w:rsidRPr="003B1D63">
        <w:rPr>
          <w:color w:val="000000"/>
        </w:rPr>
        <w:t xml:space="preserve">conversations with the regulated community </w:t>
      </w:r>
      <w:r>
        <w:rPr>
          <w:color w:val="000000"/>
        </w:rPr>
        <w:t>indicate</w:t>
      </w:r>
      <w:r w:rsidRPr="003B1D63">
        <w:rPr>
          <w:color w:val="000000"/>
        </w:rPr>
        <w:t xml:space="preserve"> that oral translation services </w:t>
      </w:r>
      <w:r>
        <w:rPr>
          <w:color w:val="000000"/>
        </w:rPr>
        <w:t xml:space="preserve">generally </w:t>
      </w:r>
      <w:r w:rsidRPr="003B1D63">
        <w:rPr>
          <w:color w:val="000000"/>
        </w:rPr>
        <w:t xml:space="preserve">are offered as a standard service.  </w:t>
      </w:r>
      <w:r>
        <w:rPr>
          <w:color w:val="000000"/>
        </w:rPr>
        <w:t xml:space="preserve">Based on this information, the Department assumes that only </w:t>
      </w:r>
      <w:r w:rsidRPr="003B1D63">
        <w:rPr>
          <w:color w:val="000000"/>
        </w:rPr>
        <w:t xml:space="preserve">a small number of </w:t>
      </w:r>
      <w:r>
        <w:rPr>
          <w:color w:val="000000"/>
        </w:rPr>
        <w:t xml:space="preserve">plans will </w:t>
      </w:r>
      <w:r w:rsidRPr="003B1D63">
        <w:rPr>
          <w:color w:val="000000"/>
        </w:rPr>
        <w:t>need to begin offering oral translation services</w:t>
      </w:r>
      <w:r>
        <w:rPr>
          <w:color w:val="000000"/>
        </w:rPr>
        <w:t xml:space="preserve"> for the first time upon the issuance of the final rule.  Therefore, the Department assumes that this requirement will impose minimal additional costs.</w:t>
      </w:r>
    </w:p>
    <w:p w:rsidR="00366869" w:rsidRPr="00C82AC6" w:rsidRDefault="00366869" w:rsidP="006C4E0B">
      <w:pPr>
        <w:autoSpaceDE/>
        <w:autoSpaceDN/>
        <w:adjustRightInd/>
        <w:ind w:firstLine="720"/>
        <w:rPr>
          <w:color w:val="000000"/>
        </w:rPr>
      </w:pPr>
    </w:p>
    <w:p w:rsidR="00366869" w:rsidRPr="003B1D63" w:rsidRDefault="00366869" w:rsidP="006C4E0B">
      <w:pPr>
        <w:ind w:firstLine="720"/>
      </w:pPr>
      <w:r w:rsidRPr="003B1D63">
        <w:t xml:space="preserve">Commenters questioned the data </w:t>
      </w:r>
      <w:r>
        <w:t xml:space="preserve">the Department </w:t>
      </w:r>
      <w:r w:rsidRPr="003B1D63">
        <w:t xml:space="preserve">used </w:t>
      </w:r>
      <w:r>
        <w:t>in the regulatory impact analysis for the proposed rule to</w:t>
      </w:r>
      <w:r w:rsidRPr="003B1D63">
        <w:t xml:space="preserve"> estimat</w:t>
      </w:r>
      <w:r>
        <w:t>e</w:t>
      </w:r>
      <w:r w:rsidRPr="003B1D63">
        <w:t xml:space="preserve"> the costs </w:t>
      </w:r>
      <w:r>
        <w:t xml:space="preserve">incurred by TPAs and insurers to provide </w:t>
      </w:r>
      <w:r w:rsidRPr="003B1D63">
        <w:t>culturally and linguistically appropriate notice</w:t>
      </w:r>
      <w:r>
        <w:t>s</w:t>
      </w:r>
      <w:r w:rsidRPr="003B1D63">
        <w:t xml:space="preserve">. One commenter questioned </w:t>
      </w:r>
      <w:r>
        <w:t xml:space="preserve">whether </w:t>
      </w:r>
      <w:r w:rsidRPr="003B1D63">
        <w:t xml:space="preserve">the </w:t>
      </w:r>
      <w:r w:rsidRPr="002B7FC7">
        <w:t>$500</w:t>
      </w:r>
      <w:r w:rsidRPr="003B1D63">
        <w:t xml:space="preserve"> per </w:t>
      </w:r>
      <w:r>
        <w:t xml:space="preserve">document </w:t>
      </w:r>
      <w:r w:rsidRPr="003B1D63">
        <w:t xml:space="preserve">translation </w:t>
      </w:r>
      <w:r>
        <w:t xml:space="preserve">cost </w:t>
      </w:r>
      <w:r w:rsidRPr="003B1D63">
        <w:t>accurately reflect</w:t>
      </w:r>
      <w:r>
        <w:t>s</w:t>
      </w:r>
      <w:r w:rsidRPr="003B1D63">
        <w:t xml:space="preserve"> the costs </w:t>
      </w:r>
      <w:r>
        <w:t xml:space="preserve">to </w:t>
      </w:r>
      <w:r w:rsidRPr="003B1D63">
        <w:t>comply with this provision.  The commenter</w:t>
      </w:r>
      <w:r>
        <w:t xml:space="preserve">, however, </w:t>
      </w:r>
      <w:r w:rsidRPr="003B1D63">
        <w:t>failed to</w:t>
      </w:r>
      <w:r>
        <w:t xml:space="preserve"> explain its rationale </w:t>
      </w:r>
      <w:r w:rsidRPr="003B1D63">
        <w:t>or provide any a</w:t>
      </w:r>
      <w:r>
        <w:t xml:space="preserve">lternative </w:t>
      </w:r>
      <w:r w:rsidRPr="003B1D63">
        <w:t>information</w:t>
      </w:r>
      <w:r>
        <w:t xml:space="preserve"> the Department could use to refine its estimate</w:t>
      </w:r>
      <w:r w:rsidRPr="003B1D63">
        <w:t>.</w:t>
      </w:r>
    </w:p>
    <w:p w:rsidR="00366869" w:rsidRDefault="00366869" w:rsidP="006C4E0B">
      <w:pPr>
        <w:ind w:firstLine="720"/>
      </w:pPr>
    </w:p>
    <w:p w:rsidR="00366869" w:rsidRDefault="00366869" w:rsidP="006C4E0B">
      <w:pPr>
        <w:ind w:firstLine="720"/>
      </w:pPr>
      <w:r w:rsidRPr="003B1D63">
        <w:t xml:space="preserve">Another commenter questioned </w:t>
      </w:r>
      <w:r>
        <w:t>whether it was v</w:t>
      </w:r>
      <w:r w:rsidRPr="003B1D63">
        <w:t>alid</w:t>
      </w:r>
      <w:r>
        <w:t xml:space="preserve"> to</w:t>
      </w:r>
      <w:r w:rsidRPr="003B1D63">
        <w:t xml:space="preserve"> rely on cost estimates to translate a notice into </w:t>
      </w:r>
      <w:r>
        <w:t>a non-English</w:t>
      </w:r>
      <w:r w:rsidRPr="003B1D63">
        <w:t xml:space="preserve"> language based on </w:t>
      </w:r>
      <w:r>
        <w:t xml:space="preserve">data used by the Department to quantify the costs of complying with the a similar ACA requirement for group health plans.  The Department believes that its experience with ACA group health plan claims and appeals regulations </w:t>
      </w:r>
      <w:r w:rsidRPr="003B1D63">
        <w:t xml:space="preserve">is </w:t>
      </w:r>
      <w:r>
        <w:t xml:space="preserve">directly applicable to </w:t>
      </w:r>
      <w:r w:rsidRPr="003B1D63">
        <w:t>this final regulation</w:t>
      </w:r>
      <w:r>
        <w:t xml:space="preserve"> regarding disability claims and appeals</w:t>
      </w:r>
      <w:r w:rsidRPr="003B1D63">
        <w:t>.   Contrary to the commenter’s assertion tha</w:t>
      </w:r>
      <w:r>
        <w:t>t</w:t>
      </w:r>
      <w:r w:rsidRPr="003B1D63">
        <w:t xml:space="preserve"> disability claims are so different </w:t>
      </w:r>
      <w:r>
        <w:t xml:space="preserve">from health claims </w:t>
      </w:r>
      <w:r w:rsidRPr="003B1D63">
        <w:t xml:space="preserve">that information about one cannot inform the other, </w:t>
      </w:r>
      <w:r>
        <w:t>the Department</w:t>
      </w:r>
      <w:r w:rsidRPr="003B1D63">
        <w:t xml:space="preserve"> believe</w:t>
      </w:r>
      <w:r>
        <w:t xml:space="preserve">s </w:t>
      </w:r>
      <w:r w:rsidRPr="003B1D63">
        <w:t>that translation of a notice into a different language is very similar</w:t>
      </w:r>
      <w:r>
        <w:t xml:space="preserve"> for health and disability benefits</w:t>
      </w:r>
      <w:r w:rsidRPr="003B1D63">
        <w:t xml:space="preserve">, particularly as the same translation companies offer services for both types of notices.  </w:t>
      </w:r>
      <w:r w:rsidRPr="00C82AC6">
        <w:rPr>
          <w:color w:val="000000"/>
        </w:rPr>
        <w:t xml:space="preserve"> </w:t>
      </w:r>
      <w:r w:rsidRPr="00C82AC6">
        <w:rPr>
          <w:color w:val="000000"/>
        </w:rPr>
        <w:tab/>
      </w:r>
      <w:r w:rsidRPr="003B1D63">
        <w:rPr>
          <w:color w:val="000000"/>
        </w:rPr>
        <w:t xml:space="preserve"> </w:t>
      </w:r>
    </w:p>
    <w:p w:rsidR="00366869" w:rsidRDefault="00366869" w:rsidP="006C4E0B">
      <w:pPr>
        <w:ind w:firstLine="720"/>
        <w:rPr>
          <w:i/>
        </w:rPr>
      </w:pPr>
    </w:p>
    <w:p w:rsidR="00366869" w:rsidRDefault="00366869" w:rsidP="006C4E0B">
      <w:pPr>
        <w:spacing w:after="200"/>
        <w:ind w:firstLine="360"/>
        <w:contextualSpacing/>
      </w:pPr>
    </w:p>
    <w:p w:rsidR="00366869" w:rsidRDefault="00366869" w:rsidP="006C4E0B">
      <w:pPr>
        <w:spacing w:after="200"/>
        <w:ind w:firstLine="360"/>
        <w:contextualSpacing/>
      </w:pPr>
      <w:r>
        <w:lastRenderedPageBreak/>
        <w:t xml:space="preserve">In the Department’s view, the preamble statement is an accurate example of one way that the independence and impartiality standard would be violated, and, accordingly, does not believe it would be appropriate to disclaim or caveat the statement in the final rule.  That said, the independence and impartiality requirements in the rule do not modify the scope of what would </w:t>
      </w:r>
    </w:p>
    <w:p w:rsidR="00D46178" w:rsidRDefault="00D46178" w:rsidP="006C4E0B">
      <w:pPr>
        <w:spacing w:after="200"/>
        <w:contextualSpacing/>
        <w:rPr>
          <w:i/>
        </w:rPr>
      </w:pPr>
    </w:p>
    <w:p w:rsidR="00366869" w:rsidRDefault="00366869" w:rsidP="006C4E0B">
      <w:pPr>
        <w:spacing w:after="200"/>
        <w:ind w:firstLine="360"/>
        <w:contextualSpacing/>
      </w:pPr>
      <w:proofErr w:type="gramStart"/>
      <w:r w:rsidRPr="00F6706E">
        <w:rPr>
          <w:i/>
        </w:rPr>
        <w:t>Deemed Exhaustion of Claims and Appeals Process</w:t>
      </w:r>
      <w:r>
        <w:rPr>
          <w:i/>
        </w:rPr>
        <w:t xml:space="preserve">: </w:t>
      </w:r>
      <w:r>
        <w:t xml:space="preserve"> </w:t>
      </w:r>
      <w:r w:rsidRPr="003B1D63">
        <w:t>Commenter's raised concern the claimants would be hurt by the higher costs and delay in obtaining a resolution if they sought resolution through litigation.</w:t>
      </w:r>
      <w:proofErr w:type="gramEnd"/>
      <w:r w:rsidRPr="003B1D63">
        <w:t xml:space="preserve">  However, </w:t>
      </w:r>
      <w:r>
        <w:t xml:space="preserve">this provision allows </w:t>
      </w:r>
      <w:r w:rsidRPr="003B1D63">
        <w:t>claimants to decide if the added costs and time of litigation are offset by the cost to them of remaining in an appeals process that is in violation of the procedural rules.</w:t>
      </w:r>
    </w:p>
    <w:p w:rsidR="00366869" w:rsidRDefault="00366869" w:rsidP="006C4E0B">
      <w:pPr>
        <w:spacing w:after="200"/>
        <w:contextualSpacing/>
      </w:pPr>
    </w:p>
    <w:p w:rsidR="00366869" w:rsidRDefault="00366869" w:rsidP="006C4E0B">
      <w:pPr>
        <w:spacing w:after="200"/>
        <w:contextualSpacing/>
      </w:pPr>
      <w:r w:rsidRPr="003B1D63">
        <w:tab/>
      </w:r>
      <w:r>
        <w:t>Some c</w:t>
      </w:r>
      <w:r w:rsidRPr="003B1D63">
        <w:t xml:space="preserve">ommenters </w:t>
      </w:r>
      <w:r>
        <w:t xml:space="preserve">maintained </w:t>
      </w:r>
      <w:r w:rsidRPr="003B1D63">
        <w:t>that the</w:t>
      </w:r>
      <w:r>
        <w:t>ir</w:t>
      </w:r>
      <w:r w:rsidRPr="003B1D63">
        <w:t xml:space="preserve"> </w:t>
      </w:r>
      <w:r>
        <w:t xml:space="preserve">liability exposure </w:t>
      </w:r>
      <w:r w:rsidRPr="003B1D63">
        <w:t>increase</w:t>
      </w:r>
      <w:r>
        <w:t>s when claimants’</w:t>
      </w:r>
      <w:r w:rsidRPr="003B1D63">
        <w:t xml:space="preserve"> ability to go to court </w:t>
      </w:r>
      <w:r>
        <w:t>is enhanced</w:t>
      </w:r>
      <w:r w:rsidRPr="003B1D63">
        <w:t xml:space="preserve">.  </w:t>
      </w:r>
      <w:r>
        <w:t>These c</w:t>
      </w:r>
      <w:r w:rsidRPr="003B1D63">
        <w:t>ommenters expressed concern about the expense of discovery to even determine if the procedural requirements have not been followed</w:t>
      </w:r>
      <w:r>
        <w:t xml:space="preserve"> and </w:t>
      </w:r>
      <w:r w:rsidRPr="003B1D63">
        <w:t>claimants will allege that plans have violated the</w:t>
      </w:r>
      <w:r>
        <w:t>ir</w:t>
      </w:r>
      <w:r w:rsidRPr="003B1D63">
        <w:t xml:space="preserve"> procedures and go to court to force a settlement.</w:t>
      </w:r>
    </w:p>
    <w:p w:rsidR="00366869" w:rsidRDefault="00366869" w:rsidP="006C4E0B">
      <w:pPr>
        <w:spacing w:after="200"/>
        <w:contextualSpacing/>
      </w:pPr>
    </w:p>
    <w:p w:rsidR="00366869" w:rsidRDefault="00366869" w:rsidP="006C4E0B">
      <w:pPr>
        <w:spacing w:after="200"/>
        <w:contextualSpacing/>
      </w:pPr>
      <w:r>
        <w:tab/>
      </w:r>
      <w:r w:rsidRPr="003B1D63">
        <w:t>While all of these scenarios are possible</w:t>
      </w:r>
      <w:r>
        <w:t>, the Department</w:t>
      </w:r>
      <w:r w:rsidRPr="003B1D63">
        <w:t xml:space="preserve"> do</w:t>
      </w:r>
      <w:r>
        <w:t>es</w:t>
      </w:r>
      <w:r w:rsidRPr="003B1D63">
        <w:t xml:space="preserve"> not know</w:t>
      </w:r>
      <w:r>
        <w:t xml:space="preserve"> of</w:t>
      </w:r>
      <w:r w:rsidRPr="003B1D63">
        <w:t>, nor did comment</w:t>
      </w:r>
      <w:r>
        <w:t>er</w:t>
      </w:r>
      <w:r w:rsidRPr="003B1D63">
        <w:t>s provide</w:t>
      </w:r>
      <w:r>
        <w:t>,</w:t>
      </w:r>
      <w:r w:rsidRPr="003B1D63">
        <w:t xml:space="preserve"> any data or information </w:t>
      </w:r>
      <w:r>
        <w:t>t</w:t>
      </w:r>
      <w:r w:rsidRPr="003B1D63">
        <w:t>hat would even be suggestive of</w:t>
      </w:r>
      <w:r>
        <w:t>,</w:t>
      </w:r>
      <w:r w:rsidRPr="003B1D63">
        <w:t xml:space="preserve"> the frequency of these events, or the added expense resulting from their occurrence.  </w:t>
      </w:r>
      <w:r>
        <w:t>The Department is not aware</w:t>
      </w:r>
      <w:r w:rsidRPr="003B1D63">
        <w:t>, of systematic abuses, or complaints of abuse</w:t>
      </w:r>
      <w:r>
        <w:t xml:space="preserve"> w</w:t>
      </w:r>
      <w:r w:rsidRPr="003B1D63">
        <w:t xml:space="preserve">ith </w:t>
      </w:r>
      <w:r>
        <w:t xml:space="preserve">respect to a </w:t>
      </w:r>
      <w:r w:rsidRPr="003B1D63">
        <w:t xml:space="preserve">similar </w:t>
      </w:r>
      <w:r>
        <w:t xml:space="preserve">deemed exhaustion </w:t>
      </w:r>
      <w:r w:rsidRPr="003B1D63">
        <w:t xml:space="preserve">requirement </w:t>
      </w:r>
      <w:r>
        <w:t>contained in the</w:t>
      </w:r>
      <w:r w:rsidRPr="003B1D63">
        <w:t xml:space="preserve"> </w:t>
      </w:r>
      <w:r>
        <w:t xml:space="preserve">Departments group </w:t>
      </w:r>
      <w:r w:rsidRPr="003B1D63">
        <w:t xml:space="preserve">health plan </w:t>
      </w:r>
      <w:r>
        <w:t>regulation</w:t>
      </w:r>
      <w:r w:rsidRPr="003B1D63">
        <w:t>.  Th</w:t>
      </w:r>
      <w:r>
        <w:t xml:space="preserve">us, the Department believes these </w:t>
      </w:r>
      <w:r w:rsidRPr="003B1D63">
        <w:t>occurrences will be infrequent.</w:t>
      </w:r>
    </w:p>
    <w:p w:rsidR="00533943" w:rsidRPr="00116257" w:rsidRDefault="00366869" w:rsidP="006C4E0B">
      <w:pPr>
        <w:spacing w:after="200" w:line="480" w:lineRule="auto"/>
        <w:contextualSpacing/>
      </w:pPr>
      <w:r>
        <w:tab/>
      </w:r>
    </w:p>
    <w:p w:rsidR="00FC2F3E" w:rsidRDefault="00FC2F3E">
      <w:pPr>
        <w:widowControl/>
      </w:pPr>
    </w:p>
    <w:p w:rsidR="00FC2F3E" w:rsidRDefault="00FC2F3E">
      <w:pPr>
        <w:widowControl/>
        <w:tabs>
          <w:tab w:val="left" w:pos="-1440"/>
        </w:tabs>
        <w:ind w:left="720" w:hanging="720"/>
        <w:rPr>
          <w:i/>
          <w:iCs/>
          <w:sz w:val="20"/>
        </w:rPr>
      </w:pPr>
      <w:r>
        <w:t>9.</w:t>
      </w:r>
      <w:r>
        <w:tab/>
      </w:r>
      <w:r>
        <w:rPr>
          <w:i/>
          <w:iCs/>
          <w:sz w:val="20"/>
        </w:rPr>
        <w:t>Explain any decision to provide any payment or gift to respondents, other than remuneration of contractors or grantees.</w:t>
      </w:r>
    </w:p>
    <w:p w:rsidR="00FC2F3E" w:rsidRDefault="00FC2F3E">
      <w:pPr>
        <w:widowControl/>
      </w:pPr>
    </w:p>
    <w:p w:rsidR="00FC2F3E" w:rsidRDefault="00FC2F3E">
      <w:pPr>
        <w:widowControl/>
        <w:ind w:firstLine="720"/>
      </w:pPr>
      <w:r>
        <w:t>Not applicable.</w:t>
      </w:r>
    </w:p>
    <w:p w:rsidR="00FC2F3E" w:rsidRDefault="00FC2F3E">
      <w:pPr>
        <w:pStyle w:val="Header"/>
        <w:widowControl/>
        <w:tabs>
          <w:tab w:val="clear" w:pos="4320"/>
          <w:tab w:val="clear" w:pos="8640"/>
        </w:tabs>
      </w:pPr>
    </w:p>
    <w:p w:rsidR="00FC2F3E" w:rsidRDefault="00FC2F3E">
      <w:pPr>
        <w:widowControl/>
        <w:tabs>
          <w:tab w:val="left" w:pos="-1440"/>
        </w:tabs>
        <w:ind w:left="720" w:hanging="720"/>
        <w:rPr>
          <w:i/>
          <w:iCs/>
          <w:sz w:val="20"/>
        </w:rPr>
      </w:pPr>
      <w:r>
        <w:t>10.</w:t>
      </w:r>
      <w:r>
        <w:tab/>
      </w:r>
      <w:r>
        <w:rPr>
          <w:i/>
          <w:iCs/>
          <w:sz w:val="20"/>
        </w:rPr>
        <w:t>Describe any assurance of confidentiality provided to respondents and the basis for the assurance in statute, regulation, or agency policy.</w:t>
      </w:r>
    </w:p>
    <w:p w:rsidR="00FC2F3E" w:rsidRDefault="00FC2F3E">
      <w:pPr>
        <w:widowControl/>
      </w:pPr>
    </w:p>
    <w:p w:rsidR="00FC2F3E" w:rsidRDefault="007E3107">
      <w:pPr>
        <w:widowControl/>
        <w:ind w:firstLine="720"/>
      </w:pPr>
      <w:r>
        <w:t>This</w:t>
      </w:r>
      <w:r w:rsidR="00FC2F3E">
        <w:t xml:space="preserve"> information collection </w:t>
      </w:r>
      <w:r>
        <w:t xml:space="preserve">request (ICR) </w:t>
      </w:r>
      <w:r w:rsidR="00FC2F3E">
        <w:t>involves disclosures of information by plan administrators to plan participants.  Issues of confidentiality between third parties do not fall within the scope of this information collection request.</w:t>
      </w:r>
    </w:p>
    <w:p w:rsidR="00FC2F3E" w:rsidRDefault="00FC2F3E">
      <w:pPr>
        <w:widowControl/>
      </w:pPr>
    </w:p>
    <w:p w:rsidR="00FC2F3E" w:rsidRDefault="00FC2F3E">
      <w:pPr>
        <w:widowControl/>
        <w:sectPr w:rsidR="00FC2F3E">
          <w:endnotePr>
            <w:numFmt w:val="decimal"/>
          </w:endnotePr>
          <w:type w:val="continuous"/>
          <w:pgSz w:w="12240" w:h="15840"/>
          <w:pgMar w:top="1440" w:right="1440" w:bottom="1440" w:left="1440" w:header="1440" w:footer="1440" w:gutter="0"/>
          <w:cols w:space="720"/>
          <w:noEndnote/>
        </w:sectPr>
      </w:pPr>
    </w:p>
    <w:p w:rsidR="00FC2F3E" w:rsidRDefault="00FC2F3E">
      <w:pPr>
        <w:widowControl/>
        <w:tabs>
          <w:tab w:val="left" w:pos="-1440"/>
        </w:tabs>
        <w:ind w:left="720" w:hanging="720"/>
        <w:rPr>
          <w:i/>
          <w:iCs/>
        </w:rPr>
      </w:pPr>
      <w:r>
        <w:lastRenderedPageBreak/>
        <w:t>11.</w:t>
      </w:r>
      <w:r>
        <w:tab/>
      </w:r>
      <w:r>
        <w:rPr>
          <w:i/>
          <w:iCs/>
          <w:sz w:val="20"/>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w:t>
      </w:r>
      <w:r>
        <w:rPr>
          <w:i/>
          <w:iCs/>
          <w:sz w:val="20"/>
        </w:rPr>
        <w:lastRenderedPageBreak/>
        <w:t>of the information, the explanation to be given to persons from whom the information is requested, and any steps to be taken to obtain their consent.</w:t>
      </w:r>
    </w:p>
    <w:p w:rsidR="00FC2F3E" w:rsidRDefault="00FC2F3E">
      <w:pPr>
        <w:widowControl/>
        <w:rPr>
          <w:i/>
          <w:iCs/>
        </w:rPr>
      </w:pPr>
    </w:p>
    <w:p w:rsidR="00FC2F3E" w:rsidRDefault="00FC2F3E">
      <w:pPr>
        <w:widowControl/>
        <w:ind w:firstLine="720"/>
      </w:pPr>
      <w:proofErr w:type="gramStart"/>
      <w:r>
        <w:t>None.</w:t>
      </w:r>
      <w:proofErr w:type="gramEnd"/>
    </w:p>
    <w:p w:rsidR="00FC2F3E" w:rsidRDefault="00FC2F3E">
      <w:pPr>
        <w:widowControl/>
      </w:pPr>
    </w:p>
    <w:p w:rsidR="00FC2F3E" w:rsidRDefault="00FC2F3E">
      <w:pPr>
        <w:widowControl/>
        <w:tabs>
          <w:tab w:val="left" w:pos="-1440"/>
        </w:tabs>
        <w:ind w:left="720" w:hanging="720"/>
        <w:rPr>
          <w:i/>
          <w:iCs/>
          <w:sz w:val="20"/>
        </w:rPr>
      </w:pPr>
      <w:r>
        <w:t>12.</w:t>
      </w:r>
      <w:r>
        <w:tab/>
      </w:r>
      <w:r>
        <w:rPr>
          <w:i/>
          <w:iCs/>
          <w:sz w:val="20"/>
        </w:rPr>
        <w:t>Provide estimates of the hour burden of the collection of information.  The statement should:</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If this request for approval covers more than one form, provide separate hour burden estimates for each form and aggregate the hour burdens in Item 13 of OMB Form 83-I.</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E431D2" w:rsidRDefault="00E431D2" w:rsidP="00E431D2">
      <w:pPr>
        <w:widowControl/>
      </w:pPr>
    </w:p>
    <w:p w:rsidR="00696114" w:rsidRDefault="00696114" w:rsidP="00696114">
      <w:pPr>
        <w:pStyle w:val="BodyTextIndent"/>
      </w:pPr>
      <w:r>
        <w:t>The information collection provisions of the regulation are found in 29 CFR 2560.503-1 (g), (h), (</w:t>
      </w:r>
      <w:proofErr w:type="spellStart"/>
      <w:r>
        <w:t>i</w:t>
      </w:r>
      <w:proofErr w:type="spellEnd"/>
      <w:r>
        <w:t xml:space="preserve">), and (j), and in ERISA at section 503.  The Department estimates that this information collection affects </w:t>
      </w:r>
      <w:r w:rsidR="0032321F">
        <w:t>5,808,000</w:t>
      </w:r>
      <w:r>
        <w:t xml:space="preserve"> respondents. The frequency of response will be on occasion, mirroring the frequency of benefit claims that require responses, totaling about </w:t>
      </w:r>
      <w:r w:rsidR="00515885">
        <w:t>31</w:t>
      </w:r>
      <w:r w:rsidR="003D091C">
        <w:t>1</w:t>
      </w:r>
      <w:r w:rsidR="0032321F">
        <w:t>,790,000</w:t>
      </w:r>
      <w:r>
        <w:t xml:space="preserve"> per year.  The hour burden is estimated to be </w:t>
      </w:r>
      <w:r w:rsidR="008C2FD0">
        <w:t>516</w:t>
      </w:r>
      <w:r>
        <w:t>,000 hours annually</w:t>
      </w:r>
      <w:r w:rsidR="00515885">
        <w:t xml:space="preserve"> while the cost burden is estimated to be $</w:t>
      </w:r>
      <w:r w:rsidR="008C2FD0">
        <w:t>814</w:t>
      </w:r>
      <w:r w:rsidR="0032321F">
        <w:t>,450,000</w:t>
      </w:r>
      <w:r>
        <w:t>.</w:t>
      </w:r>
    </w:p>
    <w:p w:rsidR="00696114" w:rsidRDefault="00696114" w:rsidP="00696114">
      <w:pPr>
        <w:widowControl/>
      </w:pPr>
    </w:p>
    <w:p w:rsidR="00696114" w:rsidRDefault="00696114" w:rsidP="00696114">
      <w:pPr>
        <w:widowControl/>
        <w:sectPr w:rsidR="00696114">
          <w:footerReference w:type="default" r:id="rId10"/>
          <w:endnotePr>
            <w:numFmt w:val="decimal"/>
          </w:endnotePr>
          <w:type w:val="continuous"/>
          <w:pgSz w:w="12240" w:h="15840"/>
          <w:pgMar w:top="1440" w:right="1440" w:bottom="1440" w:left="1440" w:header="1440" w:footer="1440" w:gutter="0"/>
          <w:cols w:space="720"/>
          <w:noEndnote/>
        </w:sectPr>
      </w:pPr>
    </w:p>
    <w:p w:rsidR="00696114" w:rsidRDefault="00696114" w:rsidP="00696114">
      <w:pPr>
        <w:widowControl/>
        <w:ind w:firstLine="720"/>
      </w:pPr>
      <w:r>
        <w:lastRenderedPageBreak/>
        <w:t>The Department’s final regulation governing ERISA plans’ claims procedures, of which this information collection is part, generally became applicable on or after January 1, 2003.  The estimates include only ongoing costs of compliance with the statute and the regulations.</w:t>
      </w:r>
    </w:p>
    <w:p w:rsidR="00696114" w:rsidRDefault="00696114" w:rsidP="00696114">
      <w:pPr>
        <w:widowControl/>
      </w:pPr>
    </w:p>
    <w:p w:rsidR="00696114" w:rsidRDefault="00696114" w:rsidP="00696114">
      <w:pPr>
        <w:widowControl/>
        <w:ind w:firstLine="720"/>
      </w:pPr>
      <w:r>
        <w:t xml:space="preserve">Ongoing burdens are a function of claims volume, as well as the denial and appeal rates of various plans.  As shown in the table below, health benefit claims comprise the majority of all claims filed annually.  </w:t>
      </w:r>
    </w:p>
    <w:p w:rsidR="0032321F" w:rsidRDefault="0032321F" w:rsidP="00696114">
      <w:pPr>
        <w:widowControl/>
        <w:ind w:firstLine="720"/>
      </w:pPr>
    </w:p>
    <w:tbl>
      <w:tblPr>
        <w:tblW w:w="8860" w:type="dxa"/>
        <w:tblInd w:w="93" w:type="dxa"/>
        <w:tblLook w:val="04A0" w:firstRow="1" w:lastRow="0" w:firstColumn="1" w:lastColumn="0" w:noHBand="0" w:noVBand="1"/>
      </w:tblPr>
      <w:tblGrid>
        <w:gridCol w:w="2267"/>
        <w:gridCol w:w="1016"/>
        <w:gridCol w:w="1120"/>
        <w:gridCol w:w="1120"/>
        <w:gridCol w:w="1120"/>
        <w:gridCol w:w="1120"/>
        <w:gridCol w:w="1120"/>
      </w:tblGrid>
      <w:tr w:rsidR="0032321F" w:rsidRPr="0032321F" w:rsidTr="0032321F">
        <w:trPr>
          <w:trHeight w:val="270"/>
        </w:trPr>
        <w:tc>
          <w:tcPr>
            <w:tcW w:w="3260" w:type="dxa"/>
            <w:gridSpan w:val="2"/>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rPr>
                <w:sz w:val="20"/>
                <w:szCs w:val="20"/>
              </w:rPr>
            </w:pPr>
            <w:r w:rsidRPr="0032321F">
              <w:rPr>
                <w:sz w:val="20"/>
                <w:szCs w:val="20"/>
              </w:rPr>
              <w:t>TABLE 1.--</w:t>
            </w:r>
            <w:r w:rsidRPr="0032321F">
              <w:rPr>
                <w:i/>
                <w:iCs/>
                <w:sz w:val="20"/>
                <w:szCs w:val="20"/>
              </w:rPr>
              <w:t>Claims (in thousands)</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rPr>
                <w:sz w:val="20"/>
                <w:szCs w:val="20"/>
              </w:rPr>
            </w:pPr>
          </w:p>
        </w:tc>
      </w:tr>
      <w:tr w:rsidR="0032321F" w:rsidRPr="0032321F" w:rsidTr="0032321F">
        <w:trPr>
          <w:trHeight w:val="255"/>
        </w:trPr>
        <w:tc>
          <w:tcPr>
            <w:tcW w:w="2267" w:type="dxa"/>
            <w:tcBorders>
              <w:top w:val="single" w:sz="8" w:space="0" w:color="auto"/>
              <w:left w:val="nil"/>
              <w:bottom w:val="nil"/>
              <w:right w:val="nil"/>
            </w:tcBorders>
            <w:shd w:val="clear" w:color="auto" w:fill="auto"/>
            <w:noWrap/>
            <w:vAlign w:val="bottom"/>
            <w:hideMark/>
          </w:tcPr>
          <w:p w:rsidR="0032321F" w:rsidRPr="0032321F" w:rsidRDefault="0032321F" w:rsidP="0032321F">
            <w:pPr>
              <w:widowControl/>
              <w:autoSpaceDE/>
              <w:autoSpaceDN/>
              <w:adjustRightInd/>
              <w:rPr>
                <w:sz w:val="20"/>
                <w:szCs w:val="20"/>
              </w:rPr>
            </w:pPr>
            <w:r w:rsidRPr="0032321F">
              <w:rPr>
                <w:sz w:val="20"/>
                <w:szCs w:val="20"/>
              </w:rPr>
              <w:t> </w:t>
            </w:r>
          </w:p>
        </w:tc>
        <w:tc>
          <w:tcPr>
            <w:tcW w:w="993" w:type="dxa"/>
            <w:vMerge w:val="restart"/>
            <w:tcBorders>
              <w:top w:val="single" w:sz="8" w:space="0" w:color="auto"/>
              <w:left w:val="nil"/>
              <w:bottom w:val="single" w:sz="8" w:space="0" w:color="000000"/>
              <w:right w:val="nil"/>
            </w:tcBorders>
            <w:shd w:val="clear" w:color="auto" w:fill="auto"/>
            <w:noWrap/>
            <w:vAlign w:val="center"/>
            <w:hideMark/>
          </w:tcPr>
          <w:p w:rsidR="0032321F" w:rsidRPr="0032321F" w:rsidRDefault="0032321F" w:rsidP="0032321F">
            <w:pPr>
              <w:widowControl/>
              <w:autoSpaceDE/>
              <w:autoSpaceDN/>
              <w:adjustRightInd/>
              <w:jc w:val="center"/>
              <w:rPr>
                <w:sz w:val="20"/>
                <w:szCs w:val="20"/>
              </w:rPr>
            </w:pPr>
            <w:r w:rsidRPr="0032321F">
              <w:rPr>
                <w:sz w:val="20"/>
                <w:szCs w:val="20"/>
              </w:rPr>
              <w:t>Health</w:t>
            </w:r>
          </w:p>
        </w:tc>
        <w:tc>
          <w:tcPr>
            <w:tcW w:w="2240" w:type="dxa"/>
            <w:gridSpan w:val="2"/>
            <w:tcBorders>
              <w:top w:val="single" w:sz="8" w:space="0" w:color="auto"/>
              <w:left w:val="nil"/>
              <w:bottom w:val="single" w:sz="4" w:space="0" w:color="auto"/>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Disability</w:t>
            </w:r>
          </w:p>
        </w:tc>
        <w:tc>
          <w:tcPr>
            <w:tcW w:w="1120" w:type="dxa"/>
            <w:vMerge w:val="restart"/>
            <w:tcBorders>
              <w:top w:val="single" w:sz="8" w:space="0" w:color="auto"/>
              <w:left w:val="nil"/>
              <w:bottom w:val="single" w:sz="8" w:space="0" w:color="000000"/>
              <w:right w:val="nil"/>
            </w:tcBorders>
            <w:shd w:val="clear" w:color="auto" w:fill="auto"/>
            <w:noWrap/>
            <w:vAlign w:val="center"/>
            <w:hideMark/>
          </w:tcPr>
          <w:p w:rsidR="0032321F" w:rsidRPr="0032321F" w:rsidRDefault="0032321F" w:rsidP="0032321F">
            <w:pPr>
              <w:widowControl/>
              <w:autoSpaceDE/>
              <w:autoSpaceDN/>
              <w:adjustRightInd/>
              <w:jc w:val="center"/>
              <w:rPr>
                <w:sz w:val="20"/>
                <w:szCs w:val="20"/>
              </w:rPr>
            </w:pPr>
            <w:r w:rsidRPr="0032321F">
              <w:rPr>
                <w:sz w:val="20"/>
                <w:szCs w:val="20"/>
              </w:rPr>
              <w:t>Pension</w:t>
            </w:r>
          </w:p>
        </w:tc>
        <w:tc>
          <w:tcPr>
            <w:tcW w:w="1120" w:type="dxa"/>
            <w:vMerge w:val="restart"/>
            <w:tcBorders>
              <w:top w:val="single" w:sz="8" w:space="0" w:color="auto"/>
              <w:left w:val="nil"/>
              <w:bottom w:val="single" w:sz="8" w:space="0" w:color="000000"/>
              <w:right w:val="nil"/>
            </w:tcBorders>
            <w:shd w:val="clear" w:color="auto" w:fill="auto"/>
            <w:noWrap/>
            <w:vAlign w:val="center"/>
            <w:hideMark/>
          </w:tcPr>
          <w:p w:rsidR="0032321F" w:rsidRPr="0032321F" w:rsidRDefault="0032321F" w:rsidP="0032321F">
            <w:pPr>
              <w:widowControl/>
              <w:autoSpaceDE/>
              <w:autoSpaceDN/>
              <w:adjustRightInd/>
              <w:jc w:val="center"/>
              <w:rPr>
                <w:sz w:val="20"/>
                <w:szCs w:val="20"/>
              </w:rPr>
            </w:pPr>
            <w:r w:rsidRPr="0032321F">
              <w:rPr>
                <w:sz w:val="20"/>
                <w:szCs w:val="20"/>
              </w:rPr>
              <w:t>Other</w:t>
            </w:r>
          </w:p>
        </w:tc>
        <w:tc>
          <w:tcPr>
            <w:tcW w:w="1120" w:type="dxa"/>
            <w:vMerge w:val="restart"/>
            <w:tcBorders>
              <w:top w:val="single" w:sz="8" w:space="0" w:color="auto"/>
              <w:left w:val="nil"/>
              <w:bottom w:val="single" w:sz="8" w:space="0" w:color="000000"/>
              <w:right w:val="nil"/>
            </w:tcBorders>
            <w:shd w:val="clear" w:color="auto" w:fill="auto"/>
            <w:noWrap/>
            <w:vAlign w:val="center"/>
            <w:hideMark/>
          </w:tcPr>
          <w:p w:rsidR="0032321F" w:rsidRPr="0032321F" w:rsidRDefault="0032321F" w:rsidP="0032321F">
            <w:pPr>
              <w:widowControl/>
              <w:autoSpaceDE/>
              <w:autoSpaceDN/>
              <w:adjustRightInd/>
              <w:jc w:val="center"/>
              <w:rPr>
                <w:sz w:val="20"/>
                <w:szCs w:val="20"/>
              </w:rPr>
            </w:pPr>
            <w:r w:rsidRPr="0032321F">
              <w:rPr>
                <w:sz w:val="20"/>
                <w:szCs w:val="20"/>
              </w:rPr>
              <w:t>Total</w:t>
            </w:r>
          </w:p>
        </w:tc>
      </w:tr>
      <w:tr w:rsidR="0032321F" w:rsidRPr="0032321F" w:rsidTr="0032321F">
        <w:trPr>
          <w:trHeight w:val="270"/>
        </w:trPr>
        <w:tc>
          <w:tcPr>
            <w:tcW w:w="2267" w:type="dxa"/>
            <w:tcBorders>
              <w:top w:val="nil"/>
              <w:left w:val="nil"/>
              <w:bottom w:val="single" w:sz="8" w:space="0" w:color="auto"/>
              <w:right w:val="nil"/>
            </w:tcBorders>
            <w:shd w:val="clear" w:color="auto" w:fill="auto"/>
            <w:noWrap/>
            <w:vAlign w:val="bottom"/>
            <w:hideMark/>
          </w:tcPr>
          <w:p w:rsidR="0032321F" w:rsidRPr="0032321F" w:rsidRDefault="0032321F" w:rsidP="0032321F">
            <w:pPr>
              <w:widowControl/>
              <w:autoSpaceDE/>
              <w:autoSpaceDN/>
              <w:adjustRightInd/>
              <w:rPr>
                <w:sz w:val="20"/>
                <w:szCs w:val="20"/>
              </w:rPr>
            </w:pPr>
            <w:r w:rsidRPr="0032321F">
              <w:rPr>
                <w:sz w:val="20"/>
                <w:szCs w:val="20"/>
              </w:rPr>
              <w:t> </w:t>
            </w:r>
          </w:p>
        </w:tc>
        <w:tc>
          <w:tcPr>
            <w:tcW w:w="993" w:type="dxa"/>
            <w:vMerge/>
            <w:tcBorders>
              <w:top w:val="single" w:sz="8" w:space="0" w:color="auto"/>
              <w:left w:val="nil"/>
              <w:bottom w:val="single" w:sz="8" w:space="0" w:color="000000"/>
              <w:right w:val="nil"/>
            </w:tcBorders>
            <w:vAlign w:val="center"/>
            <w:hideMark/>
          </w:tcPr>
          <w:p w:rsidR="0032321F" w:rsidRPr="0032321F" w:rsidRDefault="0032321F" w:rsidP="0032321F">
            <w:pPr>
              <w:widowControl/>
              <w:autoSpaceDE/>
              <w:autoSpaceDN/>
              <w:adjustRightInd/>
              <w:rPr>
                <w:sz w:val="20"/>
                <w:szCs w:val="20"/>
              </w:rPr>
            </w:pPr>
          </w:p>
        </w:tc>
        <w:tc>
          <w:tcPr>
            <w:tcW w:w="1120" w:type="dxa"/>
            <w:tcBorders>
              <w:top w:val="nil"/>
              <w:left w:val="nil"/>
              <w:bottom w:val="single" w:sz="8" w:space="0" w:color="auto"/>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Short-Term</w:t>
            </w:r>
          </w:p>
        </w:tc>
        <w:tc>
          <w:tcPr>
            <w:tcW w:w="1120" w:type="dxa"/>
            <w:tcBorders>
              <w:top w:val="nil"/>
              <w:left w:val="nil"/>
              <w:bottom w:val="single" w:sz="8" w:space="0" w:color="auto"/>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Long-Term</w:t>
            </w:r>
          </w:p>
        </w:tc>
        <w:tc>
          <w:tcPr>
            <w:tcW w:w="1120" w:type="dxa"/>
            <w:vMerge/>
            <w:tcBorders>
              <w:top w:val="single" w:sz="8" w:space="0" w:color="auto"/>
              <w:left w:val="nil"/>
              <w:bottom w:val="single" w:sz="8" w:space="0" w:color="000000"/>
              <w:right w:val="nil"/>
            </w:tcBorders>
            <w:vAlign w:val="center"/>
            <w:hideMark/>
          </w:tcPr>
          <w:p w:rsidR="0032321F" w:rsidRPr="0032321F" w:rsidRDefault="0032321F" w:rsidP="0032321F">
            <w:pPr>
              <w:widowControl/>
              <w:autoSpaceDE/>
              <w:autoSpaceDN/>
              <w:adjustRightInd/>
              <w:rPr>
                <w:sz w:val="20"/>
                <w:szCs w:val="20"/>
              </w:rPr>
            </w:pPr>
          </w:p>
        </w:tc>
        <w:tc>
          <w:tcPr>
            <w:tcW w:w="1120" w:type="dxa"/>
            <w:vMerge/>
            <w:tcBorders>
              <w:top w:val="single" w:sz="8" w:space="0" w:color="auto"/>
              <w:left w:val="nil"/>
              <w:bottom w:val="single" w:sz="8" w:space="0" w:color="000000"/>
              <w:right w:val="nil"/>
            </w:tcBorders>
            <w:vAlign w:val="center"/>
            <w:hideMark/>
          </w:tcPr>
          <w:p w:rsidR="0032321F" w:rsidRPr="0032321F" w:rsidRDefault="0032321F" w:rsidP="0032321F">
            <w:pPr>
              <w:widowControl/>
              <w:autoSpaceDE/>
              <w:autoSpaceDN/>
              <w:adjustRightInd/>
              <w:rPr>
                <w:sz w:val="20"/>
                <w:szCs w:val="20"/>
              </w:rPr>
            </w:pPr>
          </w:p>
        </w:tc>
        <w:tc>
          <w:tcPr>
            <w:tcW w:w="1120" w:type="dxa"/>
            <w:vMerge/>
            <w:tcBorders>
              <w:top w:val="single" w:sz="8" w:space="0" w:color="auto"/>
              <w:left w:val="nil"/>
              <w:bottom w:val="single" w:sz="8" w:space="0" w:color="000000"/>
              <w:right w:val="nil"/>
            </w:tcBorders>
            <w:vAlign w:val="center"/>
            <w:hideMark/>
          </w:tcPr>
          <w:p w:rsidR="0032321F" w:rsidRPr="0032321F" w:rsidRDefault="0032321F" w:rsidP="0032321F">
            <w:pPr>
              <w:widowControl/>
              <w:autoSpaceDE/>
              <w:autoSpaceDN/>
              <w:adjustRightInd/>
              <w:rPr>
                <w:sz w:val="20"/>
                <w:szCs w:val="20"/>
              </w:rPr>
            </w:pPr>
          </w:p>
        </w:tc>
      </w:tr>
      <w:tr w:rsidR="0032321F" w:rsidRPr="0032321F" w:rsidTr="0032321F">
        <w:trPr>
          <w:trHeight w:val="255"/>
        </w:trPr>
        <w:tc>
          <w:tcPr>
            <w:tcW w:w="2267"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rPr>
                <w:sz w:val="20"/>
                <w:szCs w:val="20"/>
              </w:rPr>
            </w:pPr>
            <w:r w:rsidRPr="0032321F">
              <w:rPr>
                <w:sz w:val="20"/>
                <w:szCs w:val="20"/>
              </w:rPr>
              <w:t>Claims</w:t>
            </w:r>
          </w:p>
        </w:tc>
        <w:tc>
          <w:tcPr>
            <w:tcW w:w="993" w:type="dxa"/>
            <w:tcBorders>
              <w:top w:val="nil"/>
              <w:left w:val="nil"/>
              <w:bottom w:val="nil"/>
              <w:right w:val="nil"/>
            </w:tcBorders>
            <w:shd w:val="clear" w:color="auto" w:fill="auto"/>
            <w:noWrap/>
            <w:vAlign w:val="center"/>
            <w:hideMark/>
          </w:tcPr>
          <w:p w:rsidR="0032321F" w:rsidRPr="0032321F" w:rsidRDefault="0032321F" w:rsidP="0032321F">
            <w:pPr>
              <w:widowControl/>
              <w:autoSpaceDE/>
              <w:autoSpaceDN/>
              <w:adjustRightInd/>
              <w:jc w:val="center"/>
              <w:rPr>
                <w:sz w:val="20"/>
                <w:szCs w:val="20"/>
              </w:rPr>
            </w:pPr>
            <w:r w:rsidRPr="0032321F">
              <w:rPr>
                <w:sz w:val="20"/>
                <w:szCs w:val="20"/>
              </w:rPr>
              <w:t>1,328,040</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2,850</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715</w:t>
            </w:r>
          </w:p>
        </w:tc>
        <w:tc>
          <w:tcPr>
            <w:tcW w:w="1120" w:type="dxa"/>
            <w:tcBorders>
              <w:top w:val="nil"/>
              <w:left w:val="nil"/>
              <w:bottom w:val="nil"/>
              <w:right w:val="nil"/>
            </w:tcBorders>
            <w:shd w:val="clear" w:color="auto" w:fill="auto"/>
            <w:noWrap/>
            <w:vAlign w:val="center"/>
            <w:hideMark/>
          </w:tcPr>
          <w:p w:rsidR="0032321F" w:rsidRPr="0032321F" w:rsidRDefault="0032321F" w:rsidP="0032321F">
            <w:pPr>
              <w:widowControl/>
              <w:autoSpaceDE/>
              <w:autoSpaceDN/>
              <w:adjustRightInd/>
              <w:jc w:val="center"/>
              <w:rPr>
                <w:sz w:val="20"/>
                <w:szCs w:val="20"/>
              </w:rPr>
            </w:pPr>
            <w:r w:rsidRPr="0032321F">
              <w:rPr>
                <w:sz w:val="20"/>
                <w:szCs w:val="20"/>
              </w:rPr>
              <w:t xml:space="preserve">2,078 </w:t>
            </w:r>
          </w:p>
        </w:tc>
        <w:tc>
          <w:tcPr>
            <w:tcW w:w="1120" w:type="dxa"/>
            <w:tcBorders>
              <w:top w:val="nil"/>
              <w:left w:val="nil"/>
              <w:bottom w:val="nil"/>
              <w:right w:val="nil"/>
            </w:tcBorders>
            <w:shd w:val="clear" w:color="auto" w:fill="auto"/>
            <w:noWrap/>
            <w:vAlign w:val="center"/>
            <w:hideMark/>
          </w:tcPr>
          <w:p w:rsidR="0032321F" w:rsidRPr="0032321F" w:rsidRDefault="0032321F" w:rsidP="0032321F">
            <w:pPr>
              <w:widowControl/>
              <w:autoSpaceDE/>
              <w:autoSpaceDN/>
              <w:adjustRightInd/>
              <w:jc w:val="center"/>
              <w:rPr>
                <w:sz w:val="20"/>
                <w:szCs w:val="20"/>
              </w:rPr>
            </w:pPr>
            <w:r w:rsidRPr="0032321F">
              <w:rPr>
                <w:sz w:val="20"/>
                <w:szCs w:val="20"/>
              </w:rPr>
              <w:t>305</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1,333,988</w:t>
            </w:r>
          </w:p>
        </w:tc>
      </w:tr>
      <w:tr w:rsidR="0032321F" w:rsidRPr="0032321F" w:rsidTr="0032321F">
        <w:trPr>
          <w:trHeight w:val="255"/>
        </w:trPr>
        <w:tc>
          <w:tcPr>
            <w:tcW w:w="2267"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rPr>
                <w:sz w:val="20"/>
                <w:szCs w:val="20"/>
              </w:rPr>
            </w:pPr>
            <w:r w:rsidRPr="0032321F">
              <w:rPr>
                <w:sz w:val="20"/>
                <w:szCs w:val="20"/>
              </w:rPr>
              <w:t>Pre-Service</w:t>
            </w:r>
          </w:p>
        </w:tc>
        <w:tc>
          <w:tcPr>
            <w:tcW w:w="993"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rPr>
                <w:sz w:val="20"/>
                <w:szCs w:val="20"/>
              </w:rPr>
            </w:pPr>
          </w:p>
        </w:tc>
      </w:tr>
      <w:tr w:rsidR="0032321F" w:rsidRPr="0032321F" w:rsidTr="0032321F">
        <w:trPr>
          <w:trHeight w:val="255"/>
        </w:trPr>
        <w:tc>
          <w:tcPr>
            <w:tcW w:w="2267"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ind w:firstLineChars="100" w:firstLine="200"/>
              <w:rPr>
                <w:sz w:val="20"/>
                <w:szCs w:val="20"/>
              </w:rPr>
            </w:pPr>
            <w:r w:rsidRPr="0032321F">
              <w:rPr>
                <w:sz w:val="20"/>
                <w:szCs w:val="20"/>
              </w:rPr>
              <w:t>Claim Approved</w:t>
            </w:r>
          </w:p>
        </w:tc>
        <w:tc>
          <w:tcPr>
            <w:tcW w:w="993"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33,865.0</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33,865</w:t>
            </w:r>
          </w:p>
        </w:tc>
      </w:tr>
      <w:tr w:rsidR="0032321F" w:rsidRPr="0032321F" w:rsidTr="0032321F">
        <w:trPr>
          <w:trHeight w:val="255"/>
        </w:trPr>
        <w:tc>
          <w:tcPr>
            <w:tcW w:w="2267"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ind w:firstLineChars="100" w:firstLine="200"/>
              <w:rPr>
                <w:sz w:val="20"/>
                <w:szCs w:val="20"/>
              </w:rPr>
            </w:pPr>
            <w:r w:rsidRPr="0032321F">
              <w:rPr>
                <w:sz w:val="20"/>
                <w:szCs w:val="20"/>
              </w:rPr>
              <w:lastRenderedPageBreak/>
              <w:t>Claim Denied</w:t>
            </w:r>
          </w:p>
        </w:tc>
        <w:tc>
          <w:tcPr>
            <w:tcW w:w="993"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5,976.2</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5,976</w:t>
            </w:r>
          </w:p>
        </w:tc>
      </w:tr>
      <w:tr w:rsidR="0032321F" w:rsidRPr="0032321F" w:rsidTr="0032321F">
        <w:trPr>
          <w:trHeight w:val="255"/>
        </w:trPr>
        <w:tc>
          <w:tcPr>
            <w:tcW w:w="2267"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rPr>
                <w:sz w:val="20"/>
                <w:szCs w:val="20"/>
              </w:rPr>
            </w:pPr>
            <w:r w:rsidRPr="0032321F">
              <w:rPr>
                <w:sz w:val="20"/>
                <w:szCs w:val="20"/>
              </w:rPr>
              <w:t>Post-Service</w:t>
            </w:r>
          </w:p>
        </w:tc>
        <w:tc>
          <w:tcPr>
            <w:tcW w:w="993"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rPr>
                <w:sz w:val="20"/>
                <w:szCs w:val="20"/>
              </w:rPr>
            </w:pPr>
          </w:p>
        </w:tc>
      </w:tr>
      <w:tr w:rsidR="0032321F" w:rsidRPr="0032321F" w:rsidTr="0032321F">
        <w:trPr>
          <w:trHeight w:val="255"/>
        </w:trPr>
        <w:tc>
          <w:tcPr>
            <w:tcW w:w="2267"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ind w:firstLineChars="100" w:firstLine="200"/>
              <w:rPr>
                <w:sz w:val="20"/>
                <w:szCs w:val="20"/>
              </w:rPr>
            </w:pPr>
            <w:r w:rsidRPr="0032321F">
              <w:rPr>
                <w:sz w:val="20"/>
                <w:szCs w:val="20"/>
              </w:rPr>
              <w:t>Claim Denied</w:t>
            </w:r>
          </w:p>
        </w:tc>
        <w:tc>
          <w:tcPr>
            <w:tcW w:w="993"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193,229.8</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85.5</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536.4</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18.1</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9.1</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193,879</w:t>
            </w:r>
          </w:p>
        </w:tc>
      </w:tr>
      <w:tr w:rsidR="0032321F" w:rsidRPr="0032321F" w:rsidTr="0032321F">
        <w:trPr>
          <w:trHeight w:val="255"/>
        </w:trPr>
        <w:tc>
          <w:tcPr>
            <w:tcW w:w="2267"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ind w:firstLineChars="100" w:firstLine="200"/>
              <w:rPr>
                <w:sz w:val="20"/>
                <w:szCs w:val="20"/>
              </w:rPr>
            </w:pPr>
            <w:r w:rsidRPr="0032321F">
              <w:rPr>
                <w:sz w:val="20"/>
                <w:szCs w:val="20"/>
              </w:rPr>
              <w:t>Claim Extended</w:t>
            </w:r>
          </w:p>
        </w:tc>
        <w:tc>
          <w:tcPr>
            <w:tcW w:w="993"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77,291.9</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28.5</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143.0</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0.0</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0.0</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77,463</w:t>
            </w:r>
          </w:p>
        </w:tc>
      </w:tr>
      <w:tr w:rsidR="0032321F" w:rsidRPr="0032321F" w:rsidTr="0032321F">
        <w:trPr>
          <w:trHeight w:val="255"/>
        </w:trPr>
        <w:tc>
          <w:tcPr>
            <w:tcW w:w="2267"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rPr>
                <w:sz w:val="20"/>
                <w:szCs w:val="20"/>
              </w:rPr>
            </w:pPr>
            <w:r w:rsidRPr="0032321F">
              <w:rPr>
                <w:sz w:val="20"/>
                <w:szCs w:val="20"/>
              </w:rPr>
              <w:t>Denial Appeal</w:t>
            </w:r>
          </w:p>
        </w:tc>
        <w:tc>
          <w:tcPr>
            <w:tcW w:w="993"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rPr>
                <w:sz w:val="20"/>
                <w:szCs w:val="20"/>
              </w:rPr>
            </w:pPr>
          </w:p>
        </w:tc>
      </w:tr>
      <w:tr w:rsidR="0032321F" w:rsidRPr="0032321F" w:rsidTr="0032321F">
        <w:trPr>
          <w:trHeight w:val="255"/>
        </w:trPr>
        <w:tc>
          <w:tcPr>
            <w:tcW w:w="2267"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rPr>
                <w:sz w:val="20"/>
                <w:szCs w:val="20"/>
              </w:rPr>
            </w:pPr>
            <w:r w:rsidRPr="0032321F">
              <w:rPr>
                <w:sz w:val="20"/>
                <w:szCs w:val="20"/>
              </w:rPr>
              <w:t>Total</w:t>
            </w:r>
          </w:p>
        </w:tc>
        <w:tc>
          <w:tcPr>
            <w:tcW w:w="993"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455.7</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8.6</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137.3</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1.8</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0.9</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604</w:t>
            </w:r>
          </w:p>
        </w:tc>
      </w:tr>
      <w:tr w:rsidR="0032321F" w:rsidRPr="0032321F" w:rsidTr="0032321F">
        <w:trPr>
          <w:trHeight w:val="255"/>
        </w:trPr>
        <w:tc>
          <w:tcPr>
            <w:tcW w:w="2267"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ind w:firstLineChars="100" w:firstLine="200"/>
              <w:rPr>
                <w:sz w:val="20"/>
                <w:szCs w:val="20"/>
              </w:rPr>
            </w:pPr>
            <w:r w:rsidRPr="0032321F">
              <w:rPr>
                <w:sz w:val="20"/>
                <w:szCs w:val="20"/>
              </w:rPr>
              <w:t>Appeal Approved</w:t>
            </w:r>
          </w:p>
        </w:tc>
        <w:tc>
          <w:tcPr>
            <w:tcW w:w="993"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182.3</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4.3</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13.7</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0.9</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0.5</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202</w:t>
            </w:r>
          </w:p>
        </w:tc>
      </w:tr>
      <w:tr w:rsidR="0032321F" w:rsidRPr="0032321F" w:rsidTr="0032321F">
        <w:trPr>
          <w:trHeight w:val="255"/>
        </w:trPr>
        <w:tc>
          <w:tcPr>
            <w:tcW w:w="2267"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ind w:firstLineChars="100" w:firstLine="200"/>
              <w:rPr>
                <w:sz w:val="20"/>
                <w:szCs w:val="20"/>
              </w:rPr>
            </w:pPr>
            <w:r w:rsidRPr="0032321F">
              <w:rPr>
                <w:sz w:val="20"/>
                <w:szCs w:val="20"/>
              </w:rPr>
              <w:t>Appeal Denied</w:t>
            </w:r>
          </w:p>
        </w:tc>
        <w:tc>
          <w:tcPr>
            <w:tcW w:w="993"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273.4</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4.3</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13.7</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0.9</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0.5</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293</w:t>
            </w:r>
          </w:p>
        </w:tc>
      </w:tr>
      <w:tr w:rsidR="0032321F" w:rsidRPr="0032321F" w:rsidTr="0032321F">
        <w:trPr>
          <w:trHeight w:val="255"/>
        </w:trPr>
        <w:tc>
          <w:tcPr>
            <w:tcW w:w="2267"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ind w:firstLineChars="200" w:firstLine="400"/>
              <w:rPr>
                <w:sz w:val="20"/>
                <w:szCs w:val="20"/>
              </w:rPr>
            </w:pPr>
            <w:r w:rsidRPr="0032321F">
              <w:rPr>
                <w:sz w:val="20"/>
                <w:szCs w:val="20"/>
              </w:rPr>
              <w:t>Medical*</w:t>
            </w:r>
          </w:p>
        </w:tc>
        <w:tc>
          <w:tcPr>
            <w:tcW w:w="993"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131.7</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132</w:t>
            </w:r>
          </w:p>
        </w:tc>
      </w:tr>
      <w:tr w:rsidR="0032321F" w:rsidRPr="0032321F" w:rsidTr="0032321F">
        <w:trPr>
          <w:trHeight w:val="255"/>
        </w:trPr>
        <w:tc>
          <w:tcPr>
            <w:tcW w:w="2267"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ind w:firstLineChars="300" w:firstLine="600"/>
              <w:rPr>
                <w:sz w:val="20"/>
                <w:szCs w:val="20"/>
              </w:rPr>
            </w:pPr>
            <w:r w:rsidRPr="0032321F">
              <w:rPr>
                <w:sz w:val="20"/>
                <w:szCs w:val="20"/>
              </w:rPr>
              <w:t>Claim Approved</w:t>
            </w:r>
          </w:p>
        </w:tc>
        <w:tc>
          <w:tcPr>
            <w:tcW w:w="993"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52.7</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53</w:t>
            </w:r>
          </w:p>
        </w:tc>
      </w:tr>
      <w:tr w:rsidR="0032321F" w:rsidRPr="0032321F" w:rsidTr="0032321F">
        <w:trPr>
          <w:trHeight w:val="255"/>
        </w:trPr>
        <w:tc>
          <w:tcPr>
            <w:tcW w:w="2267"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ind w:firstLineChars="300" w:firstLine="600"/>
              <w:rPr>
                <w:sz w:val="20"/>
                <w:szCs w:val="20"/>
              </w:rPr>
            </w:pPr>
            <w:r w:rsidRPr="0032321F">
              <w:rPr>
                <w:sz w:val="20"/>
                <w:szCs w:val="20"/>
              </w:rPr>
              <w:t>Claim Denied</w:t>
            </w:r>
          </w:p>
        </w:tc>
        <w:tc>
          <w:tcPr>
            <w:tcW w:w="993"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79.0</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79</w:t>
            </w:r>
          </w:p>
        </w:tc>
      </w:tr>
      <w:tr w:rsidR="0032321F" w:rsidRPr="0032321F" w:rsidTr="0032321F">
        <w:trPr>
          <w:trHeight w:val="255"/>
        </w:trPr>
        <w:tc>
          <w:tcPr>
            <w:tcW w:w="2267"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ind w:firstLineChars="200" w:firstLine="400"/>
              <w:rPr>
                <w:sz w:val="20"/>
                <w:szCs w:val="20"/>
              </w:rPr>
            </w:pPr>
            <w:r w:rsidRPr="0032321F">
              <w:rPr>
                <w:sz w:val="20"/>
                <w:szCs w:val="20"/>
              </w:rPr>
              <w:t>Administrative</w:t>
            </w:r>
          </w:p>
        </w:tc>
        <w:tc>
          <w:tcPr>
            <w:tcW w:w="993"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324.0</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324</w:t>
            </w:r>
          </w:p>
        </w:tc>
      </w:tr>
      <w:tr w:rsidR="0032321F" w:rsidRPr="0032321F" w:rsidTr="0032321F">
        <w:trPr>
          <w:trHeight w:val="255"/>
        </w:trPr>
        <w:tc>
          <w:tcPr>
            <w:tcW w:w="2267"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ind w:firstLineChars="300" w:firstLine="600"/>
              <w:rPr>
                <w:sz w:val="20"/>
                <w:szCs w:val="20"/>
              </w:rPr>
            </w:pPr>
            <w:r w:rsidRPr="0032321F">
              <w:rPr>
                <w:sz w:val="20"/>
                <w:szCs w:val="20"/>
              </w:rPr>
              <w:t>Claim Approved</w:t>
            </w:r>
          </w:p>
        </w:tc>
        <w:tc>
          <w:tcPr>
            <w:tcW w:w="993"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129.6</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130</w:t>
            </w:r>
          </w:p>
        </w:tc>
      </w:tr>
      <w:tr w:rsidR="0032321F" w:rsidRPr="0032321F" w:rsidTr="0032321F">
        <w:trPr>
          <w:trHeight w:val="255"/>
        </w:trPr>
        <w:tc>
          <w:tcPr>
            <w:tcW w:w="2267"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ind w:firstLineChars="300" w:firstLine="600"/>
              <w:rPr>
                <w:sz w:val="20"/>
                <w:szCs w:val="20"/>
              </w:rPr>
            </w:pPr>
            <w:r w:rsidRPr="0032321F">
              <w:rPr>
                <w:sz w:val="20"/>
                <w:szCs w:val="20"/>
              </w:rPr>
              <w:t>Claim Denied</w:t>
            </w:r>
          </w:p>
        </w:tc>
        <w:tc>
          <w:tcPr>
            <w:tcW w:w="993"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194.4</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w:t>
            </w:r>
          </w:p>
        </w:tc>
        <w:tc>
          <w:tcPr>
            <w:tcW w:w="1120" w:type="dxa"/>
            <w:tcBorders>
              <w:top w:val="nil"/>
              <w:left w:val="nil"/>
              <w:bottom w:val="nil"/>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194</w:t>
            </w:r>
          </w:p>
        </w:tc>
      </w:tr>
      <w:tr w:rsidR="0032321F" w:rsidRPr="0032321F" w:rsidTr="0032321F">
        <w:trPr>
          <w:trHeight w:val="270"/>
        </w:trPr>
        <w:tc>
          <w:tcPr>
            <w:tcW w:w="2267" w:type="dxa"/>
            <w:tcBorders>
              <w:top w:val="single" w:sz="4" w:space="0" w:color="auto"/>
              <w:left w:val="nil"/>
              <w:bottom w:val="single" w:sz="8" w:space="0" w:color="auto"/>
              <w:right w:val="nil"/>
            </w:tcBorders>
            <w:shd w:val="clear" w:color="auto" w:fill="auto"/>
            <w:noWrap/>
            <w:vAlign w:val="bottom"/>
            <w:hideMark/>
          </w:tcPr>
          <w:p w:rsidR="0032321F" w:rsidRPr="0032321F" w:rsidRDefault="0032321F" w:rsidP="0032321F">
            <w:pPr>
              <w:widowControl/>
              <w:autoSpaceDE/>
              <w:autoSpaceDN/>
              <w:adjustRightInd/>
              <w:rPr>
                <w:sz w:val="20"/>
                <w:szCs w:val="20"/>
              </w:rPr>
            </w:pPr>
            <w:r w:rsidRPr="0032321F">
              <w:rPr>
                <w:sz w:val="20"/>
                <w:szCs w:val="20"/>
              </w:rPr>
              <w:t>Total Responses</w:t>
            </w:r>
          </w:p>
        </w:tc>
        <w:tc>
          <w:tcPr>
            <w:tcW w:w="993" w:type="dxa"/>
            <w:tcBorders>
              <w:top w:val="single" w:sz="4" w:space="0" w:color="auto"/>
              <w:left w:val="nil"/>
              <w:bottom w:val="single" w:sz="8" w:space="0" w:color="auto"/>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310,819</w:t>
            </w:r>
          </w:p>
        </w:tc>
        <w:tc>
          <w:tcPr>
            <w:tcW w:w="1120" w:type="dxa"/>
            <w:tcBorders>
              <w:top w:val="single" w:sz="4" w:space="0" w:color="auto"/>
              <w:left w:val="nil"/>
              <w:bottom w:val="single" w:sz="8" w:space="0" w:color="auto"/>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123</w:t>
            </w:r>
          </w:p>
        </w:tc>
        <w:tc>
          <w:tcPr>
            <w:tcW w:w="1120" w:type="dxa"/>
            <w:tcBorders>
              <w:top w:val="single" w:sz="4" w:space="0" w:color="auto"/>
              <w:left w:val="nil"/>
              <w:bottom w:val="single" w:sz="8" w:space="0" w:color="auto"/>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817</w:t>
            </w:r>
          </w:p>
        </w:tc>
        <w:tc>
          <w:tcPr>
            <w:tcW w:w="1120" w:type="dxa"/>
            <w:tcBorders>
              <w:top w:val="single" w:sz="4" w:space="0" w:color="auto"/>
              <w:left w:val="nil"/>
              <w:bottom w:val="single" w:sz="8" w:space="0" w:color="auto"/>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20</w:t>
            </w:r>
          </w:p>
        </w:tc>
        <w:tc>
          <w:tcPr>
            <w:tcW w:w="1120" w:type="dxa"/>
            <w:tcBorders>
              <w:top w:val="single" w:sz="4" w:space="0" w:color="auto"/>
              <w:left w:val="nil"/>
              <w:bottom w:val="single" w:sz="8" w:space="0" w:color="auto"/>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10</w:t>
            </w:r>
          </w:p>
        </w:tc>
        <w:tc>
          <w:tcPr>
            <w:tcW w:w="1120" w:type="dxa"/>
            <w:tcBorders>
              <w:top w:val="single" w:sz="4" w:space="0" w:color="auto"/>
              <w:left w:val="nil"/>
              <w:bottom w:val="single" w:sz="8" w:space="0" w:color="auto"/>
              <w:right w:val="nil"/>
            </w:tcBorders>
            <w:shd w:val="clear" w:color="auto" w:fill="auto"/>
            <w:noWrap/>
            <w:vAlign w:val="bottom"/>
            <w:hideMark/>
          </w:tcPr>
          <w:p w:rsidR="0032321F" w:rsidRPr="0032321F" w:rsidRDefault="0032321F" w:rsidP="0032321F">
            <w:pPr>
              <w:widowControl/>
              <w:autoSpaceDE/>
              <w:autoSpaceDN/>
              <w:adjustRightInd/>
              <w:jc w:val="center"/>
              <w:rPr>
                <w:sz w:val="20"/>
                <w:szCs w:val="20"/>
              </w:rPr>
            </w:pPr>
            <w:r w:rsidRPr="0032321F">
              <w:rPr>
                <w:sz w:val="20"/>
                <w:szCs w:val="20"/>
              </w:rPr>
              <w:t>311,788</w:t>
            </w:r>
          </w:p>
        </w:tc>
      </w:tr>
    </w:tbl>
    <w:p w:rsidR="00696114" w:rsidRDefault="00696114" w:rsidP="00696114">
      <w:pPr>
        <w:widowControl/>
        <w:ind w:firstLine="720"/>
      </w:pPr>
    </w:p>
    <w:p w:rsidR="00696114" w:rsidRDefault="00696114" w:rsidP="00696114">
      <w:pPr>
        <w:widowControl/>
        <w:ind w:firstLine="720"/>
      </w:pPr>
    </w:p>
    <w:p w:rsidR="00696114" w:rsidRDefault="00696114" w:rsidP="00696114">
      <w:pPr>
        <w:widowControl/>
        <w:ind w:firstLine="720"/>
      </w:pPr>
      <w:r>
        <w:t xml:space="preserve">The transaction burden will vary widely with the type and complexity of claim in question, but the mix of claims and associated burdens generally are expected to be similar across plans of the same type.  The average time required for the information collection associated with any particular type of health benefit claim transaction will range from one minute for certain routine automatic notices to six hours for certain disclosures on request following adverse claim determinations.  </w:t>
      </w:r>
    </w:p>
    <w:p w:rsidR="00696114" w:rsidRDefault="00696114" w:rsidP="00696114">
      <w:pPr>
        <w:widowControl/>
        <w:ind w:firstLine="720"/>
      </w:pPr>
    </w:p>
    <w:p w:rsidR="00696114" w:rsidRDefault="00696114" w:rsidP="00696114">
      <w:pPr>
        <w:widowControl/>
        <w:ind w:firstLine="720"/>
      </w:pPr>
      <w:r>
        <w:t xml:space="preserve">The Department estimates that approximately 93 percent of large benefit and all small benefit plans administer claims using a third-party provider.  </w:t>
      </w:r>
      <w:r w:rsidR="00F82A88">
        <w:t>An estimated</w:t>
      </w:r>
      <w:r w:rsidR="00F82A88" w:rsidRPr="006F73FB">
        <w:t xml:space="preserve"> </w:t>
      </w:r>
      <w:r w:rsidR="00F82A88">
        <w:t>9,842</w:t>
      </w:r>
      <w:r w:rsidRPr="006F73FB">
        <w:t xml:space="preserve"> health, </w:t>
      </w:r>
      <w:r w:rsidR="00275B5D" w:rsidRPr="006F73FB">
        <w:t>6</w:t>
      </w:r>
      <w:r w:rsidRPr="006F73FB">
        <w:t>,</w:t>
      </w:r>
      <w:r w:rsidR="00F82A88">
        <w:t>137</w:t>
      </w:r>
      <w:r w:rsidRPr="006F73FB">
        <w:t xml:space="preserve"> </w:t>
      </w:r>
      <w:proofErr w:type="gramStart"/>
      <w:r w:rsidRPr="006F73FB">
        <w:t>disability</w:t>
      </w:r>
      <w:proofErr w:type="gramEnd"/>
      <w:r w:rsidRPr="006F73FB">
        <w:t xml:space="preserve">, </w:t>
      </w:r>
      <w:r w:rsidR="00F82A88">
        <w:t>6,035</w:t>
      </w:r>
      <w:r w:rsidRPr="006F73FB">
        <w:t xml:space="preserve"> pension and </w:t>
      </w:r>
      <w:r w:rsidR="00F82A88">
        <w:t>8,916</w:t>
      </w:r>
      <w:r w:rsidRPr="006F73FB">
        <w:t xml:space="preserve"> other plans</w:t>
      </w:r>
      <w:r>
        <w:t xml:space="preserve"> administer claims in-house.  In-house administration burdens are accounted for as hours, while purchased services are accounted for as dollar costs.  The hourly burden as well as mailing costs for plans processing claims in-house is described below:</w:t>
      </w:r>
    </w:p>
    <w:p w:rsidR="00696114" w:rsidRDefault="00696114" w:rsidP="00696114">
      <w:pPr>
        <w:widowControl/>
        <w:ind w:firstLine="720"/>
      </w:pPr>
    </w:p>
    <w:tbl>
      <w:tblPr>
        <w:tblW w:w="15237" w:type="dxa"/>
        <w:tblInd w:w="93" w:type="dxa"/>
        <w:tblLook w:val="0000" w:firstRow="0" w:lastRow="0" w:firstColumn="0" w:lastColumn="0" w:noHBand="0" w:noVBand="0"/>
      </w:tblPr>
      <w:tblGrid>
        <w:gridCol w:w="9957"/>
        <w:gridCol w:w="1120"/>
        <w:gridCol w:w="1120"/>
        <w:gridCol w:w="1120"/>
        <w:gridCol w:w="960"/>
        <w:gridCol w:w="960"/>
      </w:tblGrid>
      <w:tr w:rsidR="00696114" w:rsidRPr="00CF644F" w:rsidTr="005B50D4">
        <w:trPr>
          <w:trHeight w:val="270"/>
        </w:trPr>
        <w:tc>
          <w:tcPr>
            <w:tcW w:w="9957" w:type="dxa"/>
            <w:tcBorders>
              <w:top w:val="nil"/>
              <w:left w:val="nil"/>
              <w:bottom w:val="nil"/>
              <w:right w:val="nil"/>
            </w:tcBorders>
            <w:shd w:val="clear" w:color="auto" w:fill="auto"/>
            <w:noWrap/>
            <w:vAlign w:val="bottom"/>
          </w:tcPr>
          <w:tbl>
            <w:tblPr>
              <w:tblW w:w="9740" w:type="dxa"/>
              <w:tblLook w:val="04A0" w:firstRow="1" w:lastRow="0" w:firstColumn="1" w:lastColumn="0" w:noHBand="0" w:noVBand="1"/>
            </w:tblPr>
            <w:tblGrid>
              <w:gridCol w:w="2414"/>
              <w:gridCol w:w="755"/>
              <w:gridCol w:w="1291"/>
              <w:gridCol w:w="1120"/>
              <w:gridCol w:w="1120"/>
              <w:gridCol w:w="1120"/>
              <w:gridCol w:w="960"/>
              <w:gridCol w:w="960"/>
            </w:tblGrid>
            <w:tr w:rsidR="00107D56" w:rsidRPr="00107D56" w:rsidTr="00107D56">
              <w:trPr>
                <w:trHeight w:val="270"/>
              </w:trPr>
              <w:tc>
                <w:tcPr>
                  <w:tcW w:w="4460" w:type="dxa"/>
                  <w:gridSpan w:val="3"/>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rPr>
                      <w:sz w:val="20"/>
                      <w:szCs w:val="20"/>
                    </w:rPr>
                  </w:pPr>
                  <w:r w:rsidRPr="00107D56">
                    <w:rPr>
                      <w:sz w:val="20"/>
                      <w:szCs w:val="20"/>
                    </w:rPr>
                    <w:t>TABLE 2.--</w:t>
                  </w:r>
                  <w:r w:rsidRPr="00107D56">
                    <w:rPr>
                      <w:i/>
                      <w:iCs/>
                      <w:sz w:val="20"/>
                      <w:szCs w:val="20"/>
                    </w:rPr>
                    <w:t>In-House Burden Hours (in thousands)</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rPr>
                      <w:sz w:val="20"/>
                      <w:szCs w:val="20"/>
                    </w:rPr>
                  </w:pPr>
                </w:p>
              </w:tc>
            </w:tr>
            <w:tr w:rsidR="00107D56" w:rsidRPr="00107D56" w:rsidTr="00107D56">
              <w:trPr>
                <w:trHeight w:val="255"/>
              </w:trPr>
              <w:tc>
                <w:tcPr>
                  <w:tcW w:w="2414" w:type="dxa"/>
                  <w:tcBorders>
                    <w:top w:val="single" w:sz="8" w:space="0" w:color="auto"/>
                    <w:left w:val="nil"/>
                    <w:bottom w:val="nil"/>
                    <w:right w:val="nil"/>
                  </w:tcBorders>
                  <w:shd w:val="clear" w:color="auto" w:fill="auto"/>
                  <w:noWrap/>
                  <w:vAlign w:val="bottom"/>
                  <w:hideMark/>
                </w:tcPr>
                <w:p w:rsidR="00107D56" w:rsidRPr="00107D56" w:rsidRDefault="00107D56" w:rsidP="00107D56">
                  <w:pPr>
                    <w:widowControl/>
                    <w:autoSpaceDE/>
                    <w:autoSpaceDN/>
                    <w:adjustRightInd/>
                    <w:rPr>
                      <w:sz w:val="20"/>
                      <w:szCs w:val="20"/>
                    </w:rPr>
                  </w:pPr>
                  <w:r w:rsidRPr="00107D56">
                    <w:rPr>
                      <w:sz w:val="20"/>
                      <w:szCs w:val="20"/>
                    </w:rPr>
                    <w:t> </w:t>
                  </w:r>
                </w:p>
              </w:tc>
              <w:tc>
                <w:tcPr>
                  <w:tcW w:w="755" w:type="dxa"/>
                  <w:vMerge w:val="restart"/>
                  <w:tcBorders>
                    <w:top w:val="single" w:sz="8" w:space="0" w:color="auto"/>
                    <w:left w:val="nil"/>
                    <w:bottom w:val="single" w:sz="8" w:space="0" w:color="000000"/>
                    <w:right w:val="nil"/>
                  </w:tcBorders>
                  <w:shd w:val="clear" w:color="auto" w:fill="auto"/>
                  <w:noWrap/>
                  <w:vAlign w:val="center"/>
                  <w:hideMark/>
                </w:tcPr>
                <w:p w:rsidR="00107D56" w:rsidRPr="00107D56" w:rsidRDefault="00107D56" w:rsidP="00107D56">
                  <w:pPr>
                    <w:widowControl/>
                    <w:autoSpaceDE/>
                    <w:autoSpaceDN/>
                    <w:adjustRightInd/>
                    <w:jc w:val="center"/>
                    <w:rPr>
                      <w:sz w:val="20"/>
                      <w:szCs w:val="20"/>
                    </w:rPr>
                  </w:pPr>
                  <w:r w:rsidRPr="00107D56">
                    <w:rPr>
                      <w:sz w:val="20"/>
                      <w:szCs w:val="20"/>
                    </w:rPr>
                    <w:t>Health</w:t>
                  </w:r>
                </w:p>
              </w:tc>
              <w:tc>
                <w:tcPr>
                  <w:tcW w:w="2411" w:type="dxa"/>
                  <w:gridSpan w:val="2"/>
                  <w:tcBorders>
                    <w:top w:val="single" w:sz="8" w:space="0" w:color="auto"/>
                    <w:left w:val="nil"/>
                    <w:bottom w:val="single" w:sz="4" w:space="0" w:color="auto"/>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Disability</w:t>
                  </w:r>
                </w:p>
              </w:tc>
              <w:tc>
                <w:tcPr>
                  <w:tcW w:w="1120" w:type="dxa"/>
                  <w:vMerge w:val="restart"/>
                  <w:tcBorders>
                    <w:top w:val="single" w:sz="8" w:space="0" w:color="auto"/>
                    <w:left w:val="nil"/>
                    <w:bottom w:val="single" w:sz="8" w:space="0" w:color="000000"/>
                    <w:right w:val="nil"/>
                  </w:tcBorders>
                  <w:shd w:val="clear" w:color="auto" w:fill="auto"/>
                  <w:noWrap/>
                  <w:vAlign w:val="center"/>
                  <w:hideMark/>
                </w:tcPr>
                <w:p w:rsidR="00107D56" w:rsidRPr="00107D56" w:rsidRDefault="00107D56" w:rsidP="00107D56">
                  <w:pPr>
                    <w:widowControl/>
                    <w:autoSpaceDE/>
                    <w:autoSpaceDN/>
                    <w:adjustRightInd/>
                    <w:jc w:val="center"/>
                    <w:rPr>
                      <w:sz w:val="20"/>
                      <w:szCs w:val="20"/>
                    </w:rPr>
                  </w:pPr>
                  <w:r w:rsidRPr="00107D56">
                    <w:rPr>
                      <w:sz w:val="20"/>
                      <w:szCs w:val="20"/>
                    </w:rPr>
                    <w:t>Pension</w:t>
                  </w:r>
                </w:p>
              </w:tc>
              <w:tc>
                <w:tcPr>
                  <w:tcW w:w="1120" w:type="dxa"/>
                  <w:vMerge w:val="restart"/>
                  <w:tcBorders>
                    <w:top w:val="single" w:sz="8" w:space="0" w:color="auto"/>
                    <w:left w:val="nil"/>
                    <w:bottom w:val="single" w:sz="8" w:space="0" w:color="000000"/>
                    <w:right w:val="nil"/>
                  </w:tcBorders>
                  <w:shd w:val="clear" w:color="auto" w:fill="auto"/>
                  <w:noWrap/>
                  <w:vAlign w:val="center"/>
                  <w:hideMark/>
                </w:tcPr>
                <w:p w:rsidR="00107D56" w:rsidRPr="00107D56" w:rsidRDefault="00107D56" w:rsidP="00107D56">
                  <w:pPr>
                    <w:widowControl/>
                    <w:autoSpaceDE/>
                    <w:autoSpaceDN/>
                    <w:adjustRightInd/>
                    <w:jc w:val="center"/>
                    <w:rPr>
                      <w:sz w:val="20"/>
                      <w:szCs w:val="20"/>
                    </w:rPr>
                  </w:pPr>
                  <w:r w:rsidRPr="00107D56">
                    <w:rPr>
                      <w:sz w:val="20"/>
                      <w:szCs w:val="20"/>
                    </w:rPr>
                    <w:t>Other</w:t>
                  </w:r>
                </w:p>
              </w:tc>
              <w:tc>
                <w:tcPr>
                  <w:tcW w:w="960" w:type="dxa"/>
                  <w:vMerge w:val="restart"/>
                  <w:tcBorders>
                    <w:top w:val="single" w:sz="8" w:space="0" w:color="auto"/>
                    <w:left w:val="nil"/>
                    <w:bottom w:val="single" w:sz="8" w:space="0" w:color="000000"/>
                    <w:right w:val="nil"/>
                  </w:tcBorders>
                  <w:shd w:val="clear" w:color="auto" w:fill="auto"/>
                  <w:vAlign w:val="center"/>
                  <w:hideMark/>
                </w:tcPr>
                <w:p w:rsidR="00107D56" w:rsidRPr="00107D56" w:rsidRDefault="00107D56" w:rsidP="00107D56">
                  <w:pPr>
                    <w:widowControl/>
                    <w:autoSpaceDE/>
                    <w:autoSpaceDN/>
                    <w:adjustRightInd/>
                    <w:jc w:val="center"/>
                    <w:rPr>
                      <w:sz w:val="20"/>
                      <w:szCs w:val="20"/>
                    </w:rPr>
                  </w:pPr>
                  <w:r w:rsidRPr="00107D56">
                    <w:rPr>
                      <w:sz w:val="20"/>
                      <w:szCs w:val="20"/>
                    </w:rPr>
                    <w:t>Mailing Cost</w:t>
                  </w:r>
                </w:p>
              </w:tc>
              <w:tc>
                <w:tcPr>
                  <w:tcW w:w="960" w:type="dxa"/>
                  <w:vMerge w:val="restart"/>
                  <w:tcBorders>
                    <w:top w:val="single" w:sz="8" w:space="0" w:color="auto"/>
                    <w:left w:val="nil"/>
                    <w:bottom w:val="single" w:sz="8" w:space="0" w:color="000000"/>
                    <w:right w:val="nil"/>
                  </w:tcBorders>
                  <w:shd w:val="clear" w:color="auto" w:fill="auto"/>
                  <w:vAlign w:val="center"/>
                  <w:hideMark/>
                </w:tcPr>
                <w:p w:rsidR="00107D56" w:rsidRPr="00107D56" w:rsidRDefault="00107D56" w:rsidP="00107D56">
                  <w:pPr>
                    <w:widowControl/>
                    <w:autoSpaceDE/>
                    <w:autoSpaceDN/>
                    <w:adjustRightInd/>
                    <w:jc w:val="center"/>
                    <w:rPr>
                      <w:sz w:val="20"/>
                      <w:szCs w:val="20"/>
                    </w:rPr>
                  </w:pPr>
                  <w:r w:rsidRPr="00107D56">
                    <w:rPr>
                      <w:sz w:val="20"/>
                      <w:szCs w:val="20"/>
                    </w:rPr>
                    <w:t>Total Hours</w:t>
                  </w:r>
                </w:p>
              </w:tc>
            </w:tr>
            <w:tr w:rsidR="00107D56" w:rsidRPr="00107D56" w:rsidTr="00107D56">
              <w:trPr>
                <w:trHeight w:val="270"/>
              </w:trPr>
              <w:tc>
                <w:tcPr>
                  <w:tcW w:w="2414" w:type="dxa"/>
                  <w:tcBorders>
                    <w:top w:val="nil"/>
                    <w:left w:val="nil"/>
                    <w:bottom w:val="single" w:sz="8" w:space="0" w:color="auto"/>
                    <w:right w:val="nil"/>
                  </w:tcBorders>
                  <w:shd w:val="clear" w:color="auto" w:fill="auto"/>
                  <w:noWrap/>
                  <w:vAlign w:val="bottom"/>
                  <w:hideMark/>
                </w:tcPr>
                <w:p w:rsidR="00107D56" w:rsidRPr="00107D56" w:rsidRDefault="00107D56" w:rsidP="00107D56">
                  <w:pPr>
                    <w:widowControl/>
                    <w:autoSpaceDE/>
                    <w:autoSpaceDN/>
                    <w:adjustRightInd/>
                    <w:rPr>
                      <w:sz w:val="20"/>
                      <w:szCs w:val="20"/>
                    </w:rPr>
                  </w:pPr>
                  <w:r w:rsidRPr="00107D56">
                    <w:rPr>
                      <w:sz w:val="20"/>
                      <w:szCs w:val="20"/>
                    </w:rPr>
                    <w:t> </w:t>
                  </w:r>
                </w:p>
              </w:tc>
              <w:tc>
                <w:tcPr>
                  <w:tcW w:w="755" w:type="dxa"/>
                  <w:vMerge/>
                  <w:tcBorders>
                    <w:top w:val="single" w:sz="8" w:space="0" w:color="auto"/>
                    <w:left w:val="nil"/>
                    <w:bottom w:val="single" w:sz="8" w:space="0" w:color="000000"/>
                    <w:right w:val="nil"/>
                  </w:tcBorders>
                  <w:vAlign w:val="center"/>
                  <w:hideMark/>
                </w:tcPr>
                <w:p w:rsidR="00107D56" w:rsidRPr="00107D56" w:rsidRDefault="00107D56" w:rsidP="00107D56">
                  <w:pPr>
                    <w:widowControl/>
                    <w:autoSpaceDE/>
                    <w:autoSpaceDN/>
                    <w:adjustRightInd/>
                    <w:rPr>
                      <w:sz w:val="20"/>
                      <w:szCs w:val="20"/>
                    </w:rPr>
                  </w:pPr>
                </w:p>
              </w:tc>
              <w:tc>
                <w:tcPr>
                  <w:tcW w:w="1291" w:type="dxa"/>
                  <w:tcBorders>
                    <w:top w:val="nil"/>
                    <w:left w:val="nil"/>
                    <w:bottom w:val="single" w:sz="8" w:space="0" w:color="auto"/>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Short-Term</w:t>
                  </w:r>
                </w:p>
              </w:tc>
              <w:tc>
                <w:tcPr>
                  <w:tcW w:w="1120" w:type="dxa"/>
                  <w:tcBorders>
                    <w:top w:val="nil"/>
                    <w:left w:val="nil"/>
                    <w:bottom w:val="single" w:sz="8" w:space="0" w:color="auto"/>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Long-Term</w:t>
                  </w:r>
                </w:p>
              </w:tc>
              <w:tc>
                <w:tcPr>
                  <w:tcW w:w="1120" w:type="dxa"/>
                  <w:vMerge/>
                  <w:tcBorders>
                    <w:top w:val="single" w:sz="8" w:space="0" w:color="auto"/>
                    <w:left w:val="nil"/>
                    <w:bottom w:val="single" w:sz="8" w:space="0" w:color="000000"/>
                    <w:right w:val="nil"/>
                  </w:tcBorders>
                  <w:vAlign w:val="center"/>
                  <w:hideMark/>
                </w:tcPr>
                <w:p w:rsidR="00107D56" w:rsidRPr="00107D56" w:rsidRDefault="00107D56" w:rsidP="00107D56">
                  <w:pPr>
                    <w:widowControl/>
                    <w:autoSpaceDE/>
                    <w:autoSpaceDN/>
                    <w:adjustRightInd/>
                    <w:rPr>
                      <w:sz w:val="20"/>
                      <w:szCs w:val="20"/>
                    </w:rPr>
                  </w:pPr>
                </w:p>
              </w:tc>
              <w:tc>
                <w:tcPr>
                  <w:tcW w:w="1120" w:type="dxa"/>
                  <w:vMerge/>
                  <w:tcBorders>
                    <w:top w:val="single" w:sz="8" w:space="0" w:color="auto"/>
                    <w:left w:val="nil"/>
                    <w:bottom w:val="single" w:sz="8" w:space="0" w:color="000000"/>
                    <w:right w:val="nil"/>
                  </w:tcBorders>
                  <w:vAlign w:val="center"/>
                  <w:hideMark/>
                </w:tcPr>
                <w:p w:rsidR="00107D56" w:rsidRPr="00107D56" w:rsidRDefault="00107D56" w:rsidP="00107D56">
                  <w:pPr>
                    <w:widowControl/>
                    <w:autoSpaceDE/>
                    <w:autoSpaceDN/>
                    <w:adjustRightInd/>
                    <w:rPr>
                      <w:sz w:val="20"/>
                      <w:szCs w:val="20"/>
                    </w:rPr>
                  </w:pPr>
                </w:p>
              </w:tc>
              <w:tc>
                <w:tcPr>
                  <w:tcW w:w="960" w:type="dxa"/>
                  <w:vMerge/>
                  <w:tcBorders>
                    <w:top w:val="single" w:sz="8" w:space="0" w:color="auto"/>
                    <w:left w:val="nil"/>
                    <w:bottom w:val="single" w:sz="8" w:space="0" w:color="000000"/>
                    <w:right w:val="nil"/>
                  </w:tcBorders>
                  <w:vAlign w:val="center"/>
                  <w:hideMark/>
                </w:tcPr>
                <w:p w:rsidR="00107D56" w:rsidRPr="00107D56" w:rsidRDefault="00107D56" w:rsidP="00107D56">
                  <w:pPr>
                    <w:widowControl/>
                    <w:autoSpaceDE/>
                    <w:autoSpaceDN/>
                    <w:adjustRightInd/>
                    <w:rPr>
                      <w:sz w:val="20"/>
                      <w:szCs w:val="20"/>
                    </w:rPr>
                  </w:pPr>
                </w:p>
              </w:tc>
              <w:tc>
                <w:tcPr>
                  <w:tcW w:w="960" w:type="dxa"/>
                  <w:vMerge/>
                  <w:tcBorders>
                    <w:top w:val="single" w:sz="8" w:space="0" w:color="auto"/>
                    <w:left w:val="nil"/>
                    <w:bottom w:val="single" w:sz="8" w:space="0" w:color="000000"/>
                    <w:right w:val="nil"/>
                  </w:tcBorders>
                  <w:vAlign w:val="center"/>
                  <w:hideMark/>
                </w:tcPr>
                <w:p w:rsidR="00107D56" w:rsidRPr="00107D56" w:rsidRDefault="00107D56" w:rsidP="00107D56">
                  <w:pPr>
                    <w:widowControl/>
                    <w:autoSpaceDE/>
                    <w:autoSpaceDN/>
                    <w:adjustRightInd/>
                    <w:rPr>
                      <w:sz w:val="20"/>
                      <w:szCs w:val="20"/>
                    </w:rPr>
                  </w:pPr>
                </w:p>
              </w:tc>
            </w:tr>
            <w:tr w:rsidR="00107D56" w:rsidRPr="00107D56" w:rsidTr="00107D56">
              <w:trPr>
                <w:trHeight w:val="255"/>
              </w:trPr>
              <w:tc>
                <w:tcPr>
                  <w:tcW w:w="2414"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rPr>
                      <w:sz w:val="20"/>
                      <w:szCs w:val="20"/>
                    </w:rPr>
                  </w:pPr>
                  <w:r w:rsidRPr="00107D56">
                    <w:rPr>
                      <w:sz w:val="20"/>
                      <w:szCs w:val="20"/>
                    </w:rPr>
                    <w:t>Pre-Service</w:t>
                  </w:r>
                </w:p>
              </w:tc>
              <w:tc>
                <w:tcPr>
                  <w:tcW w:w="755"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rPr>
                      <w:sz w:val="20"/>
                      <w:szCs w:val="20"/>
                    </w:rPr>
                  </w:pPr>
                </w:p>
              </w:tc>
              <w:tc>
                <w:tcPr>
                  <w:tcW w:w="1291"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rPr>
                      <w:sz w:val="20"/>
                      <w:szCs w:val="20"/>
                    </w:rPr>
                  </w:pPr>
                </w:p>
              </w:tc>
            </w:tr>
            <w:tr w:rsidR="00107D56" w:rsidRPr="00107D56" w:rsidTr="00107D56">
              <w:trPr>
                <w:trHeight w:val="255"/>
              </w:trPr>
              <w:tc>
                <w:tcPr>
                  <w:tcW w:w="2414"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ind w:firstLineChars="100" w:firstLine="200"/>
                    <w:rPr>
                      <w:sz w:val="20"/>
                      <w:szCs w:val="20"/>
                    </w:rPr>
                  </w:pPr>
                  <w:r w:rsidRPr="00107D56">
                    <w:rPr>
                      <w:sz w:val="20"/>
                      <w:szCs w:val="20"/>
                    </w:rPr>
                    <w:t>Claim Approved</w:t>
                  </w:r>
                </w:p>
              </w:tc>
              <w:tc>
                <w:tcPr>
                  <w:tcW w:w="755"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27.5</w:t>
                  </w:r>
                </w:p>
              </w:tc>
              <w:tc>
                <w:tcPr>
                  <w:tcW w:w="1291"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$235</w:t>
                  </w: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27.5</w:t>
                  </w:r>
                </w:p>
              </w:tc>
            </w:tr>
            <w:tr w:rsidR="00107D56" w:rsidRPr="00107D56" w:rsidTr="00107D56">
              <w:trPr>
                <w:trHeight w:val="255"/>
              </w:trPr>
              <w:tc>
                <w:tcPr>
                  <w:tcW w:w="2414"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ind w:firstLineChars="100" w:firstLine="200"/>
                    <w:rPr>
                      <w:sz w:val="20"/>
                      <w:szCs w:val="20"/>
                    </w:rPr>
                  </w:pPr>
                  <w:r w:rsidRPr="00107D56">
                    <w:rPr>
                      <w:sz w:val="20"/>
                      <w:szCs w:val="20"/>
                    </w:rPr>
                    <w:t>Claim Denied</w:t>
                  </w:r>
                </w:p>
              </w:tc>
              <w:tc>
                <w:tcPr>
                  <w:tcW w:w="755"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9.7</w:t>
                  </w:r>
                </w:p>
              </w:tc>
              <w:tc>
                <w:tcPr>
                  <w:tcW w:w="1291"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$42</w:t>
                  </w: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9.7</w:t>
                  </w:r>
                </w:p>
              </w:tc>
            </w:tr>
            <w:tr w:rsidR="00107D56" w:rsidRPr="00107D56" w:rsidTr="00107D56">
              <w:trPr>
                <w:trHeight w:val="255"/>
              </w:trPr>
              <w:tc>
                <w:tcPr>
                  <w:tcW w:w="2414"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rPr>
                      <w:sz w:val="20"/>
                      <w:szCs w:val="20"/>
                    </w:rPr>
                  </w:pPr>
                  <w:r w:rsidRPr="00107D56">
                    <w:rPr>
                      <w:sz w:val="20"/>
                      <w:szCs w:val="20"/>
                    </w:rPr>
                    <w:t>Post-Service</w:t>
                  </w:r>
                </w:p>
              </w:tc>
              <w:tc>
                <w:tcPr>
                  <w:tcW w:w="755"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p>
              </w:tc>
              <w:tc>
                <w:tcPr>
                  <w:tcW w:w="1291"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rPr>
                      <w:sz w:val="20"/>
                      <w:szCs w:val="20"/>
                    </w:rPr>
                  </w:pPr>
                </w:p>
              </w:tc>
            </w:tr>
            <w:tr w:rsidR="00107D56" w:rsidRPr="00107D56" w:rsidTr="00107D56">
              <w:trPr>
                <w:trHeight w:val="255"/>
              </w:trPr>
              <w:tc>
                <w:tcPr>
                  <w:tcW w:w="2414"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ind w:firstLineChars="100" w:firstLine="200"/>
                    <w:rPr>
                      <w:sz w:val="20"/>
                      <w:szCs w:val="20"/>
                    </w:rPr>
                  </w:pPr>
                  <w:r w:rsidRPr="00107D56">
                    <w:rPr>
                      <w:sz w:val="20"/>
                      <w:szCs w:val="20"/>
                    </w:rPr>
                    <w:t>Claim Denied</w:t>
                  </w:r>
                </w:p>
              </w:tc>
              <w:tc>
                <w:tcPr>
                  <w:tcW w:w="755"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314.3</w:t>
                  </w:r>
                </w:p>
              </w:tc>
              <w:tc>
                <w:tcPr>
                  <w:tcW w:w="1291"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2.1</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26.2</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0.1</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0.0</w:t>
                  </w: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$5,392</w:t>
                  </w: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342.7</w:t>
                  </w:r>
                </w:p>
              </w:tc>
            </w:tr>
            <w:tr w:rsidR="00107D56" w:rsidRPr="00107D56" w:rsidTr="00107D56">
              <w:trPr>
                <w:trHeight w:val="255"/>
              </w:trPr>
              <w:tc>
                <w:tcPr>
                  <w:tcW w:w="2414"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ind w:firstLineChars="100" w:firstLine="200"/>
                    <w:rPr>
                      <w:sz w:val="20"/>
                      <w:szCs w:val="20"/>
                    </w:rPr>
                  </w:pPr>
                  <w:r w:rsidRPr="00107D56">
                    <w:rPr>
                      <w:sz w:val="20"/>
                      <w:szCs w:val="20"/>
                    </w:rPr>
                    <w:t>Claim Extended</w:t>
                  </w:r>
                </w:p>
              </w:tc>
              <w:tc>
                <w:tcPr>
                  <w:tcW w:w="755"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62.9</w:t>
                  </w:r>
                </w:p>
              </w:tc>
              <w:tc>
                <w:tcPr>
                  <w:tcW w:w="1291"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0.3</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3.5</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0.0</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0.0</w:t>
                  </w: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$2,155</w:t>
                  </w: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66.7</w:t>
                  </w:r>
                </w:p>
              </w:tc>
            </w:tr>
            <w:tr w:rsidR="00107D56" w:rsidRPr="00107D56" w:rsidTr="00107D56">
              <w:trPr>
                <w:trHeight w:val="255"/>
              </w:trPr>
              <w:tc>
                <w:tcPr>
                  <w:tcW w:w="2414"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rPr>
                      <w:sz w:val="20"/>
                      <w:szCs w:val="20"/>
                    </w:rPr>
                  </w:pPr>
                  <w:r w:rsidRPr="00107D56">
                    <w:rPr>
                      <w:sz w:val="20"/>
                      <w:szCs w:val="20"/>
                    </w:rPr>
                    <w:t>Denial Appeal</w:t>
                  </w:r>
                </w:p>
              </w:tc>
              <w:tc>
                <w:tcPr>
                  <w:tcW w:w="755"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p>
              </w:tc>
              <w:tc>
                <w:tcPr>
                  <w:tcW w:w="1291"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rPr>
                      <w:sz w:val="20"/>
                      <w:szCs w:val="20"/>
                    </w:rPr>
                  </w:pPr>
                </w:p>
              </w:tc>
            </w:tr>
            <w:tr w:rsidR="00107D56" w:rsidRPr="00107D56" w:rsidTr="00107D56">
              <w:trPr>
                <w:trHeight w:val="255"/>
              </w:trPr>
              <w:tc>
                <w:tcPr>
                  <w:tcW w:w="2414"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ind w:firstLineChars="100" w:firstLine="200"/>
                    <w:rPr>
                      <w:sz w:val="20"/>
                      <w:szCs w:val="20"/>
                    </w:rPr>
                  </w:pPr>
                  <w:r w:rsidRPr="00107D56">
                    <w:rPr>
                      <w:sz w:val="20"/>
                      <w:szCs w:val="20"/>
                    </w:rPr>
                    <w:lastRenderedPageBreak/>
                    <w:t>Total</w:t>
                  </w:r>
                </w:p>
              </w:tc>
              <w:tc>
                <w:tcPr>
                  <w:tcW w:w="755"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68.0</w:t>
                  </w:r>
                </w:p>
              </w:tc>
              <w:tc>
                <w:tcPr>
                  <w:tcW w:w="1291"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0.2</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1.4</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0.0</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0.0</w:t>
                  </w: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$17</w:t>
                  </w: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69.6</w:t>
                  </w:r>
                </w:p>
              </w:tc>
            </w:tr>
            <w:tr w:rsidR="00107D56" w:rsidRPr="00107D56" w:rsidTr="00107D56">
              <w:trPr>
                <w:trHeight w:val="255"/>
              </w:trPr>
              <w:tc>
                <w:tcPr>
                  <w:tcW w:w="2414"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ind w:firstLineChars="200" w:firstLine="400"/>
                    <w:rPr>
                      <w:sz w:val="20"/>
                      <w:szCs w:val="20"/>
                    </w:rPr>
                  </w:pPr>
                  <w:r w:rsidRPr="00107D56">
                    <w:rPr>
                      <w:sz w:val="20"/>
                      <w:szCs w:val="20"/>
                    </w:rPr>
                    <w:t>Appeal Approved</w:t>
                  </w:r>
                </w:p>
              </w:tc>
              <w:tc>
                <w:tcPr>
                  <w:tcW w:w="755"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15.6</w:t>
                  </w:r>
                </w:p>
              </w:tc>
              <w:tc>
                <w:tcPr>
                  <w:tcW w:w="1291"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0.0</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0.0</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0.0</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0.0</w:t>
                  </w: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$6</w:t>
                  </w: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15.7</w:t>
                  </w:r>
                </w:p>
              </w:tc>
            </w:tr>
            <w:tr w:rsidR="00107D56" w:rsidRPr="00107D56" w:rsidTr="00107D56">
              <w:trPr>
                <w:trHeight w:val="255"/>
              </w:trPr>
              <w:tc>
                <w:tcPr>
                  <w:tcW w:w="2414"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ind w:firstLineChars="200" w:firstLine="400"/>
                    <w:rPr>
                      <w:sz w:val="20"/>
                      <w:szCs w:val="20"/>
                    </w:rPr>
                  </w:pPr>
                  <w:r w:rsidRPr="00107D56">
                    <w:rPr>
                      <w:sz w:val="20"/>
                      <w:szCs w:val="20"/>
                    </w:rPr>
                    <w:t>Appeal Denied</w:t>
                  </w:r>
                </w:p>
              </w:tc>
              <w:tc>
                <w:tcPr>
                  <w:tcW w:w="755"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52.4</w:t>
                  </w:r>
                </w:p>
              </w:tc>
              <w:tc>
                <w:tcPr>
                  <w:tcW w:w="1291"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0.2</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1.3</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0.0</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0.0</w:t>
                  </w: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$8</w:t>
                  </w: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53.9</w:t>
                  </w:r>
                </w:p>
              </w:tc>
            </w:tr>
            <w:tr w:rsidR="00107D56" w:rsidRPr="00107D56" w:rsidTr="00107D56">
              <w:trPr>
                <w:trHeight w:val="255"/>
              </w:trPr>
              <w:tc>
                <w:tcPr>
                  <w:tcW w:w="2414"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ind w:firstLineChars="100" w:firstLine="200"/>
                    <w:rPr>
                      <w:sz w:val="20"/>
                      <w:szCs w:val="20"/>
                    </w:rPr>
                  </w:pPr>
                  <w:r w:rsidRPr="00107D56">
                    <w:rPr>
                      <w:sz w:val="20"/>
                      <w:szCs w:val="20"/>
                    </w:rPr>
                    <w:t>Medical</w:t>
                  </w:r>
                </w:p>
              </w:tc>
              <w:tc>
                <w:tcPr>
                  <w:tcW w:w="755"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48.8</w:t>
                  </w:r>
                </w:p>
              </w:tc>
              <w:tc>
                <w:tcPr>
                  <w:tcW w:w="1291"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$4</w:t>
                  </w: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48.8</w:t>
                  </w:r>
                </w:p>
              </w:tc>
            </w:tr>
            <w:tr w:rsidR="00107D56" w:rsidRPr="00107D56" w:rsidTr="00107D56">
              <w:trPr>
                <w:trHeight w:val="255"/>
              </w:trPr>
              <w:tc>
                <w:tcPr>
                  <w:tcW w:w="2414"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ind w:firstLineChars="200" w:firstLine="400"/>
                    <w:rPr>
                      <w:sz w:val="20"/>
                      <w:szCs w:val="20"/>
                    </w:rPr>
                  </w:pPr>
                  <w:r w:rsidRPr="00107D56">
                    <w:rPr>
                      <w:sz w:val="20"/>
                      <w:szCs w:val="20"/>
                    </w:rPr>
                    <w:t>Claim Approved</w:t>
                  </w:r>
                </w:p>
              </w:tc>
              <w:tc>
                <w:tcPr>
                  <w:tcW w:w="755"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15.4</w:t>
                  </w:r>
                </w:p>
              </w:tc>
              <w:tc>
                <w:tcPr>
                  <w:tcW w:w="1291"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$1</w:t>
                  </w: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15.4</w:t>
                  </w:r>
                </w:p>
              </w:tc>
            </w:tr>
            <w:tr w:rsidR="00107D56" w:rsidRPr="00107D56" w:rsidTr="00107D56">
              <w:trPr>
                <w:trHeight w:val="255"/>
              </w:trPr>
              <w:tc>
                <w:tcPr>
                  <w:tcW w:w="2414"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ind w:firstLineChars="200" w:firstLine="400"/>
                    <w:rPr>
                      <w:sz w:val="20"/>
                      <w:szCs w:val="20"/>
                    </w:rPr>
                  </w:pPr>
                  <w:r w:rsidRPr="00107D56">
                    <w:rPr>
                      <w:sz w:val="20"/>
                      <w:szCs w:val="20"/>
                    </w:rPr>
                    <w:t>Claim Denied</w:t>
                  </w:r>
                </w:p>
              </w:tc>
              <w:tc>
                <w:tcPr>
                  <w:tcW w:w="755"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33.4</w:t>
                  </w:r>
                </w:p>
              </w:tc>
              <w:tc>
                <w:tcPr>
                  <w:tcW w:w="1291"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$2</w:t>
                  </w: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33.4</w:t>
                  </w:r>
                </w:p>
              </w:tc>
            </w:tr>
            <w:tr w:rsidR="00107D56" w:rsidRPr="00107D56" w:rsidTr="00107D56">
              <w:trPr>
                <w:trHeight w:val="255"/>
              </w:trPr>
              <w:tc>
                <w:tcPr>
                  <w:tcW w:w="2414"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ind w:firstLineChars="100" w:firstLine="200"/>
                    <w:rPr>
                      <w:sz w:val="20"/>
                      <w:szCs w:val="20"/>
                    </w:rPr>
                  </w:pPr>
                  <w:r w:rsidRPr="00107D56">
                    <w:rPr>
                      <w:sz w:val="20"/>
                      <w:szCs w:val="20"/>
                    </w:rPr>
                    <w:t>Administrative</w:t>
                  </w:r>
                </w:p>
              </w:tc>
              <w:tc>
                <w:tcPr>
                  <w:tcW w:w="755"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19.2</w:t>
                  </w:r>
                </w:p>
              </w:tc>
              <w:tc>
                <w:tcPr>
                  <w:tcW w:w="1291"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$9</w:t>
                  </w: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19.2</w:t>
                  </w:r>
                </w:p>
              </w:tc>
            </w:tr>
            <w:tr w:rsidR="00107D56" w:rsidRPr="00107D56" w:rsidTr="00107D56">
              <w:trPr>
                <w:trHeight w:val="255"/>
              </w:trPr>
              <w:tc>
                <w:tcPr>
                  <w:tcW w:w="2414"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ind w:firstLineChars="200" w:firstLine="400"/>
                    <w:rPr>
                      <w:sz w:val="20"/>
                      <w:szCs w:val="20"/>
                    </w:rPr>
                  </w:pPr>
                  <w:r w:rsidRPr="00107D56">
                    <w:rPr>
                      <w:sz w:val="20"/>
                      <w:szCs w:val="20"/>
                    </w:rPr>
                    <w:t>Claim Approved</w:t>
                  </w:r>
                </w:p>
              </w:tc>
              <w:tc>
                <w:tcPr>
                  <w:tcW w:w="755"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0.2</w:t>
                  </w:r>
                </w:p>
              </w:tc>
              <w:tc>
                <w:tcPr>
                  <w:tcW w:w="1291"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$4</w:t>
                  </w: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0.2</w:t>
                  </w:r>
                </w:p>
              </w:tc>
            </w:tr>
            <w:tr w:rsidR="00107D56" w:rsidRPr="00107D56" w:rsidTr="00107D56">
              <w:trPr>
                <w:trHeight w:val="270"/>
              </w:trPr>
              <w:tc>
                <w:tcPr>
                  <w:tcW w:w="2414"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ind w:firstLineChars="200" w:firstLine="400"/>
                    <w:rPr>
                      <w:sz w:val="20"/>
                      <w:szCs w:val="20"/>
                    </w:rPr>
                  </w:pPr>
                  <w:r w:rsidRPr="00107D56">
                    <w:rPr>
                      <w:sz w:val="20"/>
                      <w:szCs w:val="20"/>
                    </w:rPr>
                    <w:t>Claim Denied</w:t>
                  </w:r>
                </w:p>
              </w:tc>
              <w:tc>
                <w:tcPr>
                  <w:tcW w:w="755"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19.0</w:t>
                  </w:r>
                </w:p>
              </w:tc>
              <w:tc>
                <w:tcPr>
                  <w:tcW w:w="1291"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112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w:t>
                  </w: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$5</w:t>
                  </w: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jc w:val="center"/>
                    <w:rPr>
                      <w:sz w:val="20"/>
                      <w:szCs w:val="20"/>
                    </w:rPr>
                  </w:pPr>
                  <w:r w:rsidRPr="00107D56">
                    <w:rPr>
                      <w:sz w:val="20"/>
                      <w:szCs w:val="20"/>
                    </w:rPr>
                    <w:t>19.0</w:t>
                  </w:r>
                </w:p>
              </w:tc>
            </w:tr>
            <w:tr w:rsidR="00107D56" w:rsidRPr="00107D56" w:rsidTr="00107D56">
              <w:trPr>
                <w:trHeight w:val="285"/>
              </w:trPr>
              <w:tc>
                <w:tcPr>
                  <w:tcW w:w="2414" w:type="dxa"/>
                  <w:tcBorders>
                    <w:top w:val="single" w:sz="4" w:space="0" w:color="auto"/>
                    <w:left w:val="nil"/>
                    <w:bottom w:val="single" w:sz="8" w:space="0" w:color="auto"/>
                    <w:right w:val="nil"/>
                  </w:tcBorders>
                  <w:shd w:val="clear" w:color="auto" w:fill="auto"/>
                  <w:noWrap/>
                  <w:vAlign w:val="bottom"/>
                  <w:hideMark/>
                </w:tcPr>
                <w:p w:rsidR="00107D56" w:rsidRPr="00107D56" w:rsidRDefault="00107D56" w:rsidP="00107D56">
                  <w:pPr>
                    <w:widowControl/>
                    <w:autoSpaceDE/>
                    <w:autoSpaceDN/>
                    <w:adjustRightInd/>
                    <w:rPr>
                      <w:b/>
                      <w:bCs/>
                      <w:sz w:val="20"/>
                      <w:szCs w:val="20"/>
                    </w:rPr>
                  </w:pPr>
                  <w:r w:rsidRPr="00107D56">
                    <w:rPr>
                      <w:b/>
                      <w:bCs/>
                      <w:sz w:val="20"/>
                      <w:szCs w:val="20"/>
                    </w:rPr>
                    <w:t>Total</w:t>
                  </w:r>
                </w:p>
              </w:tc>
              <w:tc>
                <w:tcPr>
                  <w:tcW w:w="755" w:type="dxa"/>
                  <w:tcBorders>
                    <w:top w:val="single" w:sz="4" w:space="0" w:color="auto"/>
                    <w:left w:val="nil"/>
                    <w:bottom w:val="single" w:sz="8" w:space="0" w:color="auto"/>
                    <w:right w:val="nil"/>
                  </w:tcBorders>
                  <w:shd w:val="clear" w:color="auto" w:fill="auto"/>
                  <w:noWrap/>
                  <w:vAlign w:val="bottom"/>
                  <w:hideMark/>
                </w:tcPr>
                <w:p w:rsidR="00107D56" w:rsidRPr="00107D56" w:rsidRDefault="00107D56" w:rsidP="00107D56">
                  <w:pPr>
                    <w:widowControl/>
                    <w:autoSpaceDE/>
                    <w:autoSpaceDN/>
                    <w:adjustRightInd/>
                    <w:jc w:val="center"/>
                    <w:rPr>
                      <w:b/>
                      <w:bCs/>
                      <w:sz w:val="20"/>
                      <w:szCs w:val="20"/>
                    </w:rPr>
                  </w:pPr>
                  <w:r w:rsidRPr="00107D56">
                    <w:rPr>
                      <w:b/>
                      <w:bCs/>
                      <w:sz w:val="20"/>
                      <w:szCs w:val="20"/>
                    </w:rPr>
                    <w:t>482</w:t>
                  </w:r>
                </w:p>
              </w:tc>
              <w:tc>
                <w:tcPr>
                  <w:tcW w:w="1291" w:type="dxa"/>
                  <w:tcBorders>
                    <w:top w:val="single" w:sz="4" w:space="0" w:color="auto"/>
                    <w:left w:val="nil"/>
                    <w:bottom w:val="single" w:sz="8" w:space="0" w:color="auto"/>
                    <w:right w:val="nil"/>
                  </w:tcBorders>
                  <w:shd w:val="clear" w:color="auto" w:fill="auto"/>
                  <w:noWrap/>
                  <w:vAlign w:val="bottom"/>
                  <w:hideMark/>
                </w:tcPr>
                <w:p w:rsidR="00107D56" w:rsidRPr="00107D56" w:rsidRDefault="00107D56" w:rsidP="00107D56">
                  <w:pPr>
                    <w:widowControl/>
                    <w:autoSpaceDE/>
                    <w:autoSpaceDN/>
                    <w:adjustRightInd/>
                    <w:jc w:val="center"/>
                    <w:rPr>
                      <w:b/>
                      <w:bCs/>
                      <w:sz w:val="20"/>
                      <w:szCs w:val="20"/>
                    </w:rPr>
                  </w:pPr>
                  <w:r w:rsidRPr="00107D56">
                    <w:rPr>
                      <w:b/>
                      <w:bCs/>
                      <w:sz w:val="20"/>
                      <w:szCs w:val="20"/>
                    </w:rPr>
                    <w:t>3</w:t>
                  </w:r>
                </w:p>
              </w:tc>
              <w:tc>
                <w:tcPr>
                  <w:tcW w:w="1120" w:type="dxa"/>
                  <w:tcBorders>
                    <w:top w:val="single" w:sz="4" w:space="0" w:color="auto"/>
                    <w:left w:val="nil"/>
                    <w:bottom w:val="single" w:sz="8" w:space="0" w:color="auto"/>
                    <w:right w:val="nil"/>
                  </w:tcBorders>
                  <w:shd w:val="clear" w:color="auto" w:fill="auto"/>
                  <w:noWrap/>
                  <w:vAlign w:val="bottom"/>
                  <w:hideMark/>
                </w:tcPr>
                <w:p w:rsidR="00107D56" w:rsidRPr="00107D56" w:rsidRDefault="00107D56" w:rsidP="00107D56">
                  <w:pPr>
                    <w:widowControl/>
                    <w:autoSpaceDE/>
                    <w:autoSpaceDN/>
                    <w:adjustRightInd/>
                    <w:jc w:val="center"/>
                    <w:rPr>
                      <w:b/>
                      <w:bCs/>
                      <w:sz w:val="20"/>
                      <w:szCs w:val="20"/>
                    </w:rPr>
                  </w:pPr>
                  <w:r w:rsidRPr="00107D56">
                    <w:rPr>
                      <w:b/>
                      <w:bCs/>
                      <w:sz w:val="20"/>
                      <w:szCs w:val="20"/>
                    </w:rPr>
                    <w:t>31</w:t>
                  </w:r>
                </w:p>
              </w:tc>
              <w:tc>
                <w:tcPr>
                  <w:tcW w:w="1120" w:type="dxa"/>
                  <w:tcBorders>
                    <w:top w:val="single" w:sz="4" w:space="0" w:color="auto"/>
                    <w:left w:val="nil"/>
                    <w:bottom w:val="single" w:sz="8" w:space="0" w:color="auto"/>
                    <w:right w:val="nil"/>
                  </w:tcBorders>
                  <w:shd w:val="clear" w:color="auto" w:fill="auto"/>
                  <w:noWrap/>
                  <w:vAlign w:val="bottom"/>
                  <w:hideMark/>
                </w:tcPr>
                <w:p w:rsidR="00107D56" w:rsidRPr="00107D56" w:rsidRDefault="00107D56" w:rsidP="00107D56">
                  <w:pPr>
                    <w:widowControl/>
                    <w:autoSpaceDE/>
                    <w:autoSpaceDN/>
                    <w:adjustRightInd/>
                    <w:jc w:val="center"/>
                    <w:rPr>
                      <w:b/>
                      <w:bCs/>
                      <w:sz w:val="20"/>
                      <w:szCs w:val="20"/>
                    </w:rPr>
                  </w:pPr>
                  <w:r w:rsidRPr="00107D56">
                    <w:rPr>
                      <w:b/>
                      <w:bCs/>
                      <w:sz w:val="20"/>
                      <w:szCs w:val="20"/>
                    </w:rPr>
                    <w:t>0</w:t>
                  </w:r>
                </w:p>
              </w:tc>
              <w:tc>
                <w:tcPr>
                  <w:tcW w:w="1120" w:type="dxa"/>
                  <w:tcBorders>
                    <w:top w:val="single" w:sz="4" w:space="0" w:color="auto"/>
                    <w:left w:val="nil"/>
                    <w:bottom w:val="single" w:sz="8" w:space="0" w:color="auto"/>
                    <w:right w:val="nil"/>
                  </w:tcBorders>
                  <w:shd w:val="clear" w:color="auto" w:fill="auto"/>
                  <w:noWrap/>
                  <w:vAlign w:val="bottom"/>
                  <w:hideMark/>
                </w:tcPr>
                <w:p w:rsidR="00107D56" w:rsidRPr="00107D56" w:rsidRDefault="00107D56" w:rsidP="00107D56">
                  <w:pPr>
                    <w:widowControl/>
                    <w:autoSpaceDE/>
                    <w:autoSpaceDN/>
                    <w:adjustRightInd/>
                    <w:jc w:val="center"/>
                    <w:rPr>
                      <w:b/>
                      <w:bCs/>
                      <w:sz w:val="20"/>
                      <w:szCs w:val="20"/>
                    </w:rPr>
                  </w:pPr>
                  <w:r w:rsidRPr="00107D56">
                    <w:rPr>
                      <w:b/>
                      <w:bCs/>
                      <w:sz w:val="20"/>
                      <w:szCs w:val="20"/>
                    </w:rPr>
                    <w:t>0</w:t>
                  </w:r>
                </w:p>
              </w:tc>
              <w:tc>
                <w:tcPr>
                  <w:tcW w:w="960" w:type="dxa"/>
                  <w:tcBorders>
                    <w:top w:val="single" w:sz="4" w:space="0" w:color="auto"/>
                    <w:left w:val="nil"/>
                    <w:bottom w:val="single" w:sz="8" w:space="0" w:color="auto"/>
                    <w:right w:val="nil"/>
                  </w:tcBorders>
                  <w:shd w:val="clear" w:color="auto" w:fill="auto"/>
                  <w:noWrap/>
                  <w:vAlign w:val="bottom"/>
                  <w:hideMark/>
                </w:tcPr>
                <w:p w:rsidR="00107D56" w:rsidRPr="00107D56" w:rsidRDefault="00107D56" w:rsidP="00107D56">
                  <w:pPr>
                    <w:widowControl/>
                    <w:autoSpaceDE/>
                    <w:autoSpaceDN/>
                    <w:adjustRightInd/>
                    <w:jc w:val="center"/>
                    <w:rPr>
                      <w:b/>
                      <w:bCs/>
                      <w:sz w:val="20"/>
                      <w:szCs w:val="20"/>
                    </w:rPr>
                  </w:pPr>
                  <w:r w:rsidRPr="00107D56">
                    <w:rPr>
                      <w:b/>
                      <w:bCs/>
                      <w:sz w:val="20"/>
                      <w:szCs w:val="20"/>
                    </w:rPr>
                    <w:t>$7,841</w:t>
                  </w:r>
                </w:p>
              </w:tc>
              <w:tc>
                <w:tcPr>
                  <w:tcW w:w="960" w:type="dxa"/>
                  <w:tcBorders>
                    <w:top w:val="single" w:sz="4" w:space="0" w:color="auto"/>
                    <w:left w:val="nil"/>
                    <w:bottom w:val="single" w:sz="8" w:space="0" w:color="auto"/>
                    <w:right w:val="nil"/>
                  </w:tcBorders>
                  <w:shd w:val="clear" w:color="auto" w:fill="auto"/>
                  <w:noWrap/>
                  <w:vAlign w:val="bottom"/>
                  <w:hideMark/>
                </w:tcPr>
                <w:p w:rsidR="00107D56" w:rsidRPr="00107D56" w:rsidRDefault="00107D56" w:rsidP="00107D56">
                  <w:pPr>
                    <w:widowControl/>
                    <w:autoSpaceDE/>
                    <w:autoSpaceDN/>
                    <w:adjustRightInd/>
                    <w:jc w:val="center"/>
                    <w:rPr>
                      <w:b/>
                      <w:bCs/>
                      <w:sz w:val="20"/>
                      <w:szCs w:val="20"/>
                    </w:rPr>
                  </w:pPr>
                  <w:r w:rsidRPr="00107D56">
                    <w:rPr>
                      <w:b/>
                      <w:bCs/>
                      <w:sz w:val="20"/>
                      <w:szCs w:val="20"/>
                    </w:rPr>
                    <w:t>516.2</w:t>
                  </w:r>
                </w:p>
              </w:tc>
            </w:tr>
            <w:tr w:rsidR="00107D56" w:rsidRPr="00107D56" w:rsidTr="00107D56">
              <w:trPr>
                <w:trHeight w:val="255"/>
              </w:trPr>
              <w:tc>
                <w:tcPr>
                  <w:tcW w:w="8780" w:type="dxa"/>
                  <w:gridSpan w:val="7"/>
                  <w:vMerge w:val="restart"/>
                  <w:tcBorders>
                    <w:top w:val="nil"/>
                    <w:left w:val="nil"/>
                    <w:bottom w:val="nil"/>
                    <w:right w:val="nil"/>
                  </w:tcBorders>
                  <w:shd w:val="clear" w:color="auto" w:fill="auto"/>
                  <w:vAlign w:val="bottom"/>
                  <w:hideMark/>
                </w:tcPr>
                <w:p w:rsidR="00107D56" w:rsidRPr="00107D56" w:rsidRDefault="00107D56" w:rsidP="00107D56">
                  <w:pPr>
                    <w:widowControl/>
                    <w:autoSpaceDE/>
                    <w:autoSpaceDN/>
                    <w:adjustRightInd/>
                    <w:rPr>
                      <w:sz w:val="20"/>
                      <w:szCs w:val="20"/>
                    </w:rPr>
                  </w:pPr>
                  <w:r w:rsidRPr="00107D56">
                    <w:rPr>
                      <w:sz w:val="20"/>
                      <w:szCs w:val="20"/>
                    </w:rPr>
                    <w:t>Note: Assumed that 7 percent of large plan process these claims in-house.  Large plans account for 67.8 percent of policy-holders and therefore 4.7 percent of claims are processed in-house</w:t>
                  </w: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rPr>
                      <w:sz w:val="20"/>
                      <w:szCs w:val="20"/>
                    </w:rPr>
                  </w:pPr>
                </w:p>
              </w:tc>
            </w:tr>
            <w:tr w:rsidR="00107D56" w:rsidRPr="00107D56" w:rsidTr="00107D56">
              <w:trPr>
                <w:trHeight w:val="255"/>
              </w:trPr>
              <w:tc>
                <w:tcPr>
                  <w:tcW w:w="8780" w:type="dxa"/>
                  <w:gridSpan w:val="7"/>
                  <w:vMerge/>
                  <w:tcBorders>
                    <w:top w:val="nil"/>
                    <w:left w:val="nil"/>
                    <w:bottom w:val="nil"/>
                    <w:right w:val="nil"/>
                  </w:tcBorders>
                  <w:vAlign w:val="center"/>
                  <w:hideMark/>
                </w:tcPr>
                <w:p w:rsidR="00107D56" w:rsidRPr="00107D56" w:rsidRDefault="00107D56" w:rsidP="00107D56">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107D56" w:rsidRPr="00107D56" w:rsidRDefault="00107D56" w:rsidP="00107D56">
                  <w:pPr>
                    <w:widowControl/>
                    <w:autoSpaceDE/>
                    <w:autoSpaceDN/>
                    <w:adjustRightInd/>
                    <w:rPr>
                      <w:sz w:val="20"/>
                      <w:szCs w:val="20"/>
                    </w:rPr>
                  </w:pPr>
                </w:p>
              </w:tc>
            </w:tr>
          </w:tbl>
          <w:p w:rsidR="00696114" w:rsidRPr="00CF644F" w:rsidRDefault="00696114" w:rsidP="00EF6ED7">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tcPr>
          <w:p w:rsidR="00696114" w:rsidRPr="00CF644F" w:rsidRDefault="00696114" w:rsidP="00EF6ED7">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tcPr>
          <w:p w:rsidR="00696114" w:rsidRPr="00CF644F" w:rsidRDefault="00696114" w:rsidP="00EF6ED7">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tcPr>
          <w:p w:rsidR="00696114" w:rsidRPr="00CF644F" w:rsidRDefault="00696114" w:rsidP="00EF6ED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tcPr>
          <w:p w:rsidR="00696114" w:rsidRPr="00CF644F" w:rsidRDefault="00696114" w:rsidP="00EF6ED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tcPr>
          <w:p w:rsidR="00696114" w:rsidRPr="00CF644F" w:rsidRDefault="00696114" w:rsidP="00EF6ED7">
            <w:pPr>
              <w:widowControl/>
              <w:autoSpaceDE/>
              <w:autoSpaceDN/>
              <w:adjustRightInd/>
              <w:rPr>
                <w:sz w:val="20"/>
                <w:szCs w:val="20"/>
              </w:rPr>
            </w:pPr>
          </w:p>
        </w:tc>
      </w:tr>
    </w:tbl>
    <w:p w:rsidR="00696114" w:rsidRDefault="00696114" w:rsidP="00696114">
      <w:pPr>
        <w:widowControl/>
        <w:ind w:firstLine="720"/>
      </w:pPr>
    </w:p>
    <w:p w:rsidR="00696114" w:rsidRDefault="00696114" w:rsidP="00696114">
      <w:pPr>
        <w:widowControl/>
        <w:ind w:firstLine="720"/>
      </w:pPr>
      <w:r>
        <w:t xml:space="preserve">Total burden hours are estimated at </w:t>
      </w:r>
      <w:r w:rsidR="00107D56">
        <w:t>516</w:t>
      </w:r>
      <w:r w:rsidR="00130B3D">
        <w:t>,</w:t>
      </w:r>
      <w:r w:rsidR="00107D56">
        <w:t xml:space="preserve">200 </w:t>
      </w:r>
      <w:r>
        <w:t>hours</w:t>
      </w:r>
      <w:r w:rsidR="00BF2630">
        <w:t>.  Using the hourly cost of clerical workers ($</w:t>
      </w:r>
      <w:r w:rsidR="00107D56">
        <w:t>54.74</w:t>
      </w:r>
      <w:r w:rsidR="00BF2630">
        <w:t>), doctors ($</w:t>
      </w:r>
      <w:r w:rsidR="00107D56">
        <w:t>157.80</w:t>
      </w:r>
      <w:r w:rsidR="00BF2630">
        <w:t xml:space="preserve">) or </w:t>
      </w:r>
      <w:r w:rsidR="00515885">
        <w:t xml:space="preserve">legal professionals </w:t>
      </w:r>
      <w:r w:rsidR="00BF2630">
        <w:t>(</w:t>
      </w:r>
      <w:r w:rsidR="00107D56">
        <w:t>133.50</w:t>
      </w:r>
      <w:r w:rsidR="00BF2630">
        <w:t>),</w:t>
      </w:r>
      <w:r w:rsidR="00BF2630" w:rsidRPr="002231E4">
        <w:rPr>
          <w:rStyle w:val="FootnoteReference"/>
          <w:vertAlign w:val="superscript"/>
        </w:rPr>
        <w:footnoteReference w:id="3"/>
      </w:r>
      <w:r w:rsidR="00BF2630">
        <w:t xml:space="preserve"> as appropriate, the equivalent costs </w:t>
      </w:r>
      <w:r>
        <w:t xml:space="preserve">are estimated </w:t>
      </w:r>
      <w:r w:rsidR="00BF2630">
        <w:t>to be</w:t>
      </w:r>
      <w:r>
        <w:t xml:space="preserve"> $</w:t>
      </w:r>
      <w:r w:rsidR="00107D56">
        <w:t>56,285,200</w:t>
      </w:r>
      <w:r>
        <w:t>.</w:t>
      </w:r>
    </w:p>
    <w:p w:rsidR="00696114" w:rsidRDefault="00696114" w:rsidP="00E431D2">
      <w:pPr>
        <w:widowControl/>
      </w:pPr>
    </w:p>
    <w:p w:rsidR="00FC2F3E" w:rsidRDefault="00FC2F3E">
      <w:pPr>
        <w:pStyle w:val="Quick1"/>
        <w:widowControl/>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i/>
          <w:iCs/>
          <w:sz w:val="20"/>
        </w:rPr>
        <w:t xml:space="preserve">Provide an estimate of the total annual cost burden to respondents or </w:t>
      </w:r>
      <w:proofErr w:type="spellStart"/>
      <w:r>
        <w:rPr>
          <w:i/>
          <w:iCs/>
          <w:sz w:val="20"/>
        </w:rPr>
        <w:t>recordkeepers</w:t>
      </w:r>
      <w:proofErr w:type="spellEnd"/>
      <w:r>
        <w:rPr>
          <w:i/>
          <w:iCs/>
          <w:sz w:val="20"/>
        </w:rPr>
        <w:t xml:space="preserve"> resulting from the collection of information.  (Do not include the cost of any hour burden shown in Items 12 or 14).</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96114" w:rsidRDefault="00A71122" w:rsidP="006961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696114">
        <w:t xml:space="preserve">As indicated in question 12, the bulk of these claims will be processed by third-party service providers.  Total costs </w:t>
      </w:r>
      <w:r w:rsidR="00BF2630">
        <w:t>are</w:t>
      </w:r>
      <w:r w:rsidR="00696114">
        <w:t xml:space="preserve"> estimated by multiplying the number of responses by the amount of time required to prepare the documents and then multiplying this by the appropriate hourly cost</w:t>
      </w:r>
      <w:r w:rsidR="00BF2630">
        <w:t xml:space="preserve"> from question 12</w:t>
      </w:r>
      <w:r w:rsidR="00696114">
        <w:t>, and then adding the cost of copying and mailing responses (0.</w:t>
      </w:r>
      <w:r w:rsidR="00D42CF9">
        <w:t xml:space="preserve">57 </w:t>
      </w:r>
      <w:r w:rsidR="00696114">
        <w:t>each for those not sent electronically).  These costs are described below:</w:t>
      </w:r>
    </w:p>
    <w:p w:rsidR="00F5040F" w:rsidRDefault="00F5040F" w:rsidP="006961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5040F" w:rsidRDefault="00F5040F" w:rsidP="006961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96114" w:rsidRDefault="00696114" w:rsidP="006961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15243" w:type="dxa"/>
        <w:tblInd w:w="93" w:type="dxa"/>
        <w:tblLook w:val="0000" w:firstRow="0" w:lastRow="0" w:firstColumn="0" w:lastColumn="0" w:noHBand="0" w:noVBand="0"/>
      </w:tblPr>
      <w:tblGrid>
        <w:gridCol w:w="9963"/>
        <w:gridCol w:w="1120"/>
        <w:gridCol w:w="1120"/>
        <w:gridCol w:w="1120"/>
        <w:gridCol w:w="960"/>
        <w:gridCol w:w="960"/>
      </w:tblGrid>
      <w:tr w:rsidR="00696114" w:rsidRPr="00CF644F" w:rsidTr="005B50D4">
        <w:trPr>
          <w:trHeight w:val="270"/>
        </w:trPr>
        <w:tc>
          <w:tcPr>
            <w:tcW w:w="9963" w:type="dxa"/>
            <w:tcBorders>
              <w:top w:val="nil"/>
              <w:left w:val="nil"/>
              <w:bottom w:val="nil"/>
              <w:right w:val="nil"/>
            </w:tcBorders>
            <w:shd w:val="clear" w:color="auto" w:fill="auto"/>
            <w:noWrap/>
            <w:vAlign w:val="bottom"/>
          </w:tcPr>
          <w:tbl>
            <w:tblPr>
              <w:tblW w:w="9740" w:type="dxa"/>
              <w:tblLook w:val="04A0" w:firstRow="1" w:lastRow="0" w:firstColumn="1" w:lastColumn="0" w:noHBand="0" w:noVBand="1"/>
            </w:tblPr>
            <w:tblGrid>
              <w:gridCol w:w="2267"/>
              <w:gridCol w:w="981"/>
              <w:gridCol w:w="1212"/>
              <w:gridCol w:w="1120"/>
              <w:gridCol w:w="1120"/>
              <w:gridCol w:w="1120"/>
              <w:gridCol w:w="960"/>
              <w:gridCol w:w="966"/>
            </w:tblGrid>
            <w:tr w:rsidR="00D42CF9" w:rsidRPr="00D42CF9" w:rsidTr="00D42CF9">
              <w:trPr>
                <w:trHeight w:val="270"/>
              </w:trPr>
              <w:tc>
                <w:tcPr>
                  <w:tcW w:w="4460" w:type="dxa"/>
                  <w:gridSpan w:val="3"/>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rPr>
                      <w:sz w:val="20"/>
                      <w:szCs w:val="20"/>
                    </w:rPr>
                  </w:pPr>
                  <w:r w:rsidRPr="00D42CF9">
                    <w:rPr>
                      <w:sz w:val="20"/>
                      <w:szCs w:val="20"/>
                    </w:rPr>
                    <w:t>Table 3.--</w:t>
                  </w:r>
                  <w:r w:rsidRPr="00D42CF9">
                    <w:rPr>
                      <w:i/>
                      <w:iCs/>
                      <w:sz w:val="20"/>
                      <w:szCs w:val="20"/>
                    </w:rPr>
                    <w:t>Out-House Burden Cost (in thousands)</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rPr>
                      <w:sz w:val="20"/>
                      <w:szCs w:val="20"/>
                    </w:rPr>
                  </w:pPr>
                </w:p>
              </w:tc>
            </w:tr>
            <w:tr w:rsidR="00D42CF9" w:rsidRPr="00D42CF9" w:rsidTr="00D42CF9">
              <w:trPr>
                <w:trHeight w:val="255"/>
              </w:trPr>
              <w:tc>
                <w:tcPr>
                  <w:tcW w:w="2267" w:type="dxa"/>
                  <w:tcBorders>
                    <w:top w:val="single" w:sz="8" w:space="0" w:color="auto"/>
                    <w:left w:val="nil"/>
                    <w:bottom w:val="nil"/>
                    <w:right w:val="nil"/>
                  </w:tcBorders>
                  <w:shd w:val="clear" w:color="auto" w:fill="auto"/>
                  <w:noWrap/>
                  <w:vAlign w:val="bottom"/>
                  <w:hideMark/>
                </w:tcPr>
                <w:p w:rsidR="00D42CF9" w:rsidRPr="00D42CF9" w:rsidRDefault="00D42CF9" w:rsidP="00D42CF9">
                  <w:pPr>
                    <w:widowControl/>
                    <w:autoSpaceDE/>
                    <w:autoSpaceDN/>
                    <w:adjustRightInd/>
                    <w:rPr>
                      <w:sz w:val="20"/>
                      <w:szCs w:val="20"/>
                    </w:rPr>
                  </w:pPr>
                  <w:r w:rsidRPr="00D42CF9">
                    <w:rPr>
                      <w:sz w:val="20"/>
                      <w:szCs w:val="20"/>
                    </w:rPr>
                    <w:t> </w:t>
                  </w:r>
                </w:p>
              </w:tc>
              <w:tc>
                <w:tcPr>
                  <w:tcW w:w="981" w:type="dxa"/>
                  <w:vMerge w:val="restart"/>
                  <w:tcBorders>
                    <w:top w:val="single" w:sz="8" w:space="0" w:color="auto"/>
                    <w:left w:val="nil"/>
                    <w:bottom w:val="single" w:sz="8" w:space="0" w:color="000000"/>
                    <w:right w:val="nil"/>
                  </w:tcBorders>
                  <w:shd w:val="clear" w:color="auto" w:fill="auto"/>
                  <w:noWrap/>
                  <w:vAlign w:val="center"/>
                  <w:hideMark/>
                </w:tcPr>
                <w:p w:rsidR="00D42CF9" w:rsidRPr="00D42CF9" w:rsidRDefault="00D42CF9" w:rsidP="00D42CF9">
                  <w:pPr>
                    <w:widowControl/>
                    <w:autoSpaceDE/>
                    <w:autoSpaceDN/>
                    <w:adjustRightInd/>
                    <w:jc w:val="center"/>
                    <w:rPr>
                      <w:sz w:val="20"/>
                      <w:szCs w:val="20"/>
                    </w:rPr>
                  </w:pPr>
                  <w:r w:rsidRPr="00D42CF9">
                    <w:rPr>
                      <w:sz w:val="20"/>
                      <w:szCs w:val="20"/>
                    </w:rPr>
                    <w:t>Health</w:t>
                  </w:r>
                </w:p>
              </w:tc>
              <w:tc>
                <w:tcPr>
                  <w:tcW w:w="2332" w:type="dxa"/>
                  <w:gridSpan w:val="2"/>
                  <w:tcBorders>
                    <w:top w:val="single" w:sz="8" w:space="0" w:color="auto"/>
                    <w:left w:val="nil"/>
                    <w:bottom w:val="single" w:sz="4" w:space="0" w:color="auto"/>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Disability</w:t>
                  </w:r>
                </w:p>
              </w:tc>
              <w:tc>
                <w:tcPr>
                  <w:tcW w:w="1120" w:type="dxa"/>
                  <w:vMerge w:val="restart"/>
                  <w:tcBorders>
                    <w:top w:val="single" w:sz="8" w:space="0" w:color="auto"/>
                    <w:left w:val="nil"/>
                    <w:bottom w:val="single" w:sz="8" w:space="0" w:color="000000"/>
                    <w:right w:val="nil"/>
                  </w:tcBorders>
                  <w:shd w:val="clear" w:color="auto" w:fill="auto"/>
                  <w:noWrap/>
                  <w:vAlign w:val="center"/>
                  <w:hideMark/>
                </w:tcPr>
                <w:p w:rsidR="00D42CF9" w:rsidRPr="00D42CF9" w:rsidRDefault="00D42CF9" w:rsidP="00D42CF9">
                  <w:pPr>
                    <w:widowControl/>
                    <w:autoSpaceDE/>
                    <w:autoSpaceDN/>
                    <w:adjustRightInd/>
                    <w:jc w:val="center"/>
                    <w:rPr>
                      <w:sz w:val="20"/>
                      <w:szCs w:val="20"/>
                    </w:rPr>
                  </w:pPr>
                  <w:r w:rsidRPr="00D42CF9">
                    <w:rPr>
                      <w:sz w:val="20"/>
                      <w:szCs w:val="20"/>
                    </w:rPr>
                    <w:t>Pension</w:t>
                  </w:r>
                </w:p>
              </w:tc>
              <w:tc>
                <w:tcPr>
                  <w:tcW w:w="1120" w:type="dxa"/>
                  <w:vMerge w:val="restart"/>
                  <w:tcBorders>
                    <w:top w:val="single" w:sz="8" w:space="0" w:color="auto"/>
                    <w:left w:val="nil"/>
                    <w:bottom w:val="single" w:sz="8" w:space="0" w:color="000000"/>
                    <w:right w:val="nil"/>
                  </w:tcBorders>
                  <w:shd w:val="clear" w:color="auto" w:fill="auto"/>
                  <w:noWrap/>
                  <w:vAlign w:val="center"/>
                  <w:hideMark/>
                </w:tcPr>
                <w:p w:rsidR="00D42CF9" w:rsidRPr="00D42CF9" w:rsidRDefault="00D42CF9" w:rsidP="00D42CF9">
                  <w:pPr>
                    <w:widowControl/>
                    <w:autoSpaceDE/>
                    <w:autoSpaceDN/>
                    <w:adjustRightInd/>
                    <w:jc w:val="center"/>
                    <w:rPr>
                      <w:sz w:val="20"/>
                      <w:szCs w:val="20"/>
                    </w:rPr>
                  </w:pPr>
                  <w:r w:rsidRPr="00D42CF9">
                    <w:rPr>
                      <w:sz w:val="20"/>
                      <w:szCs w:val="20"/>
                    </w:rPr>
                    <w:t>Other</w:t>
                  </w:r>
                </w:p>
              </w:tc>
              <w:tc>
                <w:tcPr>
                  <w:tcW w:w="960" w:type="dxa"/>
                  <w:vMerge w:val="restart"/>
                  <w:tcBorders>
                    <w:top w:val="single" w:sz="8" w:space="0" w:color="auto"/>
                    <w:left w:val="nil"/>
                    <w:bottom w:val="single" w:sz="8" w:space="0" w:color="000000"/>
                    <w:right w:val="nil"/>
                  </w:tcBorders>
                  <w:shd w:val="clear" w:color="auto" w:fill="auto"/>
                  <w:vAlign w:val="center"/>
                  <w:hideMark/>
                </w:tcPr>
                <w:p w:rsidR="00D42CF9" w:rsidRPr="00D42CF9" w:rsidRDefault="00D42CF9" w:rsidP="00D42CF9">
                  <w:pPr>
                    <w:widowControl/>
                    <w:autoSpaceDE/>
                    <w:autoSpaceDN/>
                    <w:adjustRightInd/>
                    <w:jc w:val="center"/>
                    <w:rPr>
                      <w:sz w:val="20"/>
                      <w:szCs w:val="20"/>
                    </w:rPr>
                  </w:pPr>
                  <w:r w:rsidRPr="00D42CF9">
                    <w:rPr>
                      <w:sz w:val="20"/>
                      <w:szCs w:val="20"/>
                    </w:rPr>
                    <w:t>Mailing Cost</w:t>
                  </w:r>
                </w:p>
              </w:tc>
              <w:tc>
                <w:tcPr>
                  <w:tcW w:w="960" w:type="dxa"/>
                  <w:vMerge w:val="restart"/>
                  <w:tcBorders>
                    <w:top w:val="single" w:sz="8" w:space="0" w:color="auto"/>
                    <w:left w:val="nil"/>
                    <w:bottom w:val="single" w:sz="8" w:space="0" w:color="000000"/>
                    <w:right w:val="nil"/>
                  </w:tcBorders>
                  <w:shd w:val="clear" w:color="auto" w:fill="auto"/>
                  <w:vAlign w:val="center"/>
                  <w:hideMark/>
                </w:tcPr>
                <w:p w:rsidR="00D42CF9" w:rsidRPr="00D42CF9" w:rsidRDefault="00D42CF9" w:rsidP="00D42CF9">
                  <w:pPr>
                    <w:widowControl/>
                    <w:autoSpaceDE/>
                    <w:autoSpaceDN/>
                    <w:adjustRightInd/>
                    <w:jc w:val="center"/>
                    <w:rPr>
                      <w:sz w:val="20"/>
                      <w:szCs w:val="20"/>
                    </w:rPr>
                  </w:pPr>
                  <w:r w:rsidRPr="00D42CF9">
                    <w:rPr>
                      <w:sz w:val="20"/>
                      <w:szCs w:val="20"/>
                    </w:rPr>
                    <w:t>Total Costs</w:t>
                  </w:r>
                </w:p>
              </w:tc>
            </w:tr>
            <w:tr w:rsidR="00D42CF9" w:rsidRPr="00D42CF9" w:rsidTr="00D42CF9">
              <w:trPr>
                <w:trHeight w:val="270"/>
              </w:trPr>
              <w:tc>
                <w:tcPr>
                  <w:tcW w:w="2267" w:type="dxa"/>
                  <w:tcBorders>
                    <w:top w:val="nil"/>
                    <w:left w:val="nil"/>
                    <w:bottom w:val="single" w:sz="8" w:space="0" w:color="auto"/>
                    <w:right w:val="nil"/>
                  </w:tcBorders>
                  <w:shd w:val="clear" w:color="auto" w:fill="auto"/>
                  <w:noWrap/>
                  <w:vAlign w:val="bottom"/>
                  <w:hideMark/>
                </w:tcPr>
                <w:p w:rsidR="00D42CF9" w:rsidRPr="00D42CF9" w:rsidRDefault="00D42CF9" w:rsidP="00D42CF9">
                  <w:pPr>
                    <w:widowControl/>
                    <w:autoSpaceDE/>
                    <w:autoSpaceDN/>
                    <w:adjustRightInd/>
                    <w:rPr>
                      <w:sz w:val="20"/>
                      <w:szCs w:val="20"/>
                    </w:rPr>
                  </w:pPr>
                  <w:r w:rsidRPr="00D42CF9">
                    <w:rPr>
                      <w:sz w:val="20"/>
                      <w:szCs w:val="20"/>
                    </w:rPr>
                    <w:t> </w:t>
                  </w:r>
                </w:p>
              </w:tc>
              <w:tc>
                <w:tcPr>
                  <w:tcW w:w="981" w:type="dxa"/>
                  <w:vMerge/>
                  <w:tcBorders>
                    <w:top w:val="single" w:sz="8" w:space="0" w:color="auto"/>
                    <w:left w:val="nil"/>
                    <w:bottom w:val="single" w:sz="8" w:space="0" w:color="000000"/>
                    <w:right w:val="nil"/>
                  </w:tcBorders>
                  <w:vAlign w:val="center"/>
                  <w:hideMark/>
                </w:tcPr>
                <w:p w:rsidR="00D42CF9" w:rsidRPr="00D42CF9" w:rsidRDefault="00D42CF9" w:rsidP="00D42CF9">
                  <w:pPr>
                    <w:widowControl/>
                    <w:autoSpaceDE/>
                    <w:autoSpaceDN/>
                    <w:adjustRightInd/>
                    <w:rPr>
                      <w:sz w:val="20"/>
                      <w:szCs w:val="20"/>
                    </w:rPr>
                  </w:pPr>
                </w:p>
              </w:tc>
              <w:tc>
                <w:tcPr>
                  <w:tcW w:w="1212" w:type="dxa"/>
                  <w:tcBorders>
                    <w:top w:val="nil"/>
                    <w:left w:val="nil"/>
                    <w:bottom w:val="single" w:sz="8" w:space="0" w:color="auto"/>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Short-Term</w:t>
                  </w:r>
                </w:p>
              </w:tc>
              <w:tc>
                <w:tcPr>
                  <w:tcW w:w="1120" w:type="dxa"/>
                  <w:tcBorders>
                    <w:top w:val="nil"/>
                    <w:left w:val="nil"/>
                    <w:bottom w:val="single" w:sz="8" w:space="0" w:color="auto"/>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Long-Term</w:t>
                  </w:r>
                </w:p>
              </w:tc>
              <w:tc>
                <w:tcPr>
                  <w:tcW w:w="1120" w:type="dxa"/>
                  <w:vMerge/>
                  <w:tcBorders>
                    <w:top w:val="single" w:sz="8" w:space="0" w:color="auto"/>
                    <w:left w:val="nil"/>
                    <w:bottom w:val="single" w:sz="8" w:space="0" w:color="000000"/>
                    <w:right w:val="nil"/>
                  </w:tcBorders>
                  <w:vAlign w:val="center"/>
                  <w:hideMark/>
                </w:tcPr>
                <w:p w:rsidR="00D42CF9" w:rsidRPr="00D42CF9" w:rsidRDefault="00D42CF9" w:rsidP="00D42CF9">
                  <w:pPr>
                    <w:widowControl/>
                    <w:autoSpaceDE/>
                    <w:autoSpaceDN/>
                    <w:adjustRightInd/>
                    <w:rPr>
                      <w:sz w:val="20"/>
                      <w:szCs w:val="20"/>
                    </w:rPr>
                  </w:pPr>
                </w:p>
              </w:tc>
              <w:tc>
                <w:tcPr>
                  <w:tcW w:w="1120" w:type="dxa"/>
                  <w:vMerge/>
                  <w:tcBorders>
                    <w:top w:val="single" w:sz="8" w:space="0" w:color="auto"/>
                    <w:left w:val="nil"/>
                    <w:bottom w:val="single" w:sz="8" w:space="0" w:color="000000"/>
                    <w:right w:val="nil"/>
                  </w:tcBorders>
                  <w:vAlign w:val="center"/>
                  <w:hideMark/>
                </w:tcPr>
                <w:p w:rsidR="00D42CF9" w:rsidRPr="00D42CF9" w:rsidRDefault="00D42CF9" w:rsidP="00D42CF9">
                  <w:pPr>
                    <w:widowControl/>
                    <w:autoSpaceDE/>
                    <w:autoSpaceDN/>
                    <w:adjustRightInd/>
                    <w:rPr>
                      <w:sz w:val="20"/>
                      <w:szCs w:val="20"/>
                    </w:rPr>
                  </w:pPr>
                </w:p>
              </w:tc>
              <w:tc>
                <w:tcPr>
                  <w:tcW w:w="960" w:type="dxa"/>
                  <w:vMerge/>
                  <w:tcBorders>
                    <w:top w:val="single" w:sz="8" w:space="0" w:color="auto"/>
                    <w:left w:val="nil"/>
                    <w:bottom w:val="single" w:sz="8" w:space="0" w:color="000000"/>
                    <w:right w:val="nil"/>
                  </w:tcBorders>
                  <w:vAlign w:val="center"/>
                  <w:hideMark/>
                </w:tcPr>
                <w:p w:rsidR="00D42CF9" w:rsidRPr="00D42CF9" w:rsidRDefault="00D42CF9" w:rsidP="00D42CF9">
                  <w:pPr>
                    <w:widowControl/>
                    <w:autoSpaceDE/>
                    <w:autoSpaceDN/>
                    <w:adjustRightInd/>
                    <w:rPr>
                      <w:sz w:val="20"/>
                      <w:szCs w:val="20"/>
                    </w:rPr>
                  </w:pPr>
                </w:p>
              </w:tc>
              <w:tc>
                <w:tcPr>
                  <w:tcW w:w="960" w:type="dxa"/>
                  <w:vMerge/>
                  <w:tcBorders>
                    <w:top w:val="single" w:sz="8" w:space="0" w:color="auto"/>
                    <w:left w:val="nil"/>
                    <w:bottom w:val="single" w:sz="8" w:space="0" w:color="000000"/>
                    <w:right w:val="nil"/>
                  </w:tcBorders>
                  <w:vAlign w:val="center"/>
                  <w:hideMark/>
                </w:tcPr>
                <w:p w:rsidR="00D42CF9" w:rsidRPr="00D42CF9" w:rsidRDefault="00D42CF9" w:rsidP="00D42CF9">
                  <w:pPr>
                    <w:widowControl/>
                    <w:autoSpaceDE/>
                    <w:autoSpaceDN/>
                    <w:adjustRightInd/>
                    <w:rPr>
                      <w:sz w:val="20"/>
                      <w:szCs w:val="20"/>
                    </w:rPr>
                  </w:pPr>
                </w:p>
              </w:tc>
            </w:tr>
            <w:tr w:rsidR="00D42CF9" w:rsidRPr="00D42CF9" w:rsidTr="00D42CF9">
              <w:trPr>
                <w:trHeight w:val="255"/>
              </w:trPr>
              <w:tc>
                <w:tcPr>
                  <w:tcW w:w="2267"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rPr>
                      <w:sz w:val="20"/>
                      <w:szCs w:val="20"/>
                    </w:rPr>
                  </w:pPr>
                  <w:r w:rsidRPr="00D42CF9">
                    <w:rPr>
                      <w:sz w:val="20"/>
                      <w:szCs w:val="20"/>
                    </w:rPr>
                    <w:t>Pre-Service</w:t>
                  </w:r>
                </w:p>
              </w:tc>
              <w:tc>
                <w:tcPr>
                  <w:tcW w:w="981"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rPr>
                      <w:sz w:val="20"/>
                      <w:szCs w:val="20"/>
                    </w:rPr>
                  </w:pPr>
                </w:p>
              </w:tc>
              <w:tc>
                <w:tcPr>
                  <w:tcW w:w="1212"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rPr>
                      <w:sz w:val="20"/>
                      <w:szCs w:val="20"/>
                    </w:rPr>
                  </w:pPr>
                </w:p>
              </w:tc>
            </w:tr>
            <w:tr w:rsidR="00D42CF9" w:rsidRPr="00D42CF9" w:rsidTr="00D42CF9">
              <w:trPr>
                <w:trHeight w:val="255"/>
              </w:trPr>
              <w:tc>
                <w:tcPr>
                  <w:tcW w:w="2267"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ind w:firstLineChars="100" w:firstLine="200"/>
                    <w:rPr>
                      <w:sz w:val="20"/>
                      <w:szCs w:val="20"/>
                    </w:rPr>
                  </w:pPr>
                  <w:r w:rsidRPr="00D42CF9">
                    <w:rPr>
                      <w:sz w:val="20"/>
                      <w:szCs w:val="20"/>
                    </w:rPr>
                    <w:t>Claim Approved</w:t>
                  </w:r>
                </w:p>
              </w:tc>
              <w:tc>
                <w:tcPr>
                  <w:tcW w:w="981"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$29,389</w:t>
                  </w:r>
                </w:p>
              </w:tc>
              <w:tc>
                <w:tcPr>
                  <w:tcW w:w="1212"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$4,590</w:t>
                  </w: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$33,979</w:t>
                  </w:r>
                </w:p>
              </w:tc>
            </w:tr>
            <w:tr w:rsidR="00D42CF9" w:rsidRPr="00D42CF9" w:rsidTr="00D42CF9">
              <w:trPr>
                <w:trHeight w:val="255"/>
              </w:trPr>
              <w:tc>
                <w:tcPr>
                  <w:tcW w:w="2267"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ind w:firstLineChars="100" w:firstLine="200"/>
                    <w:rPr>
                      <w:sz w:val="20"/>
                      <w:szCs w:val="20"/>
                    </w:rPr>
                  </w:pPr>
                  <w:r w:rsidRPr="00D42CF9">
                    <w:rPr>
                      <w:sz w:val="20"/>
                      <w:szCs w:val="20"/>
                    </w:rPr>
                    <w:t>Claim Denied</w:t>
                  </w:r>
                </w:p>
              </w:tc>
              <w:tc>
                <w:tcPr>
                  <w:tcW w:w="981"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$10,372</w:t>
                  </w:r>
                </w:p>
              </w:tc>
              <w:tc>
                <w:tcPr>
                  <w:tcW w:w="1212"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$810</w:t>
                  </w: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$11,182</w:t>
                  </w:r>
                </w:p>
              </w:tc>
            </w:tr>
            <w:tr w:rsidR="00D42CF9" w:rsidRPr="00D42CF9" w:rsidTr="00D42CF9">
              <w:trPr>
                <w:trHeight w:val="255"/>
              </w:trPr>
              <w:tc>
                <w:tcPr>
                  <w:tcW w:w="2267"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rPr>
                      <w:sz w:val="20"/>
                      <w:szCs w:val="20"/>
                    </w:rPr>
                  </w:pPr>
                  <w:r w:rsidRPr="00D42CF9">
                    <w:rPr>
                      <w:sz w:val="20"/>
                      <w:szCs w:val="20"/>
                    </w:rPr>
                    <w:t>Post-Service</w:t>
                  </w:r>
                </w:p>
              </w:tc>
              <w:tc>
                <w:tcPr>
                  <w:tcW w:w="981"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p>
              </w:tc>
              <w:tc>
                <w:tcPr>
                  <w:tcW w:w="1212"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rPr>
                      <w:sz w:val="20"/>
                      <w:szCs w:val="20"/>
                    </w:rPr>
                  </w:pPr>
                </w:p>
              </w:tc>
            </w:tr>
            <w:tr w:rsidR="00D42CF9" w:rsidRPr="00D42CF9" w:rsidTr="00D42CF9">
              <w:trPr>
                <w:trHeight w:val="255"/>
              </w:trPr>
              <w:tc>
                <w:tcPr>
                  <w:tcW w:w="2267"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ind w:firstLineChars="100" w:firstLine="200"/>
                    <w:rPr>
                      <w:sz w:val="20"/>
                      <w:szCs w:val="20"/>
                    </w:rPr>
                  </w:pPr>
                  <w:r w:rsidRPr="00D42CF9">
                    <w:rPr>
                      <w:sz w:val="20"/>
                      <w:szCs w:val="20"/>
                    </w:rPr>
                    <w:t>Claim Denied</w:t>
                  </w:r>
                </w:p>
              </w:tc>
              <w:tc>
                <w:tcPr>
                  <w:tcW w:w="981"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$335,376</w:t>
                  </w:r>
                </w:p>
              </w:tc>
              <w:tc>
                <w:tcPr>
                  <w:tcW w:w="1212"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$6,417</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$80,508</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$79</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$40</w:t>
                  </w: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$27,905</w:t>
                  </w: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$450,325</w:t>
                  </w:r>
                </w:p>
              </w:tc>
            </w:tr>
            <w:tr w:rsidR="00D42CF9" w:rsidRPr="00D42CF9" w:rsidTr="00D42CF9">
              <w:trPr>
                <w:trHeight w:val="255"/>
              </w:trPr>
              <w:tc>
                <w:tcPr>
                  <w:tcW w:w="2267"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ind w:firstLineChars="100" w:firstLine="200"/>
                    <w:rPr>
                      <w:sz w:val="20"/>
                      <w:szCs w:val="20"/>
                    </w:rPr>
                  </w:pPr>
                  <w:r w:rsidRPr="00D42CF9">
                    <w:rPr>
                      <w:sz w:val="20"/>
                      <w:szCs w:val="20"/>
                    </w:rPr>
                    <w:t>Claim Extended</w:t>
                  </w:r>
                </w:p>
              </w:tc>
              <w:tc>
                <w:tcPr>
                  <w:tcW w:w="981"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$67,075</w:t>
                  </w:r>
                </w:p>
              </w:tc>
              <w:tc>
                <w:tcPr>
                  <w:tcW w:w="1212"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$1,070</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$10,734</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$0</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$0</w:t>
                  </w: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$11,112</w:t>
                  </w: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$89,991</w:t>
                  </w:r>
                </w:p>
              </w:tc>
            </w:tr>
            <w:tr w:rsidR="00D42CF9" w:rsidRPr="00D42CF9" w:rsidTr="00D42CF9">
              <w:trPr>
                <w:trHeight w:val="255"/>
              </w:trPr>
              <w:tc>
                <w:tcPr>
                  <w:tcW w:w="2267"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rPr>
                      <w:sz w:val="20"/>
                      <w:szCs w:val="20"/>
                    </w:rPr>
                  </w:pPr>
                  <w:r w:rsidRPr="00D42CF9">
                    <w:rPr>
                      <w:sz w:val="20"/>
                      <w:szCs w:val="20"/>
                    </w:rPr>
                    <w:lastRenderedPageBreak/>
                    <w:t>Denial Appeal</w:t>
                  </w:r>
                </w:p>
              </w:tc>
              <w:tc>
                <w:tcPr>
                  <w:tcW w:w="981"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p>
              </w:tc>
              <w:tc>
                <w:tcPr>
                  <w:tcW w:w="1212"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rPr>
                      <w:sz w:val="20"/>
                      <w:szCs w:val="20"/>
                    </w:rPr>
                  </w:pPr>
                </w:p>
              </w:tc>
            </w:tr>
            <w:tr w:rsidR="00D42CF9" w:rsidRPr="00D42CF9" w:rsidTr="00D42CF9">
              <w:trPr>
                <w:trHeight w:val="255"/>
              </w:trPr>
              <w:tc>
                <w:tcPr>
                  <w:tcW w:w="2267"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ind w:firstLineChars="100" w:firstLine="200"/>
                    <w:rPr>
                      <w:sz w:val="20"/>
                      <w:szCs w:val="20"/>
                    </w:rPr>
                  </w:pPr>
                  <w:r w:rsidRPr="00D42CF9">
                    <w:rPr>
                      <w:sz w:val="20"/>
                      <w:szCs w:val="20"/>
                    </w:rPr>
                    <w:t>Total</w:t>
                  </w:r>
                </w:p>
              </w:tc>
              <w:tc>
                <w:tcPr>
                  <w:tcW w:w="981"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$200,156</w:t>
                  </w:r>
                </w:p>
              </w:tc>
              <w:tc>
                <w:tcPr>
                  <w:tcW w:w="1212"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$649</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$4,146</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$20</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$10</w:t>
                  </w: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$344</w:t>
                  </w: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$205,326</w:t>
                  </w:r>
                </w:p>
              </w:tc>
            </w:tr>
            <w:tr w:rsidR="00D42CF9" w:rsidRPr="00D42CF9" w:rsidTr="00D42CF9">
              <w:trPr>
                <w:trHeight w:val="255"/>
              </w:trPr>
              <w:tc>
                <w:tcPr>
                  <w:tcW w:w="2267"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ind w:firstLineChars="200" w:firstLine="400"/>
                    <w:rPr>
                      <w:sz w:val="20"/>
                      <w:szCs w:val="20"/>
                    </w:rPr>
                  </w:pPr>
                  <w:r w:rsidRPr="00D42CF9">
                    <w:rPr>
                      <w:sz w:val="20"/>
                      <w:szCs w:val="20"/>
                    </w:rPr>
                    <w:t>Appeal Approved</w:t>
                  </w:r>
                </w:p>
              </w:tc>
              <w:tc>
                <w:tcPr>
                  <w:tcW w:w="981"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$47,991</w:t>
                  </w:r>
                </w:p>
              </w:tc>
              <w:tc>
                <w:tcPr>
                  <w:tcW w:w="1212"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$7</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$24</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$1</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$0</w:t>
                  </w: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$115</w:t>
                  </w: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$48,139</w:t>
                  </w:r>
                </w:p>
              </w:tc>
            </w:tr>
            <w:tr w:rsidR="00D42CF9" w:rsidRPr="00D42CF9" w:rsidTr="00D42CF9">
              <w:trPr>
                <w:trHeight w:val="255"/>
              </w:trPr>
              <w:tc>
                <w:tcPr>
                  <w:tcW w:w="2267"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ind w:firstLineChars="200" w:firstLine="400"/>
                    <w:rPr>
                      <w:sz w:val="20"/>
                      <w:szCs w:val="20"/>
                    </w:rPr>
                  </w:pPr>
                  <w:r w:rsidRPr="00D42CF9">
                    <w:rPr>
                      <w:sz w:val="20"/>
                      <w:szCs w:val="20"/>
                    </w:rPr>
                    <w:t>Appeal Denied</w:t>
                  </w:r>
                </w:p>
              </w:tc>
              <w:tc>
                <w:tcPr>
                  <w:tcW w:w="981"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$152,165</w:t>
                  </w:r>
                </w:p>
              </w:tc>
              <w:tc>
                <w:tcPr>
                  <w:tcW w:w="1212"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$642</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$4,122</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$19</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$10</w:t>
                  </w: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$167</w:t>
                  </w: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$157,124</w:t>
                  </w:r>
                </w:p>
              </w:tc>
            </w:tr>
            <w:tr w:rsidR="00D42CF9" w:rsidRPr="00D42CF9" w:rsidTr="00D42CF9">
              <w:trPr>
                <w:trHeight w:val="255"/>
              </w:trPr>
              <w:tc>
                <w:tcPr>
                  <w:tcW w:w="2267"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ind w:firstLineChars="100" w:firstLine="200"/>
                    <w:rPr>
                      <w:sz w:val="20"/>
                      <w:szCs w:val="20"/>
                    </w:rPr>
                  </w:pPr>
                  <w:r w:rsidRPr="00D42CF9">
                    <w:rPr>
                      <w:sz w:val="20"/>
                      <w:szCs w:val="20"/>
                    </w:rPr>
                    <w:t>Medical</w:t>
                  </w:r>
                </w:p>
              </w:tc>
              <w:tc>
                <w:tcPr>
                  <w:tcW w:w="981"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$150,235</w:t>
                  </w:r>
                </w:p>
              </w:tc>
              <w:tc>
                <w:tcPr>
                  <w:tcW w:w="1212"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$150,235</w:t>
                  </w:r>
                </w:p>
              </w:tc>
            </w:tr>
            <w:tr w:rsidR="00D42CF9" w:rsidRPr="00D42CF9" w:rsidTr="00D42CF9">
              <w:trPr>
                <w:trHeight w:val="255"/>
              </w:trPr>
              <w:tc>
                <w:tcPr>
                  <w:tcW w:w="2267"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ind w:firstLineChars="200" w:firstLine="400"/>
                    <w:rPr>
                      <w:sz w:val="20"/>
                      <w:szCs w:val="20"/>
                    </w:rPr>
                  </w:pPr>
                  <w:r w:rsidRPr="00D42CF9">
                    <w:rPr>
                      <w:sz w:val="20"/>
                      <w:szCs w:val="20"/>
                    </w:rPr>
                    <w:t>Claim Approved</w:t>
                  </w:r>
                </w:p>
              </w:tc>
              <w:tc>
                <w:tcPr>
                  <w:tcW w:w="981"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$47,443</w:t>
                  </w:r>
                </w:p>
              </w:tc>
              <w:tc>
                <w:tcPr>
                  <w:tcW w:w="1212"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$47,443</w:t>
                  </w:r>
                </w:p>
              </w:tc>
            </w:tr>
            <w:tr w:rsidR="00D42CF9" w:rsidRPr="00D42CF9" w:rsidTr="00D42CF9">
              <w:trPr>
                <w:trHeight w:val="270"/>
              </w:trPr>
              <w:tc>
                <w:tcPr>
                  <w:tcW w:w="2267"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ind w:firstLineChars="200" w:firstLine="400"/>
                    <w:rPr>
                      <w:sz w:val="20"/>
                      <w:szCs w:val="20"/>
                    </w:rPr>
                  </w:pPr>
                  <w:r w:rsidRPr="00D42CF9">
                    <w:rPr>
                      <w:sz w:val="20"/>
                      <w:szCs w:val="20"/>
                    </w:rPr>
                    <w:t>Claim Denied</w:t>
                  </w:r>
                </w:p>
              </w:tc>
              <w:tc>
                <w:tcPr>
                  <w:tcW w:w="981"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$102,792</w:t>
                  </w:r>
                </w:p>
              </w:tc>
              <w:tc>
                <w:tcPr>
                  <w:tcW w:w="1212"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$102,792</w:t>
                  </w:r>
                </w:p>
              </w:tc>
            </w:tr>
            <w:tr w:rsidR="00D42CF9" w:rsidRPr="00D42CF9" w:rsidTr="00D42CF9">
              <w:trPr>
                <w:trHeight w:val="255"/>
              </w:trPr>
              <w:tc>
                <w:tcPr>
                  <w:tcW w:w="2267"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ind w:firstLineChars="100" w:firstLine="200"/>
                    <w:rPr>
                      <w:sz w:val="20"/>
                      <w:szCs w:val="20"/>
                    </w:rPr>
                  </w:pPr>
                  <w:r w:rsidRPr="00D42CF9">
                    <w:rPr>
                      <w:sz w:val="20"/>
                      <w:szCs w:val="20"/>
                    </w:rPr>
                    <w:t>Administrative</w:t>
                  </w:r>
                </w:p>
              </w:tc>
              <w:tc>
                <w:tcPr>
                  <w:tcW w:w="981"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$49,921</w:t>
                  </w:r>
                </w:p>
              </w:tc>
              <w:tc>
                <w:tcPr>
                  <w:tcW w:w="1212"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$49,921</w:t>
                  </w:r>
                </w:p>
              </w:tc>
            </w:tr>
            <w:tr w:rsidR="00D42CF9" w:rsidRPr="00D42CF9" w:rsidTr="00D42CF9">
              <w:trPr>
                <w:trHeight w:val="255"/>
              </w:trPr>
              <w:tc>
                <w:tcPr>
                  <w:tcW w:w="2267"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ind w:firstLineChars="200" w:firstLine="400"/>
                    <w:rPr>
                      <w:sz w:val="20"/>
                      <w:szCs w:val="20"/>
                    </w:rPr>
                  </w:pPr>
                  <w:r w:rsidRPr="00D42CF9">
                    <w:rPr>
                      <w:sz w:val="20"/>
                      <w:szCs w:val="20"/>
                    </w:rPr>
                    <w:t>Claim Approved</w:t>
                  </w:r>
                </w:p>
              </w:tc>
              <w:tc>
                <w:tcPr>
                  <w:tcW w:w="981"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$549</w:t>
                  </w:r>
                </w:p>
              </w:tc>
              <w:tc>
                <w:tcPr>
                  <w:tcW w:w="1212"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$549</w:t>
                  </w:r>
                </w:p>
              </w:tc>
            </w:tr>
            <w:tr w:rsidR="00D42CF9" w:rsidRPr="00D42CF9" w:rsidTr="00D42CF9">
              <w:trPr>
                <w:trHeight w:val="255"/>
              </w:trPr>
              <w:tc>
                <w:tcPr>
                  <w:tcW w:w="2267"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ind w:firstLineChars="200" w:firstLine="400"/>
                    <w:rPr>
                      <w:sz w:val="20"/>
                      <w:szCs w:val="20"/>
                    </w:rPr>
                  </w:pPr>
                  <w:r w:rsidRPr="00D42CF9">
                    <w:rPr>
                      <w:sz w:val="20"/>
                      <w:szCs w:val="20"/>
                    </w:rPr>
                    <w:t>Claim Denied</w:t>
                  </w:r>
                </w:p>
              </w:tc>
              <w:tc>
                <w:tcPr>
                  <w:tcW w:w="981"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$49,373</w:t>
                  </w:r>
                </w:p>
              </w:tc>
              <w:tc>
                <w:tcPr>
                  <w:tcW w:w="1212"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112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w:t>
                  </w: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jc w:val="center"/>
                    <w:rPr>
                      <w:sz w:val="20"/>
                      <w:szCs w:val="20"/>
                    </w:rPr>
                  </w:pPr>
                  <w:r w:rsidRPr="00D42CF9">
                    <w:rPr>
                      <w:sz w:val="20"/>
                      <w:szCs w:val="20"/>
                    </w:rPr>
                    <w:t>$49,373</w:t>
                  </w:r>
                </w:p>
              </w:tc>
            </w:tr>
            <w:tr w:rsidR="00D42CF9" w:rsidRPr="00D42CF9" w:rsidTr="00D42CF9">
              <w:trPr>
                <w:trHeight w:val="270"/>
              </w:trPr>
              <w:tc>
                <w:tcPr>
                  <w:tcW w:w="2267" w:type="dxa"/>
                  <w:tcBorders>
                    <w:top w:val="single" w:sz="4" w:space="0" w:color="auto"/>
                    <w:left w:val="nil"/>
                    <w:bottom w:val="single" w:sz="8" w:space="0" w:color="auto"/>
                    <w:right w:val="nil"/>
                  </w:tcBorders>
                  <w:shd w:val="clear" w:color="auto" w:fill="auto"/>
                  <w:noWrap/>
                  <w:vAlign w:val="bottom"/>
                  <w:hideMark/>
                </w:tcPr>
                <w:p w:rsidR="00D42CF9" w:rsidRPr="00D42CF9" w:rsidRDefault="00D42CF9" w:rsidP="00D42CF9">
                  <w:pPr>
                    <w:widowControl/>
                    <w:autoSpaceDE/>
                    <w:autoSpaceDN/>
                    <w:adjustRightInd/>
                    <w:rPr>
                      <w:b/>
                      <w:bCs/>
                      <w:sz w:val="20"/>
                      <w:szCs w:val="20"/>
                    </w:rPr>
                  </w:pPr>
                  <w:r w:rsidRPr="00D42CF9">
                    <w:rPr>
                      <w:b/>
                      <w:bCs/>
                      <w:sz w:val="20"/>
                      <w:szCs w:val="20"/>
                    </w:rPr>
                    <w:t>Total Costs</w:t>
                  </w:r>
                </w:p>
              </w:tc>
              <w:tc>
                <w:tcPr>
                  <w:tcW w:w="981" w:type="dxa"/>
                  <w:tcBorders>
                    <w:top w:val="single" w:sz="4" w:space="0" w:color="auto"/>
                    <w:left w:val="nil"/>
                    <w:bottom w:val="single" w:sz="8" w:space="0" w:color="auto"/>
                    <w:right w:val="nil"/>
                  </w:tcBorders>
                  <w:shd w:val="clear" w:color="auto" w:fill="auto"/>
                  <w:noWrap/>
                  <w:vAlign w:val="bottom"/>
                  <w:hideMark/>
                </w:tcPr>
                <w:p w:rsidR="00D42CF9" w:rsidRPr="00D42CF9" w:rsidRDefault="00D42CF9" w:rsidP="00D42CF9">
                  <w:pPr>
                    <w:widowControl/>
                    <w:autoSpaceDE/>
                    <w:autoSpaceDN/>
                    <w:adjustRightInd/>
                    <w:jc w:val="center"/>
                    <w:rPr>
                      <w:b/>
                      <w:bCs/>
                      <w:sz w:val="20"/>
                      <w:szCs w:val="20"/>
                    </w:rPr>
                  </w:pPr>
                  <w:r w:rsidRPr="00D42CF9">
                    <w:rPr>
                      <w:b/>
                      <w:bCs/>
                      <w:sz w:val="20"/>
                      <w:szCs w:val="20"/>
                    </w:rPr>
                    <w:t>$642,368</w:t>
                  </w:r>
                </w:p>
              </w:tc>
              <w:tc>
                <w:tcPr>
                  <w:tcW w:w="1212" w:type="dxa"/>
                  <w:tcBorders>
                    <w:top w:val="single" w:sz="4" w:space="0" w:color="auto"/>
                    <w:left w:val="nil"/>
                    <w:bottom w:val="single" w:sz="8" w:space="0" w:color="auto"/>
                    <w:right w:val="nil"/>
                  </w:tcBorders>
                  <w:shd w:val="clear" w:color="auto" w:fill="auto"/>
                  <w:noWrap/>
                  <w:vAlign w:val="bottom"/>
                  <w:hideMark/>
                </w:tcPr>
                <w:p w:rsidR="00D42CF9" w:rsidRPr="00D42CF9" w:rsidRDefault="00D42CF9" w:rsidP="00D42CF9">
                  <w:pPr>
                    <w:widowControl/>
                    <w:autoSpaceDE/>
                    <w:autoSpaceDN/>
                    <w:adjustRightInd/>
                    <w:jc w:val="center"/>
                    <w:rPr>
                      <w:b/>
                      <w:bCs/>
                      <w:sz w:val="20"/>
                      <w:szCs w:val="20"/>
                    </w:rPr>
                  </w:pPr>
                  <w:r w:rsidRPr="00D42CF9">
                    <w:rPr>
                      <w:b/>
                      <w:bCs/>
                      <w:sz w:val="20"/>
                      <w:szCs w:val="20"/>
                    </w:rPr>
                    <w:t>$8,136</w:t>
                  </w:r>
                </w:p>
              </w:tc>
              <w:tc>
                <w:tcPr>
                  <w:tcW w:w="1120" w:type="dxa"/>
                  <w:tcBorders>
                    <w:top w:val="single" w:sz="4" w:space="0" w:color="auto"/>
                    <w:left w:val="nil"/>
                    <w:bottom w:val="single" w:sz="8" w:space="0" w:color="auto"/>
                    <w:right w:val="nil"/>
                  </w:tcBorders>
                  <w:shd w:val="clear" w:color="auto" w:fill="auto"/>
                  <w:noWrap/>
                  <w:vAlign w:val="bottom"/>
                  <w:hideMark/>
                </w:tcPr>
                <w:p w:rsidR="00D42CF9" w:rsidRPr="00D42CF9" w:rsidRDefault="00D42CF9" w:rsidP="00D42CF9">
                  <w:pPr>
                    <w:widowControl/>
                    <w:autoSpaceDE/>
                    <w:autoSpaceDN/>
                    <w:adjustRightInd/>
                    <w:jc w:val="center"/>
                    <w:rPr>
                      <w:b/>
                      <w:bCs/>
                      <w:sz w:val="20"/>
                      <w:szCs w:val="20"/>
                    </w:rPr>
                  </w:pPr>
                  <w:r w:rsidRPr="00D42CF9">
                    <w:rPr>
                      <w:b/>
                      <w:bCs/>
                      <w:sz w:val="20"/>
                      <w:szCs w:val="20"/>
                    </w:rPr>
                    <w:t>$95,389</w:t>
                  </w:r>
                </w:p>
              </w:tc>
              <w:tc>
                <w:tcPr>
                  <w:tcW w:w="1120" w:type="dxa"/>
                  <w:tcBorders>
                    <w:top w:val="single" w:sz="4" w:space="0" w:color="auto"/>
                    <w:left w:val="nil"/>
                    <w:bottom w:val="single" w:sz="8" w:space="0" w:color="auto"/>
                    <w:right w:val="nil"/>
                  </w:tcBorders>
                  <w:shd w:val="clear" w:color="auto" w:fill="auto"/>
                  <w:noWrap/>
                  <w:vAlign w:val="bottom"/>
                  <w:hideMark/>
                </w:tcPr>
                <w:p w:rsidR="00D42CF9" w:rsidRPr="00D42CF9" w:rsidRDefault="00D42CF9" w:rsidP="00D42CF9">
                  <w:pPr>
                    <w:widowControl/>
                    <w:autoSpaceDE/>
                    <w:autoSpaceDN/>
                    <w:adjustRightInd/>
                    <w:jc w:val="center"/>
                    <w:rPr>
                      <w:b/>
                      <w:bCs/>
                      <w:sz w:val="20"/>
                      <w:szCs w:val="20"/>
                    </w:rPr>
                  </w:pPr>
                  <w:r w:rsidRPr="00D42CF9">
                    <w:rPr>
                      <w:b/>
                      <w:bCs/>
                      <w:sz w:val="20"/>
                      <w:szCs w:val="20"/>
                    </w:rPr>
                    <w:t>$99</w:t>
                  </w:r>
                </w:p>
              </w:tc>
              <w:tc>
                <w:tcPr>
                  <w:tcW w:w="1120" w:type="dxa"/>
                  <w:tcBorders>
                    <w:top w:val="single" w:sz="4" w:space="0" w:color="auto"/>
                    <w:left w:val="nil"/>
                    <w:bottom w:val="single" w:sz="8" w:space="0" w:color="auto"/>
                    <w:right w:val="nil"/>
                  </w:tcBorders>
                  <w:shd w:val="clear" w:color="auto" w:fill="auto"/>
                  <w:noWrap/>
                  <w:vAlign w:val="bottom"/>
                  <w:hideMark/>
                </w:tcPr>
                <w:p w:rsidR="00D42CF9" w:rsidRPr="00D42CF9" w:rsidRDefault="00D42CF9" w:rsidP="00D42CF9">
                  <w:pPr>
                    <w:widowControl/>
                    <w:autoSpaceDE/>
                    <w:autoSpaceDN/>
                    <w:adjustRightInd/>
                    <w:jc w:val="center"/>
                    <w:rPr>
                      <w:b/>
                      <w:bCs/>
                      <w:sz w:val="20"/>
                      <w:szCs w:val="20"/>
                    </w:rPr>
                  </w:pPr>
                  <w:r w:rsidRPr="00D42CF9">
                    <w:rPr>
                      <w:b/>
                      <w:bCs/>
                      <w:sz w:val="20"/>
                      <w:szCs w:val="20"/>
                    </w:rPr>
                    <w:t>$50</w:t>
                  </w:r>
                </w:p>
              </w:tc>
              <w:tc>
                <w:tcPr>
                  <w:tcW w:w="960" w:type="dxa"/>
                  <w:tcBorders>
                    <w:top w:val="single" w:sz="4" w:space="0" w:color="auto"/>
                    <w:left w:val="nil"/>
                    <w:bottom w:val="single" w:sz="8" w:space="0" w:color="auto"/>
                    <w:right w:val="nil"/>
                  </w:tcBorders>
                  <w:shd w:val="clear" w:color="auto" w:fill="auto"/>
                  <w:noWrap/>
                  <w:vAlign w:val="bottom"/>
                  <w:hideMark/>
                </w:tcPr>
                <w:p w:rsidR="00D42CF9" w:rsidRPr="00D42CF9" w:rsidRDefault="00D42CF9" w:rsidP="00D42CF9">
                  <w:pPr>
                    <w:widowControl/>
                    <w:autoSpaceDE/>
                    <w:autoSpaceDN/>
                    <w:adjustRightInd/>
                    <w:jc w:val="center"/>
                    <w:rPr>
                      <w:b/>
                      <w:bCs/>
                      <w:sz w:val="20"/>
                      <w:szCs w:val="20"/>
                    </w:rPr>
                  </w:pPr>
                  <w:r w:rsidRPr="00D42CF9">
                    <w:rPr>
                      <w:b/>
                      <w:bCs/>
                      <w:sz w:val="20"/>
                      <w:szCs w:val="20"/>
                    </w:rPr>
                    <w:t>$44,762</w:t>
                  </w:r>
                </w:p>
              </w:tc>
              <w:tc>
                <w:tcPr>
                  <w:tcW w:w="960" w:type="dxa"/>
                  <w:tcBorders>
                    <w:top w:val="single" w:sz="4" w:space="0" w:color="auto"/>
                    <w:left w:val="nil"/>
                    <w:bottom w:val="single" w:sz="8" w:space="0" w:color="auto"/>
                    <w:right w:val="nil"/>
                  </w:tcBorders>
                  <w:shd w:val="clear" w:color="auto" w:fill="auto"/>
                  <w:noWrap/>
                  <w:vAlign w:val="bottom"/>
                  <w:hideMark/>
                </w:tcPr>
                <w:p w:rsidR="00D42CF9" w:rsidRPr="00D42CF9" w:rsidRDefault="00D42CF9" w:rsidP="00D42CF9">
                  <w:pPr>
                    <w:widowControl/>
                    <w:autoSpaceDE/>
                    <w:autoSpaceDN/>
                    <w:adjustRightInd/>
                    <w:jc w:val="center"/>
                    <w:rPr>
                      <w:b/>
                      <w:bCs/>
                      <w:sz w:val="20"/>
                      <w:szCs w:val="20"/>
                    </w:rPr>
                  </w:pPr>
                  <w:r w:rsidRPr="00D42CF9">
                    <w:rPr>
                      <w:b/>
                      <w:bCs/>
                      <w:sz w:val="20"/>
                      <w:szCs w:val="20"/>
                    </w:rPr>
                    <w:t>$790,803</w:t>
                  </w:r>
                </w:p>
              </w:tc>
            </w:tr>
            <w:tr w:rsidR="00D42CF9" w:rsidRPr="00D42CF9" w:rsidTr="00D42CF9">
              <w:trPr>
                <w:trHeight w:val="255"/>
              </w:trPr>
              <w:tc>
                <w:tcPr>
                  <w:tcW w:w="8780" w:type="dxa"/>
                  <w:gridSpan w:val="7"/>
                  <w:vMerge w:val="restart"/>
                  <w:tcBorders>
                    <w:top w:val="nil"/>
                    <w:left w:val="nil"/>
                    <w:bottom w:val="nil"/>
                    <w:right w:val="nil"/>
                  </w:tcBorders>
                  <w:shd w:val="clear" w:color="auto" w:fill="auto"/>
                  <w:vAlign w:val="bottom"/>
                  <w:hideMark/>
                </w:tcPr>
                <w:p w:rsidR="00D42CF9" w:rsidRPr="00D42CF9" w:rsidRDefault="00D42CF9" w:rsidP="00D42CF9">
                  <w:pPr>
                    <w:widowControl/>
                    <w:autoSpaceDE/>
                    <w:autoSpaceDN/>
                    <w:adjustRightInd/>
                    <w:rPr>
                      <w:sz w:val="20"/>
                      <w:szCs w:val="20"/>
                    </w:rPr>
                  </w:pPr>
                  <w:r w:rsidRPr="00D42CF9">
                    <w:rPr>
                      <w:sz w:val="20"/>
                      <w:szCs w:val="20"/>
                    </w:rPr>
                    <w:t>Note: Assumed that 93 percent of large plans and all small plans process these claims in-house.  This results in 95.3 percent of claims being processed out-house</w:t>
                  </w: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rPr>
                      <w:sz w:val="20"/>
                      <w:szCs w:val="20"/>
                    </w:rPr>
                  </w:pPr>
                </w:p>
              </w:tc>
            </w:tr>
            <w:tr w:rsidR="00D42CF9" w:rsidRPr="00D42CF9" w:rsidTr="00D42CF9">
              <w:trPr>
                <w:trHeight w:val="255"/>
              </w:trPr>
              <w:tc>
                <w:tcPr>
                  <w:tcW w:w="8780" w:type="dxa"/>
                  <w:gridSpan w:val="7"/>
                  <w:vMerge/>
                  <w:tcBorders>
                    <w:top w:val="nil"/>
                    <w:left w:val="nil"/>
                    <w:bottom w:val="nil"/>
                    <w:right w:val="nil"/>
                  </w:tcBorders>
                  <w:vAlign w:val="center"/>
                  <w:hideMark/>
                </w:tcPr>
                <w:p w:rsidR="00D42CF9" w:rsidRPr="00D42CF9" w:rsidRDefault="00D42CF9" w:rsidP="00D42CF9">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D42CF9" w:rsidRPr="00D42CF9" w:rsidRDefault="00D42CF9" w:rsidP="00D42CF9">
                  <w:pPr>
                    <w:widowControl/>
                    <w:autoSpaceDE/>
                    <w:autoSpaceDN/>
                    <w:adjustRightInd/>
                    <w:rPr>
                      <w:sz w:val="20"/>
                      <w:szCs w:val="20"/>
                    </w:rPr>
                  </w:pPr>
                </w:p>
              </w:tc>
            </w:tr>
          </w:tbl>
          <w:p w:rsidR="00696114" w:rsidRPr="00CF644F" w:rsidRDefault="00696114" w:rsidP="00EF6ED7">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tcPr>
          <w:p w:rsidR="00696114" w:rsidRPr="00CF644F" w:rsidRDefault="00696114" w:rsidP="00EF6ED7">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tcPr>
          <w:p w:rsidR="00696114" w:rsidRPr="00CF644F" w:rsidRDefault="00696114" w:rsidP="00EF6ED7">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tcPr>
          <w:p w:rsidR="00696114" w:rsidRPr="00CF644F" w:rsidRDefault="00696114" w:rsidP="00EF6ED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tcPr>
          <w:p w:rsidR="00696114" w:rsidRPr="00CF644F" w:rsidRDefault="00696114" w:rsidP="00EF6ED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tcPr>
          <w:p w:rsidR="00696114" w:rsidRPr="00CF644F" w:rsidRDefault="00696114" w:rsidP="00EF6ED7">
            <w:pPr>
              <w:widowControl/>
              <w:autoSpaceDE/>
              <w:autoSpaceDN/>
              <w:adjustRightInd/>
              <w:rPr>
                <w:sz w:val="20"/>
                <w:szCs w:val="20"/>
              </w:rPr>
            </w:pPr>
          </w:p>
        </w:tc>
      </w:tr>
    </w:tbl>
    <w:p w:rsidR="00FC775D" w:rsidRDefault="00FC775D" w:rsidP="007D56A8"/>
    <w:p w:rsidR="00696114" w:rsidRDefault="00696114" w:rsidP="00696114">
      <w:pPr>
        <w:ind w:firstLine="720"/>
      </w:pPr>
      <w:r>
        <w:t>The total estimated cost burden for those plans that use service providers, including the cost of mailing all responses (including mailing costs for those prepared in-house listed in Table 2), is</w:t>
      </w:r>
      <w:r w:rsidR="003604AE">
        <w:t xml:space="preserve"> $798,644,000 annually </w:t>
      </w:r>
      <w:r>
        <w:t xml:space="preserve"> </w:t>
      </w:r>
      <w:r w:rsidR="003604AE">
        <w:t>(</w:t>
      </w:r>
      <w:r>
        <w:t>$</w:t>
      </w:r>
      <w:r w:rsidR="00D42CF9">
        <w:t>790,803,000</w:t>
      </w:r>
      <w:r>
        <w:t xml:space="preserve"> </w:t>
      </w:r>
      <w:r w:rsidR="003604AE">
        <w:t>+ $7,841,000).</w:t>
      </w:r>
    </w:p>
    <w:p w:rsidR="00FC775D" w:rsidRDefault="00FC775D" w:rsidP="00696114">
      <w:pPr>
        <w:ind w:firstLine="720"/>
      </w:pPr>
    </w:p>
    <w:p w:rsidR="00FC775D" w:rsidRDefault="00FC775D" w:rsidP="00696114">
      <w:pPr>
        <w:ind w:firstLine="720"/>
      </w:pPr>
    </w:p>
    <w:p w:rsidR="005E4737" w:rsidRDefault="00D42CF9" w:rsidP="00696114">
      <w:pPr>
        <w:ind w:firstLine="720"/>
        <w:rPr>
          <w:u w:val="single"/>
        </w:rPr>
      </w:pPr>
      <w:r>
        <w:rPr>
          <w:u w:val="single"/>
        </w:rPr>
        <w:t xml:space="preserve">2016 </w:t>
      </w:r>
      <w:r w:rsidR="00715B24">
        <w:rPr>
          <w:u w:val="single"/>
        </w:rPr>
        <w:t>Amendments</w:t>
      </w:r>
      <w:r w:rsidR="005E4737">
        <w:rPr>
          <w:u w:val="single"/>
        </w:rPr>
        <w:t xml:space="preserve"> </w:t>
      </w:r>
    </w:p>
    <w:p w:rsidR="003C71E3" w:rsidRDefault="003C71E3" w:rsidP="00696114">
      <w:pPr>
        <w:ind w:firstLine="720"/>
        <w:rPr>
          <w:u w:val="single"/>
        </w:rPr>
      </w:pPr>
    </w:p>
    <w:p w:rsidR="00ED276A" w:rsidRDefault="00ED276A" w:rsidP="00ED276A">
      <w:pPr>
        <w:ind w:firstLine="720"/>
      </w:pPr>
      <w:r w:rsidRPr="007A2D52">
        <w:rPr>
          <w:i/>
        </w:rPr>
        <w:t>Provision of new or additional evidence or rationale:</w:t>
      </w:r>
      <w:r w:rsidRPr="007A2D52">
        <w:t xml:space="preserve">  Before a plan providing disability benefits can issue an adverse benefit determination on review on a disability benefit claim, these final regulations require such plans to provide the claimant, free of charge, with any new or additional evidence considered, relied upon, or generated by (or at the direction of) the plan or any new or additional rationale upon which the adverse determination is based as soon as possible and sufficiently in advance of the date the notice of adverse benefit determination on review is required to be provided.  This requirement may increase the administrative burden on plans to prepare and deliver the enhanced information to claimants.  The Department is not aware of a data source substantiating how often plans rely on new or additional evidence or rationale during the appeals process or the volume of materials that comprise the new evidence or rationale.  Based on comments and discussions with the regulated community, the Department understands that few </w:t>
      </w:r>
      <w:r>
        <w:t>plans base</w:t>
      </w:r>
      <w:r w:rsidRPr="007A2D52">
        <w:t xml:space="preserve"> adverse benefit determinations on </w:t>
      </w:r>
      <w:r>
        <w:t xml:space="preserve">appeal on </w:t>
      </w:r>
      <w:r w:rsidRPr="007A2D52">
        <w:t xml:space="preserve">new evidence or </w:t>
      </w:r>
      <w:r>
        <w:t>rationales</w:t>
      </w:r>
      <w:r w:rsidRPr="007A2D52">
        <w:t xml:space="preserve">.  The Department also understands that the most critical new information relied on by plans when issuing adverse benefit determinations on review are new independent medical reports, and that at least some plans and insurers have a practice of providing claimants with rights to a </w:t>
      </w:r>
      <w:r>
        <w:t>voluntary additional level of</w:t>
      </w:r>
      <w:r w:rsidRPr="007A2D52">
        <w:t xml:space="preserve"> appeal to respond to the new independent medical report if they disagree with its findings.</w:t>
      </w:r>
    </w:p>
    <w:p w:rsidR="00ED276A" w:rsidRDefault="00ED276A" w:rsidP="00ED276A">
      <w:pPr>
        <w:ind w:firstLine="720"/>
      </w:pPr>
    </w:p>
    <w:p w:rsidR="00ED276A" w:rsidRDefault="00ED276A" w:rsidP="00ED276A">
      <w:pPr>
        <w:ind w:firstLine="720"/>
      </w:pPr>
      <w:r w:rsidRPr="00C82AC6">
        <w:t xml:space="preserve">For purposes of this analysis, the Department assumes, as an upper bound, that all appealed claims will involve a reliance on additional evidence or rationale. </w:t>
      </w:r>
      <w:r w:rsidRPr="003B1D63">
        <w:t xml:space="preserve"> </w:t>
      </w:r>
      <w:r>
        <w:t xml:space="preserve">Based on that </w:t>
      </w:r>
      <w:r>
        <w:lastRenderedPageBreak/>
        <w:t>assumption, t</w:t>
      </w:r>
      <w:r w:rsidRPr="003B1D63">
        <w:t>he Department assumes that this requirement will impose an annual aggregate cost of $</w:t>
      </w:r>
      <w:r>
        <w:t>14.5</w:t>
      </w:r>
      <w:r w:rsidRPr="00C82AC6">
        <w:t xml:space="preserve"> million</w:t>
      </w:r>
      <w:r>
        <w:t xml:space="preserve"> as shown in Table 4. </w:t>
      </w:r>
      <w:r w:rsidRPr="00C82AC6">
        <w:t xml:space="preserve"> </w:t>
      </w:r>
      <w:r>
        <w:t xml:space="preserve">The method for estimating the number of effected claims is also discussed below. </w:t>
      </w:r>
      <w:r w:rsidRPr="00C82AC6">
        <w:t xml:space="preserve"> </w:t>
      </w:r>
    </w:p>
    <w:p w:rsidR="00ED276A" w:rsidRDefault="00ED276A" w:rsidP="00ED276A">
      <w:pPr>
        <w:ind w:firstLine="720"/>
      </w:pPr>
    </w:p>
    <w:p w:rsidR="00ED276A" w:rsidRDefault="00ED276A" w:rsidP="00ED276A">
      <w:pPr>
        <w:ind w:firstLine="720"/>
      </w:pPr>
      <w:r w:rsidRPr="00C82AC6">
        <w:t>The Department estimate</w:t>
      </w:r>
      <w:r>
        <w:t>s</w:t>
      </w:r>
      <w:r w:rsidRPr="00C82AC6">
        <w:t xml:space="preserve"> this cost by assuming that compliance will require medical office staff, or </w:t>
      </w:r>
      <w:r>
        <w:t>an</w:t>
      </w:r>
      <w:r w:rsidRPr="00C82AC6">
        <w:t xml:space="preserve">other </w:t>
      </w:r>
      <w:r>
        <w:t xml:space="preserve">service providers’ </w:t>
      </w:r>
      <w:r w:rsidRPr="00C82AC6">
        <w:t xml:space="preserve">similar staff </w:t>
      </w:r>
      <w:r>
        <w:t xml:space="preserve">with </w:t>
      </w:r>
      <w:r w:rsidRPr="00C82AC6">
        <w:t>a labo</w:t>
      </w:r>
      <w:r w:rsidRPr="003B1D63">
        <w:t>r rate of $</w:t>
      </w:r>
      <w:r>
        <w:t>42.08</w:t>
      </w:r>
      <w:r w:rsidRPr="00C82AC6">
        <w:t>, thirty</w:t>
      </w:r>
      <w:r w:rsidRPr="003B1D63">
        <w:t xml:space="preserve"> minutes</w:t>
      </w:r>
      <w:r w:rsidR="006C4E0B">
        <w:rPr>
          <w:sz w:val="20"/>
          <w:szCs w:val="20"/>
          <w:vertAlign w:val="superscript"/>
        </w:rPr>
        <w:t xml:space="preserve"> </w:t>
      </w:r>
      <w:r w:rsidRPr="00C82AC6">
        <w:t>to collect and distribute the additional evidence considered, relied upon</w:t>
      </w:r>
      <w:r w:rsidRPr="003B1D63">
        <w:t>, or generated by (or at the direction of) the plan during the appeals process.</w:t>
      </w:r>
      <w:r w:rsidR="006C4E0B" w:rsidRPr="006C4E0B">
        <w:rPr>
          <w:rStyle w:val="FootnoteReference"/>
          <w:sz w:val="20"/>
          <w:szCs w:val="20"/>
          <w:vertAlign w:val="superscript"/>
        </w:rPr>
        <w:t xml:space="preserve"> </w:t>
      </w:r>
      <w:r w:rsidR="006C4E0B" w:rsidRPr="00AB4D7C">
        <w:rPr>
          <w:rStyle w:val="FootnoteReference"/>
          <w:sz w:val="20"/>
          <w:szCs w:val="20"/>
          <w:vertAlign w:val="superscript"/>
        </w:rPr>
        <w:footnoteReference w:id="4"/>
      </w:r>
      <w:r w:rsidR="006C4E0B" w:rsidRPr="00AB4D7C">
        <w:rPr>
          <w:sz w:val="20"/>
          <w:szCs w:val="20"/>
          <w:vertAlign w:val="superscript"/>
        </w:rPr>
        <w:t xml:space="preserve"> </w:t>
      </w:r>
      <w:r w:rsidRPr="003B1D63">
        <w:t xml:space="preserve">  </w:t>
      </w:r>
      <w:r>
        <w:t>T</w:t>
      </w:r>
      <w:r w:rsidRPr="003B1D63">
        <w:t>he Department estimates that on average, material, printing and postage costs will total $</w:t>
      </w:r>
      <w:r>
        <w:t>2.15</w:t>
      </w:r>
      <w:r w:rsidRPr="003B1D63">
        <w:t xml:space="preserve"> </w:t>
      </w:r>
      <w:r w:rsidRPr="00C82AC6">
        <w:t>per mailing (</w:t>
      </w:r>
      <w:r>
        <w:t>20 pages * 0.05 cents per copy + $1.15 postage</w:t>
      </w:r>
      <w:r w:rsidRPr="00C82AC6">
        <w:t xml:space="preserve">).  The Department further assumes that </w:t>
      </w:r>
      <w:r>
        <w:t>30</w:t>
      </w:r>
      <w:r w:rsidRPr="00C82AC6">
        <w:t xml:space="preserve"> percent of all mailings will be distributed electronically with no associated material, printing or postage costs.</w:t>
      </w:r>
      <w:r w:rsidRPr="006C4E0B">
        <w:rPr>
          <w:rStyle w:val="FootnoteReference"/>
          <w:sz w:val="20"/>
          <w:szCs w:val="20"/>
          <w:vertAlign w:val="superscript"/>
        </w:rPr>
        <w:footnoteReference w:id="5"/>
      </w:r>
      <w:r w:rsidRPr="00C82AC6">
        <w:t xml:space="preserve">  </w:t>
      </w:r>
    </w:p>
    <w:p w:rsidR="00ED276A" w:rsidRPr="007A2D52" w:rsidRDefault="00ED276A" w:rsidP="00ED276A">
      <w:pPr>
        <w:ind w:firstLine="720"/>
      </w:pPr>
    </w:p>
    <w:p w:rsidR="00ED276A" w:rsidRDefault="00ED276A" w:rsidP="00ED276A">
      <w:pPr>
        <w:ind w:firstLine="720"/>
      </w:pPr>
      <w:r w:rsidRPr="00F45825">
        <w:t>These final rules further require adverse benefit determinations on review for disability benefit plans to include a description of any contractual limitations period, including the date by which the claimant must bring a lawsuit.</w:t>
      </w:r>
      <w:r>
        <w:t xml:space="preserve">  I</w:t>
      </w:r>
      <w:r w:rsidRPr="00F45825">
        <w:t>ncluding a description of any contractual limitations period, including the date by which the claimant must bring a lawsuit would have minimal additional burden as plans already maintain such information in the ordinary course of their</w:t>
      </w:r>
      <w:r>
        <w:t xml:space="preserve"> </w:t>
      </w:r>
      <w:r w:rsidRPr="00F45825">
        <w:t>claims administration process and would just need to add it to the notice</w:t>
      </w:r>
      <w:r>
        <w:t>.</w:t>
      </w:r>
    </w:p>
    <w:p w:rsidR="00ED276A" w:rsidRDefault="00ED276A" w:rsidP="00ED276A">
      <w:pPr>
        <w:ind w:firstLine="720"/>
      </w:pPr>
    </w:p>
    <w:p w:rsidR="00ED276A" w:rsidRDefault="00ED276A" w:rsidP="00ED276A">
      <w:pPr>
        <w:ind w:firstLine="720"/>
      </w:pPr>
      <w:r>
        <w:t xml:space="preserve">The Department </w:t>
      </w:r>
      <w:r w:rsidRPr="003B1D63">
        <w:t>agree</w:t>
      </w:r>
      <w:r>
        <w:t>s with commenters</w:t>
      </w:r>
      <w:r w:rsidRPr="003B1D63">
        <w:t xml:space="preserve"> that making the new or additional information or rationale </w:t>
      </w:r>
      <w:r>
        <w:t xml:space="preserve">available to the claimant </w:t>
      </w:r>
      <w:r w:rsidRPr="003B1D63">
        <w:t>may trigger a response</w:t>
      </w:r>
      <w:r>
        <w:t xml:space="preserve"> from the claimant</w:t>
      </w:r>
      <w:r w:rsidRPr="003B1D63">
        <w:t xml:space="preserve">.  </w:t>
      </w:r>
      <w:r>
        <w:t xml:space="preserve">However, the Department does not have sufficient data to estimate </w:t>
      </w:r>
      <w:r w:rsidRPr="003B1D63">
        <w:t xml:space="preserve">the number of claimants </w:t>
      </w:r>
      <w:r>
        <w:t xml:space="preserve">that </w:t>
      </w:r>
      <w:r w:rsidRPr="003B1D63">
        <w:t xml:space="preserve">will respond with information that the insurer or TPA will need to evaluate </w:t>
      </w:r>
      <w:r>
        <w:t>or how much time will be required to evaluate the information.</w:t>
      </w:r>
      <w:r w:rsidRPr="003B1D63">
        <w:t xml:space="preserve">  </w:t>
      </w:r>
      <w:r>
        <w:t>Moreover, the</w:t>
      </w:r>
      <w:r w:rsidRPr="003B1D63">
        <w:t xml:space="preserve"> Department</w:t>
      </w:r>
      <w:r>
        <w:t xml:space="preserve">’s consultations with EBSA field </w:t>
      </w:r>
      <w:r w:rsidRPr="003B1D63">
        <w:t xml:space="preserve">investigators </w:t>
      </w:r>
      <w:r>
        <w:t>that investigate disability plan issues indicate that many disability plans already allow claimants to respond to the new information or rationale in a back-and-forth process</w:t>
      </w:r>
      <w:r w:rsidRPr="003B1D63">
        <w:t xml:space="preserve">.  </w:t>
      </w:r>
      <w:r>
        <w:t xml:space="preserve">The requirement imposes no new costs on these </w:t>
      </w:r>
      <w:r w:rsidRPr="003B1D63">
        <w:t xml:space="preserve">plans, insurers, and TPAs.  </w:t>
      </w:r>
      <w:r>
        <w:t xml:space="preserve">The requirement does impose an additional burden on plans that do not allow claimants to respond to the new information or rationale, but the Department does not have sufficient data to estimate the </w:t>
      </w:r>
      <w:r>
        <w:lastRenderedPageBreak/>
        <w:t>increased costs.</w:t>
      </w:r>
      <w:r w:rsidRPr="003B1D63">
        <w:t xml:space="preserve"> </w:t>
      </w:r>
      <w:r>
        <w:t xml:space="preserve"> </w:t>
      </w:r>
      <w:r w:rsidRPr="003B1D63">
        <w:t xml:space="preserve">One industry commenter agreed that </w:t>
      </w:r>
      <w:r>
        <w:t xml:space="preserve">that </w:t>
      </w:r>
      <w:r w:rsidRPr="003B1D63">
        <w:t>it would be difficult to estimate</w:t>
      </w:r>
      <w:r>
        <w:t xml:space="preserve"> the burden associated with responding to claimants.</w:t>
      </w:r>
    </w:p>
    <w:p w:rsidR="00ED276A" w:rsidRDefault="00ED276A" w:rsidP="00ED276A">
      <w:pPr>
        <w:ind w:firstLine="720"/>
      </w:pPr>
    </w:p>
    <w:p w:rsidR="00ED276A" w:rsidRDefault="00ED276A" w:rsidP="00ED276A">
      <w:pPr>
        <w:ind w:firstLine="720"/>
      </w:pPr>
      <w:r w:rsidRPr="003B1D63">
        <w:t xml:space="preserve">Commenters also raised concern </w:t>
      </w:r>
      <w:r>
        <w:t xml:space="preserve">regarding </w:t>
      </w:r>
      <w:r w:rsidRPr="003B1D63">
        <w:t>a potentially endless cycle of appeals, responses, and reconsiderations</w:t>
      </w:r>
      <w:r>
        <w:t xml:space="preserve"> that </w:t>
      </w:r>
      <w:r w:rsidRPr="003B1D63">
        <w:t xml:space="preserve">would extend the claim determination process </w:t>
      </w:r>
      <w:r>
        <w:t xml:space="preserve">and </w:t>
      </w:r>
      <w:r w:rsidRPr="003B1D63">
        <w:t>substantially increas</w:t>
      </w:r>
      <w:r>
        <w:t>e</w:t>
      </w:r>
      <w:r w:rsidRPr="003B1D63">
        <w:t xml:space="preserve"> costs.  </w:t>
      </w:r>
      <w:r>
        <w:t xml:space="preserve">The Department also does not find this claim to be credible. </w:t>
      </w:r>
      <w:r w:rsidRPr="003B1D63">
        <w:t xml:space="preserve"> The requirement only requires action if the insurer or TPA produces new or additional information or rationale</w:t>
      </w:r>
      <w:r w:rsidRPr="00244DCA">
        <w:t xml:space="preserve"> </w:t>
      </w:r>
      <w:r>
        <w:t>after reviewing the new information submitted by the claimant</w:t>
      </w:r>
      <w:r w:rsidRPr="003B1D63">
        <w:t>, not if it just evaluates the information submitted by the claimant</w:t>
      </w:r>
      <w:r>
        <w:t>, and the Department’s consultations with its investigators indicated that this occurs infrequently</w:t>
      </w:r>
      <w:r w:rsidRPr="003B1D63">
        <w:t>.</w:t>
      </w:r>
    </w:p>
    <w:p w:rsidR="00ED276A" w:rsidRDefault="00ED276A" w:rsidP="00ED276A">
      <w:pPr>
        <w:ind w:firstLine="720"/>
      </w:pPr>
    </w:p>
    <w:p w:rsidR="00ED276A" w:rsidRDefault="00ED276A" w:rsidP="00ED276A">
      <w:pPr>
        <w:ind w:firstLine="720"/>
      </w:pPr>
      <w:r w:rsidRPr="006A11A9">
        <w:t>Additionally</w:t>
      </w:r>
      <w:r>
        <w:t>,</w:t>
      </w:r>
      <w:r w:rsidRPr="006A11A9">
        <w:t xml:space="preserve"> while a plan fiduciary has a responsibility to ensure the accurate evaluation of all claims, that responsibility does not require the fiduciary to rebut every piece of evidence submitted or seek to deny every claim.</w:t>
      </w:r>
      <w:r>
        <w:t xml:space="preserve"> </w:t>
      </w:r>
      <w:r w:rsidRPr="006A11A9">
        <w:t xml:space="preserve"> Indeed, </w:t>
      </w:r>
      <w:r>
        <w:t>an endless effort to rebut every piece of evidence submitted by the claimant</w:t>
      </w:r>
      <w:r w:rsidRPr="006A11A9">
        <w:t xml:space="preserve"> would call into question whether the fiduciary was impartially resolving claims as</w:t>
      </w:r>
      <w:r>
        <w:t xml:space="preserve"> required by</w:t>
      </w:r>
      <w:r w:rsidRPr="006A11A9">
        <w:t xml:space="preserve"> the duties of prudence and loyalty.</w:t>
      </w:r>
    </w:p>
    <w:p w:rsidR="00ED276A" w:rsidRDefault="00ED276A" w:rsidP="00ED276A">
      <w:pPr>
        <w:ind w:firstLine="720"/>
      </w:pPr>
    </w:p>
    <w:p w:rsidR="00ED276A" w:rsidRPr="003B1D63" w:rsidRDefault="00ED276A" w:rsidP="00ED276A">
      <w:pPr>
        <w:ind w:firstLine="720"/>
      </w:pPr>
      <w:r>
        <w:t xml:space="preserve">Furthermore, </w:t>
      </w:r>
      <w:r w:rsidRPr="00C77C59">
        <w:t xml:space="preserve">the Department has interpreted ERISA section 503 and the current </w:t>
      </w:r>
      <w:r>
        <w:t>Section 503</w:t>
      </w:r>
      <w:r w:rsidRPr="00C77C59">
        <w:t xml:space="preserve"> </w:t>
      </w:r>
      <w:r>
        <w:t>R</w:t>
      </w:r>
      <w:r w:rsidRPr="00C77C59">
        <w:t xml:space="preserve">egulation as already requiring that plans provide claimants with new or additional evidence or rationales upon request and an opportunity to respond in certain circumstances.  </w:t>
      </w:r>
      <w:r w:rsidRPr="00DF6298">
        <w:rPr>
          <w:u w:val="single"/>
        </w:rPr>
        <w:t>See</w:t>
      </w:r>
      <w:r w:rsidRPr="00C77C59">
        <w:t xml:space="preserve"> </w:t>
      </w:r>
      <w:r w:rsidRPr="00C72D94">
        <w:rPr>
          <w:rFonts w:eastAsiaTheme="minorHAnsi"/>
        </w:rPr>
        <w:t xml:space="preserve">Brief of the Secretary of Labor, Hilda L. Solis, as </w:t>
      </w:r>
      <w:r w:rsidRPr="008D2FB5">
        <w:rPr>
          <w:rFonts w:eastAsiaTheme="minorHAnsi"/>
        </w:rPr>
        <w:t>Amicus Curiae</w:t>
      </w:r>
      <w:r w:rsidRPr="00C72D94">
        <w:rPr>
          <w:rFonts w:eastAsiaTheme="minorHAnsi"/>
        </w:rPr>
        <w:t xml:space="preserve"> in Support of Plaintiff-Appellant’s Petition for </w:t>
      </w:r>
      <w:r w:rsidRPr="00EA43EC">
        <w:rPr>
          <w:rFonts w:eastAsiaTheme="minorHAnsi"/>
        </w:rPr>
        <w:t xml:space="preserve">Rehearing, </w:t>
      </w:r>
      <w:proofErr w:type="spellStart"/>
      <w:r w:rsidRPr="004B62B4">
        <w:rPr>
          <w:rFonts w:eastAsiaTheme="minorHAnsi"/>
          <w:iCs/>
          <w:u w:val="single"/>
        </w:rPr>
        <w:t>Midgett</w:t>
      </w:r>
      <w:proofErr w:type="spellEnd"/>
      <w:r w:rsidRPr="004B62B4">
        <w:rPr>
          <w:rFonts w:eastAsiaTheme="minorHAnsi"/>
          <w:iCs/>
          <w:u w:val="single"/>
        </w:rPr>
        <w:t xml:space="preserve"> v. Washington Group Int’l Long Term Disability Plan</w:t>
      </w:r>
      <w:r w:rsidRPr="00EA43EC">
        <w:rPr>
          <w:rFonts w:eastAsiaTheme="minorHAnsi"/>
        </w:rPr>
        <w:t xml:space="preserve">, 561 F.3d 887 (8th Cir. 2009) (No. 08–2523), </w:t>
      </w:r>
      <w:r w:rsidRPr="00C77C59">
        <w:t xml:space="preserve">(expressing disagreement with cases holding that there is no such requirement).  </w:t>
      </w:r>
      <w:r>
        <w:t>The supposed “</w:t>
      </w:r>
      <w:r w:rsidRPr="002D11B8">
        <w:t>endless loop</w:t>
      </w:r>
      <w:r>
        <w:t>”</w:t>
      </w:r>
      <w:r w:rsidRPr="002D11B8">
        <w:t xml:space="preserve"> is </w:t>
      </w:r>
      <w:r>
        <w:t xml:space="preserve">necessarily </w:t>
      </w:r>
      <w:r w:rsidRPr="002D11B8">
        <w:t>limited by claimants’ ability to generate new evidence requiring further review by the plan.</w:t>
      </w:r>
      <w:r>
        <w:t xml:space="preserve"> </w:t>
      </w:r>
      <w:r w:rsidRPr="002D11B8">
        <w:t xml:space="preserve"> </w:t>
      </w:r>
      <w:r>
        <w:t>S</w:t>
      </w:r>
      <w:r w:rsidRPr="00C77C59">
        <w:t>uch submissions ordinarily become repetitive in short order, and are further circumscribed by the limited financial resources of most claimants.</w:t>
      </w:r>
    </w:p>
    <w:p w:rsidR="00ED276A" w:rsidRPr="00C82AC6" w:rsidRDefault="00ED276A" w:rsidP="00ED276A">
      <w:pPr>
        <w:ind w:firstLine="720"/>
      </w:pPr>
    </w:p>
    <w:p w:rsidR="00ED276A" w:rsidRDefault="00ED276A" w:rsidP="00ED276A">
      <w:pPr>
        <w:ind w:firstLine="720"/>
      </w:pPr>
      <w:r>
        <w:t>The Department does not have an available data set to directly estim</w:t>
      </w:r>
      <w:r w:rsidR="00594947">
        <w:t>a</w:t>
      </w:r>
      <w:r>
        <w:t>te</w:t>
      </w:r>
      <w:r w:rsidRPr="007A2D52">
        <w:t xml:space="preserve"> the number of disability claims that are filed or denied.  Therefore, the Department estimates the number of short- and long-term disability claims based on the percentage of private sector employees (122 million)</w:t>
      </w:r>
      <w:r w:rsidRPr="008C2681">
        <w:rPr>
          <w:rStyle w:val="FootnoteReference"/>
          <w:sz w:val="20"/>
          <w:szCs w:val="20"/>
          <w:vertAlign w:val="superscript"/>
        </w:rPr>
        <w:footnoteReference w:id="6"/>
      </w:r>
      <w:r w:rsidRPr="007A2D52">
        <w:t xml:space="preserve"> that participate in short- and long-term disability programs (approximately 39 and 33 percent respectively).</w:t>
      </w:r>
      <w:r w:rsidRPr="008C2681">
        <w:rPr>
          <w:rStyle w:val="FootnoteReference"/>
          <w:sz w:val="20"/>
          <w:szCs w:val="20"/>
          <w:vertAlign w:val="superscript"/>
        </w:rPr>
        <w:footnoteReference w:id="7"/>
      </w:r>
      <w:r w:rsidRPr="007A2D52">
        <w:t xml:space="preserve">  The Department estimates the number of claims per covered life for long-term disability benefits based on the percentage of covered individuals that file claims under the </w:t>
      </w:r>
      <w:r w:rsidRPr="007A2D52">
        <w:lastRenderedPageBreak/>
        <w:t xml:space="preserve">Social Security Disability Insurance Program (SSDI) (two percent of covered individuals).  The Department notes that SSDI uses a standard for disability determinations that is stricter than the standard used in many long-term disability plans offered by private employers.  However, the number of claims filed with the SSDI is an acceptable proxy as most employer plans require claimants to file with the SSDI as a condition of receiving benefits from the plan as they offset the benefits paid by plan with the amount received from SSDI. </w:t>
      </w:r>
    </w:p>
    <w:p w:rsidR="00ED276A" w:rsidRPr="007A2D52" w:rsidRDefault="00ED276A" w:rsidP="00ED276A">
      <w:pPr>
        <w:ind w:firstLine="720"/>
      </w:pPr>
    </w:p>
    <w:p w:rsidR="00ED276A" w:rsidRDefault="00ED276A" w:rsidP="00ED276A">
      <w:pPr>
        <w:ind w:firstLine="720"/>
      </w:pPr>
      <w:r w:rsidRPr="007A2D52">
        <w:t>The Department does not have sufficient data to estimate the percentage of covered individuals that file short-term disability claims.  Therefore, for purposes of this analysis, the Department estimates</w:t>
      </w:r>
      <w:r w:rsidRPr="005562D0">
        <w:t>, as it did in the proposal,</w:t>
      </w:r>
      <w:r w:rsidRPr="007A2D52">
        <w:t xml:space="preserve"> that six percent of covered lives file such claims, because it believes that short-term disability claims rates are higher than long-term disability claim rates.  The Department received no comments regarding this assumption.</w:t>
      </w:r>
    </w:p>
    <w:p w:rsidR="00ED276A" w:rsidRPr="007A2D52" w:rsidRDefault="00ED276A" w:rsidP="00ED276A">
      <w:pPr>
        <w:ind w:firstLine="720"/>
      </w:pPr>
    </w:p>
    <w:p w:rsidR="00ED276A" w:rsidRDefault="00ED276A" w:rsidP="00ED276A">
      <w:pPr>
        <w:spacing w:after="200"/>
        <w:ind w:firstLine="720"/>
        <w:contextualSpacing/>
      </w:pPr>
      <w:r w:rsidRPr="007A2D52">
        <w:t xml:space="preserve">The Department estimates the number of denied claims that would be covered by the rule in the following manner:  For long-term disability, the percent of claims denied is estimated using the percent of denied claims for the SSDI Program (75 percent).  This estimate may overstate the denial rates for </w:t>
      </w:r>
      <w:r>
        <w:t xml:space="preserve">ERISA-covered </w:t>
      </w:r>
      <w:r w:rsidRPr="007A2D52">
        <w:t>long-term disability plans</w:t>
      </w:r>
      <w:r>
        <w:t>, because a</w:t>
      </w:r>
      <w:r w:rsidRPr="003B1D63">
        <w:t>s</w:t>
      </w:r>
      <w:r w:rsidRPr="007A2D52">
        <w:t xml:space="preserve"> discussed above, many plans require claimants to file for SSDI benefits as a requirement to receive benefits from their plan.  Plans often have a lower </w:t>
      </w:r>
      <w:r>
        <w:t xml:space="preserve">benefit determination </w:t>
      </w:r>
      <w:r w:rsidRPr="007A2D52">
        <w:t>standard, at least initially, than the SSDI Program</w:t>
      </w:r>
      <w:r>
        <w:t xml:space="preserve"> resulting in less denied claims</w:t>
      </w:r>
      <w:r w:rsidRPr="003B1D63">
        <w:t xml:space="preserve">.  </w:t>
      </w:r>
      <w:r>
        <w:t>Therefore, using</w:t>
      </w:r>
      <w:r w:rsidRPr="007A2D52">
        <w:t xml:space="preserve"> the SSDI </w:t>
      </w:r>
      <w:r>
        <w:t>denied claims rate as a proxy for the ERISA-covered plan claims denial rate may overstate the number of private long-term disability plan denied claims.</w:t>
      </w:r>
      <w:r w:rsidRPr="007A2D52">
        <w:t xml:space="preserve">  For short-term disability, the estimate of denied claims (three percent) is </w:t>
      </w:r>
      <w:r>
        <w:t>an assumption based on previous regulations and feedback</w:t>
      </w:r>
      <w:r w:rsidRPr="003B1D63">
        <w:t xml:space="preserve">.  </w:t>
      </w:r>
      <w:r w:rsidRPr="007A2D52">
        <w:t>The estimates are provided in the table below.</w:t>
      </w:r>
    </w:p>
    <w:p w:rsidR="003C71E3" w:rsidRDefault="003C71E3" w:rsidP="00014376">
      <w:pPr>
        <w:ind w:firstLine="720"/>
        <w:rPr>
          <w:u w:val="single"/>
        </w:rPr>
      </w:pPr>
    </w:p>
    <w:p w:rsidR="005E4737" w:rsidRDefault="005E4737" w:rsidP="00014376">
      <w:pPr>
        <w:ind w:firstLine="720"/>
        <w:rPr>
          <w:u w:val="single"/>
        </w:rPr>
      </w:pPr>
    </w:p>
    <w:tbl>
      <w:tblPr>
        <w:tblW w:w="9820" w:type="dxa"/>
        <w:tblInd w:w="94" w:type="dxa"/>
        <w:tblLook w:val="04A0" w:firstRow="1" w:lastRow="0" w:firstColumn="1" w:lastColumn="0" w:noHBand="0" w:noVBand="1"/>
      </w:tblPr>
      <w:tblGrid>
        <w:gridCol w:w="3253"/>
        <w:gridCol w:w="1052"/>
        <w:gridCol w:w="766"/>
        <w:gridCol w:w="1038"/>
        <w:gridCol w:w="960"/>
        <w:gridCol w:w="1038"/>
        <w:gridCol w:w="960"/>
        <w:gridCol w:w="960"/>
      </w:tblGrid>
      <w:tr w:rsidR="00ED276A" w:rsidRPr="00F21D32" w:rsidTr="00D46178">
        <w:trPr>
          <w:trHeight w:val="255"/>
        </w:trPr>
        <w:tc>
          <w:tcPr>
            <w:tcW w:w="5020" w:type="dxa"/>
            <w:gridSpan w:val="3"/>
            <w:tcBorders>
              <w:top w:val="nil"/>
              <w:left w:val="nil"/>
              <w:bottom w:val="nil"/>
              <w:right w:val="nil"/>
            </w:tcBorders>
            <w:shd w:val="clear" w:color="auto" w:fill="auto"/>
            <w:noWrap/>
            <w:vAlign w:val="bottom"/>
            <w:hideMark/>
          </w:tcPr>
          <w:p w:rsidR="00ED276A" w:rsidRPr="007A2D52" w:rsidRDefault="00ED276A" w:rsidP="00D46178">
            <w:pPr>
              <w:rPr>
                <w:sz w:val="20"/>
              </w:rPr>
            </w:pPr>
            <w:r>
              <w:rPr>
                <w:sz w:val="20"/>
              </w:rPr>
              <w:t>Table 4</w:t>
            </w:r>
            <w:r w:rsidRPr="007A2D52">
              <w:rPr>
                <w:sz w:val="20"/>
              </w:rPr>
              <w:t>.--</w:t>
            </w:r>
            <w:r w:rsidRPr="007A2D52">
              <w:rPr>
                <w:i/>
                <w:sz w:val="20"/>
              </w:rPr>
              <w:t>Fair and Full Review Burden (in thousands)</w:t>
            </w:r>
          </w:p>
        </w:tc>
        <w:tc>
          <w:tcPr>
            <w:tcW w:w="960" w:type="dxa"/>
            <w:tcBorders>
              <w:top w:val="nil"/>
              <w:left w:val="nil"/>
              <w:bottom w:val="nil"/>
              <w:right w:val="nil"/>
            </w:tcBorders>
            <w:shd w:val="clear" w:color="auto" w:fill="auto"/>
            <w:noWrap/>
            <w:vAlign w:val="bottom"/>
            <w:hideMark/>
          </w:tcPr>
          <w:p w:rsidR="00ED276A" w:rsidRPr="007A2D52" w:rsidRDefault="00ED276A" w:rsidP="00D46178">
            <w:pPr>
              <w:jc w:val="center"/>
              <w:rPr>
                <w:sz w:val="20"/>
              </w:rPr>
            </w:pPr>
          </w:p>
        </w:tc>
        <w:tc>
          <w:tcPr>
            <w:tcW w:w="960" w:type="dxa"/>
            <w:tcBorders>
              <w:top w:val="nil"/>
              <w:left w:val="nil"/>
              <w:bottom w:val="nil"/>
              <w:right w:val="nil"/>
            </w:tcBorders>
            <w:shd w:val="clear" w:color="auto" w:fill="auto"/>
            <w:noWrap/>
            <w:vAlign w:val="bottom"/>
            <w:hideMark/>
          </w:tcPr>
          <w:p w:rsidR="00ED276A" w:rsidRPr="007A2D52" w:rsidRDefault="00ED276A" w:rsidP="00D46178">
            <w:pPr>
              <w:rPr>
                <w:sz w:val="20"/>
              </w:rPr>
            </w:pPr>
          </w:p>
        </w:tc>
        <w:tc>
          <w:tcPr>
            <w:tcW w:w="960" w:type="dxa"/>
            <w:tcBorders>
              <w:top w:val="nil"/>
              <w:left w:val="nil"/>
              <w:bottom w:val="nil"/>
              <w:right w:val="nil"/>
            </w:tcBorders>
            <w:shd w:val="clear" w:color="auto" w:fill="auto"/>
            <w:noWrap/>
            <w:vAlign w:val="bottom"/>
            <w:hideMark/>
          </w:tcPr>
          <w:p w:rsidR="00ED276A" w:rsidRPr="007A2D52" w:rsidRDefault="00ED276A" w:rsidP="00D46178">
            <w:pPr>
              <w:rPr>
                <w:sz w:val="20"/>
              </w:rPr>
            </w:pPr>
          </w:p>
        </w:tc>
        <w:tc>
          <w:tcPr>
            <w:tcW w:w="960" w:type="dxa"/>
            <w:tcBorders>
              <w:top w:val="nil"/>
              <w:left w:val="nil"/>
              <w:bottom w:val="nil"/>
              <w:right w:val="nil"/>
            </w:tcBorders>
            <w:shd w:val="clear" w:color="auto" w:fill="auto"/>
            <w:noWrap/>
            <w:vAlign w:val="bottom"/>
            <w:hideMark/>
          </w:tcPr>
          <w:p w:rsidR="00ED276A" w:rsidRPr="007A2D52" w:rsidRDefault="00ED276A" w:rsidP="00D46178">
            <w:pPr>
              <w:rPr>
                <w:sz w:val="20"/>
              </w:rPr>
            </w:pPr>
          </w:p>
        </w:tc>
        <w:tc>
          <w:tcPr>
            <w:tcW w:w="960" w:type="dxa"/>
            <w:tcBorders>
              <w:top w:val="nil"/>
              <w:left w:val="nil"/>
              <w:bottom w:val="nil"/>
              <w:right w:val="nil"/>
            </w:tcBorders>
            <w:shd w:val="clear" w:color="auto" w:fill="auto"/>
            <w:noWrap/>
            <w:vAlign w:val="bottom"/>
            <w:hideMark/>
          </w:tcPr>
          <w:p w:rsidR="00ED276A" w:rsidRPr="007A2D52" w:rsidRDefault="00ED276A" w:rsidP="00D46178">
            <w:pPr>
              <w:rPr>
                <w:sz w:val="20"/>
              </w:rPr>
            </w:pPr>
          </w:p>
        </w:tc>
      </w:tr>
      <w:tr w:rsidR="00ED276A" w:rsidRPr="00F21D32" w:rsidTr="00D46178">
        <w:trPr>
          <w:trHeight w:val="255"/>
        </w:trPr>
        <w:tc>
          <w:tcPr>
            <w:tcW w:w="3253" w:type="dxa"/>
            <w:tcBorders>
              <w:top w:val="single" w:sz="4" w:space="0" w:color="auto"/>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t> </w:t>
            </w:r>
          </w:p>
        </w:tc>
        <w:tc>
          <w:tcPr>
            <w:tcW w:w="176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D276A" w:rsidRPr="007A2D52" w:rsidRDefault="00ED276A" w:rsidP="00D46178">
            <w:pPr>
              <w:jc w:val="center"/>
              <w:rPr>
                <w:sz w:val="20"/>
              </w:rPr>
            </w:pPr>
            <w:r w:rsidRPr="007A2D52">
              <w:rPr>
                <w:sz w:val="20"/>
              </w:rPr>
              <w:t>Short-Term</w:t>
            </w:r>
          </w:p>
        </w:tc>
        <w:tc>
          <w:tcPr>
            <w:tcW w:w="1920" w:type="dxa"/>
            <w:gridSpan w:val="2"/>
            <w:tcBorders>
              <w:top w:val="single" w:sz="4" w:space="0" w:color="auto"/>
              <w:left w:val="nil"/>
              <w:bottom w:val="single" w:sz="4" w:space="0" w:color="auto"/>
              <w:right w:val="nil"/>
            </w:tcBorders>
            <w:shd w:val="clear" w:color="auto" w:fill="auto"/>
            <w:noWrap/>
            <w:vAlign w:val="bottom"/>
            <w:hideMark/>
          </w:tcPr>
          <w:p w:rsidR="00ED276A" w:rsidRPr="007A2D52" w:rsidRDefault="00ED276A" w:rsidP="00D46178">
            <w:pPr>
              <w:jc w:val="center"/>
              <w:rPr>
                <w:sz w:val="20"/>
              </w:rPr>
            </w:pPr>
            <w:r w:rsidRPr="007A2D52">
              <w:rPr>
                <w:sz w:val="20"/>
              </w:rPr>
              <w:t>Long-Term</w:t>
            </w:r>
          </w:p>
        </w:tc>
        <w:tc>
          <w:tcPr>
            <w:tcW w:w="2880" w:type="dxa"/>
            <w:gridSpan w:val="3"/>
            <w:tcBorders>
              <w:top w:val="single" w:sz="4" w:space="0" w:color="auto"/>
              <w:left w:val="single" w:sz="4" w:space="0" w:color="auto"/>
              <w:bottom w:val="single" w:sz="4" w:space="0" w:color="auto"/>
              <w:right w:val="nil"/>
            </w:tcBorders>
            <w:shd w:val="clear" w:color="auto" w:fill="auto"/>
            <w:noWrap/>
            <w:vAlign w:val="bottom"/>
            <w:hideMark/>
          </w:tcPr>
          <w:p w:rsidR="00ED276A" w:rsidRPr="007A2D52" w:rsidRDefault="00ED276A" w:rsidP="00D46178">
            <w:pPr>
              <w:jc w:val="center"/>
              <w:rPr>
                <w:sz w:val="20"/>
              </w:rPr>
            </w:pPr>
            <w:r w:rsidRPr="007A2D52">
              <w:rPr>
                <w:sz w:val="20"/>
              </w:rPr>
              <w:t>Total</w:t>
            </w:r>
          </w:p>
        </w:tc>
      </w:tr>
      <w:tr w:rsidR="00ED276A" w:rsidRPr="00F21D32" w:rsidTr="00D46178">
        <w:trPr>
          <w:trHeight w:val="255"/>
        </w:trPr>
        <w:tc>
          <w:tcPr>
            <w:tcW w:w="3253" w:type="dxa"/>
            <w:tcBorders>
              <w:top w:val="nil"/>
              <w:left w:val="nil"/>
              <w:bottom w:val="single" w:sz="4" w:space="0" w:color="auto"/>
              <w:right w:val="nil"/>
            </w:tcBorders>
            <w:shd w:val="clear" w:color="auto" w:fill="auto"/>
            <w:noWrap/>
            <w:vAlign w:val="bottom"/>
            <w:hideMark/>
          </w:tcPr>
          <w:p w:rsidR="00ED276A" w:rsidRPr="007A2D52" w:rsidRDefault="00ED276A" w:rsidP="00D46178">
            <w:pPr>
              <w:rPr>
                <w:b/>
                <w:sz w:val="20"/>
              </w:rPr>
            </w:pPr>
            <w:r w:rsidRPr="007A2D52">
              <w:rPr>
                <w:b/>
                <w:sz w:val="20"/>
              </w:rPr>
              <w:t> </w:t>
            </w:r>
          </w:p>
        </w:tc>
        <w:tc>
          <w:tcPr>
            <w:tcW w:w="1052" w:type="dxa"/>
            <w:tcBorders>
              <w:top w:val="nil"/>
              <w:left w:val="single" w:sz="4" w:space="0" w:color="auto"/>
              <w:bottom w:val="single" w:sz="4" w:space="0" w:color="auto"/>
              <w:right w:val="nil"/>
            </w:tcBorders>
            <w:shd w:val="clear" w:color="auto" w:fill="auto"/>
            <w:noWrap/>
            <w:vAlign w:val="bottom"/>
            <w:hideMark/>
          </w:tcPr>
          <w:p w:rsidR="00ED276A" w:rsidRPr="007A2D52" w:rsidRDefault="00ED276A" w:rsidP="00D46178">
            <w:pPr>
              <w:jc w:val="center"/>
              <w:rPr>
                <w:sz w:val="20"/>
              </w:rPr>
            </w:pPr>
            <w:r w:rsidRPr="007A2D52">
              <w:rPr>
                <w:sz w:val="20"/>
              </w:rPr>
              <w:t>Electronic</w:t>
            </w:r>
          </w:p>
        </w:tc>
        <w:tc>
          <w:tcPr>
            <w:tcW w:w="715" w:type="dxa"/>
            <w:tcBorders>
              <w:top w:val="nil"/>
              <w:left w:val="nil"/>
              <w:bottom w:val="single" w:sz="4" w:space="0" w:color="auto"/>
              <w:right w:val="single" w:sz="4" w:space="0" w:color="auto"/>
            </w:tcBorders>
            <w:shd w:val="clear" w:color="auto" w:fill="auto"/>
            <w:noWrap/>
            <w:vAlign w:val="bottom"/>
            <w:hideMark/>
          </w:tcPr>
          <w:p w:rsidR="00ED276A" w:rsidRPr="007A2D52" w:rsidRDefault="00ED276A" w:rsidP="00D46178">
            <w:pPr>
              <w:jc w:val="center"/>
              <w:rPr>
                <w:sz w:val="20"/>
              </w:rPr>
            </w:pPr>
            <w:r w:rsidRPr="007A2D52">
              <w:rPr>
                <w:sz w:val="20"/>
              </w:rPr>
              <w:t>Paper</w:t>
            </w:r>
          </w:p>
        </w:tc>
        <w:tc>
          <w:tcPr>
            <w:tcW w:w="960" w:type="dxa"/>
            <w:tcBorders>
              <w:top w:val="nil"/>
              <w:left w:val="nil"/>
              <w:bottom w:val="single" w:sz="4" w:space="0" w:color="auto"/>
              <w:right w:val="nil"/>
            </w:tcBorders>
            <w:shd w:val="clear" w:color="auto" w:fill="auto"/>
            <w:noWrap/>
            <w:vAlign w:val="bottom"/>
            <w:hideMark/>
          </w:tcPr>
          <w:p w:rsidR="00ED276A" w:rsidRPr="007A2D52" w:rsidRDefault="00ED276A" w:rsidP="00D46178">
            <w:pPr>
              <w:jc w:val="center"/>
              <w:rPr>
                <w:sz w:val="20"/>
              </w:rPr>
            </w:pPr>
            <w:r w:rsidRPr="007A2D52">
              <w:rPr>
                <w:sz w:val="20"/>
              </w:rPr>
              <w:t>Electronic</w:t>
            </w:r>
          </w:p>
        </w:tc>
        <w:tc>
          <w:tcPr>
            <w:tcW w:w="960" w:type="dxa"/>
            <w:tcBorders>
              <w:top w:val="nil"/>
              <w:left w:val="nil"/>
              <w:bottom w:val="single" w:sz="4" w:space="0" w:color="auto"/>
              <w:right w:val="nil"/>
            </w:tcBorders>
            <w:shd w:val="clear" w:color="auto" w:fill="auto"/>
            <w:noWrap/>
            <w:vAlign w:val="bottom"/>
            <w:hideMark/>
          </w:tcPr>
          <w:p w:rsidR="00ED276A" w:rsidRPr="007A2D52" w:rsidRDefault="00ED276A" w:rsidP="00D46178">
            <w:pPr>
              <w:jc w:val="center"/>
              <w:rPr>
                <w:sz w:val="20"/>
              </w:rPr>
            </w:pPr>
            <w:r w:rsidRPr="007A2D52">
              <w:rPr>
                <w:sz w:val="20"/>
              </w:rPr>
              <w:t>Paper</w:t>
            </w:r>
          </w:p>
        </w:tc>
        <w:tc>
          <w:tcPr>
            <w:tcW w:w="960" w:type="dxa"/>
            <w:tcBorders>
              <w:top w:val="nil"/>
              <w:left w:val="single" w:sz="4" w:space="0" w:color="auto"/>
              <w:bottom w:val="single" w:sz="4" w:space="0" w:color="auto"/>
              <w:right w:val="nil"/>
            </w:tcBorders>
            <w:shd w:val="clear" w:color="auto" w:fill="auto"/>
            <w:noWrap/>
            <w:vAlign w:val="bottom"/>
            <w:hideMark/>
          </w:tcPr>
          <w:p w:rsidR="00ED276A" w:rsidRPr="007A2D52" w:rsidRDefault="00ED276A" w:rsidP="00D46178">
            <w:pPr>
              <w:jc w:val="center"/>
              <w:rPr>
                <w:sz w:val="20"/>
              </w:rPr>
            </w:pPr>
            <w:r w:rsidRPr="007A2D52">
              <w:rPr>
                <w:sz w:val="20"/>
              </w:rPr>
              <w:t>Electronic</w:t>
            </w:r>
          </w:p>
        </w:tc>
        <w:tc>
          <w:tcPr>
            <w:tcW w:w="960" w:type="dxa"/>
            <w:tcBorders>
              <w:top w:val="nil"/>
              <w:left w:val="nil"/>
              <w:bottom w:val="single" w:sz="4" w:space="0" w:color="auto"/>
              <w:right w:val="nil"/>
            </w:tcBorders>
            <w:shd w:val="clear" w:color="auto" w:fill="auto"/>
            <w:noWrap/>
            <w:vAlign w:val="bottom"/>
            <w:hideMark/>
          </w:tcPr>
          <w:p w:rsidR="00ED276A" w:rsidRPr="007A2D52" w:rsidRDefault="00ED276A" w:rsidP="00D46178">
            <w:pPr>
              <w:jc w:val="center"/>
              <w:rPr>
                <w:sz w:val="20"/>
              </w:rPr>
            </w:pPr>
            <w:r w:rsidRPr="007A2D52">
              <w:rPr>
                <w:sz w:val="20"/>
              </w:rPr>
              <w:t>Paper</w:t>
            </w:r>
          </w:p>
        </w:tc>
        <w:tc>
          <w:tcPr>
            <w:tcW w:w="960" w:type="dxa"/>
            <w:tcBorders>
              <w:top w:val="nil"/>
              <w:left w:val="nil"/>
              <w:bottom w:val="single" w:sz="4" w:space="0" w:color="auto"/>
              <w:right w:val="nil"/>
            </w:tcBorders>
            <w:shd w:val="clear" w:color="auto" w:fill="auto"/>
            <w:noWrap/>
            <w:vAlign w:val="bottom"/>
            <w:hideMark/>
          </w:tcPr>
          <w:p w:rsidR="00ED276A" w:rsidRPr="007A2D52" w:rsidRDefault="00ED276A" w:rsidP="00D46178">
            <w:pPr>
              <w:jc w:val="center"/>
              <w:rPr>
                <w:sz w:val="20"/>
              </w:rPr>
            </w:pPr>
            <w:r w:rsidRPr="007A2D52">
              <w:rPr>
                <w:sz w:val="20"/>
              </w:rPr>
              <w:t>All</w:t>
            </w:r>
          </w:p>
        </w:tc>
      </w:tr>
      <w:tr w:rsidR="00ED276A" w:rsidRPr="00F21D32" w:rsidTr="00D46178">
        <w:trPr>
          <w:trHeight w:val="510"/>
        </w:trPr>
        <w:tc>
          <w:tcPr>
            <w:tcW w:w="3253" w:type="dxa"/>
            <w:tcBorders>
              <w:top w:val="nil"/>
              <w:left w:val="nil"/>
              <w:bottom w:val="nil"/>
              <w:right w:val="nil"/>
            </w:tcBorders>
            <w:shd w:val="clear" w:color="auto" w:fill="auto"/>
            <w:vAlign w:val="bottom"/>
            <w:hideMark/>
          </w:tcPr>
          <w:p w:rsidR="00ED276A" w:rsidRPr="007A2D52" w:rsidRDefault="00ED276A" w:rsidP="00D46178">
            <w:pPr>
              <w:rPr>
                <w:sz w:val="20"/>
              </w:rPr>
            </w:pPr>
            <w:r w:rsidRPr="007A2D52">
              <w:rPr>
                <w:sz w:val="20"/>
              </w:rPr>
              <w:t>Denied Claims and lost Appeals with Additional Information</w:t>
            </w:r>
          </w:p>
        </w:tc>
        <w:tc>
          <w:tcPr>
            <w:tcW w:w="1052" w:type="dxa"/>
            <w:tcBorders>
              <w:top w:val="nil"/>
              <w:left w:val="single" w:sz="4" w:space="0" w:color="auto"/>
              <w:bottom w:val="nil"/>
              <w:right w:val="nil"/>
            </w:tcBorders>
            <w:shd w:val="clear" w:color="auto" w:fill="auto"/>
            <w:noWrap/>
            <w:vAlign w:val="bottom"/>
            <w:hideMark/>
          </w:tcPr>
          <w:p w:rsidR="00ED276A" w:rsidRPr="007A2D52" w:rsidRDefault="00ED276A" w:rsidP="00D46178">
            <w:pPr>
              <w:jc w:val="center"/>
              <w:rPr>
                <w:sz w:val="20"/>
              </w:rPr>
            </w:pPr>
            <w:r w:rsidRPr="007A2D52">
              <w:rPr>
                <w:sz w:val="20"/>
              </w:rPr>
              <w:t>26</w:t>
            </w:r>
          </w:p>
        </w:tc>
        <w:tc>
          <w:tcPr>
            <w:tcW w:w="715" w:type="dxa"/>
            <w:tcBorders>
              <w:top w:val="nil"/>
              <w:left w:val="nil"/>
              <w:bottom w:val="nil"/>
              <w:right w:val="single" w:sz="4" w:space="0" w:color="auto"/>
            </w:tcBorders>
            <w:shd w:val="clear" w:color="auto" w:fill="auto"/>
            <w:noWrap/>
            <w:vAlign w:val="bottom"/>
            <w:hideMark/>
          </w:tcPr>
          <w:p w:rsidR="00ED276A" w:rsidRPr="007A2D52" w:rsidRDefault="00ED276A" w:rsidP="00D46178">
            <w:pPr>
              <w:jc w:val="center"/>
              <w:rPr>
                <w:sz w:val="20"/>
              </w:rPr>
            </w:pPr>
            <w:r w:rsidRPr="007A2D52">
              <w:rPr>
                <w:sz w:val="20"/>
              </w:rPr>
              <w:t>60</w:t>
            </w:r>
          </w:p>
        </w:tc>
        <w:tc>
          <w:tcPr>
            <w:tcW w:w="960" w:type="dxa"/>
            <w:tcBorders>
              <w:top w:val="nil"/>
              <w:left w:val="nil"/>
              <w:bottom w:val="nil"/>
              <w:right w:val="nil"/>
            </w:tcBorders>
            <w:shd w:val="clear" w:color="auto" w:fill="auto"/>
            <w:noWrap/>
            <w:vAlign w:val="bottom"/>
            <w:hideMark/>
          </w:tcPr>
          <w:p w:rsidR="00ED276A" w:rsidRPr="007A2D52" w:rsidRDefault="00ED276A" w:rsidP="00D46178">
            <w:pPr>
              <w:jc w:val="center"/>
              <w:rPr>
                <w:sz w:val="20"/>
              </w:rPr>
            </w:pPr>
            <w:r w:rsidRPr="007A2D52">
              <w:rPr>
                <w:sz w:val="20"/>
              </w:rPr>
              <w:t>168</w:t>
            </w:r>
          </w:p>
        </w:tc>
        <w:tc>
          <w:tcPr>
            <w:tcW w:w="960" w:type="dxa"/>
            <w:tcBorders>
              <w:top w:val="nil"/>
              <w:left w:val="nil"/>
              <w:bottom w:val="nil"/>
              <w:right w:val="nil"/>
            </w:tcBorders>
            <w:shd w:val="clear" w:color="auto" w:fill="auto"/>
            <w:noWrap/>
            <w:vAlign w:val="bottom"/>
            <w:hideMark/>
          </w:tcPr>
          <w:p w:rsidR="00ED276A" w:rsidRPr="007A2D52" w:rsidRDefault="00ED276A" w:rsidP="00D46178">
            <w:pPr>
              <w:jc w:val="center"/>
              <w:rPr>
                <w:sz w:val="20"/>
              </w:rPr>
            </w:pPr>
            <w:r w:rsidRPr="007A2D52">
              <w:rPr>
                <w:sz w:val="20"/>
              </w:rPr>
              <w:t>391</w:t>
            </w:r>
          </w:p>
        </w:tc>
        <w:tc>
          <w:tcPr>
            <w:tcW w:w="960" w:type="dxa"/>
            <w:tcBorders>
              <w:top w:val="nil"/>
              <w:left w:val="single" w:sz="4" w:space="0" w:color="auto"/>
              <w:bottom w:val="nil"/>
              <w:right w:val="nil"/>
            </w:tcBorders>
            <w:shd w:val="clear" w:color="auto" w:fill="auto"/>
            <w:noWrap/>
            <w:vAlign w:val="bottom"/>
            <w:hideMark/>
          </w:tcPr>
          <w:p w:rsidR="00ED276A" w:rsidRPr="007A2D52" w:rsidRDefault="00ED276A" w:rsidP="00D46178">
            <w:pPr>
              <w:jc w:val="center"/>
              <w:rPr>
                <w:sz w:val="20"/>
              </w:rPr>
            </w:pPr>
            <w:r w:rsidRPr="007A2D52">
              <w:rPr>
                <w:sz w:val="20"/>
              </w:rPr>
              <w:t>193</w:t>
            </w:r>
          </w:p>
        </w:tc>
        <w:tc>
          <w:tcPr>
            <w:tcW w:w="960" w:type="dxa"/>
            <w:tcBorders>
              <w:top w:val="nil"/>
              <w:left w:val="nil"/>
              <w:bottom w:val="nil"/>
              <w:right w:val="nil"/>
            </w:tcBorders>
            <w:shd w:val="clear" w:color="auto" w:fill="auto"/>
            <w:noWrap/>
            <w:vAlign w:val="bottom"/>
            <w:hideMark/>
          </w:tcPr>
          <w:p w:rsidR="00ED276A" w:rsidRPr="007A2D52" w:rsidRDefault="00ED276A" w:rsidP="00D46178">
            <w:pPr>
              <w:jc w:val="center"/>
              <w:rPr>
                <w:sz w:val="20"/>
              </w:rPr>
            </w:pPr>
            <w:r w:rsidRPr="007A2D52">
              <w:rPr>
                <w:sz w:val="20"/>
              </w:rPr>
              <w:t>451</w:t>
            </w:r>
          </w:p>
        </w:tc>
        <w:tc>
          <w:tcPr>
            <w:tcW w:w="960" w:type="dxa"/>
            <w:tcBorders>
              <w:top w:val="nil"/>
              <w:left w:val="nil"/>
              <w:bottom w:val="nil"/>
              <w:right w:val="nil"/>
            </w:tcBorders>
            <w:shd w:val="clear" w:color="auto" w:fill="auto"/>
            <w:noWrap/>
            <w:vAlign w:val="bottom"/>
            <w:hideMark/>
          </w:tcPr>
          <w:p w:rsidR="00ED276A" w:rsidRPr="007A2D52" w:rsidRDefault="00ED276A" w:rsidP="00D46178">
            <w:pPr>
              <w:jc w:val="center"/>
              <w:rPr>
                <w:sz w:val="20"/>
              </w:rPr>
            </w:pPr>
            <w:r w:rsidRPr="007A2D52">
              <w:rPr>
                <w:sz w:val="20"/>
              </w:rPr>
              <w:t>644</w:t>
            </w:r>
          </w:p>
        </w:tc>
      </w:tr>
      <w:tr w:rsidR="00ED276A" w:rsidRPr="00F21D32" w:rsidTr="00D46178">
        <w:trPr>
          <w:trHeight w:val="270"/>
        </w:trPr>
        <w:tc>
          <w:tcPr>
            <w:tcW w:w="3253" w:type="dxa"/>
            <w:tcBorders>
              <w:top w:val="nil"/>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t>Mailing cost per event</w:t>
            </w:r>
          </w:p>
        </w:tc>
        <w:tc>
          <w:tcPr>
            <w:tcW w:w="1052" w:type="dxa"/>
            <w:tcBorders>
              <w:top w:val="nil"/>
              <w:left w:val="single" w:sz="4" w:space="0" w:color="auto"/>
              <w:bottom w:val="nil"/>
              <w:right w:val="nil"/>
            </w:tcBorders>
            <w:shd w:val="clear" w:color="auto" w:fill="auto"/>
            <w:noWrap/>
            <w:vAlign w:val="bottom"/>
            <w:hideMark/>
          </w:tcPr>
          <w:p w:rsidR="00ED276A" w:rsidRPr="007A2D52" w:rsidRDefault="00ED276A" w:rsidP="00D46178">
            <w:pPr>
              <w:jc w:val="center"/>
              <w:rPr>
                <w:sz w:val="20"/>
              </w:rPr>
            </w:pPr>
            <w:r w:rsidRPr="007A2D52">
              <w:rPr>
                <w:sz w:val="20"/>
              </w:rPr>
              <w:t>$0.00</w:t>
            </w:r>
          </w:p>
        </w:tc>
        <w:tc>
          <w:tcPr>
            <w:tcW w:w="715" w:type="dxa"/>
            <w:tcBorders>
              <w:top w:val="nil"/>
              <w:left w:val="nil"/>
              <w:bottom w:val="nil"/>
              <w:right w:val="single" w:sz="4" w:space="0" w:color="auto"/>
            </w:tcBorders>
            <w:shd w:val="clear" w:color="auto" w:fill="auto"/>
            <w:noWrap/>
            <w:vAlign w:val="bottom"/>
            <w:hideMark/>
          </w:tcPr>
          <w:p w:rsidR="00ED276A" w:rsidRPr="007A2D52" w:rsidRDefault="00ED276A" w:rsidP="00D46178">
            <w:pPr>
              <w:jc w:val="center"/>
              <w:rPr>
                <w:sz w:val="20"/>
              </w:rPr>
            </w:pPr>
            <w:r w:rsidRPr="007A2D52">
              <w:rPr>
                <w:sz w:val="20"/>
              </w:rPr>
              <w:t>$2.15</w:t>
            </w:r>
          </w:p>
        </w:tc>
        <w:tc>
          <w:tcPr>
            <w:tcW w:w="960" w:type="dxa"/>
            <w:tcBorders>
              <w:top w:val="nil"/>
              <w:left w:val="nil"/>
              <w:bottom w:val="nil"/>
              <w:right w:val="nil"/>
            </w:tcBorders>
            <w:shd w:val="clear" w:color="auto" w:fill="auto"/>
            <w:noWrap/>
            <w:vAlign w:val="bottom"/>
            <w:hideMark/>
          </w:tcPr>
          <w:p w:rsidR="00ED276A" w:rsidRPr="007A2D52" w:rsidRDefault="00ED276A" w:rsidP="00D46178">
            <w:pPr>
              <w:jc w:val="center"/>
              <w:rPr>
                <w:sz w:val="20"/>
              </w:rPr>
            </w:pPr>
            <w:r w:rsidRPr="007A2D52">
              <w:rPr>
                <w:sz w:val="20"/>
              </w:rPr>
              <w:t>$0.00</w:t>
            </w:r>
          </w:p>
        </w:tc>
        <w:tc>
          <w:tcPr>
            <w:tcW w:w="960" w:type="dxa"/>
            <w:tcBorders>
              <w:top w:val="nil"/>
              <w:left w:val="nil"/>
              <w:bottom w:val="nil"/>
              <w:right w:val="nil"/>
            </w:tcBorders>
            <w:shd w:val="clear" w:color="auto" w:fill="auto"/>
            <w:noWrap/>
            <w:vAlign w:val="bottom"/>
            <w:hideMark/>
          </w:tcPr>
          <w:p w:rsidR="00ED276A" w:rsidRPr="007A2D52" w:rsidRDefault="00ED276A" w:rsidP="00D46178">
            <w:pPr>
              <w:jc w:val="center"/>
              <w:rPr>
                <w:sz w:val="20"/>
              </w:rPr>
            </w:pPr>
            <w:r w:rsidRPr="007A2D52">
              <w:rPr>
                <w:sz w:val="20"/>
              </w:rPr>
              <w:t>$2.15</w:t>
            </w:r>
          </w:p>
        </w:tc>
        <w:tc>
          <w:tcPr>
            <w:tcW w:w="960" w:type="dxa"/>
            <w:tcBorders>
              <w:top w:val="nil"/>
              <w:left w:val="single" w:sz="4" w:space="0" w:color="auto"/>
              <w:bottom w:val="nil"/>
              <w:right w:val="nil"/>
            </w:tcBorders>
            <w:shd w:val="clear" w:color="auto" w:fill="auto"/>
            <w:noWrap/>
            <w:vAlign w:val="bottom"/>
            <w:hideMark/>
          </w:tcPr>
          <w:p w:rsidR="00ED276A" w:rsidRPr="007A2D52" w:rsidRDefault="00ED276A" w:rsidP="00D46178">
            <w:pPr>
              <w:jc w:val="center"/>
              <w:rPr>
                <w:sz w:val="20"/>
              </w:rPr>
            </w:pPr>
            <w:r w:rsidRPr="007A2D52">
              <w:rPr>
                <w:sz w:val="20"/>
              </w:rPr>
              <w:t>$0.00</w:t>
            </w:r>
          </w:p>
        </w:tc>
        <w:tc>
          <w:tcPr>
            <w:tcW w:w="960" w:type="dxa"/>
            <w:tcBorders>
              <w:top w:val="nil"/>
              <w:left w:val="nil"/>
              <w:bottom w:val="nil"/>
              <w:right w:val="nil"/>
            </w:tcBorders>
            <w:shd w:val="clear" w:color="auto" w:fill="auto"/>
            <w:noWrap/>
            <w:vAlign w:val="bottom"/>
            <w:hideMark/>
          </w:tcPr>
          <w:p w:rsidR="00ED276A" w:rsidRPr="007A2D52" w:rsidRDefault="00ED276A" w:rsidP="00D46178">
            <w:pPr>
              <w:jc w:val="center"/>
              <w:rPr>
                <w:sz w:val="20"/>
              </w:rPr>
            </w:pPr>
            <w:r w:rsidRPr="007A2D52">
              <w:rPr>
                <w:sz w:val="20"/>
              </w:rPr>
              <w:t>$2.15</w:t>
            </w:r>
          </w:p>
        </w:tc>
        <w:tc>
          <w:tcPr>
            <w:tcW w:w="960" w:type="dxa"/>
            <w:tcBorders>
              <w:top w:val="nil"/>
              <w:left w:val="nil"/>
              <w:bottom w:val="nil"/>
              <w:right w:val="nil"/>
            </w:tcBorders>
            <w:shd w:val="clear" w:color="auto" w:fill="auto"/>
            <w:noWrap/>
            <w:vAlign w:val="bottom"/>
            <w:hideMark/>
          </w:tcPr>
          <w:p w:rsidR="00ED276A" w:rsidRPr="007A2D52" w:rsidRDefault="00ED276A" w:rsidP="00D46178">
            <w:pPr>
              <w:jc w:val="center"/>
              <w:rPr>
                <w:sz w:val="20"/>
              </w:rPr>
            </w:pPr>
          </w:p>
        </w:tc>
      </w:tr>
      <w:tr w:rsidR="00ED276A" w:rsidRPr="00F21D32" w:rsidTr="00D46178">
        <w:trPr>
          <w:trHeight w:val="270"/>
        </w:trPr>
        <w:tc>
          <w:tcPr>
            <w:tcW w:w="3253" w:type="dxa"/>
            <w:tcBorders>
              <w:top w:val="nil"/>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t>Total Mailing Cost</w:t>
            </w:r>
          </w:p>
        </w:tc>
        <w:tc>
          <w:tcPr>
            <w:tcW w:w="1052" w:type="dxa"/>
            <w:tcBorders>
              <w:top w:val="double" w:sz="6" w:space="0" w:color="auto"/>
              <w:left w:val="single" w:sz="4" w:space="0" w:color="auto"/>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$0.00</w:t>
            </w:r>
          </w:p>
        </w:tc>
        <w:tc>
          <w:tcPr>
            <w:tcW w:w="715" w:type="dxa"/>
            <w:tcBorders>
              <w:top w:val="double" w:sz="6" w:space="0" w:color="auto"/>
              <w:left w:val="nil"/>
              <w:bottom w:val="nil"/>
              <w:right w:val="single" w:sz="4" w:space="0" w:color="auto"/>
            </w:tcBorders>
            <w:shd w:val="clear" w:color="auto" w:fill="auto"/>
            <w:noWrap/>
            <w:vAlign w:val="bottom"/>
            <w:hideMark/>
          </w:tcPr>
          <w:p w:rsidR="00ED276A" w:rsidRPr="007A2D52" w:rsidRDefault="00ED276A" w:rsidP="00D46178">
            <w:pPr>
              <w:jc w:val="right"/>
              <w:rPr>
                <w:sz w:val="20"/>
              </w:rPr>
            </w:pPr>
            <w:r w:rsidRPr="007A2D52">
              <w:rPr>
                <w:sz w:val="20"/>
              </w:rPr>
              <w:t>$129</w:t>
            </w:r>
          </w:p>
        </w:tc>
        <w:tc>
          <w:tcPr>
            <w:tcW w:w="960" w:type="dxa"/>
            <w:tcBorders>
              <w:top w:val="double" w:sz="6" w:space="0" w:color="auto"/>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$0.00</w:t>
            </w:r>
          </w:p>
        </w:tc>
        <w:tc>
          <w:tcPr>
            <w:tcW w:w="960" w:type="dxa"/>
            <w:tcBorders>
              <w:top w:val="double" w:sz="6" w:space="0" w:color="auto"/>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$841</w:t>
            </w:r>
          </w:p>
        </w:tc>
        <w:tc>
          <w:tcPr>
            <w:tcW w:w="960" w:type="dxa"/>
            <w:tcBorders>
              <w:top w:val="double" w:sz="6" w:space="0" w:color="auto"/>
              <w:left w:val="single" w:sz="4" w:space="0" w:color="auto"/>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$0.00</w:t>
            </w:r>
          </w:p>
        </w:tc>
        <w:tc>
          <w:tcPr>
            <w:tcW w:w="960" w:type="dxa"/>
            <w:tcBorders>
              <w:top w:val="double" w:sz="6" w:space="0" w:color="auto"/>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$969</w:t>
            </w:r>
          </w:p>
        </w:tc>
        <w:tc>
          <w:tcPr>
            <w:tcW w:w="960" w:type="dxa"/>
            <w:tcBorders>
              <w:top w:val="double" w:sz="6" w:space="0" w:color="auto"/>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$969</w:t>
            </w:r>
          </w:p>
        </w:tc>
      </w:tr>
      <w:tr w:rsidR="00ED276A" w:rsidRPr="00F21D32" w:rsidTr="00D46178">
        <w:trPr>
          <w:trHeight w:val="255"/>
        </w:trPr>
        <w:tc>
          <w:tcPr>
            <w:tcW w:w="3253" w:type="dxa"/>
            <w:tcBorders>
              <w:top w:val="nil"/>
              <w:left w:val="nil"/>
              <w:bottom w:val="nil"/>
              <w:right w:val="nil"/>
            </w:tcBorders>
            <w:shd w:val="clear" w:color="auto" w:fill="auto"/>
            <w:noWrap/>
            <w:vAlign w:val="bottom"/>
            <w:hideMark/>
          </w:tcPr>
          <w:p w:rsidR="00ED276A" w:rsidRPr="007A2D52" w:rsidRDefault="00ED276A" w:rsidP="00D46178">
            <w:pPr>
              <w:rPr>
                <w:sz w:val="20"/>
              </w:rPr>
            </w:pPr>
          </w:p>
        </w:tc>
        <w:tc>
          <w:tcPr>
            <w:tcW w:w="1052" w:type="dxa"/>
            <w:tcBorders>
              <w:top w:val="nil"/>
              <w:left w:val="single" w:sz="4" w:space="0" w:color="auto"/>
              <w:bottom w:val="nil"/>
              <w:right w:val="nil"/>
            </w:tcBorders>
            <w:shd w:val="clear" w:color="auto" w:fill="auto"/>
            <w:noWrap/>
            <w:vAlign w:val="bottom"/>
            <w:hideMark/>
          </w:tcPr>
          <w:p w:rsidR="00ED276A" w:rsidRPr="007A2D52" w:rsidRDefault="00ED276A" w:rsidP="00D46178">
            <w:pPr>
              <w:rPr>
                <w:sz w:val="20"/>
              </w:rPr>
            </w:pPr>
            <w:r w:rsidRPr="007A2D52">
              <w:rPr>
                <w:sz w:val="20"/>
              </w:rPr>
              <w:t> </w:t>
            </w:r>
          </w:p>
        </w:tc>
        <w:tc>
          <w:tcPr>
            <w:tcW w:w="715" w:type="dxa"/>
            <w:tcBorders>
              <w:top w:val="nil"/>
              <w:left w:val="nil"/>
              <w:bottom w:val="nil"/>
              <w:right w:val="single" w:sz="4" w:space="0" w:color="auto"/>
            </w:tcBorders>
            <w:shd w:val="clear" w:color="auto" w:fill="auto"/>
            <w:noWrap/>
            <w:vAlign w:val="bottom"/>
            <w:hideMark/>
          </w:tcPr>
          <w:p w:rsidR="00ED276A" w:rsidRPr="007A2D52" w:rsidRDefault="00ED276A" w:rsidP="00D46178">
            <w:pPr>
              <w:rPr>
                <w:sz w:val="20"/>
              </w:rPr>
            </w:pPr>
            <w:r w:rsidRPr="007A2D52">
              <w:rPr>
                <w:sz w:val="20"/>
              </w:rPr>
              <w:t> </w:t>
            </w:r>
          </w:p>
        </w:tc>
        <w:tc>
          <w:tcPr>
            <w:tcW w:w="960" w:type="dxa"/>
            <w:tcBorders>
              <w:top w:val="nil"/>
              <w:left w:val="nil"/>
              <w:bottom w:val="nil"/>
              <w:right w:val="nil"/>
            </w:tcBorders>
            <w:shd w:val="clear" w:color="auto" w:fill="auto"/>
            <w:noWrap/>
            <w:vAlign w:val="bottom"/>
            <w:hideMark/>
          </w:tcPr>
          <w:p w:rsidR="00ED276A" w:rsidRPr="007A2D52" w:rsidRDefault="00ED276A" w:rsidP="00D46178">
            <w:pPr>
              <w:rPr>
                <w:sz w:val="20"/>
              </w:rPr>
            </w:pPr>
          </w:p>
        </w:tc>
        <w:tc>
          <w:tcPr>
            <w:tcW w:w="960" w:type="dxa"/>
            <w:tcBorders>
              <w:top w:val="nil"/>
              <w:left w:val="nil"/>
              <w:bottom w:val="nil"/>
              <w:right w:val="nil"/>
            </w:tcBorders>
            <w:shd w:val="clear" w:color="auto" w:fill="auto"/>
            <w:noWrap/>
            <w:vAlign w:val="bottom"/>
            <w:hideMark/>
          </w:tcPr>
          <w:p w:rsidR="00ED276A" w:rsidRPr="007A2D52" w:rsidRDefault="00ED276A" w:rsidP="00D46178">
            <w:pPr>
              <w:rPr>
                <w:sz w:val="20"/>
              </w:rPr>
            </w:pPr>
          </w:p>
        </w:tc>
        <w:tc>
          <w:tcPr>
            <w:tcW w:w="960" w:type="dxa"/>
            <w:tcBorders>
              <w:top w:val="nil"/>
              <w:left w:val="single" w:sz="4" w:space="0" w:color="auto"/>
              <w:bottom w:val="nil"/>
              <w:right w:val="nil"/>
            </w:tcBorders>
            <w:shd w:val="clear" w:color="auto" w:fill="auto"/>
            <w:noWrap/>
            <w:vAlign w:val="bottom"/>
            <w:hideMark/>
          </w:tcPr>
          <w:p w:rsidR="00ED276A" w:rsidRPr="007A2D52" w:rsidRDefault="00ED276A" w:rsidP="00D46178">
            <w:pPr>
              <w:rPr>
                <w:sz w:val="20"/>
              </w:rPr>
            </w:pPr>
            <w:r w:rsidRPr="007A2D52">
              <w:rPr>
                <w:sz w:val="20"/>
              </w:rPr>
              <w:t> </w:t>
            </w:r>
          </w:p>
        </w:tc>
        <w:tc>
          <w:tcPr>
            <w:tcW w:w="960" w:type="dxa"/>
            <w:tcBorders>
              <w:top w:val="nil"/>
              <w:left w:val="nil"/>
              <w:bottom w:val="nil"/>
              <w:right w:val="nil"/>
            </w:tcBorders>
            <w:shd w:val="clear" w:color="auto" w:fill="auto"/>
            <w:noWrap/>
            <w:vAlign w:val="bottom"/>
            <w:hideMark/>
          </w:tcPr>
          <w:p w:rsidR="00ED276A" w:rsidRPr="007A2D52" w:rsidRDefault="00ED276A" w:rsidP="00D46178">
            <w:pPr>
              <w:rPr>
                <w:sz w:val="20"/>
              </w:rPr>
            </w:pPr>
          </w:p>
        </w:tc>
        <w:tc>
          <w:tcPr>
            <w:tcW w:w="960" w:type="dxa"/>
            <w:tcBorders>
              <w:top w:val="nil"/>
              <w:left w:val="nil"/>
              <w:bottom w:val="nil"/>
              <w:right w:val="nil"/>
            </w:tcBorders>
            <w:shd w:val="clear" w:color="auto" w:fill="auto"/>
            <w:noWrap/>
            <w:vAlign w:val="bottom"/>
            <w:hideMark/>
          </w:tcPr>
          <w:p w:rsidR="00ED276A" w:rsidRPr="007A2D52" w:rsidRDefault="00ED276A" w:rsidP="00D46178">
            <w:pPr>
              <w:rPr>
                <w:sz w:val="20"/>
              </w:rPr>
            </w:pPr>
          </w:p>
        </w:tc>
      </w:tr>
      <w:tr w:rsidR="00ED276A" w:rsidRPr="00F21D32" w:rsidTr="00D46178">
        <w:trPr>
          <w:trHeight w:val="255"/>
        </w:trPr>
        <w:tc>
          <w:tcPr>
            <w:tcW w:w="3253" w:type="dxa"/>
            <w:tcBorders>
              <w:top w:val="nil"/>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t xml:space="preserve">Preparation Cost per event </w:t>
            </w:r>
          </w:p>
        </w:tc>
        <w:tc>
          <w:tcPr>
            <w:tcW w:w="1052" w:type="dxa"/>
            <w:tcBorders>
              <w:top w:val="nil"/>
              <w:left w:val="single" w:sz="4" w:space="0" w:color="auto"/>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$21.04</w:t>
            </w:r>
          </w:p>
        </w:tc>
        <w:tc>
          <w:tcPr>
            <w:tcW w:w="715" w:type="dxa"/>
            <w:tcBorders>
              <w:top w:val="nil"/>
              <w:left w:val="nil"/>
              <w:bottom w:val="nil"/>
              <w:right w:val="single" w:sz="4" w:space="0" w:color="auto"/>
            </w:tcBorders>
            <w:shd w:val="clear" w:color="auto" w:fill="auto"/>
            <w:noWrap/>
            <w:vAlign w:val="bottom"/>
            <w:hideMark/>
          </w:tcPr>
          <w:p w:rsidR="00ED276A" w:rsidRPr="007A2D52" w:rsidRDefault="00ED276A" w:rsidP="00D46178">
            <w:pPr>
              <w:jc w:val="right"/>
              <w:rPr>
                <w:sz w:val="20"/>
              </w:rPr>
            </w:pPr>
            <w:r w:rsidRPr="007A2D52">
              <w:rPr>
                <w:sz w:val="20"/>
              </w:rPr>
              <w:t>$21.04</w:t>
            </w:r>
          </w:p>
        </w:tc>
        <w:tc>
          <w:tcPr>
            <w:tcW w:w="9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$21.04</w:t>
            </w:r>
          </w:p>
        </w:tc>
        <w:tc>
          <w:tcPr>
            <w:tcW w:w="9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$21.04</w:t>
            </w:r>
          </w:p>
        </w:tc>
        <w:tc>
          <w:tcPr>
            <w:tcW w:w="960" w:type="dxa"/>
            <w:tcBorders>
              <w:top w:val="nil"/>
              <w:left w:val="single" w:sz="4" w:space="0" w:color="auto"/>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$21.04</w:t>
            </w:r>
          </w:p>
        </w:tc>
        <w:tc>
          <w:tcPr>
            <w:tcW w:w="9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$21.04</w:t>
            </w:r>
          </w:p>
        </w:tc>
        <w:tc>
          <w:tcPr>
            <w:tcW w:w="9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$21.04</w:t>
            </w:r>
          </w:p>
        </w:tc>
      </w:tr>
      <w:tr w:rsidR="00ED276A" w:rsidRPr="00F21D32" w:rsidTr="00D46178">
        <w:trPr>
          <w:trHeight w:val="255"/>
        </w:trPr>
        <w:tc>
          <w:tcPr>
            <w:tcW w:w="3253" w:type="dxa"/>
            <w:tcBorders>
              <w:top w:val="nil"/>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t>Total Preparation cost</w:t>
            </w:r>
          </w:p>
        </w:tc>
        <w:tc>
          <w:tcPr>
            <w:tcW w:w="1052" w:type="dxa"/>
            <w:tcBorders>
              <w:top w:val="nil"/>
              <w:left w:val="single" w:sz="4" w:space="0" w:color="auto"/>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$540</w:t>
            </w:r>
          </w:p>
        </w:tc>
        <w:tc>
          <w:tcPr>
            <w:tcW w:w="715" w:type="dxa"/>
            <w:tcBorders>
              <w:top w:val="nil"/>
              <w:left w:val="nil"/>
              <w:bottom w:val="nil"/>
              <w:right w:val="single" w:sz="4" w:space="0" w:color="auto"/>
            </w:tcBorders>
            <w:shd w:val="clear" w:color="auto" w:fill="auto"/>
            <w:noWrap/>
            <w:vAlign w:val="bottom"/>
            <w:hideMark/>
          </w:tcPr>
          <w:p w:rsidR="00ED276A" w:rsidRPr="007A2D52" w:rsidRDefault="00ED276A" w:rsidP="00D46178">
            <w:pPr>
              <w:jc w:val="right"/>
              <w:rPr>
                <w:sz w:val="20"/>
              </w:rPr>
            </w:pPr>
            <w:r w:rsidRPr="007A2D52">
              <w:rPr>
                <w:sz w:val="20"/>
              </w:rPr>
              <w:t>$1,260</w:t>
            </w:r>
          </w:p>
        </w:tc>
        <w:tc>
          <w:tcPr>
            <w:tcW w:w="9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$3,526</w:t>
            </w:r>
          </w:p>
        </w:tc>
        <w:tc>
          <w:tcPr>
            <w:tcW w:w="9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$8,227</w:t>
            </w:r>
          </w:p>
        </w:tc>
        <w:tc>
          <w:tcPr>
            <w:tcW w:w="960" w:type="dxa"/>
            <w:tcBorders>
              <w:top w:val="nil"/>
              <w:left w:val="single" w:sz="4" w:space="0" w:color="auto"/>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$4,066</w:t>
            </w:r>
          </w:p>
        </w:tc>
        <w:tc>
          <w:tcPr>
            <w:tcW w:w="9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$9,487</w:t>
            </w:r>
          </w:p>
        </w:tc>
        <w:tc>
          <w:tcPr>
            <w:tcW w:w="9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$13,553</w:t>
            </w:r>
          </w:p>
        </w:tc>
      </w:tr>
      <w:tr w:rsidR="00ED276A" w:rsidRPr="00F21D32" w:rsidTr="00D46178">
        <w:trPr>
          <w:trHeight w:val="270"/>
        </w:trPr>
        <w:tc>
          <w:tcPr>
            <w:tcW w:w="3253" w:type="dxa"/>
            <w:tcBorders>
              <w:top w:val="nil"/>
              <w:left w:val="nil"/>
              <w:bottom w:val="nil"/>
              <w:right w:val="nil"/>
            </w:tcBorders>
            <w:shd w:val="clear" w:color="auto" w:fill="auto"/>
            <w:noWrap/>
            <w:vAlign w:val="bottom"/>
            <w:hideMark/>
          </w:tcPr>
          <w:p w:rsidR="00ED276A" w:rsidRPr="007A2D52" w:rsidRDefault="00ED276A" w:rsidP="00D46178">
            <w:pPr>
              <w:rPr>
                <w:sz w:val="20"/>
              </w:rPr>
            </w:pPr>
          </w:p>
        </w:tc>
        <w:tc>
          <w:tcPr>
            <w:tcW w:w="1052" w:type="dxa"/>
            <w:tcBorders>
              <w:top w:val="nil"/>
              <w:left w:val="single" w:sz="4" w:space="0" w:color="auto"/>
              <w:bottom w:val="nil"/>
              <w:right w:val="nil"/>
            </w:tcBorders>
            <w:shd w:val="clear" w:color="auto" w:fill="auto"/>
            <w:noWrap/>
            <w:vAlign w:val="bottom"/>
            <w:hideMark/>
          </w:tcPr>
          <w:p w:rsidR="00ED276A" w:rsidRPr="007A2D52" w:rsidRDefault="00ED276A" w:rsidP="00D46178">
            <w:pPr>
              <w:rPr>
                <w:sz w:val="20"/>
              </w:rPr>
            </w:pPr>
            <w:r w:rsidRPr="007A2D52">
              <w:rPr>
                <w:sz w:val="20"/>
              </w:rPr>
              <w:t> </w:t>
            </w:r>
          </w:p>
        </w:tc>
        <w:tc>
          <w:tcPr>
            <w:tcW w:w="715" w:type="dxa"/>
            <w:tcBorders>
              <w:top w:val="nil"/>
              <w:left w:val="nil"/>
              <w:bottom w:val="nil"/>
              <w:right w:val="single" w:sz="4" w:space="0" w:color="auto"/>
            </w:tcBorders>
            <w:shd w:val="clear" w:color="auto" w:fill="auto"/>
            <w:noWrap/>
            <w:vAlign w:val="bottom"/>
            <w:hideMark/>
          </w:tcPr>
          <w:p w:rsidR="00ED276A" w:rsidRPr="007A2D52" w:rsidRDefault="00ED276A" w:rsidP="00D46178">
            <w:pPr>
              <w:rPr>
                <w:sz w:val="20"/>
              </w:rPr>
            </w:pPr>
            <w:r w:rsidRPr="007A2D52">
              <w:rPr>
                <w:sz w:val="20"/>
              </w:rPr>
              <w:t> </w:t>
            </w:r>
          </w:p>
        </w:tc>
        <w:tc>
          <w:tcPr>
            <w:tcW w:w="960" w:type="dxa"/>
            <w:tcBorders>
              <w:top w:val="nil"/>
              <w:left w:val="nil"/>
              <w:bottom w:val="nil"/>
              <w:right w:val="nil"/>
            </w:tcBorders>
            <w:shd w:val="clear" w:color="auto" w:fill="auto"/>
            <w:noWrap/>
            <w:vAlign w:val="bottom"/>
            <w:hideMark/>
          </w:tcPr>
          <w:p w:rsidR="00ED276A" w:rsidRPr="007A2D52" w:rsidRDefault="00ED276A" w:rsidP="00D46178">
            <w:pPr>
              <w:rPr>
                <w:sz w:val="20"/>
              </w:rPr>
            </w:pPr>
          </w:p>
        </w:tc>
        <w:tc>
          <w:tcPr>
            <w:tcW w:w="960" w:type="dxa"/>
            <w:tcBorders>
              <w:top w:val="nil"/>
              <w:left w:val="nil"/>
              <w:bottom w:val="nil"/>
              <w:right w:val="nil"/>
            </w:tcBorders>
            <w:shd w:val="clear" w:color="auto" w:fill="auto"/>
            <w:noWrap/>
            <w:vAlign w:val="bottom"/>
            <w:hideMark/>
          </w:tcPr>
          <w:p w:rsidR="00ED276A" w:rsidRPr="007A2D52" w:rsidRDefault="00ED276A" w:rsidP="00D46178">
            <w:pPr>
              <w:rPr>
                <w:sz w:val="20"/>
              </w:rPr>
            </w:pPr>
          </w:p>
        </w:tc>
        <w:tc>
          <w:tcPr>
            <w:tcW w:w="960" w:type="dxa"/>
            <w:tcBorders>
              <w:top w:val="nil"/>
              <w:left w:val="single" w:sz="4" w:space="0" w:color="auto"/>
              <w:bottom w:val="nil"/>
              <w:right w:val="nil"/>
            </w:tcBorders>
            <w:shd w:val="clear" w:color="auto" w:fill="auto"/>
            <w:noWrap/>
            <w:vAlign w:val="bottom"/>
            <w:hideMark/>
          </w:tcPr>
          <w:p w:rsidR="00ED276A" w:rsidRPr="007A2D52" w:rsidRDefault="00ED276A" w:rsidP="00D46178">
            <w:pPr>
              <w:rPr>
                <w:sz w:val="20"/>
              </w:rPr>
            </w:pPr>
            <w:r w:rsidRPr="007A2D52">
              <w:rPr>
                <w:sz w:val="20"/>
              </w:rPr>
              <w:t> </w:t>
            </w:r>
          </w:p>
        </w:tc>
        <w:tc>
          <w:tcPr>
            <w:tcW w:w="960" w:type="dxa"/>
            <w:tcBorders>
              <w:top w:val="nil"/>
              <w:left w:val="nil"/>
              <w:bottom w:val="nil"/>
              <w:right w:val="nil"/>
            </w:tcBorders>
            <w:shd w:val="clear" w:color="auto" w:fill="auto"/>
            <w:noWrap/>
            <w:vAlign w:val="bottom"/>
            <w:hideMark/>
          </w:tcPr>
          <w:p w:rsidR="00ED276A" w:rsidRPr="007A2D52" w:rsidRDefault="00ED276A" w:rsidP="00D46178">
            <w:pPr>
              <w:rPr>
                <w:sz w:val="20"/>
              </w:rPr>
            </w:pPr>
          </w:p>
        </w:tc>
        <w:tc>
          <w:tcPr>
            <w:tcW w:w="960" w:type="dxa"/>
            <w:tcBorders>
              <w:top w:val="nil"/>
              <w:left w:val="nil"/>
              <w:bottom w:val="double" w:sz="6" w:space="0" w:color="auto"/>
              <w:right w:val="nil"/>
            </w:tcBorders>
            <w:shd w:val="clear" w:color="auto" w:fill="auto"/>
            <w:noWrap/>
            <w:vAlign w:val="bottom"/>
            <w:hideMark/>
          </w:tcPr>
          <w:p w:rsidR="00ED276A" w:rsidRPr="007A2D52" w:rsidRDefault="00ED276A" w:rsidP="00D46178">
            <w:pPr>
              <w:rPr>
                <w:sz w:val="20"/>
              </w:rPr>
            </w:pPr>
            <w:r w:rsidRPr="007A2D52">
              <w:rPr>
                <w:sz w:val="20"/>
              </w:rPr>
              <w:t> </w:t>
            </w:r>
          </w:p>
        </w:tc>
      </w:tr>
      <w:tr w:rsidR="00ED276A" w:rsidRPr="00F21D32" w:rsidTr="00D46178">
        <w:trPr>
          <w:trHeight w:val="285"/>
        </w:trPr>
        <w:tc>
          <w:tcPr>
            <w:tcW w:w="3253" w:type="dxa"/>
            <w:tcBorders>
              <w:top w:val="nil"/>
              <w:left w:val="nil"/>
              <w:bottom w:val="single" w:sz="8" w:space="0" w:color="auto"/>
              <w:right w:val="nil"/>
            </w:tcBorders>
            <w:shd w:val="clear" w:color="auto" w:fill="auto"/>
            <w:noWrap/>
            <w:vAlign w:val="bottom"/>
            <w:hideMark/>
          </w:tcPr>
          <w:p w:rsidR="00ED276A" w:rsidRPr="007A2D52" w:rsidRDefault="00ED276A" w:rsidP="00D46178">
            <w:pPr>
              <w:rPr>
                <w:sz w:val="20"/>
              </w:rPr>
            </w:pPr>
            <w:r w:rsidRPr="007A2D52">
              <w:rPr>
                <w:sz w:val="20"/>
              </w:rPr>
              <w:t>Total</w:t>
            </w:r>
          </w:p>
        </w:tc>
        <w:tc>
          <w:tcPr>
            <w:tcW w:w="1052" w:type="dxa"/>
            <w:tcBorders>
              <w:top w:val="double" w:sz="6" w:space="0" w:color="auto"/>
              <w:left w:val="single" w:sz="4" w:space="0" w:color="auto"/>
              <w:bottom w:val="single" w:sz="8" w:space="0" w:color="auto"/>
              <w:right w:val="nil"/>
            </w:tcBorders>
            <w:shd w:val="clear" w:color="auto" w:fill="auto"/>
            <w:noWrap/>
            <w:vAlign w:val="bottom"/>
            <w:hideMark/>
          </w:tcPr>
          <w:p w:rsidR="00ED276A" w:rsidRPr="007A2D52" w:rsidRDefault="00ED276A" w:rsidP="00D46178">
            <w:pPr>
              <w:jc w:val="right"/>
              <w:rPr>
                <w:sz w:val="20"/>
              </w:rPr>
            </w:pPr>
            <w:r w:rsidRPr="007A2D52">
              <w:rPr>
                <w:sz w:val="20"/>
              </w:rPr>
              <w:t>$540</w:t>
            </w:r>
          </w:p>
        </w:tc>
        <w:tc>
          <w:tcPr>
            <w:tcW w:w="715" w:type="dxa"/>
            <w:tcBorders>
              <w:top w:val="double" w:sz="6" w:space="0" w:color="auto"/>
              <w:left w:val="nil"/>
              <w:bottom w:val="single" w:sz="8" w:space="0" w:color="auto"/>
              <w:right w:val="single" w:sz="4" w:space="0" w:color="auto"/>
            </w:tcBorders>
            <w:shd w:val="clear" w:color="auto" w:fill="auto"/>
            <w:noWrap/>
            <w:vAlign w:val="bottom"/>
            <w:hideMark/>
          </w:tcPr>
          <w:p w:rsidR="00ED276A" w:rsidRPr="007A2D52" w:rsidRDefault="00ED276A" w:rsidP="00D46178">
            <w:pPr>
              <w:jc w:val="right"/>
              <w:rPr>
                <w:sz w:val="20"/>
              </w:rPr>
            </w:pPr>
            <w:r w:rsidRPr="007A2D52">
              <w:rPr>
                <w:sz w:val="20"/>
              </w:rPr>
              <w:t>$1,388</w:t>
            </w:r>
          </w:p>
        </w:tc>
        <w:tc>
          <w:tcPr>
            <w:tcW w:w="960" w:type="dxa"/>
            <w:tcBorders>
              <w:top w:val="double" w:sz="6" w:space="0" w:color="auto"/>
              <w:left w:val="nil"/>
              <w:bottom w:val="single" w:sz="8" w:space="0" w:color="auto"/>
              <w:right w:val="nil"/>
            </w:tcBorders>
            <w:shd w:val="clear" w:color="auto" w:fill="auto"/>
            <w:noWrap/>
            <w:vAlign w:val="bottom"/>
            <w:hideMark/>
          </w:tcPr>
          <w:p w:rsidR="00ED276A" w:rsidRPr="007A2D52" w:rsidRDefault="00ED276A" w:rsidP="00D46178">
            <w:pPr>
              <w:jc w:val="right"/>
              <w:rPr>
                <w:sz w:val="20"/>
              </w:rPr>
            </w:pPr>
            <w:r w:rsidRPr="007A2D52">
              <w:rPr>
                <w:sz w:val="20"/>
              </w:rPr>
              <w:t>$3,526</w:t>
            </w:r>
          </w:p>
        </w:tc>
        <w:tc>
          <w:tcPr>
            <w:tcW w:w="960" w:type="dxa"/>
            <w:tcBorders>
              <w:top w:val="double" w:sz="6" w:space="0" w:color="auto"/>
              <w:left w:val="nil"/>
              <w:bottom w:val="single" w:sz="8" w:space="0" w:color="auto"/>
              <w:right w:val="nil"/>
            </w:tcBorders>
            <w:shd w:val="clear" w:color="auto" w:fill="auto"/>
            <w:noWrap/>
            <w:vAlign w:val="bottom"/>
            <w:hideMark/>
          </w:tcPr>
          <w:p w:rsidR="00ED276A" w:rsidRPr="007A2D52" w:rsidRDefault="00ED276A" w:rsidP="00D46178">
            <w:pPr>
              <w:jc w:val="right"/>
              <w:rPr>
                <w:sz w:val="20"/>
              </w:rPr>
            </w:pPr>
            <w:r w:rsidRPr="007A2D52">
              <w:rPr>
                <w:sz w:val="20"/>
              </w:rPr>
              <w:t>$9,068</w:t>
            </w:r>
          </w:p>
        </w:tc>
        <w:tc>
          <w:tcPr>
            <w:tcW w:w="960" w:type="dxa"/>
            <w:tcBorders>
              <w:top w:val="double" w:sz="6" w:space="0" w:color="auto"/>
              <w:left w:val="single" w:sz="4" w:space="0" w:color="auto"/>
              <w:bottom w:val="single" w:sz="8" w:space="0" w:color="auto"/>
              <w:right w:val="nil"/>
            </w:tcBorders>
            <w:shd w:val="clear" w:color="auto" w:fill="auto"/>
            <w:noWrap/>
            <w:vAlign w:val="bottom"/>
            <w:hideMark/>
          </w:tcPr>
          <w:p w:rsidR="00ED276A" w:rsidRPr="007A2D52" w:rsidRDefault="00ED276A" w:rsidP="00D46178">
            <w:pPr>
              <w:jc w:val="right"/>
              <w:rPr>
                <w:sz w:val="20"/>
              </w:rPr>
            </w:pPr>
            <w:r w:rsidRPr="007A2D52">
              <w:rPr>
                <w:sz w:val="20"/>
              </w:rPr>
              <w:t>$4,066</w:t>
            </w:r>
          </w:p>
        </w:tc>
        <w:tc>
          <w:tcPr>
            <w:tcW w:w="960" w:type="dxa"/>
            <w:tcBorders>
              <w:top w:val="double" w:sz="6" w:space="0" w:color="auto"/>
              <w:left w:val="nil"/>
              <w:bottom w:val="single" w:sz="8" w:space="0" w:color="auto"/>
              <w:right w:val="nil"/>
            </w:tcBorders>
            <w:shd w:val="clear" w:color="auto" w:fill="auto"/>
            <w:noWrap/>
            <w:vAlign w:val="bottom"/>
            <w:hideMark/>
          </w:tcPr>
          <w:p w:rsidR="00ED276A" w:rsidRPr="007A2D52" w:rsidRDefault="00ED276A" w:rsidP="00D46178">
            <w:pPr>
              <w:jc w:val="right"/>
              <w:rPr>
                <w:sz w:val="20"/>
              </w:rPr>
            </w:pPr>
            <w:r w:rsidRPr="007A2D52">
              <w:rPr>
                <w:sz w:val="20"/>
              </w:rPr>
              <w:t>$10,456</w:t>
            </w:r>
          </w:p>
        </w:tc>
        <w:tc>
          <w:tcPr>
            <w:tcW w:w="960" w:type="dxa"/>
            <w:tcBorders>
              <w:top w:val="nil"/>
              <w:left w:val="nil"/>
              <w:bottom w:val="single" w:sz="8" w:space="0" w:color="auto"/>
              <w:right w:val="nil"/>
            </w:tcBorders>
            <w:shd w:val="clear" w:color="auto" w:fill="auto"/>
            <w:noWrap/>
            <w:vAlign w:val="bottom"/>
            <w:hideMark/>
          </w:tcPr>
          <w:p w:rsidR="00ED276A" w:rsidRPr="007A2D52" w:rsidRDefault="00ED276A" w:rsidP="00D46178">
            <w:pPr>
              <w:jc w:val="right"/>
              <w:rPr>
                <w:sz w:val="20"/>
              </w:rPr>
            </w:pPr>
            <w:r w:rsidRPr="007A2D52">
              <w:rPr>
                <w:sz w:val="20"/>
              </w:rPr>
              <w:t>$14,522</w:t>
            </w:r>
          </w:p>
        </w:tc>
      </w:tr>
    </w:tbl>
    <w:p w:rsidR="003B081E" w:rsidRDefault="003B081E" w:rsidP="003B081E">
      <w:pPr>
        <w:spacing w:line="480" w:lineRule="auto"/>
        <w:ind w:firstLine="720"/>
      </w:pPr>
    </w:p>
    <w:p w:rsidR="00ED276A" w:rsidRDefault="00ED276A" w:rsidP="00ED276A">
      <w:pPr>
        <w:spacing w:after="200"/>
        <w:ind w:firstLine="720"/>
        <w:contextualSpacing/>
      </w:pPr>
      <w:r w:rsidRPr="007A2D52">
        <w:rPr>
          <w:i/>
        </w:rPr>
        <w:lastRenderedPageBreak/>
        <w:t>Adverse benefit determinations on disability benefit claims would have to contain a discussion of the decision, including the basis for disagreeing with SSA Disability Determination and Views of Treating Physician:</w:t>
      </w:r>
      <w:r w:rsidRPr="007A2D52">
        <w:t xml:space="preserve"> Commenters on the proposal noted that costs </w:t>
      </w:r>
      <w:r w:rsidRPr="003B1D63">
        <w:t>were</w:t>
      </w:r>
      <w:r w:rsidRPr="007A2D52">
        <w:t xml:space="preserve"> not quantified for the added burden of including in the benefit determination a discussion of why the plan did not follow the determination of the </w:t>
      </w:r>
      <w:r w:rsidRPr="00C82AC6">
        <w:t>SSA</w:t>
      </w:r>
      <w:r w:rsidRPr="007A2D52">
        <w:t xml:space="preserve"> or views of health care professionals that treated the claimant. Commenters did not provide data or information that would provide the Department with sufficient data to quantify such costs.  Thus, while the Department agrees that there could be added burden imposed on plans to provide this discussion in adverse benefit determinations, the Department is unable to estimate the burden </w:t>
      </w:r>
      <w:r>
        <w:t>because it does not have sufficient data on the number or percent of claims that would need to contain this discussion</w:t>
      </w:r>
      <w:r w:rsidRPr="00C82AC6">
        <w:t>.</w:t>
      </w:r>
    </w:p>
    <w:p w:rsidR="00753F3B" w:rsidRPr="007A2D52" w:rsidRDefault="00753F3B" w:rsidP="00ED276A">
      <w:pPr>
        <w:spacing w:after="200"/>
        <w:ind w:firstLine="720"/>
        <w:contextualSpacing/>
      </w:pPr>
    </w:p>
    <w:p w:rsidR="00ED276A" w:rsidRDefault="00ED276A" w:rsidP="00ED276A">
      <w:pPr>
        <w:ind w:firstLine="720"/>
      </w:pPr>
      <w:r w:rsidRPr="003B1D63">
        <w:t>Departmental invest</w:t>
      </w:r>
      <w:r>
        <w:t>igat</w:t>
      </w:r>
      <w:r w:rsidRPr="003B1D63">
        <w:t xml:space="preserve">ors reviewing disability claims report that if the plan deviates from an attending physician’s recommendation, a review </w:t>
      </w:r>
      <w:r>
        <w:t xml:space="preserve">is conducted </w:t>
      </w:r>
      <w:r w:rsidRPr="003B1D63">
        <w:t>by a supervisor, nurse, medical director or a consultant.  This additional review usually generates documentation in the claim file.  While this documentation may not be adequate in its current form to satisfy the requirement</w:t>
      </w:r>
      <w:r>
        <w:t>, the incremental costs to comply could be small, because it appears that deviations from physician's recommendations are documented currently</w:t>
      </w:r>
      <w:r w:rsidRPr="003B1D63">
        <w:t>.  Plans or insurers may still need to prepare a response using the already available information.  The Department does not know how many claim determinations would require this discussion.  The average hourly labor rate of a nurse is $46.</w:t>
      </w:r>
      <w:r>
        <w:t>02</w:t>
      </w:r>
      <w:r w:rsidRPr="003B1D63">
        <w:t xml:space="preserve"> and that of a physician is $</w:t>
      </w:r>
      <w:r>
        <w:t>157.80, and the Department estimates that p</w:t>
      </w:r>
      <w:r w:rsidRPr="003B1D63">
        <w:t xml:space="preserve">reparing a report with information already available should </w:t>
      </w:r>
      <w:r>
        <w:t xml:space="preserve">not </w:t>
      </w:r>
      <w:r w:rsidRPr="003B1D63">
        <w:t xml:space="preserve">take </w:t>
      </w:r>
      <w:r>
        <w:t>more than one hour</w:t>
      </w:r>
      <w:r w:rsidRPr="003B1D63">
        <w:t>.</w:t>
      </w:r>
    </w:p>
    <w:p w:rsidR="00753F3B" w:rsidRPr="003B1D63" w:rsidRDefault="00753F3B" w:rsidP="00ED276A">
      <w:pPr>
        <w:ind w:firstLine="720"/>
      </w:pPr>
    </w:p>
    <w:p w:rsidR="00ED276A" w:rsidRDefault="00ED276A" w:rsidP="00ED276A">
      <w:pPr>
        <w:spacing w:after="200"/>
        <w:ind w:firstLine="720"/>
        <w:contextualSpacing/>
      </w:pPr>
      <w:r w:rsidRPr="007A2D52">
        <w:rPr>
          <w:i/>
        </w:rPr>
        <w:t xml:space="preserve">Adverse benefit determination would have to contain the internal rules, guidelines, protocols, standards, or other similar criteria of the plan used in denying the claim.  </w:t>
      </w:r>
      <w:r w:rsidRPr="007A2D52">
        <w:t>The Department believes that this requirement will have minimal costs.  In the process of determining a claim, plans will know, or should know, the internal rules, guidelines or protocols that were used to make a benefit determination.  A commenter was concerned about the time and costs that would be required to comb through hundreds of pages of a claim manual to determine that no provision has any conceivable application to a particular claim in order to substantiate this requirement.  The Department believes that neither the proposal nor the final rule requires this type of costly and time</w:t>
      </w:r>
      <w:r w:rsidR="00594947">
        <w:t xml:space="preserve"> </w:t>
      </w:r>
      <w:r w:rsidRPr="007A2D52">
        <w:t>consuming process. The rule requires only the inclusion of those items that were relied upon and that should already be documented in the claim file at the time it was used to make a determination.</w:t>
      </w:r>
    </w:p>
    <w:p w:rsidR="00753F3B" w:rsidRPr="007A2D52" w:rsidRDefault="00753F3B" w:rsidP="00ED276A">
      <w:pPr>
        <w:spacing w:after="200"/>
        <w:ind w:firstLine="720"/>
        <w:contextualSpacing/>
      </w:pPr>
    </w:p>
    <w:p w:rsidR="00ED276A" w:rsidRDefault="00ED276A" w:rsidP="00ED276A">
      <w:pPr>
        <w:spacing w:after="200"/>
        <w:ind w:firstLine="720"/>
        <w:contextualSpacing/>
      </w:pPr>
      <w:r w:rsidRPr="007A2D52">
        <w:rPr>
          <w:i/>
        </w:rPr>
        <w:t xml:space="preserve">A notice of adverse benefit determination at the claims stage would have to contain a statement that the claimant is entitled to receive relevant documents upon request.  </w:t>
      </w:r>
      <w:r w:rsidRPr="007A2D52">
        <w:t>The Department believes that this requirement will have a negligible cost impact, because an insignificant amount of time will be required to add the statement to the notice.</w:t>
      </w:r>
      <w:r w:rsidRPr="003B1D63">
        <w:t xml:space="preserve"> </w:t>
      </w:r>
      <w:r>
        <w:t xml:space="preserve"> Although the current claims procedure regulation provides claimants with the right to request relevant documents when challenging an initial claims denial, a statement was required to be included </w:t>
      </w:r>
      <w:r>
        <w:lastRenderedPageBreak/>
        <w:t>only in notices of adverse benefit determinations on appeal.  Including the statement in the initial denial notice as required by the final rule, in the Department’s view, merely confirms claimants’ rights under the current claims procedure regulation and will help ensure that they understand their right to receive such information to help them understand the reasons for the denial and to make informed decisions regarding whether and how they challenge a denial on appeal.  The Department acknowledges that it is likely that more claimants will request this information when they are informed of their right to receive it; however, the Department does not have sufficient data to estimate the number of requests that will be made.</w:t>
      </w:r>
    </w:p>
    <w:p w:rsidR="00753F3B" w:rsidRPr="007A2D52" w:rsidRDefault="00753F3B" w:rsidP="00ED276A">
      <w:pPr>
        <w:spacing w:after="200"/>
        <w:ind w:firstLine="720"/>
        <w:contextualSpacing/>
      </w:pPr>
    </w:p>
    <w:p w:rsidR="00ED276A" w:rsidRDefault="00ED276A" w:rsidP="00ED276A">
      <w:pPr>
        <w:spacing w:after="200"/>
        <w:ind w:firstLine="360"/>
        <w:contextualSpacing/>
        <w:rPr>
          <w:color w:val="000000"/>
        </w:rPr>
      </w:pPr>
      <w:r w:rsidRPr="007A2D52">
        <w:rPr>
          <w:i/>
        </w:rPr>
        <w:t xml:space="preserve">Culturally and Linguistically Appropriate Notices: </w:t>
      </w:r>
      <w:r w:rsidRPr="007A2D52">
        <w:t xml:space="preserve">The final regulations require notices of adverse benefit determinations with respect to disability benefits to be provided in a culturally and linguistically appropriate manner in certain situations.  This requirement is satisfied if plans provide oral language services including answering questions and providing assistance with filing claims and appeals in any applicable non-English language.  </w:t>
      </w:r>
      <w:r w:rsidRPr="007A2D52">
        <w:rPr>
          <w:color w:val="000000"/>
        </w:rPr>
        <w:t>The final regulations also require each notice sent by a plan to which the requirement applies to include a one-sentence statement in the relevant non-English language that translation services are available</w:t>
      </w:r>
      <w:r w:rsidRPr="003B1D63">
        <w:rPr>
          <w:color w:val="000000"/>
        </w:rPr>
        <w:t xml:space="preserve">. </w:t>
      </w:r>
      <w:r>
        <w:t>The Department</w:t>
      </w:r>
      <w:r w:rsidRPr="003B1D63">
        <w:t xml:space="preserve"> believe</w:t>
      </w:r>
      <w:r>
        <w:t>s</w:t>
      </w:r>
      <w:r w:rsidRPr="003B1D63">
        <w:t xml:space="preserve"> that this requirement will have </w:t>
      </w:r>
      <w:r>
        <w:t xml:space="preserve">a negligible </w:t>
      </w:r>
      <w:r w:rsidRPr="003B1D63">
        <w:t>cost</w:t>
      </w:r>
      <w:r>
        <w:t xml:space="preserve"> impact. </w:t>
      </w:r>
      <w:r w:rsidRPr="007A2D52">
        <w:t xml:space="preserve"> </w:t>
      </w:r>
      <w:r w:rsidRPr="007A2D52">
        <w:rPr>
          <w:color w:val="000000"/>
        </w:rPr>
        <w:t xml:space="preserve"> Plans also must provide, upon request, a notice in any applicable non-English language.</w:t>
      </w:r>
    </w:p>
    <w:p w:rsidR="00753F3B" w:rsidRPr="007A2D52" w:rsidRDefault="00753F3B" w:rsidP="00ED276A">
      <w:pPr>
        <w:spacing w:after="200"/>
        <w:ind w:firstLine="360"/>
        <w:contextualSpacing/>
        <w:rPr>
          <w:color w:val="000000"/>
        </w:rPr>
      </w:pPr>
    </w:p>
    <w:p w:rsidR="00ED276A" w:rsidRDefault="00ED276A" w:rsidP="00ED276A">
      <w:pPr>
        <w:ind w:firstLine="720"/>
        <w:rPr>
          <w:color w:val="000000"/>
        </w:rPr>
      </w:pPr>
      <w:r w:rsidRPr="007A2D52">
        <w:rPr>
          <w:color w:val="000000"/>
        </w:rPr>
        <w:t>Although, one commenter reported that oral translation services are not provided by plans, the Department’s conversations with the regulated community indicate that oral translation services generally are offered as a standard service.  Based on this information, the Department assumes that only a small number of plans will need to begin offering oral translation services for the first time upon the issuance of the final rule.  Therefore, the Department assumes that this requirement will impose minimal additional costs.</w:t>
      </w:r>
    </w:p>
    <w:p w:rsidR="00753F3B" w:rsidRPr="007A2D52" w:rsidRDefault="00753F3B" w:rsidP="00ED276A">
      <w:pPr>
        <w:ind w:firstLine="720"/>
        <w:rPr>
          <w:color w:val="000000"/>
        </w:rPr>
      </w:pPr>
    </w:p>
    <w:p w:rsidR="00ED276A" w:rsidRPr="007A2D52" w:rsidRDefault="00ED276A" w:rsidP="00ED276A">
      <w:pPr>
        <w:ind w:firstLine="720"/>
        <w:rPr>
          <w:color w:val="000000"/>
        </w:rPr>
      </w:pPr>
      <w:r w:rsidRPr="007A2D52">
        <w:rPr>
          <w:color w:val="000000"/>
        </w:rPr>
        <w:t xml:space="preserve">The Department expects that the largest cost associated with the requirement is for plans to provide notices in the applicable non-English language upon request.  </w:t>
      </w:r>
      <w:r w:rsidRPr="003B1D63">
        <w:rPr>
          <w:color w:val="000000"/>
        </w:rPr>
        <w:t xml:space="preserve">  </w:t>
      </w:r>
      <w:r w:rsidRPr="007A2D52">
        <w:rPr>
          <w:color w:val="000000"/>
        </w:rPr>
        <w:t xml:space="preserve">Based on 2014 ACS data, the Department estimates that there are about 22.7 million individuals living in covered counties that are literate </w:t>
      </w:r>
      <w:r>
        <w:rPr>
          <w:color w:val="000000"/>
        </w:rPr>
        <w:t>only</w:t>
      </w:r>
      <w:r w:rsidRPr="00C82AC6">
        <w:rPr>
          <w:color w:val="000000"/>
        </w:rPr>
        <w:t xml:space="preserve"> </w:t>
      </w:r>
      <w:r w:rsidRPr="007A2D52">
        <w:rPr>
          <w:color w:val="000000"/>
        </w:rPr>
        <w:t xml:space="preserve">in a </w:t>
      </w:r>
      <w:r>
        <w:rPr>
          <w:color w:val="000000"/>
        </w:rPr>
        <w:t xml:space="preserve">covered </w:t>
      </w:r>
      <w:r w:rsidRPr="00C82AC6">
        <w:rPr>
          <w:color w:val="000000"/>
        </w:rPr>
        <w:t xml:space="preserve"> </w:t>
      </w:r>
      <w:r w:rsidRPr="007A2D52">
        <w:rPr>
          <w:color w:val="000000"/>
        </w:rPr>
        <w:t>non-English Language.</w:t>
      </w:r>
      <w:r w:rsidRPr="008C2681">
        <w:rPr>
          <w:rStyle w:val="FootnoteReference"/>
          <w:color w:val="000000"/>
          <w:sz w:val="20"/>
          <w:szCs w:val="20"/>
          <w:vertAlign w:val="superscript"/>
        </w:rPr>
        <w:footnoteReference w:id="8"/>
      </w:r>
      <w:r w:rsidRPr="008C2681">
        <w:rPr>
          <w:color w:val="000000"/>
          <w:sz w:val="20"/>
          <w:szCs w:val="20"/>
          <w:vertAlign w:val="superscript"/>
        </w:rPr>
        <w:t xml:space="preserve"> </w:t>
      </w:r>
      <w:r w:rsidRPr="007A2D52">
        <w:rPr>
          <w:color w:val="000000"/>
        </w:rPr>
        <w:t xml:space="preserve"> To estimate the number of these individuals that might request a notice in a non-English language, the Department estimated the number of workers in each </w:t>
      </w:r>
      <w:r>
        <w:rPr>
          <w:color w:val="000000"/>
        </w:rPr>
        <w:t xml:space="preserve">county </w:t>
      </w:r>
      <w:r w:rsidRPr="00C82AC6">
        <w:rPr>
          <w:color w:val="000000"/>
        </w:rPr>
        <w:t xml:space="preserve"> </w:t>
      </w:r>
      <w:r w:rsidRPr="007A2D52">
        <w:rPr>
          <w:color w:val="000000"/>
        </w:rPr>
        <w:t>(total population in county</w:t>
      </w:r>
      <w:r>
        <w:rPr>
          <w:color w:val="000000"/>
        </w:rPr>
        <w:t xml:space="preserve"> </w:t>
      </w:r>
      <w:r w:rsidRPr="007A2D52">
        <w:rPr>
          <w:color w:val="000000"/>
        </w:rPr>
        <w:t>* state labor force participation rate</w:t>
      </w:r>
      <w:r>
        <w:rPr>
          <w:color w:val="000000"/>
        </w:rPr>
        <w:t xml:space="preserve"> </w:t>
      </w:r>
      <w:r w:rsidRPr="00C82AC6">
        <w:rPr>
          <w:color w:val="000000"/>
        </w:rPr>
        <w:t xml:space="preserve">* </w:t>
      </w:r>
      <w:r>
        <w:rPr>
          <w:color w:val="000000"/>
        </w:rPr>
        <w:t>(1 –</w:t>
      </w:r>
      <w:r w:rsidRPr="007A2D52">
        <w:rPr>
          <w:color w:val="000000"/>
        </w:rPr>
        <w:t xml:space="preserve"> state </w:t>
      </w:r>
      <w:r>
        <w:rPr>
          <w:color w:val="000000"/>
        </w:rPr>
        <w:t>un</w:t>
      </w:r>
      <w:r w:rsidRPr="00C82AC6">
        <w:rPr>
          <w:color w:val="000000"/>
        </w:rPr>
        <w:t>employment</w:t>
      </w:r>
      <w:r w:rsidRPr="007A2D52">
        <w:rPr>
          <w:color w:val="000000"/>
        </w:rPr>
        <w:t xml:space="preserve"> rate</w:t>
      </w:r>
      <w:r>
        <w:rPr>
          <w:color w:val="000000"/>
        </w:rPr>
        <w:t>)</w:t>
      </w:r>
      <w:r w:rsidRPr="003B1D63">
        <w:rPr>
          <w:color w:val="000000"/>
        </w:rPr>
        <w:t>)</w:t>
      </w:r>
      <w:r w:rsidRPr="008C2681">
        <w:rPr>
          <w:rStyle w:val="FootnoteReference"/>
          <w:color w:val="000000"/>
          <w:sz w:val="20"/>
          <w:szCs w:val="20"/>
          <w:vertAlign w:val="superscript"/>
        </w:rPr>
        <w:footnoteReference w:id="9"/>
      </w:r>
      <w:r w:rsidRPr="008C2681">
        <w:rPr>
          <w:color w:val="000000"/>
          <w:sz w:val="20"/>
          <w:szCs w:val="20"/>
          <w:vertAlign w:val="superscript"/>
        </w:rPr>
        <w:t>,</w:t>
      </w:r>
      <w:r w:rsidRPr="008C2681">
        <w:rPr>
          <w:rStyle w:val="FootnoteReference"/>
          <w:color w:val="000000"/>
          <w:sz w:val="20"/>
          <w:szCs w:val="20"/>
          <w:vertAlign w:val="superscript"/>
        </w:rPr>
        <w:footnoteReference w:id="10"/>
      </w:r>
      <w:r w:rsidRPr="008C2681">
        <w:rPr>
          <w:color w:val="000000"/>
          <w:sz w:val="20"/>
          <w:szCs w:val="20"/>
          <w:vertAlign w:val="superscript"/>
        </w:rPr>
        <w:t xml:space="preserve"> </w:t>
      </w:r>
      <w:r>
        <w:rPr>
          <w:color w:val="000000"/>
        </w:rPr>
        <w:t xml:space="preserve">and calculated the number with access to </w:t>
      </w:r>
      <w:r>
        <w:rPr>
          <w:color w:val="000000"/>
        </w:rPr>
        <w:lastRenderedPageBreak/>
        <w:t xml:space="preserve">short-term and long-term disability insurance by </w:t>
      </w:r>
      <w:r w:rsidRPr="00C82AC6">
        <w:rPr>
          <w:color w:val="000000"/>
        </w:rPr>
        <w:t>multipl</w:t>
      </w:r>
      <w:r>
        <w:rPr>
          <w:color w:val="000000"/>
        </w:rPr>
        <w:t xml:space="preserve">ying those estimates </w:t>
      </w:r>
      <w:r w:rsidRPr="00C82AC6">
        <w:rPr>
          <w:color w:val="000000"/>
        </w:rPr>
        <w:t xml:space="preserve">by </w:t>
      </w:r>
      <w:r>
        <w:rPr>
          <w:color w:val="000000"/>
        </w:rPr>
        <w:t>the</w:t>
      </w:r>
      <w:r w:rsidRPr="00C82AC6">
        <w:rPr>
          <w:color w:val="000000"/>
        </w:rPr>
        <w:t xml:space="preserve"> estimate</w:t>
      </w:r>
      <w:r>
        <w:rPr>
          <w:color w:val="000000"/>
        </w:rPr>
        <w:t>s</w:t>
      </w:r>
      <w:r w:rsidRPr="007A2D52">
        <w:rPr>
          <w:color w:val="000000"/>
        </w:rPr>
        <w:t xml:space="preserve"> of the share of workers participating in disability benefit programs</w:t>
      </w:r>
      <w:r>
        <w:rPr>
          <w:color w:val="000000"/>
        </w:rPr>
        <w:t xml:space="preserve"> (</w:t>
      </w:r>
      <w:r w:rsidRPr="007A2D52">
        <w:rPr>
          <w:color w:val="000000"/>
        </w:rPr>
        <w:t>39 percent for short-term and 33 percent for long term disability</w:t>
      </w:r>
      <w:r w:rsidRPr="00C82AC6">
        <w:rPr>
          <w:color w:val="000000"/>
        </w:rPr>
        <w:t>.</w:t>
      </w:r>
      <w:r>
        <w:rPr>
          <w:color w:val="000000"/>
        </w:rPr>
        <w:t>)</w:t>
      </w:r>
      <w:r w:rsidRPr="008C2681">
        <w:rPr>
          <w:rStyle w:val="FootnoteReference"/>
          <w:color w:val="000000"/>
          <w:sz w:val="20"/>
          <w:szCs w:val="20"/>
          <w:vertAlign w:val="superscript"/>
        </w:rPr>
        <w:footnoteReference w:id="11"/>
      </w:r>
      <w:r w:rsidRPr="008C2681">
        <w:rPr>
          <w:color w:val="000000"/>
          <w:sz w:val="20"/>
          <w:szCs w:val="20"/>
        </w:rPr>
        <w:t xml:space="preserve"> </w:t>
      </w:r>
      <w:r w:rsidRPr="007A2D52">
        <w:rPr>
          <w:color w:val="000000"/>
        </w:rPr>
        <w:t xml:space="preserve"> It should be noted that the sums in the right two columns are all workers in the county</w:t>
      </w:r>
      <w:r>
        <w:rPr>
          <w:color w:val="000000"/>
        </w:rPr>
        <w:t xml:space="preserve"> with disability insurance</w:t>
      </w:r>
      <w:r w:rsidRPr="007A2D52">
        <w:rPr>
          <w:color w:val="000000"/>
        </w:rPr>
        <w:t>, not just workers</w:t>
      </w:r>
      <w:r>
        <w:rPr>
          <w:color w:val="000000"/>
        </w:rPr>
        <w:t xml:space="preserve"> with disability insurance that are eligible to receive notices in the applicable non-English language</w:t>
      </w:r>
      <w:r w:rsidRPr="007A2D52">
        <w:rPr>
          <w:color w:val="000000"/>
        </w:rPr>
        <w:t>, because the calculation for the number of requests for translation is based on workers</w:t>
      </w:r>
      <w:r>
        <w:rPr>
          <w:color w:val="000000"/>
        </w:rPr>
        <w:t xml:space="preserve"> with insurance.</w:t>
      </w:r>
    </w:p>
    <w:p w:rsidR="00ED276A" w:rsidRDefault="00ED276A" w:rsidP="003B081E">
      <w:pPr>
        <w:spacing w:line="480" w:lineRule="auto"/>
        <w:ind w:firstLine="720"/>
      </w:pPr>
    </w:p>
    <w:tbl>
      <w:tblPr>
        <w:tblW w:w="9269" w:type="dxa"/>
        <w:tblInd w:w="94" w:type="dxa"/>
        <w:tblLook w:val="04A0" w:firstRow="1" w:lastRow="0" w:firstColumn="1" w:lastColumn="0" w:noHBand="0" w:noVBand="1"/>
      </w:tblPr>
      <w:tblGrid>
        <w:gridCol w:w="1461"/>
        <w:gridCol w:w="1390"/>
        <w:gridCol w:w="1390"/>
        <w:gridCol w:w="1360"/>
        <w:gridCol w:w="1461"/>
        <w:gridCol w:w="1128"/>
        <w:gridCol w:w="1180"/>
      </w:tblGrid>
      <w:tr w:rsidR="00ED276A" w:rsidRPr="007E5B92" w:rsidTr="00D46178">
        <w:trPr>
          <w:trHeight w:val="315"/>
        </w:trPr>
        <w:tc>
          <w:tcPr>
            <w:tcW w:w="4241" w:type="dxa"/>
            <w:gridSpan w:val="3"/>
            <w:tcBorders>
              <w:top w:val="nil"/>
              <w:left w:val="nil"/>
              <w:bottom w:val="nil"/>
              <w:right w:val="nil"/>
            </w:tcBorders>
            <w:shd w:val="clear" w:color="auto" w:fill="auto"/>
            <w:noWrap/>
            <w:vAlign w:val="bottom"/>
            <w:hideMark/>
          </w:tcPr>
          <w:p w:rsidR="00ED276A" w:rsidRPr="007A2D52" w:rsidRDefault="00ED276A" w:rsidP="00D46178">
            <w:pPr>
              <w:rPr>
                <w:color w:val="000000"/>
                <w:sz w:val="20"/>
              </w:rPr>
            </w:pPr>
            <w:r>
              <w:rPr>
                <w:color w:val="000000"/>
                <w:sz w:val="20"/>
              </w:rPr>
              <w:t>TABLE 5</w:t>
            </w:r>
            <w:r w:rsidRPr="007A2D52">
              <w:rPr>
                <w:color w:val="000000"/>
                <w:sz w:val="20"/>
              </w:rPr>
              <w:t>.--</w:t>
            </w:r>
            <w:r w:rsidRPr="007A2D52">
              <w:rPr>
                <w:i/>
                <w:color w:val="000000"/>
                <w:sz w:val="20"/>
              </w:rPr>
              <w:t>Workers in Affected Counties</w:t>
            </w:r>
            <w:r>
              <w:rPr>
                <w:i/>
                <w:iCs/>
                <w:color w:val="000000"/>
                <w:sz w:val="20"/>
                <w:szCs w:val="20"/>
              </w:rPr>
              <w:t xml:space="preserve"> by State</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rPr>
                <w:color w:val="000000"/>
                <w:sz w:val="20"/>
              </w:rPr>
            </w:pPr>
          </w:p>
        </w:tc>
        <w:tc>
          <w:tcPr>
            <w:tcW w:w="1360" w:type="dxa"/>
            <w:tcBorders>
              <w:top w:val="nil"/>
              <w:left w:val="nil"/>
              <w:bottom w:val="nil"/>
              <w:right w:val="nil"/>
            </w:tcBorders>
            <w:shd w:val="clear" w:color="auto" w:fill="auto"/>
            <w:noWrap/>
            <w:vAlign w:val="bottom"/>
            <w:hideMark/>
          </w:tcPr>
          <w:p w:rsidR="00ED276A" w:rsidRPr="007A2D52" w:rsidRDefault="00ED276A" w:rsidP="00D46178">
            <w:pPr>
              <w:rPr>
                <w:color w:val="000000"/>
                <w:sz w:val="20"/>
              </w:rPr>
            </w:pPr>
          </w:p>
        </w:tc>
        <w:tc>
          <w:tcPr>
            <w:tcW w:w="1128" w:type="dxa"/>
            <w:tcBorders>
              <w:top w:val="nil"/>
              <w:left w:val="nil"/>
              <w:bottom w:val="nil"/>
              <w:right w:val="nil"/>
            </w:tcBorders>
            <w:shd w:val="clear" w:color="auto" w:fill="auto"/>
            <w:noWrap/>
            <w:vAlign w:val="bottom"/>
            <w:hideMark/>
          </w:tcPr>
          <w:p w:rsidR="00ED276A" w:rsidRPr="007A2D52" w:rsidRDefault="00ED276A" w:rsidP="00D46178">
            <w:pPr>
              <w:rPr>
                <w:color w:val="000000"/>
                <w:sz w:val="20"/>
              </w:rPr>
            </w:pPr>
          </w:p>
        </w:tc>
        <w:tc>
          <w:tcPr>
            <w:tcW w:w="1180" w:type="dxa"/>
            <w:tcBorders>
              <w:top w:val="nil"/>
              <w:left w:val="nil"/>
              <w:bottom w:val="nil"/>
              <w:right w:val="nil"/>
            </w:tcBorders>
            <w:shd w:val="clear" w:color="auto" w:fill="auto"/>
            <w:noWrap/>
            <w:vAlign w:val="bottom"/>
            <w:hideMark/>
          </w:tcPr>
          <w:p w:rsidR="00ED276A" w:rsidRPr="007A2D52" w:rsidRDefault="00ED276A" w:rsidP="00D46178">
            <w:pPr>
              <w:rPr>
                <w:color w:val="000000"/>
                <w:sz w:val="20"/>
              </w:rPr>
            </w:pPr>
          </w:p>
        </w:tc>
      </w:tr>
      <w:tr w:rsidR="00ED276A" w:rsidRPr="007E5B92" w:rsidTr="00D46178">
        <w:trPr>
          <w:trHeight w:val="1650"/>
        </w:trPr>
        <w:tc>
          <w:tcPr>
            <w:tcW w:w="1461" w:type="dxa"/>
            <w:tcBorders>
              <w:top w:val="single" w:sz="8" w:space="0" w:color="auto"/>
              <w:left w:val="nil"/>
              <w:bottom w:val="single" w:sz="8" w:space="0" w:color="auto"/>
              <w:right w:val="nil"/>
            </w:tcBorders>
            <w:shd w:val="clear" w:color="auto" w:fill="auto"/>
            <w:noWrap/>
            <w:vAlign w:val="bottom"/>
            <w:hideMark/>
          </w:tcPr>
          <w:p w:rsidR="00ED276A" w:rsidRPr="007A2D52" w:rsidRDefault="00ED276A" w:rsidP="00D46178">
            <w:pPr>
              <w:jc w:val="center"/>
              <w:rPr>
                <w:color w:val="000000"/>
                <w:sz w:val="20"/>
              </w:rPr>
            </w:pPr>
            <w:r w:rsidRPr="007A2D52">
              <w:rPr>
                <w:color w:val="000000"/>
                <w:sz w:val="20"/>
              </w:rPr>
              <w:t> </w:t>
            </w:r>
          </w:p>
        </w:tc>
        <w:tc>
          <w:tcPr>
            <w:tcW w:w="1390" w:type="dxa"/>
            <w:tcBorders>
              <w:top w:val="single" w:sz="8" w:space="0" w:color="auto"/>
              <w:left w:val="nil"/>
              <w:bottom w:val="single" w:sz="8" w:space="0" w:color="auto"/>
              <w:right w:val="nil"/>
            </w:tcBorders>
            <w:shd w:val="clear" w:color="auto" w:fill="auto"/>
            <w:vAlign w:val="bottom"/>
            <w:hideMark/>
          </w:tcPr>
          <w:p w:rsidR="00ED276A" w:rsidRPr="007A2D52" w:rsidRDefault="00ED276A" w:rsidP="00D46178">
            <w:pPr>
              <w:jc w:val="center"/>
              <w:rPr>
                <w:color w:val="000000"/>
                <w:sz w:val="20"/>
              </w:rPr>
            </w:pPr>
            <w:r w:rsidRPr="007A2D52">
              <w:rPr>
                <w:color w:val="000000"/>
                <w:sz w:val="20"/>
              </w:rPr>
              <w:t xml:space="preserve">Pop in the County </w:t>
            </w:r>
          </w:p>
        </w:tc>
        <w:tc>
          <w:tcPr>
            <w:tcW w:w="1390" w:type="dxa"/>
            <w:tcBorders>
              <w:top w:val="single" w:sz="8" w:space="0" w:color="auto"/>
              <w:left w:val="nil"/>
              <w:bottom w:val="single" w:sz="8" w:space="0" w:color="auto"/>
              <w:right w:val="nil"/>
            </w:tcBorders>
            <w:shd w:val="clear" w:color="auto" w:fill="auto"/>
            <w:vAlign w:val="bottom"/>
            <w:hideMark/>
          </w:tcPr>
          <w:p w:rsidR="00ED276A" w:rsidRPr="007A2D52" w:rsidRDefault="00594947" w:rsidP="00D46178">
            <w:pPr>
              <w:jc w:val="center"/>
              <w:rPr>
                <w:color w:val="000000"/>
                <w:sz w:val="20"/>
              </w:rPr>
            </w:pPr>
            <w:r>
              <w:rPr>
                <w:color w:val="000000"/>
                <w:sz w:val="20"/>
              </w:rPr>
              <w:t>Total A</w:t>
            </w:r>
            <w:r w:rsidRPr="007A2D52">
              <w:rPr>
                <w:color w:val="000000"/>
                <w:sz w:val="20"/>
              </w:rPr>
              <w:t>ffected</w:t>
            </w:r>
            <w:r w:rsidR="00ED276A" w:rsidRPr="007A2D52">
              <w:rPr>
                <w:color w:val="000000"/>
                <w:sz w:val="20"/>
              </w:rPr>
              <w:t xml:space="preserve"> Foreign Language Pop in County </w:t>
            </w:r>
          </w:p>
        </w:tc>
        <w:tc>
          <w:tcPr>
            <w:tcW w:w="1360" w:type="dxa"/>
            <w:tcBorders>
              <w:top w:val="single" w:sz="8" w:space="0" w:color="auto"/>
              <w:left w:val="nil"/>
              <w:bottom w:val="single" w:sz="8" w:space="0" w:color="auto"/>
              <w:right w:val="nil"/>
            </w:tcBorders>
            <w:shd w:val="clear" w:color="auto" w:fill="auto"/>
            <w:vAlign w:val="bottom"/>
            <w:hideMark/>
          </w:tcPr>
          <w:p w:rsidR="00ED276A" w:rsidRPr="007A2D52" w:rsidRDefault="00ED276A" w:rsidP="00D46178">
            <w:pPr>
              <w:jc w:val="center"/>
              <w:rPr>
                <w:sz w:val="20"/>
              </w:rPr>
            </w:pPr>
            <w:r>
              <w:rPr>
                <w:sz w:val="20"/>
                <w:szCs w:val="20"/>
              </w:rPr>
              <w:t xml:space="preserve">State </w:t>
            </w:r>
            <w:r w:rsidRPr="007A2D52">
              <w:rPr>
                <w:sz w:val="20"/>
              </w:rPr>
              <w:t>Labor Force Participation Rate (2015)</w:t>
            </w:r>
          </w:p>
        </w:tc>
        <w:tc>
          <w:tcPr>
            <w:tcW w:w="1360" w:type="dxa"/>
            <w:tcBorders>
              <w:top w:val="single" w:sz="8" w:space="0" w:color="auto"/>
              <w:left w:val="nil"/>
              <w:bottom w:val="single" w:sz="8" w:space="0" w:color="auto"/>
              <w:right w:val="nil"/>
            </w:tcBorders>
            <w:shd w:val="clear" w:color="auto" w:fill="auto"/>
            <w:vAlign w:val="bottom"/>
            <w:hideMark/>
          </w:tcPr>
          <w:p w:rsidR="00ED276A" w:rsidRPr="007A2D52" w:rsidRDefault="00ED276A" w:rsidP="00D46178">
            <w:pPr>
              <w:jc w:val="center"/>
              <w:rPr>
                <w:sz w:val="20"/>
              </w:rPr>
            </w:pPr>
            <w:r>
              <w:rPr>
                <w:sz w:val="20"/>
                <w:szCs w:val="20"/>
              </w:rPr>
              <w:t xml:space="preserve">State </w:t>
            </w:r>
            <w:r w:rsidRPr="007A2D52">
              <w:rPr>
                <w:sz w:val="20"/>
              </w:rPr>
              <w:t>Unemployment Rate (2015)</w:t>
            </w:r>
          </w:p>
        </w:tc>
        <w:tc>
          <w:tcPr>
            <w:tcW w:w="1128" w:type="dxa"/>
            <w:tcBorders>
              <w:top w:val="single" w:sz="8" w:space="0" w:color="auto"/>
              <w:left w:val="nil"/>
              <w:bottom w:val="single" w:sz="8" w:space="0" w:color="auto"/>
              <w:right w:val="nil"/>
            </w:tcBorders>
            <w:shd w:val="clear" w:color="auto" w:fill="auto"/>
            <w:vAlign w:val="bottom"/>
            <w:hideMark/>
          </w:tcPr>
          <w:p w:rsidR="00ED276A" w:rsidRPr="007A2D52" w:rsidRDefault="00ED276A" w:rsidP="00D46178">
            <w:pPr>
              <w:jc w:val="center"/>
              <w:rPr>
                <w:sz w:val="20"/>
              </w:rPr>
            </w:pPr>
            <w:r w:rsidRPr="007A2D52">
              <w:rPr>
                <w:sz w:val="20"/>
              </w:rPr>
              <w:t xml:space="preserve">  Workers With Short-Term Disability Coverage</w:t>
            </w:r>
          </w:p>
        </w:tc>
        <w:tc>
          <w:tcPr>
            <w:tcW w:w="1180" w:type="dxa"/>
            <w:tcBorders>
              <w:top w:val="single" w:sz="8" w:space="0" w:color="auto"/>
              <w:left w:val="nil"/>
              <w:bottom w:val="single" w:sz="8" w:space="0" w:color="auto"/>
              <w:right w:val="nil"/>
            </w:tcBorders>
            <w:shd w:val="clear" w:color="auto" w:fill="auto"/>
            <w:vAlign w:val="bottom"/>
            <w:hideMark/>
          </w:tcPr>
          <w:p w:rsidR="00ED276A" w:rsidRPr="007A2D52" w:rsidRDefault="00ED276A" w:rsidP="00D46178">
            <w:pPr>
              <w:jc w:val="center"/>
              <w:rPr>
                <w:sz w:val="20"/>
              </w:rPr>
            </w:pPr>
            <w:r w:rsidRPr="007A2D52">
              <w:rPr>
                <w:sz w:val="20"/>
              </w:rPr>
              <w:t xml:space="preserve"> Workers With Long-Term Disability Coverage</w:t>
            </w:r>
          </w:p>
        </w:tc>
      </w:tr>
      <w:tr w:rsidR="00ED276A" w:rsidRPr="007E5B92" w:rsidTr="00D46178">
        <w:trPr>
          <w:trHeight w:val="300"/>
        </w:trPr>
        <w:tc>
          <w:tcPr>
            <w:tcW w:w="1461" w:type="dxa"/>
            <w:tcBorders>
              <w:top w:val="nil"/>
              <w:left w:val="nil"/>
              <w:bottom w:val="nil"/>
              <w:right w:val="nil"/>
            </w:tcBorders>
            <w:shd w:val="clear" w:color="auto" w:fill="auto"/>
            <w:noWrap/>
            <w:vAlign w:val="bottom"/>
            <w:hideMark/>
          </w:tcPr>
          <w:p w:rsidR="00ED276A" w:rsidRPr="007A2D52" w:rsidRDefault="00ED276A" w:rsidP="00D46178">
            <w:pPr>
              <w:rPr>
                <w:color w:val="000000"/>
                <w:sz w:val="20"/>
              </w:rPr>
            </w:pPr>
            <w:r w:rsidRPr="007A2D52">
              <w:rPr>
                <w:color w:val="000000"/>
                <w:sz w:val="20"/>
              </w:rPr>
              <w:t>Alabama</w:t>
            </w:r>
          </w:p>
        </w:tc>
        <w:tc>
          <w:tcPr>
            <w:tcW w:w="1390" w:type="dxa"/>
            <w:tcBorders>
              <w:top w:val="nil"/>
              <w:left w:val="nil"/>
              <w:bottom w:val="nil"/>
              <w:right w:val="nil"/>
            </w:tcBorders>
            <w:shd w:val="clear" w:color="auto" w:fill="auto"/>
            <w:vAlign w:val="bottom"/>
            <w:hideMark/>
          </w:tcPr>
          <w:p w:rsidR="00ED276A" w:rsidRPr="007A2D52" w:rsidRDefault="00ED276A" w:rsidP="00D46178">
            <w:pPr>
              <w:jc w:val="right"/>
              <w:rPr>
                <w:color w:val="000000"/>
                <w:sz w:val="20"/>
              </w:rPr>
            </w:pPr>
            <w:r w:rsidRPr="007A2D52">
              <w:rPr>
                <w:color w:val="000000"/>
                <w:sz w:val="20"/>
              </w:rPr>
              <w:t xml:space="preserve">                  29,519 </w:t>
            </w:r>
          </w:p>
        </w:tc>
        <w:tc>
          <w:tcPr>
            <w:tcW w:w="1390" w:type="dxa"/>
            <w:tcBorders>
              <w:top w:val="nil"/>
              <w:left w:val="nil"/>
              <w:bottom w:val="nil"/>
              <w:right w:val="nil"/>
            </w:tcBorders>
            <w:shd w:val="clear" w:color="auto" w:fill="auto"/>
            <w:vAlign w:val="bottom"/>
            <w:hideMark/>
          </w:tcPr>
          <w:p w:rsidR="00ED276A" w:rsidRPr="007A2D52" w:rsidRDefault="00ED276A" w:rsidP="00D46178">
            <w:pPr>
              <w:jc w:val="right"/>
              <w:rPr>
                <w:color w:val="000000"/>
                <w:sz w:val="20"/>
              </w:rPr>
            </w:pPr>
            <w:r w:rsidRPr="007A2D52">
              <w:rPr>
                <w:color w:val="000000"/>
                <w:sz w:val="20"/>
              </w:rPr>
              <w:t xml:space="preserve">                    3,979 </w:t>
            </w:r>
          </w:p>
        </w:tc>
        <w:tc>
          <w:tcPr>
            <w:tcW w:w="1360" w:type="dxa"/>
            <w:tcBorders>
              <w:top w:val="nil"/>
              <w:left w:val="nil"/>
              <w:bottom w:val="nil"/>
              <w:right w:val="nil"/>
            </w:tcBorders>
            <w:shd w:val="clear" w:color="auto" w:fill="auto"/>
            <w:vAlign w:val="bottom"/>
            <w:hideMark/>
          </w:tcPr>
          <w:p w:rsidR="00ED276A" w:rsidRPr="007A2D52" w:rsidRDefault="00ED276A" w:rsidP="00D46178">
            <w:pPr>
              <w:jc w:val="right"/>
              <w:rPr>
                <w:sz w:val="20"/>
              </w:rPr>
            </w:pPr>
            <w:r w:rsidRPr="007A2D52">
              <w:rPr>
                <w:sz w:val="20"/>
              </w:rPr>
              <w:t>56%</w:t>
            </w:r>
          </w:p>
        </w:tc>
        <w:tc>
          <w:tcPr>
            <w:tcW w:w="1360" w:type="dxa"/>
            <w:tcBorders>
              <w:top w:val="nil"/>
              <w:left w:val="nil"/>
              <w:bottom w:val="nil"/>
              <w:right w:val="nil"/>
            </w:tcBorders>
            <w:shd w:val="clear" w:color="auto" w:fill="auto"/>
            <w:vAlign w:val="bottom"/>
            <w:hideMark/>
          </w:tcPr>
          <w:p w:rsidR="00ED276A" w:rsidRPr="007A2D52" w:rsidRDefault="00ED276A" w:rsidP="00D46178">
            <w:pPr>
              <w:jc w:val="right"/>
              <w:rPr>
                <w:sz w:val="20"/>
              </w:rPr>
            </w:pPr>
            <w:r w:rsidRPr="007A2D52">
              <w:rPr>
                <w:sz w:val="20"/>
              </w:rPr>
              <w:t>6%</w:t>
            </w:r>
          </w:p>
        </w:tc>
        <w:tc>
          <w:tcPr>
            <w:tcW w:w="1128"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6,097 </w:t>
            </w:r>
          </w:p>
        </w:tc>
        <w:tc>
          <w:tcPr>
            <w:tcW w:w="118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5,159 </w:t>
            </w:r>
          </w:p>
        </w:tc>
      </w:tr>
      <w:tr w:rsidR="00ED276A" w:rsidRPr="007E5B92" w:rsidTr="00D46178">
        <w:trPr>
          <w:trHeight w:val="300"/>
        </w:trPr>
        <w:tc>
          <w:tcPr>
            <w:tcW w:w="1461" w:type="dxa"/>
            <w:tcBorders>
              <w:top w:val="nil"/>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t>Alaska</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8,634</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2,677</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67.1%</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6.5%</w:t>
            </w:r>
          </w:p>
        </w:tc>
        <w:tc>
          <w:tcPr>
            <w:tcW w:w="1128"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2,113 </w:t>
            </w:r>
          </w:p>
        </w:tc>
        <w:tc>
          <w:tcPr>
            <w:tcW w:w="118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1,788 </w:t>
            </w:r>
          </w:p>
        </w:tc>
      </w:tr>
      <w:tr w:rsidR="00ED276A" w:rsidRPr="007E5B92" w:rsidTr="00D46178">
        <w:trPr>
          <w:trHeight w:val="300"/>
        </w:trPr>
        <w:tc>
          <w:tcPr>
            <w:tcW w:w="1461" w:type="dxa"/>
            <w:tcBorders>
              <w:top w:val="nil"/>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t>Arizona</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296,362</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160,492</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59.8%</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6.1%</w:t>
            </w:r>
          </w:p>
        </w:tc>
        <w:tc>
          <w:tcPr>
            <w:tcW w:w="1128"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64,901 </w:t>
            </w:r>
          </w:p>
        </w:tc>
        <w:tc>
          <w:tcPr>
            <w:tcW w:w="118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54,917 </w:t>
            </w:r>
          </w:p>
        </w:tc>
      </w:tr>
      <w:tr w:rsidR="00ED276A" w:rsidRPr="007E5B92" w:rsidTr="00D46178">
        <w:trPr>
          <w:trHeight w:val="300"/>
        </w:trPr>
        <w:tc>
          <w:tcPr>
            <w:tcW w:w="1461" w:type="dxa"/>
            <w:tcBorders>
              <w:top w:val="nil"/>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t>Arkansas</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15,864</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4,598</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57.9%</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5.2%</w:t>
            </w:r>
          </w:p>
        </w:tc>
        <w:tc>
          <w:tcPr>
            <w:tcW w:w="1128"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3,396 </w:t>
            </w:r>
          </w:p>
        </w:tc>
        <w:tc>
          <w:tcPr>
            <w:tcW w:w="118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2,874 </w:t>
            </w:r>
          </w:p>
        </w:tc>
      </w:tr>
      <w:tr w:rsidR="00ED276A" w:rsidRPr="007E5B92" w:rsidTr="00D46178">
        <w:trPr>
          <w:trHeight w:val="300"/>
        </w:trPr>
        <w:tc>
          <w:tcPr>
            <w:tcW w:w="1461" w:type="dxa"/>
            <w:tcBorders>
              <w:top w:val="nil"/>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t>California</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26,248,619</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8,845,211</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62.2%</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6.2%</w:t>
            </w:r>
          </w:p>
        </w:tc>
        <w:tc>
          <w:tcPr>
            <w:tcW w:w="1128"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5,972,612 </w:t>
            </w:r>
          </w:p>
        </w:tc>
        <w:tc>
          <w:tcPr>
            <w:tcW w:w="118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5,053,748 </w:t>
            </w:r>
          </w:p>
        </w:tc>
      </w:tr>
      <w:tr w:rsidR="00ED276A" w:rsidRPr="007E5B92" w:rsidTr="00D46178">
        <w:trPr>
          <w:trHeight w:val="300"/>
        </w:trPr>
        <w:tc>
          <w:tcPr>
            <w:tcW w:w="1461" w:type="dxa"/>
            <w:tcBorders>
              <w:top w:val="nil"/>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t>Colorado</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513,177</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122,183</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66.7%</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3.9%</w:t>
            </w:r>
          </w:p>
        </w:tc>
        <w:tc>
          <w:tcPr>
            <w:tcW w:w="1128"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128,287 </w:t>
            </w:r>
          </w:p>
        </w:tc>
        <w:tc>
          <w:tcPr>
            <w:tcW w:w="118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108,550 </w:t>
            </w:r>
          </w:p>
        </w:tc>
      </w:tr>
      <w:tr w:rsidR="00ED276A" w:rsidRPr="007E5B92" w:rsidTr="00D46178">
        <w:trPr>
          <w:trHeight w:val="300"/>
        </w:trPr>
        <w:tc>
          <w:tcPr>
            <w:tcW w:w="1461" w:type="dxa"/>
            <w:tcBorders>
              <w:top w:val="nil"/>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t>Florida</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3,166,261</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1,785,759</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59.3%</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5.4%</w:t>
            </w:r>
          </w:p>
        </w:tc>
        <w:tc>
          <w:tcPr>
            <w:tcW w:w="1128"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692,719 </w:t>
            </w:r>
          </w:p>
        </w:tc>
        <w:tc>
          <w:tcPr>
            <w:tcW w:w="118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586,147 </w:t>
            </w:r>
          </w:p>
        </w:tc>
      </w:tr>
      <w:tr w:rsidR="00ED276A" w:rsidRPr="007E5B92" w:rsidTr="00D46178">
        <w:trPr>
          <w:trHeight w:val="300"/>
        </w:trPr>
        <w:tc>
          <w:tcPr>
            <w:tcW w:w="1461" w:type="dxa"/>
            <w:tcBorders>
              <w:top w:val="nil"/>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t>Georgia</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284,282</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72,578</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61.3%</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5.9%</w:t>
            </w:r>
          </w:p>
        </w:tc>
        <w:tc>
          <w:tcPr>
            <w:tcW w:w="1128"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63,953 </w:t>
            </w:r>
          </w:p>
        </w:tc>
        <w:tc>
          <w:tcPr>
            <w:tcW w:w="118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54,114 </w:t>
            </w:r>
          </w:p>
        </w:tc>
      </w:tr>
      <w:tr w:rsidR="00ED276A" w:rsidRPr="007E5B92" w:rsidTr="00D46178">
        <w:trPr>
          <w:trHeight w:val="300"/>
        </w:trPr>
        <w:tc>
          <w:tcPr>
            <w:tcW w:w="1461" w:type="dxa"/>
            <w:tcBorders>
              <w:top w:val="nil"/>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t>Idaho</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87,012</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21,145</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63.9%</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4.1%</w:t>
            </w:r>
          </w:p>
        </w:tc>
        <w:tc>
          <w:tcPr>
            <w:tcW w:w="1128"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20,795 </w:t>
            </w:r>
          </w:p>
        </w:tc>
        <w:tc>
          <w:tcPr>
            <w:tcW w:w="118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17,596 </w:t>
            </w:r>
          </w:p>
        </w:tc>
      </w:tr>
      <w:tr w:rsidR="00ED276A" w:rsidRPr="007E5B92" w:rsidTr="00D46178">
        <w:trPr>
          <w:trHeight w:val="300"/>
        </w:trPr>
        <w:tc>
          <w:tcPr>
            <w:tcW w:w="1461" w:type="dxa"/>
            <w:tcBorders>
              <w:top w:val="nil"/>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t>Illinois</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484,509</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126,443</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64.7%</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5.9%</w:t>
            </w:r>
          </w:p>
        </w:tc>
        <w:tc>
          <w:tcPr>
            <w:tcW w:w="1128"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115,043 </w:t>
            </w:r>
          </w:p>
        </w:tc>
        <w:tc>
          <w:tcPr>
            <w:tcW w:w="118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97,344 </w:t>
            </w:r>
          </w:p>
        </w:tc>
      </w:tr>
      <w:tr w:rsidR="00ED276A" w:rsidRPr="007E5B92" w:rsidTr="00D46178">
        <w:trPr>
          <w:trHeight w:val="300"/>
        </w:trPr>
        <w:tc>
          <w:tcPr>
            <w:tcW w:w="1461" w:type="dxa"/>
            <w:tcBorders>
              <w:top w:val="nil"/>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t>Iowa</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35,029</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7,861</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69.9%</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3.7%</w:t>
            </w:r>
          </w:p>
        </w:tc>
        <w:tc>
          <w:tcPr>
            <w:tcW w:w="1128"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9,196 </w:t>
            </w:r>
          </w:p>
        </w:tc>
        <w:tc>
          <w:tcPr>
            <w:tcW w:w="118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7,781 </w:t>
            </w:r>
          </w:p>
        </w:tc>
      </w:tr>
      <w:tr w:rsidR="00ED276A" w:rsidRPr="007E5B92" w:rsidTr="00D46178">
        <w:trPr>
          <w:trHeight w:val="300"/>
        </w:trPr>
        <w:tc>
          <w:tcPr>
            <w:tcW w:w="1461" w:type="dxa"/>
            <w:tcBorders>
              <w:top w:val="nil"/>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t>Kansas</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254,997</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72,446</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67.9%</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4.2%</w:t>
            </w:r>
          </w:p>
        </w:tc>
        <w:tc>
          <w:tcPr>
            <w:tcW w:w="1128"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64,690 </w:t>
            </w:r>
          </w:p>
        </w:tc>
        <w:tc>
          <w:tcPr>
            <w:tcW w:w="118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54,737 </w:t>
            </w:r>
          </w:p>
        </w:tc>
      </w:tr>
      <w:tr w:rsidR="00ED276A" w:rsidRPr="007E5B92" w:rsidTr="00D46178">
        <w:trPr>
          <w:trHeight w:val="300"/>
        </w:trPr>
        <w:tc>
          <w:tcPr>
            <w:tcW w:w="1461" w:type="dxa"/>
            <w:tcBorders>
              <w:top w:val="nil"/>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t>Missouri</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6,170</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919</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65.6%</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5.0%</w:t>
            </w:r>
          </w:p>
        </w:tc>
        <w:tc>
          <w:tcPr>
            <w:tcW w:w="1128"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1,500 </w:t>
            </w:r>
          </w:p>
        </w:tc>
        <w:tc>
          <w:tcPr>
            <w:tcW w:w="118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1,269 </w:t>
            </w:r>
          </w:p>
        </w:tc>
      </w:tr>
      <w:tr w:rsidR="00ED276A" w:rsidRPr="007E5B92" w:rsidTr="00D46178">
        <w:trPr>
          <w:trHeight w:val="300"/>
        </w:trPr>
        <w:tc>
          <w:tcPr>
            <w:tcW w:w="1461" w:type="dxa"/>
            <w:tcBorders>
              <w:top w:val="nil"/>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lastRenderedPageBreak/>
              <w:t>Nebraska</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106,532</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26,134</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70.1%</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3.0%</w:t>
            </w:r>
          </w:p>
        </w:tc>
        <w:tc>
          <w:tcPr>
            <w:tcW w:w="1128"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28,251 </w:t>
            </w:r>
          </w:p>
        </w:tc>
        <w:tc>
          <w:tcPr>
            <w:tcW w:w="118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23,905 </w:t>
            </w:r>
          </w:p>
        </w:tc>
      </w:tr>
      <w:tr w:rsidR="00ED276A" w:rsidRPr="007E5B92" w:rsidTr="00D46178">
        <w:trPr>
          <w:trHeight w:val="300"/>
        </w:trPr>
        <w:tc>
          <w:tcPr>
            <w:tcW w:w="1461" w:type="dxa"/>
            <w:tcBorders>
              <w:top w:val="nil"/>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t>Nevada</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1,869,086</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431,029</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63.2%</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6.7%</w:t>
            </w:r>
          </w:p>
        </w:tc>
        <w:tc>
          <w:tcPr>
            <w:tcW w:w="1128"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429,826 </w:t>
            </w:r>
          </w:p>
        </w:tc>
        <w:tc>
          <w:tcPr>
            <w:tcW w:w="118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363,699 </w:t>
            </w:r>
          </w:p>
        </w:tc>
      </w:tr>
      <w:tr w:rsidR="00ED276A" w:rsidRPr="007E5B92" w:rsidTr="00D46178">
        <w:trPr>
          <w:trHeight w:val="300"/>
        </w:trPr>
        <w:tc>
          <w:tcPr>
            <w:tcW w:w="1461" w:type="dxa"/>
            <w:tcBorders>
              <w:top w:val="nil"/>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t>New Jersey</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1,736,310</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563,516</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64.1%</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5.6%</w:t>
            </w:r>
          </w:p>
        </w:tc>
        <w:tc>
          <w:tcPr>
            <w:tcW w:w="1128"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409,753 </w:t>
            </w:r>
          </w:p>
        </w:tc>
        <w:tc>
          <w:tcPr>
            <w:tcW w:w="118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346,714 </w:t>
            </w:r>
          </w:p>
        </w:tc>
      </w:tr>
      <w:tr w:rsidR="00ED276A" w:rsidRPr="007E5B92" w:rsidTr="00D46178">
        <w:trPr>
          <w:trHeight w:val="300"/>
        </w:trPr>
        <w:tc>
          <w:tcPr>
            <w:tcW w:w="1461" w:type="dxa"/>
            <w:tcBorders>
              <w:top w:val="nil"/>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t>New Mexico</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512,864</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218,554</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57.2%</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6.6%</w:t>
            </w:r>
          </w:p>
        </w:tc>
        <w:tc>
          <w:tcPr>
            <w:tcW w:w="1128"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106,859 </w:t>
            </w:r>
          </w:p>
        </w:tc>
        <w:tc>
          <w:tcPr>
            <w:tcW w:w="118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90,419 </w:t>
            </w:r>
          </w:p>
        </w:tc>
      </w:tr>
      <w:tr w:rsidR="00ED276A" w:rsidRPr="007E5B92" w:rsidTr="00D46178">
        <w:trPr>
          <w:trHeight w:val="300"/>
        </w:trPr>
        <w:tc>
          <w:tcPr>
            <w:tcW w:w="1461" w:type="dxa"/>
            <w:tcBorders>
              <w:top w:val="nil"/>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t>New York</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4,983,647</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1,472,029</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61.1%</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5.3%</w:t>
            </w:r>
          </w:p>
        </w:tc>
        <w:tc>
          <w:tcPr>
            <w:tcW w:w="1128"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1,124,613 </w:t>
            </w:r>
          </w:p>
        </w:tc>
        <w:tc>
          <w:tcPr>
            <w:tcW w:w="118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951,596 </w:t>
            </w:r>
          </w:p>
        </w:tc>
      </w:tr>
      <w:tr w:rsidR="00ED276A" w:rsidRPr="007E5B92" w:rsidTr="00D46178">
        <w:trPr>
          <w:trHeight w:val="300"/>
        </w:trPr>
        <w:tc>
          <w:tcPr>
            <w:tcW w:w="1461" w:type="dxa"/>
            <w:tcBorders>
              <w:top w:val="nil"/>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t>North Carolina</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55,317</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10,260</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61.2%</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5.7%</w:t>
            </w:r>
          </w:p>
        </w:tc>
        <w:tc>
          <w:tcPr>
            <w:tcW w:w="1128"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12,450 </w:t>
            </w:r>
          </w:p>
        </w:tc>
        <w:tc>
          <w:tcPr>
            <w:tcW w:w="118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10,535 </w:t>
            </w:r>
          </w:p>
        </w:tc>
      </w:tr>
      <w:tr w:rsidR="00ED276A" w:rsidRPr="007E5B92" w:rsidTr="00D46178">
        <w:trPr>
          <w:trHeight w:val="300"/>
        </w:trPr>
        <w:tc>
          <w:tcPr>
            <w:tcW w:w="1461" w:type="dxa"/>
            <w:tcBorders>
              <w:top w:val="nil"/>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t>Oklahoma</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23,150</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7,325</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61.9%</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4.2%</w:t>
            </w:r>
          </w:p>
        </w:tc>
        <w:tc>
          <w:tcPr>
            <w:tcW w:w="1128"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5,354 </w:t>
            </w:r>
          </w:p>
        </w:tc>
        <w:tc>
          <w:tcPr>
            <w:tcW w:w="118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4,530 </w:t>
            </w:r>
          </w:p>
        </w:tc>
      </w:tr>
      <w:tr w:rsidR="00ED276A" w:rsidRPr="007E5B92" w:rsidTr="00D46178">
        <w:trPr>
          <w:trHeight w:val="300"/>
        </w:trPr>
        <w:tc>
          <w:tcPr>
            <w:tcW w:w="1461" w:type="dxa"/>
            <w:tcBorders>
              <w:top w:val="nil"/>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t>Oregon</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31,532</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8,897</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61.1%</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5.7%</w:t>
            </w:r>
          </w:p>
        </w:tc>
        <w:tc>
          <w:tcPr>
            <w:tcW w:w="1128"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7,085 </w:t>
            </w:r>
          </w:p>
        </w:tc>
        <w:tc>
          <w:tcPr>
            <w:tcW w:w="118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5,995 </w:t>
            </w:r>
          </w:p>
        </w:tc>
      </w:tr>
      <w:tr w:rsidR="00ED276A" w:rsidRPr="007E5B92" w:rsidTr="00D46178">
        <w:trPr>
          <w:trHeight w:val="300"/>
        </w:trPr>
        <w:tc>
          <w:tcPr>
            <w:tcW w:w="1461" w:type="dxa"/>
            <w:tcBorders>
              <w:top w:val="nil"/>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t>Texas</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12,541,167</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5,304,121</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63.7%</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4.5%</w:t>
            </w:r>
          </w:p>
        </w:tc>
        <w:tc>
          <w:tcPr>
            <w:tcW w:w="1128"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2,975,400 </w:t>
            </w:r>
          </w:p>
        </w:tc>
        <w:tc>
          <w:tcPr>
            <w:tcW w:w="118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2,517,646 </w:t>
            </w:r>
          </w:p>
        </w:tc>
      </w:tr>
      <w:tr w:rsidR="00ED276A" w:rsidRPr="007E5B92" w:rsidTr="00D46178">
        <w:trPr>
          <w:trHeight w:val="300"/>
        </w:trPr>
        <w:tc>
          <w:tcPr>
            <w:tcW w:w="1461" w:type="dxa"/>
            <w:tcBorders>
              <w:top w:val="nil"/>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t>Virginia</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50,989</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15,060</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65.2%</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4.4%</w:t>
            </w:r>
          </w:p>
        </w:tc>
        <w:tc>
          <w:tcPr>
            <w:tcW w:w="1128"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12,395 </w:t>
            </w:r>
          </w:p>
        </w:tc>
        <w:tc>
          <w:tcPr>
            <w:tcW w:w="118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10,488 </w:t>
            </w:r>
          </w:p>
        </w:tc>
      </w:tr>
      <w:tr w:rsidR="00ED276A" w:rsidRPr="007E5B92" w:rsidTr="00D46178">
        <w:trPr>
          <w:trHeight w:val="300"/>
        </w:trPr>
        <w:tc>
          <w:tcPr>
            <w:tcW w:w="1461" w:type="dxa"/>
            <w:tcBorders>
              <w:top w:val="nil"/>
              <w:left w:val="nil"/>
              <w:bottom w:val="nil"/>
              <w:right w:val="nil"/>
            </w:tcBorders>
            <w:shd w:val="clear" w:color="auto" w:fill="auto"/>
            <w:noWrap/>
            <w:vAlign w:val="bottom"/>
            <w:hideMark/>
          </w:tcPr>
          <w:p w:rsidR="00ED276A" w:rsidRPr="007A2D52" w:rsidRDefault="00ED276A" w:rsidP="00D46178">
            <w:pPr>
              <w:rPr>
                <w:sz w:val="20"/>
              </w:rPr>
            </w:pPr>
            <w:r w:rsidRPr="007A2D52">
              <w:rPr>
                <w:sz w:val="20"/>
              </w:rPr>
              <w:t>Washington</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437,583</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164,140</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63.0%</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5.7%</w:t>
            </w:r>
          </w:p>
        </w:tc>
        <w:tc>
          <w:tcPr>
            <w:tcW w:w="1128"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101,386 </w:t>
            </w:r>
          </w:p>
        </w:tc>
        <w:tc>
          <w:tcPr>
            <w:tcW w:w="118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85,788 </w:t>
            </w:r>
          </w:p>
        </w:tc>
      </w:tr>
      <w:tr w:rsidR="00ED276A" w:rsidRPr="007E5B92" w:rsidTr="00D46178">
        <w:trPr>
          <w:trHeight w:val="315"/>
        </w:trPr>
        <w:tc>
          <w:tcPr>
            <w:tcW w:w="1461" w:type="dxa"/>
            <w:tcBorders>
              <w:top w:val="nil"/>
              <w:left w:val="nil"/>
              <w:bottom w:val="nil"/>
              <w:right w:val="nil"/>
            </w:tcBorders>
            <w:shd w:val="clear" w:color="auto" w:fill="auto"/>
            <w:noWrap/>
            <w:vAlign w:val="bottom"/>
            <w:hideMark/>
          </w:tcPr>
          <w:p w:rsidR="00ED276A" w:rsidRPr="007A2D52" w:rsidRDefault="00ED276A" w:rsidP="00D46178">
            <w:pPr>
              <w:rPr>
                <w:color w:val="000000"/>
                <w:sz w:val="20"/>
              </w:rPr>
            </w:pPr>
            <w:r>
              <w:rPr>
                <w:color w:val="000000"/>
                <w:sz w:val="20"/>
                <w:szCs w:val="20"/>
              </w:rPr>
              <w:t>Puerto Rico</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3,433,930</w:t>
            </w:r>
          </w:p>
        </w:tc>
        <w:tc>
          <w:tcPr>
            <w:tcW w:w="139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3,252,314</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39.8%</w:t>
            </w:r>
          </w:p>
        </w:tc>
        <w:tc>
          <w:tcPr>
            <w:tcW w:w="1360" w:type="dxa"/>
            <w:tcBorders>
              <w:top w:val="nil"/>
              <w:left w:val="nil"/>
              <w:bottom w:val="nil"/>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11.2%</w:t>
            </w:r>
          </w:p>
        </w:tc>
        <w:tc>
          <w:tcPr>
            <w:tcW w:w="1128"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473,317 </w:t>
            </w:r>
          </w:p>
        </w:tc>
        <w:tc>
          <w:tcPr>
            <w:tcW w:w="1180" w:type="dxa"/>
            <w:tcBorders>
              <w:top w:val="nil"/>
              <w:left w:val="nil"/>
              <w:bottom w:val="nil"/>
              <w:right w:val="nil"/>
            </w:tcBorders>
            <w:shd w:val="clear" w:color="auto" w:fill="auto"/>
            <w:noWrap/>
            <w:vAlign w:val="bottom"/>
            <w:hideMark/>
          </w:tcPr>
          <w:p w:rsidR="00ED276A" w:rsidRPr="007A2D52" w:rsidRDefault="00ED276A" w:rsidP="00D46178">
            <w:pPr>
              <w:jc w:val="right"/>
              <w:rPr>
                <w:sz w:val="20"/>
              </w:rPr>
            </w:pPr>
            <w:r w:rsidRPr="007A2D52">
              <w:rPr>
                <w:sz w:val="20"/>
              </w:rPr>
              <w:t xml:space="preserve">          400,499 </w:t>
            </w:r>
          </w:p>
        </w:tc>
      </w:tr>
      <w:tr w:rsidR="00ED276A" w:rsidRPr="007E5B92" w:rsidTr="00D46178">
        <w:trPr>
          <w:trHeight w:val="330"/>
        </w:trPr>
        <w:tc>
          <w:tcPr>
            <w:tcW w:w="1461" w:type="dxa"/>
            <w:tcBorders>
              <w:top w:val="double" w:sz="6" w:space="0" w:color="auto"/>
              <w:left w:val="nil"/>
              <w:bottom w:val="single" w:sz="8" w:space="0" w:color="auto"/>
              <w:right w:val="nil"/>
            </w:tcBorders>
            <w:shd w:val="clear" w:color="auto" w:fill="auto"/>
            <w:noWrap/>
            <w:vAlign w:val="bottom"/>
            <w:hideMark/>
          </w:tcPr>
          <w:p w:rsidR="00ED276A" w:rsidRPr="007A2D52" w:rsidRDefault="00ED276A" w:rsidP="00D46178">
            <w:pPr>
              <w:rPr>
                <w:b/>
                <w:color w:val="000000"/>
                <w:sz w:val="20"/>
              </w:rPr>
            </w:pPr>
            <w:r w:rsidRPr="007A2D52">
              <w:rPr>
                <w:b/>
                <w:color w:val="000000"/>
                <w:sz w:val="20"/>
              </w:rPr>
              <w:t>Total</w:t>
            </w:r>
          </w:p>
        </w:tc>
        <w:tc>
          <w:tcPr>
            <w:tcW w:w="1390" w:type="dxa"/>
            <w:tcBorders>
              <w:top w:val="double" w:sz="6" w:space="0" w:color="auto"/>
              <w:left w:val="nil"/>
              <w:bottom w:val="single" w:sz="8" w:space="0" w:color="auto"/>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57,212,542</w:t>
            </w:r>
          </w:p>
        </w:tc>
        <w:tc>
          <w:tcPr>
            <w:tcW w:w="1390" w:type="dxa"/>
            <w:tcBorders>
              <w:top w:val="double" w:sz="6" w:space="0" w:color="auto"/>
              <w:left w:val="nil"/>
              <w:bottom w:val="single" w:sz="8" w:space="0" w:color="auto"/>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22,699,670</w:t>
            </w:r>
          </w:p>
        </w:tc>
        <w:tc>
          <w:tcPr>
            <w:tcW w:w="1360" w:type="dxa"/>
            <w:tcBorders>
              <w:top w:val="double" w:sz="6" w:space="0" w:color="auto"/>
              <w:left w:val="nil"/>
              <w:bottom w:val="single" w:sz="8" w:space="0" w:color="auto"/>
              <w:right w:val="nil"/>
            </w:tcBorders>
            <w:shd w:val="clear" w:color="auto" w:fill="auto"/>
            <w:noWrap/>
            <w:vAlign w:val="bottom"/>
            <w:hideMark/>
          </w:tcPr>
          <w:p w:rsidR="00ED276A" w:rsidRPr="007A2D52" w:rsidRDefault="00ED276A" w:rsidP="00D46178">
            <w:pPr>
              <w:rPr>
                <w:color w:val="000000"/>
                <w:sz w:val="20"/>
              </w:rPr>
            </w:pPr>
            <w:r w:rsidRPr="007A2D52">
              <w:rPr>
                <w:color w:val="000000"/>
                <w:sz w:val="20"/>
              </w:rPr>
              <w:t> </w:t>
            </w:r>
          </w:p>
        </w:tc>
        <w:tc>
          <w:tcPr>
            <w:tcW w:w="1360" w:type="dxa"/>
            <w:tcBorders>
              <w:top w:val="double" w:sz="6" w:space="0" w:color="auto"/>
              <w:left w:val="nil"/>
              <w:bottom w:val="single" w:sz="8" w:space="0" w:color="auto"/>
              <w:right w:val="nil"/>
            </w:tcBorders>
            <w:shd w:val="clear" w:color="auto" w:fill="auto"/>
            <w:noWrap/>
            <w:vAlign w:val="bottom"/>
            <w:hideMark/>
          </w:tcPr>
          <w:p w:rsidR="00ED276A" w:rsidRPr="007A2D52" w:rsidRDefault="00ED276A" w:rsidP="00D46178">
            <w:pPr>
              <w:rPr>
                <w:color w:val="000000"/>
                <w:sz w:val="20"/>
              </w:rPr>
            </w:pPr>
            <w:r w:rsidRPr="007A2D52">
              <w:rPr>
                <w:color w:val="000000"/>
                <w:sz w:val="20"/>
              </w:rPr>
              <w:t> </w:t>
            </w:r>
          </w:p>
        </w:tc>
        <w:tc>
          <w:tcPr>
            <w:tcW w:w="1128" w:type="dxa"/>
            <w:tcBorders>
              <w:top w:val="double" w:sz="6" w:space="0" w:color="auto"/>
              <w:left w:val="nil"/>
              <w:bottom w:val="single" w:sz="8" w:space="0" w:color="auto"/>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12,825,893</w:t>
            </w:r>
          </w:p>
        </w:tc>
        <w:tc>
          <w:tcPr>
            <w:tcW w:w="1180" w:type="dxa"/>
            <w:tcBorders>
              <w:top w:val="double" w:sz="6" w:space="0" w:color="auto"/>
              <w:left w:val="nil"/>
              <w:bottom w:val="single" w:sz="8" w:space="0" w:color="auto"/>
              <w:right w:val="nil"/>
            </w:tcBorders>
            <w:shd w:val="clear" w:color="auto" w:fill="auto"/>
            <w:noWrap/>
            <w:vAlign w:val="bottom"/>
            <w:hideMark/>
          </w:tcPr>
          <w:p w:rsidR="00ED276A" w:rsidRPr="007A2D52" w:rsidRDefault="00ED276A" w:rsidP="00D46178">
            <w:pPr>
              <w:jc w:val="right"/>
              <w:rPr>
                <w:color w:val="000000"/>
                <w:sz w:val="20"/>
              </w:rPr>
            </w:pPr>
            <w:r w:rsidRPr="007A2D52">
              <w:rPr>
                <w:color w:val="000000"/>
                <w:sz w:val="20"/>
              </w:rPr>
              <w:t>10,852,679</w:t>
            </w:r>
          </w:p>
        </w:tc>
      </w:tr>
    </w:tbl>
    <w:p w:rsidR="00ED276A" w:rsidRDefault="00ED276A" w:rsidP="003B081E">
      <w:pPr>
        <w:spacing w:line="480" w:lineRule="auto"/>
        <w:ind w:firstLine="720"/>
      </w:pPr>
    </w:p>
    <w:p w:rsidR="00ED276A" w:rsidRDefault="00ED276A" w:rsidP="00ED276A">
      <w:pPr>
        <w:ind w:firstLine="720"/>
        <w:rPr>
          <w:color w:val="000000"/>
        </w:rPr>
      </w:pPr>
      <w:r w:rsidRPr="007A2D52">
        <w:rPr>
          <w:color w:val="000000"/>
        </w:rPr>
        <w:t>The Department’s discussions with the regulated community indicate that in California, which has a State law requirement for providing translation services for health benefit claims, requests for translations of written documents averages 0.098 requests per 1,000 members (note that requirement applies to all members not just foreign language speaking) for health claims.  While the requirements of California differ from those contained in these final regulations and the demographics for California do not match those of covered counties, for purposes of this analysis, the Department used this percentage to estimate the number of translation service requests that plans could expect to receive.  The Department believes that this estimate significantly overstates the number of translation requests that will be received, because there are fewer disability claims than health claims.  Industry experts also told the Department that while the cost of translation services varies, $500 per document is a reasonable approximation of translation cost, and the Department used this amount in its cost estimate for the final rule.  This number was provided to the Department in 2010; therefore, for purposes of this analysis, the Department has adjusted this amount to $553 to account for inflation.</w:t>
      </w:r>
      <w:r w:rsidRPr="008C2681">
        <w:rPr>
          <w:rStyle w:val="FootnoteReference"/>
          <w:color w:val="000000"/>
          <w:sz w:val="20"/>
          <w:szCs w:val="20"/>
          <w:vertAlign w:val="superscript"/>
        </w:rPr>
        <w:footnoteReference w:id="12"/>
      </w:r>
      <w:r w:rsidRPr="008C2681">
        <w:rPr>
          <w:color w:val="000000"/>
          <w:sz w:val="20"/>
          <w:szCs w:val="20"/>
        </w:rPr>
        <w:t xml:space="preserve"> </w:t>
      </w:r>
      <w:r>
        <w:rPr>
          <w:color w:val="000000"/>
        </w:rPr>
        <w:t xml:space="preserve"> </w:t>
      </w:r>
    </w:p>
    <w:p w:rsidR="00ED276A" w:rsidRPr="007A2D52" w:rsidRDefault="00ED276A" w:rsidP="00ED276A">
      <w:pPr>
        <w:ind w:firstLine="720"/>
        <w:rPr>
          <w:color w:val="000000"/>
        </w:rPr>
      </w:pPr>
    </w:p>
    <w:p w:rsidR="00ED276A" w:rsidRDefault="00ED276A" w:rsidP="00ED276A">
      <w:pPr>
        <w:ind w:firstLine="720"/>
        <w:rPr>
          <w:color w:val="000000"/>
        </w:rPr>
      </w:pPr>
      <w:r w:rsidRPr="007A2D52">
        <w:rPr>
          <w:color w:val="000000"/>
        </w:rPr>
        <w:t>Based on the foregoing, the Department estimates that the cost to provide translation services pursuant to the final rule will be approximately $1,283,840 annually (23,678,572 lives * 0.098/1000 * $553).</w:t>
      </w:r>
    </w:p>
    <w:p w:rsidR="00ED276A" w:rsidRPr="007A2D52" w:rsidRDefault="00ED276A" w:rsidP="00ED276A">
      <w:pPr>
        <w:ind w:firstLine="720"/>
        <w:rPr>
          <w:color w:val="000000"/>
        </w:rPr>
      </w:pPr>
    </w:p>
    <w:p w:rsidR="00ED276A" w:rsidRDefault="00ED276A" w:rsidP="00ED276A">
      <w:pPr>
        <w:ind w:firstLine="720"/>
      </w:pPr>
      <w:r>
        <w:t xml:space="preserve">The Department did not have sufficient data to quantify other costs associated with the final rule; and therefore, has provided a </w:t>
      </w:r>
      <w:r w:rsidRPr="003B1D63">
        <w:t>qualitative discussion of the</w:t>
      </w:r>
      <w:r>
        <w:t>se</w:t>
      </w:r>
      <w:r w:rsidRPr="003B1D63">
        <w:t xml:space="preserve"> costs</w:t>
      </w:r>
      <w:r>
        <w:t xml:space="preserve"> below</w:t>
      </w:r>
      <w:r w:rsidRPr="003B1D63">
        <w:t xml:space="preserve"> </w:t>
      </w:r>
      <w:r>
        <w:t xml:space="preserve">and a response to cost-related </w:t>
      </w:r>
      <w:r w:rsidRPr="003B1D63">
        <w:t xml:space="preserve">comments </w:t>
      </w:r>
      <w:r>
        <w:t>received in response to the regulatory impact analysis for the proposed regulation.</w:t>
      </w:r>
    </w:p>
    <w:p w:rsidR="00ED276A" w:rsidRDefault="00ED276A" w:rsidP="00ED276A">
      <w:pPr>
        <w:spacing w:after="200"/>
        <w:contextualSpacing/>
      </w:pPr>
    </w:p>
    <w:p w:rsidR="00ED276A" w:rsidRDefault="00ED276A" w:rsidP="00ED276A">
      <w:pPr>
        <w:spacing w:after="200"/>
        <w:contextualSpacing/>
      </w:pPr>
      <w:r>
        <w:tab/>
      </w:r>
      <w:r w:rsidRPr="00F6706E">
        <w:rPr>
          <w:i/>
        </w:rPr>
        <w:t>Deemed Exhaustion of Claims and Appeals Process</w:t>
      </w:r>
      <w:r>
        <w:rPr>
          <w:i/>
        </w:rPr>
        <w:t xml:space="preserve">: </w:t>
      </w:r>
      <w:r>
        <w:t xml:space="preserve"> </w:t>
      </w:r>
      <w:r w:rsidRPr="004B116E">
        <w:t xml:space="preserve">The final rule provides that if a plan fails to adhere to all the requirements in the claims procedure regulation, the claimant would be deemed to have exhausted administrative remedies, with </w:t>
      </w:r>
      <w:r>
        <w:t xml:space="preserve">a </w:t>
      </w:r>
      <w:r w:rsidRPr="004B116E">
        <w:t>limited exception where the violation was (</w:t>
      </w:r>
      <w:proofErr w:type="spellStart"/>
      <w:r w:rsidRPr="004B116E">
        <w:t>i</w:t>
      </w:r>
      <w:proofErr w:type="spellEnd"/>
      <w:r w:rsidRPr="004B116E">
        <w:t xml:space="preserve">) </w:t>
      </w:r>
      <w:r w:rsidRPr="00C303B1">
        <w:rPr>
          <w:i/>
        </w:rPr>
        <w:t xml:space="preserve">de </w:t>
      </w:r>
      <w:proofErr w:type="spellStart"/>
      <w:r w:rsidRPr="00C303B1">
        <w:rPr>
          <w:i/>
        </w:rPr>
        <w:t>minimis</w:t>
      </w:r>
      <w:proofErr w:type="spellEnd"/>
      <w:r w:rsidRPr="004B116E">
        <w:t>; (ii) non-prejudicial; (iii) attributable to good cause or matters beyond the plan’s control; (iv) in the context of an ongoing good-faith exchange of information; and (v) not reflective of a pattern or practice of non-compliance</w:t>
      </w:r>
      <w:r w:rsidRPr="00526C04">
        <w:t>.</w:t>
      </w:r>
      <w:r>
        <w:t xml:space="preserve">  Claimants may request a written explanation of the violation from the plan, and the plan must provide such explanation within 10 days.  The Department does not know the number of claims where this requirement is applicable, but it is believed to be rare.</w:t>
      </w:r>
    </w:p>
    <w:p w:rsidR="003B081E" w:rsidRDefault="003B081E" w:rsidP="005E4737">
      <w:pPr>
        <w:spacing w:line="480" w:lineRule="auto"/>
        <w:ind w:firstLine="720"/>
      </w:pPr>
    </w:p>
    <w:p w:rsidR="00014376" w:rsidRDefault="00014376" w:rsidP="006C4E0B">
      <w:pPr>
        <w:ind w:firstLine="720"/>
        <w:rPr>
          <w:color w:val="000000"/>
        </w:rPr>
      </w:pPr>
    </w:p>
    <w:p w:rsidR="00014376" w:rsidRDefault="00014376" w:rsidP="006C4E0B">
      <w:pPr>
        <w:ind w:firstLine="720"/>
        <w:rPr>
          <w:color w:val="000000"/>
        </w:rPr>
      </w:pPr>
    </w:p>
    <w:p w:rsidR="007F7D47" w:rsidRDefault="00B94A89" w:rsidP="006F73FB">
      <w:pPr>
        <w:spacing w:line="480" w:lineRule="auto"/>
      </w:pPr>
      <w:r>
        <w:rPr>
          <w:color w:val="000000"/>
        </w:rPr>
        <w:tab/>
        <w:t xml:space="preserve"> </w:t>
      </w:r>
    </w:p>
    <w:p w:rsidR="007D56A8" w:rsidRDefault="007D56A8" w:rsidP="00E14923">
      <w:pPr>
        <w:ind w:firstLine="720"/>
      </w:pPr>
      <w:r>
        <w:t xml:space="preserve">The total estimated cost burden </w:t>
      </w:r>
      <w:r w:rsidR="0012540F">
        <w:t>is</w:t>
      </w:r>
      <w:r w:rsidR="003604AE">
        <w:t xml:space="preserve"> $814,449</w:t>
      </w:r>
      <w:r w:rsidR="00CB1D21">
        <w:t xml:space="preserve">,900.  These costs </w:t>
      </w:r>
      <w:r w:rsidR="00594947">
        <w:t>includes the</w:t>
      </w:r>
      <w:r w:rsidR="00CB1D21">
        <w:t xml:space="preserve"> costs from</w:t>
      </w:r>
      <w:r w:rsidR="0012540F">
        <w:t xml:space="preserve"> table 2 for mailing notices prepared in-house, $7,841,000; the cost from</w:t>
      </w:r>
      <w:r w:rsidR="00CB1D21">
        <w:t xml:space="preserve"> </w:t>
      </w:r>
      <w:r w:rsidR="0012540F">
        <w:t>table 3 for</w:t>
      </w:r>
      <w:r>
        <w:t xml:space="preserve"> those plans that use service providers</w:t>
      </w:r>
      <w:r w:rsidR="0012540F">
        <w:t>, $790,8</w:t>
      </w:r>
      <w:r w:rsidR="00CB1D21">
        <w:t>03,000</w:t>
      </w:r>
      <w:r w:rsidR="0012540F">
        <w:t>;</w:t>
      </w:r>
      <w:r>
        <w:t xml:space="preserve"> the cost of the requirements of a fair and full review</w:t>
      </w:r>
      <w:r w:rsidR="00CB1D21">
        <w:t>, $14,522,000</w:t>
      </w:r>
      <w:r w:rsidR="00594947">
        <w:t>; and</w:t>
      </w:r>
      <w:r>
        <w:t xml:space="preserve"> </w:t>
      </w:r>
      <w:r w:rsidR="0012540F">
        <w:t xml:space="preserve">the costs of the requirement for </w:t>
      </w:r>
      <w:r>
        <w:t>culturally and linguistically appropriate notices</w:t>
      </w:r>
      <w:r w:rsidR="00CB1D21">
        <w:t>, $1,283,840</w:t>
      </w:r>
      <w:r w:rsidR="0012540F">
        <w:t>.</w:t>
      </w:r>
      <w:r>
        <w:t xml:space="preserve"> </w:t>
      </w:r>
    </w:p>
    <w:p w:rsidR="005E4737" w:rsidRPr="005E4737" w:rsidRDefault="005E4737" w:rsidP="00696114">
      <w:pPr>
        <w:ind w:firstLine="720"/>
      </w:pPr>
    </w:p>
    <w:p w:rsidR="00A71122" w:rsidRDefault="00A71122" w:rsidP="00A711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sz w:val="20"/>
        </w:rPr>
      </w:pPr>
      <w:r>
        <w:t>14.</w:t>
      </w:r>
      <w:r>
        <w:tab/>
      </w:r>
      <w:r>
        <w:rPr>
          <w:i/>
          <w:iCs/>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There are no costs to the Federal government associated with this information collection.</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r>
        <w:t>15.</w:t>
      </w:r>
      <w:r>
        <w:tab/>
      </w:r>
      <w:r>
        <w:rPr>
          <w:i/>
          <w:iCs/>
          <w:sz w:val="20"/>
        </w:rPr>
        <w:t>Explain the reasons for any program changes or adjustments reporting in Items 13 or 14 of the OMB 83-I.</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256044" w:rsidRDefault="00612597" w:rsidP="004363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As discussed in Item 1, above, w</w:t>
      </w:r>
      <w:r w:rsidR="00256044">
        <w:t xml:space="preserve">ith the implementation of the </w:t>
      </w:r>
      <w:r>
        <w:t xml:space="preserve">Affordable Care Act, </w:t>
      </w:r>
      <w:r w:rsidR="00256044">
        <w:t xml:space="preserve">claims regulations participants of disability plans were receiving fewer </w:t>
      </w:r>
      <w:r>
        <w:t xml:space="preserve">procedural </w:t>
      </w:r>
      <w:r w:rsidR="00256044">
        <w:t xml:space="preserve">protections than participants in </w:t>
      </w:r>
      <w:r>
        <w:t xml:space="preserve">group </w:t>
      </w:r>
      <w:r w:rsidR="00256044">
        <w:t>health plans, while at the same time experiencing similar if not significantly more issues with the claims review process. These</w:t>
      </w:r>
      <w:r w:rsidR="0029639F">
        <w:t xml:space="preserve"> </w:t>
      </w:r>
      <w:r w:rsidR="00B17893">
        <w:t>final</w:t>
      </w:r>
      <w:r w:rsidR="00256044">
        <w:t xml:space="preserve"> regulations </w:t>
      </w:r>
      <w:r>
        <w:t xml:space="preserve">would </w:t>
      </w:r>
      <w:r w:rsidR="00256044">
        <w:t xml:space="preserve">reduce the inconsistent claims processes applied to health and disability plans and provide similar </w:t>
      </w:r>
      <w:r>
        <w:t>procedural</w:t>
      </w:r>
      <w:r w:rsidR="00256044">
        <w:t xml:space="preserve"> protections to both groups of plan participants.</w:t>
      </w:r>
    </w:p>
    <w:p w:rsidR="00FC775D" w:rsidRDefault="00FC775D" w:rsidP="004363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99709F" w:rsidRDefault="0099709F" w:rsidP="004363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Changes in estimates since the most recent ICR renewal reflect changes to the disability claims part of the regulations (increase of 2,321 burden hours, and $15,805,959), and increases in hour burden and costs burden due to updated estimates </w:t>
      </w:r>
      <w:r w:rsidR="00E4119B">
        <w:t xml:space="preserve">including </w:t>
      </w:r>
      <w:r>
        <w:t xml:space="preserve">labor rates, the percent of </w:t>
      </w:r>
      <w:r>
        <w:t>long term disability claims denied</w:t>
      </w:r>
      <w:r>
        <w:t>, the percent of disability claims sent electronically</w:t>
      </w:r>
      <w:r w:rsidR="00E4119B">
        <w:t xml:space="preserve"> (decrease f</w:t>
      </w:r>
      <w:r w:rsidR="00C85913">
        <w:t>ro</w:t>
      </w:r>
      <w:bookmarkStart w:id="0" w:name="_GoBack"/>
      <w:bookmarkEnd w:id="0"/>
      <w:r w:rsidR="00E4119B">
        <w:t>m 75 percent to 30 percent)</w:t>
      </w:r>
      <w:r>
        <w:t xml:space="preserve">, and the number of health and welfare plans. </w:t>
      </w:r>
    </w:p>
    <w:p w:rsidR="00515487" w:rsidRDefault="00515487" w:rsidP="004363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sz w:val="20"/>
        </w:rPr>
      </w:pPr>
      <w:r>
        <w:t>16.</w:t>
      </w:r>
      <w:r>
        <w:tab/>
      </w:r>
      <w:r>
        <w:rPr>
          <w:i/>
          <w:iCs/>
          <w:sz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Not applicable.</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sz w:val="20"/>
        </w:rPr>
      </w:pPr>
      <w:r>
        <w:t>17.</w:t>
      </w:r>
      <w:r>
        <w:tab/>
      </w:r>
      <w:r>
        <w:rPr>
          <w:i/>
          <w:iCs/>
          <w:sz w:val="20"/>
        </w:rPr>
        <w:t>If seeking approval to not display the expiration date for OMB approval of the information collection, explain the reasons that display would be inappropriate.</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F3E" w:rsidRDefault="000D6E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sectPr w:rsidR="00FC2F3E">
          <w:headerReference w:type="default" r:id="rId11"/>
          <w:footerReference w:type="default" r:id="rId12"/>
          <w:endnotePr>
            <w:numFmt w:val="decimal"/>
          </w:endnotePr>
          <w:type w:val="continuous"/>
          <w:pgSz w:w="12240" w:h="15840"/>
          <w:pgMar w:top="1440" w:right="1440" w:bottom="1440" w:left="1440" w:header="1440" w:footer="1440" w:gutter="0"/>
          <w:cols w:space="720"/>
          <w:noEndnote/>
        </w:sectPr>
      </w:pPr>
      <w:r>
        <w:t>Not applicable.</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sz w:val="20"/>
        </w:rPr>
      </w:pPr>
      <w:r>
        <w:t>18.</w:t>
      </w:r>
      <w:r>
        <w:tab/>
      </w:r>
      <w:r>
        <w:rPr>
          <w:i/>
          <w:iCs/>
          <w:sz w:val="20"/>
        </w:rPr>
        <w:t>Explain each exception to the certification statement identified in Item 19, "Certification for Paperwork Reduction Act Submission," of OMB 83-I.</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Not applicable; no exceptions to the certification statement.</w:t>
      </w:r>
    </w:p>
    <w:sectPr w:rsidR="00FC2F3E">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E96" w:rsidRDefault="000D6E96">
      <w:r>
        <w:separator/>
      </w:r>
    </w:p>
  </w:endnote>
  <w:endnote w:type="continuationSeparator" w:id="0">
    <w:p w:rsidR="000D6E96" w:rsidRDefault="000D6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E96" w:rsidRDefault="000D6E96">
    <w:pPr>
      <w:spacing w:line="240" w:lineRule="exact"/>
    </w:pPr>
  </w:p>
  <w:p w:rsidR="000D6E96" w:rsidRDefault="000D6E96">
    <w:pPr>
      <w:framePr w:w="9361" w:wrap="notBeside" w:vAnchor="text" w:hAnchor="text" w:x="1" w:y="1"/>
      <w:jc w:val="center"/>
    </w:pPr>
    <w:r>
      <w:fldChar w:fldCharType="begin"/>
    </w:r>
    <w:r>
      <w:instrText xml:space="preserve">PAGE </w:instrText>
    </w:r>
    <w:r>
      <w:fldChar w:fldCharType="separate"/>
    </w:r>
    <w:r w:rsidR="00C85913">
      <w:rPr>
        <w:noProof/>
      </w:rPr>
      <w:t>9</w:t>
    </w:r>
    <w:r>
      <w:fldChar w:fldCharType="end"/>
    </w:r>
  </w:p>
  <w:p w:rsidR="000D6E96" w:rsidRDefault="000D6E9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E96" w:rsidRDefault="000D6E96">
    <w:pPr>
      <w:spacing w:line="240" w:lineRule="exact"/>
    </w:pPr>
  </w:p>
  <w:p w:rsidR="000D6E96" w:rsidRDefault="000D6E96">
    <w:pPr>
      <w:framePr w:w="9361" w:wrap="notBeside" w:vAnchor="text" w:hAnchor="text" w:x="1" w:y="1"/>
      <w:jc w:val="center"/>
    </w:pPr>
    <w:r>
      <w:fldChar w:fldCharType="begin"/>
    </w:r>
    <w:r>
      <w:instrText xml:space="preserve">PAGE </w:instrText>
    </w:r>
    <w:r>
      <w:fldChar w:fldCharType="separate"/>
    </w:r>
    <w:r w:rsidR="00C85913">
      <w:rPr>
        <w:noProof/>
      </w:rPr>
      <w:t>10</w:t>
    </w:r>
    <w:r>
      <w:fldChar w:fldCharType="end"/>
    </w:r>
  </w:p>
  <w:p w:rsidR="000D6E96" w:rsidRDefault="000D6E9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E96" w:rsidRDefault="000D6E96">
    <w:pPr>
      <w:spacing w:line="240" w:lineRule="exact"/>
    </w:pPr>
  </w:p>
  <w:p w:rsidR="000D6E96" w:rsidRDefault="000D6E96">
    <w:pPr>
      <w:framePr w:w="9361" w:wrap="notBeside" w:vAnchor="text" w:hAnchor="text" w:x="1" w:y="1"/>
      <w:jc w:val="center"/>
    </w:pPr>
    <w:r>
      <w:fldChar w:fldCharType="begin"/>
    </w:r>
    <w:r>
      <w:instrText xml:space="preserve">PAGE </w:instrText>
    </w:r>
    <w:r>
      <w:fldChar w:fldCharType="separate"/>
    </w:r>
    <w:r w:rsidR="00C85913">
      <w:rPr>
        <w:noProof/>
      </w:rPr>
      <w:t>22</w:t>
    </w:r>
    <w:r>
      <w:fldChar w:fldCharType="end"/>
    </w:r>
  </w:p>
  <w:p w:rsidR="000D6E96" w:rsidRDefault="000D6E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E96" w:rsidRDefault="000D6E96">
      <w:r>
        <w:separator/>
      </w:r>
    </w:p>
  </w:footnote>
  <w:footnote w:type="continuationSeparator" w:id="0">
    <w:p w:rsidR="000D6E96" w:rsidRDefault="000D6E96">
      <w:r>
        <w:continuationSeparator/>
      </w:r>
    </w:p>
  </w:footnote>
  <w:footnote w:id="1">
    <w:p w:rsidR="000D6E96" w:rsidRPr="00A4464B" w:rsidRDefault="000D6E96">
      <w:pPr>
        <w:pStyle w:val="FootnoteText"/>
      </w:pPr>
      <w:r w:rsidRPr="00A4464B">
        <w:rPr>
          <w:rStyle w:val="FootnoteReference"/>
          <w:vertAlign w:val="superscript"/>
        </w:rPr>
        <w:footnoteRef/>
      </w:r>
      <w:r w:rsidRPr="00A4464B">
        <w:rPr>
          <w:vertAlign w:val="superscript"/>
        </w:rPr>
        <w:t xml:space="preserve"> </w:t>
      </w:r>
      <w:r>
        <w:t>The claims procedure regulation replaced an earlier regulation that had been issued in 1977.</w:t>
      </w:r>
    </w:p>
  </w:footnote>
  <w:footnote w:id="2">
    <w:p w:rsidR="000D6E96" w:rsidRPr="00475C56" w:rsidRDefault="000D6E96" w:rsidP="00715B24">
      <w:pPr>
        <w:pStyle w:val="FootnoteText"/>
      </w:pPr>
      <w:r w:rsidRPr="006C4E0B">
        <w:rPr>
          <w:rStyle w:val="FootnoteReference"/>
          <w:vertAlign w:val="superscript"/>
        </w:rPr>
        <w:footnoteRef/>
      </w:r>
      <w:r w:rsidRPr="00475C56">
        <w:t xml:space="preserve"> The Patient Protection and Affordable Care Act, Public Law 111-148, was enacted on March 23, 2010, and the Health Care and Education Reconciliation Act, Public Law 111-152, was enacted on March 30, 2010.  (These statutes are collectively known as the “Affordable Care Act.”) </w:t>
      </w:r>
    </w:p>
  </w:footnote>
  <w:footnote w:id="3">
    <w:p w:rsidR="000D6E96" w:rsidRPr="00736192" w:rsidRDefault="000D6E96" w:rsidP="00BF2630">
      <w:pPr>
        <w:pStyle w:val="FootnoteText"/>
      </w:pPr>
      <w:r w:rsidRPr="00D32291">
        <w:rPr>
          <w:rStyle w:val="FootnoteReference"/>
          <w:vertAlign w:val="superscript"/>
        </w:rPr>
        <w:footnoteRef/>
      </w:r>
      <w:r>
        <w:t xml:space="preserve"> </w:t>
      </w:r>
      <w:r w:rsidRPr="00D57850">
        <w:t xml:space="preserve"> </w:t>
      </w:r>
      <w:r w:rsidRPr="00107D56">
        <w:t xml:space="preserve"> </w:t>
      </w:r>
      <w:r w:rsidRPr="00530062">
        <w:t xml:space="preserve">For a description of the Department’s methodology for calculating wage rates, see </w:t>
      </w:r>
      <w:r w:rsidRPr="00107D56">
        <w:t>https://www.dol.gov/sites/default/files/ebsa/laws-and-regulations/rules-and-regulations/technical-appendices/labor-cost-inputs-used-in-ebsa-opr-ria-and-pra-burden-calculations-august-2016.pdf</w:t>
      </w:r>
    </w:p>
  </w:footnote>
  <w:footnote w:id="4">
    <w:p w:rsidR="000D6E96" w:rsidRPr="00917ADB" w:rsidRDefault="000D6E96" w:rsidP="006C4E0B">
      <w:pPr>
        <w:pStyle w:val="FootnoteText"/>
      </w:pPr>
      <w:r w:rsidRPr="00AB4D7C">
        <w:rPr>
          <w:rStyle w:val="FootnoteReference"/>
          <w:vertAlign w:val="superscript"/>
        </w:rPr>
        <w:footnoteRef/>
      </w:r>
      <w:r w:rsidRPr="00917ADB">
        <w:t xml:space="preserve"> </w:t>
      </w:r>
      <w:r w:rsidRPr="00917ADB">
        <w:rPr>
          <w:color w:val="212121"/>
          <w:shd w:val="clear" w:color="auto" w:fill="FFFFFF"/>
        </w:rPr>
        <w:t xml:space="preserve">For a description of the Department’s methodology for calculating wage rates, see </w:t>
      </w:r>
      <w:r w:rsidRPr="004A4609">
        <w:rPr>
          <w:color w:val="212121"/>
          <w:shd w:val="clear" w:color="auto" w:fill="FFFFFF"/>
        </w:rPr>
        <w:t>https://www.dol.gov/sites/default/files/ebsa/laws-and-regulations/rules-and-regulations/technical-appendices/labor-cost-inputs-used-in-ebsa-opr-ria-and-pra-burden-calculations-august-2016.pdf</w:t>
      </w:r>
      <w:r>
        <w:rPr>
          <w:color w:val="212121"/>
          <w:shd w:val="clear" w:color="auto" w:fill="FFFFFF"/>
        </w:rPr>
        <w:t xml:space="preserve"> </w:t>
      </w:r>
    </w:p>
  </w:footnote>
  <w:footnote w:id="5">
    <w:p w:rsidR="000D6E96" w:rsidRPr="00160444" w:rsidRDefault="000D6E96" w:rsidP="00ED276A">
      <w:pPr>
        <w:rPr>
          <w:sz w:val="20"/>
          <w:szCs w:val="20"/>
        </w:rPr>
      </w:pPr>
      <w:r w:rsidRPr="006C4E0B">
        <w:rPr>
          <w:rStyle w:val="FootnoteReference"/>
          <w:sz w:val="20"/>
          <w:szCs w:val="20"/>
          <w:vertAlign w:val="superscript"/>
        </w:rPr>
        <w:footnoteRef/>
      </w:r>
      <w:r w:rsidRPr="006C4E0B">
        <w:rPr>
          <w:sz w:val="20"/>
          <w:szCs w:val="20"/>
          <w:vertAlign w:val="superscript"/>
        </w:rPr>
        <w:t xml:space="preserve"> </w:t>
      </w:r>
      <w:r w:rsidRPr="00160444">
        <w:rPr>
          <w:sz w:val="20"/>
          <w:szCs w:val="20"/>
        </w:rPr>
        <w:t xml:space="preserve">Commenters disagreed in general with the estimates of the burden for providing the notice in a culturally and linguistically appropriate manner.  Their concern was that most notices would be delivered on paper and not electronically.  While </w:t>
      </w:r>
      <w:r>
        <w:rPr>
          <w:sz w:val="20"/>
          <w:szCs w:val="20"/>
        </w:rPr>
        <w:t>one</w:t>
      </w:r>
      <w:r w:rsidRPr="00160444">
        <w:rPr>
          <w:sz w:val="20"/>
          <w:szCs w:val="20"/>
        </w:rPr>
        <w:t xml:space="preserve"> commenter</w:t>
      </w:r>
      <w:r>
        <w:rPr>
          <w:sz w:val="20"/>
          <w:szCs w:val="20"/>
        </w:rPr>
        <w:t xml:space="preserve"> </w:t>
      </w:r>
      <w:r w:rsidRPr="00160444">
        <w:rPr>
          <w:sz w:val="20"/>
          <w:szCs w:val="20"/>
        </w:rPr>
        <w:t>did not provide any supporting evidence</w:t>
      </w:r>
      <w:r>
        <w:rPr>
          <w:sz w:val="20"/>
          <w:szCs w:val="20"/>
        </w:rPr>
        <w:t xml:space="preserve"> for this assertion</w:t>
      </w:r>
      <w:r w:rsidRPr="00160444">
        <w:rPr>
          <w:sz w:val="20"/>
          <w:szCs w:val="20"/>
        </w:rPr>
        <w:t xml:space="preserve">, another commenter reported that </w:t>
      </w:r>
      <w:r>
        <w:rPr>
          <w:sz w:val="20"/>
          <w:szCs w:val="20"/>
        </w:rPr>
        <w:t xml:space="preserve">a large company’s </w:t>
      </w:r>
      <w:r w:rsidRPr="00160444">
        <w:rPr>
          <w:sz w:val="20"/>
          <w:szCs w:val="20"/>
        </w:rPr>
        <w:t>past experience was that 30 percent of the claims filed under its disability plan were electronic.  For purposes of this regulatory impact analysis</w:t>
      </w:r>
      <w:r>
        <w:rPr>
          <w:sz w:val="20"/>
          <w:szCs w:val="20"/>
        </w:rPr>
        <w:t>,</w:t>
      </w:r>
      <w:r w:rsidRPr="00160444">
        <w:rPr>
          <w:sz w:val="20"/>
          <w:szCs w:val="20"/>
        </w:rPr>
        <w:t xml:space="preserve"> the Department accepted the suggestion posited in the comment that a significant percentage of disability benefit claimants are at home without access to an electronic means of communication at work that is required by the Department’s electronic disclosure rule.  Therefore, the Department assumes that a higher percentage of notices will be transmitted via mail even though data was provided </w:t>
      </w:r>
      <w:r>
        <w:rPr>
          <w:sz w:val="20"/>
          <w:szCs w:val="20"/>
        </w:rPr>
        <w:t xml:space="preserve">only </w:t>
      </w:r>
      <w:r w:rsidRPr="00160444">
        <w:rPr>
          <w:sz w:val="20"/>
          <w:szCs w:val="20"/>
        </w:rPr>
        <w:t>for a single company.</w:t>
      </w:r>
    </w:p>
  </w:footnote>
  <w:footnote w:id="6">
    <w:p w:rsidR="000D6E96" w:rsidRPr="007A2D52" w:rsidRDefault="000D6E96" w:rsidP="00ED276A">
      <w:pPr>
        <w:pStyle w:val="FootnoteText"/>
      </w:pPr>
      <w:r w:rsidRPr="008C2681">
        <w:rPr>
          <w:rStyle w:val="FootnoteReference"/>
          <w:vertAlign w:val="superscript"/>
        </w:rPr>
        <w:footnoteRef/>
      </w:r>
      <w:r w:rsidRPr="007A2D52">
        <w:t xml:space="preserve"> BLS Employment, Hours, and Earnings from the Current Employment Statistics survey (National) Table B-1</w:t>
      </w:r>
      <w:r>
        <w:t>, May 2016</w:t>
      </w:r>
      <w:r w:rsidRPr="00160444">
        <w:t>.</w:t>
      </w:r>
      <w:r>
        <w:t xml:space="preserve">  It should be noted that this estimate differs from the estimates from the Form 5500 reported in the affected entities section.  The Form 55000 numbers only include large plans, and some filings could combine estimates for </w:t>
      </w:r>
      <w:proofErr w:type="gramStart"/>
      <w:r>
        <w:t>both  short</w:t>
      </w:r>
      <w:proofErr w:type="gramEnd"/>
      <w:r>
        <w:t xml:space="preserve"> and long term disability.</w:t>
      </w:r>
    </w:p>
  </w:footnote>
  <w:footnote w:id="7">
    <w:p w:rsidR="000D6E96" w:rsidRPr="007A2D52" w:rsidRDefault="000D6E96" w:rsidP="00ED276A">
      <w:pPr>
        <w:pStyle w:val="FootnoteText"/>
      </w:pPr>
      <w:r w:rsidRPr="008C2681">
        <w:rPr>
          <w:rStyle w:val="FootnoteReference"/>
          <w:vertAlign w:val="superscript"/>
        </w:rPr>
        <w:footnoteRef/>
      </w:r>
      <w:r w:rsidRPr="007A2D52">
        <w:t xml:space="preserve"> "Beyond the Numbers: Disability Insurance Plans Trends in Employee Access and Employer Cost," February 2015 Vol. 4 No. 4. http://www.bls.gov/opub/btn/volume-4/disability-insurance-plans.htm.</w:t>
      </w:r>
    </w:p>
  </w:footnote>
  <w:footnote w:id="8">
    <w:p w:rsidR="000D6E96" w:rsidRPr="007A2D52" w:rsidRDefault="000D6E96" w:rsidP="00ED276A">
      <w:pPr>
        <w:pStyle w:val="FootnoteText"/>
        <w:rPr>
          <w:color w:val="1F497D"/>
        </w:rPr>
      </w:pPr>
      <w:r w:rsidRPr="008C2681">
        <w:rPr>
          <w:rStyle w:val="FootnoteReference"/>
          <w:vertAlign w:val="superscript"/>
        </w:rPr>
        <w:footnoteRef/>
      </w:r>
      <w:r w:rsidRPr="007A2D52">
        <w:t xml:space="preserve"> http://www.cms.gov/CCIIO/Resources/Fact-Sheets-and-FAQs/Downloads/2009-13-CLAS-County-Data.pdf</w:t>
      </w:r>
    </w:p>
    <w:p w:rsidR="000D6E96" w:rsidRPr="007A2D52" w:rsidRDefault="000D6E96" w:rsidP="00ED276A">
      <w:pPr>
        <w:pStyle w:val="FootnoteText"/>
      </w:pPr>
      <w:r w:rsidRPr="007A2D52">
        <w:t>http://www.dol.gov/ebsa/pdf/coveragebulletin2014.pdf Table 1C.</w:t>
      </w:r>
    </w:p>
  </w:footnote>
  <w:footnote w:id="9">
    <w:p w:rsidR="000D6E96" w:rsidRPr="009B624E" w:rsidRDefault="000D6E96" w:rsidP="00ED276A">
      <w:pPr>
        <w:pStyle w:val="FootnoteText"/>
      </w:pPr>
      <w:r w:rsidRPr="008C2681">
        <w:rPr>
          <w:rStyle w:val="FootnoteReference"/>
          <w:vertAlign w:val="superscript"/>
        </w:rPr>
        <w:footnoteRef/>
      </w:r>
      <w:r w:rsidRPr="009B624E">
        <w:t xml:space="preserve"> Labor force Participation rate: </w:t>
      </w:r>
      <w:r w:rsidRPr="007D5C6C">
        <w:t>http://www.bls.gov/lau/</w:t>
      </w:r>
      <w:proofErr w:type="gramStart"/>
      <w:r w:rsidRPr="007D5C6C">
        <w:t>staadata.txt</w:t>
      </w:r>
      <w:r w:rsidRPr="009B624E">
        <w:t xml:space="preserve">  Unemployment</w:t>
      </w:r>
      <w:proofErr w:type="gramEnd"/>
      <w:r w:rsidRPr="009B624E">
        <w:t xml:space="preserve"> rate: http://www.bls.gov/lau/lastrk14.htm</w:t>
      </w:r>
      <w:r w:rsidRPr="00B57B11">
        <w:t>.</w:t>
      </w:r>
    </w:p>
  </w:footnote>
  <w:footnote w:id="10">
    <w:p w:rsidR="000D6E96" w:rsidRPr="009B624E" w:rsidRDefault="000D6E96" w:rsidP="00ED276A">
      <w:r w:rsidRPr="008C2681">
        <w:rPr>
          <w:rStyle w:val="FootnoteReference"/>
          <w:vertAlign w:val="superscript"/>
        </w:rPr>
        <w:footnoteRef/>
      </w:r>
      <w:r w:rsidRPr="007A176A">
        <w:rPr>
          <w:sz w:val="20"/>
          <w:szCs w:val="20"/>
        </w:rPr>
        <w:t xml:space="preserve"> </w:t>
      </w:r>
      <w:r w:rsidRPr="009B624E">
        <w:rPr>
          <w:color w:val="000000"/>
          <w:sz w:val="20"/>
        </w:rPr>
        <w:t>Please note that using state estimates of labor participation rates and unemployment rates could lead to an over estimate as those reporting in the ACS survey that they speak English less than ‘‘very well’’ are less likely to be employed.</w:t>
      </w:r>
      <w:r>
        <w:rPr>
          <w:color w:val="000000"/>
          <w:sz w:val="20"/>
        </w:rPr>
        <w:t xml:space="preserve">  Also, this estimate includes both private and public workers, instead of just private workers leading to an overestimate of the costs.</w:t>
      </w:r>
    </w:p>
  </w:footnote>
  <w:footnote w:id="11">
    <w:p w:rsidR="000D6E96" w:rsidRDefault="000D6E96" w:rsidP="00ED276A">
      <w:pPr>
        <w:pStyle w:val="FootnoteText"/>
      </w:pPr>
      <w:r w:rsidRPr="006C4E0B">
        <w:rPr>
          <w:rStyle w:val="FootnoteReference"/>
          <w:vertAlign w:val="superscript"/>
        </w:rPr>
        <w:footnoteRef/>
      </w:r>
      <w:r w:rsidRPr="006C4E0B">
        <w:rPr>
          <w:vertAlign w:val="superscript"/>
        </w:rPr>
        <w:t xml:space="preserve"> </w:t>
      </w:r>
      <w:r w:rsidRPr="007A2D52">
        <w:t>"Beyond the Numbers: Disability Insurance Plans Trends in Employee Access and Employer Cost,</w:t>
      </w:r>
      <w:proofErr w:type="gramStart"/>
      <w:r w:rsidRPr="007A2D52">
        <w:t>"  February</w:t>
      </w:r>
      <w:proofErr w:type="gramEnd"/>
      <w:r w:rsidRPr="007A2D52">
        <w:t xml:space="preserve"> 2015 Vol. 4 No. 4. http://www.bls.gov/opub/btn/volume-4/disability-insurance-plans.htm.</w:t>
      </w:r>
    </w:p>
  </w:footnote>
  <w:footnote w:id="12">
    <w:p w:rsidR="000D6E96" w:rsidRPr="007A2D52" w:rsidRDefault="000D6E96" w:rsidP="00ED276A">
      <w:pPr>
        <w:pStyle w:val="FootnoteText"/>
      </w:pPr>
      <w:r w:rsidRPr="006C4E0B">
        <w:rPr>
          <w:rStyle w:val="FootnoteReference"/>
          <w:vertAlign w:val="superscript"/>
        </w:rPr>
        <w:footnoteRef/>
      </w:r>
      <w:r w:rsidRPr="007A2D52">
        <w:t xml:space="preserve"> The 2010 and 2016 GDP Deflator was 100.056 in 2010 and 110.714 in 2016.  The adjustment is $500*(110.714/100.056)=$553   https://fred.stlouisfed.org/series/GNPDEF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E96" w:rsidRDefault="000D6E96">
    <w:pPr>
      <w:jc w:val="right"/>
      <w:rPr>
        <w:b/>
        <w:bCs/>
        <w:sz w:val="20"/>
        <w:szCs w:val="20"/>
      </w:rPr>
    </w:pPr>
    <w:r>
      <w:rPr>
        <w:b/>
        <w:bCs/>
        <w:sz w:val="20"/>
        <w:szCs w:val="20"/>
      </w:rPr>
      <w:t>ERISA Claims Procedure Regulation</w:t>
    </w:r>
  </w:p>
  <w:p w:rsidR="000D6E96" w:rsidRDefault="000D6E96">
    <w:pPr>
      <w:jc w:val="right"/>
      <w:rPr>
        <w:b/>
        <w:bCs/>
        <w:sz w:val="20"/>
        <w:szCs w:val="20"/>
      </w:rPr>
    </w:pPr>
    <w:r>
      <w:rPr>
        <w:b/>
        <w:bCs/>
        <w:sz w:val="20"/>
        <w:szCs w:val="20"/>
      </w:rPr>
      <w:t>OMB Control No. 1210-0053</w:t>
    </w:r>
  </w:p>
  <w:p w:rsidR="000D6E96" w:rsidRDefault="000D6E96">
    <w:pPr>
      <w:jc w:val="right"/>
      <w:rPr>
        <w:b/>
        <w:bCs/>
        <w:sz w:val="20"/>
        <w:szCs w:val="20"/>
      </w:rPr>
    </w:pPr>
    <w:r>
      <w:rPr>
        <w:b/>
        <w:bCs/>
        <w:sz w:val="20"/>
        <w:szCs w:val="20"/>
      </w:rPr>
      <w:t>December 2016</w:t>
    </w:r>
  </w:p>
  <w:p w:rsidR="000D6E96" w:rsidRDefault="000D6E96">
    <w:pPr>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E96" w:rsidRDefault="000D6E96" w:rsidP="00612597">
    <w:pPr>
      <w:jc w:val="right"/>
      <w:rPr>
        <w:b/>
        <w:bCs/>
        <w:sz w:val="20"/>
        <w:szCs w:val="20"/>
      </w:rPr>
    </w:pPr>
    <w:r>
      <w:tab/>
    </w:r>
    <w:r>
      <w:tab/>
    </w:r>
    <w:r>
      <w:rPr>
        <w:b/>
        <w:bCs/>
        <w:sz w:val="20"/>
        <w:szCs w:val="20"/>
      </w:rPr>
      <w:t>ERISA Claims Procedure Regulation</w:t>
    </w:r>
  </w:p>
  <w:p w:rsidR="000D6E96" w:rsidRDefault="000D6E96" w:rsidP="00612597">
    <w:pPr>
      <w:jc w:val="right"/>
      <w:rPr>
        <w:b/>
        <w:bCs/>
        <w:sz w:val="20"/>
        <w:szCs w:val="20"/>
      </w:rPr>
    </w:pPr>
    <w:r>
      <w:rPr>
        <w:b/>
        <w:bCs/>
        <w:sz w:val="20"/>
        <w:szCs w:val="20"/>
      </w:rPr>
      <w:t>OMB Control No. 1210-0053</w:t>
    </w:r>
  </w:p>
  <w:p w:rsidR="000D6E96" w:rsidRDefault="000D6E96" w:rsidP="00612597">
    <w:pPr>
      <w:jc w:val="right"/>
      <w:rPr>
        <w:sz w:val="20"/>
        <w:szCs w:val="20"/>
      </w:rPr>
    </w:pPr>
    <w:r>
      <w:rPr>
        <w:b/>
        <w:bCs/>
        <w:sz w:val="20"/>
        <w:szCs w:val="20"/>
      </w:rPr>
      <w:t>December 2016</w:t>
    </w:r>
  </w:p>
  <w:p w:rsidR="000D6E96" w:rsidRDefault="000D6E96">
    <w:pPr>
      <w:pStyle w:val="Header"/>
    </w:pPr>
  </w:p>
  <w:p w:rsidR="000D6E96" w:rsidRDefault="000D6E9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lvl>
  </w:abstractNum>
  <w:abstractNum w:abstractNumId="1">
    <w:nsid w:val="4775054F"/>
    <w:multiLevelType w:val="hybridMultilevel"/>
    <w:tmpl w:val="7D0E09B2"/>
    <w:lvl w:ilvl="0" w:tplc="ADF6259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371"/>
    <w:rsid w:val="000123B8"/>
    <w:rsid w:val="00014376"/>
    <w:rsid w:val="00037371"/>
    <w:rsid w:val="00057931"/>
    <w:rsid w:val="0009069B"/>
    <w:rsid w:val="000B7A90"/>
    <w:rsid w:val="000D1B14"/>
    <w:rsid w:val="000D6E96"/>
    <w:rsid w:val="000D7B34"/>
    <w:rsid w:val="000E1787"/>
    <w:rsid w:val="000F20D7"/>
    <w:rsid w:val="00107D56"/>
    <w:rsid w:val="00116257"/>
    <w:rsid w:val="0012540F"/>
    <w:rsid w:val="00130B3D"/>
    <w:rsid w:val="00140FDD"/>
    <w:rsid w:val="00181A8C"/>
    <w:rsid w:val="001D442A"/>
    <w:rsid w:val="001D490F"/>
    <w:rsid w:val="001E12BC"/>
    <w:rsid w:val="00227909"/>
    <w:rsid w:val="00230CFC"/>
    <w:rsid w:val="00233E04"/>
    <w:rsid w:val="0023492D"/>
    <w:rsid w:val="002512A8"/>
    <w:rsid w:val="00256044"/>
    <w:rsid w:val="00275B5D"/>
    <w:rsid w:val="00275B68"/>
    <w:rsid w:val="002808E1"/>
    <w:rsid w:val="0028109D"/>
    <w:rsid w:val="00281BC5"/>
    <w:rsid w:val="00284E0E"/>
    <w:rsid w:val="00290737"/>
    <w:rsid w:val="0029639F"/>
    <w:rsid w:val="0029675C"/>
    <w:rsid w:val="002B3ED7"/>
    <w:rsid w:val="002B4B94"/>
    <w:rsid w:val="002C403F"/>
    <w:rsid w:val="002D4A33"/>
    <w:rsid w:val="002F4CD3"/>
    <w:rsid w:val="00300641"/>
    <w:rsid w:val="00301146"/>
    <w:rsid w:val="0031296B"/>
    <w:rsid w:val="00321CC8"/>
    <w:rsid w:val="0032321F"/>
    <w:rsid w:val="00325DD1"/>
    <w:rsid w:val="00343035"/>
    <w:rsid w:val="003604AE"/>
    <w:rsid w:val="00366869"/>
    <w:rsid w:val="00382728"/>
    <w:rsid w:val="00385452"/>
    <w:rsid w:val="003B081E"/>
    <w:rsid w:val="003B7B66"/>
    <w:rsid w:val="003C71E3"/>
    <w:rsid w:val="003D091C"/>
    <w:rsid w:val="003D5FD2"/>
    <w:rsid w:val="003F34BE"/>
    <w:rsid w:val="004038D5"/>
    <w:rsid w:val="004044EB"/>
    <w:rsid w:val="004054CD"/>
    <w:rsid w:val="00436373"/>
    <w:rsid w:val="00481C9F"/>
    <w:rsid w:val="004B3B02"/>
    <w:rsid w:val="004C21B9"/>
    <w:rsid w:val="004C5B77"/>
    <w:rsid w:val="00502B9D"/>
    <w:rsid w:val="00515487"/>
    <w:rsid w:val="00515885"/>
    <w:rsid w:val="00533943"/>
    <w:rsid w:val="00540A4E"/>
    <w:rsid w:val="00594826"/>
    <w:rsid w:val="00594947"/>
    <w:rsid w:val="00595407"/>
    <w:rsid w:val="005B50D4"/>
    <w:rsid w:val="005E4737"/>
    <w:rsid w:val="00612597"/>
    <w:rsid w:val="00662A79"/>
    <w:rsid w:val="006849F0"/>
    <w:rsid w:val="00696114"/>
    <w:rsid w:val="006C4E0B"/>
    <w:rsid w:val="006D437D"/>
    <w:rsid w:val="006D6FAC"/>
    <w:rsid w:val="006F73FB"/>
    <w:rsid w:val="00712E2C"/>
    <w:rsid w:val="00715B24"/>
    <w:rsid w:val="00752E2D"/>
    <w:rsid w:val="00753F3B"/>
    <w:rsid w:val="00780E2C"/>
    <w:rsid w:val="007A1B61"/>
    <w:rsid w:val="007C7954"/>
    <w:rsid w:val="007D56A8"/>
    <w:rsid w:val="007D5F1F"/>
    <w:rsid w:val="007E3107"/>
    <w:rsid w:val="007F7D47"/>
    <w:rsid w:val="00801ED7"/>
    <w:rsid w:val="00803C7C"/>
    <w:rsid w:val="0084325D"/>
    <w:rsid w:val="00851F42"/>
    <w:rsid w:val="0087432A"/>
    <w:rsid w:val="00883513"/>
    <w:rsid w:val="008B4ECB"/>
    <w:rsid w:val="008C2681"/>
    <w:rsid w:val="008C2FD0"/>
    <w:rsid w:val="008C4672"/>
    <w:rsid w:val="008F2E87"/>
    <w:rsid w:val="00963B96"/>
    <w:rsid w:val="0096440C"/>
    <w:rsid w:val="00990473"/>
    <w:rsid w:val="009938EB"/>
    <w:rsid w:val="009962C8"/>
    <w:rsid w:val="0099709F"/>
    <w:rsid w:val="009A0073"/>
    <w:rsid w:val="009C4395"/>
    <w:rsid w:val="009C68E7"/>
    <w:rsid w:val="009E0F97"/>
    <w:rsid w:val="00A31357"/>
    <w:rsid w:val="00A42228"/>
    <w:rsid w:val="00A424A7"/>
    <w:rsid w:val="00A4464B"/>
    <w:rsid w:val="00A71122"/>
    <w:rsid w:val="00AB585F"/>
    <w:rsid w:val="00AB7A31"/>
    <w:rsid w:val="00AC43F7"/>
    <w:rsid w:val="00AE32A8"/>
    <w:rsid w:val="00B07E11"/>
    <w:rsid w:val="00B17893"/>
    <w:rsid w:val="00B20E17"/>
    <w:rsid w:val="00B223AA"/>
    <w:rsid w:val="00B67E43"/>
    <w:rsid w:val="00B87C60"/>
    <w:rsid w:val="00B94A89"/>
    <w:rsid w:val="00BB2E40"/>
    <w:rsid w:val="00BE47A7"/>
    <w:rsid w:val="00BF2630"/>
    <w:rsid w:val="00C50325"/>
    <w:rsid w:val="00C5730D"/>
    <w:rsid w:val="00C70894"/>
    <w:rsid w:val="00C81C5F"/>
    <w:rsid w:val="00C85913"/>
    <w:rsid w:val="00C94F71"/>
    <w:rsid w:val="00CA3705"/>
    <w:rsid w:val="00CB1D21"/>
    <w:rsid w:val="00CB230E"/>
    <w:rsid w:val="00CC1BB1"/>
    <w:rsid w:val="00CD4C66"/>
    <w:rsid w:val="00CF1024"/>
    <w:rsid w:val="00D23F3E"/>
    <w:rsid w:val="00D3022A"/>
    <w:rsid w:val="00D32291"/>
    <w:rsid w:val="00D42CF9"/>
    <w:rsid w:val="00D46178"/>
    <w:rsid w:val="00D83B51"/>
    <w:rsid w:val="00DA0A69"/>
    <w:rsid w:val="00DA3B82"/>
    <w:rsid w:val="00DD275D"/>
    <w:rsid w:val="00DF0D7B"/>
    <w:rsid w:val="00E057B2"/>
    <w:rsid w:val="00E14923"/>
    <w:rsid w:val="00E4119B"/>
    <w:rsid w:val="00E431D2"/>
    <w:rsid w:val="00E56243"/>
    <w:rsid w:val="00E72E32"/>
    <w:rsid w:val="00ED276A"/>
    <w:rsid w:val="00ED4475"/>
    <w:rsid w:val="00EF6ED7"/>
    <w:rsid w:val="00F04F70"/>
    <w:rsid w:val="00F129F3"/>
    <w:rsid w:val="00F37C5B"/>
    <w:rsid w:val="00F502FD"/>
    <w:rsid w:val="00F5040F"/>
    <w:rsid w:val="00F54EAB"/>
    <w:rsid w:val="00F82A88"/>
    <w:rsid w:val="00F90678"/>
    <w:rsid w:val="00FC2F3E"/>
    <w:rsid w:val="00FC7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2"/>
      </w:numPr>
      <w:ind w:left="72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basedOn w:val="Normal"/>
    <w:link w:val="FootnoteTextChar"/>
    <w:uiPriority w:val="99"/>
    <w:semiHidden/>
    <w:rsid w:val="00A4464B"/>
    <w:rPr>
      <w:sz w:val="20"/>
      <w:szCs w:val="20"/>
    </w:rPr>
  </w:style>
  <w:style w:type="paragraph" w:styleId="BalloonText">
    <w:name w:val="Balloon Text"/>
    <w:basedOn w:val="Normal"/>
    <w:semiHidden/>
    <w:rsid w:val="002808E1"/>
    <w:rPr>
      <w:rFonts w:ascii="Tahoma" w:hAnsi="Tahoma" w:cs="Tahoma"/>
      <w:sz w:val="16"/>
      <w:szCs w:val="16"/>
    </w:rPr>
  </w:style>
  <w:style w:type="paragraph" w:styleId="BodyText">
    <w:name w:val="Body Text"/>
    <w:basedOn w:val="Normal"/>
    <w:link w:val="BodyTextChar"/>
    <w:rsid w:val="00533943"/>
    <w:pPr>
      <w:spacing w:after="120"/>
    </w:pPr>
  </w:style>
  <w:style w:type="character" w:customStyle="1" w:styleId="BodyTextChar">
    <w:name w:val="Body Text Char"/>
    <w:link w:val="BodyText"/>
    <w:rsid w:val="00533943"/>
    <w:rPr>
      <w:sz w:val="24"/>
      <w:szCs w:val="24"/>
    </w:rPr>
  </w:style>
  <w:style w:type="character" w:styleId="CommentReference">
    <w:name w:val="annotation reference"/>
    <w:rsid w:val="00515885"/>
    <w:rPr>
      <w:sz w:val="16"/>
      <w:szCs w:val="16"/>
    </w:rPr>
  </w:style>
  <w:style w:type="paragraph" w:styleId="CommentText">
    <w:name w:val="annotation text"/>
    <w:basedOn w:val="Normal"/>
    <w:link w:val="CommentTextChar"/>
    <w:rsid w:val="00515885"/>
    <w:rPr>
      <w:sz w:val="20"/>
      <w:szCs w:val="20"/>
    </w:rPr>
  </w:style>
  <w:style w:type="character" w:customStyle="1" w:styleId="CommentTextChar">
    <w:name w:val="Comment Text Char"/>
    <w:basedOn w:val="DefaultParagraphFont"/>
    <w:link w:val="CommentText"/>
    <w:rsid w:val="00515885"/>
  </w:style>
  <w:style w:type="paragraph" w:styleId="CommentSubject">
    <w:name w:val="annotation subject"/>
    <w:basedOn w:val="CommentText"/>
    <w:next w:val="CommentText"/>
    <w:link w:val="CommentSubjectChar"/>
    <w:rsid w:val="00515885"/>
    <w:rPr>
      <w:b/>
      <w:bCs/>
    </w:rPr>
  </w:style>
  <w:style w:type="character" w:customStyle="1" w:styleId="CommentSubjectChar">
    <w:name w:val="Comment Subject Char"/>
    <w:link w:val="CommentSubject"/>
    <w:rsid w:val="00515885"/>
    <w:rPr>
      <w:b/>
      <w:bCs/>
    </w:rPr>
  </w:style>
  <w:style w:type="character" w:customStyle="1" w:styleId="FootnoteTextChar">
    <w:name w:val="Footnote Text Char"/>
    <w:link w:val="FootnoteText"/>
    <w:uiPriority w:val="99"/>
    <w:semiHidden/>
    <w:locked/>
    <w:rsid w:val="005E4737"/>
  </w:style>
  <w:style w:type="character" w:styleId="Hyperlink">
    <w:name w:val="Hyperlink"/>
    <w:uiPriority w:val="99"/>
    <w:unhideWhenUsed/>
    <w:rsid w:val="00B94A89"/>
    <w:rPr>
      <w:rFonts w:ascii="Times New Roman" w:hAnsi="Times New Roman" w:cs="Times New Roman" w:hint="default"/>
      <w:color w:val="0000FF"/>
      <w:u w:val="single"/>
    </w:rPr>
  </w:style>
  <w:style w:type="character" w:customStyle="1" w:styleId="FootnoteTextChar1">
    <w:name w:val="Footnote Text Char1"/>
    <w:uiPriority w:val="99"/>
    <w:semiHidden/>
    <w:locked/>
    <w:rsid w:val="003B081E"/>
    <w:rPr>
      <w:rFonts w:ascii="Book Antiqua" w:hAnsi="Book Antiqua"/>
    </w:rPr>
  </w:style>
  <w:style w:type="character" w:customStyle="1" w:styleId="HeaderChar">
    <w:name w:val="Header Char"/>
    <w:basedOn w:val="DefaultParagraphFont"/>
    <w:link w:val="Header"/>
    <w:uiPriority w:val="99"/>
    <w:rsid w:val="0061259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2"/>
      </w:numPr>
      <w:ind w:left="72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basedOn w:val="Normal"/>
    <w:link w:val="FootnoteTextChar"/>
    <w:uiPriority w:val="99"/>
    <w:semiHidden/>
    <w:rsid w:val="00A4464B"/>
    <w:rPr>
      <w:sz w:val="20"/>
      <w:szCs w:val="20"/>
    </w:rPr>
  </w:style>
  <w:style w:type="paragraph" w:styleId="BalloonText">
    <w:name w:val="Balloon Text"/>
    <w:basedOn w:val="Normal"/>
    <w:semiHidden/>
    <w:rsid w:val="002808E1"/>
    <w:rPr>
      <w:rFonts w:ascii="Tahoma" w:hAnsi="Tahoma" w:cs="Tahoma"/>
      <w:sz w:val="16"/>
      <w:szCs w:val="16"/>
    </w:rPr>
  </w:style>
  <w:style w:type="paragraph" w:styleId="BodyText">
    <w:name w:val="Body Text"/>
    <w:basedOn w:val="Normal"/>
    <w:link w:val="BodyTextChar"/>
    <w:rsid w:val="00533943"/>
    <w:pPr>
      <w:spacing w:after="120"/>
    </w:pPr>
  </w:style>
  <w:style w:type="character" w:customStyle="1" w:styleId="BodyTextChar">
    <w:name w:val="Body Text Char"/>
    <w:link w:val="BodyText"/>
    <w:rsid w:val="00533943"/>
    <w:rPr>
      <w:sz w:val="24"/>
      <w:szCs w:val="24"/>
    </w:rPr>
  </w:style>
  <w:style w:type="character" w:styleId="CommentReference">
    <w:name w:val="annotation reference"/>
    <w:rsid w:val="00515885"/>
    <w:rPr>
      <w:sz w:val="16"/>
      <w:szCs w:val="16"/>
    </w:rPr>
  </w:style>
  <w:style w:type="paragraph" w:styleId="CommentText">
    <w:name w:val="annotation text"/>
    <w:basedOn w:val="Normal"/>
    <w:link w:val="CommentTextChar"/>
    <w:rsid w:val="00515885"/>
    <w:rPr>
      <w:sz w:val="20"/>
      <w:szCs w:val="20"/>
    </w:rPr>
  </w:style>
  <w:style w:type="character" w:customStyle="1" w:styleId="CommentTextChar">
    <w:name w:val="Comment Text Char"/>
    <w:basedOn w:val="DefaultParagraphFont"/>
    <w:link w:val="CommentText"/>
    <w:rsid w:val="00515885"/>
  </w:style>
  <w:style w:type="paragraph" w:styleId="CommentSubject">
    <w:name w:val="annotation subject"/>
    <w:basedOn w:val="CommentText"/>
    <w:next w:val="CommentText"/>
    <w:link w:val="CommentSubjectChar"/>
    <w:rsid w:val="00515885"/>
    <w:rPr>
      <w:b/>
      <w:bCs/>
    </w:rPr>
  </w:style>
  <w:style w:type="character" w:customStyle="1" w:styleId="CommentSubjectChar">
    <w:name w:val="Comment Subject Char"/>
    <w:link w:val="CommentSubject"/>
    <w:rsid w:val="00515885"/>
    <w:rPr>
      <w:b/>
      <w:bCs/>
    </w:rPr>
  </w:style>
  <w:style w:type="character" w:customStyle="1" w:styleId="FootnoteTextChar">
    <w:name w:val="Footnote Text Char"/>
    <w:link w:val="FootnoteText"/>
    <w:uiPriority w:val="99"/>
    <w:semiHidden/>
    <w:locked/>
    <w:rsid w:val="005E4737"/>
  </w:style>
  <w:style w:type="character" w:styleId="Hyperlink">
    <w:name w:val="Hyperlink"/>
    <w:uiPriority w:val="99"/>
    <w:unhideWhenUsed/>
    <w:rsid w:val="00B94A89"/>
    <w:rPr>
      <w:rFonts w:ascii="Times New Roman" w:hAnsi="Times New Roman" w:cs="Times New Roman" w:hint="default"/>
      <w:color w:val="0000FF"/>
      <w:u w:val="single"/>
    </w:rPr>
  </w:style>
  <w:style w:type="character" w:customStyle="1" w:styleId="FootnoteTextChar1">
    <w:name w:val="Footnote Text Char1"/>
    <w:uiPriority w:val="99"/>
    <w:semiHidden/>
    <w:locked/>
    <w:rsid w:val="003B081E"/>
    <w:rPr>
      <w:rFonts w:ascii="Book Antiqua" w:hAnsi="Book Antiqua"/>
    </w:rPr>
  </w:style>
  <w:style w:type="character" w:customStyle="1" w:styleId="HeaderChar">
    <w:name w:val="Header Char"/>
    <w:basedOn w:val="DefaultParagraphFont"/>
    <w:link w:val="Header"/>
    <w:uiPriority w:val="99"/>
    <w:rsid w:val="006125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61631">
      <w:bodyDiv w:val="1"/>
      <w:marLeft w:val="0"/>
      <w:marRight w:val="0"/>
      <w:marTop w:val="0"/>
      <w:marBottom w:val="0"/>
      <w:divBdr>
        <w:top w:val="none" w:sz="0" w:space="0" w:color="auto"/>
        <w:left w:val="none" w:sz="0" w:space="0" w:color="auto"/>
        <w:bottom w:val="none" w:sz="0" w:space="0" w:color="auto"/>
        <w:right w:val="none" w:sz="0" w:space="0" w:color="auto"/>
      </w:divBdr>
    </w:div>
    <w:div w:id="106506220">
      <w:bodyDiv w:val="1"/>
      <w:marLeft w:val="0"/>
      <w:marRight w:val="0"/>
      <w:marTop w:val="0"/>
      <w:marBottom w:val="0"/>
      <w:divBdr>
        <w:top w:val="none" w:sz="0" w:space="0" w:color="auto"/>
        <w:left w:val="none" w:sz="0" w:space="0" w:color="auto"/>
        <w:bottom w:val="none" w:sz="0" w:space="0" w:color="auto"/>
        <w:right w:val="none" w:sz="0" w:space="0" w:color="auto"/>
      </w:divBdr>
    </w:div>
    <w:div w:id="121272602">
      <w:bodyDiv w:val="1"/>
      <w:marLeft w:val="0"/>
      <w:marRight w:val="0"/>
      <w:marTop w:val="0"/>
      <w:marBottom w:val="0"/>
      <w:divBdr>
        <w:top w:val="none" w:sz="0" w:space="0" w:color="auto"/>
        <w:left w:val="none" w:sz="0" w:space="0" w:color="auto"/>
        <w:bottom w:val="none" w:sz="0" w:space="0" w:color="auto"/>
        <w:right w:val="none" w:sz="0" w:space="0" w:color="auto"/>
      </w:divBdr>
    </w:div>
    <w:div w:id="227806344">
      <w:bodyDiv w:val="1"/>
      <w:marLeft w:val="0"/>
      <w:marRight w:val="0"/>
      <w:marTop w:val="0"/>
      <w:marBottom w:val="0"/>
      <w:divBdr>
        <w:top w:val="none" w:sz="0" w:space="0" w:color="auto"/>
        <w:left w:val="none" w:sz="0" w:space="0" w:color="auto"/>
        <w:bottom w:val="none" w:sz="0" w:space="0" w:color="auto"/>
        <w:right w:val="none" w:sz="0" w:space="0" w:color="auto"/>
      </w:divBdr>
    </w:div>
    <w:div w:id="277570817">
      <w:bodyDiv w:val="1"/>
      <w:marLeft w:val="0"/>
      <w:marRight w:val="0"/>
      <w:marTop w:val="0"/>
      <w:marBottom w:val="0"/>
      <w:divBdr>
        <w:top w:val="none" w:sz="0" w:space="0" w:color="auto"/>
        <w:left w:val="none" w:sz="0" w:space="0" w:color="auto"/>
        <w:bottom w:val="none" w:sz="0" w:space="0" w:color="auto"/>
        <w:right w:val="none" w:sz="0" w:space="0" w:color="auto"/>
      </w:divBdr>
    </w:div>
    <w:div w:id="343016626">
      <w:bodyDiv w:val="1"/>
      <w:marLeft w:val="0"/>
      <w:marRight w:val="0"/>
      <w:marTop w:val="0"/>
      <w:marBottom w:val="0"/>
      <w:divBdr>
        <w:top w:val="none" w:sz="0" w:space="0" w:color="auto"/>
        <w:left w:val="none" w:sz="0" w:space="0" w:color="auto"/>
        <w:bottom w:val="none" w:sz="0" w:space="0" w:color="auto"/>
        <w:right w:val="none" w:sz="0" w:space="0" w:color="auto"/>
      </w:divBdr>
    </w:div>
    <w:div w:id="516893821">
      <w:bodyDiv w:val="1"/>
      <w:marLeft w:val="0"/>
      <w:marRight w:val="0"/>
      <w:marTop w:val="0"/>
      <w:marBottom w:val="0"/>
      <w:divBdr>
        <w:top w:val="none" w:sz="0" w:space="0" w:color="auto"/>
        <w:left w:val="none" w:sz="0" w:space="0" w:color="auto"/>
        <w:bottom w:val="none" w:sz="0" w:space="0" w:color="auto"/>
        <w:right w:val="none" w:sz="0" w:space="0" w:color="auto"/>
      </w:divBdr>
    </w:div>
    <w:div w:id="852260647">
      <w:bodyDiv w:val="1"/>
      <w:marLeft w:val="0"/>
      <w:marRight w:val="0"/>
      <w:marTop w:val="0"/>
      <w:marBottom w:val="0"/>
      <w:divBdr>
        <w:top w:val="none" w:sz="0" w:space="0" w:color="auto"/>
        <w:left w:val="none" w:sz="0" w:space="0" w:color="auto"/>
        <w:bottom w:val="none" w:sz="0" w:space="0" w:color="auto"/>
        <w:right w:val="none" w:sz="0" w:space="0" w:color="auto"/>
      </w:divBdr>
    </w:div>
    <w:div w:id="1032151751">
      <w:bodyDiv w:val="1"/>
      <w:marLeft w:val="0"/>
      <w:marRight w:val="0"/>
      <w:marTop w:val="0"/>
      <w:marBottom w:val="0"/>
      <w:divBdr>
        <w:top w:val="none" w:sz="0" w:space="0" w:color="auto"/>
        <w:left w:val="none" w:sz="0" w:space="0" w:color="auto"/>
        <w:bottom w:val="none" w:sz="0" w:space="0" w:color="auto"/>
        <w:right w:val="none" w:sz="0" w:space="0" w:color="auto"/>
      </w:divBdr>
    </w:div>
    <w:div w:id="1063217745">
      <w:bodyDiv w:val="1"/>
      <w:marLeft w:val="0"/>
      <w:marRight w:val="0"/>
      <w:marTop w:val="0"/>
      <w:marBottom w:val="0"/>
      <w:divBdr>
        <w:top w:val="none" w:sz="0" w:space="0" w:color="auto"/>
        <w:left w:val="none" w:sz="0" w:space="0" w:color="auto"/>
        <w:bottom w:val="none" w:sz="0" w:space="0" w:color="auto"/>
        <w:right w:val="none" w:sz="0" w:space="0" w:color="auto"/>
      </w:divBdr>
    </w:div>
    <w:div w:id="1064333444">
      <w:bodyDiv w:val="1"/>
      <w:marLeft w:val="0"/>
      <w:marRight w:val="0"/>
      <w:marTop w:val="0"/>
      <w:marBottom w:val="0"/>
      <w:divBdr>
        <w:top w:val="none" w:sz="0" w:space="0" w:color="auto"/>
        <w:left w:val="none" w:sz="0" w:space="0" w:color="auto"/>
        <w:bottom w:val="none" w:sz="0" w:space="0" w:color="auto"/>
        <w:right w:val="none" w:sz="0" w:space="0" w:color="auto"/>
      </w:divBdr>
    </w:div>
    <w:div w:id="1076896575">
      <w:bodyDiv w:val="1"/>
      <w:marLeft w:val="0"/>
      <w:marRight w:val="0"/>
      <w:marTop w:val="0"/>
      <w:marBottom w:val="0"/>
      <w:divBdr>
        <w:top w:val="none" w:sz="0" w:space="0" w:color="auto"/>
        <w:left w:val="none" w:sz="0" w:space="0" w:color="auto"/>
        <w:bottom w:val="none" w:sz="0" w:space="0" w:color="auto"/>
        <w:right w:val="none" w:sz="0" w:space="0" w:color="auto"/>
      </w:divBdr>
    </w:div>
    <w:div w:id="1254509170">
      <w:bodyDiv w:val="1"/>
      <w:marLeft w:val="0"/>
      <w:marRight w:val="0"/>
      <w:marTop w:val="0"/>
      <w:marBottom w:val="0"/>
      <w:divBdr>
        <w:top w:val="none" w:sz="0" w:space="0" w:color="auto"/>
        <w:left w:val="none" w:sz="0" w:space="0" w:color="auto"/>
        <w:bottom w:val="none" w:sz="0" w:space="0" w:color="auto"/>
        <w:right w:val="none" w:sz="0" w:space="0" w:color="auto"/>
      </w:divBdr>
    </w:div>
    <w:div w:id="1285117596">
      <w:bodyDiv w:val="1"/>
      <w:marLeft w:val="0"/>
      <w:marRight w:val="0"/>
      <w:marTop w:val="0"/>
      <w:marBottom w:val="0"/>
      <w:divBdr>
        <w:top w:val="none" w:sz="0" w:space="0" w:color="auto"/>
        <w:left w:val="none" w:sz="0" w:space="0" w:color="auto"/>
        <w:bottom w:val="none" w:sz="0" w:space="0" w:color="auto"/>
        <w:right w:val="none" w:sz="0" w:space="0" w:color="auto"/>
      </w:divBdr>
    </w:div>
    <w:div w:id="1349330592">
      <w:bodyDiv w:val="1"/>
      <w:marLeft w:val="0"/>
      <w:marRight w:val="0"/>
      <w:marTop w:val="0"/>
      <w:marBottom w:val="0"/>
      <w:divBdr>
        <w:top w:val="none" w:sz="0" w:space="0" w:color="auto"/>
        <w:left w:val="none" w:sz="0" w:space="0" w:color="auto"/>
        <w:bottom w:val="none" w:sz="0" w:space="0" w:color="auto"/>
        <w:right w:val="none" w:sz="0" w:space="0" w:color="auto"/>
      </w:divBdr>
    </w:div>
    <w:div w:id="1531838492">
      <w:bodyDiv w:val="1"/>
      <w:marLeft w:val="0"/>
      <w:marRight w:val="0"/>
      <w:marTop w:val="0"/>
      <w:marBottom w:val="0"/>
      <w:divBdr>
        <w:top w:val="none" w:sz="0" w:space="0" w:color="auto"/>
        <w:left w:val="none" w:sz="0" w:space="0" w:color="auto"/>
        <w:bottom w:val="none" w:sz="0" w:space="0" w:color="auto"/>
        <w:right w:val="none" w:sz="0" w:space="0" w:color="auto"/>
      </w:divBdr>
    </w:div>
    <w:div w:id="1712799387">
      <w:bodyDiv w:val="1"/>
      <w:marLeft w:val="0"/>
      <w:marRight w:val="0"/>
      <w:marTop w:val="0"/>
      <w:marBottom w:val="0"/>
      <w:divBdr>
        <w:top w:val="none" w:sz="0" w:space="0" w:color="auto"/>
        <w:left w:val="none" w:sz="0" w:space="0" w:color="auto"/>
        <w:bottom w:val="none" w:sz="0" w:space="0" w:color="auto"/>
        <w:right w:val="none" w:sz="0" w:space="0" w:color="auto"/>
      </w:divBdr>
    </w:div>
    <w:div w:id="193693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22</Pages>
  <Words>8588</Words>
  <Characters>48830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57304</CharactersWithSpaces>
  <SharedDoc>false</SharedDoc>
  <HLinks>
    <vt:vector size="18" baseType="variant">
      <vt:variant>
        <vt:i4>6684797</vt:i4>
      </vt:variant>
      <vt:variant>
        <vt:i4>6</vt:i4>
      </vt:variant>
      <vt:variant>
        <vt:i4>0</vt:i4>
      </vt:variant>
      <vt:variant>
        <vt:i4>5</vt:i4>
      </vt:variant>
      <vt:variant>
        <vt:lpwstr>http://www.bls.gov/lau/staadata.txt</vt:lpwstr>
      </vt:variant>
      <vt:variant>
        <vt:lpwstr/>
      </vt:variant>
      <vt:variant>
        <vt:i4>6225935</vt:i4>
      </vt:variant>
      <vt:variant>
        <vt:i4>3</vt:i4>
      </vt:variant>
      <vt:variant>
        <vt:i4>0</vt:i4>
      </vt:variant>
      <vt:variant>
        <vt:i4>5</vt:i4>
      </vt:variant>
      <vt:variant>
        <vt:lpwstr>http://www.dol.gov/ebsa/pdf/coveragebulletin2014.pdf</vt:lpwstr>
      </vt:variant>
      <vt:variant>
        <vt:lpwstr/>
      </vt:variant>
      <vt:variant>
        <vt:i4>5177384</vt:i4>
      </vt:variant>
      <vt:variant>
        <vt:i4>0</vt:i4>
      </vt:variant>
      <vt:variant>
        <vt:i4>0</vt:i4>
      </vt:variant>
      <vt:variant>
        <vt:i4>5</vt:i4>
      </vt:variant>
      <vt:variant>
        <vt:lpwstr>http://www.cms.gov/CCIIO/Resources/Fact-Sheets-and-FAQs/Downloads/2009-13-CLAS-County-Data_12-05-14_clean_508.pdf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ridgwayc</dc:creator>
  <cp:lastModifiedBy>Butikofer, James - EBSA</cp:lastModifiedBy>
  <cp:revision>7</cp:revision>
  <cp:lastPrinted>2015-07-01T18:20:00Z</cp:lastPrinted>
  <dcterms:created xsi:type="dcterms:W3CDTF">2016-12-01T16:01:00Z</dcterms:created>
  <dcterms:modified xsi:type="dcterms:W3CDTF">2016-12-19T15:58:00Z</dcterms:modified>
</cp:coreProperties>
</file>