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E9E" w:rsidRDefault="00820E9E" w:rsidP="00C70760">
      <w:pPr>
        <w:pStyle w:val="Heading1"/>
        <w:rPr>
          <w:b w:val="0"/>
        </w:rPr>
      </w:pPr>
      <w:r>
        <w:t xml:space="preserve">Crosswalk for Changes to </w:t>
      </w:r>
      <w:r w:rsidR="00B34240">
        <w:t>Survey Instrument for Nursing Home Administrators</w:t>
      </w:r>
    </w:p>
    <w:tbl>
      <w:tblPr>
        <w:tblW w:w="0" w:type="auto"/>
        <w:tblCellMar>
          <w:top w:w="72" w:type="dxa"/>
          <w:left w:w="115" w:type="dxa"/>
          <w:bottom w:w="72" w:type="dxa"/>
          <w:right w:w="115" w:type="dxa"/>
        </w:tblCellMar>
        <w:tblLook w:val="04A0" w:firstRow="1" w:lastRow="0" w:firstColumn="1" w:lastColumn="0" w:noHBand="0" w:noVBand="1"/>
      </w:tblPr>
      <w:tblGrid>
        <w:gridCol w:w="2430"/>
        <w:gridCol w:w="3510"/>
        <w:gridCol w:w="3420"/>
      </w:tblGrid>
      <w:tr w:rsidR="00D22EAC" w:rsidRPr="00C70760" w:rsidTr="007E047D">
        <w:trPr>
          <w:cantSplit/>
          <w:tblHeader/>
        </w:trPr>
        <w:tc>
          <w:tcPr>
            <w:tcW w:w="2430" w:type="dxa"/>
            <w:tcBorders>
              <w:bottom w:val="single" w:sz="4" w:space="0" w:color="auto"/>
            </w:tcBorders>
            <w:shd w:val="clear" w:color="auto" w:fill="auto"/>
            <w:vAlign w:val="bottom"/>
          </w:tcPr>
          <w:p w:rsidR="00C67442" w:rsidRPr="00C70760" w:rsidRDefault="007E047D" w:rsidP="00C70760">
            <w:pPr>
              <w:spacing w:after="0" w:line="240" w:lineRule="auto"/>
              <w:rPr>
                <w:rFonts w:ascii="Times New Roman" w:hAnsi="Times New Roman"/>
                <w:b/>
              </w:rPr>
            </w:pPr>
            <w:r>
              <w:rPr>
                <w:rFonts w:ascii="Times New Roman" w:hAnsi="Times New Roman"/>
                <w:b/>
              </w:rPr>
              <w:t>Section # on Current </w:t>
            </w:r>
            <w:r w:rsidR="00C67442" w:rsidRPr="00C70760">
              <w:rPr>
                <w:rFonts w:ascii="Times New Roman" w:hAnsi="Times New Roman"/>
                <w:b/>
              </w:rPr>
              <w:t>CMS-10622</w:t>
            </w:r>
          </w:p>
        </w:tc>
        <w:tc>
          <w:tcPr>
            <w:tcW w:w="3510" w:type="dxa"/>
            <w:tcBorders>
              <w:bottom w:val="single" w:sz="4" w:space="0" w:color="auto"/>
            </w:tcBorders>
            <w:shd w:val="clear" w:color="auto" w:fill="auto"/>
            <w:vAlign w:val="bottom"/>
          </w:tcPr>
          <w:p w:rsidR="00C67442" w:rsidRPr="00C70760" w:rsidRDefault="00C67442" w:rsidP="00C70760">
            <w:pPr>
              <w:spacing w:after="0" w:line="240" w:lineRule="auto"/>
              <w:rPr>
                <w:rFonts w:ascii="Times New Roman" w:hAnsi="Times New Roman"/>
                <w:b/>
              </w:rPr>
            </w:pPr>
            <w:r w:rsidRPr="00C70760">
              <w:rPr>
                <w:rFonts w:ascii="Times New Roman" w:hAnsi="Times New Roman"/>
                <w:b/>
              </w:rPr>
              <w:t>Type of Change</w:t>
            </w:r>
          </w:p>
        </w:tc>
        <w:tc>
          <w:tcPr>
            <w:tcW w:w="3420" w:type="dxa"/>
            <w:tcBorders>
              <w:bottom w:val="single" w:sz="4" w:space="0" w:color="auto"/>
            </w:tcBorders>
            <w:shd w:val="clear" w:color="auto" w:fill="auto"/>
            <w:vAlign w:val="bottom"/>
          </w:tcPr>
          <w:p w:rsidR="00C67442" w:rsidRPr="00C70760" w:rsidRDefault="00C67442" w:rsidP="00C70760">
            <w:pPr>
              <w:spacing w:after="0" w:line="240" w:lineRule="auto"/>
              <w:rPr>
                <w:rFonts w:ascii="Times New Roman" w:hAnsi="Times New Roman"/>
                <w:b/>
              </w:rPr>
            </w:pPr>
            <w:r w:rsidRPr="00C70760">
              <w:rPr>
                <w:rFonts w:ascii="Times New Roman" w:hAnsi="Times New Roman"/>
                <w:b/>
              </w:rPr>
              <w:t>Rationale for Change</w:t>
            </w:r>
          </w:p>
        </w:tc>
      </w:tr>
      <w:tr w:rsidR="00BE2F7C" w:rsidRPr="00C70760" w:rsidTr="007E047D">
        <w:trPr>
          <w:cantSplit/>
        </w:trPr>
        <w:tc>
          <w:tcPr>
            <w:tcW w:w="2430" w:type="dxa"/>
            <w:tcBorders>
              <w:top w:val="single" w:sz="4" w:space="0" w:color="auto"/>
              <w:bottom w:val="single" w:sz="4" w:space="0" w:color="auto"/>
            </w:tcBorders>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Appendix A1. Survey</w:t>
            </w:r>
          </w:p>
          <w:p w:rsidR="00C67442" w:rsidRPr="00C70760" w:rsidRDefault="00C70760" w:rsidP="00C70760">
            <w:pPr>
              <w:spacing w:after="0" w:line="240" w:lineRule="auto"/>
              <w:rPr>
                <w:rFonts w:ascii="Times New Roman" w:hAnsi="Times New Roman"/>
                <w:i/>
              </w:rPr>
            </w:pPr>
            <w:r w:rsidRPr="00C70760">
              <w:rPr>
                <w:rFonts w:ascii="Times New Roman" w:hAnsi="Times New Roman"/>
                <w:i/>
              </w:rPr>
              <w:t>Introduction and Informed Consent</w:t>
            </w:r>
          </w:p>
        </w:tc>
        <w:tc>
          <w:tcPr>
            <w:tcW w:w="3510" w:type="dxa"/>
            <w:tcBorders>
              <w:top w:val="single" w:sz="4" w:space="0" w:color="auto"/>
              <w:bottom w:val="single" w:sz="4" w:space="0" w:color="auto"/>
            </w:tcBorders>
            <w:shd w:val="clear" w:color="auto" w:fill="auto"/>
          </w:tcPr>
          <w:p w:rsidR="00C67442" w:rsidRPr="00C70760" w:rsidRDefault="00C67442" w:rsidP="00C70760">
            <w:pPr>
              <w:spacing w:after="0" w:line="240" w:lineRule="auto"/>
              <w:rPr>
                <w:rFonts w:ascii="Times New Roman" w:hAnsi="Times New Roman"/>
              </w:rPr>
            </w:pPr>
            <w:r w:rsidRPr="00C70760">
              <w:rPr>
                <w:rFonts w:ascii="Times New Roman" w:hAnsi="Times New Roman"/>
              </w:rPr>
              <w:t>Shortened and adapted introduction into 4 versions depending on previous contact:</w:t>
            </w:r>
          </w:p>
          <w:p w:rsidR="00C67442" w:rsidRPr="00C70760" w:rsidRDefault="00C67442" w:rsidP="00C70760">
            <w:pPr>
              <w:spacing w:after="0" w:line="240" w:lineRule="auto"/>
              <w:rPr>
                <w:rFonts w:ascii="Times New Roman" w:hAnsi="Times New Roman"/>
              </w:rPr>
            </w:pPr>
            <w:r w:rsidRPr="00C70760">
              <w:rPr>
                <w:rFonts w:ascii="Times New Roman" w:hAnsi="Times New Roman"/>
              </w:rPr>
              <w:t>1. Contacted with letter</w:t>
            </w:r>
          </w:p>
          <w:p w:rsidR="00C67442" w:rsidRPr="00C70760" w:rsidRDefault="00C67442" w:rsidP="00C70760">
            <w:pPr>
              <w:spacing w:after="0" w:line="240" w:lineRule="auto"/>
              <w:rPr>
                <w:rFonts w:ascii="Times New Roman" w:hAnsi="Times New Roman"/>
              </w:rPr>
            </w:pPr>
            <w:r w:rsidRPr="00C70760">
              <w:rPr>
                <w:rFonts w:ascii="Times New Roman" w:hAnsi="Times New Roman"/>
              </w:rPr>
              <w:t xml:space="preserve">Add: 2. Contacted via email </w:t>
            </w:r>
            <w:bookmarkStart w:id="0" w:name="_GoBack"/>
            <w:bookmarkEnd w:id="0"/>
            <w:r w:rsidRPr="00C70760">
              <w:rPr>
                <w:rFonts w:ascii="Times New Roman" w:hAnsi="Times New Roman"/>
              </w:rPr>
              <w:t>and arranged meeting time</w:t>
            </w:r>
          </w:p>
          <w:p w:rsidR="00C67442" w:rsidRPr="00C70760" w:rsidRDefault="00C67442" w:rsidP="00C70760">
            <w:pPr>
              <w:spacing w:after="0" w:line="240" w:lineRule="auto"/>
              <w:rPr>
                <w:rFonts w:ascii="Times New Roman" w:hAnsi="Times New Roman"/>
              </w:rPr>
            </w:pPr>
            <w:r w:rsidRPr="00C70760">
              <w:rPr>
                <w:rFonts w:ascii="Times New Roman" w:hAnsi="Times New Roman"/>
              </w:rPr>
              <w:t>Add: 3. Contacted via phone and arranged meeting time</w:t>
            </w:r>
          </w:p>
          <w:p w:rsidR="00C67442" w:rsidRPr="00C70760" w:rsidRDefault="00C67442" w:rsidP="00C70760">
            <w:pPr>
              <w:spacing w:after="0" w:line="240" w:lineRule="auto"/>
              <w:rPr>
                <w:rFonts w:ascii="Times New Roman" w:hAnsi="Times New Roman"/>
              </w:rPr>
            </w:pPr>
            <w:r w:rsidRPr="00C70760">
              <w:rPr>
                <w:rFonts w:ascii="Times New Roman" w:hAnsi="Times New Roman"/>
              </w:rPr>
              <w:t xml:space="preserve">Add: 4. Had already started the survey </w:t>
            </w:r>
          </w:p>
        </w:tc>
        <w:tc>
          <w:tcPr>
            <w:tcW w:w="3420" w:type="dxa"/>
            <w:tcBorders>
              <w:top w:val="single" w:sz="4" w:space="0" w:color="auto"/>
              <w:bottom w:val="single" w:sz="4" w:space="0" w:color="auto"/>
            </w:tcBorders>
            <w:shd w:val="clear" w:color="auto" w:fill="auto"/>
          </w:tcPr>
          <w:p w:rsidR="00C67442" w:rsidRPr="00C70760" w:rsidRDefault="00C67442" w:rsidP="00C70760">
            <w:pPr>
              <w:spacing w:after="0" w:line="240" w:lineRule="auto"/>
              <w:rPr>
                <w:rFonts w:ascii="Times New Roman" w:hAnsi="Times New Roman"/>
              </w:rPr>
            </w:pPr>
            <w:r w:rsidRPr="00C70760">
              <w:rPr>
                <w:rFonts w:ascii="Times New Roman" w:hAnsi="Times New Roman"/>
              </w:rPr>
              <w:t xml:space="preserve">To minimize the burden placed on respondents before the survey begins. </w:t>
            </w:r>
          </w:p>
        </w:tc>
      </w:tr>
      <w:tr w:rsidR="00C70760" w:rsidRPr="00C70760" w:rsidTr="007E047D">
        <w:trPr>
          <w:cantSplit/>
        </w:trPr>
        <w:tc>
          <w:tcPr>
            <w:tcW w:w="2430" w:type="dxa"/>
            <w:tcBorders>
              <w:top w:val="single" w:sz="4" w:space="0" w:color="auto"/>
            </w:tcBorders>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 xml:space="preserve">Appendix A1. Survey </w:t>
            </w:r>
          </w:p>
          <w:p w:rsidR="00C70760" w:rsidRPr="00C70760" w:rsidRDefault="00C70760" w:rsidP="00C70760">
            <w:pPr>
              <w:spacing w:after="0" w:line="240" w:lineRule="auto"/>
              <w:rPr>
                <w:rFonts w:ascii="Times New Roman" w:hAnsi="Times New Roman"/>
              </w:rPr>
            </w:pPr>
            <w:r w:rsidRPr="00C70760">
              <w:rPr>
                <w:rFonts w:ascii="Times New Roman" w:hAnsi="Times New Roman"/>
                <w:i/>
              </w:rPr>
              <w:t>I Quality Improvement Initiatives</w:t>
            </w:r>
          </w:p>
        </w:tc>
        <w:tc>
          <w:tcPr>
            <w:tcW w:w="3510" w:type="dxa"/>
            <w:tcBorders>
              <w:top w:val="single" w:sz="4" w:space="0" w:color="auto"/>
            </w:tcBorders>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Q1. Revise text of answer options so that they all start with a gerund.</w:t>
            </w:r>
          </w:p>
        </w:tc>
        <w:tc>
          <w:tcPr>
            <w:tcW w:w="3420" w:type="dxa"/>
            <w:tcBorders>
              <w:top w:val="single" w:sz="4" w:space="0" w:color="auto"/>
            </w:tcBorders>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 xml:space="preserve">To accommodate syntax in later questions with pipe-in text. </w:t>
            </w:r>
          </w:p>
        </w:tc>
      </w:tr>
      <w:tr w:rsidR="00C70760" w:rsidRPr="00C70760" w:rsidTr="007E047D">
        <w:trPr>
          <w:cantSplit/>
        </w:trPr>
        <w:tc>
          <w:tcPr>
            <w:tcW w:w="2430" w:type="dxa"/>
            <w:shd w:val="clear" w:color="auto" w:fill="auto"/>
          </w:tcPr>
          <w:p w:rsidR="00C70760" w:rsidRPr="008D4D2D" w:rsidRDefault="008D4D2D" w:rsidP="00C70760">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 Quality Improvement Initiatives</w:t>
            </w:r>
            <w:r w:rsidRPr="008D4D2D">
              <w:rPr>
                <w:rFonts w:ascii="Times New Roman" w:hAnsi="Times New Roman"/>
                <w:i/>
                <w:color w:val="FFFFFF" w:themeColor="background1"/>
              </w:rPr>
              <w:t xml:space="preserve"> (continued)</w:t>
            </w:r>
          </w:p>
        </w:tc>
        <w:tc>
          <w:tcPr>
            <w:tcW w:w="351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Q1. Remove answer choice ‘Improving the composite score of quality measures for nursing homes.’</w:t>
            </w:r>
          </w:p>
        </w:tc>
        <w:tc>
          <w:tcPr>
            <w:tcW w:w="342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 xml:space="preserve">To focus on asking about specific quality improvement goals pursued, instead of asking about general composite score improved through a variety of interventions. </w:t>
            </w:r>
          </w:p>
        </w:tc>
      </w:tr>
      <w:tr w:rsidR="00C70760" w:rsidRPr="00C70760" w:rsidTr="007E047D">
        <w:trPr>
          <w:cantSplit/>
        </w:trPr>
        <w:tc>
          <w:tcPr>
            <w:tcW w:w="2430" w:type="dxa"/>
            <w:shd w:val="clear" w:color="auto" w:fill="auto"/>
          </w:tcPr>
          <w:p w:rsidR="00C70760" w:rsidRPr="008D4D2D" w:rsidRDefault="008D4D2D" w:rsidP="00C70760">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 Quality Improvement Initiatives (continued)</w:t>
            </w:r>
          </w:p>
        </w:tc>
        <w:tc>
          <w:tcPr>
            <w:tcW w:w="351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Q2. Revise text of answer options so that they all start with a gerund.</w:t>
            </w:r>
          </w:p>
        </w:tc>
        <w:tc>
          <w:tcPr>
            <w:tcW w:w="342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 xml:space="preserve">To accommodate syntax in later questions with pipe-in text. </w:t>
            </w:r>
          </w:p>
        </w:tc>
      </w:tr>
      <w:tr w:rsidR="00C70760" w:rsidRPr="00C70760" w:rsidTr="007E047D">
        <w:trPr>
          <w:cantSplit/>
        </w:trPr>
        <w:tc>
          <w:tcPr>
            <w:tcW w:w="2430" w:type="dxa"/>
            <w:shd w:val="clear" w:color="auto" w:fill="auto"/>
          </w:tcPr>
          <w:p w:rsidR="00C70760" w:rsidRPr="008D4D2D" w:rsidRDefault="008D4D2D" w:rsidP="00C70760">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 Quality Improvement Initiatives (continued)</w:t>
            </w:r>
          </w:p>
        </w:tc>
        <w:tc>
          <w:tcPr>
            <w:tcW w:w="351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Q2. Remove answer choice ‘Improving the composite score of quality measures for nursing homes.’</w:t>
            </w:r>
          </w:p>
        </w:tc>
        <w:tc>
          <w:tcPr>
            <w:tcW w:w="342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To focus on asking about specific quality improvement goals pursued, instead of asking about general composite score improved through a variety of interventions.</w:t>
            </w:r>
          </w:p>
        </w:tc>
      </w:tr>
      <w:tr w:rsidR="00C70760" w:rsidRPr="00C70760" w:rsidTr="007E047D">
        <w:trPr>
          <w:cantSplit/>
        </w:trPr>
        <w:tc>
          <w:tcPr>
            <w:tcW w:w="2430" w:type="dxa"/>
            <w:tcBorders>
              <w:bottom w:val="single" w:sz="4" w:space="0" w:color="auto"/>
            </w:tcBorders>
            <w:shd w:val="clear" w:color="auto" w:fill="auto"/>
          </w:tcPr>
          <w:p w:rsidR="00C70760" w:rsidRPr="008D4D2D" w:rsidRDefault="008D4D2D" w:rsidP="00C70760">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 Quality Improvement Initiatives (continued)</w:t>
            </w:r>
          </w:p>
        </w:tc>
        <w:tc>
          <w:tcPr>
            <w:tcW w:w="3510" w:type="dxa"/>
            <w:tcBorders>
              <w:bottom w:val="single" w:sz="4" w:space="0" w:color="auto"/>
            </w:tcBorders>
            <w:shd w:val="clear" w:color="auto" w:fill="auto"/>
          </w:tcPr>
          <w:p w:rsidR="00C70760" w:rsidRPr="00C70760" w:rsidRDefault="00C70760" w:rsidP="00C70760">
            <w:pPr>
              <w:pStyle w:val="ListParagraph"/>
              <w:spacing w:after="0"/>
              <w:ind w:left="0"/>
              <w:contextualSpacing w:val="0"/>
              <w:rPr>
                <w:sz w:val="22"/>
              </w:rPr>
            </w:pPr>
            <w:r w:rsidRPr="00C70760">
              <w:rPr>
                <w:rFonts w:eastAsia="Calibri"/>
                <w:sz w:val="22"/>
              </w:rPr>
              <w:t>Q2. Revised answer choice ‘Decreasing C. Diff (Clostridium Difficile) infections.’</w:t>
            </w:r>
          </w:p>
        </w:tc>
        <w:tc>
          <w:tcPr>
            <w:tcW w:w="3420" w:type="dxa"/>
            <w:tcBorders>
              <w:bottom w:val="single" w:sz="4" w:space="0" w:color="auto"/>
            </w:tcBorders>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 xml:space="preserve">To define </w:t>
            </w:r>
            <w:proofErr w:type="spellStart"/>
            <w:r w:rsidRPr="00C70760">
              <w:rPr>
                <w:rFonts w:ascii="Times New Roman" w:hAnsi="Times New Roman"/>
              </w:rPr>
              <w:t>C.Diff</w:t>
            </w:r>
            <w:proofErr w:type="spellEnd"/>
            <w:r w:rsidRPr="00C70760">
              <w:rPr>
                <w:rFonts w:ascii="Times New Roman" w:hAnsi="Times New Roman"/>
              </w:rPr>
              <w:t xml:space="preserve"> for participants.</w:t>
            </w:r>
          </w:p>
        </w:tc>
      </w:tr>
      <w:tr w:rsidR="00C70760" w:rsidRPr="00C70760" w:rsidTr="007E047D">
        <w:trPr>
          <w:cantSplit/>
        </w:trPr>
        <w:tc>
          <w:tcPr>
            <w:tcW w:w="2430" w:type="dxa"/>
            <w:tcBorders>
              <w:top w:val="single" w:sz="4" w:space="0" w:color="auto"/>
            </w:tcBorders>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 xml:space="preserve">Appendix A1. Survey </w:t>
            </w:r>
          </w:p>
          <w:p w:rsidR="00C70760" w:rsidRPr="00C70760" w:rsidRDefault="00C70760" w:rsidP="00C70760">
            <w:pPr>
              <w:spacing w:after="0" w:line="240" w:lineRule="auto"/>
              <w:rPr>
                <w:rFonts w:ascii="Times New Roman" w:hAnsi="Times New Roman"/>
                <w:i/>
              </w:rPr>
            </w:pPr>
            <w:r w:rsidRPr="00C70760">
              <w:rPr>
                <w:rFonts w:ascii="Times New Roman" w:hAnsi="Times New Roman"/>
                <w:i/>
              </w:rPr>
              <w:t>II Outcome Attribution to QIO</w:t>
            </w:r>
          </w:p>
        </w:tc>
        <w:tc>
          <w:tcPr>
            <w:tcW w:w="3510" w:type="dxa"/>
            <w:tcBorders>
              <w:top w:val="single" w:sz="4" w:space="0" w:color="auto"/>
            </w:tcBorders>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Add NOTE: Specifying that next questions will be asked for the two goals that received highest rating (or if more than got same rating, two according to the specified hierarchy).</w:t>
            </w:r>
          </w:p>
        </w:tc>
        <w:tc>
          <w:tcPr>
            <w:tcW w:w="3420" w:type="dxa"/>
            <w:tcBorders>
              <w:top w:val="single" w:sz="4" w:space="0" w:color="auto"/>
            </w:tcBorders>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To shorten overall survey length if participant reports pursuing more than two goals and reduce burden on participants.</w:t>
            </w:r>
          </w:p>
        </w:tc>
      </w:tr>
      <w:tr w:rsidR="00C70760" w:rsidRPr="00C70760" w:rsidTr="007E047D">
        <w:trPr>
          <w:cantSplit/>
        </w:trPr>
        <w:tc>
          <w:tcPr>
            <w:tcW w:w="2430" w:type="dxa"/>
            <w:shd w:val="clear" w:color="auto" w:fill="auto"/>
          </w:tcPr>
          <w:p w:rsidR="00C70760" w:rsidRPr="008D4D2D" w:rsidRDefault="008D4D2D" w:rsidP="00C70760">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II Outcome Attribution to QIO</w:t>
            </w:r>
            <w:r w:rsidRPr="008D4D2D">
              <w:rPr>
                <w:rFonts w:ascii="Times New Roman" w:hAnsi="Times New Roman"/>
                <w:i/>
                <w:color w:val="FFFFFF" w:themeColor="background1"/>
              </w:rPr>
              <w:t xml:space="preserve"> (continued)</w:t>
            </w:r>
          </w:p>
        </w:tc>
        <w:tc>
          <w:tcPr>
            <w:tcW w:w="351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Add Q3: What did your organization do to work towards [INSERT GOAL]? [RECORD ANSWER]</w:t>
            </w:r>
          </w:p>
        </w:tc>
        <w:tc>
          <w:tcPr>
            <w:tcW w:w="342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To capture what activities were performed to reach goal.</w:t>
            </w:r>
          </w:p>
        </w:tc>
      </w:tr>
      <w:tr w:rsidR="00C70760" w:rsidRPr="00C70760" w:rsidTr="007E047D">
        <w:trPr>
          <w:cantSplit/>
        </w:trPr>
        <w:tc>
          <w:tcPr>
            <w:tcW w:w="2430" w:type="dxa"/>
            <w:shd w:val="clear" w:color="auto" w:fill="auto"/>
          </w:tcPr>
          <w:p w:rsidR="00C70760" w:rsidRPr="008D4D2D" w:rsidRDefault="008D4D2D" w:rsidP="00C70760">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lastRenderedPageBreak/>
              <w:t>II Outcome Attribution to QIO (continued)</w:t>
            </w:r>
          </w:p>
        </w:tc>
        <w:tc>
          <w:tcPr>
            <w:tcW w:w="351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Q4 (previously Q7): list of activities facility may have implemented to [INSERT GOAL]…</w:t>
            </w:r>
          </w:p>
        </w:tc>
        <w:tc>
          <w:tcPr>
            <w:tcW w:w="342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To ask respondents about broader activities done to achieve quality improvement before asking about specific programs, agencies, or sources of information that helped the nursing home pursue those activities.</w:t>
            </w:r>
          </w:p>
        </w:tc>
      </w:tr>
      <w:tr w:rsidR="00C70760" w:rsidRPr="00C70760" w:rsidTr="007E047D">
        <w:trPr>
          <w:cantSplit/>
        </w:trPr>
        <w:tc>
          <w:tcPr>
            <w:tcW w:w="2430" w:type="dxa"/>
            <w:shd w:val="clear" w:color="auto" w:fill="auto"/>
          </w:tcPr>
          <w:p w:rsidR="00C70760" w:rsidRPr="008D4D2D" w:rsidRDefault="008D4D2D" w:rsidP="00C70760">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II Outcome Attribution to QIO (continued)</w:t>
            </w:r>
          </w:p>
        </w:tc>
        <w:tc>
          <w:tcPr>
            <w:tcW w:w="351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 xml:space="preserve">Q5 (previously Q2). Revise question text to be read. </w:t>
            </w:r>
          </w:p>
        </w:tc>
        <w:tc>
          <w:tcPr>
            <w:tcW w:w="342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To clarify that answer options include programs, agencies, and sources of information.</w:t>
            </w:r>
          </w:p>
        </w:tc>
      </w:tr>
      <w:tr w:rsidR="00C70760" w:rsidRPr="00C70760" w:rsidTr="007E047D">
        <w:trPr>
          <w:cantSplit/>
        </w:trPr>
        <w:tc>
          <w:tcPr>
            <w:tcW w:w="2430" w:type="dxa"/>
            <w:shd w:val="clear" w:color="auto" w:fill="auto"/>
          </w:tcPr>
          <w:p w:rsidR="00C70760" w:rsidRPr="008D4D2D" w:rsidRDefault="008D4D2D" w:rsidP="00C70760">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II Outcome Attribution to QIO (continued)</w:t>
            </w:r>
          </w:p>
        </w:tc>
        <w:tc>
          <w:tcPr>
            <w:tcW w:w="351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Q5 (previously Q2). Revise answer options and provide opportunity to list up to 3 other sources of information used.</w:t>
            </w:r>
          </w:p>
        </w:tc>
        <w:tc>
          <w:tcPr>
            <w:tcW w:w="342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To simplify options for possible programs, agencies, or sources of information.</w:t>
            </w:r>
          </w:p>
        </w:tc>
      </w:tr>
      <w:tr w:rsidR="00C70760" w:rsidRPr="00C70760" w:rsidTr="007E047D">
        <w:trPr>
          <w:cantSplit/>
        </w:trPr>
        <w:tc>
          <w:tcPr>
            <w:tcW w:w="2430" w:type="dxa"/>
            <w:shd w:val="clear" w:color="auto" w:fill="auto"/>
          </w:tcPr>
          <w:p w:rsidR="00C70760" w:rsidRPr="008D4D2D" w:rsidRDefault="008D4D2D" w:rsidP="00C70760">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II Outcome Attribution to QIO (continued)</w:t>
            </w:r>
          </w:p>
        </w:tc>
        <w:tc>
          <w:tcPr>
            <w:tcW w:w="351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Q6 (previously Q3). Revise scale to read “with 5 being most helpful.”</w:t>
            </w:r>
          </w:p>
        </w:tc>
        <w:tc>
          <w:tcPr>
            <w:tcW w:w="3420" w:type="dxa"/>
            <w:shd w:val="clear" w:color="auto" w:fill="auto"/>
          </w:tcPr>
          <w:p w:rsidR="00C70760" w:rsidRPr="00C70760" w:rsidRDefault="00C70760" w:rsidP="00C70760">
            <w:pPr>
              <w:spacing w:after="0" w:line="240" w:lineRule="auto"/>
              <w:rPr>
                <w:rFonts w:ascii="Times New Roman" w:hAnsi="Times New Roman"/>
              </w:rPr>
            </w:pPr>
            <w:r w:rsidRPr="00C70760">
              <w:rPr>
                <w:rFonts w:ascii="Times New Roman" w:hAnsi="Times New Roman"/>
              </w:rPr>
              <w:t>To keep scales used throughout the questionnaire consistent.</w:t>
            </w:r>
          </w:p>
        </w:tc>
      </w:tr>
      <w:tr w:rsidR="008D4D2D" w:rsidRPr="00C70760" w:rsidTr="007E047D">
        <w:trPr>
          <w:cantSplit/>
        </w:trPr>
        <w:tc>
          <w:tcPr>
            <w:tcW w:w="2430" w:type="dxa"/>
            <w:shd w:val="clear" w:color="auto" w:fill="auto"/>
          </w:tcPr>
          <w:p w:rsidR="008D4D2D" w:rsidRPr="008D4D2D" w:rsidRDefault="008D4D2D" w:rsidP="008D4D2D">
            <w:pPr>
              <w:spacing w:after="0" w:line="240" w:lineRule="auto"/>
              <w:rPr>
                <w:rFonts w:ascii="Times New Roman" w:hAnsi="Times New Roman"/>
                <w:i/>
                <w:color w:val="FFFFFF" w:themeColor="background1"/>
              </w:rPr>
            </w:pPr>
            <w:r w:rsidRPr="008D4D2D">
              <w:rPr>
                <w:rFonts w:ascii="Times New Roman" w:hAnsi="Times New Roman"/>
                <w:i/>
                <w:color w:val="FFFFFF" w:themeColor="background1"/>
              </w:rPr>
              <w:t>II Outcome Attribution to QIO (continued)</w:t>
            </w:r>
          </w:p>
        </w:tc>
        <w:tc>
          <w:tcPr>
            <w:tcW w:w="351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 xml:space="preserve">Q6 (previously Q3). Revise question number logic for piping in list of sources. </w:t>
            </w:r>
          </w:p>
        </w:tc>
        <w:tc>
          <w:tcPr>
            <w:tcW w:w="342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match list items piped in to list in Q5.</w:t>
            </w:r>
          </w:p>
        </w:tc>
      </w:tr>
      <w:tr w:rsidR="008D4D2D" w:rsidRPr="00C70760" w:rsidTr="007E047D">
        <w:trPr>
          <w:cantSplit/>
        </w:trPr>
        <w:tc>
          <w:tcPr>
            <w:tcW w:w="2430" w:type="dxa"/>
            <w:shd w:val="clear" w:color="auto" w:fill="auto"/>
          </w:tcPr>
          <w:p w:rsidR="008D4D2D" w:rsidRPr="008D4D2D" w:rsidRDefault="008D4D2D" w:rsidP="008D4D2D">
            <w:pPr>
              <w:spacing w:after="0" w:line="240" w:lineRule="auto"/>
              <w:rPr>
                <w:rFonts w:ascii="Times New Roman" w:hAnsi="Times New Roman"/>
                <w:i/>
                <w:color w:val="FFFFFF" w:themeColor="background1"/>
              </w:rPr>
            </w:pPr>
            <w:r w:rsidRPr="008D4D2D">
              <w:rPr>
                <w:rFonts w:ascii="Times New Roman" w:hAnsi="Times New Roman"/>
                <w:i/>
                <w:color w:val="FFFFFF" w:themeColor="background1"/>
              </w:rPr>
              <w:t>II Outcome Attribution to QIO (continued)</w:t>
            </w:r>
          </w:p>
        </w:tc>
        <w:tc>
          <w:tcPr>
            <w:tcW w:w="351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 xml:space="preserve">Q7 (previously Q4). Revise question numbers in logic. </w:t>
            </w:r>
          </w:p>
        </w:tc>
        <w:tc>
          <w:tcPr>
            <w:tcW w:w="342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match question numbers in logic to new question numbers.</w:t>
            </w:r>
          </w:p>
        </w:tc>
      </w:tr>
      <w:tr w:rsidR="008D4D2D" w:rsidRPr="00C70760" w:rsidTr="007E047D">
        <w:trPr>
          <w:cantSplit/>
        </w:trPr>
        <w:tc>
          <w:tcPr>
            <w:tcW w:w="2430" w:type="dxa"/>
            <w:shd w:val="clear" w:color="auto" w:fill="auto"/>
          </w:tcPr>
          <w:p w:rsidR="008D4D2D" w:rsidRPr="008D4D2D" w:rsidRDefault="008D4D2D" w:rsidP="008D4D2D">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II Outcome Attribution to QIO (continued)</w:t>
            </w:r>
          </w:p>
        </w:tc>
        <w:tc>
          <w:tcPr>
            <w:tcW w:w="351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Q8. Revise logic so that question will be asked to all participants instead of a random subset of 100 participants.</w:t>
            </w:r>
          </w:p>
        </w:tc>
        <w:tc>
          <w:tcPr>
            <w:tcW w:w="342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 xml:space="preserve">To provide adequate sample size to analyze data. </w:t>
            </w:r>
          </w:p>
        </w:tc>
      </w:tr>
      <w:tr w:rsidR="008D4D2D" w:rsidRPr="00C70760" w:rsidTr="007E047D">
        <w:trPr>
          <w:cantSplit/>
        </w:trPr>
        <w:tc>
          <w:tcPr>
            <w:tcW w:w="2430" w:type="dxa"/>
            <w:shd w:val="clear" w:color="auto" w:fill="auto"/>
          </w:tcPr>
          <w:p w:rsidR="008D4D2D" w:rsidRPr="008D4D2D" w:rsidRDefault="008D4D2D" w:rsidP="008D4D2D">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II Outcome Attribution to QIO (continued)</w:t>
            </w:r>
          </w:p>
        </w:tc>
        <w:tc>
          <w:tcPr>
            <w:tcW w:w="351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Q8. Revise question numbers in logic.</w:t>
            </w:r>
          </w:p>
        </w:tc>
        <w:tc>
          <w:tcPr>
            <w:tcW w:w="342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match question numbers in logic to new question numbers.</w:t>
            </w:r>
          </w:p>
        </w:tc>
      </w:tr>
      <w:tr w:rsidR="008D4D2D" w:rsidRPr="00C70760" w:rsidTr="007E047D">
        <w:trPr>
          <w:cantSplit/>
        </w:trPr>
        <w:tc>
          <w:tcPr>
            <w:tcW w:w="2430" w:type="dxa"/>
            <w:shd w:val="clear" w:color="auto" w:fill="auto"/>
          </w:tcPr>
          <w:p w:rsidR="008D4D2D" w:rsidRPr="008D4D2D" w:rsidRDefault="008D4D2D" w:rsidP="008D4D2D">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II Outcome Attribution to QIO (continued)</w:t>
            </w:r>
          </w:p>
        </w:tc>
        <w:tc>
          <w:tcPr>
            <w:tcW w:w="3510" w:type="dxa"/>
            <w:shd w:val="clear" w:color="auto" w:fill="auto"/>
          </w:tcPr>
          <w:p w:rsidR="008D4D2D" w:rsidRPr="00C70760" w:rsidRDefault="008D4D2D" w:rsidP="008D4D2D">
            <w:pPr>
              <w:pStyle w:val="ListParagraph"/>
              <w:spacing w:after="0"/>
              <w:ind w:left="0"/>
              <w:contextualSpacing w:val="0"/>
              <w:rPr>
                <w:sz w:val="22"/>
              </w:rPr>
            </w:pPr>
            <w:r w:rsidRPr="00C70760">
              <w:rPr>
                <w:rFonts w:eastAsia="Calibri"/>
                <w:sz w:val="22"/>
              </w:rPr>
              <w:t>Q8. Revise text of question to “Now I’m going to read a list of the programs, agencies, and/or sources of information that you used in your efforts to [INSERT GOAL]. If you are able to, please write them down as I list them. I am going to ask you to assign a percentage out of a total of 100% to each program. How much would you say each program contributed to your facility’s ability to [INSERT GOAL] over the last 12 months?</w:t>
            </w:r>
          </w:p>
        </w:tc>
        <w:tc>
          <w:tcPr>
            <w:tcW w:w="342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clarify question.</w:t>
            </w:r>
          </w:p>
        </w:tc>
      </w:tr>
      <w:tr w:rsidR="008D4D2D" w:rsidRPr="00C70760" w:rsidTr="007E047D">
        <w:trPr>
          <w:cantSplit/>
        </w:trPr>
        <w:tc>
          <w:tcPr>
            <w:tcW w:w="2430" w:type="dxa"/>
            <w:shd w:val="clear" w:color="auto" w:fill="auto"/>
          </w:tcPr>
          <w:p w:rsidR="008D4D2D" w:rsidRPr="008D4D2D" w:rsidRDefault="008D4D2D" w:rsidP="008D4D2D">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II Outcome Attribution to QIO (continued)</w:t>
            </w:r>
          </w:p>
        </w:tc>
        <w:tc>
          <w:tcPr>
            <w:tcW w:w="351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Q8. Revise list of sources to match that of Q5.</w:t>
            </w:r>
          </w:p>
        </w:tc>
        <w:tc>
          <w:tcPr>
            <w:tcW w:w="342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match list of sources to those chosen from Q5 list.</w:t>
            </w:r>
          </w:p>
        </w:tc>
      </w:tr>
      <w:tr w:rsidR="008D4D2D" w:rsidRPr="00C70760" w:rsidTr="007E047D">
        <w:trPr>
          <w:cantSplit/>
        </w:trPr>
        <w:tc>
          <w:tcPr>
            <w:tcW w:w="2430" w:type="dxa"/>
            <w:shd w:val="clear" w:color="auto" w:fill="auto"/>
          </w:tcPr>
          <w:p w:rsidR="008D4D2D" w:rsidRPr="008D4D2D" w:rsidRDefault="008D4D2D" w:rsidP="008D4D2D">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lastRenderedPageBreak/>
              <w:t>II Outcome Attribution to QIO (continued)</w:t>
            </w:r>
          </w:p>
        </w:tc>
        <w:tc>
          <w:tcPr>
            <w:tcW w:w="351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Q8. Revise text lead-in to question repetition: You have assigned [PERCENTAGE ASSIGNED] percent total so far. You have [SUBTRACT PRIOR RESPONSES FROM 100] percent left to distribute. What percentage would you assign to [READ NEXT SOURCE]</w:t>
            </w:r>
            <w:proofErr w:type="gramStart"/>
            <w:r w:rsidRPr="00C70760">
              <w:rPr>
                <w:rFonts w:ascii="Times New Roman" w:hAnsi="Times New Roman"/>
              </w:rPr>
              <w:t>.</w:t>
            </w:r>
            <w:proofErr w:type="gramEnd"/>
            <w:r w:rsidRPr="00C70760">
              <w:rPr>
                <w:rFonts w:ascii="Times New Roman" w:hAnsi="Times New Roman"/>
              </w:rPr>
              <w:t xml:space="preserve"> </w:t>
            </w:r>
          </w:p>
        </w:tc>
        <w:tc>
          <w:tcPr>
            <w:tcW w:w="342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simplify question and provide participant with information about the percentage they have left to distribute</w:t>
            </w:r>
          </w:p>
        </w:tc>
      </w:tr>
      <w:tr w:rsidR="008D4D2D" w:rsidRPr="00C70760" w:rsidTr="007E047D">
        <w:trPr>
          <w:cantSplit/>
        </w:trPr>
        <w:tc>
          <w:tcPr>
            <w:tcW w:w="2430" w:type="dxa"/>
            <w:shd w:val="clear" w:color="auto" w:fill="auto"/>
          </w:tcPr>
          <w:p w:rsidR="008D4D2D" w:rsidRPr="008D4D2D" w:rsidRDefault="008D4D2D" w:rsidP="008D4D2D">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II Outcome Attribution to QIO (continued)</w:t>
            </w:r>
          </w:p>
        </w:tc>
        <w:tc>
          <w:tcPr>
            <w:tcW w:w="351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 xml:space="preserve">Revise question numbers in programming logic (for repetition of Q3-Q8) that comes after Q8. </w:t>
            </w:r>
          </w:p>
        </w:tc>
        <w:tc>
          <w:tcPr>
            <w:tcW w:w="342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match question numbers in logic to new question numbers.</w:t>
            </w:r>
          </w:p>
        </w:tc>
      </w:tr>
      <w:tr w:rsidR="008D4D2D" w:rsidRPr="00C70760" w:rsidTr="007E047D">
        <w:trPr>
          <w:cantSplit/>
        </w:trPr>
        <w:tc>
          <w:tcPr>
            <w:tcW w:w="2430" w:type="dxa"/>
            <w:tcBorders>
              <w:bottom w:val="single" w:sz="4" w:space="0" w:color="auto"/>
            </w:tcBorders>
            <w:shd w:val="clear" w:color="auto" w:fill="auto"/>
          </w:tcPr>
          <w:p w:rsidR="008D4D2D" w:rsidRPr="008D4D2D" w:rsidRDefault="008D4D2D" w:rsidP="008D4D2D">
            <w:pPr>
              <w:spacing w:after="0" w:line="240" w:lineRule="auto"/>
              <w:rPr>
                <w:rFonts w:ascii="Times New Roman" w:hAnsi="Times New Roman"/>
                <w:color w:val="FFFFFF" w:themeColor="background1"/>
              </w:rPr>
            </w:pPr>
            <w:r w:rsidRPr="008D4D2D">
              <w:rPr>
                <w:rFonts w:ascii="Times New Roman" w:hAnsi="Times New Roman"/>
                <w:i/>
                <w:color w:val="FFFFFF" w:themeColor="background1"/>
              </w:rPr>
              <w:t>II Outcome Attribution to QIO (continued)</w:t>
            </w:r>
          </w:p>
        </w:tc>
        <w:tc>
          <w:tcPr>
            <w:tcW w:w="3510" w:type="dxa"/>
            <w:tcBorders>
              <w:bottom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Q9 (previously Q6). Revise question text.</w:t>
            </w:r>
          </w:p>
        </w:tc>
        <w:tc>
          <w:tcPr>
            <w:tcW w:w="3420" w:type="dxa"/>
            <w:tcBorders>
              <w:bottom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clarify intent of question.</w:t>
            </w:r>
          </w:p>
        </w:tc>
      </w:tr>
      <w:tr w:rsidR="008D4D2D" w:rsidRPr="00C70760" w:rsidTr="007E047D">
        <w:trPr>
          <w:cantSplit/>
        </w:trPr>
        <w:tc>
          <w:tcPr>
            <w:tcW w:w="2430" w:type="dxa"/>
            <w:tcBorders>
              <w:top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 xml:space="preserve">Appendix A1. Survey </w:t>
            </w:r>
          </w:p>
          <w:p w:rsidR="008D4D2D" w:rsidRPr="00C70760" w:rsidRDefault="008D4D2D" w:rsidP="008D4D2D">
            <w:pPr>
              <w:spacing w:after="0" w:line="240" w:lineRule="auto"/>
              <w:rPr>
                <w:rFonts w:ascii="Times New Roman" w:hAnsi="Times New Roman"/>
              </w:rPr>
            </w:pPr>
            <w:r w:rsidRPr="00C70760">
              <w:rPr>
                <w:rFonts w:ascii="Times New Roman" w:hAnsi="Times New Roman"/>
                <w:i/>
              </w:rPr>
              <w:t>III QIN-QIO Engagement for Non-QIO Nursing Homes</w:t>
            </w:r>
          </w:p>
        </w:tc>
        <w:tc>
          <w:tcPr>
            <w:tcW w:w="3510" w:type="dxa"/>
            <w:tcBorders>
              <w:top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Revise question numbers in programming logic.</w:t>
            </w:r>
          </w:p>
        </w:tc>
        <w:tc>
          <w:tcPr>
            <w:tcW w:w="3420" w:type="dxa"/>
            <w:tcBorders>
              <w:top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match question numbers in logic to new question numbers.</w:t>
            </w:r>
          </w:p>
        </w:tc>
      </w:tr>
      <w:tr w:rsidR="008D4D2D" w:rsidRPr="00C70760" w:rsidTr="007E047D">
        <w:trPr>
          <w:cantSplit/>
        </w:trPr>
        <w:tc>
          <w:tcPr>
            <w:tcW w:w="2430" w:type="dxa"/>
            <w:shd w:val="clear" w:color="auto" w:fill="auto"/>
          </w:tcPr>
          <w:p w:rsidR="008D4D2D" w:rsidRPr="008D4D2D" w:rsidRDefault="008D4D2D" w:rsidP="008D4D2D">
            <w:pPr>
              <w:spacing w:after="0" w:line="240" w:lineRule="auto"/>
              <w:rPr>
                <w:rFonts w:ascii="Times New Roman" w:hAnsi="Times New Roman"/>
                <w:color w:val="FFFFFF" w:themeColor="background1"/>
                <w:sz w:val="12"/>
                <w:szCs w:val="12"/>
              </w:rPr>
            </w:pPr>
            <w:r w:rsidRPr="008D4D2D">
              <w:rPr>
                <w:rFonts w:ascii="Times New Roman" w:hAnsi="Times New Roman"/>
                <w:i/>
                <w:color w:val="FFFFFF" w:themeColor="background1"/>
                <w:sz w:val="12"/>
                <w:szCs w:val="12"/>
              </w:rPr>
              <w:t>III QIN-QIO Engagement for Non-QIO Nursing Homes</w:t>
            </w:r>
            <w:r w:rsidRPr="008D4D2D">
              <w:rPr>
                <w:rFonts w:ascii="Times New Roman" w:hAnsi="Times New Roman"/>
                <w:i/>
                <w:color w:val="FFFFFF" w:themeColor="background1"/>
                <w:sz w:val="12"/>
                <w:szCs w:val="12"/>
              </w:rPr>
              <w:t xml:space="preserve"> (continued)</w:t>
            </w:r>
          </w:p>
        </w:tc>
        <w:tc>
          <w:tcPr>
            <w:tcW w:w="351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 xml:space="preserve">Q11 (previously Q8). Revise question text. </w:t>
            </w:r>
          </w:p>
        </w:tc>
        <w:tc>
          <w:tcPr>
            <w:tcW w:w="342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eliminate QIN from text as QINs are not well known.</w:t>
            </w:r>
          </w:p>
        </w:tc>
      </w:tr>
      <w:tr w:rsidR="008D4D2D" w:rsidRPr="00C70760" w:rsidTr="007E047D">
        <w:trPr>
          <w:cantSplit/>
        </w:trPr>
        <w:tc>
          <w:tcPr>
            <w:tcW w:w="2430" w:type="dxa"/>
            <w:tcBorders>
              <w:bottom w:val="single" w:sz="4" w:space="0" w:color="auto"/>
            </w:tcBorders>
            <w:shd w:val="clear" w:color="auto" w:fill="auto"/>
          </w:tcPr>
          <w:p w:rsidR="008D4D2D" w:rsidRPr="008D4D2D" w:rsidRDefault="008D4D2D" w:rsidP="008D4D2D">
            <w:pPr>
              <w:spacing w:after="0" w:line="240" w:lineRule="auto"/>
              <w:rPr>
                <w:rFonts w:ascii="Times New Roman" w:hAnsi="Times New Roman"/>
                <w:color w:val="FFFFFF" w:themeColor="background1"/>
                <w:sz w:val="12"/>
                <w:szCs w:val="12"/>
              </w:rPr>
            </w:pPr>
            <w:r w:rsidRPr="008D4D2D">
              <w:rPr>
                <w:rFonts w:ascii="Times New Roman" w:hAnsi="Times New Roman"/>
                <w:i/>
                <w:color w:val="FFFFFF" w:themeColor="background1"/>
                <w:sz w:val="12"/>
                <w:szCs w:val="12"/>
              </w:rPr>
              <w:t>III QIN-QIO Engagement for Non-QIO Nursing Homes (continued)</w:t>
            </w:r>
          </w:p>
        </w:tc>
        <w:tc>
          <w:tcPr>
            <w:tcW w:w="3510" w:type="dxa"/>
            <w:tcBorders>
              <w:bottom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Q14 (previously Q11). Revise question text.</w:t>
            </w:r>
          </w:p>
        </w:tc>
        <w:tc>
          <w:tcPr>
            <w:tcW w:w="3420" w:type="dxa"/>
            <w:tcBorders>
              <w:bottom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 xml:space="preserve">To provide additional examples of QIO activities that a nursing home can participate in. </w:t>
            </w:r>
          </w:p>
        </w:tc>
      </w:tr>
      <w:tr w:rsidR="008D4D2D" w:rsidRPr="00C70760" w:rsidTr="007E047D">
        <w:trPr>
          <w:cantSplit/>
        </w:trPr>
        <w:tc>
          <w:tcPr>
            <w:tcW w:w="2430" w:type="dxa"/>
            <w:tcBorders>
              <w:top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 xml:space="preserve">Appendix A1. Survey </w:t>
            </w:r>
          </w:p>
          <w:p w:rsidR="008D4D2D" w:rsidRPr="00C70760" w:rsidRDefault="008D4D2D" w:rsidP="008D4D2D">
            <w:pPr>
              <w:spacing w:after="0" w:line="240" w:lineRule="auto"/>
              <w:rPr>
                <w:rFonts w:ascii="Times New Roman" w:hAnsi="Times New Roman"/>
                <w:i/>
              </w:rPr>
            </w:pPr>
            <w:r w:rsidRPr="00C70760">
              <w:rPr>
                <w:rFonts w:ascii="Times New Roman" w:hAnsi="Times New Roman"/>
                <w:i/>
              </w:rPr>
              <w:t>IV Interaction with the QIN-QIO for QIO Nursing Homes</w:t>
            </w:r>
          </w:p>
        </w:tc>
        <w:tc>
          <w:tcPr>
            <w:tcW w:w="3510" w:type="dxa"/>
            <w:tcBorders>
              <w:top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Revise question numbers in programming logic.</w:t>
            </w:r>
          </w:p>
        </w:tc>
        <w:tc>
          <w:tcPr>
            <w:tcW w:w="3420" w:type="dxa"/>
            <w:tcBorders>
              <w:top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 xml:space="preserve">To match question numbers in logic to new question numbers </w:t>
            </w:r>
          </w:p>
        </w:tc>
      </w:tr>
      <w:tr w:rsidR="008D4D2D" w:rsidRPr="00C70760" w:rsidTr="007E047D">
        <w:trPr>
          <w:cantSplit/>
        </w:trPr>
        <w:tc>
          <w:tcPr>
            <w:tcW w:w="2430" w:type="dxa"/>
            <w:shd w:val="clear" w:color="auto" w:fill="auto"/>
          </w:tcPr>
          <w:p w:rsidR="008D4D2D" w:rsidRPr="00C70760" w:rsidRDefault="008D4D2D" w:rsidP="008D4D2D">
            <w:pPr>
              <w:spacing w:after="0" w:line="240" w:lineRule="auto"/>
              <w:rPr>
                <w:rFonts w:ascii="Times New Roman" w:hAnsi="Times New Roman"/>
              </w:rPr>
            </w:pPr>
            <w:r w:rsidRPr="008D4D2D">
              <w:rPr>
                <w:rFonts w:ascii="Times New Roman" w:hAnsi="Times New Roman"/>
                <w:i/>
                <w:color w:val="FFFFFF" w:themeColor="background1"/>
                <w:sz w:val="18"/>
              </w:rPr>
              <w:t>IV Interaction with the QIN-QIO for QIO Nursing Homes</w:t>
            </w:r>
            <w:r w:rsidRPr="008D4D2D">
              <w:rPr>
                <w:rFonts w:ascii="Times New Roman" w:hAnsi="Times New Roman"/>
                <w:i/>
                <w:color w:val="FFFFFF" w:themeColor="background1"/>
                <w:sz w:val="18"/>
              </w:rPr>
              <w:t xml:space="preserve"> (continued)</w:t>
            </w:r>
          </w:p>
        </w:tc>
        <w:tc>
          <w:tcPr>
            <w:tcW w:w="351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 xml:space="preserve">Q15 (previously Q12). Revise answer options to ‘Sometime during 2015’ and ‘Prior to 2015.’ </w:t>
            </w:r>
          </w:p>
        </w:tc>
        <w:tc>
          <w:tcPr>
            <w:tcW w:w="342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simplify answer options to cover main phases of intervention given.</w:t>
            </w:r>
          </w:p>
        </w:tc>
      </w:tr>
      <w:tr w:rsidR="008D4D2D" w:rsidRPr="00C70760" w:rsidTr="007E047D">
        <w:trPr>
          <w:cantSplit/>
        </w:trPr>
        <w:tc>
          <w:tcPr>
            <w:tcW w:w="2430" w:type="dxa"/>
            <w:shd w:val="clear" w:color="auto" w:fill="auto"/>
          </w:tcPr>
          <w:p w:rsidR="008D4D2D" w:rsidRPr="00C70760" w:rsidRDefault="008D4D2D" w:rsidP="008D4D2D">
            <w:pPr>
              <w:spacing w:after="0" w:line="240" w:lineRule="auto"/>
              <w:rPr>
                <w:rFonts w:ascii="Times New Roman" w:hAnsi="Times New Roman"/>
              </w:rPr>
            </w:pPr>
            <w:r w:rsidRPr="008D4D2D">
              <w:rPr>
                <w:rFonts w:ascii="Times New Roman" w:hAnsi="Times New Roman"/>
                <w:i/>
                <w:color w:val="FFFFFF" w:themeColor="background1"/>
                <w:sz w:val="18"/>
              </w:rPr>
              <w:t>IV Interaction with the QIN-QIO for QIO Nursing Homes (continued)</w:t>
            </w:r>
          </w:p>
        </w:tc>
        <w:tc>
          <w:tcPr>
            <w:tcW w:w="351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Q17 (previously Q14). Revise question logic.</w:t>
            </w:r>
          </w:p>
        </w:tc>
        <w:tc>
          <w:tcPr>
            <w:tcW w:w="342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match question numbers specified in logic to new question numbers.</w:t>
            </w:r>
          </w:p>
        </w:tc>
      </w:tr>
      <w:tr w:rsidR="008D4D2D" w:rsidRPr="00C70760" w:rsidTr="007E047D">
        <w:trPr>
          <w:cantSplit/>
        </w:trPr>
        <w:tc>
          <w:tcPr>
            <w:tcW w:w="2430" w:type="dxa"/>
            <w:shd w:val="clear" w:color="auto" w:fill="auto"/>
          </w:tcPr>
          <w:p w:rsidR="008D4D2D" w:rsidRPr="00C70760" w:rsidRDefault="008D4D2D" w:rsidP="008D4D2D">
            <w:pPr>
              <w:spacing w:after="0" w:line="240" w:lineRule="auto"/>
              <w:rPr>
                <w:rFonts w:ascii="Times New Roman" w:hAnsi="Times New Roman"/>
              </w:rPr>
            </w:pPr>
            <w:r w:rsidRPr="008D4D2D">
              <w:rPr>
                <w:rFonts w:ascii="Times New Roman" w:hAnsi="Times New Roman"/>
                <w:i/>
                <w:color w:val="FFFFFF" w:themeColor="background1"/>
                <w:sz w:val="18"/>
              </w:rPr>
              <w:t>IV Interaction with the QIN-QIO for QIO Nursing Homes (continued)</w:t>
            </w:r>
          </w:p>
        </w:tc>
        <w:tc>
          <w:tcPr>
            <w:tcW w:w="351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Q17 (previously Q14). Revise question text.</w:t>
            </w:r>
          </w:p>
        </w:tc>
        <w:tc>
          <w:tcPr>
            <w:tcW w:w="342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simplify question to ask whether any person at a facility interacted with any individual at the QIO.</w:t>
            </w:r>
          </w:p>
        </w:tc>
      </w:tr>
      <w:tr w:rsidR="008D4D2D" w:rsidRPr="00C70760" w:rsidTr="007E047D">
        <w:trPr>
          <w:cantSplit/>
        </w:trPr>
        <w:tc>
          <w:tcPr>
            <w:tcW w:w="2430" w:type="dxa"/>
            <w:tcBorders>
              <w:bottom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8D4D2D">
              <w:rPr>
                <w:rFonts w:ascii="Times New Roman" w:hAnsi="Times New Roman"/>
                <w:i/>
                <w:color w:val="FFFFFF" w:themeColor="background1"/>
                <w:sz w:val="18"/>
              </w:rPr>
              <w:t>IV Interaction with the QIN-QIO for QIO Nursing Homes (continued)</w:t>
            </w:r>
          </w:p>
        </w:tc>
        <w:tc>
          <w:tcPr>
            <w:tcW w:w="3510" w:type="dxa"/>
            <w:tcBorders>
              <w:bottom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Q18 (previously Q15). Revise question text.</w:t>
            </w:r>
          </w:p>
        </w:tc>
        <w:tc>
          <w:tcPr>
            <w:tcW w:w="3420" w:type="dxa"/>
            <w:tcBorders>
              <w:bottom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simplify question to ask whether any person at a facility interacted with any individual at the QIO.</w:t>
            </w:r>
          </w:p>
        </w:tc>
      </w:tr>
      <w:tr w:rsidR="008D4D2D" w:rsidRPr="00C70760" w:rsidTr="007E047D">
        <w:trPr>
          <w:cantSplit/>
        </w:trPr>
        <w:tc>
          <w:tcPr>
            <w:tcW w:w="2430" w:type="dxa"/>
            <w:tcBorders>
              <w:top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lastRenderedPageBreak/>
              <w:t xml:space="preserve">Appendix A1. Survey </w:t>
            </w:r>
          </w:p>
          <w:p w:rsidR="008D4D2D" w:rsidRPr="00C70760" w:rsidRDefault="008D4D2D" w:rsidP="008D4D2D">
            <w:pPr>
              <w:spacing w:after="0" w:line="240" w:lineRule="auto"/>
              <w:rPr>
                <w:rFonts w:ascii="Times New Roman" w:hAnsi="Times New Roman"/>
                <w:i/>
              </w:rPr>
            </w:pPr>
            <w:r w:rsidRPr="00C70760">
              <w:rPr>
                <w:rFonts w:ascii="Times New Roman" w:hAnsi="Times New Roman"/>
                <w:i/>
              </w:rPr>
              <w:t>V Activities and Resources Provided by The QIN-QIO</w:t>
            </w:r>
          </w:p>
        </w:tc>
        <w:tc>
          <w:tcPr>
            <w:tcW w:w="3510" w:type="dxa"/>
            <w:tcBorders>
              <w:top w:val="single" w:sz="4" w:space="0" w:color="auto"/>
            </w:tcBorders>
            <w:shd w:val="clear" w:color="auto" w:fill="auto"/>
          </w:tcPr>
          <w:p w:rsidR="008D4D2D" w:rsidRPr="00C70760" w:rsidRDefault="008D4D2D" w:rsidP="008D4D2D">
            <w:pPr>
              <w:pStyle w:val="ListParagraph"/>
              <w:spacing w:after="0"/>
              <w:ind w:left="0"/>
              <w:contextualSpacing w:val="0"/>
              <w:rPr>
                <w:rFonts w:eastAsia="Calibri"/>
                <w:sz w:val="22"/>
              </w:rPr>
            </w:pPr>
            <w:r w:rsidRPr="00C70760">
              <w:rPr>
                <w:rFonts w:eastAsia="Calibri"/>
                <w:sz w:val="22"/>
              </w:rPr>
              <w:t>Q19 (previously Q16). Revise question text to ‘Now I am going to read a list of resources your QIO may provide. Please indicate to the best of your knowledge whether your facility has used any of the following resources that may be provided by your QIO.’</w:t>
            </w:r>
          </w:p>
        </w:tc>
        <w:tc>
          <w:tcPr>
            <w:tcW w:w="3420" w:type="dxa"/>
            <w:tcBorders>
              <w:top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clarify that the question will lead-in to a list of resources that respondents can affirm or deny being offered. To clarify question is asking about resources used by facility, as opposed to asking about resources offered by QIO.</w:t>
            </w:r>
          </w:p>
        </w:tc>
      </w:tr>
      <w:tr w:rsidR="008D4D2D" w:rsidRPr="00C70760" w:rsidTr="007E047D">
        <w:trPr>
          <w:cantSplit/>
        </w:trPr>
        <w:tc>
          <w:tcPr>
            <w:tcW w:w="2430" w:type="dxa"/>
            <w:shd w:val="clear" w:color="auto" w:fill="auto"/>
          </w:tcPr>
          <w:p w:rsidR="008D4D2D" w:rsidRPr="008D4D2D" w:rsidRDefault="008D4D2D" w:rsidP="008D4D2D">
            <w:pPr>
              <w:spacing w:after="0" w:line="240" w:lineRule="auto"/>
              <w:rPr>
                <w:rFonts w:ascii="Times New Roman" w:hAnsi="Times New Roman"/>
                <w:color w:val="FFFFFF" w:themeColor="background1"/>
                <w:sz w:val="18"/>
              </w:rPr>
            </w:pPr>
            <w:r w:rsidRPr="008D4D2D">
              <w:rPr>
                <w:rFonts w:ascii="Times New Roman" w:hAnsi="Times New Roman"/>
                <w:i/>
                <w:color w:val="FFFFFF" w:themeColor="background1"/>
                <w:sz w:val="18"/>
              </w:rPr>
              <w:t>V Activities and Resources Provided by The QIN-QIO</w:t>
            </w:r>
          </w:p>
        </w:tc>
        <w:tc>
          <w:tcPr>
            <w:tcW w:w="3510" w:type="dxa"/>
            <w:shd w:val="clear" w:color="auto" w:fill="auto"/>
          </w:tcPr>
          <w:p w:rsidR="008D4D2D" w:rsidRPr="00C70760" w:rsidRDefault="008D4D2D" w:rsidP="008D4D2D">
            <w:pPr>
              <w:pStyle w:val="ListParagraph"/>
              <w:spacing w:after="0"/>
              <w:ind w:left="0"/>
              <w:contextualSpacing w:val="0"/>
              <w:rPr>
                <w:sz w:val="22"/>
              </w:rPr>
            </w:pPr>
            <w:r w:rsidRPr="00C70760">
              <w:rPr>
                <w:rFonts w:eastAsia="Calibri"/>
                <w:sz w:val="22"/>
              </w:rPr>
              <w:t>Q21. Revise question text to ‘Note that we’re not referring to the 5-Star Rating on Nursing Home Compare, rather the QIO’s composite score. [IF FURTHER EXPLANATION IS NEEDED, EXPLAIN THAT THE COMPOSITE SCORE COMBINES 13 QUALITY MEASURES.]’</w:t>
            </w:r>
          </w:p>
        </w:tc>
        <w:tc>
          <w:tcPr>
            <w:tcW w:w="3420" w:type="dxa"/>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clarify that question is referring to QIO composite score.</w:t>
            </w:r>
          </w:p>
        </w:tc>
      </w:tr>
      <w:tr w:rsidR="008D4D2D" w:rsidRPr="00C70760" w:rsidTr="007E047D">
        <w:trPr>
          <w:cantSplit/>
        </w:trPr>
        <w:tc>
          <w:tcPr>
            <w:tcW w:w="2430" w:type="dxa"/>
            <w:tcBorders>
              <w:bottom w:val="single" w:sz="4" w:space="0" w:color="auto"/>
            </w:tcBorders>
            <w:shd w:val="clear" w:color="auto" w:fill="auto"/>
          </w:tcPr>
          <w:p w:rsidR="008D4D2D" w:rsidRPr="008D4D2D" w:rsidRDefault="008D4D2D" w:rsidP="008D4D2D">
            <w:pPr>
              <w:spacing w:after="0" w:line="240" w:lineRule="auto"/>
              <w:rPr>
                <w:rFonts w:ascii="Times New Roman" w:hAnsi="Times New Roman"/>
                <w:i/>
                <w:color w:val="FFFFFF" w:themeColor="background1"/>
                <w:sz w:val="18"/>
              </w:rPr>
            </w:pPr>
            <w:r w:rsidRPr="008D4D2D">
              <w:rPr>
                <w:rFonts w:ascii="Times New Roman" w:hAnsi="Times New Roman"/>
                <w:i/>
                <w:color w:val="FFFFFF" w:themeColor="background1"/>
                <w:sz w:val="18"/>
              </w:rPr>
              <w:t>V Activities and Resources Provided by The QIN-QIO</w:t>
            </w:r>
          </w:p>
        </w:tc>
        <w:tc>
          <w:tcPr>
            <w:tcW w:w="3510" w:type="dxa"/>
            <w:tcBorders>
              <w:bottom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Add: Q22. “What quality improvement areas are you most in need of for additional assistance?” [RECORD ANSWER]</w:t>
            </w:r>
          </w:p>
        </w:tc>
        <w:tc>
          <w:tcPr>
            <w:tcW w:w="3420" w:type="dxa"/>
            <w:tcBorders>
              <w:bottom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assess greatest area of need for additional assistance.</w:t>
            </w:r>
          </w:p>
        </w:tc>
      </w:tr>
      <w:tr w:rsidR="008D4D2D" w:rsidRPr="00C70760" w:rsidTr="007E047D">
        <w:trPr>
          <w:cantSplit/>
        </w:trPr>
        <w:tc>
          <w:tcPr>
            <w:tcW w:w="2430" w:type="dxa"/>
            <w:tcBorders>
              <w:top w:val="single" w:sz="4" w:space="0" w:color="auto"/>
              <w:bottom w:val="single" w:sz="4" w:space="0" w:color="auto"/>
            </w:tcBorders>
            <w:shd w:val="clear" w:color="auto" w:fill="auto"/>
          </w:tcPr>
          <w:p w:rsidR="008D4D2D" w:rsidRDefault="008D4D2D" w:rsidP="008D4D2D">
            <w:pPr>
              <w:spacing w:after="0" w:line="240" w:lineRule="auto"/>
              <w:rPr>
                <w:rFonts w:ascii="Times New Roman" w:hAnsi="Times New Roman"/>
              </w:rPr>
            </w:pPr>
            <w:r w:rsidRPr="00C70760">
              <w:rPr>
                <w:rFonts w:ascii="Times New Roman" w:hAnsi="Times New Roman"/>
              </w:rPr>
              <w:t>Appendix B1.</w:t>
            </w:r>
          </w:p>
          <w:p w:rsidR="008D4D2D" w:rsidRPr="00C70760" w:rsidRDefault="008D4D2D" w:rsidP="008D4D2D">
            <w:pPr>
              <w:spacing w:after="0" w:line="240" w:lineRule="auto"/>
              <w:rPr>
                <w:rFonts w:ascii="Times New Roman" w:hAnsi="Times New Roman"/>
                <w:i/>
              </w:rPr>
            </w:pPr>
            <w:r w:rsidRPr="00C70760">
              <w:rPr>
                <w:rFonts w:ascii="Times New Roman" w:hAnsi="Times New Roman"/>
                <w:i/>
              </w:rPr>
              <w:t xml:space="preserve">Nursing Home Administrator Survey Letter/Email Communication </w:t>
            </w:r>
          </w:p>
        </w:tc>
        <w:tc>
          <w:tcPr>
            <w:tcW w:w="3510" w:type="dxa"/>
            <w:tcBorders>
              <w:top w:val="single" w:sz="4" w:space="0" w:color="auto"/>
              <w:bottom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Add to the purpose of survey: “and types of resources that are helpful in this area.”</w:t>
            </w:r>
          </w:p>
        </w:tc>
        <w:tc>
          <w:tcPr>
            <w:tcW w:w="3420" w:type="dxa"/>
            <w:tcBorders>
              <w:top w:val="single" w:sz="4" w:space="0" w:color="auto"/>
              <w:bottom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describe scope of survey accurately.</w:t>
            </w:r>
          </w:p>
        </w:tc>
      </w:tr>
      <w:tr w:rsidR="008D4D2D" w:rsidRPr="00C70760" w:rsidTr="007E047D">
        <w:trPr>
          <w:cantSplit/>
        </w:trPr>
        <w:tc>
          <w:tcPr>
            <w:tcW w:w="2430" w:type="dxa"/>
            <w:tcBorders>
              <w:top w:val="single" w:sz="4" w:space="0" w:color="auto"/>
            </w:tcBorders>
            <w:shd w:val="clear" w:color="auto" w:fill="auto"/>
          </w:tcPr>
          <w:p w:rsidR="008D4D2D" w:rsidRDefault="008D4D2D" w:rsidP="008D4D2D">
            <w:pPr>
              <w:spacing w:after="0" w:line="240" w:lineRule="auto"/>
              <w:rPr>
                <w:rFonts w:ascii="Times New Roman" w:hAnsi="Times New Roman"/>
              </w:rPr>
            </w:pPr>
            <w:r w:rsidRPr="00C70760">
              <w:rPr>
                <w:rFonts w:ascii="Times New Roman" w:hAnsi="Times New Roman"/>
              </w:rPr>
              <w:t>Appendix B2.</w:t>
            </w:r>
          </w:p>
          <w:p w:rsidR="008D4D2D" w:rsidRPr="00C70760" w:rsidRDefault="008D4D2D" w:rsidP="008D4D2D">
            <w:pPr>
              <w:spacing w:after="0" w:line="240" w:lineRule="auto"/>
              <w:rPr>
                <w:rFonts w:ascii="Times New Roman" w:hAnsi="Times New Roman"/>
                <w:i/>
              </w:rPr>
            </w:pPr>
            <w:r w:rsidRPr="00C70760">
              <w:rPr>
                <w:rFonts w:ascii="Times New Roman" w:hAnsi="Times New Roman"/>
                <w:i/>
              </w:rPr>
              <w:t xml:space="preserve">Nursing Home Administrator Interview Letter/Email Communication </w:t>
            </w:r>
          </w:p>
        </w:tc>
        <w:tc>
          <w:tcPr>
            <w:tcW w:w="3510" w:type="dxa"/>
            <w:tcBorders>
              <w:top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Add to the purpose of survey: “and types of resources that are helpful in this area.”</w:t>
            </w:r>
          </w:p>
        </w:tc>
        <w:tc>
          <w:tcPr>
            <w:tcW w:w="3420" w:type="dxa"/>
            <w:tcBorders>
              <w:top w:val="single" w:sz="4" w:space="0" w:color="auto"/>
            </w:tcBorders>
            <w:shd w:val="clear" w:color="auto" w:fill="auto"/>
          </w:tcPr>
          <w:p w:rsidR="008D4D2D" w:rsidRPr="00C70760" w:rsidRDefault="008D4D2D" w:rsidP="008D4D2D">
            <w:pPr>
              <w:spacing w:after="0" w:line="240" w:lineRule="auto"/>
              <w:rPr>
                <w:rFonts w:ascii="Times New Roman" w:hAnsi="Times New Roman"/>
              </w:rPr>
            </w:pPr>
            <w:r w:rsidRPr="00C70760">
              <w:rPr>
                <w:rFonts w:ascii="Times New Roman" w:hAnsi="Times New Roman"/>
              </w:rPr>
              <w:t>To describe scope of survey accurately.</w:t>
            </w:r>
          </w:p>
        </w:tc>
      </w:tr>
    </w:tbl>
    <w:p w:rsidR="00820E9E" w:rsidRPr="00820E9E" w:rsidRDefault="00820E9E" w:rsidP="00B81FF3"/>
    <w:sectPr w:rsidR="00820E9E" w:rsidRPr="00820E9E" w:rsidSect="0052710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AA3" w:rsidRDefault="00944AA3" w:rsidP="00F70873">
      <w:pPr>
        <w:spacing w:after="0" w:line="240" w:lineRule="auto"/>
      </w:pPr>
      <w:r>
        <w:separator/>
      </w:r>
    </w:p>
  </w:endnote>
  <w:endnote w:type="continuationSeparator" w:id="0">
    <w:p w:rsidR="00944AA3" w:rsidRDefault="00944AA3" w:rsidP="00F70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873" w:rsidRDefault="00F70873" w:rsidP="00B81FF3">
    <w:pPr>
      <w:pStyle w:val="Footer"/>
      <w:jc w:val="right"/>
    </w:pPr>
    <w:r>
      <w:fldChar w:fldCharType="begin"/>
    </w:r>
    <w:r>
      <w:instrText xml:space="preserve"> PAGE   \* MERGEFORMAT </w:instrText>
    </w:r>
    <w:r>
      <w:fldChar w:fldCharType="separate"/>
    </w:r>
    <w:r w:rsidR="008D4D2D">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AA3" w:rsidRDefault="00944AA3" w:rsidP="00F70873">
      <w:pPr>
        <w:spacing w:after="0" w:line="240" w:lineRule="auto"/>
      </w:pPr>
      <w:r>
        <w:separator/>
      </w:r>
    </w:p>
  </w:footnote>
  <w:footnote w:type="continuationSeparator" w:id="0">
    <w:p w:rsidR="00944AA3" w:rsidRDefault="00944AA3" w:rsidP="00F708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92E74"/>
    <w:multiLevelType w:val="hybridMultilevel"/>
    <w:tmpl w:val="CA080D60"/>
    <w:lvl w:ilvl="0" w:tplc="FB860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2430C"/>
    <w:multiLevelType w:val="hybridMultilevel"/>
    <w:tmpl w:val="C88A0D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F72BB"/>
    <w:multiLevelType w:val="hybridMultilevel"/>
    <w:tmpl w:val="FB467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52AE1"/>
    <w:multiLevelType w:val="hybridMultilevel"/>
    <w:tmpl w:val="3572C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9E"/>
    <w:rsid w:val="00014FFE"/>
    <w:rsid w:val="000218AA"/>
    <w:rsid w:val="00024517"/>
    <w:rsid w:val="00044521"/>
    <w:rsid w:val="00052983"/>
    <w:rsid w:val="000A00AD"/>
    <w:rsid w:val="000F42C8"/>
    <w:rsid w:val="00157DA4"/>
    <w:rsid w:val="001679D6"/>
    <w:rsid w:val="001A6055"/>
    <w:rsid w:val="00214FED"/>
    <w:rsid w:val="0021656D"/>
    <w:rsid w:val="002A155E"/>
    <w:rsid w:val="003567B0"/>
    <w:rsid w:val="00376843"/>
    <w:rsid w:val="00423C66"/>
    <w:rsid w:val="00425F48"/>
    <w:rsid w:val="00430A7F"/>
    <w:rsid w:val="00460A22"/>
    <w:rsid w:val="004652D5"/>
    <w:rsid w:val="0048244E"/>
    <w:rsid w:val="00527101"/>
    <w:rsid w:val="00561B7D"/>
    <w:rsid w:val="0056552C"/>
    <w:rsid w:val="005754E8"/>
    <w:rsid w:val="005B023B"/>
    <w:rsid w:val="00612F6B"/>
    <w:rsid w:val="00620439"/>
    <w:rsid w:val="00737485"/>
    <w:rsid w:val="007E047D"/>
    <w:rsid w:val="00820E9E"/>
    <w:rsid w:val="008326BC"/>
    <w:rsid w:val="0084737F"/>
    <w:rsid w:val="00854BBB"/>
    <w:rsid w:val="00862086"/>
    <w:rsid w:val="00874E1B"/>
    <w:rsid w:val="008D4D2D"/>
    <w:rsid w:val="008D5A20"/>
    <w:rsid w:val="00906AED"/>
    <w:rsid w:val="00940DE5"/>
    <w:rsid w:val="00944AA3"/>
    <w:rsid w:val="009600D4"/>
    <w:rsid w:val="00984B2D"/>
    <w:rsid w:val="009B5F41"/>
    <w:rsid w:val="00B07441"/>
    <w:rsid w:val="00B34240"/>
    <w:rsid w:val="00B43155"/>
    <w:rsid w:val="00B5536E"/>
    <w:rsid w:val="00B81FF3"/>
    <w:rsid w:val="00BA099A"/>
    <w:rsid w:val="00BE2F7C"/>
    <w:rsid w:val="00C1589C"/>
    <w:rsid w:val="00C341DF"/>
    <w:rsid w:val="00C67442"/>
    <w:rsid w:val="00C70760"/>
    <w:rsid w:val="00CA154E"/>
    <w:rsid w:val="00D22EAC"/>
    <w:rsid w:val="00D31403"/>
    <w:rsid w:val="00D36BB7"/>
    <w:rsid w:val="00D45BDF"/>
    <w:rsid w:val="00D5100C"/>
    <w:rsid w:val="00D7490D"/>
    <w:rsid w:val="00D976B6"/>
    <w:rsid w:val="00DE0480"/>
    <w:rsid w:val="00DF4869"/>
    <w:rsid w:val="00E14172"/>
    <w:rsid w:val="00E17F9E"/>
    <w:rsid w:val="00E41291"/>
    <w:rsid w:val="00E82140"/>
    <w:rsid w:val="00E92A39"/>
    <w:rsid w:val="00E9556B"/>
    <w:rsid w:val="00EC7F62"/>
    <w:rsid w:val="00F01671"/>
    <w:rsid w:val="00F44150"/>
    <w:rsid w:val="00F62677"/>
    <w:rsid w:val="00F70873"/>
    <w:rsid w:val="00F903B2"/>
    <w:rsid w:val="00F9123D"/>
    <w:rsid w:val="00FD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CD50A-9465-491C-A777-91A5646C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101"/>
    <w:pPr>
      <w:spacing w:after="200" w:line="276" w:lineRule="auto"/>
    </w:pPr>
    <w:rPr>
      <w:sz w:val="22"/>
      <w:szCs w:val="22"/>
    </w:rPr>
  </w:style>
  <w:style w:type="paragraph" w:styleId="Heading1">
    <w:name w:val="heading 1"/>
    <w:basedOn w:val="Normal"/>
    <w:next w:val="Normal"/>
    <w:link w:val="Heading1Char"/>
    <w:uiPriority w:val="9"/>
    <w:qFormat/>
    <w:rsid w:val="00C70760"/>
    <w:pPr>
      <w:keepNext/>
      <w:keepLines/>
      <w:spacing w:after="240" w:line="240" w:lineRule="auto"/>
      <w:contextualSpacing/>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167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01671"/>
    <w:rPr>
      <w:rFonts w:ascii="Segoe UI" w:hAnsi="Segoe UI" w:cs="Segoe UI"/>
      <w:sz w:val="18"/>
      <w:szCs w:val="18"/>
    </w:rPr>
  </w:style>
  <w:style w:type="paragraph" w:styleId="BodyText">
    <w:name w:val="Body Text"/>
    <w:basedOn w:val="Normal"/>
    <w:link w:val="BodyTextChar"/>
    <w:uiPriority w:val="99"/>
    <w:unhideWhenUsed/>
    <w:rsid w:val="00EC7F62"/>
    <w:pPr>
      <w:spacing w:before="120" w:after="120" w:line="240" w:lineRule="auto"/>
    </w:pPr>
    <w:rPr>
      <w:rFonts w:ascii="Times New Roman" w:eastAsia="Times New Roman" w:hAnsi="Times New Roman"/>
      <w:sz w:val="24"/>
    </w:rPr>
  </w:style>
  <w:style w:type="character" w:customStyle="1" w:styleId="BodyTextChar">
    <w:name w:val="Body Text Char"/>
    <w:link w:val="BodyText"/>
    <w:uiPriority w:val="99"/>
    <w:rsid w:val="00EC7F62"/>
    <w:rPr>
      <w:rFonts w:ascii="Times New Roman" w:eastAsia="Times New Roman" w:hAnsi="Times New Roman"/>
      <w:sz w:val="24"/>
      <w:szCs w:val="22"/>
    </w:rPr>
  </w:style>
  <w:style w:type="character" w:styleId="CommentReference">
    <w:name w:val="annotation reference"/>
    <w:rsid w:val="00EC7F62"/>
    <w:rPr>
      <w:sz w:val="16"/>
      <w:szCs w:val="16"/>
    </w:rPr>
  </w:style>
  <w:style w:type="paragraph" w:styleId="CommentText">
    <w:name w:val="annotation text"/>
    <w:basedOn w:val="Normal"/>
    <w:link w:val="CommentTextChar"/>
    <w:rsid w:val="00EC7F62"/>
    <w:pPr>
      <w:widowControl w:val="0"/>
      <w:autoSpaceDE w:val="0"/>
      <w:autoSpaceDN w:val="0"/>
      <w:adjustRightInd w:val="0"/>
      <w:spacing w:before="120" w:after="120" w:line="240" w:lineRule="auto"/>
    </w:pPr>
    <w:rPr>
      <w:rFonts w:ascii="Times New Roman" w:eastAsia="Times New Roman" w:hAnsi="Times New Roman"/>
      <w:sz w:val="24"/>
      <w:szCs w:val="20"/>
    </w:rPr>
  </w:style>
  <w:style w:type="character" w:customStyle="1" w:styleId="CommentTextChar">
    <w:name w:val="Comment Text Char"/>
    <w:link w:val="CommentText"/>
    <w:rsid w:val="00EC7F62"/>
    <w:rPr>
      <w:rFonts w:ascii="Times New Roman" w:eastAsia="Times New Roman" w:hAnsi="Times New Roman"/>
      <w:sz w:val="24"/>
    </w:rPr>
  </w:style>
  <w:style w:type="paragraph" w:styleId="Header">
    <w:name w:val="header"/>
    <w:basedOn w:val="Normal"/>
    <w:link w:val="HeaderChar"/>
    <w:uiPriority w:val="99"/>
    <w:unhideWhenUsed/>
    <w:rsid w:val="00F70873"/>
    <w:pPr>
      <w:tabs>
        <w:tab w:val="center" w:pos="4680"/>
        <w:tab w:val="right" w:pos="9360"/>
      </w:tabs>
    </w:pPr>
  </w:style>
  <w:style w:type="character" w:customStyle="1" w:styleId="HeaderChar">
    <w:name w:val="Header Char"/>
    <w:link w:val="Header"/>
    <w:uiPriority w:val="99"/>
    <w:rsid w:val="00F70873"/>
    <w:rPr>
      <w:sz w:val="22"/>
      <w:szCs w:val="22"/>
    </w:rPr>
  </w:style>
  <w:style w:type="paragraph" w:styleId="Footer">
    <w:name w:val="footer"/>
    <w:basedOn w:val="Normal"/>
    <w:link w:val="FooterChar"/>
    <w:uiPriority w:val="99"/>
    <w:unhideWhenUsed/>
    <w:rsid w:val="00F70873"/>
    <w:pPr>
      <w:tabs>
        <w:tab w:val="center" w:pos="4680"/>
        <w:tab w:val="right" w:pos="9360"/>
      </w:tabs>
    </w:pPr>
  </w:style>
  <w:style w:type="character" w:customStyle="1" w:styleId="FooterChar">
    <w:name w:val="Footer Char"/>
    <w:link w:val="Footer"/>
    <w:uiPriority w:val="99"/>
    <w:rsid w:val="00F70873"/>
    <w:rPr>
      <w:sz w:val="22"/>
      <w:szCs w:val="22"/>
    </w:rPr>
  </w:style>
  <w:style w:type="paragraph" w:styleId="ListParagraph">
    <w:name w:val="List Paragraph"/>
    <w:aliases w:val="List Paragraph Survey"/>
    <w:basedOn w:val="Normal"/>
    <w:link w:val="ListParagraphChar"/>
    <w:uiPriority w:val="34"/>
    <w:qFormat/>
    <w:rsid w:val="002A155E"/>
    <w:pPr>
      <w:spacing w:line="240" w:lineRule="auto"/>
      <w:ind w:left="720"/>
      <w:contextualSpacing/>
    </w:pPr>
    <w:rPr>
      <w:rFonts w:ascii="Times New Roman" w:eastAsia="Times New Roman" w:hAnsi="Times New Roman"/>
      <w:sz w:val="24"/>
    </w:rPr>
  </w:style>
  <w:style w:type="character" w:customStyle="1" w:styleId="ListParagraphChar">
    <w:name w:val="List Paragraph Char"/>
    <w:aliases w:val="List Paragraph Survey Char"/>
    <w:link w:val="ListParagraph"/>
    <w:uiPriority w:val="34"/>
    <w:locked/>
    <w:rsid w:val="002A155E"/>
    <w:rPr>
      <w:rFonts w:ascii="Times New Roman" w:eastAsia="Times New Roman" w:hAnsi="Times New Roman"/>
      <w:sz w:val="24"/>
      <w:szCs w:val="22"/>
    </w:rPr>
  </w:style>
  <w:style w:type="character" w:styleId="FootnoteReference">
    <w:name w:val="footnote reference"/>
    <w:uiPriority w:val="99"/>
    <w:rsid w:val="001679D6"/>
  </w:style>
  <w:style w:type="paragraph" w:styleId="FootnoteText">
    <w:name w:val="footnote text"/>
    <w:basedOn w:val="Normal"/>
    <w:link w:val="FootnoteTextChar"/>
    <w:uiPriority w:val="99"/>
    <w:rsid w:val="001679D6"/>
    <w:pPr>
      <w:widowControl w:val="0"/>
      <w:autoSpaceDE w:val="0"/>
      <w:autoSpaceDN w:val="0"/>
      <w:adjustRightInd w:val="0"/>
      <w:spacing w:after="60" w:line="240" w:lineRule="auto"/>
      <w:ind w:left="360" w:hanging="360"/>
    </w:pPr>
    <w:rPr>
      <w:rFonts w:ascii="Times New Roman" w:eastAsia="Times New Roman" w:hAnsi="Times New Roman"/>
      <w:sz w:val="20"/>
      <w:szCs w:val="20"/>
    </w:rPr>
  </w:style>
  <w:style w:type="character" w:customStyle="1" w:styleId="FootnoteTextChar">
    <w:name w:val="Footnote Text Char"/>
    <w:link w:val="FootnoteText"/>
    <w:uiPriority w:val="99"/>
    <w:rsid w:val="001679D6"/>
    <w:rPr>
      <w:rFonts w:ascii="Times New Roman" w:eastAsia="Times New Roman" w:hAnsi="Times New Roman"/>
    </w:rPr>
  </w:style>
  <w:style w:type="character" w:customStyle="1" w:styleId="Heading1Char">
    <w:name w:val="Heading 1 Char"/>
    <w:basedOn w:val="DefaultParagraphFont"/>
    <w:link w:val="Heading1"/>
    <w:uiPriority w:val="9"/>
    <w:rsid w:val="00C70760"/>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CMS-10622 Crosswalk</vt:lpstr>
    </vt:vector>
  </TitlesOfParts>
  <Company>CMS</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CMS-10622 Crosswalk</dc:title>
  <dc:subject>Crosswalk of Changes to Nursing Home Administrator Survey</dc:subject>
  <dc:creator>CMS</dc:creator>
  <cp:keywords>Crosswalk, Nursing Home Administrator Survey, Quality Improvement Organization, Evaluation</cp:keywords>
  <dc:description/>
  <cp:lastModifiedBy>George, Signe [USA]</cp:lastModifiedBy>
  <cp:revision>3</cp:revision>
  <cp:lastPrinted>2016-10-04T10:08:00Z</cp:lastPrinted>
  <dcterms:created xsi:type="dcterms:W3CDTF">2016-10-27T18:56:00Z</dcterms:created>
  <dcterms:modified xsi:type="dcterms:W3CDTF">2016-11-03T13:15:00Z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